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4246117">
      <w:pPr>
        <w:rPr>
          <w:rFonts w:hint="eastAsia" w:ascii="宋体" w:hAnsi="宋体" w:eastAsia="宋体" w:cs="宋体"/>
          <w:b/>
          <w:bCs/>
          <w:color w:val="auto"/>
          <w:spacing w:val="120"/>
          <w:sz w:val="52"/>
          <w:szCs w:val="52"/>
          <w:highlight w:val="none"/>
        </w:rPr>
      </w:pPr>
      <w:bookmarkStart w:id="209" w:name="_GoBack"/>
    </w:p>
    <w:p w14:paraId="6C881D17">
      <w:pPr>
        <w:jc w:val="both"/>
        <w:rPr>
          <w:rFonts w:hint="eastAsia" w:ascii="宋体" w:hAnsi="宋体" w:eastAsia="宋体" w:cs="宋体"/>
          <w:b/>
          <w:bCs/>
          <w:color w:val="auto"/>
          <w:sz w:val="52"/>
          <w:szCs w:val="52"/>
          <w:highlight w:val="none"/>
        </w:rPr>
      </w:pPr>
      <w:r>
        <w:rPr>
          <w:rFonts w:hint="eastAsia" w:ascii="宋体" w:hAnsi="宋体" w:eastAsia="宋体" w:cs="宋体"/>
          <w:color w:val="auto"/>
          <w:spacing w:val="20"/>
          <w:sz w:val="84"/>
          <w:highlight w:val="none"/>
        </w:rPr>
        <w:t>温州市政府（分散）采购</w:t>
      </w:r>
    </w:p>
    <w:p w14:paraId="3F3DF862">
      <w:pPr>
        <w:jc w:val="center"/>
        <w:rPr>
          <w:rFonts w:hint="eastAsia" w:ascii="宋体" w:hAnsi="宋体" w:eastAsia="宋体" w:cs="宋体"/>
          <w:b/>
          <w:bCs/>
          <w:color w:val="auto"/>
          <w:spacing w:val="26"/>
          <w:sz w:val="52"/>
          <w:highlight w:val="none"/>
        </w:rPr>
      </w:pPr>
    </w:p>
    <w:p w14:paraId="55383C7C">
      <w:pPr>
        <w:ind w:firstLine="2357" w:firstLineChars="235"/>
        <w:rPr>
          <w:rFonts w:hint="eastAsia" w:ascii="宋体" w:hAnsi="宋体" w:eastAsia="宋体" w:cs="宋体"/>
          <w:b/>
          <w:bCs/>
          <w:color w:val="auto"/>
          <w:spacing w:val="140"/>
          <w:sz w:val="72"/>
          <w:highlight w:val="none"/>
        </w:rPr>
      </w:pPr>
    </w:p>
    <w:p w14:paraId="77FF3ABD">
      <w:pPr>
        <w:adjustRightInd w:val="0"/>
        <w:snapToGrid w:val="0"/>
        <w:spacing w:line="480" w:lineRule="auto"/>
        <w:ind w:right="361"/>
        <w:jc w:val="center"/>
        <w:rPr>
          <w:rFonts w:hint="eastAsia" w:ascii="宋体" w:hAnsi="宋体" w:eastAsia="宋体" w:cs="宋体"/>
          <w:b w:val="0"/>
          <w:bCs w:val="0"/>
          <w:color w:val="auto"/>
          <w:sz w:val="72"/>
          <w:szCs w:val="72"/>
          <w:highlight w:val="none"/>
        </w:rPr>
      </w:pPr>
      <w:r>
        <w:rPr>
          <w:rFonts w:hint="eastAsia" w:ascii="宋体" w:hAnsi="宋体" w:eastAsia="宋体" w:cs="宋体"/>
          <w:b w:val="0"/>
          <w:bCs w:val="0"/>
          <w:color w:val="auto"/>
          <w:sz w:val="72"/>
          <w:szCs w:val="72"/>
          <w:highlight w:val="none"/>
        </w:rPr>
        <w:t>招 标 文 件</w:t>
      </w:r>
    </w:p>
    <w:tbl>
      <w:tblPr>
        <w:tblStyle w:val="53"/>
        <w:tblW w:w="0" w:type="auto"/>
        <w:tblInd w:w="9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80"/>
        <w:gridCol w:w="5730"/>
      </w:tblGrid>
      <w:tr w14:paraId="0E47A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0" w:type="dxa"/>
            <w:vAlign w:val="center"/>
          </w:tcPr>
          <w:p w14:paraId="711C796A">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项 目 编 号</w:t>
            </w:r>
            <w:r>
              <w:rPr>
                <w:rFonts w:hint="eastAsia" w:ascii="宋体" w:hAnsi="宋体" w:eastAsia="宋体" w:cs="宋体"/>
                <w:b w:val="0"/>
                <w:bCs w:val="0"/>
                <w:color w:val="auto"/>
                <w:spacing w:val="40"/>
                <w:sz w:val="28"/>
                <w:highlight w:val="none"/>
              </w:rPr>
              <w:t>：</w:t>
            </w:r>
          </w:p>
        </w:tc>
        <w:tc>
          <w:tcPr>
            <w:tcW w:w="5730" w:type="dxa"/>
            <w:vAlign w:val="center"/>
          </w:tcPr>
          <w:p w14:paraId="661D98C3">
            <w:pPr>
              <w:spacing w:line="700" w:lineRule="exact"/>
              <w:jc w:val="center"/>
              <w:rPr>
                <w:rFonts w:hint="eastAsia" w:ascii="宋体" w:hAnsi="宋体" w:eastAsia="宋体" w:cs="宋体"/>
                <w:b w:val="0"/>
                <w:bCs w:val="0"/>
                <w:color w:val="auto"/>
                <w:sz w:val="24"/>
                <w:highlight w:val="none"/>
                <w:vertAlign w:val="baseline"/>
                <w:lang w:eastAsia="zh-CN"/>
              </w:rPr>
            </w:pPr>
            <w:r>
              <w:rPr>
                <w:rFonts w:hint="eastAsia" w:ascii="宋体" w:hAnsi="宋体" w:cs="宋体"/>
                <w:b w:val="0"/>
                <w:bCs w:val="0"/>
                <w:color w:val="auto"/>
                <w:spacing w:val="40"/>
                <w:sz w:val="28"/>
                <w:highlight w:val="none"/>
                <w:lang w:eastAsia="zh-CN"/>
              </w:rPr>
              <w:t>WZLCZB（Z）-2025-01034</w:t>
            </w:r>
          </w:p>
        </w:tc>
      </w:tr>
      <w:tr w14:paraId="40460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0" w:type="dxa"/>
            <w:vAlign w:val="center"/>
          </w:tcPr>
          <w:p w14:paraId="0782E122">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项 目 名 称：</w:t>
            </w:r>
          </w:p>
        </w:tc>
        <w:tc>
          <w:tcPr>
            <w:tcW w:w="5730" w:type="dxa"/>
            <w:vAlign w:val="center"/>
          </w:tcPr>
          <w:p w14:paraId="3C3268A7">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cs="宋体"/>
                <w:b w:val="0"/>
                <w:bCs w:val="0"/>
                <w:color w:val="auto"/>
                <w:sz w:val="30"/>
                <w:szCs w:val="30"/>
                <w:highlight w:val="none"/>
                <w:lang w:eastAsia="zh-CN"/>
              </w:rPr>
              <w:t>2024-2025年市区道路交通安全设施维护项目(第一期)</w:t>
            </w:r>
          </w:p>
        </w:tc>
      </w:tr>
      <w:tr w14:paraId="09F7D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0" w:type="dxa"/>
            <w:vAlign w:val="center"/>
          </w:tcPr>
          <w:p w14:paraId="48F37E20">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采 购 方 式：</w:t>
            </w:r>
          </w:p>
        </w:tc>
        <w:tc>
          <w:tcPr>
            <w:tcW w:w="5730" w:type="dxa"/>
            <w:vAlign w:val="center"/>
          </w:tcPr>
          <w:p w14:paraId="2C8A3857">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公开招标</w:t>
            </w:r>
          </w:p>
        </w:tc>
      </w:tr>
      <w:tr w14:paraId="6B750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80" w:type="dxa"/>
            <w:vAlign w:val="center"/>
          </w:tcPr>
          <w:p w14:paraId="53C618DC">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评 审 方 式：</w:t>
            </w:r>
          </w:p>
        </w:tc>
        <w:tc>
          <w:tcPr>
            <w:tcW w:w="5730" w:type="dxa"/>
            <w:vAlign w:val="center"/>
          </w:tcPr>
          <w:p w14:paraId="0D9C70EC">
            <w:pPr>
              <w:spacing w:line="700" w:lineRule="exact"/>
              <w:jc w:val="center"/>
              <w:rPr>
                <w:rFonts w:hint="eastAsia" w:ascii="宋体" w:hAnsi="宋体" w:eastAsia="宋体" w:cs="宋体"/>
                <w:b w:val="0"/>
                <w:bCs w:val="0"/>
                <w:color w:val="auto"/>
                <w:sz w:val="24"/>
                <w:highlight w:val="none"/>
                <w:vertAlign w:val="baseline"/>
              </w:rPr>
            </w:pPr>
            <w:r>
              <w:rPr>
                <w:rFonts w:hint="eastAsia" w:ascii="宋体" w:hAnsi="宋体" w:eastAsia="宋体" w:cs="宋体"/>
                <w:b w:val="0"/>
                <w:bCs w:val="0"/>
                <w:color w:val="auto"/>
                <w:spacing w:val="40"/>
                <w:sz w:val="30"/>
                <w:szCs w:val="30"/>
                <w:highlight w:val="none"/>
              </w:rPr>
              <w:t>线上电子招投标</w:t>
            </w:r>
          </w:p>
        </w:tc>
      </w:tr>
    </w:tbl>
    <w:p w14:paraId="095C9F02">
      <w:pPr>
        <w:spacing w:line="700" w:lineRule="exact"/>
        <w:ind w:firstLine="723" w:firstLineChars="300"/>
        <w:jc w:val="left"/>
        <w:rPr>
          <w:rFonts w:hint="eastAsia" w:ascii="宋体" w:hAnsi="宋体" w:eastAsia="宋体" w:cs="宋体"/>
          <w:b/>
          <w:bCs/>
          <w:color w:val="auto"/>
          <w:sz w:val="24"/>
          <w:highlight w:val="none"/>
        </w:rPr>
      </w:pPr>
    </w:p>
    <w:p w14:paraId="6D2220B6">
      <w:pPr>
        <w:spacing w:line="700" w:lineRule="exact"/>
        <w:ind w:firstLine="904" w:firstLineChars="300"/>
        <w:jc w:val="left"/>
        <w:rPr>
          <w:rFonts w:hint="eastAsia" w:ascii="宋体" w:hAnsi="宋体" w:eastAsia="宋体" w:cs="宋体"/>
          <w:b/>
          <w:color w:val="auto"/>
          <w:spacing w:val="40"/>
          <w:sz w:val="30"/>
          <w:szCs w:val="30"/>
          <w:highlight w:val="none"/>
        </w:rPr>
      </w:pPr>
      <w:r>
        <w:rPr>
          <w:rFonts w:hint="eastAsia" w:ascii="宋体" w:hAnsi="宋体" w:eastAsia="宋体" w:cs="宋体"/>
          <w:b/>
          <w:bCs/>
          <w:color w:val="auto"/>
          <w:sz w:val="30"/>
          <w:szCs w:val="30"/>
          <w:highlight w:val="none"/>
          <w:lang w:eastAsia="zh-CN"/>
        </w:rPr>
        <w:t xml:space="preserve">   </w:t>
      </w:r>
      <w:r>
        <w:rPr>
          <w:rFonts w:hint="eastAsia" w:ascii="宋体" w:hAnsi="宋体" w:eastAsia="宋体" w:cs="宋体"/>
          <w:b/>
          <w:bCs/>
          <w:color w:val="auto"/>
          <w:sz w:val="30"/>
          <w:szCs w:val="30"/>
          <w:highlight w:val="none"/>
        </w:rPr>
        <w:t xml:space="preserve">  </w:t>
      </w:r>
    </w:p>
    <w:p w14:paraId="33914871">
      <w:pPr>
        <w:spacing w:line="700" w:lineRule="exact"/>
        <w:ind w:left="3802" w:leftChars="540" w:hanging="2668" w:hangingChars="700"/>
        <w:rPr>
          <w:rFonts w:hint="eastAsia" w:ascii="宋体" w:hAnsi="宋体" w:eastAsia="宋体" w:cs="宋体"/>
          <w:b/>
          <w:color w:val="auto"/>
          <w:spacing w:val="40"/>
          <w:sz w:val="30"/>
          <w:szCs w:val="30"/>
          <w:highlight w:val="none"/>
        </w:rPr>
      </w:pPr>
    </w:p>
    <w:p w14:paraId="75517D4A">
      <w:pPr>
        <w:keepNext/>
        <w:spacing w:line="700" w:lineRule="exact"/>
        <w:rPr>
          <w:rFonts w:hint="eastAsia" w:ascii="宋体" w:hAnsi="宋体" w:eastAsia="宋体" w:cs="宋体"/>
          <w:color w:val="auto"/>
          <w:spacing w:val="40"/>
          <w:sz w:val="30"/>
          <w:szCs w:val="30"/>
          <w:highlight w:val="none"/>
        </w:rPr>
      </w:pPr>
      <w:r>
        <w:rPr>
          <w:rFonts w:hint="eastAsia" w:ascii="宋体" w:hAnsi="宋体" w:eastAsia="宋体" w:cs="宋体"/>
          <w:b/>
          <w:color w:val="auto"/>
          <w:spacing w:val="40"/>
          <w:sz w:val="30"/>
          <w:szCs w:val="30"/>
          <w:highlight w:val="none"/>
        </w:rPr>
        <w:t xml:space="preserve">    </w:t>
      </w:r>
    </w:p>
    <w:p w14:paraId="0028AA68">
      <w:pPr>
        <w:spacing w:line="600" w:lineRule="exact"/>
        <w:jc w:val="center"/>
        <w:rPr>
          <w:rFonts w:hint="eastAsia" w:ascii="宋体" w:hAnsi="宋体" w:eastAsia="宋体" w:cs="宋体"/>
          <w:color w:val="auto"/>
          <w:spacing w:val="30"/>
          <w:sz w:val="30"/>
          <w:highlight w:val="none"/>
          <w:lang w:eastAsia="zh-CN"/>
        </w:rPr>
      </w:pPr>
      <w:r>
        <w:rPr>
          <w:rFonts w:hint="eastAsia" w:ascii="宋体" w:hAnsi="宋体" w:eastAsia="宋体" w:cs="宋体"/>
          <w:color w:val="auto"/>
          <w:spacing w:val="30"/>
          <w:sz w:val="30"/>
          <w:highlight w:val="none"/>
        </w:rPr>
        <w:t>招 标 人:</w:t>
      </w:r>
      <w:r>
        <w:rPr>
          <w:rFonts w:hint="eastAsia" w:ascii="宋体" w:hAnsi="宋体" w:cs="宋体"/>
          <w:color w:val="auto"/>
          <w:spacing w:val="30"/>
          <w:sz w:val="30"/>
          <w:highlight w:val="none"/>
          <w:lang w:eastAsia="zh-CN"/>
        </w:rPr>
        <w:t>温州市公安局交通管理局</w:t>
      </w:r>
    </w:p>
    <w:p w14:paraId="76EAFD3C">
      <w:pPr>
        <w:spacing w:line="600" w:lineRule="exact"/>
        <w:jc w:val="center"/>
        <w:rPr>
          <w:rFonts w:hint="eastAsia" w:ascii="宋体" w:hAnsi="宋体" w:eastAsia="宋体" w:cs="宋体"/>
          <w:color w:val="auto"/>
          <w:spacing w:val="30"/>
          <w:sz w:val="30"/>
          <w:highlight w:val="none"/>
        </w:rPr>
      </w:pPr>
      <w:r>
        <w:rPr>
          <w:rFonts w:hint="eastAsia" w:ascii="宋体" w:hAnsi="宋体" w:eastAsia="宋体" w:cs="宋体"/>
          <w:color w:val="auto"/>
          <w:spacing w:val="30"/>
          <w:sz w:val="30"/>
          <w:highlight w:val="none"/>
        </w:rPr>
        <w:t>招标代理机构：温州历程招标有限公司</w:t>
      </w:r>
    </w:p>
    <w:p w14:paraId="1119B3E6">
      <w:pPr>
        <w:spacing w:line="600" w:lineRule="exact"/>
        <w:jc w:val="center"/>
        <w:rPr>
          <w:rFonts w:hint="eastAsia" w:ascii="宋体" w:hAnsi="宋体" w:eastAsia="宋体" w:cs="宋体"/>
          <w:color w:val="auto"/>
          <w:spacing w:val="30"/>
          <w:sz w:val="30"/>
          <w:highlight w:val="none"/>
        </w:rPr>
      </w:pPr>
      <w:r>
        <w:rPr>
          <w:rFonts w:hint="eastAsia" w:ascii="宋体" w:hAnsi="宋体" w:eastAsia="宋体" w:cs="宋体"/>
          <w:color w:val="auto"/>
          <w:spacing w:val="30"/>
          <w:sz w:val="30"/>
          <w:highlight w:val="none"/>
        </w:rPr>
        <w:t>二0二</w:t>
      </w:r>
      <w:r>
        <w:rPr>
          <w:rFonts w:hint="eastAsia" w:ascii="宋体" w:hAnsi="宋体" w:cs="宋体"/>
          <w:color w:val="auto"/>
          <w:spacing w:val="30"/>
          <w:sz w:val="30"/>
          <w:highlight w:val="none"/>
          <w:lang w:val="en-US" w:eastAsia="zh-CN"/>
        </w:rPr>
        <w:t>五</w:t>
      </w:r>
      <w:r>
        <w:rPr>
          <w:rFonts w:hint="eastAsia" w:ascii="宋体" w:hAnsi="宋体" w:eastAsia="宋体" w:cs="宋体"/>
          <w:color w:val="auto"/>
          <w:spacing w:val="30"/>
          <w:sz w:val="30"/>
          <w:highlight w:val="none"/>
        </w:rPr>
        <w:t>年</w:t>
      </w:r>
    </w:p>
    <w:p w14:paraId="16E4A519">
      <w:pPr>
        <w:rPr>
          <w:rFonts w:hint="eastAsia"/>
          <w:color w:val="auto"/>
          <w:highlight w:val="none"/>
        </w:rPr>
      </w:pPr>
      <w:r>
        <w:rPr>
          <w:rFonts w:hint="eastAsia" w:ascii="宋体" w:hAnsi="宋体" w:eastAsia="宋体" w:cs="宋体"/>
          <w:b/>
          <w:color w:val="auto"/>
          <w:sz w:val="36"/>
          <w:szCs w:val="36"/>
          <w:highlight w:val="none"/>
        </w:rPr>
        <w:br w:type="page"/>
      </w:r>
    </w:p>
    <w:sdt>
      <w:sdtPr>
        <w:rPr>
          <w:rFonts w:hint="eastAsia" w:ascii="宋体" w:hAnsi="宋体" w:eastAsia="宋体" w:cs="宋体"/>
          <w:color w:val="auto"/>
          <w:kern w:val="2"/>
          <w:sz w:val="21"/>
          <w:szCs w:val="24"/>
          <w:highlight w:val="none"/>
          <w:lang w:val="en-US" w:eastAsia="zh-CN" w:bidi="ar-SA"/>
        </w:rPr>
        <w:id w:val="147459729"/>
        <w15:color w:val="DBDBDB"/>
        <w:docPartObj>
          <w:docPartGallery w:val="Table of Contents"/>
          <w:docPartUnique/>
        </w:docPartObj>
      </w:sdtPr>
      <w:sdtEndPr>
        <w:rPr>
          <w:rFonts w:hint="eastAsia" w:ascii="宋体" w:hAnsi="宋体" w:eastAsia="宋体" w:cs="宋体"/>
          <w:color w:val="auto"/>
          <w:kern w:val="2"/>
          <w:sz w:val="21"/>
          <w:szCs w:val="36"/>
          <w:highlight w:val="none"/>
          <w:lang w:val="en-US" w:eastAsia="zh-CN" w:bidi="ar-SA"/>
        </w:rPr>
      </w:sdtEndPr>
      <w:sdtContent>
        <w:p w14:paraId="68011FBE">
          <w:pPr>
            <w:spacing w:before="0" w:beforeLines="0" w:after="0" w:afterLines="0" w:line="240" w:lineRule="auto"/>
            <w:ind w:left="0" w:leftChars="0" w:right="0" w:rightChars="0" w:firstLine="0" w:firstLineChars="0"/>
            <w:jc w:val="center"/>
            <w:rPr>
              <w:rFonts w:hint="eastAsia" w:ascii="宋体" w:hAnsi="宋体" w:eastAsia="宋体" w:cs="宋体"/>
              <w:color w:val="auto"/>
              <w:highlight w:val="none"/>
            </w:rPr>
          </w:pPr>
        </w:p>
        <w:p w14:paraId="157DE630">
          <w:pPr>
            <w:pStyle w:val="37"/>
            <w:tabs>
              <w:tab w:val="right" w:leader="dot" w:pos="9638"/>
            </w:tabs>
            <w:spacing w:line="360" w:lineRule="auto"/>
            <w:jc w:val="center"/>
            <w:rPr>
              <w:rFonts w:hint="eastAsia"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lang w:val="en-US" w:eastAsia="zh-CN"/>
            </w:rPr>
            <w:t>目  录</w:t>
          </w:r>
        </w:p>
        <w:p w14:paraId="197A6972">
          <w:pPr>
            <w:pStyle w:val="37"/>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b/>
              <w:color w:val="auto"/>
              <w:sz w:val="40"/>
              <w:szCs w:val="40"/>
              <w:highlight w:val="none"/>
            </w:rPr>
            <w:fldChar w:fldCharType="begin"/>
          </w:r>
          <w:r>
            <w:rPr>
              <w:rFonts w:hint="eastAsia" w:ascii="宋体" w:hAnsi="宋体" w:eastAsia="宋体" w:cs="宋体"/>
              <w:b/>
              <w:color w:val="auto"/>
              <w:sz w:val="40"/>
              <w:szCs w:val="40"/>
              <w:highlight w:val="none"/>
            </w:rPr>
            <w:instrText xml:space="preserve">TOC \o "1-3" \h \u </w:instrText>
          </w:r>
          <w:r>
            <w:rPr>
              <w:rFonts w:hint="eastAsia" w:ascii="宋体" w:hAnsi="宋体" w:eastAsia="宋体" w:cs="宋体"/>
              <w:b/>
              <w:color w:val="auto"/>
              <w:sz w:val="40"/>
              <w:szCs w:val="40"/>
              <w:highlight w:val="none"/>
            </w:rPr>
            <w:fldChar w:fldCharType="separate"/>
          </w: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_Toc19962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highlight w:val="none"/>
            </w:rPr>
            <w:t>招</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标</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公</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告</w:t>
          </w:r>
          <w:r>
            <w:rPr>
              <w:color w:val="auto"/>
              <w:highlight w:val="none"/>
            </w:rPr>
            <w:tab/>
          </w:r>
          <w:r>
            <w:rPr>
              <w:color w:val="auto"/>
              <w:highlight w:val="none"/>
            </w:rPr>
            <w:fldChar w:fldCharType="begin"/>
          </w:r>
          <w:r>
            <w:rPr>
              <w:color w:val="auto"/>
              <w:highlight w:val="none"/>
            </w:rPr>
            <w:instrText xml:space="preserve"> PAGEREF _Toc19962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szCs w:val="40"/>
              <w:highlight w:val="none"/>
            </w:rPr>
            <w:fldChar w:fldCharType="end"/>
          </w:r>
        </w:p>
        <w:p w14:paraId="19D31AA0">
          <w:pPr>
            <w:pStyle w:val="37"/>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_Toc1324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highlight w:val="none"/>
            </w:rPr>
            <w:t>第一部分    投标人须知</w:t>
          </w:r>
          <w:r>
            <w:rPr>
              <w:color w:val="auto"/>
              <w:highlight w:val="none"/>
            </w:rPr>
            <w:tab/>
          </w:r>
          <w:r>
            <w:rPr>
              <w:color w:val="auto"/>
              <w:highlight w:val="none"/>
            </w:rPr>
            <w:fldChar w:fldCharType="begin"/>
          </w:r>
          <w:r>
            <w:rPr>
              <w:color w:val="auto"/>
              <w:highlight w:val="none"/>
            </w:rPr>
            <w:instrText xml:space="preserve"> PAGEREF _Toc1324 \h </w:instrText>
          </w:r>
          <w:r>
            <w:rPr>
              <w:color w:val="auto"/>
              <w:highlight w:val="none"/>
            </w:rPr>
            <w:fldChar w:fldCharType="separate"/>
          </w:r>
          <w:r>
            <w:rPr>
              <w:color w:val="auto"/>
              <w:highlight w:val="none"/>
            </w:rPr>
            <w:t>8</w:t>
          </w:r>
          <w:r>
            <w:rPr>
              <w:color w:val="auto"/>
              <w:highlight w:val="none"/>
            </w:rPr>
            <w:fldChar w:fldCharType="end"/>
          </w:r>
          <w:r>
            <w:rPr>
              <w:rFonts w:hint="eastAsia" w:ascii="宋体" w:hAnsi="宋体" w:eastAsia="宋体" w:cs="宋体"/>
              <w:color w:val="auto"/>
              <w:szCs w:val="40"/>
              <w:highlight w:val="none"/>
            </w:rPr>
            <w:fldChar w:fldCharType="end"/>
          </w:r>
        </w:p>
        <w:p w14:paraId="5FC0592C">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_Toc20043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highlight w:val="none"/>
            </w:rPr>
            <w:t>前 附 表</w:t>
          </w:r>
          <w:r>
            <w:rPr>
              <w:color w:val="auto"/>
              <w:highlight w:val="none"/>
            </w:rPr>
            <w:tab/>
          </w:r>
          <w:r>
            <w:rPr>
              <w:color w:val="auto"/>
              <w:highlight w:val="none"/>
            </w:rPr>
            <w:fldChar w:fldCharType="begin"/>
          </w:r>
          <w:r>
            <w:rPr>
              <w:color w:val="auto"/>
              <w:highlight w:val="none"/>
            </w:rPr>
            <w:instrText xml:space="preserve"> PAGEREF _Toc20043 \h </w:instrText>
          </w:r>
          <w:r>
            <w:rPr>
              <w:color w:val="auto"/>
              <w:highlight w:val="none"/>
            </w:rPr>
            <w:fldChar w:fldCharType="separate"/>
          </w:r>
          <w:r>
            <w:rPr>
              <w:color w:val="auto"/>
              <w:highlight w:val="none"/>
            </w:rPr>
            <w:t>8</w:t>
          </w:r>
          <w:r>
            <w:rPr>
              <w:color w:val="auto"/>
              <w:highlight w:val="none"/>
            </w:rPr>
            <w:fldChar w:fldCharType="end"/>
          </w:r>
          <w:r>
            <w:rPr>
              <w:rFonts w:hint="eastAsia" w:ascii="宋体" w:hAnsi="宋体" w:eastAsia="宋体" w:cs="宋体"/>
              <w:color w:val="auto"/>
              <w:szCs w:val="40"/>
              <w:highlight w:val="none"/>
            </w:rPr>
            <w:fldChar w:fldCharType="end"/>
          </w:r>
        </w:p>
        <w:p w14:paraId="23787934">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_Toc8381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6"/>
              <w:highlight w:val="none"/>
            </w:rPr>
            <w:t>一、 说   明</w:t>
          </w:r>
          <w:r>
            <w:rPr>
              <w:color w:val="auto"/>
              <w:highlight w:val="none"/>
            </w:rPr>
            <w:tab/>
          </w:r>
          <w:r>
            <w:rPr>
              <w:color w:val="auto"/>
              <w:highlight w:val="none"/>
            </w:rPr>
            <w:fldChar w:fldCharType="begin"/>
          </w:r>
          <w:r>
            <w:rPr>
              <w:color w:val="auto"/>
              <w:highlight w:val="none"/>
            </w:rPr>
            <w:instrText xml:space="preserve"> PAGEREF _Toc8381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40"/>
              <w:highlight w:val="none"/>
            </w:rPr>
            <w:fldChar w:fldCharType="end"/>
          </w:r>
        </w:p>
        <w:p w14:paraId="18B77E0C">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_Toc29225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6"/>
              <w:highlight w:val="none"/>
            </w:rPr>
            <w:t>二、 招标文件</w:t>
          </w:r>
          <w:r>
            <w:rPr>
              <w:color w:val="auto"/>
              <w:highlight w:val="none"/>
            </w:rPr>
            <w:tab/>
          </w:r>
          <w:r>
            <w:rPr>
              <w:color w:val="auto"/>
              <w:highlight w:val="none"/>
            </w:rPr>
            <w:fldChar w:fldCharType="begin"/>
          </w:r>
          <w:r>
            <w:rPr>
              <w:color w:val="auto"/>
              <w:highlight w:val="none"/>
            </w:rPr>
            <w:instrText xml:space="preserve"> PAGEREF _Toc29225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eastAsia="宋体" w:cs="宋体"/>
              <w:color w:val="auto"/>
              <w:szCs w:val="40"/>
              <w:highlight w:val="none"/>
            </w:rPr>
            <w:fldChar w:fldCharType="end"/>
          </w:r>
        </w:p>
        <w:p w14:paraId="679C0BD3">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_Toc27916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6"/>
              <w:highlight w:val="none"/>
            </w:rPr>
            <w:t>三、 投标文件的编制</w:t>
          </w:r>
          <w:r>
            <w:rPr>
              <w:color w:val="auto"/>
              <w:highlight w:val="none"/>
            </w:rPr>
            <w:tab/>
          </w:r>
          <w:r>
            <w:rPr>
              <w:color w:val="auto"/>
              <w:highlight w:val="none"/>
            </w:rPr>
            <w:fldChar w:fldCharType="begin"/>
          </w:r>
          <w:r>
            <w:rPr>
              <w:color w:val="auto"/>
              <w:highlight w:val="none"/>
            </w:rPr>
            <w:instrText xml:space="preserve"> PAGEREF _Toc27916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eastAsia="宋体" w:cs="宋体"/>
              <w:color w:val="auto"/>
              <w:szCs w:val="40"/>
              <w:highlight w:val="none"/>
            </w:rPr>
            <w:fldChar w:fldCharType="end"/>
          </w:r>
        </w:p>
        <w:p w14:paraId="716B60E9">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_Toc4771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2"/>
              <w:highlight w:val="none"/>
            </w:rPr>
            <w:t>四、 投标文件的递交</w:t>
          </w:r>
          <w:r>
            <w:rPr>
              <w:color w:val="auto"/>
              <w:highlight w:val="none"/>
            </w:rPr>
            <w:tab/>
          </w:r>
          <w:r>
            <w:rPr>
              <w:color w:val="auto"/>
              <w:highlight w:val="none"/>
            </w:rPr>
            <w:fldChar w:fldCharType="begin"/>
          </w:r>
          <w:r>
            <w:rPr>
              <w:color w:val="auto"/>
              <w:highlight w:val="none"/>
            </w:rPr>
            <w:instrText xml:space="preserve"> PAGEREF _Toc4771 \h </w:instrText>
          </w:r>
          <w:r>
            <w:rPr>
              <w:color w:val="auto"/>
              <w:highlight w:val="none"/>
            </w:rPr>
            <w:fldChar w:fldCharType="separate"/>
          </w:r>
          <w:r>
            <w:rPr>
              <w:color w:val="auto"/>
              <w:highlight w:val="none"/>
            </w:rPr>
            <w:t>17</w:t>
          </w:r>
          <w:r>
            <w:rPr>
              <w:color w:val="auto"/>
              <w:highlight w:val="none"/>
            </w:rPr>
            <w:fldChar w:fldCharType="end"/>
          </w:r>
          <w:r>
            <w:rPr>
              <w:rFonts w:hint="eastAsia" w:ascii="宋体" w:hAnsi="宋体" w:eastAsia="宋体" w:cs="宋体"/>
              <w:color w:val="auto"/>
              <w:szCs w:val="40"/>
              <w:highlight w:val="none"/>
            </w:rPr>
            <w:fldChar w:fldCharType="end"/>
          </w:r>
        </w:p>
        <w:p w14:paraId="66482763">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_Toc29709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2"/>
              <w:highlight w:val="none"/>
            </w:rPr>
            <w:t>五、 开标和评标</w:t>
          </w:r>
          <w:r>
            <w:rPr>
              <w:color w:val="auto"/>
              <w:highlight w:val="none"/>
            </w:rPr>
            <w:tab/>
          </w:r>
          <w:r>
            <w:rPr>
              <w:color w:val="auto"/>
              <w:highlight w:val="none"/>
            </w:rPr>
            <w:fldChar w:fldCharType="begin"/>
          </w:r>
          <w:r>
            <w:rPr>
              <w:color w:val="auto"/>
              <w:highlight w:val="none"/>
            </w:rPr>
            <w:instrText xml:space="preserve"> PAGEREF _Toc29709 \h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eastAsia="宋体" w:cs="宋体"/>
              <w:color w:val="auto"/>
              <w:szCs w:val="40"/>
              <w:highlight w:val="none"/>
            </w:rPr>
            <w:fldChar w:fldCharType="end"/>
          </w:r>
        </w:p>
        <w:p w14:paraId="72EF36C5">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_Toc23154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6"/>
              <w:highlight w:val="none"/>
            </w:rPr>
            <w:t>六、 授予合同</w:t>
          </w:r>
          <w:r>
            <w:rPr>
              <w:color w:val="auto"/>
              <w:highlight w:val="none"/>
            </w:rPr>
            <w:tab/>
          </w:r>
          <w:r>
            <w:rPr>
              <w:color w:val="auto"/>
              <w:highlight w:val="none"/>
            </w:rPr>
            <w:fldChar w:fldCharType="begin"/>
          </w:r>
          <w:r>
            <w:rPr>
              <w:color w:val="auto"/>
              <w:highlight w:val="none"/>
            </w:rPr>
            <w:instrText xml:space="preserve"> PAGEREF _Toc23154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eastAsia="宋体" w:cs="宋体"/>
              <w:color w:val="auto"/>
              <w:szCs w:val="40"/>
              <w:highlight w:val="none"/>
            </w:rPr>
            <w:fldChar w:fldCharType="end"/>
          </w:r>
        </w:p>
        <w:p w14:paraId="4AE1D02D">
          <w:pPr>
            <w:pStyle w:val="37"/>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_Toc17349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highlight w:val="none"/>
            </w:rPr>
            <w:t>第二部分    合同主要条款</w:t>
          </w:r>
          <w:r>
            <w:rPr>
              <w:color w:val="auto"/>
              <w:highlight w:val="none"/>
            </w:rPr>
            <w:tab/>
          </w:r>
          <w:r>
            <w:rPr>
              <w:color w:val="auto"/>
              <w:highlight w:val="none"/>
            </w:rPr>
            <w:fldChar w:fldCharType="begin"/>
          </w:r>
          <w:r>
            <w:rPr>
              <w:color w:val="auto"/>
              <w:highlight w:val="none"/>
            </w:rPr>
            <w:instrText xml:space="preserve"> PAGEREF _Toc17349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40"/>
              <w:highlight w:val="none"/>
            </w:rPr>
            <w:fldChar w:fldCharType="end"/>
          </w:r>
        </w:p>
        <w:p w14:paraId="116B6636">
          <w:pPr>
            <w:pStyle w:val="37"/>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_Toc15605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highlight w:val="none"/>
            </w:rPr>
            <w:t>第三部分    附件</w:t>
          </w:r>
          <w:r>
            <w:rPr>
              <w:color w:val="auto"/>
              <w:highlight w:val="none"/>
            </w:rPr>
            <w:tab/>
          </w:r>
          <w:r>
            <w:rPr>
              <w:color w:val="auto"/>
              <w:highlight w:val="none"/>
            </w:rPr>
            <w:fldChar w:fldCharType="begin"/>
          </w:r>
          <w:r>
            <w:rPr>
              <w:color w:val="auto"/>
              <w:highlight w:val="none"/>
            </w:rPr>
            <w:instrText xml:space="preserve"> PAGEREF _Toc15605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color w:val="auto"/>
              <w:szCs w:val="40"/>
              <w:highlight w:val="none"/>
            </w:rPr>
            <w:fldChar w:fldCharType="end"/>
          </w:r>
        </w:p>
        <w:p w14:paraId="39B3C73F">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_Toc20958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highlight w:val="none"/>
            </w:rPr>
            <w:t>附件一</w:t>
          </w:r>
          <w:r>
            <w:rPr>
              <w:color w:val="auto"/>
              <w:highlight w:val="none"/>
            </w:rPr>
            <w:tab/>
          </w:r>
          <w:r>
            <w:rPr>
              <w:color w:val="auto"/>
              <w:highlight w:val="none"/>
            </w:rPr>
            <w:fldChar w:fldCharType="begin"/>
          </w:r>
          <w:r>
            <w:rPr>
              <w:color w:val="auto"/>
              <w:highlight w:val="none"/>
            </w:rPr>
            <w:instrText xml:space="preserve"> PAGEREF _Toc20958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color w:val="auto"/>
              <w:szCs w:val="40"/>
              <w:highlight w:val="none"/>
            </w:rPr>
            <w:fldChar w:fldCharType="end"/>
          </w:r>
        </w:p>
        <w:p w14:paraId="09EE09A0">
          <w:pPr>
            <w:pStyle w:val="27"/>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_Toc29156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8"/>
              <w:highlight w:val="none"/>
            </w:rPr>
            <w:t>报价文件</w:t>
          </w:r>
          <w:r>
            <w:rPr>
              <w:color w:val="auto"/>
              <w:highlight w:val="none"/>
            </w:rPr>
            <w:tab/>
          </w:r>
          <w:r>
            <w:rPr>
              <w:color w:val="auto"/>
              <w:highlight w:val="none"/>
            </w:rPr>
            <w:fldChar w:fldCharType="begin"/>
          </w:r>
          <w:r>
            <w:rPr>
              <w:color w:val="auto"/>
              <w:highlight w:val="none"/>
            </w:rPr>
            <w:instrText xml:space="preserve"> PAGEREF _Toc29156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color w:val="auto"/>
              <w:szCs w:val="40"/>
              <w:highlight w:val="none"/>
            </w:rPr>
            <w:fldChar w:fldCharType="end"/>
          </w:r>
        </w:p>
        <w:p w14:paraId="7500840A">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_Toc5376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szCs w:val="22"/>
              <w:highlight w:val="none"/>
            </w:rPr>
            <w:t>附件二</w:t>
          </w:r>
          <w:r>
            <w:rPr>
              <w:color w:val="auto"/>
              <w:highlight w:val="none"/>
            </w:rPr>
            <w:tab/>
          </w:r>
          <w:r>
            <w:rPr>
              <w:color w:val="auto"/>
              <w:highlight w:val="none"/>
            </w:rPr>
            <w:fldChar w:fldCharType="begin"/>
          </w:r>
          <w:r>
            <w:rPr>
              <w:color w:val="auto"/>
              <w:highlight w:val="none"/>
            </w:rPr>
            <w:instrText xml:space="preserve"> PAGEREF _Toc5376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eastAsia="宋体" w:cs="宋体"/>
              <w:color w:val="auto"/>
              <w:szCs w:val="40"/>
              <w:highlight w:val="none"/>
            </w:rPr>
            <w:fldChar w:fldCharType="end"/>
          </w:r>
        </w:p>
        <w:p w14:paraId="47BFBD5C">
          <w:pPr>
            <w:pStyle w:val="27"/>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_Toc983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32"/>
              <w:highlight w:val="none"/>
            </w:rPr>
            <w:t>资格证明文件</w:t>
          </w:r>
          <w:r>
            <w:rPr>
              <w:color w:val="auto"/>
              <w:highlight w:val="none"/>
            </w:rPr>
            <w:tab/>
          </w:r>
          <w:r>
            <w:rPr>
              <w:color w:val="auto"/>
              <w:highlight w:val="none"/>
            </w:rPr>
            <w:fldChar w:fldCharType="begin"/>
          </w:r>
          <w:r>
            <w:rPr>
              <w:color w:val="auto"/>
              <w:highlight w:val="none"/>
            </w:rPr>
            <w:instrText xml:space="preserve"> PAGEREF _Toc983 \h </w:instrText>
          </w:r>
          <w:r>
            <w:rPr>
              <w:color w:val="auto"/>
              <w:highlight w:val="none"/>
            </w:rPr>
            <w:fldChar w:fldCharType="separate"/>
          </w:r>
          <w:r>
            <w:rPr>
              <w:color w:val="auto"/>
              <w:highlight w:val="none"/>
            </w:rPr>
            <w:t>46</w:t>
          </w:r>
          <w:r>
            <w:rPr>
              <w:color w:val="auto"/>
              <w:highlight w:val="none"/>
            </w:rPr>
            <w:fldChar w:fldCharType="end"/>
          </w:r>
          <w:r>
            <w:rPr>
              <w:rFonts w:hint="eastAsia" w:ascii="宋体" w:hAnsi="宋体" w:eastAsia="宋体" w:cs="宋体"/>
              <w:color w:val="auto"/>
              <w:szCs w:val="40"/>
              <w:highlight w:val="none"/>
            </w:rPr>
            <w:fldChar w:fldCharType="end"/>
          </w:r>
        </w:p>
        <w:p w14:paraId="399DC5FE">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_Toc18884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2"/>
              <w:highlight w:val="none"/>
            </w:rPr>
            <w:t>附件三</w:t>
          </w:r>
          <w:r>
            <w:rPr>
              <w:color w:val="auto"/>
              <w:highlight w:val="none"/>
            </w:rPr>
            <w:tab/>
          </w:r>
          <w:r>
            <w:rPr>
              <w:color w:val="auto"/>
              <w:highlight w:val="none"/>
            </w:rPr>
            <w:fldChar w:fldCharType="begin"/>
          </w:r>
          <w:r>
            <w:rPr>
              <w:color w:val="auto"/>
              <w:highlight w:val="none"/>
            </w:rPr>
            <w:instrText xml:space="preserve"> PAGEREF _Toc18884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eastAsia="宋体" w:cs="宋体"/>
              <w:color w:val="auto"/>
              <w:szCs w:val="40"/>
              <w:highlight w:val="none"/>
            </w:rPr>
            <w:fldChar w:fldCharType="end"/>
          </w:r>
        </w:p>
        <w:p w14:paraId="2BD1F9F3">
          <w:pPr>
            <w:pStyle w:val="27"/>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_Toc12246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8"/>
              <w:highlight w:val="none"/>
              <w:lang w:val="zh-CN"/>
            </w:rPr>
            <w:t>商务技术文件</w:t>
          </w:r>
          <w:r>
            <w:rPr>
              <w:color w:val="auto"/>
              <w:highlight w:val="none"/>
            </w:rPr>
            <w:tab/>
          </w:r>
          <w:r>
            <w:rPr>
              <w:color w:val="auto"/>
              <w:highlight w:val="none"/>
            </w:rPr>
            <w:fldChar w:fldCharType="begin"/>
          </w:r>
          <w:r>
            <w:rPr>
              <w:color w:val="auto"/>
              <w:highlight w:val="none"/>
            </w:rPr>
            <w:instrText xml:space="preserve"> PAGEREF _Toc12246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eastAsia="宋体" w:cs="宋体"/>
              <w:color w:val="auto"/>
              <w:szCs w:val="40"/>
              <w:highlight w:val="none"/>
            </w:rPr>
            <w:fldChar w:fldCharType="end"/>
          </w:r>
        </w:p>
        <w:p w14:paraId="2D027F85">
          <w:pPr>
            <w:pStyle w:val="37"/>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_Toc18561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kern w:val="2"/>
              <w:szCs w:val="20"/>
              <w:highlight w:val="none"/>
              <w:lang w:val="en-US" w:eastAsia="zh-CN" w:bidi="ar-SA"/>
            </w:rPr>
            <w:t>第四部分</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项目技术规范和服务要求</w:t>
          </w:r>
          <w:r>
            <w:rPr>
              <w:color w:val="auto"/>
              <w:highlight w:val="none"/>
            </w:rPr>
            <w:tab/>
          </w:r>
          <w:r>
            <w:rPr>
              <w:color w:val="auto"/>
              <w:highlight w:val="none"/>
            </w:rPr>
            <w:fldChar w:fldCharType="begin"/>
          </w:r>
          <w:r>
            <w:rPr>
              <w:color w:val="auto"/>
              <w:highlight w:val="none"/>
            </w:rPr>
            <w:instrText xml:space="preserve"> PAGEREF _Toc18561 \h </w:instrText>
          </w:r>
          <w:r>
            <w:rPr>
              <w:color w:val="auto"/>
              <w:highlight w:val="none"/>
            </w:rPr>
            <w:fldChar w:fldCharType="separate"/>
          </w:r>
          <w:r>
            <w:rPr>
              <w:color w:val="auto"/>
              <w:highlight w:val="none"/>
            </w:rPr>
            <w:t>73</w:t>
          </w:r>
          <w:r>
            <w:rPr>
              <w:color w:val="auto"/>
              <w:highlight w:val="none"/>
            </w:rPr>
            <w:fldChar w:fldCharType="end"/>
          </w:r>
          <w:r>
            <w:rPr>
              <w:rFonts w:hint="eastAsia" w:ascii="宋体" w:hAnsi="宋体" w:eastAsia="宋体" w:cs="宋体"/>
              <w:color w:val="auto"/>
              <w:szCs w:val="40"/>
              <w:highlight w:val="none"/>
            </w:rPr>
            <w:fldChar w:fldCharType="end"/>
          </w:r>
        </w:p>
        <w:p w14:paraId="5752EFCC">
          <w:pPr>
            <w:pStyle w:val="37"/>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_Toc23518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highlight w:val="none"/>
            </w:rPr>
            <w:t>第五部分   评标原则及方法</w:t>
          </w:r>
          <w:r>
            <w:rPr>
              <w:color w:val="auto"/>
              <w:highlight w:val="none"/>
            </w:rPr>
            <w:tab/>
          </w:r>
          <w:r>
            <w:rPr>
              <w:color w:val="auto"/>
              <w:highlight w:val="none"/>
            </w:rPr>
            <w:fldChar w:fldCharType="begin"/>
          </w:r>
          <w:r>
            <w:rPr>
              <w:color w:val="auto"/>
              <w:highlight w:val="none"/>
            </w:rPr>
            <w:instrText xml:space="preserve"> PAGEREF _Toc23518 \h </w:instrText>
          </w:r>
          <w:r>
            <w:rPr>
              <w:color w:val="auto"/>
              <w:highlight w:val="none"/>
            </w:rPr>
            <w:fldChar w:fldCharType="separate"/>
          </w:r>
          <w:r>
            <w:rPr>
              <w:color w:val="auto"/>
              <w:highlight w:val="none"/>
            </w:rPr>
            <w:t>208</w:t>
          </w:r>
          <w:r>
            <w:rPr>
              <w:color w:val="auto"/>
              <w:highlight w:val="none"/>
            </w:rPr>
            <w:fldChar w:fldCharType="end"/>
          </w:r>
          <w:r>
            <w:rPr>
              <w:rFonts w:hint="eastAsia" w:ascii="宋体" w:hAnsi="宋体" w:eastAsia="宋体" w:cs="宋体"/>
              <w:color w:val="auto"/>
              <w:szCs w:val="40"/>
              <w:highlight w:val="none"/>
            </w:rPr>
            <w:fldChar w:fldCharType="end"/>
          </w:r>
        </w:p>
        <w:p w14:paraId="1C406B6C">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_Toc18098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szCs w:val="22"/>
              <w:highlight w:val="none"/>
            </w:rPr>
            <w:t>一、总 则</w:t>
          </w:r>
          <w:r>
            <w:rPr>
              <w:color w:val="auto"/>
              <w:highlight w:val="none"/>
            </w:rPr>
            <w:tab/>
          </w:r>
          <w:r>
            <w:rPr>
              <w:color w:val="auto"/>
              <w:highlight w:val="none"/>
            </w:rPr>
            <w:fldChar w:fldCharType="begin"/>
          </w:r>
          <w:r>
            <w:rPr>
              <w:color w:val="auto"/>
              <w:highlight w:val="none"/>
            </w:rPr>
            <w:instrText xml:space="preserve"> PAGEREF _Toc18098 \h </w:instrText>
          </w:r>
          <w:r>
            <w:rPr>
              <w:color w:val="auto"/>
              <w:highlight w:val="none"/>
            </w:rPr>
            <w:fldChar w:fldCharType="separate"/>
          </w:r>
          <w:r>
            <w:rPr>
              <w:color w:val="auto"/>
              <w:highlight w:val="none"/>
            </w:rPr>
            <w:t>208</w:t>
          </w:r>
          <w:r>
            <w:rPr>
              <w:color w:val="auto"/>
              <w:highlight w:val="none"/>
            </w:rPr>
            <w:fldChar w:fldCharType="end"/>
          </w:r>
          <w:r>
            <w:rPr>
              <w:rFonts w:hint="eastAsia" w:ascii="宋体" w:hAnsi="宋体" w:eastAsia="宋体" w:cs="宋体"/>
              <w:color w:val="auto"/>
              <w:szCs w:val="40"/>
              <w:highlight w:val="none"/>
            </w:rPr>
            <w:fldChar w:fldCharType="end"/>
          </w:r>
        </w:p>
        <w:p w14:paraId="63A8AF88">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_Toc24892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szCs w:val="22"/>
              <w:highlight w:val="none"/>
            </w:rPr>
            <w:t>二、评标组织</w:t>
          </w:r>
          <w:r>
            <w:rPr>
              <w:color w:val="auto"/>
              <w:highlight w:val="none"/>
            </w:rPr>
            <w:tab/>
          </w:r>
          <w:r>
            <w:rPr>
              <w:color w:val="auto"/>
              <w:highlight w:val="none"/>
            </w:rPr>
            <w:fldChar w:fldCharType="begin"/>
          </w:r>
          <w:r>
            <w:rPr>
              <w:color w:val="auto"/>
              <w:highlight w:val="none"/>
            </w:rPr>
            <w:instrText xml:space="preserve"> PAGEREF _Toc24892 \h </w:instrText>
          </w:r>
          <w:r>
            <w:rPr>
              <w:color w:val="auto"/>
              <w:highlight w:val="none"/>
            </w:rPr>
            <w:fldChar w:fldCharType="separate"/>
          </w:r>
          <w:r>
            <w:rPr>
              <w:color w:val="auto"/>
              <w:highlight w:val="none"/>
            </w:rPr>
            <w:t>208</w:t>
          </w:r>
          <w:r>
            <w:rPr>
              <w:color w:val="auto"/>
              <w:highlight w:val="none"/>
            </w:rPr>
            <w:fldChar w:fldCharType="end"/>
          </w:r>
          <w:r>
            <w:rPr>
              <w:rFonts w:hint="eastAsia" w:ascii="宋体" w:hAnsi="宋体" w:eastAsia="宋体" w:cs="宋体"/>
              <w:color w:val="auto"/>
              <w:szCs w:val="40"/>
              <w:highlight w:val="none"/>
            </w:rPr>
            <w:fldChar w:fldCharType="end"/>
          </w:r>
        </w:p>
        <w:p w14:paraId="41E125E2">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_Toc5628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szCs w:val="22"/>
              <w:highlight w:val="none"/>
            </w:rPr>
            <w:t>三、评标程序</w:t>
          </w:r>
          <w:r>
            <w:rPr>
              <w:color w:val="auto"/>
              <w:highlight w:val="none"/>
            </w:rPr>
            <w:tab/>
          </w:r>
          <w:r>
            <w:rPr>
              <w:color w:val="auto"/>
              <w:highlight w:val="none"/>
            </w:rPr>
            <w:fldChar w:fldCharType="begin"/>
          </w:r>
          <w:r>
            <w:rPr>
              <w:color w:val="auto"/>
              <w:highlight w:val="none"/>
            </w:rPr>
            <w:instrText xml:space="preserve"> PAGEREF _Toc5628 \h </w:instrText>
          </w:r>
          <w:r>
            <w:rPr>
              <w:color w:val="auto"/>
              <w:highlight w:val="none"/>
            </w:rPr>
            <w:fldChar w:fldCharType="separate"/>
          </w:r>
          <w:r>
            <w:rPr>
              <w:color w:val="auto"/>
              <w:highlight w:val="none"/>
            </w:rPr>
            <w:t>208</w:t>
          </w:r>
          <w:r>
            <w:rPr>
              <w:color w:val="auto"/>
              <w:highlight w:val="none"/>
            </w:rPr>
            <w:fldChar w:fldCharType="end"/>
          </w:r>
          <w:r>
            <w:rPr>
              <w:rFonts w:hint="eastAsia" w:ascii="宋体" w:hAnsi="宋体" w:eastAsia="宋体" w:cs="宋体"/>
              <w:color w:val="auto"/>
              <w:szCs w:val="40"/>
              <w:highlight w:val="none"/>
            </w:rPr>
            <w:fldChar w:fldCharType="end"/>
          </w:r>
        </w:p>
        <w:p w14:paraId="19191396">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_Toc27222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szCs w:val="22"/>
              <w:highlight w:val="none"/>
            </w:rPr>
            <w:t>四、评标办法</w:t>
          </w:r>
          <w:r>
            <w:rPr>
              <w:color w:val="auto"/>
              <w:highlight w:val="none"/>
            </w:rPr>
            <w:tab/>
          </w:r>
          <w:r>
            <w:rPr>
              <w:color w:val="auto"/>
              <w:highlight w:val="none"/>
            </w:rPr>
            <w:fldChar w:fldCharType="begin"/>
          </w:r>
          <w:r>
            <w:rPr>
              <w:color w:val="auto"/>
              <w:highlight w:val="none"/>
            </w:rPr>
            <w:instrText xml:space="preserve"> PAGEREF _Toc27222 \h </w:instrText>
          </w:r>
          <w:r>
            <w:rPr>
              <w:color w:val="auto"/>
              <w:highlight w:val="none"/>
            </w:rPr>
            <w:fldChar w:fldCharType="separate"/>
          </w:r>
          <w:r>
            <w:rPr>
              <w:color w:val="auto"/>
              <w:highlight w:val="none"/>
            </w:rPr>
            <w:t>208</w:t>
          </w:r>
          <w:r>
            <w:rPr>
              <w:color w:val="auto"/>
              <w:highlight w:val="none"/>
            </w:rPr>
            <w:fldChar w:fldCharType="end"/>
          </w:r>
          <w:r>
            <w:rPr>
              <w:rFonts w:hint="eastAsia" w:ascii="宋体" w:hAnsi="宋体" w:eastAsia="宋体" w:cs="宋体"/>
              <w:color w:val="auto"/>
              <w:szCs w:val="40"/>
              <w:highlight w:val="none"/>
            </w:rPr>
            <w:fldChar w:fldCharType="end"/>
          </w:r>
        </w:p>
        <w:p w14:paraId="0D36500C">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_Toc22118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szCs w:val="22"/>
              <w:highlight w:val="none"/>
            </w:rPr>
            <w:t>五、 评分细则</w:t>
          </w:r>
          <w:r>
            <w:rPr>
              <w:color w:val="auto"/>
              <w:highlight w:val="none"/>
            </w:rPr>
            <w:tab/>
          </w:r>
          <w:r>
            <w:rPr>
              <w:color w:val="auto"/>
              <w:highlight w:val="none"/>
            </w:rPr>
            <w:fldChar w:fldCharType="begin"/>
          </w:r>
          <w:r>
            <w:rPr>
              <w:color w:val="auto"/>
              <w:highlight w:val="none"/>
            </w:rPr>
            <w:instrText xml:space="preserve"> PAGEREF _Toc22118 \h </w:instrText>
          </w:r>
          <w:r>
            <w:rPr>
              <w:color w:val="auto"/>
              <w:highlight w:val="none"/>
            </w:rPr>
            <w:fldChar w:fldCharType="separate"/>
          </w:r>
          <w:r>
            <w:rPr>
              <w:color w:val="auto"/>
              <w:highlight w:val="none"/>
            </w:rPr>
            <w:t>208</w:t>
          </w:r>
          <w:r>
            <w:rPr>
              <w:color w:val="auto"/>
              <w:highlight w:val="none"/>
            </w:rPr>
            <w:fldChar w:fldCharType="end"/>
          </w:r>
          <w:r>
            <w:rPr>
              <w:rFonts w:hint="eastAsia" w:ascii="宋体" w:hAnsi="宋体" w:eastAsia="宋体" w:cs="宋体"/>
              <w:color w:val="auto"/>
              <w:szCs w:val="40"/>
              <w:highlight w:val="none"/>
            </w:rPr>
            <w:fldChar w:fldCharType="end"/>
          </w:r>
        </w:p>
        <w:p w14:paraId="560045A6">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_Toc27433 </w:instrText>
          </w:r>
          <w:r>
            <w:rPr>
              <w:rFonts w:hint="eastAsia" w:ascii="宋体" w:hAnsi="宋体" w:eastAsia="宋体" w:cs="宋体"/>
              <w:color w:val="auto"/>
              <w:szCs w:val="40"/>
              <w:highlight w:val="none"/>
            </w:rPr>
            <w:fldChar w:fldCharType="separate"/>
          </w:r>
          <w:r>
            <w:rPr>
              <w:rFonts w:hint="eastAsia" w:ascii="宋体" w:hAnsi="宋体" w:eastAsia="宋体" w:cs="宋体"/>
              <w:bCs/>
              <w:color w:val="auto"/>
              <w:szCs w:val="22"/>
              <w:highlight w:val="none"/>
            </w:rPr>
            <w:t>六、定标办法</w:t>
          </w:r>
          <w:r>
            <w:rPr>
              <w:color w:val="auto"/>
              <w:highlight w:val="none"/>
            </w:rPr>
            <w:tab/>
          </w:r>
          <w:r>
            <w:rPr>
              <w:color w:val="auto"/>
              <w:highlight w:val="none"/>
            </w:rPr>
            <w:fldChar w:fldCharType="begin"/>
          </w:r>
          <w:r>
            <w:rPr>
              <w:color w:val="auto"/>
              <w:highlight w:val="none"/>
            </w:rPr>
            <w:instrText xml:space="preserve"> PAGEREF _Toc27433 \h </w:instrText>
          </w:r>
          <w:r>
            <w:rPr>
              <w:color w:val="auto"/>
              <w:highlight w:val="none"/>
            </w:rPr>
            <w:fldChar w:fldCharType="separate"/>
          </w:r>
          <w:r>
            <w:rPr>
              <w:color w:val="auto"/>
              <w:highlight w:val="none"/>
            </w:rPr>
            <w:t>213</w:t>
          </w:r>
          <w:r>
            <w:rPr>
              <w:color w:val="auto"/>
              <w:highlight w:val="none"/>
            </w:rPr>
            <w:fldChar w:fldCharType="end"/>
          </w:r>
          <w:r>
            <w:rPr>
              <w:rFonts w:hint="eastAsia" w:ascii="宋体" w:hAnsi="宋体" w:eastAsia="宋体" w:cs="宋体"/>
              <w:color w:val="auto"/>
              <w:szCs w:val="40"/>
              <w:highlight w:val="none"/>
            </w:rPr>
            <w:fldChar w:fldCharType="end"/>
          </w:r>
        </w:p>
        <w:p w14:paraId="48895429">
          <w:pPr>
            <w:pStyle w:val="44"/>
            <w:keepNext w:val="0"/>
            <w:keepLines w:val="0"/>
            <w:pageBreakBefore w:val="0"/>
            <w:widowControl w:val="0"/>
            <w:tabs>
              <w:tab w:val="right" w:leader="dot" w:pos="9639"/>
            </w:tabs>
            <w:kinsoku/>
            <w:wordWrap/>
            <w:overflowPunct/>
            <w:topLinePunct w:val="0"/>
            <w:autoSpaceDE/>
            <w:autoSpaceDN/>
            <w:bidi w:val="0"/>
            <w:adjustRightInd/>
            <w:snapToGrid/>
            <w:spacing w:line="460" w:lineRule="exact"/>
            <w:textAlignment w:val="auto"/>
            <w:rPr>
              <w:color w:val="auto"/>
              <w:highlight w:val="none"/>
            </w:rPr>
          </w:pPr>
          <w:r>
            <w:rPr>
              <w:rFonts w:hint="eastAsia" w:ascii="宋体" w:hAnsi="宋体" w:eastAsia="宋体" w:cs="宋体"/>
              <w:color w:val="auto"/>
              <w:szCs w:val="40"/>
              <w:highlight w:val="none"/>
            </w:rPr>
            <w:fldChar w:fldCharType="begin"/>
          </w:r>
          <w:r>
            <w:rPr>
              <w:rFonts w:hint="eastAsia" w:ascii="宋体" w:hAnsi="宋体" w:eastAsia="宋体" w:cs="宋体"/>
              <w:color w:val="auto"/>
              <w:szCs w:val="40"/>
              <w:highlight w:val="none"/>
            </w:rPr>
            <w:instrText xml:space="preserve"> HYPERLINK \l _Toc6429 </w:instrText>
          </w:r>
          <w:r>
            <w:rPr>
              <w:rFonts w:hint="eastAsia" w:ascii="宋体" w:hAnsi="宋体" w:eastAsia="宋体" w:cs="宋体"/>
              <w:color w:val="auto"/>
              <w:szCs w:val="40"/>
              <w:highlight w:val="none"/>
            </w:rPr>
            <w:fldChar w:fldCharType="separate"/>
          </w:r>
          <w:r>
            <w:rPr>
              <w:rFonts w:hint="eastAsia" w:ascii="宋体" w:hAnsi="宋体" w:eastAsia="宋体" w:cs="宋体"/>
              <w:color w:val="auto"/>
              <w:szCs w:val="22"/>
              <w:highlight w:val="none"/>
            </w:rPr>
            <w:t>七、投标人义务</w:t>
          </w:r>
          <w:r>
            <w:rPr>
              <w:color w:val="auto"/>
              <w:highlight w:val="none"/>
            </w:rPr>
            <w:tab/>
          </w:r>
          <w:r>
            <w:rPr>
              <w:color w:val="auto"/>
              <w:highlight w:val="none"/>
            </w:rPr>
            <w:fldChar w:fldCharType="begin"/>
          </w:r>
          <w:r>
            <w:rPr>
              <w:color w:val="auto"/>
              <w:highlight w:val="none"/>
            </w:rPr>
            <w:instrText xml:space="preserve"> PAGEREF _Toc6429 \h </w:instrText>
          </w:r>
          <w:r>
            <w:rPr>
              <w:color w:val="auto"/>
              <w:highlight w:val="none"/>
            </w:rPr>
            <w:fldChar w:fldCharType="separate"/>
          </w:r>
          <w:r>
            <w:rPr>
              <w:color w:val="auto"/>
              <w:highlight w:val="none"/>
            </w:rPr>
            <w:t>213</w:t>
          </w:r>
          <w:r>
            <w:rPr>
              <w:color w:val="auto"/>
              <w:highlight w:val="none"/>
            </w:rPr>
            <w:fldChar w:fldCharType="end"/>
          </w:r>
          <w:r>
            <w:rPr>
              <w:rFonts w:hint="eastAsia" w:ascii="宋体" w:hAnsi="宋体" w:eastAsia="宋体" w:cs="宋体"/>
              <w:color w:val="auto"/>
              <w:szCs w:val="40"/>
              <w:highlight w:val="none"/>
            </w:rPr>
            <w:fldChar w:fldCharType="end"/>
          </w:r>
        </w:p>
        <w:p w14:paraId="063F465E">
          <w:pPr>
            <w:keepNext w:val="0"/>
            <w:keepLines w:val="0"/>
            <w:pageBreakBefore w:val="0"/>
            <w:widowControl w:val="0"/>
            <w:kinsoku/>
            <w:wordWrap/>
            <w:overflowPunct/>
            <w:topLinePunct w:val="0"/>
            <w:autoSpaceDE/>
            <w:autoSpaceDN/>
            <w:bidi w:val="0"/>
            <w:adjustRightInd/>
            <w:snapToGrid/>
            <w:spacing w:line="460" w:lineRule="exact"/>
            <w:ind w:firstLine="1785" w:firstLineChars="850"/>
            <w:textAlignment w:val="auto"/>
            <w:rPr>
              <w:rFonts w:hint="eastAsia" w:ascii="宋体" w:hAnsi="宋体" w:eastAsia="宋体" w:cs="宋体"/>
              <w:b/>
              <w:color w:val="auto"/>
              <w:sz w:val="22"/>
              <w:szCs w:val="22"/>
              <w:highlight w:val="none"/>
            </w:rPr>
          </w:pPr>
          <w:r>
            <w:rPr>
              <w:rFonts w:hint="eastAsia" w:ascii="宋体" w:hAnsi="宋体" w:eastAsia="宋体" w:cs="宋体"/>
              <w:color w:val="auto"/>
              <w:szCs w:val="40"/>
              <w:highlight w:val="none"/>
            </w:rPr>
            <w:fldChar w:fldCharType="end"/>
          </w:r>
        </w:p>
      </w:sdtContent>
    </w:sdt>
    <w:p w14:paraId="1609F2BD">
      <w:pPr>
        <w:rPr>
          <w:rFonts w:hint="eastAsia" w:ascii="宋体" w:hAnsi="宋体" w:eastAsia="宋体" w:cs="宋体"/>
          <w:color w:val="auto"/>
          <w:highlight w:val="none"/>
        </w:rPr>
      </w:pPr>
      <w:bookmarkStart w:id="0" w:name="_Toc32649"/>
      <w:r>
        <w:rPr>
          <w:rFonts w:hint="eastAsia" w:ascii="宋体" w:hAnsi="宋体" w:eastAsia="宋体" w:cs="宋体"/>
          <w:color w:val="auto"/>
          <w:highlight w:val="none"/>
        </w:rPr>
        <w:br w:type="page"/>
      </w:r>
    </w:p>
    <w:p w14:paraId="5AF21D08">
      <w:pPr>
        <w:pStyle w:val="2"/>
        <w:bidi w:val="0"/>
        <w:rPr>
          <w:rFonts w:hint="eastAsia" w:ascii="宋体" w:hAnsi="宋体" w:eastAsia="宋体" w:cs="宋体"/>
          <w:b/>
          <w:color w:val="auto"/>
          <w:highlight w:val="none"/>
        </w:rPr>
      </w:pPr>
      <w:bookmarkStart w:id="1" w:name="_Toc19962"/>
      <w:r>
        <w:rPr>
          <w:rFonts w:hint="eastAsia" w:ascii="宋体" w:hAnsi="宋体" w:eastAsia="宋体" w:cs="宋体"/>
          <w:color w:val="auto"/>
          <w:highlight w:val="none"/>
        </w:rPr>
        <w:t>招</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标</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公</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告</w:t>
      </w:r>
      <w:bookmarkEnd w:id="0"/>
      <w:bookmarkEnd w:id="1"/>
    </w:p>
    <w:p w14:paraId="4EE35C1C">
      <w:pPr>
        <w:tabs>
          <w:tab w:val="left" w:pos="360"/>
        </w:tabs>
        <w:spacing w:line="460" w:lineRule="exact"/>
        <w:ind w:firstLine="552" w:firstLineChars="250"/>
        <w:rPr>
          <w:rFonts w:hint="eastAsia" w:ascii="宋体" w:hAnsi="宋体" w:eastAsia="宋体" w:cs="宋体"/>
          <w:b/>
          <w:bCs/>
          <w:color w:val="auto"/>
          <w:sz w:val="22"/>
          <w:highlight w:val="none"/>
        </w:rPr>
      </w:pPr>
      <w:r>
        <w:rPr>
          <w:b/>
          <w:bCs/>
          <w:color w:val="auto"/>
          <w:sz w:val="22"/>
          <w:highlight w:val="none"/>
        </w:rPr>
        <mc:AlternateContent>
          <mc:Choice Requires="wps">
            <w:drawing>
              <wp:anchor distT="0" distB="0" distL="114300" distR="114300" simplePos="0" relativeHeight="251659264" behindDoc="0" locked="0" layoutInCell="1" allowOverlap="1">
                <wp:simplePos x="0" y="0"/>
                <wp:positionH relativeFrom="column">
                  <wp:posOffset>-196850</wp:posOffset>
                </wp:positionH>
                <wp:positionV relativeFrom="paragraph">
                  <wp:posOffset>3810</wp:posOffset>
                </wp:positionV>
                <wp:extent cx="6499225" cy="1197610"/>
                <wp:effectExtent l="6350" t="6350" r="9525" b="15240"/>
                <wp:wrapNone/>
                <wp:docPr id="1" name="矩形 1"/>
                <wp:cNvGraphicFramePr/>
                <a:graphic xmlns:a="http://schemas.openxmlformats.org/drawingml/2006/main">
                  <a:graphicData uri="http://schemas.microsoft.com/office/word/2010/wordprocessingShape">
                    <wps:wsp>
                      <wps:cNvSpPr/>
                      <wps:spPr>
                        <a:xfrm>
                          <a:off x="0" y="0"/>
                          <a:ext cx="6499225" cy="1197610"/>
                        </a:xfrm>
                        <a:prstGeom prst="rect">
                          <a:avLst/>
                        </a:prstGeom>
                        <a:noFill/>
                        <a:ln w="1270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15.5pt;margin-top:0.3pt;height:94.3pt;width:511.75pt;z-index:251659264;v-text-anchor:middle;mso-width-relative:page;mso-height-relative:page;" filled="f" stroked="t" coordsize="21600,21600" o:gfxdata="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&#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oFSf7YAAAACAEAAA8AAAAAAAAAAQAgAAAAIgAAAGRy&#10;cy9kb3ducmV2LnhtbFBLAQIUABQAAAAIAIdO4kC139s4BQIAABIEAAAOAAAAAAAAAAEAIAAAACcB&#10;AABkcnMvZTJvRG9jLnhtbFBLBQYAAAAABgAGAFkBAACeBQAAAAA=&#10;">
                <v:fill on="f" focussize="0,0"/>
                <v:stroke weight="1pt" color="#000000" joinstyle="round"/>
                <v:imagedata o:title=""/>
                <o:lock v:ext="edit" aspectratio="f"/>
              </v:rect>
            </w:pict>
          </mc:Fallback>
        </mc:AlternateContent>
      </w:r>
      <w:r>
        <w:rPr>
          <w:rFonts w:hint="eastAsia" w:ascii="宋体" w:hAnsi="宋体" w:eastAsia="宋体" w:cs="宋体"/>
          <w:b/>
          <w:bCs/>
          <w:color w:val="auto"/>
          <w:sz w:val="22"/>
          <w:highlight w:val="none"/>
        </w:rPr>
        <w:t>项目概况</w:t>
      </w:r>
    </w:p>
    <w:p w14:paraId="601DADAD">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cs="宋体"/>
          <w:color w:val="auto"/>
          <w:sz w:val="22"/>
          <w:highlight w:val="none"/>
          <w:lang w:eastAsia="zh-CN"/>
        </w:rPr>
        <w:t>2024-2025年市区道路交通安全设施维护项目(第一期)</w:t>
      </w:r>
      <w:r>
        <w:rPr>
          <w:rFonts w:hint="eastAsia" w:ascii="宋体" w:hAnsi="宋体" w:eastAsia="宋体" w:cs="宋体"/>
          <w:color w:val="auto"/>
          <w:sz w:val="22"/>
          <w:highlight w:val="none"/>
        </w:rPr>
        <w:t>招标项目的潜在投标人应在浙江政府采购网获取（下载）招标文件，并于</w:t>
      </w:r>
      <w:r>
        <w:rPr>
          <w:rFonts w:hint="eastAsia" w:ascii="宋体" w:hAnsi="宋体" w:cs="宋体"/>
          <w:color w:val="auto"/>
          <w:sz w:val="22"/>
          <w:highlight w:val="none"/>
          <w:lang w:eastAsia="zh-CN"/>
        </w:rPr>
        <w:t>202</w:t>
      </w:r>
      <w:r>
        <w:rPr>
          <w:rFonts w:hint="eastAsia" w:ascii="宋体" w:hAnsi="宋体" w:cs="宋体"/>
          <w:color w:val="auto"/>
          <w:sz w:val="22"/>
          <w:highlight w:val="none"/>
          <w:lang w:val="en-US" w:eastAsia="zh-CN"/>
        </w:rPr>
        <w:t>5</w:t>
      </w:r>
      <w:r>
        <w:rPr>
          <w:rFonts w:hint="eastAsia" w:ascii="宋体" w:hAnsi="宋体" w:cs="宋体"/>
          <w:color w:val="auto"/>
          <w:sz w:val="22"/>
          <w:highlight w:val="none"/>
          <w:lang w:eastAsia="zh-CN"/>
        </w:rPr>
        <w:t>年</w:t>
      </w:r>
      <w:r>
        <w:rPr>
          <w:rFonts w:hint="eastAsia" w:ascii="宋体" w:hAnsi="宋体" w:cs="宋体"/>
          <w:color w:val="auto"/>
          <w:sz w:val="22"/>
          <w:highlight w:val="none"/>
          <w:lang w:val="en-US" w:eastAsia="zh-CN"/>
        </w:rPr>
        <w:t>2</w:t>
      </w:r>
      <w:r>
        <w:rPr>
          <w:rFonts w:hint="eastAsia" w:ascii="宋体" w:hAnsi="宋体" w:eastAsia="宋体" w:cs="宋体"/>
          <w:color w:val="auto"/>
          <w:sz w:val="22"/>
          <w:highlight w:val="none"/>
        </w:rPr>
        <w:t>月</w:t>
      </w:r>
      <w:r>
        <w:rPr>
          <w:rFonts w:hint="eastAsia" w:ascii="宋体" w:hAnsi="宋体" w:cs="宋体"/>
          <w:color w:val="auto"/>
          <w:sz w:val="22"/>
          <w:highlight w:val="none"/>
          <w:lang w:val="en-US" w:eastAsia="zh-CN"/>
        </w:rPr>
        <w:t>17</w:t>
      </w:r>
      <w:r>
        <w:rPr>
          <w:rFonts w:hint="eastAsia" w:ascii="宋体" w:hAnsi="宋体" w:eastAsia="宋体" w:cs="宋体"/>
          <w:color w:val="auto"/>
          <w:sz w:val="22"/>
          <w:highlight w:val="none"/>
        </w:rPr>
        <w:t>日</w:t>
      </w:r>
      <w:r>
        <w:rPr>
          <w:rFonts w:hint="eastAsia" w:ascii="宋体" w:hAnsi="宋体" w:cs="宋体"/>
          <w:color w:val="auto"/>
          <w:sz w:val="22"/>
          <w:highlight w:val="none"/>
          <w:lang w:val="en-US" w:eastAsia="zh-CN"/>
        </w:rPr>
        <w:t>09点30分</w:t>
      </w:r>
      <w:r>
        <w:rPr>
          <w:rFonts w:hint="eastAsia" w:ascii="宋体" w:hAnsi="宋体" w:eastAsia="宋体" w:cs="宋体"/>
          <w:color w:val="auto"/>
          <w:sz w:val="22"/>
          <w:highlight w:val="none"/>
        </w:rPr>
        <w:t> （北京时间）前递交（上传）投标文件。</w:t>
      </w:r>
    </w:p>
    <w:p w14:paraId="16075050">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textAlignment w:val="auto"/>
        <w:rPr>
          <w:rFonts w:hint="eastAsia"/>
          <w:b/>
          <w:bCs/>
          <w:color w:val="auto"/>
          <w:sz w:val="22"/>
          <w:szCs w:val="22"/>
          <w:highlight w:val="none"/>
          <w:u w:val="none"/>
        </w:rPr>
      </w:pPr>
    </w:p>
    <w:p w14:paraId="72B2DE15">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textAlignment w:val="auto"/>
        <w:rPr>
          <w:rFonts w:hint="eastAsia"/>
          <w:color w:val="auto"/>
          <w:sz w:val="22"/>
          <w:szCs w:val="22"/>
          <w:highlight w:val="none"/>
          <w:u w:val="none"/>
          <w:lang w:val="en-US" w:eastAsia="zh-CN"/>
        </w:rPr>
      </w:pPr>
      <w:r>
        <w:rPr>
          <w:rFonts w:hint="eastAsia"/>
          <w:b/>
          <w:bCs/>
          <w:color w:val="auto"/>
          <w:sz w:val="22"/>
          <w:szCs w:val="22"/>
          <w:highlight w:val="none"/>
          <w:u w:val="none"/>
        </w:rPr>
        <w:t>一、项目基本情况</w:t>
      </w:r>
      <w:r>
        <w:rPr>
          <w:rFonts w:hint="eastAsia"/>
          <w:color w:val="auto"/>
          <w:sz w:val="22"/>
          <w:szCs w:val="22"/>
          <w:highlight w:val="none"/>
          <w:u w:val="none"/>
          <w:lang w:val="en-US" w:eastAsia="zh-CN"/>
        </w:rPr>
        <w:t>                                           </w:t>
      </w:r>
    </w:p>
    <w:p w14:paraId="6C5699E5">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lang w:val="en-US" w:eastAsia="zh-CN"/>
        </w:rPr>
      </w:pPr>
      <w:r>
        <w:rPr>
          <w:rFonts w:hint="eastAsia"/>
          <w:color w:val="auto"/>
          <w:sz w:val="22"/>
          <w:szCs w:val="22"/>
          <w:highlight w:val="none"/>
          <w:u w:val="none"/>
          <w:lang w:val="en-US" w:eastAsia="zh-CN"/>
        </w:rPr>
        <w:t>项目编号：</w:t>
      </w:r>
      <w:r>
        <w:rPr>
          <w:rFonts w:hint="eastAsia"/>
          <w:color w:val="auto"/>
          <w:sz w:val="22"/>
          <w:szCs w:val="22"/>
          <w:highlight w:val="none"/>
          <w:u w:val="none"/>
          <w:lang w:eastAsia="zh-CN"/>
        </w:rPr>
        <w:t>WZLCZB（Z）-2025-01034</w:t>
      </w:r>
      <w:r>
        <w:rPr>
          <w:rFonts w:hint="eastAsia"/>
          <w:color w:val="auto"/>
          <w:sz w:val="22"/>
          <w:szCs w:val="22"/>
          <w:highlight w:val="none"/>
          <w:u w:val="none"/>
          <w:lang w:val="en-US" w:eastAsia="zh-CN"/>
        </w:rPr>
        <w:t> </w:t>
      </w:r>
    </w:p>
    <w:p w14:paraId="13AAE2B0">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lang w:val="en-US" w:eastAsia="zh-CN"/>
        </w:rPr>
      </w:pPr>
      <w:r>
        <w:rPr>
          <w:rFonts w:hint="eastAsia"/>
          <w:color w:val="auto"/>
          <w:sz w:val="22"/>
          <w:szCs w:val="22"/>
          <w:highlight w:val="none"/>
          <w:u w:val="none"/>
          <w:lang w:val="en-US" w:eastAsia="zh-CN"/>
        </w:rPr>
        <w:t>项目名称：</w:t>
      </w:r>
      <w:r>
        <w:rPr>
          <w:rFonts w:hint="eastAsia"/>
          <w:color w:val="auto"/>
          <w:sz w:val="22"/>
          <w:szCs w:val="22"/>
          <w:highlight w:val="none"/>
          <w:u w:val="none"/>
          <w:lang w:eastAsia="zh-CN"/>
        </w:rPr>
        <w:t>2024-2025年市区道路交通安全设施维护项目(第一期)</w:t>
      </w:r>
    </w:p>
    <w:p w14:paraId="57055214">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lang w:val="en-US" w:eastAsia="zh-CN"/>
        </w:rPr>
      </w:pPr>
      <w:r>
        <w:rPr>
          <w:rFonts w:hint="eastAsia"/>
          <w:color w:val="auto"/>
          <w:sz w:val="22"/>
          <w:szCs w:val="22"/>
          <w:highlight w:val="none"/>
          <w:u w:val="none"/>
          <w:lang w:val="en-US" w:eastAsia="zh-CN"/>
        </w:rPr>
        <w:t>预算金额（元）：20000000  </w:t>
      </w:r>
    </w:p>
    <w:p w14:paraId="00D7EFE9">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lang w:val="en-US" w:eastAsia="zh-CN"/>
        </w:rPr>
      </w:pPr>
      <w:r>
        <w:rPr>
          <w:rFonts w:hint="eastAsia"/>
          <w:color w:val="auto"/>
          <w:sz w:val="22"/>
          <w:szCs w:val="22"/>
          <w:highlight w:val="none"/>
          <w:u w:val="none"/>
          <w:lang w:val="en-US" w:eastAsia="zh-CN"/>
        </w:rPr>
        <w:t>最高限价（元）：/ </w:t>
      </w:r>
    </w:p>
    <w:p w14:paraId="5D0B668A">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lang w:val="en-US" w:eastAsia="zh-CN"/>
        </w:rPr>
      </w:pPr>
      <w:r>
        <w:rPr>
          <w:rFonts w:hint="eastAsia"/>
          <w:color w:val="auto"/>
          <w:sz w:val="22"/>
          <w:szCs w:val="22"/>
          <w:highlight w:val="none"/>
          <w:u w:val="none"/>
          <w:lang w:val="en-US" w:eastAsia="zh-CN"/>
        </w:rPr>
        <w:t>采购需求：</w:t>
      </w:r>
    </w:p>
    <w:p w14:paraId="4F5943C4">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lang w:eastAsia="zh-CN"/>
        </w:rPr>
        <w:t>标项</w:t>
      </w:r>
      <w:r>
        <w:rPr>
          <w:rFonts w:hint="eastAsia"/>
          <w:color w:val="auto"/>
          <w:sz w:val="22"/>
          <w:szCs w:val="22"/>
          <w:highlight w:val="none"/>
        </w:rPr>
        <w:t>一</w:t>
      </w:r>
    </w:p>
    <w:p w14:paraId="2DE25CAF">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标项名称:</w:t>
      </w:r>
      <w:r>
        <w:rPr>
          <w:rFonts w:hint="eastAsia"/>
          <w:color w:val="auto"/>
          <w:sz w:val="22"/>
          <w:szCs w:val="22"/>
          <w:highlight w:val="none"/>
          <w:lang w:eastAsia="zh-CN"/>
        </w:rPr>
        <w:t>温州市区（市本级）道路标志、标线、隔离护栏及其他设施建设维护项目</w:t>
      </w:r>
      <w:r>
        <w:rPr>
          <w:rFonts w:hint="eastAsia"/>
          <w:color w:val="auto"/>
          <w:sz w:val="22"/>
          <w:szCs w:val="22"/>
          <w:highlight w:val="none"/>
        </w:rPr>
        <w:t> </w:t>
      </w:r>
    </w:p>
    <w:p w14:paraId="1222DE16">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数量:1  </w:t>
      </w:r>
    </w:p>
    <w:p w14:paraId="2B4E80D5">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单位：项</w:t>
      </w:r>
    </w:p>
    <w:p w14:paraId="4C114751">
      <w:pPr>
        <w:pStyle w:val="47"/>
        <w:spacing w:before="0" w:beforeAutospacing="0" w:after="0" w:afterAutospacing="0" w:line="460" w:lineRule="exact"/>
        <w:ind w:firstLine="440" w:firstLineChars="200"/>
        <w:rPr>
          <w:rFonts w:hint="eastAsia" w:eastAsia="宋体"/>
          <w:color w:val="auto"/>
          <w:sz w:val="22"/>
          <w:szCs w:val="22"/>
          <w:highlight w:val="none"/>
          <w:lang w:eastAsia="zh-CN"/>
        </w:rPr>
      </w:pPr>
      <w:r>
        <w:rPr>
          <w:rFonts w:hint="eastAsia"/>
          <w:color w:val="auto"/>
          <w:sz w:val="22"/>
          <w:szCs w:val="22"/>
          <w:highlight w:val="none"/>
        </w:rPr>
        <w:t>预算金额（元）:</w:t>
      </w:r>
      <w:r>
        <w:rPr>
          <w:rFonts w:hint="eastAsia"/>
          <w:color w:val="auto"/>
          <w:sz w:val="22"/>
          <w:szCs w:val="22"/>
          <w:highlight w:val="none"/>
          <w:lang w:eastAsia="zh-CN"/>
        </w:rPr>
        <w:t>1</w:t>
      </w:r>
      <w:r>
        <w:rPr>
          <w:rFonts w:hint="eastAsia"/>
          <w:color w:val="auto"/>
          <w:sz w:val="22"/>
          <w:szCs w:val="22"/>
          <w:highlight w:val="none"/>
          <w:lang w:val="en-US" w:eastAsia="zh-CN"/>
        </w:rPr>
        <w:t>5</w:t>
      </w:r>
      <w:r>
        <w:rPr>
          <w:rFonts w:hint="eastAsia"/>
          <w:color w:val="auto"/>
          <w:sz w:val="22"/>
          <w:szCs w:val="22"/>
          <w:highlight w:val="none"/>
          <w:lang w:eastAsia="zh-CN"/>
        </w:rPr>
        <w:t>00000</w:t>
      </w:r>
    </w:p>
    <w:p w14:paraId="73CD1E77">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简要规格描述或项目基本概况介绍、用途：具体详见招标文件 </w:t>
      </w:r>
    </w:p>
    <w:p w14:paraId="1C924065">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备注： </w:t>
      </w:r>
    </w:p>
    <w:p w14:paraId="7D41964D">
      <w:pPr>
        <w:pStyle w:val="47"/>
        <w:spacing w:before="0" w:beforeAutospacing="0" w:after="0" w:afterAutospacing="0" w:line="460" w:lineRule="exact"/>
        <w:ind w:firstLine="440" w:firstLineChars="200"/>
        <w:rPr>
          <w:color w:val="auto"/>
          <w:sz w:val="22"/>
          <w:szCs w:val="22"/>
          <w:highlight w:val="none"/>
        </w:rPr>
      </w:pPr>
    </w:p>
    <w:p w14:paraId="4B3FE6C0">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lang w:eastAsia="zh-CN"/>
        </w:rPr>
        <w:t>标项</w:t>
      </w:r>
      <w:r>
        <w:rPr>
          <w:rFonts w:hint="eastAsia"/>
          <w:color w:val="auto"/>
          <w:sz w:val="22"/>
          <w:szCs w:val="22"/>
          <w:highlight w:val="none"/>
        </w:rPr>
        <w:t>二</w:t>
      </w:r>
    </w:p>
    <w:p w14:paraId="781595F0">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标项名称:</w:t>
      </w:r>
      <w:r>
        <w:rPr>
          <w:rFonts w:hint="eastAsia"/>
          <w:color w:val="auto"/>
          <w:sz w:val="22"/>
          <w:szCs w:val="22"/>
          <w:highlight w:val="none"/>
          <w:lang w:eastAsia="zh-CN"/>
        </w:rPr>
        <w:t>温州市区（鹿城区）道路标志、标线、隔离护栏及其他设施建设维护项目</w:t>
      </w:r>
      <w:r>
        <w:rPr>
          <w:rFonts w:hint="eastAsia"/>
          <w:color w:val="auto"/>
          <w:sz w:val="22"/>
          <w:szCs w:val="22"/>
          <w:highlight w:val="none"/>
        </w:rPr>
        <w:t> </w:t>
      </w:r>
    </w:p>
    <w:p w14:paraId="6662A09C">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数量:1  </w:t>
      </w:r>
    </w:p>
    <w:p w14:paraId="2922D530">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单位：项</w:t>
      </w:r>
    </w:p>
    <w:p w14:paraId="0D59B665">
      <w:pPr>
        <w:pStyle w:val="47"/>
        <w:spacing w:before="0" w:beforeAutospacing="0" w:after="0" w:afterAutospacing="0" w:line="460" w:lineRule="exact"/>
        <w:ind w:firstLine="440" w:firstLineChars="200"/>
        <w:rPr>
          <w:rFonts w:hint="eastAsia" w:eastAsia="宋体"/>
          <w:color w:val="auto"/>
          <w:sz w:val="22"/>
          <w:szCs w:val="22"/>
          <w:highlight w:val="none"/>
          <w:lang w:eastAsia="zh-CN"/>
        </w:rPr>
      </w:pPr>
      <w:r>
        <w:rPr>
          <w:rFonts w:hint="eastAsia"/>
          <w:color w:val="auto"/>
          <w:sz w:val="22"/>
          <w:szCs w:val="22"/>
          <w:highlight w:val="none"/>
        </w:rPr>
        <w:t>预算金额（元）:</w:t>
      </w:r>
      <w:r>
        <w:rPr>
          <w:rFonts w:hint="eastAsia"/>
          <w:color w:val="auto"/>
          <w:sz w:val="22"/>
          <w:szCs w:val="22"/>
          <w:highlight w:val="none"/>
          <w:lang w:eastAsia="zh-CN"/>
        </w:rPr>
        <w:t>6</w:t>
      </w:r>
      <w:r>
        <w:rPr>
          <w:rFonts w:hint="eastAsia"/>
          <w:color w:val="auto"/>
          <w:sz w:val="22"/>
          <w:szCs w:val="22"/>
          <w:highlight w:val="none"/>
          <w:lang w:val="en-US" w:eastAsia="zh-CN"/>
        </w:rPr>
        <w:t>0</w:t>
      </w:r>
      <w:r>
        <w:rPr>
          <w:rFonts w:hint="eastAsia"/>
          <w:color w:val="auto"/>
          <w:sz w:val="22"/>
          <w:szCs w:val="22"/>
          <w:highlight w:val="none"/>
          <w:lang w:eastAsia="zh-CN"/>
        </w:rPr>
        <w:t>00000</w:t>
      </w:r>
    </w:p>
    <w:p w14:paraId="03A7B5EF">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简要规格描述或项目基本概况介绍、用途：具体详见招标文件 </w:t>
      </w:r>
    </w:p>
    <w:p w14:paraId="4896BEFE">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备注：</w:t>
      </w:r>
    </w:p>
    <w:p w14:paraId="53248D1F">
      <w:pPr>
        <w:pStyle w:val="47"/>
        <w:spacing w:before="0" w:beforeAutospacing="0" w:after="0" w:afterAutospacing="0" w:line="460" w:lineRule="exact"/>
        <w:ind w:firstLine="440" w:firstLineChars="200"/>
        <w:rPr>
          <w:color w:val="auto"/>
          <w:sz w:val="22"/>
          <w:szCs w:val="22"/>
          <w:highlight w:val="none"/>
        </w:rPr>
      </w:pPr>
    </w:p>
    <w:p w14:paraId="6261666B">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lang w:eastAsia="zh-CN"/>
        </w:rPr>
        <w:t>标项</w:t>
      </w:r>
      <w:r>
        <w:rPr>
          <w:rFonts w:hint="eastAsia"/>
          <w:color w:val="auto"/>
          <w:sz w:val="22"/>
          <w:szCs w:val="22"/>
          <w:highlight w:val="none"/>
        </w:rPr>
        <w:t>三</w:t>
      </w:r>
    </w:p>
    <w:p w14:paraId="3DD2EDA6">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标项名称:</w:t>
      </w:r>
      <w:r>
        <w:rPr>
          <w:rFonts w:hint="eastAsia"/>
          <w:color w:val="auto"/>
          <w:sz w:val="22"/>
          <w:szCs w:val="22"/>
          <w:highlight w:val="none"/>
          <w:lang w:eastAsia="zh-CN"/>
        </w:rPr>
        <w:t>温州市区（瓯海区）道路标志、标线、隔离护栏及其他设施建设维护项目</w:t>
      </w:r>
      <w:r>
        <w:rPr>
          <w:rFonts w:hint="eastAsia"/>
          <w:color w:val="auto"/>
          <w:sz w:val="22"/>
          <w:szCs w:val="22"/>
          <w:highlight w:val="none"/>
        </w:rPr>
        <w:t> </w:t>
      </w:r>
    </w:p>
    <w:p w14:paraId="74E42607">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数量:1  </w:t>
      </w:r>
    </w:p>
    <w:p w14:paraId="2473F79A">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单位：项</w:t>
      </w:r>
    </w:p>
    <w:p w14:paraId="5543A21F">
      <w:pPr>
        <w:pStyle w:val="47"/>
        <w:spacing w:before="0" w:beforeAutospacing="0" w:after="0" w:afterAutospacing="0" w:line="460" w:lineRule="exact"/>
        <w:ind w:firstLine="440" w:firstLineChars="200"/>
        <w:rPr>
          <w:rFonts w:hint="eastAsia" w:eastAsia="宋体"/>
          <w:color w:val="auto"/>
          <w:sz w:val="22"/>
          <w:szCs w:val="22"/>
          <w:highlight w:val="none"/>
          <w:lang w:eastAsia="zh-CN"/>
        </w:rPr>
      </w:pPr>
      <w:r>
        <w:rPr>
          <w:rFonts w:hint="eastAsia"/>
          <w:color w:val="auto"/>
          <w:sz w:val="22"/>
          <w:szCs w:val="22"/>
          <w:highlight w:val="none"/>
        </w:rPr>
        <w:t>预算金额（元）:</w:t>
      </w:r>
      <w:r>
        <w:rPr>
          <w:rFonts w:hint="eastAsia"/>
          <w:color w:val="auto"/>
          <w:sz w:val="22"/>
          <w:szCs w:val="22"/>
          <w:highlight w:val="none"/>
          <w:lang w:val="en-US" w:eastAsia="zh-CN"/>
        </w:rPr>
        <w:t>53</w:t>
      </w:r>
      <w:r>
        <w:rPr>
          <w:rFonts w:hint="eastAsia"/>
          <w:color w:val="auto"/>
          <w:sz w:val="22"/>
          <w:szCs w:val="22"/>
          <w:highlight w:val="none"/>
          <w:lang w:eastAsia="zh-CN"/>
        </w:rPr>
        <w:t>00000</w:t>
      </w:r>
    </w:p>
    <w:p w14:paraId="7E923C63">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简要规格描述或项目基本概况介绍、用途：具体详见招标文件 </w:t>
      </w:r>
    </w:p>
    <w:p w14:paraId="41DC0A69">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备注：</w:t>
      </w:r>
    </w:p>
    <w:p w14:paraId="66646E3E">
      <w:pPr>
        <w:pStyle w:val="47"/>
        <w:spacing w:before="0" w:beforeAutospacing="0" w:after="0" w:afterAutospacing="0" w:line="460" w:lineRule="exact"/>
        <w:ind w:firstLine="440" w:firstLineChars="200"/>
        <w:rPr>
          <w:color w:val="auto"/>
          <w:sz w:val="22"/>
          <w:szCs w:val="22"/>
          <w:highlight w:val="none"/>
        </w:rPr>
      </w:pPr>
    </w:p>
    <w:p w14:paraId="13030AE1">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lang w:eastAsia="zh-CN"/>
        </w:rPr>
        <w:t>标项</w:t>
      </w:r>
      <w:r>
        <w:rPr>
          <w:rFonts w:hint="eastAsia"/>
          <w:color w:val="auto"/>
          <w:sz w:val="22"/>
          <w:szCs w:val="22"/>
          <w:highlight w:val="none"/>
        </w:rPr>
        <w:t>四</w:t>
      </w:r>
    </w:p>
    <w:p w14:paraId="51F14489">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标项名称:</w:t>
      </w:r>
      <w:r>
        <w:rPr>
          <w:rFonts w:hint="eastAsia"/>
          <w:color w:val="auto"/>
          <w:sz w:val="22"/>
          <w:szCs w:val="22"/>
          <w:highlight w:val="none"/>
          <w:lang w:eastAsia="zh-CN"/>
        </w:rPr>
        <w:t>温州市区（龙湾区）道路标志、标线、隔离护栏及其他设施建设维护项目</w:t>
      </w:r>
      <w:r>
        <w:rPr>
          <w:rFonts w:hint="eastAsia"/>
          <w:color w:val="auto"/>
          <w:sz w:val="22"/>
          <w:szCs w:val="22"/>
          <w:highlight w:val="none"/>
        </w:rPr>
        <w:t> </w:t>
      </w:r>
    </w:p>
    <w:p w14:paraId="760DF37C">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数量:1  </w:t>
      </w:r>
    </w:p>
    <w:p w14:paraId="41D5EFC5">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单位：项</w:t>
      </w:r>
    </w:p>
    <w:p w14:paraId="5EAD712D">
      <w:pPr>
        <w:pStyle w:val="47"/>
        <w:spacing w:before="0" w:beforeAutospacing="0" w:after="0" w:afterAutospacing="0" w:line="460" w:lineRule="exact"/>
        <w:ind w:firstLine="440" w:firstLineChars="200"/>
        <w:rPr>
          <w:rFonts w:hint="eastAsia" w:eastAsia="宋体"/>
          <w:color w:val="auto"/>
          <w:sz w:val="22"/>
          <w:szCs w:val="22"/>
          <w:highlight w:val="none"/>
          <w:lang w:eastAsia="zh-CN"/>
        </w:rPr>
      </w:pPr>
      <w:r>
        <w:rPr>
          <w:rFonts w:hint="eastAsia"/>
          <w:color w:val="auto"/>
          <w:sz w:val="22"/>
          <w:szCs w:val="22"/>
          <w:highlight w:val="none"/>
        </w:rPr>
        <w:t>预算金额（元）:</w:t>
      </w:r>
      <w:r>
        <w:rPr>
          <w:rFonts w:hint="eastAsia"/>
          <w:color w:val="auto"/>
          <w:sz w:val="22"/>
          <w:szCs w:val="22"/>
          <w:highlight w:val="none"/>
          <w:lang w:val="en-US" w:eastAsia="zh-CN"/>
        </w:rPr>
        <w:t>72</w:t>
      </w:r>
      <w:r>
        <w:rPr>
          <w:rFonts w:hint="eastAsia"/>
          <w:color w:val="auto"/>
          <w:sz w:val="22"/>
          <w:szCs w:val="22"/>
          <w:highlight w:val="none"/>
          <w:lang w:eastAsia="zh-CN"/>
        </w:rPr>
        <w:t>00000</w:t>
      </w:r>
    </w:p>
    <w:p w14:paraId="15561DDE">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简要规格描述或项目基本概况介绍、用途：具体详见招标文件 </w:t>
      </w:r>
    </w:p>
    <w:p w14:paraId="696C7A0D">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备注：</w:t>
      </w:r>
    </w:p>
    <w:p w14:paraId="1C05A65B">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lang w:val="en-US" w:eastAsia="zh-CN"/>
        </w:rPr>
      </w:pPr>
      <w:r>
        <w:rPr>
          <w:rFonts w:hint="eastAsia"/>
          <w:color w:val="auto"/>
          <w:sz w:val="22"/>
          <w:szCs w:val="22"/>
          <w:highlight w:val="none"/>
        </w:rPr>
        <w:t>合同履约期限：标项 1，标项 2，标项 3，标项 4，具体详见招标文件</w:t>
      </w:r>
    </w:p>
    <w:p w14:paraId="1F528814">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lang w:val="en-US" w:eastAsia="zh-CN"/>
        </w:rPr>
        <w:t>本项目（否）接受联合体投标。</w:t>
      </w:r>
    </w:p>
    <w:p w14:paraId="4063E64F">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textAlignment w:val="auto"/>
        <w:rPr>
          <w:rFonts w:hint="eastAsia"/>
          <w:color w:val="auto"/>
          <w:sz w:val="22"/>
          <w:szCs w:val="22"/>
          <w:highlight w:val="none"/>
          <w:u w:val="none"/>
          <w:lang w:val="en-US" w:eastAsia="zh-CN"/>
        </w:rPr>
      </w:pPr>
      <w:r>
        <w:rPr>
          <w:rFonts w:hint="eastAsia"/>
          <w:b/>
          <w:bCs/>
          <w:color w:val="auto"/>
          <w:sz w:val="22"/>
          <w:szCs w:val="22"/>
          <w:highlight w:val="none"/>
          <w:u w:val="none"/>
          <w:lang w:val="en-US" w:eastAsia="zh-CN"/>
        </w:rPr>
        <w:t>二、申请人的资格要求：</w:t>
      </w:r>
    </w:p>
    <w:p w14:paraId="1F340B2C">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lang w:val="en-US" w:eastAsia="zh-CN"/>
        </w:rPr>
      </w:pPr>
      <w:r>
        <w:rPr>
          <w:rFonts w:hint="eastAsia"/>
          <w:color w:val="auto"/>
          <w:sz w:val="22"/>
          <w:szCs w:val="22"/>
          <w:highlight w:val="none"/>
          <w:u w:val="none"/>
          <w:lang w:val="en-US" w:eastAsia="zh-CN"/>
        </w:rPr>
        <w:t>1.满足《中华人民共和国政府采购法》第二十二条规定；未被“信用中国”（www.creditchina.gov.cn)、中国政府采购网（www.ccgp.gov.cn）列入失信被执行人、重大税收违法案件当事人名单、政府采购严重违法失信行为记录名单。</w:t>
      </w:r>
    </w:p>
    <w:p w14:paraId="676131EC">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lang w:val="en-US" w:eastAsia="zh-CN"/>
        </w:rPr>
      </w:pPr>
      <w:r>
        <w:rPr>
          <w:rFonts w:hint="eastAsia"/>
          <w:color w:val="auto"/>
          <w:sz w:val="22"/>
          <w:szCs w:val="22"/>
          <w:highlight w:val="none"/>
          <w:u w:val="none"/>
          <w:lang w:val="en-US" w:eastAsia="zh-CN"/>
        </w:rPr>
        <w:t>2.落实政府采购政策需满足的资格要求：</w:t>
      </w:r>
      <w:r>
        <w:rPr>
          <w:rFonts w:hint="eastAsia" w:ascii="新宋体" w:hAnsi="新宋体" w:eastAsia="新宋体" w:cs="新宋体"/>
          <w:color w:val="auto"/>
          <w:sz w:val="22"/>
          <w:szCs w:val="28"/>
          <w:highlight w:val="none"/>
        </w:rPr>
        <w:t>预留份额专门面向中小企业采购</w:t>
      </w:r>
      <w:r>
        <w:rPr>
          <w:rFonts w:hint="eastAsia"/>
          <w:color w:val="auto"/>
          <w:sz w:val="22"/>
          <w:szCs w:val="22"/>
          <w:highlight w:val="none"/>
          <w:u w:val="none"/>
          <w:lang w:val="en-US" w:eastAsia="zh-CN"/>
        </w:rPr>
        <w:t> </w:t>
      </w:r>
    </w:p>
    <w:p w14:paraId="3605D607">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lang w:val="en-US" w:eastAsia="zh-CN"/>
        </w:rPr>
      </w:pPr>
      <w:r>
        <w:rPr>
          <w:rFonts w:hint="eastAsia"/>
          <w:color w:val="auto"/>
          <w:sz w:val="22"/>
          <w:szCs w:val="22"/>
          <w:highlight w:val="none"/>
          <w:u w:val="none"/>
          <w:lang w:val="en-US" w:eastAsia="zh-CN"/>
        </w:rPr>
        <w:t>3.本项目的特定资格要求：</w:t>
      </w:r>
      <w:r>
        <w:rPr>
          <w:rFonts w:hint="eastAsia" w:ascii="宋体" w:hAnsi="宋体" w:eastAsia="宋体" w:cs="宋体"/>
          <w:color w:val="auto"/>
          <w:kern w:val="0"/>
          <w:sz w:val="22"/>
          <w:szCs w:val="22"/>
          <w:highlight w:val="none"/>
        </w:rPr>
        <w:t>具备安全生产许可证、市政公用工程施工总承包</w:t>
      </w:r>
      <w:r>
        <w:rPr>
          <w:rFonts w:hint="eastAsia" w:cs="宋体"/>
          <w:color w:val="auto"/>
          <w:kern w:val="0"/>
          <w:sz w:val="22"/>
          <w:szCs w:val="22"/>
          <w:highlight w:val="none"/>
          <w:lang w:eastAsia="zh-CN"/>
        </w:rPr>
        <w:t>贰</w:t>
      </w:r>
      <w:r>
        <w:rPr>
          <w:rFonts w:hint="eastAsia" w:ascii="宋体" w:hAnsi="宋体" w:eastAsia="宋体" w:cs="宋体"/>
          <w:color w:val="auto"/>
          <w:kern w:val="0"/>
          <w:sz w:val="22"/>
          <w:szCs w:val="22"/>
          <w:highlight w:val="none"/>
        </w:rPr>
        <w:t>级及以上资质</w:t>
      </w:r>
      <w:r>
        <w:rPr>
          <w:rFonts w:hint="eastAsia" w:ascii="宋体" w:hAnsi="宋体" w:eastAsia="宋体" w:cs="宋体"/>
          <w:color w:val="auto"/>
          <w:kern w:val="0"/>
          <w:sz w:val="22"/>
          <w:szCs w:val="22"/>
          <w:highlight w:val="none"/>
          <w:lang w:eastAsia="zh-CN"/>
        </w:rPr>
        <w:t>或公路交通工程（公路安全设施分项）专业承包贰级及以上资质</w:t>
      </w:r>
      <w:r>
        <w:rPr>
          <w:rFonts w:hint="eastAsia" w:ascii="宋体" w:hAnsi="宋体" w:eastAsia="宋体" w:cs="宋体"/>
          <w:color w:val="auto"/>
          <w:kern w:val="0"/>
          <w:sz w:val="22"/>
          <w:szCs w:val="22"/>
          <w:highlight w:val="none"/>
        </w:rPr>
        <w:t>且在有效期内。</w:t>
      </w:r>
      <w:r>
        <w:rPr>
          <w:rFonts w:hint="eastAsia"/>
          <w:color w:val="auto"/>
          <w:sz w:val="22"/>
          <w:szCs w:val="22"/>
          <w:highlight w:val="none"/>
          <w:u w:val="none"/>
          <w:lang w:val="en-US" w:eastAsia="zh-CN"/>
        </w:rPr>
        <w:t>  </w:t>
      </w:r>
    </w:p>
    <w:p w14:paraId="1D3CCC49">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textAlignment w:val="auto"/>
        <w:rPr>
          <w:rFonts w:hint="eastAsia"/>
          <w:b/>
          <w:bCs/>
          <w:color w:val="auto"/>
          <w:sz w:val="22"/>
          <w:szCs w:val="22"/>
          <w:highlight w:val="none"/>
          <w:u w:val="none"/>
        </w:rPr>
      </w:pPr>
      <w:r>
        <w:rPr>
          <w:rFonts w:hint="eastAsia"/>
          <w:b/>
          <w:bCs/>
          <w:color w:val="auto"/>
          <w:sz w:val="22"/>
          <w:szCs w:val="22"/>
          <w:highlight w:val="none"/>
          <w:u w:val="none"/>
        </w:rPr>
        <w:t>三、获取招标文件 </w:t>
      </w:r>
    </w:p>
    <w:p w14:paraId="6ABF9C95">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时间：</w:t>
      </w:r>
      <w:r>
        <w:rPr>
          <w:rFonts w:hint="eastAsia"/>
          <w:color w:val="auto"/>
          <w:sz w:val="22"/>
          <w:szCs w:val="22"/>
          <w:highlight w:val="none"/>
          <w:u w:val="none"/>
          <w:lang w:eastAsia="zh-CN"/>
        </w:rPr>
        <w:t>202</w:t>
      </w:r>
      <w:r>
        <w:rPr>
          <w:rFonts w:hint="eastAsia"/>
          <w:color w:val="auto"/>
          <w:sz w:val="22"/>
          <w:szCs w:val="22"/>
          <w:highlight w:val="none"/>
          <w:u w:val="none"/>
          <w:lang w:val="en-US" w:eastAsia="zh-CN"/>
        </w:rPr>
        <w:t>5</w:t>
      </w:r>
      <w:r>
        <w:rPr>
          <w:rFonts w:hint="eastAsia"/>
          <w:color w:val="auto"/>
          <w:sz w:val="22"/>
          <w:szCs w:val="22"/>
          <w:highlight w:val="none"/>
          <w:u w:val="none"/>
          <w:lang w:eastAsia="zh-CN"/>
        </w:rPr>
        <w:t>年</w:t>
      </w:r>
      <w:r>
        <w:rPr>
          <w:rFonts w:hint="eastAsia"/>
          <w:color w:val="auto"/>
          <w:sz w:val="22"/>
          <w:szCs w:val="22"/>
          <w:highlight w:val="none"/>
          <w:u w:val="none"/>
          <w:lang w:val="en-US" w:eastAsia="zh-CN"/>
        </w:rPr>
        <w:t>1</w:t>
      </w:r>
      <w:r>
        <w:rPr>
          <w:rFonts w:hint="eastAsia"/>
          <w:color w:val="auto"/>
          <w:sz w:val="22"/>
          <w:szCs w:val="22"/>
          <w:highlight w:val="none"/>
          <w:u w:val="none"/>
        </w:rPr>
        <w:t>月</w:t>
      </w:r>
      <w:r>
        <w:rPr>
          <w:rFonts w:hint="eastAsia"/>
          <w:color w:val="auto"/>
          <w:sz w:val="22"/>
          <w:szCs w:val="22"/>
          <w:highlight w:val="none"/>
          <w:u w:val="none"/>
          <w:lang w:val="en-US" w:eastAsia="zh-CN"/>
        </w:rPr>
        <w:t>26</w:t>
      </w:r>
      <w:r>
        <w:rPr>
          <w:rFonts w:hint="eastAsia"/>
          <w:color w:val="auto"/>
          <w:sz w:val="22"/>
          <w:szCs w:val="22"/>
          <w:highlight w:val="none"/>
          <w:u w:val="none"/>
        </w:rPr>
        <w:t>日至</w:t>
      </w:r>
      <w:r>
        <w:rPr>
          <w:rFonts w:hint="eastAsia"/>
          <w:color w:val="auto"/>
          <w:sz w:val="22"/>
          <w:szCs w:val="22"/>
          <w:highlight w:val="none"/>
          <w:u w:val="none"/>
          <w:lang w:eastAsia="zh-CN"/>
        </w:rPr>
        <w:t>202</w:t>
      </w:r>
      <w:r>
        <w:rPr>
          <w:rFonts w:hint="eastAsia"/>
          <w:color w:val="auto"/>
          <w:sz w:val="22"/>
          <w:szCs w:val="22"/>
          <w:highlight w:val="none"/>
          <w:u w:val="none"/>
          <w:lang w:val="en-US" w:eastAsia="zh-CN"/>
        </w:rPr>
        <w:t>5</w:t>
      </w:r>
      <w:r>
        <w:rPr>
          <w:rFonts w:hint="eastAsia"/>
          <w:color w:val="auto"/>
          <w:sz w:val="22"/>
          <w:szCs w:val="22"/>
          <w:highlight w:val="none"/>
          <w:u w:val="none"/>
          <w:lang w:eastAsia="zh-CN"/>
        </w:rPr>
        <w:t>年</w:t>
      </w:r>
      <w:r>
        <w:rPr>
          <w:rFonts w:hint="eastAsia"/>
          <w:color w:val="auto"/>
          <w:sz w:val="22"/>
          <w:szCs w:val="22"/>
          <w:highlight w:val="none"/>
          <w:u w:val="none"/>
          <w:lang w:val="en-US" w:eastAsia="zh-CN"/>
        </w:rPr>
        <w:t>2</w:t>
      </w:r>
      <w:r>
        <w:rPr>
          <w:rFonts w:hint="eastAsia"/>
          <w:color w:val="auto"/>
          <w:sz w:val="22"/>
          <w:szCs w:val="22"/>
          <w:highlight w:val="none"/>
          <w:u w:val="none"/>
        </w:rPr>
        <w:t>月</w:t>
      </w:r>
      <w:r>
        <w:rPr>
          <w:rFonts w:hint="eastAsia"/>
          <w:color w:val="auto"/>
          <w:sz w:val="22"/>
          <w:szCs w:val="22"/>
          <w:highlight w:val="none"/>
          <w:u w:val="none"/>
          <w:lang w:val="en-US" w:eastAsia="zh-CN"/>
        </w:rPr>
        <w:t>17</w:t>
      </w:r>
      <w:r>
        <w:rPr>
          <w:rFonts w:hint="eastAsia"/>
          <w:color w:val="auto"/>
          <w:sz w:val="22"/>
          <w:szCs w:val="22"/>
          <w:highlight w:val="none"/>
          <w:u w:val="none"/>
        </w:rPr>
        <w:t>日 ，每天上午00:00至12:00，下午12:00至23:59（北京时间，线上获取法定节假日均可，线下获取文件法定节假日除外）</w:t>
      </w:r>
    </w:p>
    <w:p w14:paraId="6FBCAEAF">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地点（网址）：浙江政府采购网（https://zfcg.czt.zj.gov.cn/） </w:t>
      </w:r>
    </w:p>
    <w:p w14:paraId="233F0C2F">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方式：供应商登录政采云平台https://www.zcygov.cn/在线申请获取采购文件（进入“项目采购”应用，在获取采购文件菜单中选择项目，申请获取采购文件）</w:t>
      </w:r>
    </w:p>
    <w:p w14:paraId="689B97AD">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售价（元）：0 </w:t>
      </w:r>
    </w:p>
    <w:p w14:paraId="60507399">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textAlignment w:val="auto"/>
        <w:rPr>
          <w:rFonts w:hint="eastAsia"/>
          <w:b/>
          <w:bCs/>
          <w:color w:val="auto"/>
          <w:sz w:val="22"/>
          <w:szCs w:val="22"/>
          <w:highlight w:val="none"/>
          <w:u w:val="none"/>
        </w:rPr>
      </w:pPr>
      <w:r>
        <w:rPr>
          <w:rFonts w:hint="eastAsia"/>
          <w:b/>
          <w:bCs/>
          <w:color w:val="auto"/>
          <w:sz w:val="22"/>
          <w:szCs w:val="22"/>
          <w:highlight w:val="none"/>
          <w:u w:val="none"/>
        </w:rPr>
        <w:t>四、提交投标文件截止时间、开标时间和地点</w:t>
      </w:r>
    </w:p>
    <w:p w14:paraId="5B18ADAE">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提交投标文件截止时间：</w:t>
      </w:r>
      <w:r>
        <w:rPr>
          <w:rFonts w:hint="eastAsia"/>
          <w:color w:val="auto"/>
          <w:sz w:val="22"/>
          <w:szCs w:val="22"/>
          <w:highlight w:val="none"/>
          <w:u w:val="none"/>
          <w:lang w:eastAsia="zh-CN"/>
        </w:rPr>
        <w:t>202</w:t>
      </w:r>
      <w:r>
        <w:rPr>
          <w:rFonts w:hint="eastAsia"/>
          <w:color w:val="auto"/>
          <w:sz w:val="22"/>
          <w:szCs w:val="22"/>
          <w:highlight w:val="none"/>
          <w:u w:val="none"/>
          <w:lang w:val="en-US" w:eastAsia="zh-CN"/>
        </w:rPr>
        <w:t>5</w:t>
      </w:r>
      <w:r>
        <w:rPr>
          <w:rFonts w:hint="eastAsia"/>
          <w:color w:val="auto"/>
          <w:sz w:val="22"/>
          <w:szCs w:val="22"/>
          <w:highlight w:val="none"/>
          <w:u w:val="none"/>
          <w:lang w:eastAsia="zh-CN"/>
        </w:rPr>
        <w:t>年</w:t>
      </w:r>
      <w:r>
        <w:rPr>
          <w:rFonts w:hint="eastAsia"/>
          <w:color w:val="auto"/>
          <w:sz w:val="22"/>
          <w:szCs w:val="22"/>
          <w:highlight w:val="none"/>
          <w:u w:val="none"/>
          <w:lang w:val="en-US" w:eastAsia="zh-CN"/>
        </w:rPr>
        <w:t>2</w:t>
      </w:r>
      <w:r>
        <w:rPr>
          <w:rFonts w:hint="eastAsia"/>
          <w:color w:val="auto"/>
          <w:sz w:val="22"/>
          <w:szCs w:val="22"/>
          <w:highlight w:val="none"/>
          <w:u w:val="none"/>
        </w:rPr>
        <w:t>月</w:t>
      </w:r>
      <w:r>
        <w:rPr>
          <w:rFonts w:hint="eastAsia"/>
          <w:color w:val="auto"/>
          <w:sz w:val="22"/>
          <w:szCs w:val="22"/>
          <w:highlight w:val="none"/>
          <w:u w:val="none"/>
          <w:lang w:val="en-US" w:eastAsia="zh-CN"/>
        </w:rPr>
        <w:t>17</w:t>
      </w:r>
      <w:r>
        <w:rPr>
          <w:rFonts w:hint="eastAsia"/>
          <w:color w:val="auto"/>
          <w:sz w:val="22"/>
          <w:szCs w:val="22"/>
          <w:highlight w:val="none"/>
          <w:u w:val="none"/>
        </w:rPr>
        <w:t>日</w:t>
      </w:r>
      <w:r>
        <w:rPr>
          <w:rFonts w:hint="eastAsia"/>
          <w:color w:val="auto"/>
          <w:sz w:val="22"/>
          <w:szCs w:val="22"/>
          <w:highlight w:val="none"/>
          <w:u w:val="none"/>
          <w:lang w:val="en-US" w:eastAsia="zh-CN"/>
        </w:rPr>
        <w:t>09</w:t>
      </w:r>
      <w:r>
        <w:rPr>
          <w:rFonts w:hint="eastAsia"/>
          <w:color w:val="auto"/>
          <w:sz w:val="22"/>
          <w:szCs w:val="22"/>
          <w:highlight w:val="none"/>
          <w:u w:val="none"/>
        </w:rPr>
        <w:t>点</w:t>
      </w:r>
      <w:r>
        <w:rPr>
          <w:rFonts w:hint="eastAsia"/>
          <w:color w:val="auto"/>
          <w:sz w:val="22"/>
          <w:szCs w:val="22"/>
          <w:highlight w:val="none"/>
          <w:u w:val="none"/>
          <w:lang w:val="en-US" w:eastAsia="zh-CN"/>
        </w:rPr>
        <w:t>30</w:t>
      </w:r>
      <w:r>
        <w:rPr>
          <w:rFonts w:hint="eastAsia"/>
          <w:color w:val="auto"/>
          <w:sz w:val="22"/>
          <w:szCs w:val="22"/>
          <w:highlight w:val="none"/>
          <w:u w:val="none"/>
        </w:rPr>
        <w:t>分（北京时间）</w:t>
      </w:r>
    </w:p>
    <w:p w14:paraId="6B3E3ECC">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投标地点（网址）：</w:t>
      </w:r>
      <w:r>
        <w:rPr>
          <w:rFonts w:hint="eastAsia"/>
          <w:color w:val="auto"/>
          <w:sz w:val="22"/>
          <w:highlight w:val="none"/>
        </w:rPr>
        <w:t>政采云平台</w:t>
      </w:r>
      <w:r>
        <w:rPr>
          <w:rFonts w:hint="eastAsia"/>
          <w:color w:val="auto"/>
          <w:sz w:val="22"/>
          <w:highlight w:val="none"/>
          <w:lang w:eastAsia="zh-CN"/>
        </w:rPr>
        <w:t>（</w:t>
      </w:r>
      <w:r>
        <w:rPr>
          <w:rFonts w:hint="eastAsia"/>
          <w:color w:val="auto"/>
          <w:sz w:val="22"/>
          <w:highlight w:val="none"/>
        </w:rPr>
        <w:t>http://zfcg.czt.zj.gov.cn</w:t>
      </w:r>
      <w:r>
        <w:rPr>
          <w:rFonts w:hint="eastAsia"/>
          <w:color w:val="auto"/>
          <w:sz w:val="22"/>
          <w:highlight w:val="none"/>
          <w:lang w:eastAsia="zh-CN"/>
        </w:rPr>
        <w:t>）</w:t>
      </w:r>
      <w:r>
        <w:rPr>
          <w:rFonts w:hint="eastAsia"/>
          <w:color w:val="auto"/>
          <w:sz w:val="22"/>
          <w:szCs w:val="22"/>
          <w:highlight w:val="none"/>
          <w:u w:val="none"/>
        </w:rPr>
        <w:t> </w:t>
      </w:r>
    </w:p>
    <w:p w14:paraId="3B211234">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开标时间：</w:t>
      </w:r>
      <w:r>
        <w:rPr>
          <w:rFonts w:hint="eastAsia"/>
          <w:color w:val="auto"/>
          <w:sz w:val="22"/>
          <w:szCs w:val="22"/>
          <w:highlight w:val="none"/>
          <w:u w:val="none"/>
          <w:lang w:eastAsia="zh-CN"/>
        </w:rPr>
        <w:t>2025年2月17日09点30分</w:t>
      </w:r>
      <w:r>
        <w:rPr>
          <w:rFonts w:hint="eastAsia"/>
          <w:color w:val="auto"/>
          <w:sz w:val="22"/>
          <w:szCs w:val="22"/>
          <w:highlight w:val="none"/>
          <w:u w:val="none"/>
        </w:rPr>
        <w:t> </w:t>
      </w:r>
    </w:p>
    <w:p w14:paraId="759E8DAA">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开标地点（网址）：</w:t>
      </w:r>
      <w:r>
        <w:rPr>
          <w:rFonts w:hint="eastAsia"/>
          <w:color w:val="auto"/>
          <w:sz w:val="22"/>
          <w:szCs w:val="22"/>
          <w:highlight w:val="none"/>
        </w:rPr>
        <w:t>温州市政务服务管理中心温州市会展路1268号A座3楼</w:t>
      </w:r>
      <w:r>
        <w:rPr>
          <w:rFonts w:hint="eastAsia"/>
          <w:color w:val="auto"/>
          <w:sz w:val="22"/>
          <w:highlight w:val="none"/>
        </w:rPr>
        <w:t>（政采云平台：http://zfcg.czt.zj.gov.cn）</w:t>
      </w:r>
      <w:r>
        <w:rPr>
          <w:rFonts w:hint="eastAsia"/>
          <w:color w:val="auto"/>
          <w:sz w:val="22"/>
          <w:szCs w:val="22"/>
          <w:highlight w:val="none"/>
          <w:u w:val="none"/>
        </w:rPr>
        <w:t>  </w:t>
      </w:r>
    </w:p>
    <w:p w14:paraId="6472AEE6">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textAlignment w:val="auto"/>
        <w:rPr>
          <w:rFonts w:hint="eastAsia"/>
          <w:color w:val="auto"/>
          <w:sz w:val="22"/>
          <w:szCs w:val="22"/>
          <w:highlight w:val="none"/>
          <w:u w:val="none"/>
        </w:rPr>
      </w:pPr>
      <w:r>
        <w:rPr>
          <w:rFonts w:hint="eastAsia"/>
          <w:b/>
          <w:bCs/>
          <w:color w:val="auto"/>
          <w:sz w:val="22"/>
          <w:szCs w:val="22"/>
          <w:highlight w:val="none"/>
          <w:u w:val="none"/>
        </w:rPr>
        <w:t>五、公告期限</w:t>
      </w:r>
      <w:r>
        <w:rPr>
          <w:rFonts w:hint="eastAsia"/>
          <w:color w:val="auto"/>
          <w:sz w:val="22"/>
          <w:szCs w:val="22"/>
          <w:highlight w:val="none"/>
          <w:u w:val="none"/>
        </w:rPr>
        <w:t> </w:t>
      </w:r>
    </w:p>
    <w:p w14:paraId="4C753275">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自本公告发布之日起5个工作日。</w:t>
      </w:r>
    </w:p>
    <w:p w14:paraId="47E01044">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textAlignment w:val="auto"/>
        <w:rPr>
          <w:rFonts w:hint="eastAsia"/>
          <w:b/>
          <w:bCs/>
          <w:color w:val="auto"/>
          <w:sz w:val="22"/>
          <w:szCs w:val="22"/>
          <w:highlight w:val="none"/>
          <w:u w:val="none"/>
        </w:rPr>
      </w:pPr>
      <w:r>
        <w:rPr>
          <w:rFonts w:hint="eastAsia"/>
          <w:b/>
          <w:bCs/>
          <w:color w:val="auto"/>
          <w:sz w:val="22"/>
          <w:szCs w:val="22"/>
          <w:highlight w:val="none"/>
          <w:u w:val="none"/>
        </w:rPr>
        <w:t>六、其他补充事宜</w:t>
      </w:r>
    </w:p>
    <w:p w14:paraId="43D48075">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47FC3246">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228262A">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6519E6D">
      <w:pPr>
        <w:pStyle w:val="47"/>
        <w:spacing w:before="75" w:beforeAutospacing="0" w:after="75" w:afterAutospacing="0" w:line="460" w:lineRule="exact"/>
        <w:ind w:firstLine="435"/>
        <w:rPr>
          <w:rFonts w:hint="eastAsia" w:eastAsia="宋体"/>
          <w:color w:val="auto"/>
          <w:sz w:val="22"/>
          <w:szCs w:val="22"/>
          <w:highlight w:val="none"/>
          <w:u w:val="none"/>
          <w:lang w:val="en-US" w:eastAsia="zh-CN"/>
        </w:rPr>
      </w:pPr>
      <w:r>
        <w:rPr>
          <w:rFonts w:hint="eastAsia" w:cs="宋体"/>
          <w:color w:val="auto"/>
          <w:sz w:val="22"/>
          <w:highlight w:val="none"/>
          <w:lang w:val="en-US" w:eastAsia="zh-CN"/>
        </w:rPr>
        <w:t>4</w:t>
      </w:r>
      <w:r>
        <w:rPr>
          <w:rFonts w:hint="eastAsia" w:ascii="宋体" w:hAnsi="宋体" w:eastAsia="宋体" w:cs="宋体"/>
          <w:color w:val="auto"/>
          <w:sz w:val="22"/>
          <w:highlight w:val="none"/>
          <w:lang w:val="en-US" w:eastAsia="zh-CN"/>
        </w:rPr>
        <w:t>.其他事项：（一）质疑投诉：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二）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投标文件的传输递交：投标人在投标截止时间前将加密的投标文件上传至政府采购云平台； ⑥投标文件的解密：投标人按照平台提示和招标文件的规定在半小时内完成在线解密；⑦ 具体操作指南：详见政采云平台“服务中心-帮助文档-项目采购-操作流程-电子招投标-政府采购项目电子交易管理操作指南-供应商”：浙江省政府采购项目政采云平台学习专题https://edu.zcygov.cn/luban/e-biding。</w:t>
      </w:r>
      <w:r>
        <w:rPr>
          <w:rFonts w:hint="eastAsia" w:cs="宋体"/>
          <w:color w:val="auto"/>
          <w:sz w:val="22"/>
          <w:highlight w:val="none"/>
          <w:lang w:val="en-US" w:eastAsia="zh-CN"/>
        </w:rPr>
        <w:t>（三）招标</w:t>
      </w:r>
      <w:r>
        <w:rPr>
          <w:rFonts w:hint="eastAsia" w:ascii="新宋体" w:hAnsi="新宋体" w:eastAsia="新宋体" w:cs="新宋体"/>
          <w:color w:val="auto"/>
          <w:sz w:val="22"/>
          <w:szCs w:val="22"/>
          <w:highlight w:val="none"/>
        </w:rPr>
        <w:t>公告附件的采购文件仅供阅览使用，未按照本公告规定的方式获取采购文件的潜在供应商提起的质疑采购组织机构将不予受理、答复。</w:t>
      </w:r>
    </w:p>
    <w:p w14:paraId="29C7E56B">
      <w:pPr>
        <w:keepNext w:val="0"/>
        <w:keepLines w:val="0"/>
        <w:pageBreakBefore w:val="0"/>
        <w:tabs>
          <w:tab w:val="left" w:pos="36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七、对本次招标提出询问，请按以下方式联系</w:t>
      </w:r>
      <w:r>
        <w:rPr>
          <w:rFonts w:hint="eastAsia" w:ascii="宋体" w:hAnsi="宋体" w:eastAsia="宋体" w:cs="宋体"/>
          <w:color w:val="auto"/>
          <w:sz w:val="22"/>
          <w:szCs w:val="22"/>
          <w:highlight w:val="none"/>
        </w:rPr>
        <w:t>　　　　　　　　　　　　</w:t>
      </w:r>
    </w:p>
    <w:p w14:paraId="14DC0B63">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1.采购人信息</w:t>
      </w:r>
    </w:p>
    <w:p w14:paraId="27089470">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名  称：温州市公安局交通管理局</w:t>
      </w:r>
    </w:p>
    <w:p w14:paraId="468D9F18">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地  址：温州市鹿城区金桥路1号 </w:t>
      </w:r>
    </w:p>
    <w:p w14:paraId="3DCBFB82">
      <w:pPr>
        <w:pStyle w:val="47"/>
        <w:spacing w:before="0" w:beforeAutospacing="0" w:after="0" w:afterAutospacing="0" w:line="460" w:lineRule="exact"/>
        <w:ind w:firstLine="440" w:firstLineChars="200"/>
        <w:rPr>
          <w:color w:val="auto"/>
          <w:sz w:val="22"/>
          <w:szCs w:val="22"/>
          <w:highlight w:val="none"/>
        </w:rPr>
      </w:pPr>
      <w:r>
        <w:rPr>
          <w:rFonts w:hint="eastAsia"/>
          <w:color w:val="auto"/>
          <w:sz w:val="22"/>
          <w:szCs w:val="22"/>
          <w:highlight w:val="none"/>
        </w:rPr>
        <w:t>传  真：   　　</w:t>
      </w:r>
    </w:p>
    <w:p w14:paraId="7532A705">
      <w:pPr>
        <w:pStyle w:val="47"/>
        <w:spacing w:before="0" w:beforeAutospacing="0" w:after="0" w:afterAutospacing="0" w:line="460" w:lineRule="exact"/>
        <w:ind w:firstLine="440" w:firstLineChars="200"/>
        <w:rPr>
          <w:rFonts w:ascii="宋体" w:hAnsi="宋体" w:cs="宋体"/>
          <w:color w:val="auto"/>
          <w:kern w:val="0"/>
          <w:sz w:val="22"/>
          <w:szCs w:val="27"/>
          <w:highlight w:val="none"/>
        </w:rPr>
      </w:pPr>
      <w:r>
        <w:rPr>
          <w:rFonts w:hint="eastAsia" w:ascii="宋体" w:hAnsi="宋体" w:cs="宋体"/>
          <w:color w:val="auto"/>
          <w:kern w:val="0"/>
          <w:sz w:val="22"/>
          <w:szCs w:val="27"/>
          <w:highlight w:val="none"/>
        </w:rPr>
        <w:t>项目联系人（询问）：余警官</w:t>
      </w:r>
    </w:p>
    <w:p w14:paraId="4E822639">
      <w:pPr>
        <w:pStyle w:val="47"/>
        <w:spacing w:before="0" w:beforeAutospacing="0" w:after="0" w:afterAutospacing="0" w:line="460" w:lineRule="exact"/>
        <w:ind w:firstLine="440" w:firstLineChars="200"/>
        <w:rPr>
          <w:rFonts w:ascii="宋体" w:hAnsi="宋体" w:cs="宋体"/>
          <w:color w:val="auto"/>
          <w:kern w:val="0"/>
          <w:sz w:val="22"/>
          <w:szCs w:val="27"/>
          <w:highlight w:val="none"/>
        </w:rPr>
      </w:pPr>
      <w:r>
        <w:rPr>
          <w:rFonts w:hint="eastAsia" w:ascii="宋体" w:hAnsi="宋体" w:cs="宋体"/>
          <w:color w:val="auto"/>
          <w:kern w:val="0"/>
          <w:sz w:val="22"/>
          <w:szCs w:val="27"/>
          <w:highlight w:val="none"/>
        </w:rPr>
        <w:t>项目联系方式（询问）：0577-88300253</w:t>
      </w:r>
    </w:p>
    <w:p w14:paraId="43E655AF">
      <w:pPr>
        <w:pStyle w:val="47"/>
        <w:spacing w:before="0" w:beforeAutospacing="0" w:after="0" w:afterAutospacing="0" w:line="460" w:lineRule="exact"/>
        <w:ind w:firstLine="440" w:firstLineChars="200"/>
        <w:rPr>
          <w:rFonts w:ascii="宋体" w:hAnsi="宋体" w:cs="宋体"/>
          <w:color w:val="auto"/>
          <w:kern w:val="0"/>
          <w:sz w:val="22"/>
          <w:szCs w:val="27"/>
          <w:highlight w:val="none"/>
        </w:rPr>
      </w:pPr>
      <w:r>
        <w:rPr>
          <w:rFonts w:hint="eastAsia" w:ascii="宋体" w:hAnsi="宋体" w:cs="宋体"/>
          <w:color w:val="auto"/>
          <w:kern w:val="0"/>
          <w:sz w:val="22"/>
          <w:szCs w:val="27"/>
          <w:highlight w:val="none"/>
        </w:rPr>
        <w:t>质疑联系人：张警官</w:t>
      </w:r>
    </w:p>
    <w:p w14:paraId="64281067">
      <w:pPr>
        <w:pStyle w:val="47"/>
        <w:spacing w:before="0" w:beforeAutospacing="0" w:after="0" w:afterAutospacing="0" w:line="460" w:lineRule="exact"/>
        <w:ind w:firstLine="440" w:firstLineChars="200"/>
        <w:rPr>
          <w:rFonts w:hint="eastAsia"/>
          <w:color w:val="auto"/>
          <w:sz w:val="22"/>
          <w:szCs w:val="22"/>
          <w:highlight w:val="none"/>
          <w:u w:val="none"/>
        </w:rPr>
      </w:pPr>
      <w:r>
        <w:rPr>
          <w:rFonts w:hint="eastAsia" w:ascii="宋体" w:hAnsi="宋体" w:cs="宋体"/>
          <w:color w:val="auto"/>
          <w:kern w:val="0"/>
          <w:sz w:val="22"/>
          <w:szCs w:val="27"/>
          <w:highlight w:val="none"/>
        </w:rPr>
        <w:t>质疑联系方式：0577-883002550</w:t>
      </w:r>
      <w:r>
        <w:rPr>
          <w:rFonts w:hint="eastAsia"/>
          <w:color w:val="auto"/>
          <w:sz w:val="22"/>
          <w:szCs w:val="22"/>
          <w:highlight w:val="none"/>
          <w:u w:val="none"/>
        </w:rPr>
        <w:t>　　　　　　　</w:t>
      </w:r>
    </w:p>
    <w:p w14:paraId="69D7B5C7">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textAlignment w:val="auto"/>
        <w:rPr>
          <w:rFonts w:hint="eastAsia"/>
          <w:color w:val="auto"/>
          <w:sz w:val="22"/>
          <w:szCs w:val="22"/>
          <w:highlight w:val="none"/>
          <w:u w:val="none"/>
        </w:rPr>
      </w:pPr>
      <w:r>
        <w:rPr>
          <w:rFonts w:hint="eastAsia"/>
          <w:color w:val="auto"/>
          <w:sz w:val="22"/>
          <w:szCs w:val="22"/>
          <w:highlight w:val="none"/>
          <w:u w:val="none"/>
        </w:rPr>
        <w:t>  2.采购代理机构信息</w:t>
      </w:r>
    </w:p>
    <w:p w14:paraId="3CAE5E50">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名  称：</w:t>
      </w:r>
      <w:r>
        <w:rPr>
          <w:rFonts w:hint="eastAsia"/>
          <w:color w:val="auto"/>
          <w:sz w:val="22"/>
          <w:szCs w:val="22"/>
          <w:highlight w:val="none"/>
          <w:u w:val="none"/>
          <w:lang w:val="en-US" w:eastAsia="zh-CN"/>
        </w:rPr>
        <w:t>温州历程招标有限公司</w:t>
      </w:r>
      <w:r>
        <w:rPr>
          <w:rFonts w:hint="eastAsia"/>
          <w:color w:val="auto"/>
          <w:sz w:val="22"/>
          <w:szCs w:val="22"/>
          <w:highlight w:val="none"/>
          <w:u w:val="none"/>
        </w:rPr>
        <w:t> </w:t>
      </w:r>
    </w:p>
    <w:p w14:paraId="128098E6">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地  址：</w:t>
      </w:r>
      <w:r>
        <w:rPr>
          <w:rFonts w:hint="eastAsia"/>
          <w:color w:val="auto"/>
          <w:sz w:val="22"/>
          <w:szCs w:val="22"/>
          <w:highlight w:val="none"/>
          <w:lang w:eastAsia="zh-CN"/>
        </w:rPr>
        <w:t>温州市鹿城区勤民路鹿城壹号18幢803室</w:t>
      </w:r>
    </w:p>
    <w:p w14:paraId="133E3C49">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 xml:space="preserve">传  真：0577-89887255   </w:t>
      </w:r>
    </w:p>
    <w:p w14:paraId="20DABBD7">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 xml:space="preserve">项目联系人（询问）： </w:t>
      </w:r>
      <w:r>
        <w:rPr>
          <w:rFonts w:hint="eastAsia"/>
          <w:color w:val="auto"/>
          <w:sz w:val="22"/>
          <w:szCs w:val="22"/>
          <w:highlight w:val="none"/>
          <w:u w:val="none"/>
          <w:lang w:val="en-US" w:eastAsia="zh-CN"/>
        </w:rPr>
        <w:t>张斌</w:t>
      </w:r>
      <w:r>
        <w:rPr>
          <w:rFonts w:hint="eastAsia"/>
          <w:color w:val="auto"/>
          <w:sz w:val="22"/>
          <w:szCs w:val="22"/>
          <w:highlight w:val="none"/>
          <w:u w:val="none"/>
        </w:rPr>
        <w:t>、郑永强 </w:t>
      </w:r>
    </w:p>
    <w:p w14:paraId="6C613385">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项目联系方式（询问）：0577-89887322、13757727199</w:t>
      </w:r>
    </w:p>
    <w:p w14:paraId="47B8684C">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default" w:eastAsia="宋体"/>
          <w:color w:val="auto"/>
          <w:sz w:val="22"/>
          <w:szCs w:val="22"/>
          <w:highlight w:val="none"/>
          <w:u w:val="none"/>
          <w:lang w:val="en-US" w:eastAsia="zh-CN"/>
        </w:rPr>
      </w:pPr>
      <w:r>
        <w:rPr>
          <w:rFonts w:hint="eastAsia"/>
          <w:color w:val="auto"/>
          <w:sz w:val="22"/>
          <w:szCs w:val="22"/>
          <w:highlight w:val="none"/>
          <w:u w:val="none"/>
        </w:rPr>
        <w:t>质疑联系人：</w:t>
      </w:r>
      <w:r>
        <w:rPr>
          <w:rFonts w:hint="eastAsia"/>
          <w:color w:val="auto"/>
          <w:sz w:val="22"/>
          <w:szCs w:val="22"/>
          <w:highlight w:val="none"/>
          <w:u w:val="none"/>
          <w:lang w:val="en-US" w:eastAsia="zh-CN"/>
        </w:rPr>
        <w:t>肖忠文</w:t>
      </w:r>
    </w:p>
    <w:p w14:paraId="636275E3">
      <w:pPr>
        <w:pStyle w:val="47"/>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40" w:firstLineChars="200"/>
        <w:textAlignment w:val="auto"/>
        <w:rPr>
          <w:rFonts w:hint="eastAsia"/>
          <w:color w:val="auto"/>
          <w:sz w:val="22"/>
          <w:szCs w:val="22"/>
          <w:highlight w:val="none"/>
          <w:u w:val="none"/>
        </w:rPr>
      </w:pPr>
      <w:r>
        <w:rPr>
          <w:rFonts w:hint="eastAsia"/>
          <w:color w:val="auto"/>
          <w:sz w:val="22"/>
          <w:szCs w:val="22"/>
          <w:highlight w:val="none"/>
          <w:u w:val="none"/>
        </w:rPr>
        <w:t>质疑联系方式：13757727199 </w:t>
      </w:r>
    </w:p>
    <w:p w14:paraId="43424220">
      <w:pPr>
        <w:tabs>
          <w:tab w:val="left" w:pos="360"/>
        </w:tabs>
        <w:spacing w:line="460" w:lineRule="exact"/>
        <w:ind w:firstLine="550" w:firstLineChars="25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3.同级政府采购监督管理部门</w:t>
      </w:r>
    </w:p>
    <w:p w14:paraId="6BE0EB6C">
      <w:pPr>
        <w:tabs>
          <w:tab w:val="left" w:pos="360"/>
        </w:tabs>
        <w:spacing w:line="460" w:lineRule="exact"/>
        <w:ind w:firstLine="550" w:firstLineChars="25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名    称：温州市财政局政府采购监管处 </w:t>
      </w:r>
    </w:p>
    <w:p w14:paraId="4087A3C7">
      <w:pPr>
        <w:tabs>
          <w:tab w:val="left" w:pos="360"/>
        </w:tabs>
        <w:spacing w:line="460" w:lineRule="exact"/>
        <w:ind w:firstLine="550" w:firstLineChars="25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地    址：温州市鹿城区绣山路299号 </w:t>
      </w:r>
    </w:p>
    <w:p w14:paraId="324D8C30">
      <w:pPr>
        <w:tabs>
          <w:tab w:val="left" w:pos="360"/>
        </w:tabs>
        <w:spacing w:line="460" w:lineRule="exact"/>
        <w:ind w:firstLine="550" w:firstLineChars="25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 xml:space="preserve">传    </w:t>
      </w:r>
      <w:r>
        <w:rPr>
          <w:rFonts w:hint="eastAsia" w:ascii="宋体" w:hAnsi="宋体" w:cs="宋体"/>
          <w:color w:val="auto"/>
          <w:sz w:val="22"/>
          <w:highlight w:val="none"/>
          <w:lang w:val="en-US" w:eastAsia="zh-CN"/>
        </w:rPr>
        <w:t xml:space="preserve"> </w:t>
      </w:r>
      <w:r>
        <w:rPr>
          <w:rFonts w:hint="eastAsia" w:ascii="宋体" w:hAnsi="宋体" w:eastAsia="宋体" w:cs="宋体"/>
          <w:color w:val="auto"/>
          <w:sz w:val="22"/>
          <w:highlight w:val="none"/>
          <w:lang w:val="en-US" w:eastAsia="zh-CN"/>
        </w:rPr>
        <w:t>真：/ </w:t>
      </w:r>
    </w:p>
    <w:p w14:paraId="1C0B0EAA">
      <w:pPr>
        <w:tabs>
          <w:tab w:val="left" w:pos="360"/>
        </w:tabs>
        <w:spacing w:line="460" w:lineRule="exact"/>
        <w:ind w:firstLine="550" w:firstLineChars="250"/>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t>联系人：项先生、缪女士</w:t>
      </w:r>
    </w:p>
    <w:p w14:paraId="6F3D5250">
      <w:pPr>
        <w:tabs>
          <w:tab w:val="left" w:pos="360"/>
        </w:tabs>
        <w:spacing w:line="460" w:lineRule="exact"/>
        <w:ind w:firstLine="550" w:firstLineChars="250"/>
        <w:rPr>
          <w:rFonts w:hint="eastAsia"/>
          <w:color w:val="auto"/>
          <w:sz w:val="22"/>
          <w:szCs w:val="22"/>
          <w:highlight w:val="none"/>
          <w:u w:val="none"/>
        </w:rPr>
      </w:pPr>
      <w:r>
        <w:rPr>
          <w:rFonts w:hint="eastAsia" w:ascii="宋体" w:hAnsi="宋体" w:eastAsia="宋体" w:cs="宋体"/>
          <w:color w:val="auto"/>
          <w:sz w:val="22"/>
          <w:highlight w:val="none"/>
          <w:lang w:val="en-US" w:eastAsia="zh-CN"/>
        </w:rPr>
        <w:t>监督投诉电话：0577-88532725、88503817</w:t>
      </w:r>
    </w:p>
    <w:p w14:paraId="421A9130">
      <w:pPr>
        <w:rPr>
          <w:rFonts w:hint="eastAsia" w:ascii="宋体" w:hAnsi="宋体" w:eastAsia="宋体" w:cs="宋体"/>
          <w:color w:val="auto"/>
          <w:highlight w:val="none"/>
        </w:rPr>
      </w:pPr>
      <w:bookmarkStart w:id="2" w:name="_Toc5772"/>
      <w:r>
        <w:rPr>
          <w:rFonts w:hint="eastAsia" w:ascii="宋体" w:hAnsi="宋体" w:eastAsia="宋体" w:cs="宋体"/>
          <w:color w:val="auto"/>
          <w:highlight w:val="none"/>
        </w:rPr>
        <w:br w:type="page"/>
      </w:r>
    </w:p>
    <w:p w14:paraId="65A8EFFA">
      <w:pPr>
        <w:pStyle w:val="2"/>
        <w:bidi w:val="0"/>
        <w:rPr>
          <w:rFonts w:hint="eastAsia" w:ascii="宋体" w:hAnsi="宋体" w:eastAsia="宋体" w:cs="宋体"/>
          <w:color w:val="auto"/>
          <w:highlight w:val="none"/>
        </w:rPr>
      </w:pPr>
      <w:bookmarkStart w:id="3" w:name="_Toc1324"/>
      <w:r>
        <w:rPr>
          <w:rFonts w:hint="eastAsia" w:ascii="宋体" w:hAnsi="宋体" w:eastAsia="宋体" w:cs="宋体"/>
          <w:color w:val="auto"/>
          <w:highlight w:val="none"/>
        </w:rPr>
        <w:t>第一部分    投标人须知</w:t>
      </w:r>
      <w:bookmarkEnd w:id="2"/>
      <w:bookmarkEnd w:id="3"/>
    </w:p>
    <w:p w14:paraId="10B86B9F">
      <w:pPr>
        <w:keepNext/>
        <w:keepLines/>
        <w:shd w:val="clear" w:color="auto" w:fill="FFFFFF"/>
        <w:tabs>
          <w:tab w:val="left" w:pos="706"/>
        </w:tabs>
        <w:snapToGrid w:val="0"/>
        <w:spacing w:line="360" w:lineRule="auto"/>
        <w:jc w:val="center"/>
        <w:outlineLvl w:val="1"/>
        <w:rPr>
          <w:rFonts w:hint="eastAsia" w:ascii="宋体" w:hAnsi="宋体" w:eastAsia="宋体" w:cs="宋体"/>
          <w:b/>
          <w:bCs/>
          <w:color w:val="auto"/>
          <w:sz w:val="24"/>
          <w:highlight w:val="none"/>
        </w:rPr>
      </w:pPr>
      <w:bookmarkStart w:id="4" w:name="_Toc354996695"/>
      <w:bookmarkStart w:id="5" w:name="_Toc233618971"/>
      <w:bookmarkStart w:id="6" w:name="_Toc1839"/>
      <w:bookmarkStart w:id="7" w:name="_Toc33194387"/>
      <w:bookmarkStart w:id="8" w:name="_Toc20043"/>
      <w:r>
        <w:rPr>
          <w:rFonts w:hint="eastAsia" w:ascii="宋体" w:hAnsi="宋体" w:eastAsia="宋体" w:cs="宋体"/>
          <w:b/>
          <w:bCs/>
          <w:color w:val="auto"/>
          <w:sz w:val="24"/>
          <w:highlight w:val="none"/>
        </w:rPr>
        <w:t>前 附 表</w:t>
      </w:r>
      <w:bookmarkEnd w:id="4"/>
      <w:bookmarkEnd w:id="5"/>
      <w:bookmarkEnd w:id="6"/>
      <w:bookmarkEnd w:id="7"/>
      <w:bookmarkEnd w:id="8"/>
    </w:p>
    <w:tbl>
      <w:tblPr>
        <w:tblStyle w:val="52"/>
        <w:tblW w:w="103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85"/>
        <w:gridCol w:w="9590"/>
      </w:tblGrid>
      <w:tr w14:paraId="0AFA7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8" w:space="0"/>
              <w:left w:val="single" w:color="000000" w:sz="8" w:space="0"/>
              <w:bottom w:val="single" w:color="000000" w:sz="2" w:space="0"/>
              <w:right w:val="single" w:color="000000" w:sz="2" w:space="0"/>
            </w:tcBorders>
            <w:vAlign w:val="center"/>
          </w:tcPr>
          <w:p w14:paraId="0F7DE371">
            <w:pPr>
              <w:snapToGrid w:val="0"/>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条款</w:t>
            </w:r>
          </w:p>
        </w:tc>
        <w:tc>
          <w:tcPr>
            <w:tcW w:w="9590" w:type="dxa"/>
            <w:tcBorders>
              <w:top w:val="single" w:color="000000" w:sz="8" w:space="0"/>
              <w:left w:val="single" w:color="000000" w:sz="2" w:space="0"/>
              <w:bottom w:val="single" w:color="000000" w:sz="2" w:space="0"/>
              <w:right w:val="single" w:color="000000" w:sz="8" w:space="0"/>
            </w:tcBorders>
            <w:vAlign w:val="center"/>
          </w:tcPr>
          <w:p w14:paraId="35F5934D">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内容规定</w:t>
            </w:r>
          </w:p>
        </w:tc>
      </w:tr>
      <w:tr w14:paraId="61A69F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31F1DF04">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w:t>
            </w:r>
          </w:p>
        </w:tc>
        <w:tc>
          <w:tcPr>
            <w:tcW w:w="9590" w:type="dxa"/>
            <w:tcBorders>
              <w:top w:val="single" w:color="000000" w:sz="2" w:space="0"/>
              <w:left w:val="single" w:color="000000" w:sz="2" w:space="0"/>
              <w:bottom w:val="single" w:color="000000" w:sz="2" w:space="0"/>
              <w:right w:val="single" w:color="000000" w:sz="8" w:space="0"/>
            </w:tcBorders>
          </w:tcPr>
          <w:p w14:paraId="64F854D0">
            <w:pPr>
              <w:tabs>
                <w:tab w:val="left" w:pos="3780"/>
              </w:tabs>
              <w:snapToGrid w:val="0"/>
              <w:spacing w:line="460" w:lineRule="exact"/>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rPr>
              <w:t>一、项目名称</w:t>
            </w: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eastAsia="zh-CN"/>
              </w:rPr>
              <w:t>2024-2025年市区道路交通安全设施维护项目(第一期)</w:t>
            </w:r>
          </w:p>
          <w:p w14:paraId="1100A4A7">
            <w:pPr>
              <w:spacing w:line="460" w:lineRule="exact"/>
              <w:rPr>
                <w:rFonts w:ascii="宋体" w:hAnsi="宋体" w:cs="宋体"/>
                <w:b/>
                <w:bCs/>
                <w:color w:val="auto"/>
                <w:sz w:val="22"/>
                <w:szCs w:val="22"/>
                <w:highlight w:val="none"/>
              </w:rPr>
            </w:pPr>
            <w:bookmarkStart w:id="9" w:name="_Hlt75139851"/>
            <w:bookmarkEnd w:id="9"/>
            <w:r>
              <w:rPr>
                <w:rFonts w:hint="eastAsia" w:ascii="宋体" w:hAnsi="宋体" w:cs="宋体"/>
                <w:b/>
                <w:bCs/>
                <w:color w:val="auto"/>
                <w:sz w:val="22"/>
                <w:szCs w:val="22"/>
                <w:highlight w:val="none"/>
              </w:rPr>
              <w:t>二、采购内容：</w:t>
            </w:r>
          </w:p>
          <w:tbl>
            <w:tblPr>
              <w:tblStyle w:val="52"/>
              <w:tblW w:w="904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0"/>
              <w:gridCol w:w="4327"/>
              <w:gridCol w:w="718"/>
              <w:gridCol w:w="1703"/>
              <w:gridCol w:w="1565"/>
            </w:tblGrid>
            <w:tr w14:paraId="07E137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14:paraId="7C0EFAB5">
                  <w:pPr>
                    <w:tabs>
                      <w:tab w:val="left" w:pos="360"/>
                    </w:tabs>
                    <w:spacing w:line="460" w:lineRule="exact"/>
                    <w:jc w:val="center"/>
                    <w:rPr>
                      <w:rFonts w:hint="eastAsia" w:ascii="宋体" w:hAnsi="宋体" w:eastAsia="宋体" w:cs="宋体"/>
                      <w:color w:val="auto"/>
                      <w:sz w:val="22"/>
                      <w:szCs w:val="22"/>
                      <w:highlight w:val="none"/>
                      <w:shd w:val="clear" w:color="auto" w:fill="FFFFFF"/>
                      <w:lang w:eastAsia="zh-CN"/>
                    </w:rPr>
                  </w:pPr>
                  <w:r>
                    <w:rPr>
                      <w:rFonts w:hint="eastAsia" w:ascii="宋体" w:hAnsi="宋体" w:cs="宋体"/>
                      <w:color w:val="auto"/>
                      <w:sz w:val="22"/>
                      <w:szCs w:val="22"/>
                      <w:highlight w:val="none"/>
                      <w:shd w:val="clear" w:color="auto" w:fill="FFFFFF"/>
                      <w:lang w:eastAsia="zh-CN"/>
                    </w:rPr>
                    <w:t>标项</w:t>
                  </w:r>
                </w:p>
              </w:tc>
              <w:tc>
                <w:tcPr>
                  <w:tcW w:w="4327" w:type="dxa"/>
                  <w:tcBorders>
                    <w:top w:val="single" w:color="auto" w:sz="4" w:space="0"/>
                    <w:left w:val="single" w:color="auto" w:sz="4" w:space="0"/>
                    <w:bottom w:val="single" w:color="auto" w:sz="4" w:space="0"/>
                    <w:right w:val="single" w:color="auto" w:sz="4" w:space="0"/>
                  </w:tcBorders>
                  <w:vAlign w:val="center"/>
                </w:tcPr>
                <w:p w14:paraId="0204A8EA">
                  <w:pPr>
                    <w:tabs>
                      <w:tab w:val="left" w:pos="360"/>
                    </w:tabs>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项目名称</w:t>
                  </w:r>
                </w:p>
              </w:tc>
              <w:tc>
                <w:tcPr>
                  <w:tcW w:w="718" w:type="dxa"/>
                  <w:tcBorders>
                    <w:top w:val="single" w:color="auto" w:sz="4" w:space="0"/>
                    <w:left w:val="single" w:color="auto" w:sz="4" w:space="0"/>
                    <w:bottom w:val="single" w:color="auto" w:sz="4" w:space="0"/>
                    <w:right w:val="single" w:color="auto" w:sz="4" w:space="0"/>
                  </w:tcBorders>
                  <w:vAlign w:val="center"/>
                </w:tcPr>
                <w:p w14:paraId="250ED4B3">
                  <w:pPr>
                    <w:tabs>
                      <w:tab w:val="left" w:pos="360"/>
                    </w:tabs>
                    <w:spacing w:line="460" w:lineRule="exact"/>
                    <w:jc w:val="center"/>
                    <w:rPr>
                      <w:rFonts w:ascii="宋体" w:hAnsi="宋体" w:cs="宋体"/>
                      <w:color w:val="auto"/>
                      <w:sz w:val="22"/>
                      <w:szCs w:val="22"/>
                      <w:highlight w:val="none"/>
                      <w:shd w:val="clear" w:color="auto" w:fill="FFFFFF"/>
                    </w:rPr>
                  </w:pPr>
                  <w:r>
                    <w:rPr>
                      <w:rFonts w:hint="eastAsia" w:ascii="宋体" w:hAnsi="宋体" w:cs="宋体"/>
                      <w:color w:val="auto"/>
                      <w:sz w:val="22"/>
                      <w:szCs w:val="22"/>
                      <w:highlight w:val="none"/>
                    </w:rPr>
                    <w:t>单位</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14:paraId="70041D63">
                  <w:pPr>
                    <w:tabs>
                      <w:tab w:val="left" w:pos="360"/>
                    </w:tabs>
                    <w:spacing w:line="460" w:lineRule="exact"/>
                    <w:jc w:val="center"/>
                    <w:rPr>
                      <w:rFonts w:ascii="宋体" w:hAnsi="宋体" w:cs="宋体"/>
                      <w:color w:val="auto"/>
                      <w:sz w:val="22"/>
                      <w:szCs w:val="22"/>
                      <w:highlight w:val="none"/>
                    </w:rPr>
                  </w:pPr>
                  <w:r>
                    <w:rPr>
                      <w:rFonts w:hint="eastAsia" w:ascii="宋体" w:hAnsi="宋体" w:cs="宋体"/>
                      <w:color w:val="auto"/>
                      <w:sz w:val="22"/>
                      <w:highlight w:val="none"/>
                    </w:rPr>
                    <w:t>预算金额（元）</w:t>
                  </w:r>
                </w:p>
              </w:tc>
              <w:tc>
                <w:tcPr>
                  <w:tcW w:w="1565" w:type="dxa"/>
                  <w:tcBorders>
                    <w:top w:val="single" w:color="auto" w:sz="4" w:space="0"/>
                    <w:left w:val="single" w:color="auto" w:sz="4" w:space="0"/>
                    <w:bottom w:val="single" w:color="auto" w:sz="4" w:space="0"/>
                    <w:right w:val="single" w:color="auto" w:sz="4" w:space="0"/>
                  </w:tcBorders>
                  <w:vAlign w:val="center"/>
                </w:tcPr>
                <w:p w14:paraId="0A0096A4">
                  <w:pPr>
                    <w:widowControl/>
                    <w:snapToGrid w:val="0"/>
                    <w:spacing w:line="460" w:lineRule="exact"/>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简要技术要求、用途</w:t>
                  </w:r>
                </w:p>
              </w:tc>
            </w:tr>
            <w:tr w14:paraId="042EC9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2"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14:paraId="650FF3CB">
                  <w:pPr>
                    <w:tabs>
                      <w:tab w:val="left" w:pos="360"/>
                    </w:tabs>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4327" w:type="dxa"/>
                  <w:tcBorders>
                    <w:top w:val="single" w:color="auto" w:sz="4" w:space="0"/>
                    <w:left w:val="single" w:color="auto" w:sz="4" w:space="0"/>
                    <w:bottom w:val="single" w:color="auto" w:sz="4" w:space="0"/>
                    <w:right w:val="single" w:color="auto" w:sz="4" w:space="0"/>
                  </w:tcBorders>
                  <w:vAlign w:val="center"/>
                </w:tcPr>
                <w:p w14:paraId="0DF55A70">
                  <w:pPr>
                    <w:spacing w:line="460" w:lineRule="exact"/>
                    <w:jc w:val="center"/>
                    <w:rPr>
                      <w:rFonts w:ascii="宋体" w:hAnsi="宋体" w:cs="宋体"/>
                      <w:color w:val="auto"/>
                      <w:sz w:val="22"/>
                      <w:highlight w:val="none"/>
                    </w:rPr>
                  </w:pPr>
                  <w:r>
                    <w:rPr>
                      <w:rFonts w:hint="eastAsia" w:ascii="宋体" w:hAnsi="宋体" w:cs="宋体"/>
                      <w:color w:val="auto"/>
                      <w:sz w:val="22"/>
                      <w:highlight w:val="none"/>
                      <w:lang w:eastAsia="zh-CN"/>
                    </w:rPr>
                    <w:t>温州市区（市本级）道路标志、标线、隔离护栏及其他设施建设维护项目</w:t>
                  </w:r>
                </w:p>
              </w:tc>
              <w:tc>
                <w:tcPr>
                  <w:tcW w:w="718" w:type="dxa"/>
                  <w:tcBorders>
                    <w:top w:val="single" w:color="auto" w:sz="4" w:space="0"/>
                    <w:left w:val="single" w:color="auto" w:sz="4" w:space="0"/>
                    <w:bottom w:val="single" w:color="auto" w:sz="4" w:space="0"/>
                    <w:right w:val="single" w:color="auto" w:sz="4" w:space="0"/>
                  </w:tcBorders>
                  <w:vAlign w:val="center"/>
                </w:tcPr>
                <w:p w14:paraId="7521BA14">
                  <w:pPr>
                    <w:tabs>
                      <w:tab w:val="left" w:pos="360"/>
                    </w:tabs>
                    <w:spacing w:line="460" w:lineRule="exact"/>
                    <w:jc w:val="center"/>
                    <w:rPr>
                      <w:rFonts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1项</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14:paraId="27A4A590">
                  <w:pPr>
                    <w:tabs>
                      <w:tab w:val="left" w:pos="360"/>
                    </w:tabs>
                    <w:spacing w:line="460" w:lineRule="exact"/>
                    <w:jc w:val="center"/>
                    <w:rPr>
                      <w:rFonts w:hint="default" w:ascii="宋体" w:hAnsi="宋体" w:eastAsia="宋体" w:cs="宋体"/>
                      <w:color w:val="auto"/>
                      <w:sz w:val="22"/>
                      <w:szCs w:val="22"/>
                      <w:highlight w:val="none"/>
                      <w:shd w:val="clear" w:color="auto" w:fill="FFFFFF"/>
                      <w:lang w:val="en-US" w:eastAsia="zh-CN"/>
                    </w:rPr>
                  </w:pPr>
                  <w:r>
                    <w:rPr>
                      <w:rFonts w:hint="eastAsia" w:ascii="宋体" w:hAnsi="宋体" w:cs="宋体"/>
                      <w:color w:val="auto"/>
                      <w:sz w:val="22"/>
                      <w:szCs w:val="22"/>
                      <w:highlight w:val="none"/>
                      <w:shd w:val="clear" w:color="auto" w:fill="FFFFFF"/>
                      <w:lang w:val="en-US" w:eastAsia="zh-CN"/>
                    </w:rPr>
                    <w:t>1500000</w:t>
                  </w:r>
                </w:p>
              </w:tc>
              <w:tc>
                <w:tcPr>
                  <w:tcW w:w="1565" w:type="dxa"/>
                  <w:vMerge w:val="restart"/>
                  <w:tcBorders>
                    <w:top w:val="single" w:color="auto" w:sz="4" w:space="0"/>
                    <w:left w:val="single" w:color="auto" w:sz="4" w:space="0"/>
                    <w:right w:val="single" w:color="auto" w:sz="4" w:space="0"/>
                  </w:tcBorders>
                  <w:vAlign w:val="center"/>
                </w:tcPr>
                <w:p w14:paraId="6FCBCE2C">
                  <w:pPr>
                    <w:shd w:val="clear" w:color="auto" w:fill="FFFFFF"/>
                    <w:snapToGrid w:val="0"/>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详见招标文件第四部分“项目技术规范和服务要求”</w:t>
                  </w:r>
                </w:p>
              </w:tc>
            </w:tr>
            <w:tr w14:paraId="16FCF9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2"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14:paraId="03F7B19B">
                  <w:pPr>
                    <w:tabs>
                      <w:tab w:val="left" w:pos="360"/>
                    </w:tabs>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4327" w:type="dxa"/>
                  <w:tcBorders>
                    <w:top w:val="single" w:color="auto" w:sz="4" w:space="0"/>
                    <w:left w:val="single" w:color="auto" w:sz="4" w:space="0"/>
                    <w:bottom w:val="single" w:color="auto" w:sz="4" w:space="0"/>
                    <w:right w:val="single" w:color="auto" w:sz="4" w:space="0"/>
                  </w:tcBorders>
                  <w:vAlign w:val="center"/>
                </w:tcPr>
                <w:p w14:paraId="4CBA8072">
                  <w:pPr>
                    <w:spacing w:line="460" w:lineRule="exact"/>
                    <w:jc w:val="center"/>
                    <w:rPr>
                      <w:rFonts w:ascii="宋体" w:hAnsi="宋体" w:cs="宋体"/>
                      <w:color w:val="auto"/>
                      <w:sz w:val="22"/>
                      <w:highlight w:val="none"/>
                    </w:rPr>
                  </w:pPr>
                  <w:r>
                    <w:rPr>
                      <w:rFonts w:hint="eastAsia" w:ascii="宋体" w:hAnsi="宋体" w:cs="宋体"/>
                      <w:color w:val="auto"/>
                      <w:sz w:val="22"/>
                      <w:highlight w:val="none"/>
                      <w:lang w:eastAsia="zh-CN"/>
                    </w:rPr>
                    <w:t>温州市区（鹿城区）道路标志、标线、隔离护栏及其他设施建设维护项目</w:t>
                  </w:r>
                </w:p>
              </w:tc>
              <w:tc>
                <w:tcPr>
                  <w:tcW w:w="718" w:type="dxa"/>
                  <w:tcBorders>
                    <w:top w:val="single" w:color="auto" w:sz="4" w:space="0"/>
                    <w:left w:val="single" w:color="auto" w:sz="4" w:space="0"/>
                    <w:bottom w:val="single" w:color="auto" w:sz="4" w:space="0"/>
                    <w:right w:val="single" w:color="auto" w:sz="4" w:space="0"/>
                  </w:tcBorders>
                  <w:vAlign w:val="center"/>
                </w:tcPr>
                <w:p w14:paraId="5215DB31">
                  <w:pPr>
                    <w:tabs>
                      <w:tab w:val="left" w:pos="360"/>
                    </w:tabs>
                    <w:spacing w:line="460" w:lineRule="exact"/>
                    <w:jc w:val="center"/>
                    <w:rPr>
                      <w:rFonts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1项</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14:paraId="2D5B7DC6">
                  <w:pPr>
                    <w:tabs>
                      <w:tab w:val="left" w:pos="360"/>
                    </w:tabs>
                    <w:spacing w:line="460" w:lineRule="exact"/>
                    <w:jc w:val="center"/>
                    <w:rPr>
                      <w:rFonts w:hint="default" w:ascii="宋体" w:hAnsi="宋体" w:eastAsia="宋体" w:cs="宋体"/>
                      <w:color w:val="auto"/>
                      <w:sz w:val="22"/>
                      <w:szCs w:val="22"/>
                      <w:highlight w:val="none"/>
                      <w:shd w:val="clear" w:color="auto" w:fill="FFFFFF"/>
                      <w:lang w:val="en-US" w:eastAsia="zh-CN"/>
                    </w:rPr>
                  </w:pPr>
                  <w:r>
                    <w:rPr>
                      <w:rFonts w:hint="eastAsia" w:ascii="宋体" w:hAnsi="宋体" w:cs="宋体"/>
                      <w:color w:val="auto"/>
                      <w:sz w:val="22"/>
                      <w:szCs w:val="22"/>
                      <w:highlight w:val="none"/>
                      <w:shd w:val="clear" w:color="auto" w:fill="FFFFFF"/>
                      <w:lang w:val="en-US" w:eastAsia="zh-CN"/>
                    </w:rPr>
                    <w:t>6000000</w:t>
                  </w:r>
                </w:p>
              </w:tc>
              <w:tc>
                <w:tcPr>
                  <w:tcW w:w="1565" w:type="dxa"/>
                  <w:vMerge w:val="continue"/>
                  <w:tcBorders>
                    <w:left w:val="single" w:color="auto" w:sz="4" w:space="0"/>
                    <w:right w:val="single" w:color="auto" w:sz="4" w:space="0"/>
                  </w:tcBorders>
                  <w:vAlign w:val="center"/>
                </w:tcPr>
                <w:p w14:paraId="64FEA028">
                  <w:pPr>
                    <w:shd w:val="clear" w:color="auto" w:fill="FFFFFF"/>
                    <w:snapToGrid w:val="0"/>
                    <w:spacing w:line="460" w:lineRule="exact"/>
                    <w:jc w:val="center"/>
                    <w:rPr>
                      <w:rFonts w:ascii="宋体" w:hAnsi="宋体" w:cs="宋体"/>
                      <w:color w:val="auto"/>
                      <w:sz w:val="22"/>
                      <w:szCs w:val="22"/>
                      <w:highlight w:val="none"/>
                    </w:rPr>
                  </w:pPr>
                </w:p>
              </w:tc>
            </w:tr>
            <w:tr w14:paraId="04ADA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2" w:hRule="atLeast"/>
                <w:jc w:val="center"/>
              </w:trPr>
              <w:tc>
                <w:tcPr>
                  <w:tcW w:w="730" w:type="dxa"/>
                  <w:tcBorders>
                    <w:top w:val="single" w:color="auto" w:sz="4" w:space="0"/>
                    <w:left w:val="single" w:color="auto" w:sz="4" w:space="0"/>
                    <w:bottom w:val="single" w:color="auto" w:sz="4" w:space="0"/>
                    <w:right w:val="single" w:color="auto" w:sz="4" w:space="0"/>
                  </w:tcBorders>
                  <w:vAlign w:val="center"/>
                </w:tcPr>
                <w:p w14:paraId="62DB8B08">
                  <w:pPr>
                    <w:tabs>
                      <w:tab w:val="left" w:pos="360"/>
                    </w:tabs>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4327" w:type="dxa"/>
                  <w:tcBorders>
                    <w:top w:val="single" w:color="auto" w:sz="4" w:space="0"/>
                    <w:left w:val="single" w:color="auto" w:sz="4" w:space="0"/>
                    <w:bottom w:val="single" w:color="auto" w:sz="4" w:space="0"/>
                    <w:right w:val="single" w:color="auto" w:sz="4" w:space="0"/>
                  </w:tcBorders>
                  <w:vAlign w:val="center"/>
                </w:tcPr>
                <w:p w14:paraId="0561FD66">
                  <w:pPr>
                    <w:spacing w:line="460" w:lineRule="exact"/>
                    <w:jc w:val="center"/>
                    <w:rPr>
                      <w:rFonts w:ascii="宋体" w:hAnsi="宋体" w:cs="宋体"/>
                      <w:color w:val="auto"/>
                      <w:sz w:val="22"/>
                      <w:highlight w:val="none"/>
                    </w:rPr>
                  </w:pPr>
                  <w:r>
                    <w:rPr>
                      <w:rFonts w:hint="eastAsia" w:ascii="宋体" w:hAnsi="宋体" w:cs="宋体"/>
                      <w:color w:val="auto"/>
                      <w:sz w:val="22"/>
                      <w:highlight w:val="none"/>
                      <w:lang w:eastAsia="zh-CN"/>
                    </w:rPr>
                    <w:t>温州市区（瓯海区）道路标志、标线、隔离护栏及其他设施建设维护项目</w:t>
                  </w:r>
                </w:p>
              </w:tc>
              <w:tc>
                <w:tcPr>
                  <w:tcW w:w="718" w:type="dxa"/>
                  <w:tcBorders>
                    <w:top w:val="single" w:color="auto" w:sz="4" w:space="0"/>
                    <w:left w:val="single" w:color="auto" w:sz="4" w:space="0"/>
                    <w:bottom w:val="single" w:color="auto" w:sz="4" w:space="0"/>
                    <w:right w:val="single" w:color="auto" w:sz="4" w:space="0"/>
                  </w:tcBorders>
                  <w:vAlign w:val="center"/>
                </w:tcPr>
                <w:p w14:paraId="322E324D">
                  <w:pPr>
                    <w:tabs>
                      <w:tab w:val="left" w:pos="360"/>
                    </w:tabs>
                    <w:spacing w:line="460" w:lineRule="exact"/>
                    <w:jc w:val="center"/>
                    <w:rPr>
                      <w:rFonts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1项</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14:paraId="39AD91A0">
                  <w:pPr>
                    <w:tabs>
                      <w:tab w:val="left" w:pos="360"/>
                    </w:tabs>
                    <w:spacing w:line="460" w:lineRule="exact"/>
                    <w:jc w:val="center"/>
                    <w:rPr>
                      <w:rFonts w:hint="default" w:ascii="宋体" w:hAnsi="宋体" w:eastAsia="宋体" w:cs="宋体"/>
                      <w:color w:val="auto"/>
                      <w:sz w:val="22"/>
                      <w:szCs w:val="22"/>
                      <w:highlight w:val="none"/>
                      <w:shd w:val="clear" w:color="auto" w:fill="FFFFFF"/>
                      <w:lang w:val="en-US" w:eastAsia="zh-CN"/>
                    </w:rPr>
                  </w:pPr>
                  <w:r>
                    <w:rPr>
                      <w:rFonts w:hint="eastAsia" w:ascii="宋体" w:hAnsi="宋体" w:cs="宋体"/>
                      <w:color w:val="auto"/>
                      <w:sz w:val="22"/>
                      <w:szCs w:val="22"/>
                      <w:highlight w:val="none"/>
                      <w:shd w:val="clear" w:color="auto" w:fill="FFFFFF"/>
                      <w:lang w:val="en-US" w:eastAsia="zh-CN"/>
                    </w:rPr>
                    <w:t>5300000</w:t>
                  </w:r>
                </w:p>
              </w:tc>
              <w:tc>
                <w:tcPr>
                  <w:tcW w:w="1565" w:type="dxa"/>
                  <w:vMerge w:val="continue"/>
                  <w:tcBorders>
                    <w:left w:val="single" w:color="auto" w:sz="4" w:space="0"/>
                    <w:right w:val="single" w:color="auto" w:sz="4" w:space="0"/>
                  </w:tcBorders>
                  <w:vAlign w:val="center"/>
                </w:tcPr>
                <w:p w14:paraId="01808243">
                  <w:pPr>
                    <w:shd w:val="clear" w:color="auto" w:fill="FFFFFF"/>
                    <w:snapToGrid w:val="0"/>
                    <w:spacing w:line="460" w:lineRule="exact"/>
                    <w:jc w:val="center"/>
                    <w:rPr>
                      <w:rFonts w:ascii="宋体" w:hAnsi="宋体" w:cs="宋体"/>
                      <w:color w:val="auto"/>
                      <w:sz w:val="22"/>
                      <w:szCs w:val="22"/>
                      <w:highlight w:val="none"/>
                    </w:rPr>
                  </w:pPr>
                </w:p>
              </w:tc>
            </w:tr>
            <w:tr w14:paraId="7D24AA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2" w:hRule="atLeast"/>
                <w:jc w:val="center"/>
              </w:trPr>
              <w:tc>
                <w:tcPr>
                  <w:tcW w:w="730" w:type="dxa"/>
                  <w:tcBorders>
                    <w:top w:val="single" w:color="auto" w:sz="4" w:space="0"/>
                    <w:left w:val="single" w:color="auto" w:sz="4" w:space="0"/>
                    <w:right w:val="single" w:color="auto" w:sz="4" w:space="0"/>
                  </w:tcBorders>
                  <w:vAlign w:val="center"/>
                </w:tcPr>
                <w:p w14:paraId="740F4056">
                  <w:pPr>
                    <w:tabs>
                      <w:tab w:val="left" w:pos="360"/>
                    </w:tabs>
                    <w:spacing w:line="46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4</w:t>
                  </w:r>
                </w:p>
              </w:tc>
              <w:tc>
                <w:tcPr>
                  <w:tcW w:w="4327" w:type="dxa"/>
                  <w:tcBorders>
                    <w:top w:val="single" w:color="auto" w:sz="4" w:space="0"/>
                    <w:left w:val="single" w:color="auto" w:sz="4" w:space="0"/>
                    <w:right w:val="single" w:color="auto" w:sz="4" w:space="0"/>
                  </w:tcBorders>
                  <w:vAlign w:val="center"/>
                </w:tcPr>
                <w:p w14:paraId="4DAE7EF1">
                  <w:pPr>
                    <w:spacing w:line="460" w:lineRule="exact"/>
                    <w:jc w:val="center"/>
                    <w:rPr>
                      <w:rFonts w:ascii="宋体" w:hAnsi="宋体" w:cs="宋体"/>
                      <w:color w:val="auto"/>
                      <w:sz w:val="22"/>
                      <w:highlight w:val="none"/>
                    </w:rPr>
                  </w:pPr>
                  <w:r>
                    <w:rPr>
                      <w:rFonts w:hint="eastAsia" w:ascii="宋体" w:hAnsi="宋体" w:cs="宋体"/>
                      <w:color w:val="auto"/>
                      <w:sz w:val="22"/>
                      <w:highlight w:val="none"/>
                      <w:lang w:eastAsia="zh-CN"/>
                    </w:rPr>
                    <w:t>温州市区（龙湾区）道路标志、标线、隔离护栏及其他设施建设维护项目</w:t>
                  </w:r>
                </w:p>
              </w:tc>
              <w:tc>
                <w:tcPr>
                  <w:tcW w:w="718" w:type="dxa"/>
                  <w:tcBorders>
                    <w:top w:val="single" w:color="auto" w:sz="4" w:space="0"/>
                    <w:left w:val="single" w:color="auto" w:sz="4" w:space="0"/>
                    <w:bottom w:val="single" w:color="auto" w:sz="4" w:space="0"/>
                    <w:right w:val="single" w:color="auto" w:sz="4" w:space="0"/>
                  </w:tcBorders>
                  <w:vAlign w:val="center"/>
                </w:tcPr>
                <w:p w14:paraId="5ADC3D51">
                  <w:pPr>
                    <w:tabs>
                      <w:tab w:val="left" w:pos="360"/>
                    </w:tabs>
                    <w:spacing w:line="460" w:lineRule="exact"/>
                    <w:jc w:val="center"/>
                    <w:rPr>
                      <w:rFonts w:ascii="宋体" w:hAnsi="宋体" w:cs="宋体"/>
                      <w:color w:val="auto"/>
                      <w:sz w:val="22"/>
                      <w:szCs w:val="22"/>
                      <w:highlight w:val="none"/>
                      <w:shd w:val="clear" w:color="auto" w:fill="FFFFFF"/>
                    </w:rPr>
                  </w:pPr>
                  <w:r>
                    <w:rPr>
                      <w:rFonts w:hint="eastAsia" w:ascii="宋体" w:hAnsi="宋体" w:cs="宋体"/>
                      <w:color w:val="auto"/>
                      <w:sz w:val="22"/>
                      <w:szCs w:val="22"/>
                      <w:highlight w:val="none"/>
                      <w:shd w:val="clear" w:color="auto" w:fill="FFFFFF"/>
                    </w:rPr>
                    <w:t>1项</w:t>
                  </w:r>
                </w:p>
              </w:tc>
              <w:tc>
                <w:tcPr>
                  <w:tcW w:w="1703" w:type="dxa"/>
                  <w:tcBorders>
                    <w:top w:val="single" w:color="auto" w:sz="4" w:space="0"/>
                    <w:left w:val="single" w:color="auto" w:sz="4" w:space="0"/>
                    <w:right w:val="single" w:color="auto" w:sz="4" w:space="0"/>
                  </w:tcBorders>
                  <w:shd w:val="clear" w:color="auto" w:fill="auto"/>
                  <w:vAlign w:val="center"/>
                </w:tcPr>
                <w:p w14:paraId="7C9E0C20">
                  <w:pPr>
                    <w:tabs>
                      <w:tab w:val="left" w:pos="360"/>
                    </w:tabs>
                    <w:spacing w:line="460" w:lineRule="exact"/>
                    <w:jc w:val="center"/>
                    <w:rPr>
                      <w:rFonts w:hint="default" w:ascii="宋体" w:hAnsi="宋体" w:eastAsia="宋体" w:cs="宋体"/>
                      <w:color w:val="auto"/>
                      <w:sz w:val="22"/>
                      <w:szCs w:val="22"/>
                      <w:highlight w:val="none"/>
                      <w:shd w:val="clear" w:color="auto" w:fill="FFFFFF"/>
                      <w:lang w:val="en-US" w:eastAsia="zh-CN"/>
                    </w:rPr>
                  </w:pPr>
                  <w:r>
                    <w:rPr>
                      <w:rFonts w:hint="eastAsia" w:ascii="宋体" w:hAnsi="宋体" w:cs="宋体"/>
                      <w:color w:val="auto"/>
                      <w:sz w:val="22"/>
                      <w:szCs w:val="22"/>
                      <w:highlight w:val="none"/>
                      <w:shd w:val="clear" w:color="auto" w:fill="FFFFFF"/>
                      <w:lang w:val="en-US" w:eastAsia="zh-CN"/>
                    </w:rPr>
                    <w:t>7200000</w:t>
                  </w:r>
                </w:p>
              </w:tc>
              <w:tc>
                <w:tcPr>
                  <w:tcW w:w="1565" w:type="dxa"/>
                  <w:vMerge w:val="continue"/>
                  <w:tcBorders>
                    <w:left w:val="single" w:color="auto" w:sz="4" w:space="0"/>
                    <w:right w:val="single" w:color="auto" w:sz="4" w:space="0"/>
                  </w:tcBorders>
                  <w:vAlign w:val="center"/>
                </w:tcPr>
                <w:p w14:paraId="1FD5326E">
                  <w:pPr>
                    <w:shd w:val="clear" w:color="auto" w:fill="FFFFFF"/>
                    <w:snapToGrid w:val="0"/>
                    <w:spacing w:line="460" w:lineRule="exact"/>
                    <w:jc w:val="center"/>
                    <w:rPr>
                      <w:rFonts w:ascii="宋体" w:hAnsi="宋体" w:cs="宋体"/>
                      <w:color w:val="auto"/>
                      <w:sz w:val="22"/>
                      <w:szCs w:val="22"/>
                      <w:highlight w:val="none"/>
                    </w:rPr>
                  </w:pPr>
                </w:p>
              </w:tc>
            </w:tr>
          </w:tbl>
          <w:p w14:paraId="3E9ABD92">
            <w:pPr>
              <w:spacing w:line="460" w:lineRule="exact"/>
              <w:rPr>
                <w:rFonts w:ascii="宋体" w:hAnsi="宋体" w:cs="宋体"/>
                <w:b/>
                <w:color w:val="auto"/>
                <w:sz w:val="22"/>
                <w:szCs w:val="22"/>
                <w:highlight w:val="none"/>
              </w:rPr>
            </w:pPr>
            <w:r>
              <w:rPr>
                <w:rFonts w:hint="eastAsia" w:ascii="宋体" w:hAnsi="宋体" w:cs="宋体"/>
                <w:b/>
                <w:color w:val="auto"/>
                <w:sz w:val="22"/>
                <w:szCs w:val="22"/>
                <w:highlight w:val="none"/>
              </w:rPr>
              <w:t>三、样品</w:t>
            </w:r>
          </w:p>
          <w:p w14:paraId="36637179">
            <w:pPr>
              <w:tabs>
                <w:tab w:val="left" w:pos="360"/>
              </w:tabs>
              <w:spacing w:line="460" w:lineRule="exact"/>
              <w:ind w:firstLine="550" w:firstLineChars="250"/>
              <w:rPr>
                <w:rFonts w:ascii="宋体" w:hAnsi="宋体" w:cs="宋体"/>
                <w:color w:val="auto"/>
                <w:sz w:val="22"/>
                <w:szCs w:val="22"/>
                <w:highlight w:val="none"/>
              </w:rPr>
            </w:pPr>
            <w:r>
              <w:rPr>
                <w:rFonts w:hint="eastAsia" w:ascii="宋体" w:hAnsi="宋体" w:cs="宋体"/>
                <w:color w:val="auto"/>
                <w:kern w:val="0"/>
                <w:sz w:val="22"/>
                <w:szCs w:val="22"/>
                <w:highlight w:val="none"/>
              </w:rPr>
              <w:sym w:font="Wingdings" w:char="00A8"/>
            </w:r>
            <w:r>
              <w:rPr>
                <w:rFonts w:hint="eastAsia" w:ascii="宋体" w:hAnsi="宋体" w:cs="宋体"/>
                <w:color w:val="auto"/>
                <w:kern w:val="0"/>
                <w:sz w:val="22"/>
                <w:szCs w:val="22"/>
                <w:highlight w:val="none"/>
              </w:rPr>
              <w:t>A</w:t>
            </w:r>
            <w:r>
              <w:rPr>
                <w:rFonts w:hint="eastAsia" w:ascii="宋体" w:hAnsi="宋体" w:cs="宋体"/>
                <w:color w:val="auto"/>
                <w:sz w:val="22"/>
                <w:szCs w:val="22"/>
                <w:highlight w:val="none"/>
              </w:rPr>
              <w:t>不要求提供。</w:t>
            </w:r>
          </w:p>
          <w:p w14:paraId="4C29F035">
            <w:pPr>
              <w:tabs>
                <w:tab w:val="left" w:pos="360"/>
              </w:tabs>
              <w:spacing w:line="460" w:lineRule="exact"/>
              <w:ind w:firstLine="550" w:firstLineChars="250"/>
              <w:rPr>
                <w:rFonts w:ascii="宋体" w:hAnsi="宋体" w:cs="宋体"/>
                <w:color w:val="auto"/>
                <w:kern w:val="0"/>
                <w:sz w:val="22"/>
                <w:szCs w:val="22"/>
                <w:highlight w:val="none"/>
              </w:rPr>
            </w:pPr>
            <w:r>
              <w:rPr>
                <w:rFonts w:hint="eastAsia" w:ascii="宋体" w:hAnsi="宋体" w:cs="宋体"/>
                <w:color w:val="auto"/>
                <w:kern w:val="0"/>
                <w:sz w:val="22"/>
                <w:szCs w:val="22"/>
                <w:highlight w:val="none"/>
              </w:rPr>
              <w:sym w:font="Wingdings" w:char="00FE"/>
            </w:r>
            <w:r>
              <w:rPr>
                <w:rFonts w:hint="eastAsia" w:ascii="宋体" w:hAnsi="宋体" w:cs="宋体"/>
                <w:color w:val="auto"/>
                <w:kern w:val="0"/>
                <w:sz w:val="22"/>
                <w:szCs w:val="22"/>
                <w:highlight w:val="none"/>
              </w:rPr>
              <w:t>B</w:t>
            </w:r>
            <w:r>
              <w:rPr>
                <w:rFonts w:hint="eastAsia" w:ascii="宋体" w:hAnsi="宋体" w:cs="宋体"/>
                <w:bCs/>
                <w:color w:val="auto"/>
                <w:sz w:val="22"/>
                <w:szCs w:val="22"/>
                <w:highlight w:val="none"/>
              </w:rPr>
              <w:t>要求</w:t>
            </w:r>
            <w:r>
              <w:rPr>
                <w:rFonts w:hint="eastAsia" w:ascii="宋体" w:hAnsi="宋体" w:cs="宋体"/>
                <w:color w:val="auto"/>
                <w:kern w:val="0"/>
                <w:sz w:val="22"/>
                <w:szCs w:val="22"/>
                <w:highlight w:val="none"/>
              </w:rPr>
              <w:t>提供，</w:t>
            </w:r>
          </w:p>
          <w:p w14:paraId="1B9662CE">
            <w:pPr>
              <w:tabs>
                <w:tab w:val="left" w:pos="360"/>
              </w:tabs>
              <w:spacing w:line="460" w:lineRule="exact"/>
              <w:ind w:firstLine="550" w:firstLineChars="250"/>
              <w:rPr>
                <w:rFonts w:hint="eastAsia" w:ascii="宋体" w:hAnsi="宋体" w:eastAsia="宋体" w:cs="宋体"/>
                <w:color w:val="auto"/>
                <w:kern w:val="0"/>
                <w:sz w:val="22"/>
                <w:szCs w:val="22"/>
                <w:highlight w:val="none"/>
                <w:lang w:eastAsia="zh-CN"/>
              </w:rPr>
            </w:pPr>
            <w:r>
              <w:rPr>
                <w:rFonts w:hint="eastAsia" w:ascii="宋体" w:hAnsi="宋体" w:cs="宋体"/>
                <w:snapToGrid w:val="0"/>
                <w:color w:val="auto"/>
                <w:kern w:val="28"/>
                <w:sz w:val="22"/>
                <w:szCs w:val="22"/>
                <w:highlight w:val="none"/>
              </w:rPr>
              <w:t>1.样品：</w:t>
            </w:r>
            <w:r>
              <w:rPr>
                <w:rFonts w:hint="eastAsia" w:ascii="宋体" w:hAnsi="宋体" w:cs="宋体"/>
                <w:bCs/>
                <w:color w:val="auto"/>
                <w:kern w:val="0"/>
                <w:sz w:val="22"/>
                <w:szCs w:val="22"/>
                <w:highlight w:val="none"/>
              </w:rPr>
              <w:t>具体为</w:t>
            </w:r>
            <w:r>
              <w:rPr>
                <w:rFonts w:hint="eastAsia" w:ascii="宋体" w:hAnsi="宋体" w:cs="宋体"/>
                <w:color w:val="auto"/>
                <w:sz w:val="22"/>
                <w:szCs w:val="22"/>
                <w:highlight w:val="none"/>
                <w:u w:val="single"/>
              </w:rPr>
              <w:t>（1）路锥：71</w:t>
            </w:r>
            <w:r>
              <w:rPr>
                <w:rFonts w:hint="eastAsia" w:ascii="宋体" w:hAnsi="宋体" w:cs="宋体"/>
                <w:color w:val="auto"/>
                <w:sz w:val="22"/>
                <w:szCs w:val="22"/>
                <w:highlight w:val="none"/>
                <w:u w:val="single"/>
                <w:lang w:val="en-US" w:eastAsia="zh-CN"/>
              </w:rPr>
              <w:t>4m</w:t>
            </w:r>
            <w:r>
              <w:rPr>
                <w:rFonts w:hint="eastAsia" w:ascii="宋体" w:hAnsi="宋体" w:cs="宋体"/>
                <w:color w:val="auto"/>
                <w:sz w:val="22"/>
                <w:szCs w:val="22"/>
                <w:highlight w:val="none"/>
                <w:u w:val="single"/>
              </w:rPr>
              <w:t>m</w:t>
            </w:r>
            <w:r>
              <w:rPr>
                <w:rFonts w:hint="eastAsia" w:ascii="宋体" w:hAnsi="宋体" w:cs="宋体"/>
                <w:color w:val="auto"/>
                <w:sz w:val="22"/>
                <w:szCs w:val="22"/>
                <w:highlight w:val="none"/>
                <w:u w:val="single"/>
                <w:lang w:val="en-US" w:eastAsia="zh-CN"/>
              </w:rPr>
              <w:t>,</w:t>
            </w:r>
            <w:r>
              <w:rPr>
                <w:rFonts w:hint="eastAsia" w:ascii="宋体" w:hAnsi="宋体" w:cs="宋体"/>
                <w:color w:val="auto"/>
                <w:sz w:val="22"/>
                <w:szCs w:val="22"/>
                <w:highlight w:val="none"/>
                <w:u w:val="single"/>
                <w:lang w:eastAsia="zh-CN"/>
              </w:rPr>
              <w:t>重量</w:t>
            </w:r>
            <w:r>
              <w:rPr>
                <w:rFonts w:hint="eastAsia" w:ascii="宋体" w:hAnsi="宋体" w:cs="宋体"/>
                <w:color w:val="auto"/>
                <w:sz w:val="22"/>
                <w:szCs w:val="22"/>
                <w:highlight w:val="none"/>
                <w:u w:val="single"/>
                <w:lang w:val="en-US" w:eastAsia="zh-CN"/>
              </w:rPr>
              <w:t>2.5KG,</w:t>
            </w:r>
            <w:r>
              <w:rPr>
                <w:rFonts w:hint="eastAsia" w:ascii="宋体" w:hAnsi="宋体" w:cs="宋体"/>
                <w:color w:val="auto"/>
                <w:sz w:val="22"/>
                <w:szCs w:val="22"/>
                <w:highlight w:val="none"/>
                <w:u w:val="single"/>
              </w:rPr>
              <w:t>1个（2）</w:t>
            </w:r>
            <w:r>
              <w:rPr>
                <w:rFonts w:hint="eastAsia" w:ascii="宋体" w:hAnsi="宋体" w:cs="宋体"/>
                <w:color w:val="auto"/>
                <w:sz w:val="22"/>
                <w:szCs w:val="22"/>
                <w:highlight w:val="none"/>
                <w:u w:val="single"/>
                <w:lang w:eastAsia="zh-CN"/>
              </w:rPr>
              <w:t>分道标</w:t>
            </w:r>
            <w:r>
              <w:rPr>
                <w:rFonts w:hint="eastAsia" w:ascii="宋体" w:hAnsi="宋体" w:cs="宋体"/>
                <w:color w:val="auto"/>
                <w:sz w:val="22"/>
                <w:szCs w:val="22"/>
                <w:highlight w:val="none"/>
                <w:u w:val="single"/>
              </w:rPr>
              <w:t>：16</w:t>
            </w:r>
            <w:r>
              <w:rPr>
                <w:rFonts w:hint="eastAsia" w:ascii="宋体" w:hAnsi="宋体" w:cs="宋体"/>
                <w:color w:val="auto"/>
                <w:sz w:val="22"/>
                <w:szCs w:val="22"/>
                <w:highlight w:val="none"/>
                <w:u w:val="single"/>
                <w:lang w:val="en-US" w:eastAsia="zh-CN"/>
              </w:rPr>
              <w:t>1</w:t>
            </w:r>
            <w:r>
              <w:rPr>
                <w:rFonts w:hint="eastAsia" w:ascii="宋体" w:hAnsi="宋体" w:cs="宋体"/>
                <w:color w:val="auto"/>
                <w:sz w:val="22"/>
                <w:szCs w:val="22"/>
                <w:highlight w:val="none"/>
                <w:u w:val="single"/>
              </w:rPr>
              <w:t>mm</w:t>
            </w:r>
            <w:r>
              <w:rPr>
                <w:rFonts w:hint="eastAsia" w:ascii="宋体" w:hAnsi="宋体" w:cs="宋体"/>
                <w:color w:val="auto"/>
                <w:sz w:val="22"/>
                <w:szCs w:val="22"/>
                <w:highlight w:val="none"/>
                <w:u w:val="single"/>
                <w:lang w:val="en-US" w:eastAsia="zh-CN"/>
              </w:rPr>
              <w:t>*</w:t>
            </w:r>
            <w:r>
              <w:rPr>
                <w:rFonts w:hint="eastAsia" w:ascii="宋体" w:hAnsi="宋体" w:cs="宋体"/>
                <w:color w:val="auto"/>
                <w:sz w:val="22"/>
                <w:szCs w:val="22"/>
                <w:highlight w:val="none"/>
                <w:u w:val="single"/>
              </w:rPr>
              <w:t>13</w:t>
            </w:r>
            <w:r>
              <w:rPr>
                <w:rFonts w:hint="eastAsia" w:ascii="宋体" w:hAnsi="宋体" w:cs="宋体"/>
                <w:color w:val="auto"/>
                <w:sz w:val="22"/>
                <w:szCs w:val="22"/>
                <w:highlight w:val="none"/>
                <w:u w:val="single"/>
                <w:lang w:val="en-US" w:eastAsia="zh-CN"/>
              </w:rPr>
              <w:t>1</w:t>
            </w:r>
            <w:r>
              <w:rPr>
                <w:rFonts w:hint="eastAsia" w:ascii="宋体" w:hAnsi="宋体" w:cs="宋体"/>
                <w:color w:val="auto"/>
                <w:sz w:val="22"/>
                <w:szCs w:val="22"/>
                <w:highlight w:val="none"/>
                <w:u w:val="single"/>
              </w:rPr>
              <w:t>mm*28</w:t>
            </w:r>
            <w:r>
              <w:rPr>
                <w:rFonts w:hint="eastAsia" w:ascii="宋体" w:hAnsi="宋体" w:cs="宋体"/>
                <w:color w:val="auto"/>
                <w:sz w:val="22"/>
                <w:szCs w:val="22"/>
                <w:highlight w:val="none"/>
                <w:u w:val="single"/>
                <w:lang w:val="en-US" w:eastAsia="zh-CN"/>
              </w:rPr>
              <w:t>2</w:t>
            </w:r>
            <w:r>
              <w:rPr>
                <w:rFonts w:hint="eastAsia" w:ascii="宋体" w:hAnsi="宋体" w:cs="宋体"/>
                <w:color w:val="auto"/>
                <w:sz w:val="22"/>
                <w:szCs w:val="22"/>
                <w:highlight w:val="none"/>
                <w:u w:val="single"/>
              </w:rPr>
              <w:t>mm</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rPr>
              <w:t>1个（3）道钉（单面）：10</w:t>
            </w:r>
            <w:r>
              <w:rPr>
                <w:rFonts w:hint="eastAsia" w:ascii="宋体" w:hAnsi="宋体" w:cs="宋体"/>
                <w:color w:val="auto"/>
                <w:sz w:val="22"/>
                <w:szCs w:val="22"/>
                <w:highlight w:val="none"/>
                <w:u w:val="single"/>
                <w:lang w:val="en-US" w:eastAsia="zh-CN"/>
              </w:rPr>
              <w:t>2</w:t>
            </w:r>
            <w:r>
              <w:rPr>
                <w:rFonts w:hint="eastAsia" w:ascii="宋体" w:hAnsi="宋体" w:cs="宋体"/>
                <w:color w:val="auto"/>
                <w:sz w:val="22"/>
                <w:szCs w:val="22"/>
                <w:highlight w:val="none"/>
                <w:u w:val="single"/>
              </w:rPr>
              <w:t>mm*89mm*16mm 1只（4）一体式弹性交通柱：750mm*200mm</w:t>
            </w:r>
            <w:r>
              <w:rPr>
                <w:rFonts w:hint="eastAsia" w:ascii="宋体" w:hAnsi="宋体" w:cs="宋体"/>
                <w:color w:val="auto"/>
                <w:sz w:val="22"/>
                <w:szCs w:val="22"/>
                <w:highlight w:val="none"/>
                <w:u w:val="single"/>
                <w:lang w:eastAsia="zh-CN"/>
              </w:rPr>
              <w:t>，</w:t>
            </w:r>
            <w:r>
              <w:rPr>
                <w:rFonts w:hint="eastAsia" w:ascii="宋体" w:hAnsi="宋体" w:cs="宋体"/>
                <w:color w:val="auto"/>
                <w:sz w:val="22"/>
                <w:szCs w:val="22"/>
                <w:highlight w:val="none"/>
                <w:u w:val="single"/>
              </w:rPr>
              <w:t>直径</w:t>
            </w:r>
            <w:r>
              <w:rPr>
                <w:rFonts w:hint="eastAsia" w:ascii="宋体" w:hAnsi="宋体" w:cs="宋体"/>
                <w:color w:val="auto"/>
                <w:sz w:val="22"/>
                <w:szCs w:val="22"/>
                <w:highlight w:val="none"/>
                <w:u w:val="single"/>
                <w:lang w:val="en-US" w:eastAsia="zh-CN"/>
              </w:rPr>
              <w:t>75</w:t>
            </w:r>
            <w:r>
              <w:rPr>
                <w:rFonts w:hint="eastAsia" w:ascii="宋体" w:hAnsi="宋体" w:cs="宋体"/>
                <w:color w:val="auto"/>
                <w:sz w:val="22"/>
                <w:szCs w:val="22"/>
                <w:highlight w:val="none"/>
                <w:u w:val="single"/>
              </w:rPr>
              <w:t>mm1个；</w:t>
            </w:r>
            <w:r>
              <w:rPr>
                <w:rFonts w:hint="eastAsia" w:ascii="宋体" w:hAnsi="宋体" w:cs="宋体"/>
                <w:color w:val="auto"/>
                <w:sz w:val="22"/>
                <w:szCs w:val="22"/>
                <w:highlight w:val="none"/>
                <w:u w:val="single"/>
                <w:lang w:eastAsia="zh-CN"/>
              </w:rPr>
              <w:t>（</w:t>
            </w:r>
            <w:r>
              <w:rPr>
                <w:rFonts w:hint="eastAsia" w:ascii="宋体" w:hAnsi="宋体" w:cs="宋体"/>
                <w:color w:val="auto"/>
                <w:sz w:val="22"/>
                <w:szCs w:val="22"/>
                <w:highlight w:val="none"/>
                <w:u w:val="single"/>
                <w:lang w:val="en-US" w:eastAsia="zh-CN"/>
              </w:rPr>
              <w:t>5</w:t>
            </w:r>
            <w:r>
              <w:rPr>
                <w:rFonts w:hint="eastAsia" w:ascii="宋体" w:hAnsi="宋体" w:cs="宋体"/>
                <w:color w:val="auto"/>
                <w:sz w:val="22"/>
                <w:szCs w:val="22"/>
                <w:highlight w:val="none"/>
                <w:u w:val="single"/>
                <w:lang w:eastAsia="zh-CN"/>
              </w:rPr>
              <w:t>）反光膜：（棱镜式超强级IV类、全棱镜V类）100mm*150mm</w:t>
            </w:r>
            <w:r>
              <w:rPr>
                <w:rFonts w:hint="eastAsia" w:ascii="宋体" w:hAnsi="宋体" w:cs="宋体"/>
                <w:color w:val="auto"/>
                <w:sz w:val="22"/>
                <w:szCs w:val="22"/>
                <w:highlight w:val="none"/>
                <w:u w:val="single"/>
                <w:lang w:val="en-US" w:eastAsia="zh-CN"/>
              </w:rPr>
              <w:t>蓝色、白色各一张</w:t>
            </w:r>
          </w:p>
          <w:p w14:paraId="5F44A794">
            <w:pPr>
              <w:tabs>
                <w:tab w:val="left" w:pos="360"/>
              </w:tabs>
              <w:spacing w:line="460" w:lineRule="exact"/>
              <w:ind w:firstLine="550" w:firstLineChars="250"/>
              <w:rPr>
                <w:rFonts w:hint="eastAsia" w:ascii="新宋体" w:hAnsi="新宋体" w:eastAsia="新宋体" w:cs="新宋体"/>
                <w:color w:val="auto"/>
                <w:kern w:val="0"/>
                <w:sz w:val="22"/>
                <w:szCs w:val="22"/>
                <w:highlight w:val="none"/>
              </w:rPr>
            </w:pPr>
            <w:r>
              <w:rPr>
                <w:rFonts w:hint="eastAsia" w:ascii="新宋体" w:hAnsi="新宋体" w:eastAsia="新宋体" w:cs="新宋体"/>
                <w:snapToGrid w:val="0"/>
                <w:color w:val="auto"/>
                <w:kern w:val="28"/>
                <w:sz w:val="22"/>
                <w:szCs w:val="22"/>
                <w:highlight w:val="none"/>
              </w:rPr>
              <w:t>2.样品制作的标准和要求：</w:t>
            </w:r>
            <w:r>
              <w:rPr>
                <w:rFonts w:hint="eastAsia" w:ascii="新宋体" w:hAnsi="新宋体" w:eastAsia="新宋体" w:cs="新宋体"/>
                <w:color w:val="auto"/>
                <w:sz w:val="22"/>
                <w:szCs w:val="22"/>
                <w:highlight w:val="none"/>
                <w:u w:val="single"/>
              </w:rPr>
              <w:t>采购需求</w:t>
            </w:r>
            <w:r>
              <w:rPr>
                <w:rFonts w:hint="eastAsia" w:ascii="新宋体" w:hAnsi="新宋体" w:eastAsia="新宋体" w:cs="新宋体"/>
                <w:color w:val="auto"/>
                <w:kern w:val="0"/>
                <w:sz w:val="22"/>
                <w:szCs w:val="22"/>
                <w:highlight w:val="none"/>
              </w:rPr>
              <w:t>；</w:t>
            </w:r>
          </w:p>
          <w:p w14:paraId="198DF9E1">
            <w:pPr>
              <w:tabs>
                <w:tab w:val="left" w:pos="360"/>
              </w:tabs>
              <w:spacing w:line="460" w:lineRule="exact"/>
              <w:ind w:firstLine="550" w:firstLineChars="250"/>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3.样品的评审方法以及评审标准</w:t>
            </w:r>
            <w:r>
              <w:rPr>
                <w:rFonts w:hint="eastAsia" w:ascii="新宋体" w:hAnsi="新宋体" w:eastAsia="新宋体" w:cs="新宋体"/>
                <w:snapToGrid w:val="0"/>
                <w:color w:val="auto"/>
                <w:kern w:val="28"/>
                <w:sz w:val="22"/>
                <w:szCs w:val="22"/>
                <w:highlight w:val="none"/>
              </w:rPr>
              <w:t>：详见</w:t>
            </w:r>
            <w:r>
              <w:rPr>
                <w:rFonts w:hint="eastAsia" w:ascii="新宋体" w:hAnsi="新宋体" w:eastAsia="新宋体" w:cs="新宋体"/>
                <w:color w:val="auto"/>
                <w:sz w:val="22"/>
                <w:szCs w:val="22"/>
                <w:highlight w:val="none"/>
                <w:u w:val="single"/>
              </w:rPr>
              <w:t>评标办法</w:t>
            </w:r>
            <w:r>
              <w:rPr>
                <w:rFonts w:hint="eastAsia" w:ascii="新宋体" w:hAnsi="新宋体" w:eastAsia="新宋体" w:cs="新宋体"/>
                <w:color w:val="auto"/>
                <w:kern w:val="0"/>
                <w:sz w:val="22"/>
                <w:szCs w:val="22"/>
                <w:highlight w:val="none"/>
              </w:rPr>
              <w:t>；</w:t>
            </w:r>
          </w:p>
          <w:p w14:paraId="02A9A1C9">
            <w:pPr>
              <w:tabs>
                <w:tab w:val="left" w:pos="360"/>
              </w:tabs>
              <w:spacing w:line="460" w:lineRule="exact"/>
              <w:ind w:firstLine="550" w:firstLineChars="250"/>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4.是否需要随样品提交检测报告：</w:t>
            </w:r>
            <w:r>
              <w:rPr>
                <w:rFonts w:hint="eastAsia" w:ascii="新宋体" w:hAnsi="新宋体" w:eastAsia="新宋体" w:cs="新宋体"/>
                <w:color w:val="auto"/>
                <w:kern w:val="0"/>
                <w:sz w:val="22"/>
                <w:szCs w:val="22"/>
                <w:highlight w:val="none"/>
              </w:rPr>
              <w:sym w:font="Wingdings" w:char="00A8"/>
            </w:r>
            <w:r>
              <w:rPr>
                <w:rFonts w:hint="eastAsia" w:ascii="新宋体" w:hAnsi="新宋体" w:eastAsia="新宋体" w:cs="新宋体"/>
                <w:color w:val="auto"/>
                <w:kern w:val="0"/>
                <w:sz w:val="22"/>
                <w:szCs w:val="22"/>
                <w:highlight w:val="none"/>
              </w:rPr>
              <w:t>否；</w:t>
            </w:r>
            <w:r>
              <w:rPr>
                <w:rFonts w:hint="eastAsia" w:ascii="新宋体" w:hAnsi="新宋体" w:eastAsia="新宋体" w:cs="新宋体"/>
                <w:color w:val="auto"/>
                <w:kern w:val="0"/>
                <w:sz w:val="22"/>
                <w:szCs w:val="22"/>
                <w:highlight w:val="none"/>
              </w:rPr>
              <w:sym w:font="Wingdings" w:char="00FE"/>
            </w:r>
            <w:r>
              <w:rPr>
                <w:rFonts w:hint="eastAsia" w:ascii="新宋体" w:hAnsi="新宋体" w:eastAsia="新宋体" w:cs="新宋体"/>
                <w:color w:val="auto"/>
                <w:kern w:val="0"/>
                <w:sz w:val="22"/>
                <w:szCs w:val="22"/>
                <w:highlight w:val="none"/>
              </w:rPr>
              <w:t>是，需提供具有CMA检测资质的第三方检测机构出具的CMA检测报告复印件，在评审时按相应规定进行评分）。</w:t>
            </w:r>
          </w:p>
          <w:p w14:paraId="68E6D767">
            <w:pPr>
              <w:tabs>
                <w:tab w:val="left" w:pos="360"/>
              </w:tabs>
              <w:spacing w:line="460" w:lineRule="exact"/>
              <w:ind w:firstLine="550" w:firstLineChars="250"/>
              <w:rPr>
                <w:rFonts w:ascii="宋体" w:hAnsi="宋体" w:cs="宋体"/>
                <w:color w:val="auto"/>
                <w:sz w:val="22"/>
                <w:szCs w:val="22"/>
                <w:highlight w:val="none"/>
              </w:rPr>
            </w:pPr>
            <w:r>
              <w:rPr>
                <w:rFonts w:hint="eastAsia" w:ascii="新宋体" w:hAnsi="新宋体" w:eastAsia="新宋体" w:cs="新宋体"/>
                <w:color w:val="auto"/>
                <w:sz w:val="22"/>
                <w:szCs w:val="22"/>
                <w:highlight w:val="none"/>
              </w:rPr>
              <w:t>5.提供样品的时间：</w:t>
            </w:r>
            <w:r>
              <w:rPr>
                <w:rFonts w:hint="eastAsia" w:ascii="新宋体" w:hAnsi="新宋体" w:eastAsia="新宋体" w:cs="新宋体"/>
                <w:color w:val="auto"/>
                <w:sz w:val="22"/>
                <w:szCs w:val="22"/>
                <w:highlight w:val="none"/>
                <w:u w:val="single"/>
              </w:rPr>
              <w:t>开标当日7:30至提交投标文件截止时间前</w:t>
            </w:r>
            <w:r>
              <w:rPr>
                <w:rFonts w:hint="eastAsia" w:ascii="新宋体" w:hAnsi="新宋体" w:eastAsia="新宋体" w:cs="新宋体"/>
                <w:color w:val="auto"/>
                <w:kern w:val="0"/>
                <w:sz w:val="22"/>
                <w:szCs w:val="22"/>
                <w:highlight w:val="none"/>
              </w:rPr>
              <w:t>；地点：</w:t>
            </w:r>
            <w:r>
              <w:rPr>
                <w:rFonts w:hint="eastAsia" w:ascii="新宋体" w:hAnsi="新宋体" w:eastAsia="新宋体" w:cs="新宋体"/>
                <w:color w:val="auto"/>
                <w:sz w:val="22"/>
                <w:szCs w:val="22"/>
                <w:highlight w:val="none"/>
                <w:u w:val="single"/>
              </w:rPr>
              <w:t>温州市民中心A座东侧一楼“样品间”</w:t>
            </w:r>
            <w:r>
              <w:rPr>
                <w:rFonts w:hint="eastAsia" w:ascii="新宋体" w:hAnsi="新宋体" w:eastAsia="新宋体" w:cs="新宋体"/>
                <w:color w:val="auto"/>
                <w:kern w:val="0"/>
                <w:sz w:val="22"/>
                <w:szCs w:val="22"/>
                <w:highlight w:val="none"/>
              </w:rPr>
              <w:t>；联系人：</w:t>
            </w:r>
            <w:r>
              <w:rPr>
                <w:rFonts w:hint="eastAsia" w:ascii="新宋体" w:hAnsi="新宋体" w:eastAsia="新宋体" w:cs="新宋体"/>
                <w:color w:val="auto"/>
                <w:kern w:val="0"/>
                <w:sz w:val="22"/>
                <w:szCs w:val="22"/>
                <w:highlight w:val="none"/>
                <w:u w:val="single"/>
              </w:rPr>
              <w:t>张斌</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kern w:val="28"/>
                <w:sz w:val="22"/>
                <w:szCs w:val="22"/>
                <w:highlight w:val="none"/>
              </w:rPr>
              <w:t>联系电话：</w:t>
            </w:r>
            <w:r>
              <w:rPr>
                <w:rFonts w:hint="eastAsia" w:ascii="新宋体" w:hAnsi="新宋体" w:eastAsia="新宋体" w:cs="新宋体"/>
                <w:color w:val="auto"/>
                <w:kern w:val="28"/>
                <w:sz w:val="22"/>
                <w:szCs w:val="22"/>
                <w:highlight w:val="none"/>
                <w:u w:val="single"/>
              </w:rPr>
              <w:t>13868881190</w:t>
            </w:r>
            <w:r>
              <w:rPr>
                <w:rFonts w:hint="eastAsia" w:ascii="新宋体" w:hAnsi="新宋体" w:eastAsia="新宋体" w:cs="新宋体"/>
                <w:color w:val="auto"/>
                <w:sz w:val="22"/>
                <w:szCs w:val="22"/>
                <w:highlight w:val="none"/>
              </w:rPr>
              <w:t>。请投标人在上述时间内提供样品并按规定位置安装完毕。超过截止时间的，采购人或采购代理机构将不予接收，</w:t>
            </w:r>
            <w:r>
              <w:rPr>
                <w:rFonts w:hint="eastAsia" w:ascii="宋体" w:hAnsi="宋体" w:cs="宋体"/>
                <w:color w:val="auto"/>
                <w:sz w:val="22"/>
                <w:szCs w:val="22"/>
                <w:highlight w:val="none"/>
              </w:rPr>
              <w:t>并将清场并封闭样品现场。</w:t>
            </w:r>
          </w:p>
          <w:p w14:paraId="4661A9D2">
            <w:pPr>
              <w:tabs>
                <w:tab w:val="left" w:pos="360"/>
              </w:tabs>
              <w:spacing w:line="460" w:lineRule="exact"/>
              <w:ind w:firstLine="550" w:firstLineChars="250"/>
              <w:rPr>
                <w:rFonts w:ascii="宋体" w:hAnsi="宋体" w:cs="宋体"/>
                <w:color w:val="auto"/>
                <w:sz w:val="22"/>
                <w:szCs w:val="22"/>
                <w:highlight w:val="none"/>
              </w:rPr>
            </w:pPr>
            <w:r>
              <w:rPr>
                <w:rFonts w:hint="eastAsia" w:ascii="宋体" w:hAnsi="宋体" w:cs="宋体"/>
                <w:color w:val="auto"/>
                <w:sz w:val="22"/>
                <w:szCs w:val="22"/>
                <w:highlight w:val="none"/>
              </w:rPr>
              <w:t>6.采购活动结束后，对于未中标人提供的样品，未中标人在开标结束后当日取回，逾期未取回的，采购人、采购代理机构不负保管义务；对于中标人提供的样品，采购人将进行保管、封存，并作为履约验收的参考。</w:t>
            </w:r>
          </w:p>
          <w:p w14:paraId="186FEE63">
            <w:pPr>
              <w:tabs>
                <w:tab w:val="left" w:pos="360"/>
              </w:tabs>
              <w:spacing w:line="460" w:lineRule="exact"/>
              <w:ind w:firstLine="550" w:firstLineChars="250"/>
              <w:rPr>
                <w:rFonts w:hint="eastAsia" w:ascii="宋体" w:hAnsi="宋体" w:eastAsia="宋体" w:cs="宋体"/>
                <w:color w:val="auto"/>
                <w:highlight w:val="none"/>
              </w:rPr>
            </w:pPr>
            <w:r>
              <w:rPr>
                <w:rFonts w:hint="eastAsia" w:ascii="宋体" w:hAnsi="宋体" w:cs="宋体"/>
                <w:color w:val="auto"/>
                <w:sz w:val="22"/>
                <w:szCs w:val="22"/>
                <w:highlight w:val="none"/>
                <w:lang w:val="en-US" w:eastAsia="zh-CN"/>
              </w:rPr>
              <w:t>7</w:t>
            </w:r>
            <w:r>
              <w:rPr>
                <w:rFonts w:hint="eastAsia" w:ascii="宋体" w:hAnsi="宋体" w:cs="宋体"/>
                <w:color w:val="auto"/>
                <w:sz w:val="22"/>
                <w:szCs w:val="22"/>
                <w:highlight w:val="none"/>
              </w:rPr>
              <w:t>.制作、运输、安装和保管样品所发生的一切费用由投标人自理。</w:t>
            </w:r>
          </w:p>
        </w:tc>
      </w:tr>
      <w:tr w14:paraId="45F7A7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3A24C7DC">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val="0"/>
                <w:bCs w:val="0"/>
                <w:color w:val="auto"/>
                <w:sz w:val="22"/>
                <w:szCs w:val="22"/>
                <w:highlight w:val="none"/>
              </w:rPr>
              <w:t>2</w:t>
            </w:r>
          </w:p>
        </w:tc>
        <w:tc>
          <w:tcPr>
            <w:tcW w:w="9590" w:type="dxa"/>
            <w:tcBorders>
              <w:top w:val="single" w:color="000000" w:sz="2" w:space="0"/>
              <w:left w:val="single" w:color="000000" w:sz="2" w:space="0"/>
              <w:bottom w:val="single" w:color="000000" w:sz="2" w:space="0"/>
              <w:right w:val="single" w:color="000000" w:sz="8" w:space="0"/>
            </w:tcBorders>
            <w:vAlign w:val="top"/>
          </w:tcPr>
          <w:p w14:paraId="7DCED0BA">
            <w:pPr>
              <w:spacing w:line="400" w:lineRule="exact"/>
              <w:rPr>
                <w:rFonts w:hint="eastAsia" w:ascii="宋体" w:hAnsi="宋体" w:eastAsia="宋体" w:cs="宋体"/>
                <w:b/>
                <w:color w:val="auto"/>
                <w:sz w:val="22"/>
                <w:szCs w:val="22"/>
                <w:highlight w:val="none"/>
              </w:rPr>
            </w:pPr>
            <w:r>
              <w:rPr>
                <w:rFonts w:hint="eastAsia" w:ascii="新宋体" w:hAnsi="新宋体" w:eastAsia="新宋体" w:cs="宋体"/>
                <w:b/>
                <w:color w:val="auto"/>
                <w:kern w:val="0"/>
                <w:sz w:val="22"/>
                <w:szCs w:val="22"/>
                <w:highlight w:val="none"/>
                <w:u w:val="none"/>
              </w:rPr>
              <w:t>本项目（</w:t>
            </w:r>
            <w:r>
              <w:rPr>
                <w:rFonts w:hint="eastAsia" w:ascii="新宋体" w:hAnsi="新宋体" w:eastAsia="新宋体" w:cs="宋体"/>
                <w:b/>
                <w:color w:val="auto"/>
                <w:kern w:val="0"/>
                <w:sz w:val="22"/>
                <w:szCs w:val="22"/>
                <w:highlight w:val="none"/>
                <w:u w:val="none"/>
                <w:lang w:val="en-US" w:eastAsia="zh-CN"/>
              </w:rPr>
              <w:t>否</w:t>
            </w:r>
            <w:r>
              <w:rPr>
                <w:rFonts w:hint="eastAsia" w:ascii="新宋体" w:hAnsi="新宋体" w:eastAsia="新宋体" w:cs="宋体"/>
                <w:b/>
                <w:color w:val="auto"/>
                <w:kern w:val="0"/>
                <w:sz w:val="22"/>
                <w:szCs w:val="22"/>
                <w:highlight w:val="none"/>
                <w:u w:val="none"/>
              </w:rPr>
              <w:t>）接受联合体投标。</w:t>
            </w:r>
          </w:p>
        </w:tc>
      </w:tr>
      <w:tr w14:paraId="495E2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035E0A10">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3</w:t>
            </w:r>
          </w:p>
        </w:tc>
        <w:tc>
          <w:tcPr>
            <w:tcW w:w="9590" w:type="dxa"/>
            <w:tcBorders>
              <w:top w:val="single" w:color="000000" w:sz="2" w:space="0"/>
              <w:left w:val="single" w:color="000000" w:sz="2" w:space="0"/>
              <w:bottom w:val="single" w:color="000000" w:sz="2" w:space="0"/>
              <w:right w:val="single" w:color="000000" w:sz="8" w:space="0"/>
            </w:tcBorders>
            <w:vAlign w:val="center"/>
          </w:tcPr>
          <w:p w14:paraId="7F5BE419">
            <w:pPr>
              <w:snapToGrid w:val="0"/>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zh-CN"/>
              </w:rPr>
              <w:t>投标</w:t>
            </w:r>
            <w:r>
              <w:rPr>
                <w:rFonts w:hint="eastAsia" w:ascii="宋体" w:hAnsi="宋体" w:eastAsia="宋体" w:cs="宋体"/>
                <w:b/>
                <w:bCs/>
                <w:color w:val="auto"/>
                <w:sz w:val="22"/>
                <w:szCs w:val="22"/>
                <w:highlight w:val="none"/>
              </w:rPr>
              <w:t>有效期：</w:t>
            </w:r>
            <w:r>
              <w:rPr>
                <w:rFonts w:hint="eastAsia" w:ascii="宋体" w:hAnsi="宋体" w:eastAsia="宋体" w:cs="宋体"/>
                <w:color w:val="auto"/>
                <w:sz w:val="22"/>
                <w:szCs w:val="22"/>
                <w:highlight w:val="none"/>
              </w:rPr>
              <w:t>自投标截止日起120天。</w:t>
            </w:r>
          </w:p>
        </w:tc>
      </w:tr>
      <w:tr w14:paraId="0AD9F9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19AA8449">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4</w:t>
            </w:r>
          </w:p>
        </w:tc>
        <w:tc>
          <w:tcPr>
            <w:tcW w:w="9590" w:type="dxa"/>
            <w:tcBorders>
              <w:top w:val="single" w:color="000000" w:sz="2" w:space="0"/>
              <w:left w:val="single" w:color="000000" w:sz="2" w:space="0"/>
              <w:bottom w:val="single" w:color="000000" w:sz="2" w:space="0"/>
              <w:right w:val="single" w:color="000000" w:sz="8" w:space="0"/>
            </w:tcBorders>
            <w:vAlign w:val="center"/>
          </w:tcPr>
          <w:p w14:paraId="44E0B9F6">
            <w:pPr>
              <w:snapToGrid w:val="0"/>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投标保证金数额：无</w:t>
            </w:r>
            <w:r>
              <w:rPr>
                <w:rFonts w:hint="eastAsia" w:ascii="宋体" w:hAnsi="宋体" w:eastAsia="宋体" w:cs="宋体"/>
                <w:color w:val="auto"/>
                <w:sz w:val="22"/>
                <w:szCs w:val="22"/>
                <w:highlight w:val="none"/>
              </w:rPr>
              <w:t>。</w:t>
            </w:r>
          </w:p>
        </w:tc>
      </w:tr>
      <w:tr w14:paraId="6258AB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205DFDC2">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5</w:t>
            </w:r>
          </w:p>
        </w:tc>
        <w:tc>
          <w:tcPr>
            <w:tcW w:w="9590" w:type="dxa"/>
            <w:tcBorders>
              <w:top w:val="single" w:color="000000" w:sz="2" w:space="0"/>
              <w:left w:val="single" w:color="000000" w:sz="2" w:space="0"/>
              <w:bottom w:val="single" w:color="000000" w:sz="2" w:space="0"/>
              <w:right w:val="single" w:color="000000" w:sz="8" w:space="0"/>
            </w:tcBorders>
            <w:vAlign w:val="center"/>
          </w:tcPr>
          <w:p w14:paraId="3316FD51">
            <w:pPr>
              <w:snapToGrid w:val="0"/>
              <w:spacing w:line="460" w:lineRule="exact"/>
              <w:rPr>
                <w:rFonts w:hint="eastAsia" w:ascii="宋体" w:hAnsi="宋体" w:eastAsia="宋体" w:cs="宋体"/>
                <w:color w:val="auto"/>
                <w:sz w:val="22"/>
                <w:szCs w:val="22"/>
                <w:highlight w:val="none"/>
              </w:rPr>
            </w:pPr>
            <w:r>
              <w:rPr>
                <w:rFonts w:hint="eastAsia" w:ascii="宋体" w:hAnsi="宋体" w:cs="宋体"/>
                <w:b/>
                <w:bCs/>
                <w:color w:val="auto"/>
                <w:sz w:val="22"/>
                <w:szCs w:val="22"/>
                <w:highlight w:val="none"/>
                <w:lang w:val="en-US" w:eastAsia="zh-CN"/>
              </w:rPr>
              <w:t>各标项</w:t>
            </w:r>
            <w:r>
              <w:rPr>
                <w:rFonts w:hint="eastAsia" w:ascii="宋体" w:hAnsi="宋体" w:cs="宋体"/>
                <w:b/>
                <w:bCs/>
                <w:color w:val="auto"/>
                <w:sz w:val="22"/>
                <w:szCs w:val="22"/>
                <w:highlight w:val="none"/>
              </w:rPr>
              <w:t>招标服务费：据国家计委计价格【2002】1980号《招标代理服务收费管理暂行办法》规定标准按预算金额的差额定率累计法计算后下浮35%后再下浮20%,由</w:t>
            </w:r>
            <w:r>
              <w:rPr>
                <w:rFonts w:hint="eastAsia" w:ascii="宋体" w:hAnsi="宋体" w:cs="宋体"/>
                <w:b/>
                <w:bCs/>
                <w:color w:val="auto"/>
                <w:sz w:val="22"/>
                <w:szCs w:val="22"/>
                <w:highlight w:val="none"/>
                <w:lang w:val="en-US" w:eastAsia="zh-CN"/>
              </w:rPr>
              <w:t>各标项</w:t>
            </w:r>
            <w:r>
              <w:rPr>
                <w:rFonts w:hint="eastAsia" w:ascii="宋体" w:hAnsi="宋体" w:cs="宋体"/>
                <w:b/>
                <w:bCs/>
                <w:color w:val="auto"/>
                <w:sz w:val="22"/>
                <w:szCs w:val="22"/>
                <w:highlight w:val="none"/>
              </w:rPr>
              <w:t>中标人在领取中标通知书时支付。</w:t>
            </w:r>
          </w:p>
          <w:p w14:paraId="49869B84">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户   名：温州历程招标有限公司</w:t>
            </w:r>
          </w:p>
          <w:p w14:paraId="10242B01">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账   号：33050162870409101001</w:t>
            </w:r>
          </w:p>
          <w:p w14:paraId="59A50792">
            <w:pPr>
              <w:spacing w:line="460" w:lineRule="exact"/>
              <w:ind w:firstLine="539" w:firstLineChars="245"/>
              <w:rPr>
                <w:rFonts w:hint="eastAsia" w:ascii="宋体" w:hAnsi="宋体" w:eastAsia="宋体" w:cs="宋体"/>
                <w:color w:val="auto"/>
                <w:highlight w:val="none"/>
              </w:rPr>
            </w:pPr>
            <w:r>
              <w:rPr>
                <w:rFonts w:hint="eastAsia" w:ascii="宋体" w:hAnsi="宋体" w:eastAsia="宋体" w:cs="宋体"/>
                <w:color w:val="auto"/>
                <w:sz w:val="22"/>
                <w:szCs w:val="22"/>
                <w:highlight w:val="none"/>
              </w:rPr>
              <w:t>开户银行：中国建设银行股份有限公司温州新城支行</w:t>
            </w:r>
          </w:p>
        </w:tc>
      </w:tr>
      <w:tr w14:paraId="16573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10C04CD8">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6</w:t>
            </w:r>
          </w:p>
        </w:tc>
        <w:tc>
          <w:tcPr>
            <w:tcW w:w="9590" w:type="dxa"/>
            <w:tcBorders>
              <w:top w:val="single" w:color="000000" w:sz="2" w:space="0"/>
              <w:left w:val="single" w:color="000000" w:sz="2" w:space="0"/>
              <w:bottom w:val="single" w:color="000000" w:sz="2" w:space="0"/>
              <w:right w:val="single" w:color="000000" w:sz="8" w:space="0"/>
            </w:tcBorders>
            <w:vAlign w:val="center"/>
          </w:tcPr>
          <w:p w14:paraId="56EECB6E">
            <w:pPr>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投标文件的组成：</w:t>
            </w:r>
            <w:r>
              <w:rPr>
                <w:rFonts w:hint="eastAsia" w:ascii="宋体" w:hAnsi="宋体" w:eastAsia="宋体" w:cs="宋体"/>
                <w:color w:val="auto"/>
                <w:sz w:val="22"/>
                <w:szCs w:val="22"/>
                <w:highlight w:val="none"/>
              </w:rPr>
              <w:t>完整的《投标文件》由“资格文件”、“报价文件”和“商务技术文件”三个部分组成。</w:t>
            </w:r>
          </w:p>
        </w:tc>
      </w:tr>
      <w:tr w14:paraId="70BA7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327D3ED0">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7</w:t>
            </w:r>
          </w:p>
        </w:tc>
        <w:tc>
          <w:tcPr>
            <w:tcW w:w="9590" w:type="dxa"/>
            <w:tcBorders>
              <w:top w:val="single" w:color="000000" w:sz="2" w:space="0"/>
              <w:left w:val="single" w:color="000000" w:sz="2" w:space="0"/>
              <w:bottom w:val="single" w:color="000000" w:sz="2" w:space="0"/>
              <w:right w:val="single" w:color="000000" w:sz="8" w:space="0"/>
            </w:tcBorders>
            <w:vAlign w:val="center"/>
          </w:tcPr>
          <w:p w14:paraId="31CAB97F">
            <w:pPr>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投标文件的编制：</w:t>
            </w:r>
            <w:r>
              <w:rPr>
                <w:rFonts w:hint="eastAsia" w:ascii="宋体" w:hAnsi="宋体" w:eastAsia="宋体" w:cs="宋体"/>
                <w:color w:val="auto"/>
                <w:sz w:val="22"/>
                <w:szCs w:val="22"/>
                <w:highlight w:val="none"/>
              </w:rPr>
              <w:t>供应商应先安装“政采云电子交易客户端”，并按照本招标文件和“政府采购云平台”的要求，通过“政采云电子交易客户端”编制并加密投标文件。</w:t>
            </w:r>
          </w:p>
        </w:tc>
      </w:tr>
      <w:tr w14:paraId="480959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370BB30F">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8</w:t>
            </w:r>
          </w:p>
        </w:tc>
        <w:tc>
          <w:tcPr>
            <w:tcW w:w="9590" w:type="dxa"/>
            <w:tcBorders>
              <w:top w:val="single" w:color="000000" w:sz="2" w:space="0"/>
              <w:left w:val="single" w:color="000000" w:sz="2" w:space="0"/>
              <w:bottom w:val="single" w:color="000000" w:sz="2" w:space="0"/>
              <w:right w:val="single" w:color="000000" w:sz="8" w:space="0"/>
            </w:tcBorders>
            <w:vAlign w:val="center"/>
          </w:tcPr>
          <w:p w14:paraId="6FF6ED8D">
            <w:pPr>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投标文件的签章：</w:t>
            </w:r>
            <w:r>
              <w:rPr>
                <w:rFonts w:hint="eastAsia" w:ascii="宋体" w:hAnsi="宋体" w:eastAsia="宋体" w:cs="宋体"/>
                <w:color w:val="auto"/>
                <w:sz w:val="22"/>
                <w:szCs w:val="22"/>
                <w:highlight w:val="none"/>
              </w:rPr>
              <w:t>电子签章。</w:t>
            </w:r>
          </w:p>
        </w:tc>
      </w:tr>
      <w:tr w14:paraId="147479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51428BB9">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9</w:t>
            </w:r>
          </w:p>
        </w:tc>
        <w:tc>
          <w:tcPr>
            <w:tcW w:w="9590" w:type="dxa"/>
            <w:tcBorders>
              <w:top w:val="single" w:color="000000" w:sz="2" w:space="0"/>
              <w:left w:val="single" w:color="000000" w:sz="2" w:space="0"/>
              <w:bottom w:val="single" w:color="000000" w:sz="2" w:space="0"/>
              <w:right w:val="single" w:color="000000" w:sz="8" w:space="0"/>
            </w:tcBorders>
            <w:vAlign w:val="center"/>
          </w:tcPr>
          <w:p w14:paraId="6304BA73">
            <w:pPr>
              <w:spacing w:line="460" w:lineRule="exac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投标文件的形式：</w:t>
            </w:r>
            <w:r>
              <w:rPr>
                <w:rFonts w:hint="eastAsia" w:ascii="宋体" w:hAnsi="宋体" w:eastAsia="宋体" w:cs="宋体"/>
                <w:color w:val="auto"/>
                <w:sz w:val="22"/>
                <w:szCs w:val="22"/>
                <w:highlight w:val="none"/>
              </w:rPr>
              <w:t>☑电子投标文件（包括“电子加密投标文件”和“备份投标文件”，在投标文件编制完成后同时生成）；</w:t>
            </w:r>
          </w:p>
          <w:p w14:paraId="56B236B8">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（1）“电子加密投标文件”是指通过“政采云电子交易客户端”完成投标文件编制后生成并加密的数据电文形式的投标文件。</w:t>
            </w:r>
          </w:p>
          <w:p w14:paraId="37ADE225">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（2）“备份投标文件”是指与“电子加密投标文件”同时生成的数据电文形式的电子文件（备份标书），其他方式编制的备份投标文件视为无效备份投标文件。</w:t>
            </w:r>
          </w:p>
        </w:tc>
      </w:tr>
      <w:tr w14:paraId="6727BE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643262EB">
            <w:pPr>
              <w:snapToGrid w:val="0"/>
              <w:spacing w:line="460" w:lineRule="exact"/>
              <w:jc w:val="center"/>
              <w:rPr>
                <w:rFonts w:hint="default" w:ascii="宋体" w:hAnsi="宋体" w:eastAsia="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10</w:t>
            </w:r>
          </w:p>
        </w:tc>
        <w:tc>
          <w:tcPr>
            <w:tcW w:w="9590" w:type="dxa"/>
            <w:tcBorders>
              <w:top w:val="single" w:color="000000" w:sz="2" w:space="0"/>
              <w:left w:val="single" w:color="000000" w:sz="2" w:space="0"/>
              <w:bottom w:val="single" w:color="000000" w:sz="2" w:space="0"/>
              <w:right w:val="single" w:color="000000" w:sz="8" w:space="0"/>
            </w:tcBorders>
            <w:vAlign w:val="center"/>
          </w:tcPr>
          <w:p w14:paraId="134598EA">
            <w:pPr>
              <w:spacing w:line="460" w:lineRule="exact"/>
              <w:rPr>
                <w:rFonts w:hint="eastAsia"/>
                <w:color w:val="auto"/>
                <w:sz w:val="22"/>
                <w:szCs w:val="28"/>
                <w:highlight w:val="none"/>
              </w:rPr>
            </w:pPr>
            <w:r>
              <w:rPr>
                <w:rFonts w:hint="eastAsia"/>
                <w:color w:val="auto"/>
                <w:sz w:val="22"/>
                <w:szCs w:val="28"/>
                <w:highlight w:val="none"/>
              </w:rPr>
              <w:t>投标文件份数：</w:t>
            </w:r>
          </w:p>
          <w:p w14:paraId="51A1C7C5">
            <w:pPr>
              <w:numPr>
                <w:ilvl w:val="0"/>
                <w:numId w:val="0"/>
              </w:numPr>
              <w:spacing w:line="460" w:lineRule="exact"/>
              <w:rPr>
                <w:rFonts w:hint="eastAsia"/>
                <w:color w:val="auto"/>
                <w:sz w:val="22"/>
                <w:szCs w:val="28"/>
                <w:highlight w:val="none"/>
              </w:rPr>
            </w:pPr>
            <w:r>
              <w:rPr>
                <w:rFonts w:hint="eastAsia" w:ascii="Times New Roman" w:hAnsi="Times New Roman" w:eastAsia="宋体" w:cs="Times New Roman"/>
                <w:color w:val="auto"/>
                <w:kern w:val="2"/>
                <w:sz w:val="22"/>
                <w:szCs w:val="28"/>
                <w:highlight w:val="none"/>
                <w:lang w:val="en-US" w:eastAsia="zh-CN" w:bidi="ar-SA"/>
              </w:rPr>
              <w:t>（1）</w:t>
            </w:r>
            <w:r>
              <w:rPr>
                <w:rFonts w:hint="eastAsia"/>
                <w:color w:val="auto"/>
                <w:sz w:val="22"/>
                <w:szCs w:val="28"/>
                <w:highlight w:val="none"/>
              </w:rPr>
              <w:t>“电子加密投标文件”：在线上传递交、一份。</w:t>
            </w:r>
          </w:p>
          <w:p w14:paraId="4E8C69C9">
            <w:pPr>
              <w:numPr>
                <w:ilvl w:val="0"/>
                <w:numId w:val="0"/>
              </w:numPr>
              <w:spacing w:line="460" w:lineRule="exact"/>
              <w:rPr>
                <w:rFonts w:hint="eastAsia"/>
                <w:color w:val="auto"/>
                <w:sz w:val="22"/>
                <w:szCs w:val="28"/>
                <w:highlight w:val="none"/>
              </w:rPr>
            </w:pPr>
            <w:r>
              <w:rPr>
                <w:rFonts w:hint="eastAsia" w:ascii="Times New Roman" w:hAnsi="Times New Roman" w:eastAsia="宋体" w:cs="Times New Roman"/>
                <w:color w:val="auto"/>
                <w:kern w:val="2"/>
                <w:sz w:val="22"/>
                <w:szCs w:val="28"/>
                <w:highlight w:val="none"/>
                <w:lang w:val="en-US" w:eastAsia="zh-CN" w:bidi="ar-SA"/>
              </w:rPr>
              <w:t>（2）</w:t>
            </w:r>
            <w:r>
              <w:rPr>
                <w:rFonts w:hint="eastAsia"/>
                <w:color w:val="auto"/>
                <w:sz w:val="22"/>
                <w:szCs w:val="28"/>
                <w:highlight w:val="none"/>
              </w:rPr>
              <w:t>“备份投标文件”：密封包装后投标截止时间前递交、一份</w:t>
            </w:r>
          </w:p>
          <w:p w14:paraId="148121A6">
            <w:pPr>
              <w:spacing w:line="460" w:lineRule="exact"/>
              <w:rPr>
                <w:rFonts w:hint="eastAsia"/>
                <w:color w:val="auto"/>
                <w:sz w:val="22"/>
                <w:szCs w:val="28"/>
                <w:highlight w:val="none"/>
              </w:rPr>
            </w:pPr>
            <w:r>
              <w:rPr>
                <w:rFonts w:hint="eastAsia"/>
                <w:color w:val="auto"/>
                <w:sz w:val="22"/>
                <w:szCs w:val="28"/>
                <w:highlight w:val="none"/>
              </w:rPr>
              <w:t>（若不提供备份投标文件，开标当天电子加密投标文件解密失败，投标人自行负责。）</w:t>
            </w:r>
          </w:p>
          <w:p w14:paraId="5EED9523">
            <w:pPr>
              <w:tabs>
                <w:tab w:val="left" w:pos="360"/>
              </w:tabs>
              <w:spacing w:line="460" w:lineRule="exact"/>
              <w:rPr>
                <w:rFonts w:hint="eastAsia"/>
                <w:color w:val="auto"/>
                <w:sz w:val="22"/>
                <w:szCs w:val="28"/>
                <w:highlight w:val="none"/>
              </w:rPr>
            </w:pPr>
            <w:r>
              <w:rPr>
                <w:rFonts w:hint="eastAsia"/>
                <w:color w:val="auto"/>
                <w:sz w:val="22"/>
                <w:szCs w:val="28"/>
                <w:highlight w:val="none"/>
              </w:rPr>
              <w:t>可以（邮寄形式，建议顺丰）在投标截止时间前递交，并需采购代理机构确认是否收到，</w:t>
            </w:r>
          </w:p>
          <w:p w14:paraId="5D622C77">
            <w:pPr>
              <w:spacing w:line="460" w:lineRule="exact"/>
              <w:rPr>
                <w:rFonts w:hint="eastAsia"/>
                <w:color w:val="auto"/>
                <w:sz w:val="22"/>
                <w:szCs w:val="28"/>
                <w:highlight w:val="none"/>
                <w:lang w:eastAsia="zh-CN"/>
              </w:rPr>
            </w:pPr>
            <w:r>
              <w:rPr>
                <w:rFonts w:hint="eastAsia"/>
                <w:color w:val="auto"/>
                <w:sz w:val="22"/>
                <w:szCs w:val="28"/>
                <w:highlight w:val="none"/>
              </w:rPr>
              <w:t>邮寄地址：</w:t>
            </w:r>
            <w:r>
              <w:rPr>
                <w:rFonts w:hint="eastAsia"/>
                <w:color w:val="auto"/>
                <w:sz w:val="22"/>
                <w:szCs w:val="28"/>
                <w:highlight w:val="none"/>
                <w:lang w:eastAsia="zh-CN"/>
              </w:rPr>
              <w:t>温州市鹿城区勤民路鹿城壹号18幢803室</w:t>
            </w:r>
          </w:p>
          <w:p w14:paraId="3397F869">
            <w:pPr>
              <w:spacing w:line="460" w:lineRule="exact"/>
              <w:rPr>
                <w:rFonts w:hint="default" w:eastAsia="宋体"/>
                <w:color w:val="auto"/>
                <w:highlight w:val="none"/>
                <w:lang w:val="en-US" w:eastAsia="zh-CN"/>
              </w:rPr>
            </w:pPr>
            <w:r>
              <w:rPr>
                <w:rFonts w:hint="eastAsia"/>
                <w:color w:val="auto"/>
                <w:sz w:val="22"/>
                <w:szCs w:val="28"/>
                <w:highlight w:val="none"/>
                <w:lang w:val="en-US" w:eastAsia="zh-CN"/>
              </w:rPr>
              <w:t>联系人：肖宗文    联系电话</w:t>
            </w:r>
            <w:r>
              <w:rPr>
                <w:rFonts w:hint="eastAsia"/>
                <w:b w:val="0"/>
                <w:bCs w:val="0"/>
                <w:color w:val="auto"/>
                <w:sz w:val="22"/>
                <w:szCs w:val="28"/>
                <w:highlight w:val="none"/>
                <w:lang w:val="en-US" w:eastAsia="zh-CN"/>
              </w:rPr>
              <w:t>：13757727199</w:t>
            </w:r>
          </w:p>
        </w:tc>
      </w:tr>
      <w:tr w14:paraId="4D3A1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2EA7F28E">
            <w:pPr>
              <w:snapToGrid w:val="0"/>
              <w:spacing w:line="460" w:lineRule="exact"/>
              <w:jc w:val="center"/>
              <w:rPr>
                <w:rFonts w:hint="default" w:ascii="宋体" w:hAnsi="宋体" w:eastAsia="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11</w:t>
            </w:r>
          </w:p>
        </w:tc>
        <w:tc>
          <w:tcPr>
            <w:tcW w:w="9590" w:type="dxa"/>
            <w:tcBorders>
              <w:top w:val="single" w:color="000000" w:sz="2" w:space="0"/>
              <w:left w:val="single" w:color="000000" w:sz="2" w:space="0"/>
              <w:bottom w:val="single" w:color="000000" w:sz="2" w:space="0"/>
              <w:right w:val="single" w:color="000000" w:sz="8" w:space="0"/>
            </w:tcBorders>
            <w:vAlign w:val="center"/>
          </w:tcPr>
          <w:p w14:paraId="5F164D97">
            <w:pPr>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投标文件的上传和递交：</w:t>
            </w:r>
          </w:p>
          <w:p w14:paraId="5A1311D2">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（1）“电子加密投标文件”的上传、递交：</w:t>
            </w:r>
          </w:p>
          <w:p w14:paraId="173AF2FA">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a.投标人应在投标截止时间前将“电子加密投标文件</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”成功上传递交至“政府采购云平台”，否则投标无效。</w:t>
            </w:r>
          </w:p>
          <w:p w14:paraId="76F244FD">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b.“电子加密投标文件”成功上传递交后，供应商可自行打印投标文件接收回执。</w:t>
            </w:r>
          </w:p>
          <w:p w14:paraId="0DB965D2">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（2）“备份投标文件”的密封包装、递交：</w:t>
            </w:r>
          </w:p>
          <w:p w14:paraId="34BE61BD">
            <w:pPr>
              <w:tabs>
                <w:tab w:val="left" w:pos="360"/>
              </w:tabs>
              <w:spacing w:line="460" w:lineRule="exac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a.投标人在“政府采购云平台”完成“电子加密投标文件”的上传递交后，</w:t>
            </w:r>
            <w:r>
              <w:rPr>
                <w:rFonts w:hint="eastAsia" w:ascii="宋体" w:hAnsi="宋体" w:eastAsia="宋体" w:cs="宋体"/>
                <w:b/>
                <w:bCs/>
                <w:color w:val="auto"/>
                <w:sz w:val="22"/>
                <w:szCs w:val="22"/>
                <w:highlight w:val="none"/>
              </w:rPr>
              <w:t>还可以在投标截止时间前递交以介质（U盘）存储的数据电文形式的“备份投标文件”，（可以</w:t>
            </w:r>
            <w:r>
              <w:rPr>
                <w:rFonts w:hint="eastAsia" w:ascii="宋体" w:hAnsi="宋体" w:eastAsia="宋体" w:cs="宋体"/>
                <w:b/>
                <w:color w:val="auto"/>
                <w:sz w:val="22"/>
                <w:szCs w:val="22"/>
                <w:highlight w:val="none"/>
                <w:u w:val="single"/>
              </w:rPr>
              <w:t>（邮寄形式，建议顺丰）在投标截止时间前递交，并需采购代理机构确认是否收到</w:t>
            </w:r>
            <w:r>
              <w:rPr>
                <w:rFonts w:hint="eastAsia" w:ascii="宋体" w:hAnsi="宋体" w:eastAsia="宋体" w:cs="宋体"/>
                <w:b/>
                <w:bCs/>
                <w:color w:val="auto"/>
                <w:sz w:val="22"/>
                <w:szCs w:val="22"/>
                <w:highlight w:val="none"/>
              </w:rPr>
              <w:t>）</w:t>
            </w:r>
          </w:p>
          <w:p w14:paraId="410396FA">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b.“备份投标文件”应当密封包装，并在包装上标注投标项目名称、投标人名称并加盖公章。没有密封包装或者逾期（邮寄）送达至投标地点的“备份投标文件”将不予接收；</w:t>
            </w:r>
          </w:p>
          <w:p w14:paraId="27D75C03">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c.通过“政府采购云平台”成功上传递交的“电子加密投标文件”已按时解密的，“备份投标文件”自动失效。投标截止时间前，投标人仅递交了“备份投标文件”而未将“电子加密投标文件”成功上传至“政府采购云平台”的，投标无效。</w:t>
            </w:r>
          </w:p>
        </w:tc>
      </w:tr>
      <w:tr w14:paraId="7D80BC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1F19D408">
            <w:pPr>
              <w:snapToGrid w:val="0"/>
              <w:spacing w:line="4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w:t>
            </w:r>
            <w:r>
              <w:rPr>
                <w:rFonts w:hint="eastAsia" w:ascii="宋体" w:hAnsi="宋体" w:cs="宋体"/>
                <w:b/>
                <w:bCs/>
                <w:color w:val="auto"/>
                <w:sz w:val="22"/>
                <w:szCs w:val="22"/>
                <w:highlight w:val="none"/>
                <w:lang w:val="en-US" w:eastAsia="zh-CN"/>
              </w:rPr>
              <w:t>2</w:t>
            </w:r>
          </w:p>
        </w:tc>
        <w:tc>
          <w:tcPr>
            <w:tcW w:w="9590" w:type="dxa"/>
            <w:tcBorders>
              <w:top w:val="single" w:color="000000" w:sz="2" w:space="0"/>
              <w:left w:val="single" w:color="000000" w:sz="2" w:space="0"/>
              <w:bottom w:val="single" w:color="000000" w:sz="2" w:space="0"/>
              <w:right w:val="single" w:color="000000" w:sz="8" w:space="0"/>
            </w:tcBorders>
            <w:vAlign w:val="center"/>
          </w:tcPr>
          <w:p w14:paraId="3EAB16A2">
            <w:pPr>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电子加密投标文件的解密和异常情况处理：</w:t>
            </w:r>
          </w:p>
          <w:p w14:paraId="50456FDA">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（1）开标后，采购组织机构将向各投标人发出“电子加密投标文件”的解密通知，各投标人代表应当在接到解密通知后在系统规定的时间自行完成“电子加密投标文件”的在线解密。</w:t>
            </w:r>
          </w:p>
          <w:p w14:paraId="4B5DC8D9">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通过“政府采购云平台”成功上传递交的“电子加密投标文件”无法按时解密，投标人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0A13DE3D">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（3）投标截止时间前，投标人仅递交了“备份投标文件”而未将电子加密投标文件上传至“政府采购云平台”的，投标无效。</w:t>
            </w:r>
          </w:p>
        </w:tc>
      </w:tr>
      <w:tr w14:paraId="4E280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4816EB18">
            <w:pPr>
              <w:snapToGrid w:val="0"/>
              <w:spacing w:line="460" w:lineRule="exact"/>
              <w:jc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1</w:t>
            </w:r>
            <w:r>
              <w:rPr>
                <w:rFonts w:hint="eastAsia" w:ascii="宋体" w:hAnsi="宋体" w:cs="宋体"/>
                <w:b/>
                <w:bCs/>
                <w:color w:val="auto"/>
                <w:sz w:val="22"/>
                <w:szCs w:val="22"/>
                <w:highlight w:val="none"/>
                <w:lang w:val="en-US" w:eastAsia="zh-CN"/>
              </w:rPr>
              <w:t>3</w:t>
            </w:r>
          </w:p>
        </w:tc>
        <w:tc>
          <w:tcPr>
            <w:tcW w:w="9590" w:type="dxa"/>
            <w:tcBorders>
              <w:top w:val="single" w:color="000000" w:sz="2" w:space="0"/>
              <w:left w:val="single" w:color="000000" w:sz="2" w:space="0"/>
              <w:bottom w:val="single" w:color="000000" w:sz="2" w:space="0"/>
              <w:right w:val="single" w:color="000000" w:sz="8" w:space="0"/>
            </w:tcBorders>
            <w:vAlign w:val="center"/>
          </w:tcPr>
          <w:p w14:paraId="0C96E753">
            <w:pPr>
              <w:widowControl/>
              <w:snapToGrid w:val="0"/>
              <w:spacing w:line="460" w:lineRule="exact"/>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提交投标文件截止时间：</w:t>
            </w:r>
            <w:r>
              <w:rPr>
                <w:rFonts w:hint="eastAsia" w:ascii="宋体" w:hAnsi="宋体" w:cs="宋体"/>
                <w:b w:val="0"/>
                <w:bCs w:val="0"/>
                <w:color w:val="auto"/>
                <w:sz w:val="22"/>
                <w:szCs w:val="22"/>
                <w:highlight w:val="none"/>
                <w:lang w:val="en-US" w:eastAsia="zh-CN"/>
              </w:rPr>
              <w:t>详见招标公告</w:t>
            </w:r>
            <w:r>
              <w:rPr>
                <w:rFonts w:hint="eastAsia" w:ascii="宋体" w:hAnsi="宋体" w:eastAsia="宋体" w:cs="宋体"/>
                <w:color w:val="auto"/>
                <w:sz w:val="22"/>
                <w:szCs w:val="22"/>
                <w:highlight w:val="none"/>
              </w:rPr>
              <w:t> </w:t>
            </w:r>
          </w:p>
          <w:p w14:paraId="6CB5FC24">
            <w:pPr>
              <w:widowControl/>
              <w:snapToGrid w:val="0"/>
              <w:spacing w:line="460" w:lineRule="exact"/>
              <w:jc w:val="left"/>
              <w:rPr>
                <w:rFonts w:hint="eastAsia"/>
                <w:color w:val="auto"/>
                <w:highlight w:val="none"/>
              </w:rPr>
            </w:pPr>
            <w:r>
              <w:rPr>
                <w:rFonts w:hint="eastAsia" w:ascii="宋体" w:hAnsi="宋体" w:eastAsia="宋体" w:cs="宋体"/>
                <w:color w:val="auto"/>
                <w:sz w:val="22"/>
                <w:szCs w:val="22"/>
                <w:highlight w:val="none"/>
              </w:rPr>
              <w:t>投标地点（网址）：</w:t>
            </w:r>
            <w:r>
              <w:rPr>
                <w:rFonts w:hint="eastAsia" w:ascii="宋体" w:hAnsi="宋体" w:cs="宋体"/>
                <w:b w:val="0"/>
                <w:bCs w:val="0"/>
                <w:color w:val="auto"/>
                <w:sz w:val="22"/>
                <w:szCs w:val="22"/>
                <w:highlight w:val="none"/>
                <w:lang w:val="en-US" w:eastAsia="zh-CN"/>
              </w:rPr>
              <w:t>详见招标公告</w:t>
            </w:r>
            <w:r>
              <w:rPr>
                <w:rFonts w:hint="eastAsia" w:ascii="宋体" w:hAnsi="宋体" w:eastAsia="宋体" w:cs="宋体"/>
                <w:color w:val="auto"/>
                <w:sz w:val="22"/>
                <w:szCs w:val="22"/>
                <w:highlight w:val="none"/>
              </w:rPr>
              <w:t> </w:t>
            </w:r>
          </w:p>
        </w:tc>
      </w:tr>
      <w:tr w14:paraId="03D50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auto" w:sz="4" w:space="0"/>
              <w:right w:val="single" w:color="000000" w:sz="2" w:space="0"/>
            </w:tcBorders>
            <w:vAlign w:val="center"/>
          </w:tcPr>
          <w:p w14:paraId="51167B21">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1</w:t>
            </w:r>
            <w:r>
              <w:rPr>
                <w:rFonts w:hint="eastAsia" w:ascii="宋体" w:hAnsi="宋体" w:cs="宋体"/>
                <w:b/>
                <w:bCs/>
                <w:color w:val="auto"/>
                <w:sz w:val="22"/>
                <w:szCs w:val="22"/>
                <w:highlight w:val="none"/>
                <w:lang w:val="en-US" w:eastAsia="zh-CN"/>
              </w:rPr>
              <w:t>4</w:t>
            </w:r>
          </w:p>
        </w:tc>
        <w:tc>
          <w:tcPr>
            <w:tcW w:w="9590" w:type="dxa"/>
            <w:tcBorders>
              <w:top w:val="single" w:color="000000" w:sz="2" w:space="0"/>
              <w:left w:val="single" w:color="000000" w:sz="2" w:space="0"/>
              <w:bottom w:val="single" w:color="auto" w:sz="4" w:space="0"/>
              <w:right w:val="single" w:color="000000" w:sz="8" w:space="0"/>
            </w:tcBorders>
            <w:vAlign w:val="center"/>
          </w:tcPr>
          <w:p w14:paraId="4A4B81DA">
            <w:pPr>
              <w:widowControl/>
              <w:snapToGrid w:val="0"/>
              <w:spacing w:line="460" w:lineRule="exact"/>
              <w:jc w:val="left"/>
              <w:rPr>
                <w:rFonts w:hint="default"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rPr>
              <w:t>开标时间</w:t>
            </w:r>
            <w:r>
              <w:rPr>
                <w:rFonts w:hint="eastAsia" w:ascii="宋体" w:hAnsi="宋体" w:eastAsia="宋体" w:cs="宋体"/>
                <w:b w:val="0"/>
                <w:bCs w:val="0"/>
                <w:color w:val="auto"/>
                <w:sz w:val="22"/>
                <w:szCs w:val="22"/>
                <w:highlight w:val="none"/>
                <w:lang w:eastAsia="zh-CN"/>
              </w:rPr>
              <w:t>：</w:t>
            </w:r>
            <w:r>
              <w:rPr>
                <w:rFonts w:hint="eastAsia" w:ascii="宋体" w:hAnsi="宋体" w:cs="宋体"/>
                <w:b w:val="0"/>
                <w:bCs w:val="0"/>
                <w:color w:val="auto"/>
                <w:sz w:val="22"/>
                <w:szCs w:val="22"/>
                <w:highlight w:val="none"/>
                <w:lang w:val="en-US" w:eastAsia="zh-CN"/>
              </w:rPr>
              <w:t>详见招标公告</w:t>
            </w:r>
          </w:p>
          <w:p w14:paraId="744F7903">
            <w:pPr>
              <w:widowControl/>
              <w:snapToGrid w:val="0"/>
              <w:spacing w:line="460" w:lineRule="exact"/>
              <w:jc w:val="left"/>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lang w:val="en-US" w:eastAsia="zh-CN"/>
              </w:rPr>
              <w:t>开标地点（网址）：</w:t>
            </w:r>
            <w:r>
              <w:rPr>
                <w:rFonts w:hint="eastAsia" w:ascii="宋体" w:hAnsi="宋体" w:cs="宋体"/>
                <w:b w:val="0"/>
                <w:bCs w:val="0"/>
                <w:color w:val="auto"/>
                <w:sz w:val="22"/>
                <w:szCs w:val="22"/>
                <w:highlight w:val="none"/>
                <w:lang w:val="en-US" w:eastAsia="zh-CN"/>
              </w:rPr>
              <w:t>详见招标公告</w:t>
            </w:r>
          </w:p>
        </w:tc>
      </w:tr>
      <w:tr w14:paraId="49A9F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auto" w:sz="4" w:space="0"/>
              <w:left w:val="single" w:color="000000" w:sz="8" w:space="0"/>
              <w:bottom w:val="single" w:color="auto" w:sz="4" w:space="0"/>
              <w:right w:val="single" w:color="000000" w:sz="2" w:space="0"/>
            </w:tcBorders>
            <w:vAlign w:val="center"/>
          </w:tcPr>
          <w:p w14:paraId="7717BE13">
            <w:pPr>
              <w:snapToGrid w:val="0"/>
              <w:spacing w:line="460" w:lineRule="exact"/>
              <w:jc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1</w:t>
            </w:r>
            <w:r>
              <w:rPr>
                <w:rFonts w:hint="eastAsia" w:ascii="宋体" w:hAnsi="宋体" w:cs="宋体"/>
                <w:b/>
                <w:bCs/>
                <w:color w:val="auto"/>
                <w:sz w:val="22"/>
                <w:szCs w:val="22"/>
                <w:highlight w:val="none"/>
                <w:lang w:val="en-US" w:eastAsia="zh-CN"/>
              </w:rPr>
              <w:t>5</w:t>
            </w:r>
          </w:p>
        </w:tc>
        <w:tc>
          <w:tcPr>
            <w:tcW w:w="9590" w:type="dxa"/>
            <w:tcBorders>
              <w:top w:val="single" w:color="auto" w:sz="4" w:space="0"/>
              <w:left w:val="single" w:color="000000" w:sz="2" w:space="0"/>
              <w:bottom w:val="single" w:color="auto" w:sz="4" w:space="0"/>
              <w:right w:val="single" w:color="000000" w:sz="8" w:space="0"/>
            </w:tcBorders>
            <w:vAlign w:val="center"/>
          </w:tcPr>
          <w:p w14:paraId="25434D01">
            <w:pPr>
              <w:snapToGrid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带“▲”条款系指实质性要求条款。“★”是关键技术参数及要求。</w:t>
            </w:r>
          </w:p>
        </w:tc>
      </w:tr>
      <w:tr w14:paraId="32063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auto" w:sz="4" w:space="0"/>
              <w:left w:val="single" w:color="000000" w:sz="8" w:space="0"/>
              <w:bottom w:val="single" w:color="auto" w:sz="4" w:space="0"/>
              <w:right w:val="single" w:color="000000" w:sz="2" w:space="0"/>
            </w:tcBorders>
            <w:vAlign w:val="center"/>
          </w:tcPr>
          <w:p w14:paraId="566911EB">
            <w:pPr>
              <w:widowControl/>
              <w:snapToGrid w:val="0"/>
              <w:spacing w:line="460" w:lineRule="exact"/>
              <w:jc w:val="center"/>
              <w:textAlignment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kern w:val="0"/>
                <w:sz w:val="22"/>
                <w:szCs w:val="22"/>
                <w:highlight w:val="none"/>
              </w:rPr>
              <w:t>1</w:t>
            </w:r>
            <w:r>
              <w:rPr>
                <w:rFonts w:hint="eastAsia" w:ascii="宋体" w:hAnsi="宋体" w:cs="宋体"/>
                <w:b/>
                <w:bCs/>
                <w:color w:val="auto"/>
                <w:kern w:val="0"/>
                <w:sz w:val="22"/>
                <w:szCs w:val="22"/>
                <w:highlight w:val="none"/>
                <w:lang w:val="en-US" w:eastAsia="zh-CN"/>
              </w:rPr>
              <w:t>6</w:t>
            </w:r>
          </w:p>
        </w:tc>
        <w:tc>
          <w:tcPr>
            <w:tcW w:w="9590" w:type="dxa"/>
            <w:tcBorders>
              <w:top w:val="single" w:color="auto" w:sz="4" w:space="0"/>
              <w:left w:val="single" w:color="000000" w:sz="2" w:space="0"/>
              <w:bottom w:val="single" w:color="auto" w:sz="4" w:space="0"/>
              <w:right w:val="single" w:color="000000" w:sz="8" w:space="0"/>
            </w:tcBorders>
            <w:vAlign w:val="center"/>
          </w:tcPr>
          <w:p w14:paraId="57E504E0">
            <w:pPr>
              <w:widowControl/>
              <w:snapToGrid w:val="0"/>
              <w:spacing w:line="460" w:lineRule="exact"/>
              <w:jc w:val="lef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tc>
      </w:tr>
      <w:tr w14:paraId="2A882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574A273D">
            <w:pPr>
              <w:widowControl/>
              <w:snapToGrid w:val="0"/>
              <w:spacing w:line="460" w:lineRule="exact"/>
              <w:jc w:val="center"/>
              <w:textAlignment w:val="center"/>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kern w:val="0"/>
                <w:sz w:val="22"/>
                <w:szCs w:val="22"/>
                <w:highlight w:val="none"/>
              </w:rPr>
              <w:t>1</w:t>
            </w:r>
            <w:r>
              <w:rPr>
                <w:rFonts w:hint="eastAsia" w:ascii="宋体" w:hAnsi="宋体" w:cs="宋体"/>
                <w:b/>
                <w:bCs/>
                <w:color w:val="auto"/>
                <w:kern w:val="0"/>
                <w:sz w:val="22"/>
                <w:szCs w:val="22"/>
                <w:highlight w:val="none"/>
                <w:lang w:val="en-US" w:eastAsia="zh-CN"/>
              </w:rPr>
              <w:t>7</w:t>
            </w:r>
          </w:p>
        </w:tc>
        <w:tc>
          <w:tcPr>
            <w:tcW w:w="9590" w:type="dxa"/>
            <w:tcBorders>
              <w:top w:val="single" w:color="000000" w:sz="2" w:space="0"/>
              <w:left w:val="single" w:color="000000" w:sz="2" w:space="0"/>
              <w:bottom w:val="single" w:color="000000" w:sz="2" w:space="0"/>
              <w:right w:val="single" w:color="000000" w:sz="8" w:space="0"/>
            </w:tcBorders>
            <w:vAlign w:val="center"/>
          </w:tcPr>
          <w:p w14:paraId="4142D0E3">
            <w:pPr>
              <w:snapToGrid w:val="0"/>
              <w:spacing w:line="460" w:lineRule="exact"/>
              <w:rPr>
                <w:rFonts w:hint="eastAsia" w:ascii="宋体" w:hAnsi="宋体" w:eastAsia="宋体" w:cs="宋体"/>
                <w:color w:val="auto"/>
                <w:sz w:val="22"/>
                <w:szCs w:val="22"/>
                <w:highlight w:val="none"/>
              </w:rPr>
            </w:pPr>
            <w:r>
              <w:rPr>
                <w:rFonts w:hint="eastAsia" w:ascii="宋体" w:hAnsi="宋体" w:eastAsia="宋体" w:cs="宋体"/>
                <w:b/>
                <w:color w:val="auto"/>
                <w:kern w:val="10"/>
                <w:sz w:val="22"/>
                <w:szCs w:val="22"/>
                <w:highlight w:val="none"/>
              </w:rPr>
              <w:t>潜在供应商需在浙江政府采购网http://zfcg.czt.zj.gov.cn/进行免费注册，具体详见浙江政府采购网供应商注册要求。</w:t>
            </w:r>
          </w:p>
        </w:tc>
      </w:tr>
      <w:tr w14:paraId="79CFEC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6F7C22CF">
            <w:pPr>
              <w:widowControl/>
              <w:snapToGrid w:val="0"/>
              <w:spacing w:line="460" w:lineRule="exact"/>
              <w:jc w:val="center"/>
              <w:textAlignment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kern w:val="0"/>
                <w:sz w:val="22"/>
                <w:szCs w:val="22"/>
                <w:highlight w:val="none"/>
              </w:rPr>
              <w:t>1</w:t>
            </w:r>
            <w:r>
              <w:rPr>
                <w:rFonts w:hint="eastAsia" w:ascii="宋体" w:hAnsi="宋体" w:cs="宋体"/>
                <w:b/>
                <w:bCs/>
                <w:color w:val="auto"/>
                <w:kern w:val="0"/>
                <w:sz w:val="22"/>
                <w:szCs w:val="22"/>
                <w:highlight w:val="none"/>
                <w:lang w:val="en-US" w:eastAsia="zh-CN"/>
              </w:rPr>
              <w:t>8</w:t>
            </w:r>
          </w:p>
        </w:tc>
        <w:tc>
          <w:tcPr>
            <w:tcW w:w="9590" w:type="dxa"/>
            <w:tcBorders>
              <w:top w:val="single" w:color="000000" w:sz="2" w:space="0"/>
              <w:left w:val="single" w:color="000000" w:sz="2" w:space="0"/>
              <w:bottom w:val="single" w:color="000000" w:sz="2" w:space="0"/>
              <w:right w:val="single" w:color="000000" w:sz="8" w:space="0"/>
            </w:tcBorders>
            <w:vAlign w:val="center"/>
          </w:tcPr>
          <w:p w14:paraId="3FD0EDD0">
            <w:pPr>
              <w:shd w:val="clear"/>
              <w:adjustRightInd w:val="0"/>
              <w:snapToGrid w:val="0"/>
              <w:spacing w:line="460" w:lineRule="exact"/>
              <w:ind w:firstLine="442" w:firstLineChars="200"/>
              <w:rPr>
                <w:rFonts w:hint="eastAsia" w:ascii="新宋体" w:hAnsi="新宋体" w:eastAsia="新宋体" w:cs="新宋体"/>
                <w:b/>
                <w:bCs/>
                <w:color w:val="auto"/>
                <w:sz w:val="22"/>
                <w:szCs w:val="28"/>
                <w:highlight w:val="none"/>
              </w:rPr>
            </w:pPr>
            <w:r>
              <w:rPr>
                <w:rFonts w:hint="eastAsia" w:ascii="新宋体" w:hAnsi="新宋体" w:eastAsia="新宋体" w:cs="新宋体"/>
                <w:b/>
                <w:bCs/>
                <w:color w:val="auto"/>
                <w:sz w:val="22"/>
                <w:szCs w:val="28"/>
                <w:highlight w:val="none"/>
              </w:rPr>
              <w:t>1、扶持中小企业（监狱企业、残疾人福利性单位）：</w:t>
            </w:r>
          </w:p>
          <w:p w14:paraId="0950B9C0">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27CC5936">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1</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项目预算：</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u w:val="single"/>
                <w:lang w:val="en-US" w:eastAsia="zh-CN"/>
              </w:rPr>
              <w:t>2000</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万元</w:t>
            </w:r>
          </w:p>
          <w:p w14:paraId="62334334">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2</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项目属性：</w:t>
            </w:r>
            <w:r>
              <w:rPr>
                <w:rFonts w:hint="eastAsia" w:ascii="新宋体" w:hAnsi="新宋体" w:eastAsia="新宋体" w:cs="新宋体"/>
                <w:color w:val="auto"/>
                <w:sz w:val="22"/>
                <w:szCs w:val="28"/>
                <w:highlight w:val="none"/>
                <w:u w:val="single"/>
              </w:rPr>
              <w:t xml:space="preserve"> ②服务类 </w:t>
            </w:r>
            <w:r>
              <w:rPr>
                <w:rFonts w:hint="eastAsia" w:ascii="新宋体" w:hAnsi="新宋体" w:eastAsia="新宋体" w:cs="新宋体"/>
                <w:color w:val="auto"/>
                <w:sz w:val="22"/>
                <w:szCs w:val="28"/>
                <w:highlight w:val="none"/>
              </w:rPr>
              <w:t xml:space="preserve"> （①货物类/②服务类/③工程类）</w:t>
            </w:r>
          </w:p>
          <w:p w14:paraId="1A155FD1">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3</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项目对应的中小企业划分标准所属行业：</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u w:val="single"/>
                <w:lang w:val="en-US" w:eastAsia="zh-CN"/>
              </w:rPr>
              <w:t>其他未列明行业</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（具体根据《中小企业划型标准规定》执行）</w:t>
            </w:r>
          </w:p>
          <w:p w14:paraId="414019DB">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5AF39B18">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4</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本项目</w:t>
            </w:r>
            <w:r>
              <w:rPr>
                <w:rFonts w:hint="eastAsia" w:ascii="新宋体" w:hAnsi="新宋体" w:eastAsia="新宋体" w:cs="新宋体"/>
                <w:color w:val="auto"/>
                <w:sz w:val="22"/>
                <w:szCs w:val="28"/>
                <w:highlight w:val="none"/>
                <w:u w:val="single"/>
                <w:lang w:val="en-US" w:eastAsia="zh-CN"/>
              </w:rPr>
              <w:t xml:space="preserve"> </w:t>
            </w:r>
            <w:r>
              <w:rPr>
                <w:rFonts w:hint="eastAsia" w:ascii="新宋体" w:hAnsi="新宋体" w:eastAsia="新宋体" w:cs="新宋体"/>
                <w:color w:val="auto"/>
                <w:sz w:val="22"/>
                <w:szCs w:val="28"/>
                <w:highlight w:val="none"/>
                <w:u w:val="single"/>
              </w:rPr>
              <w:t>（</w:t>
            </w:r>
            <w:r>
              <w:rPr>
                <w:rFonts w:hint="eastAsia" w:ascii="新宋体" w:hAnsi="新宋体" w:eastAsia="新宋体" w:cs="新宋体"/>
                <w:color w:val="auto"/>
                <w:sz w:val="22"/>
                <w:szCs w:val="28"/>
                <w:highlight w:val="none"/>
                <w:u w:val="single"/>
                <w:lang w:val="en-US" w:eastAsia="zh-CN"/>
              </w:rPr>
              <w:t>是</w:t>
            </w:r>
            <w:r>
              <w:rPr>
                <w:rFonts w:hint="eastAsia" w:ascii="新宋体" w:hAnsi="新宋体" w:eastAsia="新宋体" w:cs="新宋体"/>
                <w:color w:val="auto"/>
                <w:sz w:val="22"/>
                <w:szCs w:val="28"/>
                <w:highlight w:val="none"/>
                <w:u w:val="single"/>
              </w:rPr>
              <w:t>）</w:t>
            </w:r>
            <w:r>
              <w:rPr>
                <w:rFonts w:hint="eastAsia" w:ascii="新宋体" w:hAnsi="新宋体" w:eastAsia="新宋体" w:cs="新宋体"/>
                <w:color w:val="auto"/>
                <w:sz w:val="22"/>
                <w:szCs w:val="28"/>
                <w:highlight w:val="none"/>
                <w:u w:val="single"/>
                <w:lang w:val="en-US" w:eastAsia="zh-CN"/>
              </w:rPr>
              <w:t xml:space="preserve"> </w:t>
            </w:r>
            <w:r>
              <w:rPr>
                <w:rFonts w:hint="eastAsia" w:ascii="新宋体" w:hAnsi="新宋体" w:eastAsia="新宋体" w:cs="新宋体"/>
                <w:color w:val="auto"/>
                <w:sz w:val="22"/>
                <w:szCs w:val="28"/>
                <w:highlight w:val="none"/>
              </w:rPr>
              <w:t>属于预留份额专门面向中小企业采购的项目。</w:t>
            </w:r>
          </w:p>
          <w:p w14:paraId="07248EB3">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5</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上述第4项中确定为“是”的采购项目，预留份额通过</w:t>
            </w:r>
            <w:r>
              <w:rPr>
                <w:rFonts w:hint="eastAsia" w:ascii="新宋体" w:hAnsi="新宋体" w:eastAsia="新宋体" w:cs="新宋体"/>
                <w:color w:val="auto"/>
                <w:sz w:val="22"/>
                <w:szCs w:val="28"/>
                <w:highlight w:val="none"/>
              </w:rPr>
              <w:t>（③）</w:t>
            </w:r>
            <w:r>
              <w:rPr>
                <w:rFonts w:hint="eastAsia" w:ascii="新宋体" w:hAnsi="新宋体" w:eastAsia="新宋体" w:cs="新宋体"/>
                <w:color w:val="auto"/>
                <w:sz w:val="22"/>
                <w:szCs w:val="28"/>
                <w:highlight w:val="none"/>
              </w:rPr>
              <w:t>措施进行：</w:t>
            </w:r>
          </w:p>
          <w:p w14:paraId="50D83438">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 xml:space="preserve">①将采购项目整体或者设置采购包专门面向中小企业采购； </w:t>
            </w:r>
          </w:p>
          <w:p w14:paraId="409F7584">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②要求供应商以联合体形式参加采购活动，且联合体中中小企业承担的部分达到</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 xml:space="preserve"> (比例)； </w:t>
            </w:r>
          </w:p>
          <w:p w14:paraId="1F1F1233">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③要求获得采购合同的供应商将采购项目中的</w:t>
            </w:r>
            <w:r>
              <w:rPr>
                <w:rFonts w:hint="eastAsia" w:ascii="新宋体" w:hAnsi="新宋体" w:eastAsia="新宋体" w:cs="新宋体"/>
                <w:color w:val="auto"/>
                <w:sz w:val="22"/>
                <w:szCs w:val="28"/>
                <w:highlight w:val="none"/>
              </w:rPr>
              <w:t xml:space="preserve"> </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u w:val="single"/>
                <w:lang w:val="en-US" w:eastAsia="zh-CN"/>
              </w:rPr>
              <w:t>30%</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(比例)</w:t>
            </w:r>
            <w:r>
              <w:rPr>
                <w:rFonts w:hint="eastAsia" w:ascii="新宋体" w:hAnsi="新宋体" w:eastAsia="新宋体" w:cs="新宋体"/>
                <w:color w:val="auto"/>
                <w:sz w:val="22"/>
                <w:szCs w:val="28"/>
                <w:highlight w:val="none"/>
              </w:rPr>
              <w:t>分包给一家或者多家中小企业。</w:t>
            </w:r>
          </w:p>
          <w:p w14:paraId="23C2C3AB">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6</w:t>
            </w:r>
            <w:r>
              <w:rPr>
                <w:rFonts w:hint="eastAsia" w:ascii="新宋体" w:hAnsi="新宋体" w:eastAsia="新宋体" w:cs="新宋体"/>
                <w:color w:val="auto"/>
                <w:sz w:val="22"/>
                <w:szCs w:val="28"/>
                <w:highlight w:val="none"/>
                <w:lang w:eastAsia="zh-CN"/>
              </w:rPr>
              <w:t>）</w:t>
            </w:r>
            <w:r>
              <w:rPr>
                <w:rFonts w:hint="eastAsia" w:ascii="新宋体" w:hAnsi="新宋体" w:eastAsia="新宋体" w:cs="新宋体"/>
                <w:color w:val="auto"/>
                <w:sz w:val="22"/>
                <w:szCs w:val="28"/>
                <w:highlight w:val="none"/>
              </w:rPr>
              <w:t>对于经主管预算单位统筹后未预留份额专门面向中小企业采购的采购项目，以及预留份额项目中的非预留部分采购包，请贵单位明确对符合本办法规定的小微企业报价给予</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u w:val="single"/>
                <w:lang w:val="en-US" w:eastAsia="zh-CN"/>
              </w:rPr>
              <w:t>10%</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 xml:space="preserve">（工程项目为5%）的扣除，用扣除后的价格参加评审。 </w:t>
            </w:r>
          </w:p>
          <w:p w14:paraId="6F964B0E">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对于接受大中型企业与小微企业组成联合体或者允许大中型企业向一家或者多家小微企业分包的采购项目，对于联合协议或者分包意向协议约定小微企业的合同份额占到合同总金额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u w:val="single"/>
                <w:lang w:val="en-US" w:eastAsia="zh-CN"/>
              </w:rPr>
              <w:t>6%</w:t>
            </w:r>
            <w:r>
              <w:rPr>
                <w:rFonts w:hint="eastAsia" w:ascii="新宋体" w:hAnsi="新宋体" w:eastAsia="新宋体" w:cs="新宋体"/>
                <w:color w:val="auto"/>
                <w:sz w:val="22"/>
                <w:szCs w:val="28"/>
                <w:highlight w:val="none"/>
                <w:u w:val="single"/>
              </w:rPr>
              <w:t xml:space="preserve"> </w:t>
            </w:r>
            <w:r>
              <w:rPr>
                <w:rFonts w:hint="eastAsia" w:ascii="新宋体" w:hAnsi="新宋体" w:eastAsia="新宋体" w:cs="新宋体"/>
                <w:color w:val="auto"/>
                <w:sz w:val="22"/>
                <w:szCs w:val="28"/>
                <w:highlight w:val="none"/>
              </w:rPr>
              <w:t>（工程项目为 2%）的扣除，用扣除后的价格参加评审。</w:t>
            </w:r>
          </w:p>
          <w:p w14:paraId="34DDDE3E">
            <w:pPr>
              <w:widowControl/>
              <w:snapToGrid w:val="0"/>
              <w:spacing w:line="460" w:lineRule="exact"/>
              <w:ind w:firstLine="440" w:firstLineChars="200"/>
              <w:rPr>
                <w:rFonts w:hint="eastAsia" w:ascii="新宋体" w:hAnsi="新宋体" w:eastAsia="新宋体" w:cs="新宋体"/>
                <w:color w:val="auto"/>
                <w:sz w:val="22"/>
                <w:szCs w:val="28"/>
                <w:highlight w:val="none"/>
              </w:rPr>
            </w:pPr>
            <w:r>
              <w:rPr>
                <w:rFonts w:hint="eastAsia" w:ascii="新宋体" w:hAnsi="新宋体" w:eastAsia="新宋体" w:cs="新宋体"/>
                <w:color w:val="auto"/>
                <w:sz w:val="22"/>
                <w:szCs w:val="28"/>
                <w:highlight w:val="none"/>
              </w:rPr>
              <w:t>专门面向中小企业采购的项目或者标项，不再执行价格评审优惠的扶持政策。</w:t>
            </w:r>
          </w:p>
          <w:p w14:paraId="15CF8639">
            <w:pPr>
              <w:widowControl/>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cs="宋体"/>
                <w:color w:val="auto"/>
                <w:kern w:val="0"/>
                <w:sz w:val="22"/>
                <w:szCs w:val="22"/>
                <w:highlight w:val="none"/>
                <w:lang w:val="en-US" w:eastAsia="zh-CN"/>
              </w:rPr>
              <w:t>2</w:t>
            </w:r>
            <w:r>
              <w:rPr>
                <w:rFonts w:hint="eastAsia" w:ascii="宋体" w:hAnsi="宋体" w:eastAsia="宋体" w:cs="宋体"/>
                <w:color w:val="auto"/>
                <w:kern w:val="0"/>
                <w:sz w:val="22"/>
                <w:szCs w:val="22"/>
                <w:highlight w:val="none"/>
              </w:rPr>
              <w:t>、节能产品、环境标志产品的强制采购政策</w:t>
            </w:r>
          </w:p>
          <w:p w14:paraId="0C5EE825">
            <w:pPr>
              <w:widowControl/>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根据财政部、国家发展和改革委员会、生态环境部等部门公布的政府采购节能产品、环境标志产品品目清单的规定，依据品目清单和认证证书实施政府优先采购和强制采购。招标人拟采购的产品属于品目清单范围内的强制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p w14:paraId="5668D6D1">
            <w:pPr>
              <w:widowControl/>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cs="宋体"/>
                <w:color w:val="auto"/>
                <w:kern w:val="0"/>
                <w:sz w:val="22"/>
                <w:szCs w:val="22"/>
                <w:highlight w:val="none"/>
                <w:lang w:val="en-US" w:eastAsia="zh-CN"/>
              </w:rPr>
              <w:t>3</w:t>
            </w:r>
            <w:r>
              <w:rPr>
                <w:rFonts w:hint="eastAsia" w:ascii="宋体" w:hAnsi="宋体" w:eastAsia="宋体" w:cs="宋体"/>
                <w:color w:val="auto"/>
                <w:kern w:val="0"/>
                <w:sz w:val="22"/>
                <w:szCs w:val="22"/>
                <w:highlight w:val="none"/>
              </w:rPr>
              <w:t>、节能产品、环境标志产品的优先采购政策</w:t>
            </w:r>
          </w:p>
          <w:p w14:paraId="3AD4277E">
            <w:pPr>
              <w:widowControl/>
              <w:snapToGrid w:val="0"/>
              <w:spacing w:line="460" w:lineRule="exact"/>
              <w:ind w:firstLine="440" w:firstLineChars="200"/>
              <w:jc w:val="left"/>
              <w:rPr>
                <w:rFonts w:hint="eastAsia" w:ascii="宋体" w:hAnsi="宋体" w:eastAsia="宋体" w:cs="宋体"/>
                <w:b/>
                <w:color w:val="auto"/>
                <w:kern w:val="10"/>
                <w:sz w:val="22"/>
                <w:szCs w:val="22"/>
                <w:highlight w:val="none"/>
              </w:rPr>
            </w:pPr>
            <w:r>
              <w:rPr>
                <w:rFonts w:hint="eastAsia" w:ascii="宋体" w:hAnsi="宋体" w:eastAsia="宋体" w:cs="宋体"/>
                <w:color w:val="auto"/>
                <w:kern w:val="0"/>
                <w:sz w:val="22"/>
                <w:szCs w:val="22"/>
                <w:highlight w:val="none"/>
              </w:rPr>
              <w:t>根据财政部、国家发展和改革委员会、生态环境部等部门公布的政府采购节能产品、环境标志产品品目清单的规定、依据品目清单和认证证书实施政府优先采购和强制采购。招标人拟采购的产品属于品目清单范围内的优先采购品目的，供应商提供的产品应具有国家确定的认证机构出具的、处于有效期之内的节能产品、环境标志产品认证证书，并在响应文件中提供该产品节能产品、环境标志产品认证证书</w:t>
            </w:r>
            <w:r>
              <w:rPr>
                <w:rFonts w:hint="eastAsia" w:ascii="宋体" w:hAnsi="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（注：本项目执行最新政府采购节能产品、环境标志产品品目清单。）</w:t>
            </w:r>
          </w:p>
        </w:tc>
      </w:tr>
      <w:tr w14:paraId="4B747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1EB7E9D8">
            <w:pPr>
              <w:widowControl/>
              <w:snapToGrid w:val="0"/>
              <w:spacing w:line="460" w:lineRule="exact"/>
              <w:jc w:val="center"/>
              <w:textAlignment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kern w:val="0"/>
                <w:sz w:val="22"/>
                <w:szCs w:val="22"/>
                <w:highlight w:val="none"/>
              </w:rPr>
              <w:t>1</w:t>
            </w:r>
            <w:r>
              <w:rPr>
                <w:rFonts w:hint="eastAsia" w:ascii="宋体" w:hAnsi="宋体" w:cs="宋体"/>
                <w:b/>
                <w:bCs/>
                <w:color w:val="auto"/>
                <w:kern w:val="0"/>
                <w:sz w:val="22"/>
                <w:szCs w:val="22"/>
                <w:highlight w:val="none"/>
                <w:lang w:val="en-US" w:eastAsia="zh-CN"/>
              </w:rPr>
              <w:t>9</w:t>
            </w:r>
          </w:p>
        </w:tc>
        <w:tc>
          <w:tcPr>
            <w:tcW w:w="9590" w:type="dxa"/>
            <w:tcBorders>
              <w:top w:val="single" w:color="000000" w:sz="2" w:space="0"/>
              <w:left w:val="single" w:color="000000" w:sz="2" w:space="0"/>
              <w:bottom w:val="single" w:color="000000" w:sz="2" w:space="0"/>
              <w:right w:val="single" w:color="000000" w:sz="8" w:space="0"/>
            </w:tcBorders>
            <w:vAlign w:val="center"/>
          </w:tcPr>
          <w:p w14:paraId="7D6EECB4">
            <w:pPr>
              <w:snapToGrid w:val="0"/>
              <w:spacing w:line="460" w:lineRule="exact"/>
              <w:ind w:left="105" w:leftChars="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根据《关于在政府采购活动中查询及使用信用记录有关问题的通知》财库[2016]125号的规定：</w:t>
            </w:r>
          </w:p>
          <w:p w14:paraId="18314D38">
            <w:pPr>
              <w:snapToGrid w:val="0"/>
              <w:spacing w:line="460" w:lineRule="exact"/>
              <w:ind w:left="105" w:leftChars="5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1）招标人或采购代理机构将对本项目供应商的信用记录进行查询。查询渠道为信用中国网站（www.creditchina.gov.cn）、中国政府采购网（www.ccgp.gov.cn）；</w:t>
            </w:r>
          </w:p>
          <w:p w14:paraId="5FD4D03B">
            <w:pPr>
              <w:snapToGrid w:val="0"/>
              <w:spacing w:line="460" w:lineRule="exact"/>
              <w:ind w:firstLine="110" w:firstLineChars="5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2）截止时点：</w:t>
            </w:r>
            <w:r>
              <w:rPr>
                <w:rFonts w:hint="eastAsia" w:ascii="宋体" w:hAnsi="宋体" w:eastAsia="宋体" w:cs="宋体"/>
                <w:color w:val="auto"/>
                <w:sz w:val="22"/>
                <w:highlight w:val="none"/>
              </w:rPr>
              <w:t>招标公告发布之日至投标截止时间前</w:t>
            </w:r>
            <w:r>
              <w:rPr>
                <w:rFonts w:hint="eastAsia" w:ascii="宋体" w:hAnsi="宋体" w:eastAsia="宋体" w:cs="宋体"/>
                <w:color w:val="auto"/>
                <w:sz w:val="22"/>
                <w:szCs w:val="22"/>
                <w:highlight w:val="none"/>
              </w:rPr>
              <w:t>；</w:t>
            </w:r>
          </w:p>
          <w:p w14:paraId="197BB22F">
            <w:pPr>
              <w:snapToGrid w:val="0"/>
              <w:spacing w:line="460" w:lineRule="exact"/>
              <w:ind w:left="105" w:leftChars="5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3）查询记录和证据的留存：信用信息查询记录和证据以网页截图等方式留存。</w:t>
            </w:r>
          </w:p>
          <w:p w14:paraId="62E0707F">
            <w:pPr>
              <w:snapToGrid w:val="0"/>
              <w:spacing w:line="460" w:lineRule="exact"/>
              <w:ind w:left="105" w:leftChars="5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4）使用规则：被列入失信被执行人、重大税收违法案件当事人名单、政府采购严重违法失信行为记录名单及其它不符合《中华人民共和国政府采购法》第二十二条规定条件的，其投标将被拒绝。</w:t>
            </w:r>
          </w:p>
          <w:p w14:paraId="192F19F4">
            <w:pPr>
              <w:snapToGrid w:val="0"/>
              <w:spacing w:line="460" w:lineRule="exact"/>
              <w:rPr>
                <w:rFonts w:hint="eastAsia" w:ascii="宋体" w:hAnsi="宋体" w:eastAsia="宋体" w:cs="宋体"/>
                <w:b/>
                <w:color w:val="auto"/>
                <w:kern w:val="10"/>
                <w:sz w:val="22"/>
                <w:szCs w:val="22"/>
                <w:highlight w:val="none"/>
              </w:rPr>
            </w:pP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5）联合体成员任意一方存在不良信用记录的，视同联合体存在不良信用记录。</w:t>
            </w:r>
          </w:p>
        </w:tc>
      </w:tr>
      <w:tr w14:paraId="2F94C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10375" w:type="dxa"/>
            <w:gridSpan w:val="2"/>
            <w:tcBorders>
              <w:top w:val="single" w:color="000000" w:sz="2" w:space="0"/>
              <w:left w:val="single" w:color="000000" w:sz="8" w:space="0"/>
              <w:bottom w:val="single" w:color="000000" w:sz="2" w:space="0"/>
              <w:right w:val="single" w:color="000000" w:sz="8" w:space="0"/>
            </w:tcBorders>
            <w:vAlign w:val="center"/>
          </w:tcPr>
          <w:p w14:paraId="4BD2079E">
            <w:pPr>
              <w:snapToGrid w:val="0"/>
              <w:spacing w:line="460" w:lineRule="exact"/>
              <w:ind w:left="105" w:leftChars="50"/>
              <w:rPr>
                <w:rFonts w:hint="eastAsia" w:ascii="宋体" w:hAnsi="宋体" w:eastAsia="宋体" w:cs="宋体"/>
                <w:b/>
                <w:bCs/>
                <w:color w:val="auto"/>
                <w:kern w:val="0"/>
                <w:sz w:val="22"/>
                <w:szCs w:val="22"/>
                <w:highlight w:val="none"/>
              </w:rPr>
            </w:pPr>
            <w:r>
              <w:rPr>
                <w:rFonts w:hint="eastAsia" w:ascii="宋体" w:hAnsi="宋体" w:eastAsia="宋体" w:cs="宋体"/>
                <w:b/>
                <w:bCs/>
                <w:color w:val="auto"/>
                <w:sz w:val="22"/>
                <w:szCs w:val="22"/>
                <w:highlight w:val="none"/>
                <w:lang w:val="en-US" w:eastAsia="zh-CN"/>
              </w:rPr>
              <w:t>注：招标文件其他组成部分涉及与前附表相同内容，如有不明确或不一致，以前附表规定为准。</w:t>
            </w:r>
          </w:p>
        </w:tc>
      </w:tr>
    </w:tbl>
    <w:p w14:paraId="29A27D53">
      <w:pPr>
        <w:rPr>
          <w:rFonts w:hint="eastAsia" w:ascii="宋体" w:hAnsi="宋体" w:eastAsia="宋体" w:cs="宋体"/>
          <w:b/>
          <w:bCs/>
          <w:color w:val="auto"/>
          <w:sz w:val="26"/>
          <w:szCs w:val="26"/>
          <w:highlight w:val="none"/>
        </w:rPr>
      </w:pPr>
      <w:bookmarkStart w:id="10" w:name="_Toc20846"/>
      <w:r>
        <w:rPr>
          <w:rFonts w:hint="eastAsia" w:ascii="宋体" w:hAnsi="宋体" w:eastAsia="宋体" w:cs="宋体"/>
          <w:b/>
          <w:bCs/>
          <w:color w:val="auto"/>
          <w:sz w:val="26"/>
          <w:szCs w:val="26"/>
          <w:highlight w:val="none"/>
        </w:rPr>
        <w:br w:type="page"/>
      </w:r>
    </w:p>
    <w:p w14:paraId="03CAF697">
      <w:pPr>
        <w:spacing w:before="100" w:beforeAutospacing="1" w:after="100" w:afterAutospacing="1" w:line="460" w:lineRule="exact"/>
        <w:jc w:val="center"/>
        <w:outlineLvl w:val="1"/>
        <w:rPr>
          <w:rFonts w:hint="eastAsia" w:ascii="宋体" w:hAnsi="宋体" w:eastAsia="宋体" w:cs="宋体"/>
          <w:b/>
          <w:bCs/>
          <w:color w:val="auto"/>
          <w:sz w:val="32"/>
          <w:szCs w:val="32"/>
          <w:highlight w:val="none"/>
        </w:rPr>
      </w:pPr>
      <w:bookmarkStart w:id="11" w:name="_Toc8381"/>
      <w:r>
        <w:rPr>
          <w:rFonts w:hint="eastAsia" w:ascii="宋体" w:hAnsi="宋体" w:eastAsia="宋体" w:cs="宋体"/>
          <w:b/>
          <w:bCs/>
          <w:color w:val="auto"/>
          <w:sz w:val="26"/>
          <w:szCs w:val="26"/>
          <w:highlight w:val="none"/>
        </w:rPr>
        <w:t>一、 说   明</w:t>
      </w:r>
      <w:bookmarkEnd w:id="10"/>
      <w:bookmarkEnd w:id="11"/>
    </w:p>
    <w:p w14:paraId="3C66BE16">
      <w:pPr>
        <w:tabs>
          <w:tab w:val="left" w:pos="360"/>
        </w:tabs>
        <w:spacing w:line="460" w:lineRule="exact"/>
        <w:ind w:firstLine="550" w:firstLineChars="250"/>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本次招标是按照《中华人民共和国政府采购法》、《政府采购货物和服务招标投标管理办法》、《中华人民共和国政府采购法实施条例》和《关于进一步规范政府采购活动的若干意见》等法律及有关法规组织和实施的。</w:t>
      </w:r>
    </w:p>
    <w:p w14:paraId="65051215">
      <w:pPr>
        <w:tabs>
          <w:tab w:val="left" w:pos="360"/>
        </w:tabs>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2、定义</w:t>
      </w:r>
    </w:p>
    <w:p w14:paraId="385C233F">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招标人：是指依法进行政府采购的国家机关、事业单位、团体组织</w:t>
      </w:r>
    </w:p>
    <w:p w14:paraId="6EBAB3F0">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招标代理机构：受招标人委托，在委托的范围内办理政府采购事宜的机构；</w:t>
      </w:r>
    </w:p>
    <w:p w14:paraId="3B833BC5">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投标人：是指参加本政府采购项目投标的供应商；</w:t>
      </w:r>
    </w:p>
    <w:p w14:paraId="0A8D1AA1">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投标人代表：是指参加本项目投标活动的供应商法定代表人或法定代表人授权代表；</w:t>
      </w:r>
    </w:p>
    <w:p w14:paraId="199767C8">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投标联合体：是指两个以上供应商组成联合体，以一个供应商的身份参加投标；</w:t>
      </w:r>
    </w:p>
    <w:p w14:paraId="6D24CC3B">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甲方：是指合同签订的一方，一般与招标人、用户相同；</w:t>
      </w:r>
    </w:p>
    <w:p w14:paraId="434A3B0C">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乙方：是指合同签订的另一方，与中标人相同；</w:t>
      </w:r>
    </w:p>
    <w:p w14:paraId="3E2266F5">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制造商：是指拥有投标产品自主知识产权的单位；</w:t>
      </w:r>
    </w:p>
    <w:p w14:paraId="737F5B6E">
      <w:pPr>
        <w:tabs>
          <w:tab w:val="left" w:pos="360"/>
        </w:tabs>
        <w:spacing w:line="4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原件备查：要求携带原件备查的，供应商应按要求携带备查，如评标委员会发现投标文件资料复印件存有瑕疵，致使内容模糊、关键信息难以辨认、材料真实性存疑等情形的，有权核对原件或评标委员会认为有必有核对原件，若供应商未能提交原件，将会导致评标委员会作出对 其不利的评定，一切后果由供应商自行承担。</w:t>
      </w:r>
    </w:p>
    <w:p w14:paraId="29BC512D">
      <w:pPr>
        <w:tabs>
          <w:tab w:val="left" w:pos="360"/>
        </w:tabs>
        <w:spacing w:line="460" w:lineRule="exact"/>
        <w:ind w:firstLine="552" w:firstLineChars="25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带“▲”条款系指实质性要求条款。“★”是关键技术参数及要求。</w:t>
      </w:r>
    </w:p>
    <w:p w14:paraId="2199EAF0">
      <w:pPr>
        <w:tabs>
          <w:tab w:val="left" w:pos="360"/>
        </w:tabs>
        <w:spacing w:line="460" w:lineRule="exact"/>
        <w:ind w:firstLine="541" w:firstLineChars="245"/>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3、投标人代表</w:t>
      </w:r>
    </w:p>
    <w:p w14:paraId="45EE8F18">
      <w:pPr>
        <w:tabs>
          <w:tab w:val="left" w:pos="360"/>
        </w:tabs>
        <w:spacing w:line="460" w:lineRule="exact"/>
        <w:ind w:firstLine="539" w:firstLineChars="245"/>
        <w:rPr>
          <w:rFonts w:hint="eastAsia" w:ascii="宋体" w:hAnsi="宋体" w:eastAsia="宋体" w:cs="宋体"/>
          <w:b w:val="0"/>
          <w:bCs/>
          <w:color w:val="auto"/>
          <w:sz w:val="22"/>
          <w:highlight w:val="none"/>
        </w:rPr>
      </w:pPr>
      <w:r>
        <w:rPr>
          <w:rFonts w:hint="eastAsia" w:ascii="宋体" w:hAnsi="宋体" w:eastAsia="宋体" w:cs="宋体"/>
          <w:b w:val="0"/>
          <w:bCs/>
          <w:color w:val="auto"/>
          <w:sz w:val="22"/>
          <w:szCs w:val="22"/>
          <w:highlight w:val="none"/>
        </w:rPr>
        <w:t>3.1</w:t>
      </w:r>
      <w:r>
        <w:rPr>
          <w:rFonts w:hint="eastAsia" w:ascii="宋体" w:hAnsi="宋体" w:eastAsia="宋体" w:cs="宋体"/>
          <w:b w:val="0"/>
          <w:bCs/>
          <w:color w:val="auto"/>
          <w:sz w:val="22"/>
          <w:highlight w:val="none"/>
        </w:rPr>
        <w:t>指全权代表投标人参加投标活动并签署投标文件的人。如果投标人代表不是法定代表人，须持有《法定代表人授权书》（见附件）</w:t>
      </w:r>
    </w:p>
    <w:p w14:paraId="5A46B663">
      <w:pPr>
        <w:tabs>
          <w:tab w:val="left" w:pos="360"/>
        </w:tabs>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highlight w:val="none"/>
        </w:rPr>
        <w:t>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r>
        <w:rPr>
          <w:rFonts w:hint="eastAsia" w:ascii="宋体" w:hAnsi="宋体" w:eastAsia="宋体" w:cs="宋体"/>
          <w:b/>
          <w:color w:val="auto"/>
          <w:sz w:val="22"/>
          <w:szCs w:val="22"/>
          <w:highlight w:val="none"/>
        </w:rPr>
        <w:t>。</w:t>
      </w:r>
    </w:p>
    <w:p w14:paraId="2E09FE30">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4、投标费用</w:t>
      </w:r>
    </w:p>
    <w:p w14:paraId="674123EC">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4.1投</w:t>
      </w:r>
      <w:r>
        <w:rPr>
          <w:rFonts w:hint="eastAsia" w:ascii="宋体" w:hAnsi="宋体" w:eastAsia="宋体" w:cs="宋体"/>
          <w:color w:val="auto"/>
          <w:sz w:val="22"/>
          <w:szCs w:val="22"/>
          <w:highlight w:val="none"/>
        </w:rPr>
        <w:t>标人应承担所有与准备和参加投标有关费用，不论投标的结果如何，招标人或招标代理机构均无义务和责任承担这些费用。</w:t>
      </w:r>
    </w:p>
    <w:p w14:paraId="77903303">
      <w:pPr>
        <w:spacing w:line="460" w:lineRule="exact"/>
        <w:ind w:firstLine="541" w:firstLineChars="245"/>
        <w:rPr>
          <w:rFonts w:ascii="新宋体" w:hAnsi="新宋体" w:eastAsia="新宋体"/>
          <w:b/>
          <w:color w:val="auto"/>
          <w:sz w:val="22"/>
          <w:szCs w:val="22"/>
          <w:highlight w:val="none"/>
        </w:rPr>
      </w:pPr>
      <w:r>
        <w:rPr>
          <w:rFonts w:hint="eastAsia" w:ascii="新宋体" w:hAnsi="新宋体" w:eastAsia="新宋体"/>
          <w:b/>
          <w:color w:val="auto"/>
          <w:sz w:val="22"/>
          <w:szCs w:val="22"/>
          <w:highlight w:val="none"/>
        </w:rPr>
        <w:t>5</w:t>
      </w:r>
      <w:r>
        <w:rPr>
          <w:rFonts w:hint="eastAsia" w:ascii="新宋体" w:hAnsi="新宋体" w:eastAsia="新宋体"/>
          <w:b/>
          <w:color w:val="auto"/>
          <w:sz w:val="22"/>
          <w:szCs w:val="22"/>
          <w:highlight w:val="none"/>
          <w:lang w:eastAsia="zh-CN"/>
        </w:rPr>
        <w:t>、</w:t>
      </w:r>
      <w:r>
        <w:rPr>
          <w:rFonts w:hint="eastAsia" w:ascii="宋体" w:hAnsi="宋体" w:eastAsia="宋体" w:cs="宋体"/>
          <w:b/>
          <w:color w:val="auto"/>
          <w:sz w:val="22"/>
          <w:szCs w:val="22"/>
          <w:highlight w:val="none"/>
        </w:rPr>
        <w:t>联合体</w:t>
      </w:r>
      <w:r>
        <w:rPr>
          <w:rFonts w:hint="eastAsia" w:ascii="新宋体" w:hAnsi="新宋体" w:eastAsia="新宋体"/>
          <w:b/>
          <w:color w:val="auto"/>
          <w:sz w:val="22"/>
          <w:szCs w:val="22"/>
          <w:highlight w:val="none"/>
        </w:rPr>
        <w:t>投标说明</w:t>
      </w:r>
    </w:p>
    <w:p w14:paraId="1820B607">
      <w:pPr>
        <w:spacing w:line="460" w:lineRule="exact"/>
        <w:ind w:firstLine="539" w:firstLineChars="245"/>
        <w:rPr>
          <w:rFonts w:hint="eastAsia" w:ascii="宋体" w:hAnsi="宋体" w:cs="宋体"/>
          <w:color w:val="auto"/>
          <w:sz w:val="22"/>
          <w:szCs w:val="22"/>
          <w:highlight w:val="none"/>
        </w:rPr>
      </w:pPr>
      <w:r>
        <w:rPr>
          <w:rFonts w:hint="eastAsia" w:ascii="宋体" w:hAnsi="宋体" w:cs="宋体"/>
          <w:color w:val="auto"/>
          <w:sz w:val="22"/>
          <w:szCs w:val="22"/>
          <w:highlight w:val="none"/>
        </w:rPr>
        <w:t>5.1 联合体投标的，除招标文件另有规定外，招标文件的获取、响应文件的签署盖章、递交及开标过程操作均</w:t>
      </w:r>
      <w:r>
        <w:rPr>
          <w:rFonts w:hint="eastAsia" w:ascii="宋体" w:hAnsi="宋体" w:cs="宋体"/>
          <w:color w:val="auto"/>
          <w:sz w:val="22"/>
          <w:szCs w:val="22"/>
          <w:highlight w:val="none"/>
          <w:lang w:val="en-US" w:eastAsia="zh-CN"/>
        </w:rPr>
        <w:t>由</w:t>
      </w:r>
      <w:r>
        <w:rPr>
          <w:rFonts w:hint="eastAsia" w:ascii="宋体" w:hAnsi="宋体" w:cs="宋体"/>
          <w:color w:val="auto"/>
          <w:sz w:val="22"/>
          <w:szCs w:val="22"/>
          <w:highlight w:val="none"/>
        </w:rPr>
        <w:t>联合体</w:t>
      </w:r>
      <w:r>
        <w:rPr>
          <w:rFonts w:hint="eastAsia" w:ascii="宋体" w:hAnsi="宋体" w:cs="宋体"/>
          <w:color w:val="auto"/>
          <w:sz w:val="22"/>
          <w:szCs w:val="22"/>
          <w:highlight w:val="none"/>
          <w:lang w:val="en-US" w:eastAsia="zh-CN"/>
        </w:rPr>
        <w:t>牵头人进行</w:t>
      </w:r>
      <w:r>
        <w:rPr>
          <w:rFonts w:hint="eastAsia" w:ascii="宋体" w:hAnsi="宋体" w:cs="宋体"/>
          <w:color w:val="auto"/>
          <w:sz w:val="22"/>
          <w:szCs w:val="22"/>
          <w:highlight w:val="none"/>
        </w:rPr>
        <w:t>。</w:t>
      </w:r>
    </w:p>
    <w:p w14:paraId="5E38D2A4">
      <w:pPr>
        <w:spacing w:line="460" w:lineRule="exact"/>
        <w:ind w:firstLine="539" w:firstLineChars="24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 xml:space="preserve">5.2 </w:t>
      </w:r>
      <w:r>
        <w:rPr>
          <w:rFonts w:ascii="新宋体" w:hAnsi="新宋体" w:eastAsia="新宋体"/>
          <w:color w:val="auto"/>
          <w:sz w:val="22"/>
          <w:szCs w:val="22"/>
          <w:highlight w:val="none"/>
        </w:rPr>
        <w:t>以联合体形式参加政府采购活动的，联合体各方不得再单独参加或者与其他供应商另外组成联合体参加同一合同项下的政府采购活动</w:t>
      </w:r>
      <w:r>
        <w:rPr>
          <w:rFonts w:hint="eastAsia" w:ascii="新宋体" w:hAnsi="新宋体" w:eastAsia="新宋体"/>
          <w:color w:val="auto"/>
          <w:sz w:val="22"/>
          <w:szCs w:val="22"/>
          <w:highlight w:val="none"/>
          <w:lang w:eastAsia="zh-CN"/>
        </w:rPr>
        <w:t>，</w:t>
      </w:r>
      <w:r>
        <w:rPr>
          <w:rFonts w:hint="eastAsia" w:ascii="新宋体" w:hAnsi="新宋体" w:eastAsia="新宋体"/>
          <w:color w:val="auto"/>
          <w:sz w:val="22"/>
          <w:szCs w:val="22"/>
          <w:highlight w:val="none"/>
          <w:lang w:val="en-US" w:eastAsia="zh-CN"/>
        </w:rPr>
        <w:t>否则均按无效标处理</w:t>
      </w:r>
      <w:r>
        <w:rPr>
          <w:rFonts w:ascii="新宋体" w:hAnsi="新宋体" w:eastAsia="新宋体"/>
          <w:color w:val="auto"/>
          <w:sz w:val="22"/>
          <w:szCs w:val="22"/>
          <w:highlight w:val="none"/>
        </w:rPr>
        <w:t>。</w:t>
      </w:r>
    </w:p>
    <w:p w14:paraId="40DFCC21">
      <w:pPr>
        <w:spacing w:line="460" w:lineRule="exact"/>
        <w:ind w:firstLine="539" w:firstLineChars="245"/>
        <w:rPr>
          <w:rFonts w:hint="eastAsia"/>
          <w:color w:val="auto"/>
          <w:highlight w:val="none"/>
        </w:rPr>
      </w:pPr>
      <w:r>
        <w:rPr>
          <w:rFonts w:hint="eastAsia" w:ascii="新宋体" w:hAnsi="新宋体" w:eastAsia="新宋体"/>
          <w:bCs/>
          <w:color w:val="auto"/>
          <w:sz w:val="22"/>
          <w:szCs w:val="22"/>
          <w:highlight w:val="none"/>
        </w:rPr>
        <w:t>5.3 如联合体成交，</w:t>
      </w:r>
      <w:r>
        <w:rPr>
          <w:color w:val="auto"/>
          <w:kern w:val="0"/>
          <w:sz w:val="22"/>
          <w:szCs w:val="22"/>
          <w:highlight w:val="none"/>
        </w:rPr>
        <w:t>联合体各方应当共同与采购人签订采购合同，就采购合同约定的事项对采购人承担</w:t>
      </w:r>
      <w:r>
        <w:rPr>
          <w:rFonts w:hint="eastAsia" w:ascii="新宋体" w:hAnsi="新宋体" w:eastAsia="新宋体"/>
          <w:b w:val="0"/>
          <w:bCs/>
          <w:color w:val="auto"/>
          <w:sz w:val="22"/>
          <w:szCs w:val="22"/>
          <w:highlight w:val="none"/>
        </w:rPr>
        <w:t>连带</w:t>
      </w:r>
      <w:r>
        <w:rPr>
          <w:color w:val="auto"/>
          <w:kern w:val="0"/>
          <w:sz w:val="22"/>
          <w:szCs w:val="22"/>
          <w:highlight w:val="none"/>
        </w:rPr>
        <w:t>责任</w:t>
      </w:r>
      <w:r>
        <w:rPr>
          <w:rFonts w:hint="eastAsia"/>
          <w:color w:val="auto"/>
          <w:kern w:val="0"/>
          <w:sz w:val="22"/>
          <w:szCs w:val="22"/>
          <w:highlight w:val="none"/>
        </w:rPr>
        <w:t>，</w:t>
      </w:r>
      <w:r>
        <w:rPr>
          <w:color w:val="auto"/>
          <w:kern w:val="0"/>
          <w:sz w:val="22"/>
          <w:szCs w:val="22"/>
          <w:highlight w:val="none"/>
        </w:rPr>
        <w:t>履约保证金</w:t>
      </w:r>
      <w:r>
        <w:rPr>
          <w:rFonts w:hint="eastAsia"/>
          <w:color w:val="auto"/>
          <w:kern w:val="0"/>
          <w:sz w:val="22"/>
          <w:szCs w:val="22"/>
          <w:highlight w:val="none"/>
        </w:rPr>
        <w:t>（如有）</w:t>
      </w:r>
      <w:r>
        <w:rPr>
          <w:color w:val="auto"/>
          <w:kern w:val="0"/>
          <w:sz w:val="22"/>
          <w:szCs w:val="22"/>
          <w:highlight w:val="none"/>
        </w:rPr>
        <w:t>由联合体主</w:t>
      </w:r>
      <w:r>
        <w:rPr>
          <w:rFonts w:hint="eastAsia"/>
          <w:color w:val="auto"/>
          <w:kern w:val="0"/>
          <w:sz w:val="22"/>
          <w:szCs w:val="22"/>
          <w:highlight w:val="none"/>
        </w:rPr>
        <w:t>供应商</w:t>
      </w:r>
      <w:r>
        <w:rPr>
          <w:color w:val="auto"/>
          <w:kern w:val="0"/>
          <w:sz w:val="22"/>
          <w:szCs w:val="22"/>
          <w:highlight w:val="none"/>
        </w:rPr>
        <w:t>提交。</w:t>
      </w:r>
    </w:p>
    <w:p w14:paraId="0EDF4F20">
      <w:pPr>
        <w:spacing w:before="100" w:beforeAutospacing="1" w:after="100" w:afterAutospacing="1" w:line="460" w:lineRule="exact"/>
        <w:jc w:val="center"/>
        <w:outlineLvl w:val="1"/>
        <w:rPr>
          <w:rFonts w:hint="eastAsia" w:ascii="宋体" w:hAnsi="宋体" w:eastAsia="宋体" w:cs="宋体"/>
          <w:b/>
          <w:bCs/>
          <w:color w:val="auto"/>
          <w:sz w:val="26"/>
          <w:szCs w:val="26"/>
          <w:highlight w:val="none"/>
        </w:rPr>
      </w:pPr>
      <w:bookmarkStart w:id="12" w:name="_Toc9899"/>
      <w:bookmarkStart w:id="13" w:name="_Toc29225"/>
      <w:r>
        <w:rPr>
          <w:rFonts w:hint="eastAsia" w:ascii="宋体" w:hAnsi="宋体" w:eastAsia="宋体" w:cs="宋体"/>
          <w:b/>
          <w:bCs/>
          <w:color w:val="auto"/>
          <w:sz w:val="26"/>
          <w:szCs w:val="26"/>
          <w:highlight w:val="none"/>
        </w:rPr>
        <w:t>二、 招标文件</w:t>
      </w:r>
      <w:bookmarkEnd w:id="12"/>
      <w:bookmarkEnd w:id="13"/>
    </w:p>
    <w:p w14:paraId="4AE5CB9A">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1、招标文件由招标文件目录所列内容及相关资料组成。</w:t>
      </w:r>
    </w:p>
    <w:p w14:paraId="501A9A47">
      <w:pPr>
        <w:tabs>
          <w:tab w:val="left" w:pos="360"/>
        </w:tabs>
        <w:spacing w:line="460" w:lineRule="exact"/>
        <w:ind w:firstLine="552" w:firstLineChars="250"/>
        <w:rPr>
          <w:rFonts w:ascii="宋体" w:hAnsi="宋体" w:cs="宋体"/>
          <w:b/>
          <w:color w:val="auto"/>
          <w:sz w:val="22"/>
          <w:highlight w:val="none"/>
        </w:rPr>
      </w:pPr>
      <w:r>
        <w:rPr>
          <w:rFonts w:hint="eastAsia" w:ascii="宋体" w:hAnsi="宋体" w:cs="宋体"/>
          <w:b/>
          <w:color w:val="auto"/>
          <w:sz w:val="22"/>
          <w:highlight w:val="none"/>
        </w:rPr>
        <w:t>2、招标文件的澄清</w:t>
      </w:r>
    </w:p>
    <w:p w14:paraId="1E69E18E">
      <w:pPr>
        <w:tabs>
          <w:tab w:val="left" w:pos="360"/>
        </w:tabs>
        <w:spacing w:line="460" w:lineRule="exact"/>
        <w:ind w:firstLine="550" w:firstLineChars="250"/>
        <w:rPr>
          <w:rFonts w:ascii="宋体" w:hAnsi="宋体" w:cs="宋体"/>
          <w:color w:val="auto"/>
          <w:sz w:val="22"/>
          <w:highlight w:val="none"/>
        </w:rPr>
      </w:pPr>
      <w:r>
        <w:rPr>
          <w:rFonts w:hint="eastAsia" w:ascii="宋体" w:hAnsi="宋体" w:cs="宋体"/>
          <w:color w:val="auto"/>
          <w:sz w:val="22"/>
          <w:highlight w:val="none"/>
        </w:rPr>
        <w:t>2.1 任何要求对招标文件进行澄清的投标人，均应以书面形式（信函、传真，下同）通知，但该通知在知道或应知道其权益受到损害之日起七个工作日内以使招标人或招标代理机构收到，招标人或招标代理机构将以书面形式予以答复。如有必要，可将不说明问题来源的答复发给各投标文件收受人或召开答疑会。如果招标文件澄清期内未收到有关澄清要求，视为投标人完全同意招标文件所有条款，且对于招标文件有关表述以及未尽事宜如有异议，以招标人或招标代理机构解释为准。</w:t>
      </w:r>
    </w:p>
    <w:p w14:paraId="7A372D3A">
      <w:pPr>
        <w:tabs>
          <w:tab w:val="left" w:pos="360"/>
        </w:tabs>
        <w:spacing w:line="460" w:lineRule="exact"/>
        <w:ind w:firstLine="552" w:firstLineChars="250"/>
        <w:rPr>
          <w:rFonts w:ascii="宋体" w:hAnsi="宋体" w:cs="宋体"/>
          <w:b/>
          <w:color w:val="auto"/>
          <w:sz w:val="22"/>
          <w:highlight w:val="none"/>
        </w:rPr>
      </w:pPr>
      <w:r>
        <w:rPr>
          <w:rFonts w:hint="eastAsia" w:ascii="宋体" w:hAnsi="宋体" w:cs="宋体"/>
          <w:b/>
          <w:color w:val="auto"/>
          <w:sz w:val="22"/>
          <w:highlight w:val="none"/>
        </w:rPr>
        <w:t>3、招标文件的修改</w:t>
      </w:r>
    </w:p>
    <w:p w14:paraId="14473D80">
      <w:pPr>
        <w:spacing w:line="460" w:lineRule="exact"/>
        <w:ind w:firstLine="539" w:firstLineChars="245"/>
        <w:rPr>
          <w:rFonts w:hint="eastAsia" w:ascii="宋体" w:hAnsi="宋体" w:cs="宋体"/>
          <w:color w:val="auto"/>
          <w:sz w:val="22"/>
          <w:highlight w:val="none"/>
        </w:rPr>
      </w:pPr>
      <w:r>
        <w:rPr>
          <w:rFonts w:hint="eastAsia" w:ascii="宋体" w:hAnsi="宋体" w:cs="宋体"/>
          <w:color w:val="auto"/>
          <w:sz w:val="22"/>
          <w:highlight w:val="none"/>
        </w:rPr>
        <w:t>3.1招标人或招标代理机构对已发出的招标文件进行必要的澄清或者修改的，应当在招标文件要求递交投标文件截止时间十五日前，在财政部门指定的政府采购信息发布媒体上发布更正公告。该澄清或修改内容为招标文件的组成部分。</w:t>
      </w:r>
    </w:p>
    <w:p w14:paraId="2CC0182B">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cs="宋体"/>
          <w:color w:val="auto"/>
          <w:sz w:val="22"/>
          <w:highlight w:val="none"/>
        </w:rPr>
        <w:t>3.2招标人、招标代理机构可以视采购的具体情况决定是否延长投标截止时间和开标时间，并在招标文件要求递交投标文件的截止时间前，在财政部门指定的政府采购信息发布媒体上发布变更公告。</w:t>
      </w:r>
    </w:p>
    <w:p w14:paraId="2F226D77">
      <w:pPr>
        <w:spacing w:before="100" w:beforeAutospacing="1" w:after="100" w:afterAutospacing="1" w:line="460" w:lineRule="exact"/>
        <w:jc w:val="center"/>
        <w:outlineLvl w:val="1"/>
        <w:rPr>
          <w:rFonts w:hint="eastAsia" w:ascii="宋体" w:hAnsi="宋体" w:eastAsia="宋体" w:cs="宋体"/>
          <w:b/>
          <w:bCs/>
          <w:color w:val="auto"/>
          <w:sz w:val="26"/>
          <w:szCs w:val="26"/>
          <w:highlight w:val="none"/>
        </w:rPr>
      </w:pPr>
      <w:bookmarkStart w:id="14" w:name="_Toc27916"/>
      <w:bookmarkStart w:id="15" w:name="_Toc12726"/>
      <w:r>
        <w:rPr>
          <w:rFonts w:hint="eastAsia" w:ascii="宋体" w:hAnsi="宋体" w:eastAsia="宋体" w:cs="宋体"/>
          <w:b/>
          <w:bCs/>
          <w:color w:val="auto"/>
          <w:sz w:val="26"/>
          <w:szCs w:val="26"/>
          <w:highlight w:val="none"/>
        </w:rPr>
        <w:t>三、 投标文件的编制</w:t>
      </w:r>
      <w:bookmarkEnd w:id="14"/>
      <w:bookmarkEnd w:id="15"/>
    </w:p>
    <w:p w14:paraId="03A1208A">
      <w:pPr>
        <w:tabs>
          <w:tab w:val="left" w:pos="360"/>
        </w:tabs>
        <w:spacing w:line="460" w:lineRule="exact"/>
        <w:ind w:firstLine="550" w:firstLineChars="250"/>
        <w:rPr>
          <w:rFonts w:hint="eastAsia" w:ascii="宋体" w:hAnsi="宋体" w:eastAsia="宋体" w:cs="宋体"/>
          <w:b w:val="0"/>
          <w:bCs w:val="0"/>
          <w:color w:val="auto"/>
          <w:sz w:val="22"/>
          <w:highlight w:val="none"/>
        </w:rPr>
      </w:pPr>
      <w:r>
        <w:rPr>
          <w:rFonts w:hint="eastAsia" w:ascii="宋体" w:hAnsi="宋体" w:eastAsia="宋体" w:cs="宋体"/>
          <w:b w:val="0"/>
          <w:bCs w:val="0"/>
          <w:color w:val="auto"/>
          <w:sz w:val="22"/>
          <w:highlight w:val="none"/>
        </w:rPr>
        <w:t>1、投标人应认真阅读招标文件中所有事项、格式、条款和技术规范等。投标人没有按照招标文件要求提交全部资料，或者没有对招标文件各个方面做出实质性响应，导致投标被否决的风险由投标人自行承担。</w:t>
      </w:r>
    </w:p>
    <w:p w14:paraId="4C02364E">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highlight w:val="none"/>
        </w:rPr>
        <w:t>2、投标人应保证所提供文件资料的真实性，所有文件资料必须是针对本次投标的。如发现投标人提供了虚假文件资料，其投标将被否决，并自行承担相应的法律责任。</w:t>
      </w:r>
    </w:p>
    <w:p w14:paraId="31276031">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w:t>
      </w:r>
      <w:r>
        <w:rPr>
          <w:rFonts w:hint="eastAsia" w:ascii="宋体" w:hAnsi="宋体" w:eastAsia="宋体" w:cs="宋体"/>
          <w:b/>
          <w:bCs/>
          <w:color w:val="auto"/>
          <w:sz w:val="22"/>
          <w:szCs w:val="22"/>
          <w:highlight w:val="none"/>
        </w:rPr>
        <w:t>投标文件的构成：</w:t>
      </w:r>
    </w:p>
    <w:p w14:paraId="60732BE2">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kern w:val="0"/>
          <w:sz w:val="22"/>
          <w:szCs w:val="22"/>
          <w:highlight w:val="none"/>
        </w:rPr>
        <w:t>投标</w:t>
      </w:r>
      <w:r>
        <w:rPr>
          <w:rFonts w:hint="eastAsia" w:ascii="宋体" w:hAnsi="宋体" w:eastAsia="宋体" w:cs="宋体"/>
          <w:b w:val="0"/>
          <w:bCs w:val="0"/>
          <w:color w:val="auto"/>
          <w:kern w:val="0"/>
          <w:sz w:val="22"/>
          <w:szCs w:val="22"/>
          <w:highlight w:val="none"/>
          <w:lang w:val="zh-CN"/>
        </w:rPr>
        <w:t>文件应当包括以下主要内容：资格文件、报价文件、商务技术文件。</w:t>
      </w:r>
    </w:p>
    <w:p w14:paraId="15823917">
      <w:pPr>
        <w:spacing w:line="460" w:lineRule="exact"/>
        <w:ind w:firstLine="541" w:firstLineChars="245"/>
        <w:rPr>
          <w:rFonts w:hint="eastAsia" w:ascii="宋体" w:hAnsi="宋体" w:eastAsia="宋体" w:cs="宋体"/>
          <w:b/>
          <w:bCs/>
          <w:color w:val="auto"/>
          <w:kern w:val="0"/>
          <w:sz w:val="22"/>
          <w:szCs w:val="22"/>
          <w:highlight w:val="none"/>
          <w:u w:val="none"/>
          <w:lang w:val="zh-CN"/>
        </w:rPr>
      </w:pPr>
      <w:r>
        <w:rPr>
          <w:rFonts w:hint="eastAsia" w:ascii="宋体" w:hAnsi="宋体" w:eastAsia="宋体" w:cs="宋体"/>
          <w:b/>
          <w:bCs/>
          <w:color w:val="auto"/>
          <w:kern w:val="0"/>
          <w:sz w:val="22"/>
          <w:szCs w:val="22"/>
          <w:highlight w:val="none"/>
          <w:u w:val="none"/>
        </w:rPr>
        <w:t>3.1</w:t>
      </w:r>
      <w:r>
        <w:rPr>
          <w:rFonts w:hint="eastAsia" w:ascii="宋体" w:hAnsi="宋体" w:eastAsia="宋体" w:cs="宋体"/>
          <w:b/>
          <w:bCs/>
          <w:color w:val="auto"/>
          <w:kern w:val="0"/>
          <w:sz w:val="22"/>
          <w:szCs w:val="22"/>
          <w:highlight w:val="none"/>
          <w:u w:val="none"/>
          <w:lang w:val="zh-CN"/>
        </w:rPr>
        <w:t xml:space="preserve">投标人的资格文件至少应包括以下内容： </w:t>
      </w:r>
    </w:p>
    <w:p w14:paraId="1E64D560">
      <w:pPr>
        <w:spacing w:line="460" w:lineRule="exact"/>
        <w:ind w:firstLine="539" w:firstLineChars="245"/>
        <w:rPr>
          <w:rFonts w:hint="eastAsia" w:ascii="宋体" w:hAnsi="宋体" w:eastAsia="宋体" w:cs="宋体"/>
          <w:color w:val="auto"/>
          <w:kern w:val="0"/>
          <w:sz w:val="22"/>
          <w:szCs w:val="22"/>
          <w:highlight w:val="none"/>
          <w:u w:val="none"/>
          <w:lang w:val="en-US" w:eastAsia="zh-CN"/>
        </w:rPr>
      </w:pPr>
      <w:r>
        <w:rPr>
          <w:rFonts w:hint="eastAsia" w:ascii="宋体" w:hAnsi="宋体" w:eastAsia="宋体" w:cs="宋体"/>
          <w:color w:val="auto"/>
          <w:kern w:val="0"/>
          <w:sz w:val="22"/>
          <w:szCs w:val="22"/>
          <w:highlight w:val="none"/>
          <w:u w:val="none"/>
          <w:lang w:val="zh-CN"/>
        </w:rPr>
        <w:t>基本资格条件审查材料：</w:t>
      </w:r>
      <w:r>
        <w:rPr>
          <w:rFonts w:hint="eastAsia" w:ascii="宋体" w:hAnsi="宋体" w:eastAsia="宋体" w:cs="宋体"/>
          <w:color w:val="auto"/>
          <w:kern w:val="0"/>
          <w:sz w:val="22"/>
          <w:szCs w:val="22"/>
          <w:highlight w:val="none"/>
          <w:u w:val="none"/>
          <w:lang w:val="en-US" w:eastAsia="zh-CN"/>
        </w:rPr>
        <w:t>即证明供应商</w:t>
      </w:r>
      <w:r>
        <w:rPr>
          <w:rFonts w:hint="eastAsia" w:ascii="宋体" w:hAnsi="宋体" w:eastAsia="宋体" w:cs="宋体"/>
          <w:color w:val="auto"/>
          <w:kern w:val="0"/>
          <w:sz w:val="22"/>
          <w:szCs w:val="22"/>
          <w:highlight w:val="none"/>
          <w:u w:val="none"/>
          <w:lang w:val="zh-CN"/>
        </w:rPr>
        <w:t>参加本次政府采购活动前3年内</w:t>
      </w:r>
      <w:r>
        <w:rPr>
          <w:rFonts w:hint="eastAsia"/>
          <w:color w:val="auto"/>
          <w:sz w:val="22"/>
          <w:szCs w:val="22"/>
          <w:highlight w:val="none"/>
          <w:u w:val="none"/>
          <w:lang w:val="en-US" w:eastAsia="zh-CN"/>
        </w:rPr>
        <w:t>满足《中华人民共和国政府采购法》</w:t>
      </w:r>
      <w:r>
        <w:rPr>
          <w:rFonts w:hint="eastAsia" w:ascii="宋体" w:hAnsi="宋体" w:eastAsia="宋体" w:cs="宋体"/>
          <w:color w:val="auto"/>
          <w:kern w:val="0"/>
          <w:sz w:val="22"/>
          <w:szCs w:val="22"/>
          <w:highlight w:val="none"/>
          <w:u w:val="none"/>
          <w:lang w:val="zh-CN"/>
        </w:rPr>
        <w:t>的有关资格证明文件。</w:t>
      </w:r>
      <w:r>
        <w:rPr>
          <w:rFonts w:hint="eastAsia" w:ascii="宋体" w:hAnsi="宋体" w:eastAsia="宋体" w:cs="宋体"/>
          <w:color w:val="auto"/>
          <w:kern w:val="0"/>
          <w:sz w:val="22"/>
          <w:szCs w:val="22"/>
          <w:highlight w:val="none"/>
          <w:u w:val="none"/>
          <w:lang w:val="en-US" w:eastAsia="zh-CN"/>
        </w:rPr>
        <w:t>包括：</w:t>
      </w:r>
    </w:p>
    <w:p w14:paraId="2909F19C">
      <w:pPr>
        <w:snapToGrid w:val="0"/>
        <w:spacing w:line="460" w:lineRule="exact"/>
        <w:ind w:left="105" w:leftChars="50"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rPr>
        <w:t>资格条件承诺函</w:t>
      </w:r>
      <w:r>
        <w:rPr>
          <w:rFonts w:hint="eastAsia" w:ascii="宋体" w:hAnsi="宋体" w:cs="宋体"/>
          <w:color w:val="auto"/>
          <w:sz w:val="22"/>
          <w:szCs w:val="22"/>
          <w:highlight w:val="none"/>
        </w:rPr>
        <w:t>（若联合体投标，则各方均须提供）</w:t>
      </w:r>
      <w:r>
        <w:rPr>
          <w:rFonts w:hint="eastAsia" w:ascii="宋体" w:hAnsi="宋体" w:eastAsia="宋体" w:cs="宋体"/>
          <w:color w:val="auto"/>
          <w:sz w:val="22"/>
          <w:szCs w:val="22"/>
          <w:highlight w:val="none"/>
          <w:u w:val="none"/>
          <w:lang w:eastAsia="zh-CN"/>
        </w:rPr>
        <w:t>；</w:t>
      </w:r>
    </w:p>
    <w:p w14:paraId="3F6B18F8">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w:t>
      </w:r>
      <w:r>
        <w:rPr>
          <w:rFonts w:hint="eastAsia" w:ascii="宋体" w:hAnsi="宋体" w:eastAsia="宋体" w:cs="宋体"/>
          <w:color w:val="auto"/>
          <w:sz w:val="22"/>
          <w:szCs w:val="22"/>
          <w:highlight w:val="none"/>
          <w:u w:val="none"/>
          <w:lang w:val="en-US" w:eastAsia="zh-CN"/>
        </w:rPr>
        <w:t>2</w:t>
      </w:r>
      <w:r>
        <w:rPr>
          <w:rFonts w:hint="eastAsia" w:ascii="宋体" w:hAnsi="宋体" w:eastAsia="宋体" w:cs="宋体"/>
          <w:color w:val="auto"/>
          <w:sz w:val="22"/>
          <w:szCs w:val="22"/>
          <w:highlight w:val="none"/>
          <w:u w:val="none"/>
        </w:rPr>
        <w:t>）营业执照(或事业法人登记证书或其它工商等登记证明材料；自然人参与政府采购，提供身份证)复印件</w:t>
      </w:r>
      <w:r>
        <w:rPr>
          <w:rFonts w:hint="eastAsia" w:ascii="宋体" w:hAnsi="宋体" w:cs="宋体"/>
          <w:color w:val="auto"/>
          <w:sz w:val="22"/>
          <w:szCs w:val="22"/>
          <w:highlight w:val="none"/>
        </w:rPr>
        <w:t>（若联合体投标，则各方均须提供）</w:t>
      </w:r>
      <w:r>
        <w:rPr>
          <w:rFonts w:hint="eastAsia" w:ascii="宋体" w:hAnsi="宋体" w:eastAsia="宋体" w:cs="宋体"/>
          <w:color w:val="auto"/>
          <w:sz w:val="22"/>
          <w:szCs w:val="22"/>
          <w:highlight w:val="none"/>
          <w:u w:val="none"/>
        </w:rPr>
        <w:t xml:space="preserve">； </w:t>
      </w:r>
    </w:p>
    <w:p w14:paraId="6F9CBCFD">
      <w:pPr>
        <w:numPr>
          <w:ilvl w:val="0"/>
          <w:numId w:val="0"/>
        </w:numPr>
        <w:snapToGrid w:val="0"/>
        <w:spacing w:line="460" w:lineRule="exact"/>
        <w:ind w:lef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3A653796">
      <w:pPr>
        <w:numPr>
          <w:ilvl w:val="0"/>
          <w:numId w:val="0"/>
        </w:numPr>
        <w:snapToGrid w:val="0"/>
        <w:spacing w:line="460" w:lineRule="exact"/>
        <w:ind w:left="105" w:leftChars="50" w:firstLine="440" w:firstLineChars="200"/>
        <w:rPr>
          <w:rFonts w:hint="eastAsia" w:ascii="宋体" w:hAnsi="宋体" w:cs="宋体"/>
          <w:color w:val="auto"/>
          <w:sz w:val="22"/>
          <w:szCs w:val="22"/>
          <w:highlight w:val="none"/>
          <w:u w:val="none"/>
          <w:lang w:val="en-US" w:eastAsia="zh-CN"/>
        </w:rPr>
      </w:pPr>
      <w:r>
        <w:rPr>
          <w:rFonts w:hint="eastAsia" w:ascii="宋体" w:hAnsi="宋体" w:eastAsia="宋体" w:cs="宋体"/>
          <w:color w:val="auto"/>
          <w:kern w:val="2"/>
          <w:sz w:val="22"/>
          <w:szCs w:val="22"/>
          <w:highlight w:val="none"/>
          <w:lang w:val="en-US" w:eastAsia="zh-CN" w:bidi="ar-SA"/>
        </w:rPr>
        <w:t>（3）</w:t>
      </w:r>
      <w:r>
        <w:rPr>
          <w:rFonts w:hint="eastAsia" w:ascii="宋体" w:hAnsi="宋体" w:eastAsia="宋体" w:cs="宋体"/>
          <w:color w:val="auto"/>
          <w:sz w:val="22"/>
          <w:szCs w:val="22"/>
          <w:highlight w:val="none"/>
          <w:u w:val="none"/>
          <w:lang w:val="en-US" w:eastAsia="zh-CN"/>
        </w:rPr>
        <w:t>投标人信用查询</w:t>
      </w:r>
      <w:r>
        <w:rPr>
          <w:rFonts w:hint="eastAsia" w:ascii="宋体" w:hAnsi="宋体" w:cs="宋体"/>
          <w:color w:val="auto"/>
          <w:sz w:val="22"/>
          <w:szCs w:val="22"/>
          <w:highlight w:val="none"/>
          <w:u w:val="none"/>
          <w:lang w:val="en-US" w:eastAsia="zh-CN"/>
        </w:rPr>
        <w:t>；</w:t>
      </w:r>
    </w:p>
    <w:p w14:paraId="7E6AF4A0">
      <w:pPr>
        <w:numPr>
          <w:ilvl w:val="0"/>
          <w:numId w:val="0"/>
        </w:numPr>
        <w:snapToGrid w:val="0"/>
        <w:spacing w:line="460" w:lineRule="exact"/>
        <w:ind w:left="105" w:leftChars="50" w:firstLine="440" w:firstLineChars="200"/>
        <w:rPr>
          <w:rFonts w:hint="default" w:ascii="宋体" w:hAnsi="宋体" w:eastAsia="宋体" w:cs="宋体"/>
          <w:color w:val="auto"/>
          <w:sz w:val="22"/>
          <w:szCs w:val="22"/>
          <w:highlight w:val="none"/>
          <w:u w:val="none"/>
          <w:lang w:val="en-US" w:eastAsia="zh-CN"/>
        </w:rPr>
      </w:pPr>
      <w:r>
        <w:rPr>
          <w:rFonts w:hint="default" w:ascii="宋体" w:hAnsi="宋体" w:eastAsia="宋体" w:cs="宋体"/>
          <w:color w:val="auto"/>
          <w:kern w:val="2"/>
          <w:sz w:val="22"/>
          <w:szCs w:val="22"/>
          <w:highlight w:val="none"/>
          <w:lang w:val="en-US" w:eastAsia="zh-CN" w:bidi="ar-SA"/>
        </w:rPr>
        <w:t>（4）</w:t>
      </w:r>
      <w:r>
        <w:rPr>
          <w:rFonts w:hint="eastAsia" w:ascii="宋体" w:hAnsi="宋体" w:eastAsia="宋体" w:cs="宋体"/>
          <w:color w:val="auto"/>
          <w:sz w:val="22"/>
          <w:szCs w:val="22"/>
          <w:highlight w:val="none"/>
          <w:u w:val="none"/>
          <w:lang w:val="en-US" w:eastAsia="zh-CN"/>
        </w:rPr>
        <w:t>具备安全生产许可证、市政公用工程施工总承包贰级及以上资质或公路交通工程（公路安全设施分项）专业承包贰级及以上资质且在有效期内。</w:t>
      </w:r>
    </w:p>
    <w:p w14:paraId="0C4FF457">
      <w:pPr>
        <w:numPr>
          <w:ilvl w:val="0"/>
          <w:numId w:val="0"/>
        </w:numPr>
        <w:snapToGrid w:val="0"/>
        <w:spacing w:line="460" w:lineRule="exact"/>
        <w:ind w:left="105" w:leftChars="5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w:t>
      </w:r>
      <w:r>
        <w:rPr>
          <w:rFonts w:hint="eastAsia" w:ascii="宋体" w:hAnsi="宋体" w:cs="宋体"/>
          <w:color w:val="auto"/>
          <w:kern w:val="2"/>
          <w:sz w:val="22"/>
          <w:szCs w:val="22"/>
          <w:highlight w:val="none"/>
          <w:lang w:val="en-US" w:eastAsia="zh-CN" w:bidi="ar-SA"/>
        </w:rPr>
        <w:t>5</w:t>
      </w:r>
      <w:r>
        <w:rPr>
          <w:rFonts w:hint="eastAsia" w:ascii="宋体" w:hAnsi="宋体" w:eastAsia="宋体" w:cs="宋体"/>
          <w:color w:val="auto"/>
          <w:kern w:val="2"/>
          <w:sz w:val="22"/>
          <w:szCs w:val="22"/>
          <w:highlight w:val="none"/>
          <w:lang w:val="en-US" w:eastAsia="zh-CN" w:bidi="ar-SA"/>
        </w:rPr>
        <w:t>）政府采购活动现场确认声明书；</w:t>
      </w:r>
    </w:p>
    <w:p w14:paraId="750CC2AA">
      <w:pPr>
        <w:numPr>
          <w:ilvl w:val="0"/>
          <w:numId w:val="0"/>
        </w:numPr>
        <w:snapToGrid w:val="0"/>
        <w:spacing w:line="460" w:lineRule="exact"/>
        <w:ind w:left="105" w:leftChars="5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w:t>
      </w:r>
      <w:r>
        <w:rPr>
          <w:rFonts w:hint="eastAsia" w:ascii="宋体" w:hAnsi="宋体" w:cs="宋体"/>
          <w:color w:val="auto"/>
          <w:kern w:val="2"/>
          <w:sz w:val="22"/>
          <w:szCs w:val="22"/>
          <w:highlight w:val="none"/>
          <w:lang w:val="en-US" w:eastAsia="zh-CN" w:bidi="ar-SA"/>
        </w:rPr>
        <w:t>6</w:t>
      </w:r>
      <w:r>
        <w:rPr>
          <w:rFonts w:hint="eastAsia" w:ascii="宋体" w:hAnsi="宋体" w:eastAsia="宋体" w:cs="宋体"/>
          <w:color w:val="auto"/>
          <w:kern w:val="2"/>
          <w:sz w:val="22"/>
          <w:szCs w:val="22"/>
          <w:highlight w:val="none"/>
          <w:lang w:val="en-US" w:eastAsia="zh-CN" w:bidi="ar-SA"/>
        </w:rPr>
        <w:t>）分包协议书(如有）；</w:t>
      </w:r>
    </w:p>
    <w:p w14:paraId="1609960F">
      <w:pPr>
        <w:numPr>
          <w:ilvl w:val="0"/>
          <w:numId w:val="0"/>
        </w:numPr>
        <w:snapToGrid w:val="0"/>
        <w:spacing w:line="460" w:lineRule="exact"/>
        <w:ind w:left="105" w:leftChars="50" w:firstLine="440" w:firstLineChars="200"/>
        <w:rPr>
          <w:rFonts w:hint="default"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w:t>
      </w:r>
      <w:r>
        <w:rPr>
          <w:rFonts w:hint="eastAsia" w:ascii="宋体" w:hAnsi="宋体" w:cs="宋体"/>
          <w:color w:val="auto"/>
          <w:kern w:val="2"/>
          <w:sz w:val="22"/>
          <w:szCs w:val="22"/>
          <w:highlight w:val="none"/>
          <w:lang w:val="en-US" w:eastAsia="zh-CN" w:bidi="ar-SA"/>
        </w:rPr>
        <w:t>7</w:t>
      </w:r>
      <w:r>
        <w:rPr>
          <w:rFonts w:hint="eastAsia" w:ascii="宋体" w:hAnsi="宋体" w:eastAsia="宋体" w:cs="宋体"/>
          <w:color w:val="auto"/>
          <w:kern w:val="2"/>
          <w:sz w:val="22"/>
          <w:szCs w:val="22"/>
          <w:highlight w:val="none"/>
          <w:lang w:val="en-US" w:eastAsia="zh-CN" w:bidi="ar-SA"/>
        </w:rPr>
        <w:t>）中小企业声明函、监狱企业、残疾人福利性单位及其他相关的充分的证明材料。（如有）</w:t>
      </w:r>
    </w:p>
    <w:p w14:paraId="6412D61C">
      <w:pPr>
        <w:numPr>
          <w:ilvl w:val="0"/>
          <w:numId w:val="0"/>
        </w:num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kern w:val="2"/>
          <w:sz w:val="22"/>
          <w:szCs w:val="22"/>
          <w:highlight w:val="none"/>
          <w:lang w:val="en-US" w:eastAsia="zh-CN" w:bidi="ar-SA"/>
        </w:rPr>
        <w:t>上述资格条件审查材料有一项不提供的，视为资格</w:t>
      </w:r>
      <w:r>
        <w:rPr>
          <w:rFonts w:hint="eastAsia" w:ascii="宋体" w:hAnsi="宋体" w:eastAsia="宋体" w:cs="宋体"/>
          <w:color w:val="auto"/>
          <w:sz w:val="22"/>
          <w:szCs w:val="22"/>
          <w:highlight w:val="none"/>
          <w:u w:val="none"/>
        </w:rPr>
        <w:t>审查不通过。</w:t>
      </w:r>
    </w:p>
    <w:p w14:paraId="411CA756">
      <w:pPr>
        <w:snapToGrid w:val="0"/>
        <w:spacing w:line="460" w:lineRule="exact"/>
        <w:ind w:left="105" w:leftChars="50" w:firstLine="442" w:firstLineChars="200"/>
        <w:rPr>
          <w:rFonts w:hint="eastAsia" w:ascii="宋体" w:hAnsi="宋体" w:eastAsia="宋体" w:cs="宋体"/>
          <w:color w:val="auto"/>
          <w:sz w:val="22"/>
          <w:szCs w:val="22"/>
          <w:highlight w:val="none"/>
          <w:u w:val="single"/>
          <w:lang w:val="zh-CN"/>
        </w:rPr>
      </w:pPr>
      <w:r>
        <w:rPr>
          <w:rFonts w:hint="eastAsia" w:ascii="宋体" w:hAnsi="宋体" w:eastAsia="宋体" w:cs="宋体"/>
          <w:b/>
          <w:bCs/>
          <w:color w:val="auto"/>
          <w:sz w:val="22"/>
          <w:szCs w:val="22"/>
          <w:highlight w:val="none"/>
        </w:rPr>
        <w:t xml:space="preserve">3.2投标人的报价文件至少应包括以下内容： </w:t>
      </w:r>
    </w:p>
    <w:p w14:paraId="519AD9E9">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（1）投标函；</w:t>
      </w:r>
    </w:p>
    <w:p w14:paraId="26617BC4">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（2）投标报价一览表；</w:t>
      </w:r>
    </w:p>
    <w:p w14:paraId="239A146C">
      <w:pPr>
        <w:snapToGrid w:val="0"/>
        <w:spacing w:line="460" w:lineRule="exact"/>
        <w:ind w:left="105" w:leftChars="5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（3）投标分项报价表</w:t>
      </w:r>
    </w:p>
    <w:p w14:paraId="02CB6D3D">
      <w:pPr>
        <w:snapToGrid w:val="0"/>
        <w:spacing w:line="460" w:lineRule="exact"/>
        <w:ind w:left="105" w:leftChars="50" w:firstLine="440" w:firstLineChars="200"/>
        <w:rPr>
          <w:rFonts w:hint="eastAsia" w:ascii="宋体" w:hAnsi="宋体" w:eastAsia="宋体" w:cs="宋体"/>
          <w:b/>
          <w:bCs/>
          <w:color w:val="auto"/>
          <w:kern w:val="0"/>
          <w:sz w:val="22"/>
          <w:szCs w:val="22"/>
          <w:highlight w:val="none"/>
          <w:lang w:val="zh-CN"/>
        </w:rPr>
      </w:pPr>
      <w:r>
        <w:rPr>
          <w:rFonts w:hint="eastAsia" w:ascii="宋体" w:hAnsi="宋体" w:eastAsia="宋体" w:cs="宋体"/>
          <w:color w:val="auto"/>
          <w:sz w:val="22"/>
          <w:szCs w:val="22"/>
          <w:highlight w:val="none"/>
        </w:rPr>
        <w:t xml:space="preserve"> </w:t>
      </w:r>
      <w:r>
        <w:rPr>
          <w:rFonts w:hint="eastAsia" w:ascii="宋体" w:hAnsi="宋体" w:eastAsia="宋体" w:cs="宋体"/>
          <w:b/>
          <w:bCs/>
          <w:color w:val="auto"/>
          <w:kern w:val="0"/>
          <w:sz w:val="22"/>
          <w:szCs w:val="22"/>
          <w:highlight w:val="none"/>
        </w:rPr>
        <w:t>3.3</w:t>
      </w:r>
      <w:r>
        <w:rPr>
          <w:rFonts w:hint="eastAsia" w:ascii="宋体" w:hAnsi="宋体" w:eastAsia="宋体" w:cs="宋体"/>
          <w:b/>
          <w:bCs/>
          <w:color w:val="auto"/>
          <w:kern w:val="0"/>
          <w:sz w:val="22"/>
          <w:szCs w:val="22"/>
          <w:highlight w:val="none"/>
          <w:lang w:val="zh-CN"/>
        </w:rPr>
        <w:t xml:space="preserve">投标人的商务技术文件应包括以下内容： </w:t>
      </w:r>
    </w:p>
    <w:p w14:paraId="4D96ABC4">
      <w:pPr>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（1）法定代表人授权委托书（需提供法定代表人及授权委托人的身份证复印件加盖公章）；</w:t>
      </w:r>
    </w:p>
    <w:p w14:paraId="60B8C690">
      <w:pPr>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（2）投标人情况表</w:t>
      </w:r>
    </w:p>
    <w:p w14:paraId="59052540">
      <w:pPr>
        <w:snapToGrid w:val="0"/>
        <w:spacing w:line="460" w:lineRule="exact"/>
        <w:ind w:firstLine="440" w:firstLineChars="20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偏离表（</w:t>
      </w:r>
      <w:r>
        <w:rPr>
          <w:rFonts w:hint="eastAsia" w:ascii="宋体" w:hAnsi="宋体" w:eastAsia="宋体" w:cs="宋体"/>
          <w:color w:val="auto"/>
          <w:sz w:val="22"/>
          <w:szCs w:val="22"/>
          <w:highlight w:val="none"/>
        </w:rPr>
        <w:t>商务、技术偏离</w:t>
      </w:r>
      <w:r>
        <w:rPr>
          <w:rFonts w:hint="eastAsia" w:ascii="宋体" w:hAnsi="宋体" w:eastAsia="宋体" w:cs="宋体"/>
          <w:color w:val="auto"/>
          <w:sz w:val="22"/>
          <w:szCs w:val="22"/>
          <w:highlight w:val="none"/>
          <w:lang w:val="zh-CN"/>
        </w:rPr>
        <w:t>）</w:t>
      </w:r>
    </w:p>
    <w:p w14:paraId="26485557">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lang w:eastAsia="zh-CN"/>
        </w:rPr>
        <w:t>）详细供货清单说明一览表（如有）</w:t>
      </w:r>
    </w:p>
    <w:p w14:paraId="5F5448F1">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eastAsia="zh-CN"/>
        </w:rPr>
        <w:t>）备品、易损件、备件、专用工具清单（如有）</w:t>
      </w:r>
    </w:p>
    <w:p w14:paraId="7031F73C">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lang w:eastAsia="zh-CN"/>
        </w:rPr>
        <w:t>）投标产品的性能与需求的吻合程度</w:t>
      </w:r>
    </w:p>
    <w:p w14:paraId="2632C799">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lang w:eastAsia="zh-CN"/>
        </w:rPr>
        <w:t>）投标方案优势情况</w:t>
      </w:r>
    </w:p>
    <w:p w14:paraId="57B16CE2">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lang w:eastAsia="zh-CN"/>
        </w:rPr>
        <w:t>）设备材料制作车间情况</w:t>
      </w:r>
    </w:p>
    <w:p w14:paraId="4A75ACC4">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lang w:eastAsia="zh-CN"/>
        </w:rPr>
        <w:t>）设施巡查方案</w:t>
      </w:r>
    </w:p>
    <w:p w14:paraId="1C161FBE">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10</w:t>
      </w:r>
      <w:r>
        <w:rPr>
          <w:rFonts w:hint="eastAsia" w:ascii="宋体" w:hAnsi="宋体" w:eastAsia="宋体" w:cs="宋体"/>
          <w:color w:val="auto"/>
          <w:sz w:val="22"/>
          <w:szCs w:val="22"/>
          <w:highlight w:val="none"/>
          <w:lang w:eastAsia="zh-CN"/>
        </w:rPr>
        <w:t>）应急方案</w:t>
      </w:r>
    </w:p>
    <w:p w14:paraId="29B9AA94">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lang w:eastAsia="zh-CN"/>
        </w:rPr>
        <w:t>）备品备件</w:t>
      </w:r>
    </w:p>
    <w:p w14:paraId="412F0E11">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12</w:t>
      </w:r>
      <w:r>
        <w:rPr>
          <w:rFonts w:hint="eastAsia" w:ascii="宋体" w:hAnsi="宋体" w:eastAsia="宋体" w:cs="宋体"/>
          <w:color w:val="auto"/>
          <w:sz w:val="22"/>
          <w:szCs w:val="22"/>
          <w:highlight w:val="none"/>
          <w:lang w:eastAsia="zh-CN"/>
        </w:rPr>
        <w:t>）质量保证措施</w:t>
      </w:r>
    </w:p>
    <w:p w14:paraId="538B9F1E">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13</w:t>
      </w:r>
      <w:r>
        <w:rPr>
          <w:rFonts w:hint="eastAsia" w:ascii="宋体" w:hAnsi="宋体" w:eastAsia="宋体" w:cs="宋体"/>
          <w:color w:val="auto"/>
          <w:sz w:val="22"/>
          <w:szCs w:val="22"/>
          <w:highlight w:val="none"/>
          <w:lang w:eastAsia="zh-CN"/>
        </w:rPr>
        <w:t>）售后服务要求</w:t>
      </w:r>
    </w:p>
    <w:p w14:paraId="7A45E2FD">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14</w:t>
      </w:r>
      <w:r>
        <w:rPr>
          <w:rFonts w:hint="eastAsia" w:ascii="宋体" w:hAnsi="宋体" w:eastAsia="宋体" w:cs="宋体"/>
          <w:color w:val="auto"/>
          <w:sz w:val="22"/>
          <w:szCs w:val="22"/>
          <w:highlight w:val="none"/>
          <w:lang w:eastAsia="zh-CN"/>
        </w:rPr>
        <w:t>）人员情况</w:t>
      </w:r>
    </w:p>
    <w:p w14:paraId="15512FD7">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15</w:t>
      </w:r>
      <w:r>
        <w:rPr>
          <w:rFonts w:hint="eastAsia" w:ascii="宋体" w:hAnsi="宋体" w:eastAsia="宋体" w:cs="宋体"/>
          <w:color w:val="auto"/>
          <w:sz w:val="22"/>
          <w:szCs w:val="22"/>
          <w:highlight w:val="none"/>
          <w:lang w:eastAsia="zh-CN"/>
        </w:rPr>
        <w:t>）保密承诺</w:t>
      </w:r>
    </w:p>
    <w:p w14:paraId="55320E69">
      <w:pPr>
        <w:snapToGrid w:val="0"/>
        <w:spacing w:line="4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16</w:t>
      </w:r>
      <w:r>
        <w:rPr>
          <w:rFonts w:hint="eastAsia" w:ascii="宋体" w:hAnsi="宋体" w:eastAsia="宋体" w:cs="宋体"/>
          <w:color w:val="auto"/>
          <w:sz w:val="22"/>
          <w:szCs w:val="22"/>
          <w:highlight w:val="none"/>
          <w:lang w:eastAsia="zh-CN"/>
        </w:rPr>
        <w:t>）投标人的业绩</w:t>
      </w:r>
    </w:p>
    <w:p w14:paraId="1F5AA8CD">
      <w:pPr>
        <w:snapToGrid w:val="0"/>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）其他必要提供的资料。</w:t>
      </w:r>
    </w:p>
    <w:p w14:paraId="314A9C6E">
      <w:pPr>
        <w:spacing w:line="460" w:lineRule="exact"/>
        <w:ind w:firstLine="440" w:firstLineChars="200"/>
        <w:rPr>
          <w:rFonts w:hint="eastAsia" w:ascii="宋体" w:hAnsi="宋体" w:eastAsia="宋体" w:cs="宋体"/>
          <w:b w:val="0"/>
          <w:bCs/>
          <w:color w:val="auto"/>
          <w:sz w:val="22"/>
          <w:szCs w:val="22"/>
          <w:highlight w:val="none"/>
          <w:lang w:val="zh-CN"/>
        </w:rPr>
      </w:pPr>
      <w:r>
        <w:rPr>
          <w:rFonts w:hint="eastAsia" w:ascii="宋体" w:hAnsi="宋体" w:eastAsia="宋体" w:cs="宋体"/>
          <w:b w:val="0"/>
          <w:bCs/>
          <w:color w:val="auto"/>
          <w:sz w:val="22"/>
          <w:szCs w:val="22"/>
          <w:highlight w:val="none"/>
          <w:lang w:val="zh-CN"/>
        </w:rPr>
        <w:t>投标文件中所需的各种证书、证件、证明资料如是复印件，须在复印件上加盖有效公章。</w:t>
      </w:r>
    </w:p>
    <w:p w14:paraId="20B62EFF">
      <w:pPr>
        <w:pStyle w:val="28"/>
        <w:snapToGrid w:val="0"/>
        <w:spacing w:line="460" w:lineRule="exact"/>
        <w:ind w:firstLine="440" w:firstLineChars="20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zh-CN"/>
        </w:rPr>
        <w:t>投标人的</w:t>
      </w:r>
      <w:r>
        <w:rPr>
          <w:rFonts w:hint="eastAsia" w:ascii="宋体" w:hAnsi="宋体" w:eastAsia="宋体" w:cs="宋体"/>
          <w:b w:val="0"/>
          <w:bCs/>
          <w:color w:val="auto"/>
          <w:sz w:val="22"/>
          <w:szCs w:val="22"/>
          <w:highlight w:val="none"/>
        </w:rPr>
        <w:t>投标文件必须按照招标文件要求制作。</w:t>
      </w:r>
    </w:p>
    <w:p w14:paraId="76BDD440">
      <w:pPr>
        <w:pStyle w:val="28"/>
        <w:snapToGrid w:val="0"/>
        <w:spacing w:line="46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 w:val="0"/>
          <w:bCs/>
          <w:color w:val="auto"/>
          <w:sz w:val="22"/>
          <w:szCs w:val="22"/>
          <w:highlight w:val="none"/>
        </w:rPr>
        <w:t>投标人可在招标文件中对招标货物的技术规格和要求选用替代标准，但这些替代标准必须相当于或优于招标文件中提出的相应要求，并使招标人满意，同时在技术偏离表中作出详细说明。</w:t>
      </w:r>
    </w:p>
    <w:p w14:paraId="72127903">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4、投标报价</w:t>
      </w:r>
    </w:p>
    <w:p w14:paraId="4CCCAC2F">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highlight w:val="none"/>
        </w:rPr>
        <w:t>4.1</w:t>
      </w:r>
      <w:r>
        <w:rPr>
          <w:rFonts w:hint="eastAsia" w:ascii="宋体" w:hAnsi="宋体" w:cs="宋体"/>
          <w:bCs/>
          <w:color w:val="auto"/>
          <w:sz w:val="22"/>
          <w:highlight w:val="none"/>
        </w:rPr>
        <w:t>投标报价是指投标人在正确地完全履行合同义务后采购人应支付给投标人所有的服务价款，即在承包区域内提供产品供货、运输、车辆、安装、拆除、调试、售后服务、维护费、服务费用（包含人员工资、加班工资、《劳动合同法》规定的各种社会保险费、人员食宿与交通、工具、办公费、车辆使用）及税金等完成合同所需的一切本身和不可或缺的所有工作开支、政策性文件规定合同包含的所有风险、责任等各项全部费用并承担一切风险责任，实行固定单价，数量按实结算，投标人应根据上述因素自行考虑含入投标报价中。</w:t>
      </w:r>
    </w:p>
    <w:p w14:paraId="73C22E9F">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4.2投标人必须按附件中的投标报价一览表、投标分项报价表内容填写价格，并由投标人代表签署。</w:t>
      </w:r>
    </w:p>
    <w:p w14:paraId="624C828E">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4.3</w:t>
      </w:r>
      <w:r>
        <w:rPr>
          <w:rFonts w:hint="eastAsia" w:ascii="宋体" w:hAnsi="宋体" w:eastAsia="宋体" w:cs="宋体"/>
          <w:b w:val="0"/>
          <w:bCs w:val="0"/>
          <w:color w:val="auto"/>
          <w:sz w:val="22"/>
          <w:highlight w:val="none"/>
        </w:rPr>
        <w:t>投标货币以人民币进行投标</w:t>
      </w:r>
      <w:r>
        <w:rPr>
          <w:rFonts w:hint="eastAsia" w:ascii="宋体" w:hAnsi="宋体" w:eastAsia="宋体" w:cs="宋体"/>
          <w:b w:val="0"/>
          <w:bCs w:val="0"/>
          <w:color w:val="auto"/>
          <w:sz w:val="22"/>
          <w:szCs w:val="22"/>
          <w:highlight w:val="none"/>
        </w:rPr>
        <w:t>。</w:t>
      </w:r>
    </w:p>
    <w:p w14:paraId="10D3A3C7">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4.4</w:t>
      </w:r>
      <w:r>
        <w:rPr>
          <w:rFonts w:hint="eastAsia" w:ascii="宋体" w:hAnsi="宋体" w:eastAsia="宋体" w:cs="宋体"/>
          <w:b w:val="0"/>
          <w:bCs w:val="0"/>
          <w:color w:val="auto"/>
          <w:sz w:val="22"/>
          <w:highlight w:val="none"/>
        </w:rPr>
        <w:t>招标人和招标代理机构不接受任何选择投标，对任何服务只允许一个价格。</w:t>
      </w:r>
    </w:p>
    <w:p w14:paraId="016DFC87">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4.5招标人和</w:t>
      </w:r>
      <w:r>
        <w:rPr>
          <w:rFonts w:hint="eastAsia" w:ascii="宋体" w:hAnsi="宋体" w:eastAsia="宋体" w:cs="宋体"/>
          <w:color w:val="auto"/>
          <w:sz w:val="22"/>
          <w:highlight w:val="none"/>
        </w:rPr>
        <w:t>招标代理机构</w:t>
      </w:r>
      <w:r>
        <w:rPr>
          <w:rFonts w:hint="eastAsia" w:ascii="宋体" w:hAnsi="宋体" w:eastAsia="宋体" w:cs="宋体"/>
          <w:color w:val="auto"/>
          <w:sz w:val="22"/>
          <w:szCs w:val="22"/>
          <w:highlight w:val="none"/>
        </w:rPr>
        <w:t>要求分类报价是为了方便评标，但在任何情况下不限制招标人以其认为最合适的条款、条件签订合同的权利。</w:t>
      </w:r>
    </w:p>
    <w:p w14:paraId="75A40558">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4.6投标报价报出后，投标人不得以任何理由予以变更。任何包含价格调整的要求，将被认为是非实质性响应投标而予以否决。</w:t>
      </w:r>
    </w:p>
    <w:p w14:paraId="3C3F045A">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b w:val="0"/>
          <w:bCs/>
          <w:color w:val="auto"/>
          <w:sz w:val="22"/>
          <w:szCs w:val="22"/>
          <w:highlight w:val="none"/>
        </w:rPr>
        <w:t>4.7最低报价不能作为中标的保证。</w:t>
      </w:r>
    </w:p>
    <w:p w14:paraId="55CDC314">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5、投标有效期</w:t>
      </w:r>
    </w:p>
    <w:p w14:paraId="4DAEEBD1">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5.1自开标之日起 120 天内投标应保持有效。</w:t>
      </w:r>
    </w:p>
    <w:p w14:paraId="67FA8553">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5.2特殊情况下，在原投标有效期截止前，招标人、招标代理机构可与投标人协商延长投标有效期，这种要求和答复均以书面形式进行。投标人可拒绝接受延期要求。同意延长投标有效期的投标人不得修改投标文件。</w:t>
      </w:r>
    </w:p>
    <w:p w14:paraId="5F5E2FA2">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6、投标保证金</w:t>
      </w:r>
    </w:p>
    <w:p w14:paraId="5F632285">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p w14:paraId="5643BA36">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7、投标文件编制</w:t>
      </w:r>
    </w:p>
    <w:p w14:paraId="2C01B23E">
      <w:pPr>
        <w:spacing w:line="460" w:lineRule="exact"/>
        <w:ind w:firstLine="539" w:firstLineChars="245"/>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z w:val="22"/>
          <w:szCs w:val="22"/>
          <w:highlight w:val="none"/>
          <w:u w:val="none"/>
        </w:rPr>
        <w:t>7.1本项目通过“政府采购云平台（http://zfcg.czt.zj.gov.cn）”实行在线投标响应（电子投标）。供应商应通过“政采云电子交易客户端”，并按照本招标文件和“政府采购云平台”的要求编制并加密投标文件。</w:t>
      </w:r>
    </w:p>
    <w:p w14:paraId="5327193D">
      <w:pPr>
        <w:spacing w:line="460" w:lineRule="exact"/>
        <w:ind w:firstLine="539" w:firstLineChars="245"/>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z w:val="22"/>
          <w:szCs w:val="22"/>
          <w:highlight w:val="none"/>
          <w:u w:val="none"/>
        </w:rPr>
        <w:t>7.2投标人应当按照本章节 “投标文件的构成”规定的内容及顺序在“政采云电子交易客户端”编制投标文件。其中《资格文件》和《商务技术文件》中不得出现本项目投标报价。</w:t>
      </w:r>
    </w:p>
    <w:p w14:paraId="044D6FA5">
      <w:pPr>
        <w:spacing w:line="460" w:lineRule="exact"/>
        <w:ind w:firstLine="539" w:firstLineChars="245"/>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z w:val="22"/>
          <w:szCs w:val="22"/>
          <w:highlight w:val="none"/>
          <w:u w:val="none"/>
        </w:rPr>
        <w:t>7.3本文件《第三部分  附件》中有提供格式的，投标人须参照格式进行编制（格式中要求提供相关证明材料的还需后附相关证明材料），并按格式要求在指定位置根据要求进行签章，否则视为未提供；本文件《第三部分  附件》未提供格式的，请各投标人自行拟定格式，并加盖单位公章并由法定代表人或其授权代表签署（签字或盖章），否则视为未提供。</w:t>
      </w:r>
    </w:p>
    <w:p w14:paraId="3AD11685">
      <w:pPr>
        <w:spacing w:line="460" w:lineRule="exact"/>
        <w:ind w:firstLine="539" w:firstLineChars="245"/>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z w:val="22"/>
          <w:szCs w:val="22"/>
          <w:highlight w:val="none"/>
          <w:u w:val="none"/>
        </w:rPr>
        <w:t>7.4《投标文件》内容不完整、编排混乱导致《投标文件》被误读、漏读或者查找不到相关内容的，投标人自行负责。</w:t>
      </w:r>
    </w:p>
    <w:p w14:paraId="3C6B5D27">
      <w:pPr>
        <w:spacing w:line="460" w:lineRule="exact"/>
        <w:ind w:firstLine="539" w:firstLineChars="245"/>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z w:val="22"/>
          <w:szCs w:val="22"/>
          <w:highlight w:val="none"/>
          <w:u w:val="none"/>
        </w:rPr>
        <w:t>7.5《投标文件》因字迹潦草或表达不清所引起的后果由投标人负责。</w:t>
      </w:r>
    </w:p>
    <w:p w14:paraId="3F8461D2">
      <w:pPr>
        <w:spacing w:line="460" w:lineRule="exact"/>
        <w:ind w:firstLine="539" w:firstLineChars="245"/>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z w:val="22"/>
          <w:szCs w:val="22"/>
          <w:highlight w:val="none"/>
          <w:u w:val="none"/>
        </w:rPr>
        <w:t>7.6投标人没有按照本章节 “投标文件的构成”要求提供全部资料，或者没有仔细阅读招标文件，或者没有对招标文件在各方面的要求作出实质性响应是投标人的风险，由此造成的一切后果由投标人自行承担。</w:t>
      </w:r>
    </w:p>
    <w:p w14:paraId="6EB8DB12">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8、投标文件的签章</w:t>
      </w:r>
    </w:p>
    <w:p w14:paraId="6B3D9E43">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8.1《投标文件》的签章：见《前附表》；</w:t>
      </w:r>
    </w:p>
    <w:p w14:paraId="152C8A62">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8.2《投标文件》应由投标人法定代表人或其授权代表签字（或盖章），并时加盖投标人公章。</w:t>
      </w:r>
    </w:p>
    <w:p w14:paraId="7833B536">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8.3电子签章操作指南详见采购公告附件《供应商项目采购-电子招投标操作指南》。</w:t>
      </w:r>
    </w:p>
    <w:p w14:paraId="4B1F1D1A">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9、投标文件的形式</w:t>
      </w:r>
    </w:p>
    <w:p w14:paraId="1570A2FC">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9.1投标文件的形式：见《前附表》；</w:t>
      </w:r>
    </w:p>
    <w:p w14:paraId="49C77F43">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9.2“电子加密投标文件”：“电子加密投标文件”是指通过“政采云电子交易客户端”完成投标文件编制后生成并加密的数据电文形式的投标文件。</w:t>
      </w:r>
    </w:p>
    <w:p w14:paraId="7A600B4C">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9.3“备份投标文件”：“备份投标文件”是指与“电子加密投标文件”同时生成的数据电文形式的电子文件（备份标书），其他方式编制的“备份投标文件”视为无效的“备份投标文件”。</w:t>
      </w:r>
    </w:p>
    <w:p w14:paraId="30065C83">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10、投标文件的份数</w:t>
      </w:r>
    </w:p>
    <w:p w14:paraId="6627ED7F">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b w:val="0"/>
          <w:bCs w:val="0"/>
          <w:color w:val="auto"/>
          <w:sz w:val="22"/>
          <w:szCs w:val="22"/>
          <w:highlight w:val="none"/>
        </w:rPr>
        <w:t>10.1投标文件的份数：见《前附表》。</w:t>
      </w:r>
    </w:p>
    <w:p w14:paraId="06B0567A">
      <w:pPr>
        <w:spacing w:before="100" w:beforeAutospacing="1" w:after="100" w:afterAutospacing="1" w:line="440" w:lineRule="exact"/>
        <w:jc w:val="center"/>
        <w:outlineLvl w:val="1"/>
        <w:rPr>
          <w:rFonts w:hint="eastAsia" w:ascii="宋体" w:hAnsi="宋体" w:eastAsia="宋体" w:cs="宋体"/>
          <w:b/>
          <w:bCs/>
          <w:color w:val="auto"/>
          <w:sz w:val="22"/>
          <w:szCs w:val="22"/>
          <w:highlight w:val="none"/>
        </w:rPr>
      </w:pPr>
      <w:bookmarkStart w:id="16" w:name="_Toc15422"/>
      <w:bookmarkStart w:id="17" w:name="_Toc4771"/>
      <w:r>
        <w:rPr>
          <w:rFonts w:hint="eastAsia" w:ascii="宋体" w:hAnsi="宋体" w:eastAsia="宋体" w:cs="宋体"/>
          <w:b/>
          <w:bCs/>
          <w:color w:val="auto"/>
          <w:sz w:val="22"/>
          <w:szCs w:val="22"/>
          <w:highlight w:val="none"/>
        </w:rPr>
        <w:t>四、 投标文件的递交</w:t>
      </w:r>
      <w:bookmarkEnd w:id="16"/>
      <w:bookmarkEnd w:id="17"/>
    </w:p>
    <w:p w14:paraId="5F631070">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1、投标文件的上传和递交</w:t>
      </w:r>
    </w:p>
    <w:p w14:paraId="6EC7BCD1">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1.1“投标文件”的上传、递交：见《前附表》。</w:t>
      </w:r>
    </w:p>
    <w:p w14:paraId="6DEFC039">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2、“电子加密投标文件”解密和异常情况处理</w:t>
      </w:r>
    </w:p>
    <w:p w14:paraId="3D5C7E7E">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2.1“电子加密投标文件”解密：见《前附表》。</w:t>
      </w:r>
    </w:p>
    <w:p w14:paraId="21D6463C">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3、投标文件的补充、修改或撤回</w:t>
      </w:r>
    </w:p>
    <w:p w14:paraId="2B9E3207">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40D931BC">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3.2投标截止时间后，投标人不得撤回、修改《投标文件》。</w:t>
      </w:r>
    </w:p>
    <w:p w14:paraId="033873B7">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4、投标文件的备选方案</w:t>
      </w:r>
    </w:p>
    <w:p w14:paraId="7D60BD4C">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4.1投标人不得递交任何的投标备选（替代）方案，否则其投标文件将作无效标处理。与“电子加密投标文件”同时生成的“备份投标文件”不是投标备选（替代）方案。</w:t>
      </w:r>
    </w:p>
    <w:p w14:paraId="30DE10F4">
      <w:pPr>
        <w:spacing w:before="100" w:beforeAutospacing="1" w:after="100" w:afterAutospacing="1" w:line="460" w:lineRule="exact"/>
        <w:jc w:val="center"/>
        <w:outlineLvl w:val="1"/>
        <w:rPr>
          <w:rFonts w:hint="eastAsia" w:ascii="宋体" w:hAnsi="宋体" w:eastAsia="宋体" w:cs="宋体"/>
          <w:b/>
          <w:bCs/>
          <w:color w:val="auto"/>
          <w:sz w:val="22"/>
          <w:szCs w:val="22"/>
          <w:highlight w:val="none"/>
        </w:rPr>
      </w:pPr>
      <w:bookmarkStart w:id="18" w:name="_Toc30172"/>
      <w:bookmarkStart w:id="19" w:name="_Toc29709"/>
      <w:r>
        <w:rPr>
          <w:rFonts w:hint="eastAsia" w:ascii="宋体" w:hAnsi="宋体" w:eastAsia="宋体" w:cs="宋体"/>
          <w:b/>
          <w:bCs/>
          <w:color w:val="auto"/>
          <w:sz w:val="22"/>
          <w:szCs w:val="22"/>
          <w:highlight w:val="none"/>
        </w:rPr>
        <w:t>五、 开标和评标</w:t>
      </w:r>
      <w:bookmarkEnd w:id="18"/>
      <w:bookmarkEnd w:id="19"/>
    </w:p>
    <w:p w14:paraId="1DCD8C50">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1、评标委员会</w:t>
      </w:r>
    </w:p>
    <w:p w14:paraId="7CAA65AD">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bCs/>
          <w:color w:val="auto"/>
          <w:sz w:val="22"/>
          <w:szCs w:val="22"/>
          <w:highlight w:val="none"/>
        </w:rPr>
        <w:t>招标人和招标代理机构组建评标委员会。评标委员会的成员在评标过程中必须严格遵守《政府采购法》等有关法律、法规的规定。</w:t>
      </w:r>
    </w:p>
    <w:p w14:paraId="602887A2">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2、评标过程的保密性</w:t>
      </w:r>
    </w:p>
    <w:p w14:paraId="0D8DA4FF">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开标后直至向中标人授予合同时止，凡与评审有关的资料均不得向投标人及与评标无关人员透露。如果投标人在评标过程中试图向招标人和招标代理机构施加影响，其投标将被拒绝。</w:t>
      </w:r>
    </w:p>
    <w:p w14:paraId="6953D281">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3、开标形式</w:t>
      </w:r>
    </w:p>
    <w:p w14:paraId="6E6F0A26">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采购组织机构将按照招标文件规定的时间通过“政府采购云平台”组织开标、开启投标文件，所有供应商均应当准时(在线)参加。</w:t>
      </w:r>
    </w:p>
    <w:p w14:paraId="12E8466A">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4、开标准备</w:t>
      </w:r>
    </w:p>
    <w:p w14:paraId="7E723C82">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4.1开标的准备工作由采购组织机构负责落实；</w:t>
      </w:r>
    </w:p>
    <w:p w14:paraId="6690C855">
      <w:pPr>
        <w:spacing w:line="460" w:lineRule="exact"/>
        <w:ind w:firstLine="539" w:firstLineChars="245"/>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4.2</w:t>
      </w:r>
      <w:r>
        <w:rPr>
          <w:rFonts w:hint="eastAsia" w:ascii="宋体" w:hAnsi="宋体" w:eastAsia="宋体" w:cs="宋体"/>
          <w:b w:val="0"/>
          <w:bCs w:val="0"/>
          <w:color w:val="auto"/>
          <w:sz w:val="22"/>
          <w:szCs w:val="22"/>
          <w:highlight w:val="none"/>
        </w:rPr>
        <w:t>采购组织机构将按照招标文件规定的时间通过“政府采购云平台”组织开标、开启投标文件，所有供应商均应当准时(在线)参加。</w:t>
      </w:r>
      <w:r>
        <w:rPr>
          <w:rFonts w:hint="eastAsia" w:ascii="宋体" w:hAnsi="宋体" w:eastAsia="宋体" w:cs="宋体"/>
          <w:b w:val="0"/>
          <w:bCs w:val="0"/>
          <w:color w:val="auto"/>
          <w:kern w:val="0"/>
          <w:sz w:val="22"/>
          <w:szCs w:val="22"/>
          <w:highlight w:val="none"/>
        </w:rPr>
        <w:t>投标人如不参加开标大会的，视同认可开标结果，事后不得对采购相关人员、开标过程和开标结果提出异议，同时投标人因未在线参加开标而导致投标文件无法按时解密等一切后果由供应商自己承担。</w:t>
      </w:r>
    </w:p>
    <w:p w14:paraId="42CB540C">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5、开标流程</w:t>
      </w:r>
    </w:p>
    <w:p w14:paraId="03BD7943">
      <w:pPr>
        <w:spacing w:line="460" w:lineRule="exact"/>
        <w:ind w:firstLine="539" w:firstLineChars="245"/>
        <w:rPr>
          <w:rFonts w:hint="eastAsia" w:ascii="宋体" w:hAnsi="宋体" w:eastAsia="宋体" w:cs="宋体"/>
          <w:b w:val="0"/>
          <w:bCs/>
          <w:color w:val="auto"/>
          <w:kern w:val="0"/>
          <w:sz w:val="22"/>
          <w:szCs w:val="22"/>
          <w:highlight w:val="none"/>
        </w:rPr>
      </w:pPr>
      <w:r>
        <w:rPr>
          <w:rFonts w:hint="eastAsia" w:ascii="宋体" w:hAnsi="宋体" w:eastAsia="宋体" w:cs="宋体"/>
          <w:b w:val="0"/>
          <w:bCs/>
          <w:color w:val="auto"/>
          <w:kern w:val="0"/>
          <w:sz w:val="22"/>
          <w:szCs w:val="22"/>
          <w:highlight w:val="none"/>
        </w:rPr>
        <w:t>5.1开标、评标</w:t>
      </w:r>
    </w:p>
    <w:p w14:paraId="0D3DCB00">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（1）向各投标人发出电子加密投标文件【开始解密】通知，由供应商按招标文件规定的时间内自行进行投标文件解密。投标人在规定的时间内无法完成已递交的“电子加密投标文件”解密的，如已按规 定递交了备份投标文件的，将由采购组织机构按“政府采购云平台”操作规范将备份投标文件上传至“政府采购云平台”，上传成功后，“电子加密投标文件”自动失效；</w:t>
      </w:r>
    </w:p>
    <w:p w14:paraId="2910BD82">
      <w:pPr>
        <w:spacing w:line="460" w:lineRule="exact"/>
        <w:ind w:firstLine="539" w:firstLineChars="245"/>
        <w:rPr>
          <w:rFonts w:hint="eastAsia" w:ascii="宋体" w:hAnsi="宋体" w:eastAsia="宋体" w:cs="宋体"/>
          <w:color w:val="auto"/>
          <w:highlight w:val="none"/>
        </w:rPr>
      </w:pPr>
      <w:r>
        <w:rPr>
          <w:rFonts w:hint="eastAsia" w:ascii="宋体" w:hAnsi="宋体" w:eastAsia="宋体" w:cs="宋体"/>
          <w:bCs/>
          <w:color w:val="auto"/>
          <w:sz w:val="22"/>
          <w:szCs w:val="22"/>
          <w:highlight w:val="none"/>
        </w:rPr>
        <w:t>投标人不足3家的，不得开标。</w:t>
      </w:r>
    </w:p>
    <w:p w14:paraId="760B7E6E">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（2）解密成功后，开启投标人的《报价文件》，由供应商对自己报价文件相关内容进行签字确认，（不予确认的应说明理由，否则视为无异议）。</w:t>
      </w:r>
    </w:p>
    <w:p w14:paraId="0E6D1A1B">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（3）开启《投标文件》，进入资格审查；</w:t>
      </w:r>
      <w:r>
        <w:rPr>
          <w:rFonts w:hint="eastAsia" w:ascii="宋体" w:hAnsi="宋体" w:eastAsia="宋体" w:cs="宋体"/>
          <w:bCs/>
          <w:color w:val="auto"/>
          <w:sz w:val="22"/>
          <w:szCs w:val="22"/>
          <w:highlight w:val="none"/>
        </w:rPr>
        <w:t>合格投标人不足3家的，不得评标。</w:t>
      </w:r>
    </w:p>
    <w:p w14:paraId="705BD4CD">
      <w:pPr>
        <w:spacing w:line="460" w:lineRule="exact"/>
        <w:ind w:firstLine="539" w:firstLineChars="245"/>
        <w:rPr>
          <w:rFonts w:hint="eastAsia" w:ascii="宋体" w:hAnsi="宋体" w:eastAsia="宋体" w:cs="宋体"/>
          <w:b w:val="0"/>
          <w:bCs/>
          <w:color w:val="auto"/>
          <w:kern w:val="0"/>
          <w:sz w:val="22"/>
          <w:szCs w:val="22"/>
          <w:highlight w:val="none"/>
        </w:rPr>
      </w:pPr>
      <w:r>
        <w:rPr>
          <w:rFonts w:hint="eastAsia" w:ascii="宋体" w:hAnsi="宋体" w:eastAsia="宋体" w:cs="宋体"/>
          <w:b w:val="0"/>
          <w:bCs/>
          <w:color w:val="auto"/>
          <w:kern w:val="0"/>
          <w:sz w:val="22"/>
          <w:szCs w:val="22"/>
          <w:highlight w:val="none"/>
        </w:rPr>
        <w:t>备注：开标大会的结束后，招标人或采购代理机构将对依法对投标人的资格进行审查，资格审查结束后进入符合性审查和商务技术的评审工作，具体见本章节“投标人资格审查”相关规定。</w:t>
      </w:r>
    </w:p>
    <w:p w14:paraId="2EF49732">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color w:val="auto"/>
          <w:kern w:val="0"/>
          <w:sz w:val="22"/>
          <w:szCs w:val="22"/>
          <w:highlight w:val="none"/>
        </w:rPr>
        <w:t>（4）开启资格审查通过的投标人的商务技术文件进入符合性审查，</w:t>
      </w:r>
      <w:r>
        <w:rPr>
          <w:rFonts w:hint="eastAsia" w:ascii="宋体" w:hAnsi="宋体" w:eastAsia="宋体" w:cs="宋体"/>
          <w:bCs/>
          <w:color w:val="auto"/>
          <w:sz w:val="22"/>
          <w:szCs w:val="22"/>
          <w:highlight w:val="none"/>
        </w:rPr>
        <w:t>以确定其是否满足招标文件的实质性要求，合格投标人不足3家的，不得评标。</w:t>
      </w:r>
    </w:p>
    <w:p w14:paraId="0F207B17">
      <w:pPr>
        <w:spacing w:line="460" w:lineRule="exact"/>
        <w:ind w:firstLine="541" w:firstLineChars="245"/>
        <w:rPr>
          <w:rFonts w:hint="eastAsia" w:ascii="宋体" w:hAnsi="宋体" w:eastAsia="宋体" w:cs="宋体"/>
          <w:bCs/>
          <w:color w:val="auto"/>
          <w:sz w:val="22"/>
          <w:szCs w:val="22"/>
          <w:highlight w:val="none"/>
        </w:rPr>
      </w:pPr>
      <w:r>
        <w:rPr>
          <w:rFonts w:hint="eastAsia" w:ascii="宋体" w:hAnsi="宋体" w:eastAsia="宋体" w:cs="宋体"/>
          <w:b/>
          <w:bCs w:val="0"/>
          <w:color w:val="auto"/>
          <w:sz w:val="22"/>
          <w:szCs w:val="22"/>
          <w:highlight w:val="none"/>
        </w:rPr>
        <w:t>没有满足招标文件的实质性要求的投标作无效标处理。</w:t>
      </w:r>
      <w:r>
        <w:rPr>
          <w:rFonts w:hint="eastAsia" w:ascii="宋体" w:hAnsi="宋体" w:eastAsia="宋体" w:cs="宋体"/>
          <w:bCs/>
          <w:color w:val="auto"/>
          <w:sz w:val="22"/>
          <w:szCs w:val="22"/>
          <w:highlight w:val="none"/>
        </w:rPr>
        <w:t>评标委员会决定投标的实质性要求只根据投标文件本身的内容，而不寻求外部的证据。投标人不得通过修正或撤消不合要求的偏离或保留从而使其投标成为实质上响应的投标。</w:t>
      </w:r>
    </w:p>
    <w:p w14:paraId="116B84C9">
      <w:pPr>
        <w:spacing w:line="460" w:lineRule="exact"/>
        <w:ind w:firstLine="539" w:firstLineChars="245"/>
        <w:rPr>
          <w:rFonts w:hint="eastAsia" w:ascii="宋体" w:hAnsi="宋体" w:eastAsia="宋体" w:cs="宋体"/>
          <w:color w:val="auto"/>
          <w:highlight w:val="none"/>
        </w:rPr>
      </w:pPr>
      <w:r>
        <w:rPr>
          <w:rFonts w:hint="eastAsia" w:ascii="宋体" w:hAnsi="宋体" w:eastAsia="宋体" w:cs="宋体"/>
          <w:bCs/>
          <w:color w:val="auto"/>
          <w:sz w:val="22"/>
          <w:szCs w:val="22"/>
          <w:highlight w:val="none"/>
        </w:rPr>
        <w:t>（5）对通过资格审查、符合性审查的合格供应商进行商务技术部分的评审。</w:t>
      </w:r>
    </w:p>
    <w:p w14:paraId="5B7FD3B1">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（6）评标委员会对报价的合理性、准确性等进行审查核实。</w:t>
      </w:r>
    </w:p>
    <w:p w14:paraId="3B5CFF39">
      <w:pPr>
        <w:spacing w:line="460" w:lineRule="exact"/>
        <w:ind w:firstLine="539" w:firstLineChars="245"/>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（7）评审结束后，公布中标（成交）候选供应商名单及招标人最终确定中标或成交供应商名单的时间和公告方式等，未在场的投标人通过发送邮件形式通知。</w:t>
      </w:r>
    </w:p>
    <w:p w14:paraId="3311E53B">
      <w:pPr>
        <w:spacing w:line="460" w:lineRule="exact"/>
        <w:ind w:firstLine="541" w:firstLineChars="245"/>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特别说明：如遇“政府采购云平台”电子化开标或评审程序调整的，按调整后程序执行。</w:t>
      </w:r>
    </w:p>
    <w:p w14:paraId="421FE82A">
      <w:pPr>
        <w:spacing w:line="460" w:lineRule="exact"/>
        <w:ind w:firstLine="539" w:firstLineChars="245"/>
        <w:rPr>
          <w:rFonts w:hint="eastAsia" w:ascii="宋体" w:hAnsi="宋体" w:eastAsia="宋体" w:cs="宋体"/>
          <w:color w:val="auto"/>
          <w:sz w:val="22"/>
          <w:szCs w:val="22"/>
          <w:highlight w:val="none"/>
        </w:rPr>
      </w:pPr>
      <w:bookmarkStart w:id="20" w:name="_Toc24550037"/>
      <w:bookmarkStart w:id="21" w:name="_Toc33194393"/>
      <w:r>
        <w:rPr>
          <w:rFonts w:hint="eastAsia" w:ascii="宋体" w:hAnsi="宋体" w:eastAsia="宋体" w:cs="宋体"/>
          <w:color w:val="auto"/>
          <w:sz w:val="22"/>
          <w:szCs w:val="22"/>
          <w:highlight w:val="none"/>
        </w:rPr>
        <w:t>6、投标人资格审查</w:t>
      </w:r>
      <w:bookmarkEnd w:id="20"/>
      <w:bookmarkEnd w:id="21"/>
    </w:p>
    <w:p w14:paraId="2947C740">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6.1开标大会结束后，招标人或采购代理机构首先依法对各投标人的资格进行审查，审查各投标人的资格是否满足招标文件的要求。招</w:t>
      </w:r>
      <w:r>
        <w:rPr>
          <w:rFonts w:hint="eastAsia" w:ascii="宋体" w:hAnsi="宋体" w:eastAsia="宋体" w:cs="宋体"/>
          <w:color w:val="auto"/>
          <w:sz w:val="22"/>
          <w:szCs w:val="22"/>
          <w:highlight w:val="none"/>
        </w:rPr>
        <w:t>标人或采购代理机构对投标人所提交的资格证明材料仅负审核的责任。如发现投标人所提交的资格证明材料不合法或与事实不符，招标人可取消其中标资格并追究投标人的法律责任。</w:t>
      </w:r>
    </w:p>
    <w:p w14:paraId="098D9F17">
      <w:pPr>
        <w:spacing w:line="460" w:lineRule="exact"/>
        <w:ind w:firstLine="539" w:firstLineChars="245"/>
        <w:rPr>
          <w:rFonts w:hint="eastAsia" w:ascii="宋体" w:hAnsi="宋体" w:eastAsia="宋体" w:cs="宋体"/>
          <w:b w:val="0"/>
          <w:bCs/>
          <w:color w:val="auto"/>
          <w:kern w:val="0"/>
          <w:sz w:val="22"/>
          <w:szCs w:val="22"/>
          <w:highlight w:val="none"/>
        </w:rPr>
      </w:pPr>
      <w:r>
        <w:rPr>
          <w:rFonts w:hint="eastAsia" w:ascii="宋体" w:hAnsi="宋体" w:eastAsia="宋体" w:cs="宋体"/>
          <w:b w:val="0"/>
          <w:bCs/>
          <w:color w:val="auto"/>
          <w:sz w:val="22"/>
          <w:szCs w:val="22"/>
          <w:highlight w:val="none"/>
        </w:rPr>
        <w:t>6.2投标人提交的资格证明材料无法证明其符合招标文件规定的“投标人资格要求”的，招标人或采购代理机构</w:t>
      </w:r>
      <w:r>
        <w:rPr>
          <w:rFonts w:hint="eastAsia" w:ascii="宋体" w:hAnsi="宋体" w:eastAsia="宋体" w:cs="宋体"/>
          <w:b w:val="0"/>
          <w:bCs/>
          <w:color w:val="auto"/>
          <w:kern w:val="0"/>
          <w:sz w:val="22"/>
          <w:szCs w:val="22"/>
          <w:highlight w:val="none"/>
        </w:rPr>
        <w:t>将对其作资格审查不通过处理（无效投标），并不再将其投标提交评标委员会进行后续评审。</w:t>
      </w:r>
    </w:p>
    <w:p w14:paraId="2A18CC03">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6</w:t>
      </w:r>
      <w:r>
        <w:rPr>
          <w:rFonts w:hint="eastAsia" w:ascii="宋体" w:hAnsi="宋体" w:eastAsia="宋体" w:cs="宋体"/>
          <w:b w:val="0"/>
          <w:bCs/>
          <w:color w:val="auto"/>
          <w:kern w:val="0"/>
          <w:sz w:val="22"/>
          <w:szCs w:val="22"/>
          <w:highlight w:val="none"/>
        </w:rPr>
        <w:t>.3单位负责人为同一人或者存在直接控股、管理关系的不同供应商参加同一合同项下的政府采购活动的，相关投标人均作资格无效处理。</w:t>
      </w:r>
    </w:p>
    <w:p w14:paraId="60227ED5">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7、评标委员按照招标文件中规定的评标方法和标准，对投标文件进行商务和技术评估，综合比较与评价。</w:t>
      </w:r>
    </w:p>
    <w:p w14:paraId="7B1D7CC1">
      <w:pPr>
        <w:spacing w:line="460" w:lineRule="exact"/>
        <w:ind w:firstLine="541" w:firstLineChars="245"/>
        <w:rPr>
          <w:rFonts w:hint="eastAsia" w:ascii="宋体" w:hAnsi="宋体" w:eastAsia="宋体" w:cs="宋体"/>
          <w:b/>
          <w:color w:val="auto"/>
          <w:sz w:val="22"/>
          <w:szCs w:val="22"/>
          <w:highlight w:val="none"/>
          <w:u w:val="single"/>
        </w:rPr>
      </w:pPr>
      <w:r>
        <w:rPr>
          <w:rFonts w:hint="eastAsia" w:ascii="宋体" w:hAnsi="宋体" w:eastAsia="宋体" w:cs="宋体"/>
          <w:b/>
          <w:color w:val="auto"/>
          <w:sz w:val="22"/>
          <w:szCs w:val="22"/>
          <w:highlight w:val="none"/>
          <w:u w:val="single"/>
        </w:rPr>
        <w:t>8、投标人存在下列情况之一的，投标无效：</w:t>
      </w:r>
    </w:p>
    <w:p w14:paraId="7A7BA000">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（1）投标文件未按招标文件要求签署、盖章的；</w:t>
      </w:r>
    </w:p>
    <w:p w14:paraId="317BA661">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（2）不具备招标文件中规定的资格要求的； </w:t>
      </w:r>
    </w:p>
    <w:p w14:paraId="1E5E1E2C">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（3）明显不符合招标文件中主要技术规格、技术标准的；</w:t>
      </w:r>
    </w:p>
    <w:p w14:paraId="46B00EEA">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（4）投标文件内容不全或关键字迹模糊无法辨认的；</w:t>
      </w:r>
    </w:p>
    <w:p w14:paraId="4FE5CFD0">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（5）报价超过招标文件中规定的预算金额的；</w:t>
      </w:r>
    </w:p>
    <w:p w14:paraId="6223F939">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（6）投标人代表没有法定代表人合法、有效委托的；</w:t>
      </w:r>
    </w:p>
    <w:p w14:paraId="7374B9A9">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（7）投标文件存在一个或一个以上备选（替代）投标方案的；</w:t>
      </w:r>
    </w:p>
    <w:p w14:paraId="12A0DBC8">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（8）仅提交“备份投标文件”的；</w:t>
      </w:r>
    </w:p>
    <w:p w14:paraId="49B06EE3">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（9）投标文件含有招标人不能接受的附加条件的；</w:t>
      </w:r>
    </w:p>
    <w:p w14:paraId="775BF0BA">
      <w:pPr>
        <w:spacing w:line="460" w:lineRule="exact"/>
        <w:ind w:firstLine="539" w:firstLineChars="2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（10）法律、法规和招标文件规定的其他无效情形。</w:t>
      </w:r>
    </w:p>
    <w:p w14:paraId="0DD79EA4">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9、有下列情形之一的，视为投标人串通投标，其投标无效</w:t>
      </w:r>
    </w:p>
    <w:p w14:paraId="317E550E">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（1）不同投标人的投标文件由同一单位或者个人编制；</w:t>
      </w:r>
    </w:p>
    <w:p w14:paraId="5723454D">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（2）不同投标人委托同一单位或者个人办理投标事宜；</w:t>
      </w:r>
    </w:p>
    <w:p w14:paraId="4AB7533E">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（3）不同投标人的投标文件载明的项目管理成员或者联系人员为同一人；</w:t>
      </w:r>
    </w:p>
    <w:p w14:paraId="6EC26750">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（4）不同投标人的投标文件异常一致或者投标报价呈规律性差异；</w:t>
      </w:r>
    </w:p>
    <w:p w14:paraId="7941868D">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（5）不同投标人的投标文件相互混装。</w:t>
      </w:r>
    </w:p>
    <w:p w14:paraId="5F15C4EB">
      <w:pPr>
        <w:spacing w:line="460" w:lineRule="exact"/>
        <w:ind w:firstLine="539" w:firstLineChars="245"/>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不同投标</w:t>
      </w:r>
      <w:r>
        <w:rPr>
          <w:rFonts w:hint="eastAsia" w:ascii="宋体" w:hAnsi="宋体" w:cs="宋体"/>
          <w:color w:val="auto"/>
          <w:sz w:val="22"/>
          <w:szCs w:val="22"/>
          <w:highlight w:val="none"/>
          <w:lang w:val="en-US" w:eastAsia="zh-CN"/>
        </w:rPr>
        <w:t>人</w:t>
      </w:r>
      <w:r>
        <w:rPr>
          <w:rFonts w:hint="eastAsia" w:ascii="宋体" w:hAnsi="宋体" w:eastAsia="宋体" w:cs="宋体"/>
          <w:color w:val="auto"/>
          <w:sz w:val="22"/>
          <w:szCs w:val="22"/>
          <w:highlight w:val="none"/>
        </w:rPr>
        <w:t>的 IP、MAC、硬件信息相同、响应文件细节错误一致且无合理解释等情形</w:t>
      </w:r>
      <w:r>
        <w:rPr>
          <w:rFonts w:hint="eastAsia" w:ascii="宋体" w:hAnsi="宋体" w:cs="宋体"/>
          <w:color w:val="auto"/>
          <w:sz w:val="22"/>
          <w:szCs w:val="22"/>
          <w:highlight w:val="none"/>
          <w:lang w:eastAsia="zh-CN"/>
        </w:rPr>
        <w:t>；</w:t>
      </w:r>
    </w:p>
    <w:p w14:paraId="3E3A355E">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不同投标</w:t>
      </w:r>
      <w:r>
        <w:rPr>
          <w:rFonts w:hint="eastAsia" w:ascii="宋体" w:hAnsi="宋体" w:cs="宋体"/>
          <w:color w:val="auto"/>
          <w:sz w:val="22"/>
          <w:szCs w:val="22"/>
          <w:highlight w:val="none"/>
          <w:lang w:val="en-US" w:eastAsia="zh-CN"/>
        </w:rPr>
        <w:t>人</w:t>
      </w:r>
      <w:r>
        <w:rPr>
          <w:rFonts w:hint="eastAsia" w:ascii="宋体" w:hAnsi="宋体" w:eastAsia="宋体" w:cs="宋体"/>
          <w:color w:val="auto"/>
          <w:sz w:val="22"/>
          <w:szCs w:val="22"/>
          <w:highlight w:val="none"/>
        </w:rPr>
        <w:t>的电子投标(响应)文件上传时的手机号信息相同且无法合理解释的。</w:t>
      </w:r>
    </w:p>
    <w:p w14:paraId="32B116E1">
      <w:pPr>
        <w:spacing w:line="460" w:lineRule="exact"/>
        <w:ind w:firstLine="541" w:firstLineChars="245"/>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10、投标文件报价出现前后不一致的，按照下列规定修正：</w:t>
      </w:r>
    </w:p>
    <w:p w14:paraId="1781E005">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（1）系统上传的投标文件中开标一览表（报价表）（加盖公章）内容与投标文件中相应内容不一致的，以系统上传的投标文件中开标一览表（报价表）（加盖公章）为准；</w:t>
      </w:r>
    </w:p>
    <w:p w14:paraId="495E4EBE">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（2）大写金额和小写金额不一致的，以大写金额为准；</w:t>
      </w:r>
    </w:p>
    <w:p w14:paraId="5BFEAD54">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（3）单价金额小数点或者百分比有明显错位的，以开标一览表的总价为准，并修改单价；</w:t>
      </w:r>
    </w:p>
    <w:p w14:paraId="55E792B7">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（4）总价金额与按单价汇总金额不一致的，以单价金额计算结果为准。</w:t>
      </w:r>
    </w:p>
    <w:p w14:paraId="1C0C6E12">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同时出现两种以上不一致的，按照前款规定的顺序修正。修正后的报价按照本小节第12条第12.2款的规定经投标人确认后产生约束力，投标人不确认的，其投标无效。</w:t>
      </w:r>
    </w:p>
    <w:p w14:paraId="24CDA724">
      <w:pPr>
        <w:spacing w:line="460" w:lineRule="exact"/>
        <w:ind w:firstLine="759" w:firstLineChars="3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11、标委员会成员对需要共同认定的事项存在争议的，应当按照少数服从多数的原则作出结论。持不同意见的评标委员会成员应当在评标报告上签署不同意见及理由，否则视为同意评标报告。</w:t>
      </w:r>
    </w:p>
    <w:p w14:paraId="47BAC11F">
      <w:pPr>
        <w:spacing w:line="460" w:lineRule="exact"/>
        <w:ind w:firstLine="759" w:firstLineChars="3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12、投标文件的澄清</w:t>
      </w:r>
    </w:p>
    <w:p w14:paraId="00CB6303">
      <w:pPr>
        <w:spacing w:line="460" w:lineRule="exact"/>
        <w:ind w:firstLine="759" w:firstLineChars="3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12.1在评标期间，评标委员会可要求投标人对于投标文件中含义不明确、同类问题表述不一致或者有明显文字和计算错误的内容，评标委员会应当以书面形式（或通过“政府采购云平台”在线询标）要求投标人在规定的时间内作出必要的澄清、说明或者补正。投标人澄清、说明或补正时间为30分钟。</w:t>
      </w:r>
    </w:p>
    <w:p w14:paraId="43CE9C06">
      <w:pPr>
        <w:spacing w:line="460" w:lineRule="exact"/>
        <w:ind w:firstLine="759" w:firstLineChars="34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12.2投标人的澄清、说明或者补正应当采用书面形式（或通过“政府采购云平台”在线答复），并加盖公章，或者由法定代表人或其授权的代表签字。投标人的澄清、说明或者补正不得超出投标文件的范围或者改变投标文件的实质性内容。</w:t>
      </w:r>
    </w:p>
    <w:p w14:paraId="5F42BA6C">
      <w:pPr>
        <w:spacing w:line="460" w:lineRule="exact"/>
        <w:ind w:firstLine="759" w:firstLineChars="3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拒不按要求对其投标文件进行澄清，说明或补正的投标人，评标委员会可以否决其投标。</w:t>
      </w:r>
    </w:p>
    <w:p w14:paraId="5F05D7B7">
      <w:pPr>
        <w:spacing w:line="460" w:lineRule="exact"/>
        <w:ind w:firstLine="759" w:firstLineChars="3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12.2经澄清后，若偏差仍存在，且不可接受，投标人则被认为是“没有实质性响应招标文件要求”，其投标将被拒绝。</w:t>
      </w:r>
    </w:p>
    <w:p w14:paraId="4EC93061">
      <w:pPr>
        <w:spacing w:line="460" w:lineRule="exact"/>
        <w:ind w:firstLine="759" w:firstLineChars="3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13、评审结果的修改</w:t>
      </w:r>
    </w:p>
    <w:p w14:paraId="3C161094">
      <w:pPr>
        <w:spacing w:line="460" w:lineRule="exact"/>
        <w:ind w:firstLine="759" w:firstLineChars="3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13.1评标结果汇总完成后，除下列情形外，任何人不得修改评标结果：</w:t>
      </w:r>
    </w:p>
    <w:p w14:paraId="6798CAE4">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（1）分值汇总计算错误的；</w:t>
      </w:r>
    </w:p>
    <w:p w14:paraId="6817BE31">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（2）分项评分超出评分标准范围的；</w:t>
      </w:r>
    </w:p>
    <w:p w14:paraId="0C37A189">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（3）评标委员会成员对客观评审因素评分不一致的；</w:t>
      </w:r>
    </w:p>
    <w:p w14:paraId="2B6BE52C">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（4）经评标委员会认定评分畸高、畸低的。</w:t>
      </w:r>
    </w:p>
    <w:p w14:paraId="34F9101F">
      <w:pPr>
        <w:spacing w:line="460" w:lineRule="exact"/>
        <w:ind w:firstLine="759" w:firstLineChars="345"/>
        <w:rPr>
          <w:rFonts w:hint="eastAsia" w:ascii="宋体" w:hAnsi="宋体" w:eastAsia="宋体" w:cs="宋体"/>
          <w:b w:val="0"/>
          <w:bCs/>
          <w:color w:val="auto"/>
          <w:highlight w:val="none"/>
        </w:rPr>
      </w:pPr>
      <w:r>
        <w:rPr>
          <w:rFonts w:hint="eastAsia" w:ascii="宋体" w:hAnsi="宋体" w:eastAsia="宋体" w:cs="宋体"/>
          <w:bCs/>
          <w:color w:val="auto"/>
          <w:sz w:val="22"/>
          <w:szCs w:val="22"/>
          <w:highlight w:val="none"/>
        </w:rPr>
        <w:t>13.2书面评标报告签署前，经复核发现存在以上情形之一的，评标委员会将当场修改评标结果，并</w:t>
      </w:r>
      <w:r>
        <w:rPr>
          <w:rFonts w:hint="eastAsia" w:ascii="宋体" w:hAnsi="宋体" w:eastAsia="宋体" w:cs="宋体"/>
          <w:b w:val="0"/>
          <w:bCs/>
          <w:color w:val="auto"/>
          <w:sz w:val="22"/>
          <w:szCs w:val="22"/>
          <w:highlight w:val="none"/>
        </w:rPr>
        <w:t>在评标报告中记载。</w:t>
      </w:r>
    </w:p>
    <w:p w14:paraId="79F8157B">
      <w:pPr>
        <w:spacing w:line="460" w:lineRule="exact"/>
        <w:ind w:firstLine="759" w:firstLineChars="3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14</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确定中标候选人</w:t>
      </w:r>
    </w:p>
    <w:p w14:paraId="35CBC51F">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14.1由评标委员会确定中标候选人。</w:t>
      </w:r>
    </w:p>
    <w:p w14:paraId="0419ED87">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14.2评标委员会依据法律、法规及招标文件有关规定按评审后得分（即商务技术分与报价得分之和）由高到低顺序排序，得分前二名的投标人确定为该项目的第一和第二中标候选人（得分相同的，按投标报价由低到高顺序排列。得分且投标报价相同的并列。）向招标人推荐。</w:t>
      </w:r>
    </w:p>
    <w:p w14:paraId="047914E3">
      <w:pPr>
        <w:spacing w:line="460" w:lineRule="exact"/>
        <w:ind w:firstLine="759" w:firstLineChars="3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15、确定中标人</w:t>
      </w:r>
    </w:p>
    <w:p w14:paraId="1327D374">
      <w:pPr>
        <w:spacing w:line="460" w:lineRule="exact"/>
        <w:ind w:firstLine="759" w:firstLineChars="3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15.1招标人按照书面评标报告中推荐的中标候选供应商顺序确定中标人；也可以事先授权评标委员会按照推荐的中标候选供应商顺序直接确定中标人。中标候选人并列的，由评标委员会全体成员记名投票按少数服从多数的原则确定排名。</w:t>
      </w:r>
    </w:p>
    <w:p w14:paraId="1562D05D">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15.2如中标人放弃中标；或未能在规定时间内与招标人签订合同的；或者经质疑，招标人审查后，确因排名第一的候选人在本次采购活动中存在违法违规行为或其他原因使质疑成立的，招标人可以视情况直接确定排名第二的候选人为中标人或重新组织招标。</w:t>
      </w:r>
    </w:p>
    <w:p w14:paraId="7DDE924E">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16、起草、签署评审报告</w:t>
      </w:r>
    </w:p>
    <w:p w14:paraId="30F6B79A">
      <w:pPr>
        <w:spacing w:line="460" w:lineRule="exact"/>
        <w:ind w:firstLine="759" w:firstLineChars="3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评审结束后，评标委员会将通过“政府采购云平台”起草评审报告，评标委员会成员应当在评审报告上签字，对自己的评审意见承担法律责任。对评审报告有异议的，应当在评审报告上签署不同意见，并说明理由，否则视为同意评审报告。</w:t>
      </w:r>
    </w:p>
    <w:p w14:paraId="2B777892">
      <w:pPr>
        <w:spacing w:line="460" w:lineRule="exact"/>
        <w:ind w:firstLine="759" w:firstLineChars="3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17</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中标人确定后，招标人将在政府指定媒体公告中标结果，招标人向中标人发出中标通知书。</w:t>
      </w:r>
    </w:p>
    <w:p w14:paraId="2A52E0C8">
      <w:pPr>
        <w:spacing w:line="460" w:lineRule="exact"/>
        <w:ind w:firstLine="759" w:firstLineChars="3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18、招标人对决标结果不做任何解释，也不保证最低价中标。</w:t>
      </w:r>
    </w:p>
    <w:p w14:paraId="66AC04DB">
      <w:pPr>
        <w:spacing w:line="460" w:lineRule="exact"/>
        <w:ind w:firstLine="759" w:firstLineChars="345"/>
        <w:rPr>
          <w:rFonts w:hint="eastAsia" w:ascii="宋体" w:hAnsi="宋体" w:eastAsia="宋体" w:cs="宋体"/>
          <w:b/>
          <w:color w:val="auto"/>
          <w:sz w:val="22"/>
          <w:szCs w:val="22"/>
          <w:highlight w:val="none"/>
        </w:rPr>
      </w:pPr>
      <w:r>
        <w:rPr>
          <w:rFonts w:hint="eastAsia" w:ascii="宋体" w:hAnsi="宋体" w:eastAsia="宋体" w:cs="宋体"/>
          <w:b w:val="0"/>
          <w:bCs w:val="0"/>
          <w:color w:val="auto"/>
          <w:sz w:val="22"/>
          <w:szCs w:val="22"/>
          <w:highlight w:val="none"/>
        </w:rPr>
        <w:t>19、评标细则详见“评标原则及方法”。</w:t>
      </w:r>
    </w:p>
    <w:p w14:paraId="3CB775B7">
      <w:pPr>
        <w:spacing w:before="100" w:beforeAutospacing="1" w:after="100" w:afterAutospacing="1" w:line="440" w:lineRule="exact"/>
        <w:jc w:val="center"/>
        <w:outlineLvl w:val="1"/>
        <w:rPr>
          <w:rFonts w:hint="eastAsia" w:ascii="宋体" w:hAnsi="宋体" w:eastAsia="宋体" w:cs="宋体"/>
          <w:b/>
          <w:bCs/>
          <w:color w:val="auto"/>
          <w:sz w:val="26"/>
          <w:szCs w:val="26"/>
          <w:highlight w:val="none"/>
        </w:rPr>
      </w:pPr>
      <w:bookmarkStart w:id="22" w:name="_Toc26836"/>
      <w:bookmarkStart w:id="23" w:name="_Toc23154"/>
      <w:r>
        <w:rPr>
          <w:rFonts w:hint="eastAsia" w:ascii="宋体" w:hAnsi="宋体" w:eastAsia="宋体" w:cs="宋体"/>
          <w:b/>
          <w:bCs/>
          <w:color w:val="auto"/>
          <w:sz w:val="26"/>
          <w:szCs w:val="26"/>
          <w:highlight w:val="none"/>
        </w:rPr>
        <w:t>六、 授予合同</w:t>
      </w:r>
      <w:bookmarkEnd w:id="22"/>
      <w:bookmarkEnd w:id="23"/>
    </w:p>
    <w:p w14:paraId="127782CE">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highlight w:val="none"/>
        </w:rPr>
        <w:t>1、中标通知书</w:t>
      </w:r>
    </w:p>
    <w:p w14:paraId="7B79C068">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1.1中标人确定后，招标人将向中标人发出中标通知书。 </w:t>
      </w:r>
    </w:p>
    <w:p w14:paraId="7E9CBC4A">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1.2中标通知书是合同的一个组成部分,对招标人和中标人均具有同等法律效力。</w:t>
      </w:r>
    </w:p>
    <w:p w14:paraId="7647C0B4">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highlight w:val="none"/>
        </w:rPr>
        <w:t>2、授标时更改采购货物数量的权力</w:t>
      </w:r>
    </w:p>
    <w:p w14:paraId="31E3499F">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2.1招标人在授予合同时有权对采购货物的数量和服务在一定幅度范围内予以增加或减少,但不得对单价和其他的条款和条件作任何改变。</w:t>
      </w:r>
    </w:p>
    <w:p w14:paraId="492384E4">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highlight w:val="none"/>
        </w:rPr>
        <w:t>3、签订合同</w:t>
      </w:r>
    </w:p>
    <w:p w14:paraId="78BBEC9D">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3.1中标人应按中标通知书规定的时间、地点与招标人签订合同。</w:t>
      </w:r>
    </w:p>
    <w:p w14:paraId="7F4BF179">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3.2</w:t>
      </w:r>
      <w:r>
        <w:rPr>
          <w:rFonts w:hint="eastAsia" w:ascii="宋体" w:hAnsi="宋体" w:eastAsia="宋体" w:cs="宋体"/>
          <w:b w:val="0"/>
          <w:bCs/>
          <w:color w:val="auto"/>
          <w:spacing w:val="6"/>
          <w:sz w:val="22"/>
          <w:szCs w:val="22"/>
          <w:highlight w:val="none"/>
        </w:rPr>
        <w:t>在签订合同前，招标人有权在中标总价不变的前提下要求中标人对商务报价中的不平衡报价和缺漏项进行调整，如果中标人无合理理由拒绝调整，其中投标资格将被取消，保证金将不予退还，且将导致其它进一步的赔偿和处罚。</w:t>
      </w:r>
    </w:p>
    <w:p w14:paraId="09ED3DEC">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3.3招标文件、中标人的投标文件、投标修改文件、评标过程中有关澄清文件及经投标人和评委双方签字的询标纪要和中标通知书均作为合同附件。</w:t>
      </w:r>
    </w:p>
    <w:p w14:paraId="6A5AE1FF">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3.4拒签合同的违约责任</w:t>
      </w:r>
    </w:p>
    <w:p w14:paraId="4B51010A">
      <w:pPr>
        <w:spacing w:line="460" w:lineRule="exact"/>
        <w:ind w:firstLine="568" w:firstLineChars="245"/>
        <w:rPr>
          <w:rFonts w:hint="eastAsia" w:ascii="宋体" w:hAnsi="宋体" w:eastAsia="宋体" w:cs="宋体"/>
          <w:b w:val="0"/>
          <w:bCs/>
          <w:color w:val="auto"/>
          <w:spacing w:val="6"/>
          <w:sz w:val="22"/>
          <w:szCs w:val="22"/>
          <w:highlight w:val="none"/>
        </w:rPr>
      </w:pPr>
      <w:r>
        <w:rPr>
          <w:rFonts w:hint="eastAsia" w:ascii="宋体" w:hAnsi="宋体" w:eastAsia="宋体" w:cs="宋体"/>
          <w:b w:val="0"/>
          <w:bCs/>
          <w:color w:val="auto"/>
          <w:spacing w:val="6"/>
          <w:sz w:val="22"/>
          <w:szCs w:val="22"/>
          <w:highlight w:val="none"/>
        </w:rPr>
        <w:t>中标人接到中标通知书后，在规定时间内借故否认已经承诺的条件而拒签合同的，以违约处理。</w:t>
      </w:r>
    </w:p>
    <w:p w14:paraId="738A32DD">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cs="宋体"/>
          <w:b w:val="0"/>
          <w:bCs/>
          <w:color w:val="auto"/>
          <w:sz w:val="22"/>
          <w:highlight w:val="none"/>
          <w:lang w:val="en-US" w:eastAsia="zh-CN"/>
        </w:rPr>
        <w:t>4</w:t>
      </w:r>
      <w:r>
        <w:rPr>
          <w:rFonts w:hint="eastAsia" w:ascii="宋体" w:hAnsi="宋体" w:eastAsia="宋体" w:cs="宋体"/>
          <w:b w:val="0"/>
          <w:bCs/>
          <w:color w:val="auto"/>
          <w:sz w:val="22"/>
          <w:highlight w:val="none"/>
        </w:rPr>
        <w:t>、质疑与投诉</w:t>
      </w:r>
    </w:p>
    <w:p w14:paraId="5FE46032">
      <w:pPr>
        <w:spacing w:line="460" w:lineRule="exact"/>
        <w:ind w:firstLine="568" w:firstLineChars="245"/>
        <w:rPr>
          <w:rFonts w:hint="default" w:ascii="宋体" w:hAnsi="宋体" w:cs="宋体"/>
          <w:b w:val="0"/>
          <w:bCs/>
          <w:color w:val="auto"/>
          <w:sz w:val="22"/>
          <w:highlight w:val="none"/>
          <w:lang w:val="en-US" w:eastAsia="zh-CN"/>
        </w:rPr>
      </w:pPr>
      <w:r>
        <w:rPr>
          <w:rFonts w:hint="eastAsia" w:ascii="宋体" w:hAnsi="宋体" w:eastAsia="宋体" w:cs="宋体"/>
          <w:b w:val="0"/>
          <w:bCs/>
          <w:color w:val="auto"/>
          <w:spacing w:val="6"/>
          <w:sz w:val="22"/>
          <w:szCs w:val="22"/>
          <w:highlight w:val="none"/>
          <w:lang w:val="en-US" w:eastAsia="zh-CN"/>
        </w:rPr>
        <w:t>4</w:t>
      </w:r>
      <w:r>
        <w:rPr>
          <w:rFonts w:hint="eastAsia" w:ascii="宋体" w:hAnsi="宋体" w:eastAsia="宋体" w:cs="宋体"/>
          <w:b w:val="0"/>
          <w:bCs/>
          <w:color w:val="auto"/>
          <w:spacing w:val="6"/>
          <w:sz w:val="22"/>
          <w:szCs w:val="22"/>
          <w:highlight w:val="none"/>
        </w:rPr>
        <w:t>.1</w:t>
      </w:r>
      <w:r>
        <w:rPr>
          <w:rFonts w:hint="eastAsia" w:ascii="宋体" w:hAnsi="宋体" w:cs="宋体"/>
          <w:b/>
          <w:bCs w:val="0"/>
          <w:color w:val="auto"/>
          <w:sz w:val="22"/>
          <w:highlight w:val="none"/>
          <w:lang w:val="en-US" w:eastAsia="zh-CN"/>
        </w:rPr>
        <w:t>特别提醒：</w:t>
      </w:r>
      <w:r>
        <w:rPr>
          <w:rFonts w:hint="eastAsia" w:ascii="宋体" w:hAnsi="宋体" w:eastAsia="宋体" w:cs="宋体"/>
          <w:color w:val="auto"/>
          <w:sz w:val="22"/>
          <w:highlight w:val="none"/>
          <w:lang w:val="en-US" w:eastAsia="zh-CN"/>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w:t>
      </w:r>
      <w:r>
        <w:rPr>
          <w:rFonts w:hint="eastAsia" w:ascii="宋体" w:hAnsi="宋体" w:cs="宋体"/>
          <w:bCs/>
          <w:color w:val="auto"/>
          <w:sz w:val="22"/>
          <w:highlight w:val="none"/>
          <w:lang w:eastAsia="zh-CN"/>
        </w:rPr>
        <w:t>，</w:t>
      </w:r>
      <w:r>
        <w:rPr>
          <w:rFonts w:hint="eastAsia" w:ascii="宋体" w:hAnsi="宋体" w:cs="宋体"/>
          <w:b w:val="0"/>
          <w:bCs/>
          <w:color w:val="auto"/>
          <w:sz w:val="22"/>
          <w:highlight w:val="none"/>
          <w:lang w:val="en-US" w:eastAsia="zh-CN"/>
        </w:rPr>
        <w:t>供应商在法定质疑期内应一次性提出针对同一采购程序环节的质疑，</w:t>
      </w:r>
      <w:r>
        <w:rPr>
          <w:rFonts w:hint="eastAsia" w:ascii="宋体" w:hAnsi="宋体" w:cs="宋体"/>
          <w:bCs/>
          <w:color w:val="auto"/>
          <w:sz w:val="22"/>
          <w:highlight w:val="none"/>
          <w:lang w:val="en-US" w:eastAsia="zh-CN"/>
        </w:rPr>
        <w:t>否则</w:t>
      </w:r>
      <w:r>
        <w:rPr>
          <w:rFonts w:hint="eastAsia" w:ascii="新宋体" w:hAnsi="新宋体" w:eastAsia="新宋体" w:cs="新宋体"/>
          <w:color w:val="auto"/>
          <w:sz w:val="22"/>
          <w:szCs w:val="22"/>
          <w:highlight w:val="none"/>
        </w:rPr>
        <w:t>不予受理、答复</w:t>
      </w:r>
      <w:r>
        <w:rPr>
          <w:rFonts w:hint="eastAsia" w:ascii="宋体" w:hAnsi="宋体" w:cs="宋体"/>
          <w:bCs/>
          <w:color w:val="auto"/>
          <w:sz w:val="22"/>
          <w:highlight w:val="none"/>
          <w:lang w:val="en-US" w:eastAsia="zh-CN"/>
        </w:rPr>
        <w:t>。</w:t>
      </w:r>
    </w:p>
    <w:p w14:paraId="75473898">
      <w:pPr>
        <w:spacing w:line="460" w:lineRule="exact"/>
        <w:ind w:firstLine="539" w:firstLineChars="245"/>
        <w:rPr>
          <w:rFonts w:hint="eastAsia" w:ascii="宋体" w:hAnsi="宋体" w:eastAsia="宋体" w:cs="宋体"/>
          <w:b w:val="0"/>
          <w:bCs/>
          <w:color w:val="auto"/>
          <w:sz w:val="22"/>
          <w:szCs w:val="22"/>
          <w:highlight w:val="none"/>
        </w:rPr>
      </w:pPr>
      <w:r>
        <w:rPr>
          <w:rFonts w:hint="eastAsia" w:ascii="宋体" w:hAnsi="宋体" w:cs="宋体"/>
          <w:b w:val="0"/>
          <w:bCs/>
          <w:color w:val="auto"/>
          <w:sz w:val="22"/>
          <w:highlight w:val="none"/>
          <w:lang w:val="en-US" w:eastAsia="zh-CN"/>
        </w:rPr>
        <w:t>4</w:t>
      </w:r>
      <w:r>
        <w:rPr>
          <w:rFonts w:hint="eastAsia" w:ascii="宋体" w:hAnsi="宋体" w:eastAsia="宋体" w:cs="宋体"/>
          <w:b w:val="0"/>
          <w:bCs/>
          <w:color w:val="auto"/>
          <w:sz w:val="22"/>
          <w:highlight w:val="none"/>
        </w:rPr>
        <w:t>.2招标人或招标代理机构在收到投标人的书面质疑后七个工作日内作出答复，但答复的内容不得涉及商业秘密。质疑投标人对招标人或招标代理机构的答复不满意，可以在答复期满后十五个工作日内向同级政府采购监督管理部门投诉。</w:t>
      </w:r>
    </w:p>
    <w:p w14:paraId="4D0F4ADC">
      <w:pPr>
        <w:spacing w:line="460" w:lineRule="exact"/>
        <w:ind w:firstLine="539" w:firstLineChars="245"/>
        <w:rPr>
          <w:rFonts w:hint="eastAsia" w:ascii="宋体" w:hAnsi="宋体" w:eastAsia="宋体" w:cs="宋体"/>
          <w:b w:val="0"/>
          <w:bCs/>
          <w:color w:val="auto"/>
          <w:sz w:val="22"/>
          <w:highlight w:val="none"/>
        </w:rPr>
      </w:pPr>
      <w:r>
        <w:rPr>
          <w:rFonts w:hint="eastAsia" w:ascii="宋体" w:hAnsi="宋体" w:cs="宋体"/>
          <w:b w:val="0"/>
          <w:bCs/>
          <w:color w:val="auto"/>
          <w:sz w:val="22"/>
          <w:highlight w:val="none"/>
          <w:lang w:val="en-US" w:eastAsia="zh-CN"/>
        </w:rPr>
        <w:t>4</w:t>
      </w:r>
      <w:r>
        <w:rPr>
          <w:rFonts w:hint="eastAsia" w:ascii="宋体" w:hAnsi="宋体" w:eastAsia="宋体" w:cs="宋体"/>
          <w:b w:val="0"/>
          <w:bCs/>
          <w:color w:val="auto"/>
          <w:sz w:val="22"/>
          <w:highlight w:val="none"/>
        </w:rPr>
        <w:t>.3投诉人投诉时，应提交投诉书，投诉书应当由本人并由法定代表人签字盖公章，投诉书应说明具体的投诉事项及事实依据。投诉人对投诉书的真实性负责，恶意投诉将承当相应的法律和民事责任。</w:t>
      </w:r>
    </w:p>
    <w:p w14:paraId="63DBFEB1">
      <w:pPr>
        <w:rPr>
          <w:rFonts w:hint="eastAsia" w:ascii="宋体" w:hAnsi="宋体" w:eastAsia="宋体" w:cs="宋体"/>
          <w:color w:val="auto"/>
          <w:highlight w:val="none"/>
        </w:rPr>
      </w:pPr>
      <w:bookmarkStart w:id="24" w:name="_Toc28194"/>
    </w:p>
    <w:p w14:paraId="00E9A9B8">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2D27DD4">
      <w:pPr>
        <w:pStyle w:val="2"/>
        <w:bidi w:val="0"/>
        <w:rPr>
          <w:rFonts w:hint="eastAsia" w:ascii="宋体" w:hAnsi="宋体" w:eastAsia="宋体" w:cs="宋体"/>
          <w:color w:val="auto"/>
          <w:highlight w:val="none"/>
        </w:rPr>
      </w:pPr>
      <w:bookmarkStart w:id="25" w:name="_Toc17349"/>
      <w:r>
        <w:rPr>
          <w:rFonts w:hint="eastAsia" w:ascii="宋体" w:hAnsi="宋体" w:eastAsia="宋体" w:cs="宋体"/>
          <w:color w:val="auto"/>
          <w:highlight w:val="none"/>
        </w:rPr>
        <w:t>第二部分    合同主要条款</w:t>
      </w:r>
      <w:bookmarkEnd w:id="24"/>
      <w:bookmarkEnd w:id="25"/>
    </w:p>
    <w:p w14:paraId="57BA7B02">
      <w:pPr>
        <w:spacing w:line="460" w:lineRule="exact"/>
        <w:ind w:firstLine="541" w:firstLineChars="245"/>
        <w:rPr>
          <w:rFonts w:ascii="宋体" w:hAnsi="宋体" w:cs="宋体"/>
          <w:b/>
          <w:color w:val="auto"/>
          <w:sz w:val="22"/>
          <w:szCs w:val="22"/>
          <w:highlight w:val="none"/>
        </w:rPr>
      </w:pPr>
      <w:r>
        <w:rPr>
          <w:rFonts w:hint="eastAsia" w:ascii="宋体" w:hAnsi="宋体" w:cs="宋体"/>
          <w:b/>
          <w:color w:val="auto"/>
          <w:sz w:val="22"/>
          <w:szCs w:val="22"/>
          <w:highlight w:val="none"/>
        </w:rPr>
        <w:t>注：如甲、乙双方同意，合同格式也可以按照其他形式, 具体条款以甲方为主协商确定。但合同条款的基本内容应与以下要求的内容相一致。</w:t>
      </w:r>
    </w:p>
    <w:p w14:paraId="67499795">
      <w:pPr>
        <w:spacing w:line="360" w:lineRule="auto"/>
        <w:rPr>
          <w:rFonts w:ascii="宋体" w:hAnsi="宋体" w:cs="宋体"/>
          <w:color w:val="auto"/>
          <w:sz w:val="24"/>
          <w:highlight w:val="none"/>
        </w:rPr>
      </w:pPr>
    </w:p>
    <w:p w14:paraId="46B8C9B2">
      <w:pPr>
        <w:spacing w:line="460" w:lineRule="exact"/>
        <w:rPr>
          <w:rFonts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合同编号：</w:t>
      </w:r>
    </w:p>
    <w:p w14:paraId="54AC5393">
      <w:pPr>
        <w:spacing w:line="460" w:lineRule="exact"/>
        <w:jc w:val="center"/>
        <w:rPr>
          <w:rFonts w:ascii="新宋体" w:hAnsi="新宋体" w:eastAsia="新宋体" w:cs="新宋体"/>
          <w:b/>
          <w:color w:val="auto"/>
          <w:sz w:val="22"/>
          <w:szCs w:val="22"/>
          <w:highlight w:val="none"/>
        </w:rPr>
      </w:pPr>
    </w:p>
    <w:p w14:paraId="4142AB15">
      <w:pPr>
        <w:spacing w:line="460" w:lineRule="exact"/>
        <w:jc w:val="center"/>
        <w:rPr>
          <w:rFonts w:ascii="新宋体" w:hAnsi="新宋体" w:eastAsia="新宋体" w:cs="新宋体"/>
          <w:b/>
          <w:color w:val="auto"/>
          <w:sz w:val="22"/>
          <w:szCs w:val="22"/>
          <w:highlight w:val="none"/>
        </w:rPr>
      </w:pPr>
    </w:p>
    <w:p w14:paraId="42462453">
      <w:pPr>
        <w:spacing w:line="460" w:lineRule="exact"/>
        <w:jc w:val="center"/>
        <w:rPr>
          <w:rFonts w:ascii="新宋体" w:hAnsi="新宋体" w:eastAsia="新宋体" w:cs="新宋体"/>
          <w:b/>
          <w:color w:val="auto"/>
          <w:sz w:val="22"/>
          <w:szCs w:val="22"/>
          <w:highlight w:val="none"/>
        </w:rPr>
      </w:pPr>
    </w:p>
    <w:p w14:paraId="0DC3EFB1">
      <w:pPr>
        <w:pStyle w:val="214"/>
        <w:spacing w:line="460" w:lineRule="exact"/>
        <w:ind w:firstLine="440"/>
        <w:rPr>
          <w:rFonts w:ascii="新宋体" w:hAnsi="新宋体" w:eastAsia="新宋体" w:cs="新宋体"/>
          <w:color w:val="auto"/>
          <w:sz w:val="22"/>
          <w:szCs w:val="22"/>
          <w:highlight w:val="none"/>
        </w:rPr>
      </w:pPr>
    </w:p>
    <w:p w14:paraId="55E9E976">
      <w:pPr>
        <w:pStyle w:val="214"/>
        <w:spacing w:line="460" w:lineRule="exact"/>
        <w:ind w:firstLine="440"/>
        <w:rPr>
          <w:rFonts w:ascii="新宋体" w:hAnsi="新宋体" w:eastAsia="新宋体" w:cs="新宋体"/>
          <w:color w:val="auto"/>
          <w:sz w:val="22"/>
          <w:szCs w:val="22"/>
          <w:highlight w:val="none"/>
        </w:rPr>
      </w:pPr>
    </w:p>
    <w:p w14:paraId="523EDF7B">
      <w:pPr>
        <w:pStyle w:val="214"/>
        <w:spacing w:line="460" w:lineRule="exact"/>
        <w:ind w:firstLine="440"/>
        <w:jc w:val="center"/>
        <w:rPr>
          <w:rFonts w:ascii="新宋体" w:hAnsi="新宋体" w:eastAsia="新宋体" w:cs="新宋体"/>
          <w:color w:val="auto"/>
          <w:sz w:val="22"/>
          <w:szCs w:val="22"/>
          <w:highlight w:val="none"/>
        </w:rPr>
      </w:pPr>
    </w:p>
    <w:p w14:paraId="695FBD83">
      <w:pPr>
        <w:pStyle w:val="214"/>
        <w:spacing w:line="460" w:lineRule="exact"/>
        <w:ind w:left="0" w:leftChars="0" w:firstLine="0" w:firstLineChars="0"/>
        <w:jc w:val="center"/>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第一部分合同书</w:t>
      </w:r>
    </w:p>
    <w:p w14:paraId="7908A1EF">
      <w:pPr>
        <w:pStyle w:val="214"/>
        <w:spacing w:line="460" w:lineRule="exact"/>
        <w:ind w:firstLine="440"/>
        <w:rPr>
          <w:rFonts w:ascii="新宋体" w:hAnsi="新宋体" w:eastAsia="新宋体" w:cs="新宋体"/>
          <w:color w:val="auto"/>
          <w:sz w:val="22"/>
          <w:szCs w:val="22"/>
          <w:highlight w:val="none"/>
        </w:rPr>
      </w:pPr>
    </w:p>
    <w:p w14:paraId="6A5DE9E2">
      <w:pPr>
        <w:pStyle w:val="214"/>
        <w:spacing w:line="460" w:lineRule="exact"/>
        <w:ind w:firstLine="440"/>
        <w:rPr>
          <w:rFonts w:ascii="新宋体" w:hAnsi="新宋体" w:eastAsia="新宋体" w:cs="新宋体"/>
          <w:color w:val="auto"/>
          <w:sz w:val="22"/>
          <w:szCs w:val="22"/>
          <w:highlight w:val="none"/>
        </w:rPr>
      </w:pPr>
    </w:p>
    <w:p w14:paraId="2DE1B7C5">
      <w:pPr>
        <w:spacing w:before="120" w:line="460" w:lineRule="exact"/>
        <w:rPr>
          <w:rFonts w:ascii="新宋体" w:hAnsi="新宋体" w:eastAsia="新宋体" w:cs="新宋体"/>
          <w:color w:val="auto"/>
          <w:sz w:val="22"/>
          <w:szCs w:val="22"/>
          <w:highlight w:val="none"/>
        </w:rPr>
      </w:pPr>
    </w:p>
    <w:p w14:paraId="52272E1C">
      <w:pPr>
        <w:spacing w:before="120" w:line="460" w:lineRule="exact"/>
        <w:ind w:firstLine="880" w:firstLineChars="4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项目名称：</w:t>
      </w:r>
    </w:p>
    <w:p w14:paraId="3EEC6401">
      <w:pPr>
        <w:pStyle w:val="341"/>
        <w:spacing w:before="120" w:line="460" w:lineRule="exact"/>
        <w:rPr>
          <w:rFonts w:ascii="新宋体" w:hAnsi="新宋体" w:eastAsia="新宋体" w:cs="新宋体"/>
          <w:color w:val="auto"/>
          <w:sz w:val="22"/>
          <w:szCs w:val="22"/>
          <w:highlight w:val="none"/>
        </w:rPr>
      </w:pPr>
    </w:p>
    <w:p w14:paraId="2F4B91B6">
      <w:pPr>
        <w:pStyle w:val="341"/>
        <w:spacing w:before="120" w:line="460" w:lineRule="exact"/>
        <w:rPr>
          <w:rFonts w:ascii="新宋体" w:hAnsi="新宋体" w:eastAsia="新宋体" w:cs="新宋体"/>
          <w:color w:val="auto"/>
          <w:sz w:val="22"/>
          <w:szCs w:val="22"/>
          <w:highlight w:val="none"/>
        </w:rPr>
      </w:pPr>
    </w:p>
    <w:p w14:paraId="41101536">
      <w:pPr>
        <w:spacing w:line="460" w:lineRule="exact"/>
        <w:rPr>
          <w:rFonts w:ascii="新宋体" w:hAnsi="新宋体" w:eastAsia="新宋体" w:cs="新宋体"/>
          <w:color w:val="auto"/>
          <w:sz w:val="22"/>
          <w:szCs w:val="22"/>
          <w:highlight w:val="none"/>
        </w:rPr>
      </w:pPr>
    </w:p>
    <w:p w14:paraId="1F1677BF">
      <w:pPr>
        <w:spacing w:before="120" w:line="460" w:lineRule="exact"/>
        <w:ind w:left="960"/>
        <w:rPr>
          <w:rFonts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甲方：温州市公安局交通管理局</w:t>
      </w:r>
    </w:p>
    <w:p w14:paraId="4E885355">
      <w:pPr>
        <w:spacing w:before="120" w:line="460" w:lineRule="exact"/>
        <w:rPr>
          <w:rFonts w:ascii="新宋体" w:hAnsi="新宋体" w:eastAsia="新宋体" w:cs="新宋体"/>
          <w:color w:val="auto"/>
          <w:sz w:val="22"/>
          <w:szCs w:val="22"/>
          <w:highlight w:val="none"/>
        </w:rPr>
      </w:pPr>
    </w:p>
    <w:p w14:paraId="6F2AE741">
      <w:pPr>
        <w:spacing w:before="120" w:line="460" w:lineRule="exact"/>
        <w:ind w:left="960"/>
        <w:rPr>
          <w:rFonts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乙方：</w:t>
      </w:r>
    </w:p>
    <w:p w14:paraId="134CAE18">
      <w:pPr>
        <w:spacing w:before="120" w:line="460" w:lineRule="exact"/>
        <w:rPr>
          <w:rFonts w:ascii="新宋体" w:hAnsi="新宋体" w:eastAsia="新宋体" w:cs="新宋体"/>
          <w:color w:val="auto"/>
          <w:sz w:val="22"/>
          <w:szCs w:val="22"/>
          <w:highlight w:val="none"/>
        </w:rPr>
      </w:pPr>
    </w:p>
    <w:p w14:paraId="102A62F1">
      <w:pPr>
        <w:spacing w:before="120" w:line="460" w:lineRule="exact"/>
        <w:ind w:firstLine="880" w:firstLineChars="400"/>
        <w:rPr>
          <w:rFonts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 xml:space="preserve">签订地：温州 </w:t>
      </w:r>
    </w:p>
    <w:p w14:paraId="764B3A67">
      <w:pPr>
        <w:spacing w:before="120" w:line="460" w:lineRule="exact"/>
        <w:rPr>
          <w:rFonts w:ascii="新宋体" w:hAnsi="新宋体" w:eastAsia="新宋体" w:cs="新宋体"/>
          <w:color w:val="auto"/>
          <w:sz w:val="22"/>
          <w:szCs w:val="22"/>
          <w:highlight w:val="none"/>
        </w:rPr>
      </w:pPr>
    </w:p>
    <w:p w14:paraId="482E2DAF">
      <w:pPr>
        <w:spacing w:before="120" w:line="460" w:lineRule="exact"/>
        <w:ind w:firstLine="880" w:firstLineChars="400"/>
        <w:rPr>
          <w:rFonts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签订日期：</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rPr>
        <w:t>年</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rPr>
        <w:t>月</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rPr>
        <w:t>日</w:t>
      </w:r>
    </w:p>
    <w:p w14:paraId="595DB50C">
      <w:pP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6B958796">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202</w:t>
      </w: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lang w:val="zh-CN"/>
        </w:rPr>
        <w:t>年</w:t>
      </w:r>
      <w:r>
        <w:rPr>
          <w:rFonts w:hint="eastAsia" w:ascii="新宋体" w:hAnsi="新宋体" w:eastAsia="新宋体" w:cs="新宋体"/>
          <w:color w:val="auto"/>
          <w:sz w:val="22"/>
          <w:szCs w:val="22"/>
          <w:highlight w:val="none"/>
          <w:lang w:val="en-US" w:eastAsia="zh-CN"/>
        </w:rPr>
        <w:t xml:space="preserve">  </w:t>
      </w:r>
      <w:r>
        <w:rPr>
          <w:rFonts w:hint="eastAsia" w:ascii="新宋体" w:hAnsi="新宋体" w:eastAsia="新宋体" w:cs="新宋体"/>
          <w:color w:val="auto"/>
          <w:sz w:val="22"/>
          <w:szCs w:val="22"/>
          <w:highlight w:val="none"/>
          <w:lang w:val="zh-CN"/>
        </w:rPr>
        <w:t>月</w:t>
      </w:r>
      <w:r>
        <w:rPr>
          <w:rFonts w:hint="eastAsia" w:ascii="新宋体" w:hAnsi="新宋体" w:eastAsia="新宋体" w:cs="新宋体"/>
          <w:color w:val="auto"/>
          <w:sz w:val="22"/>
          <w:szCs w:val="22"/>
          <w:highlight w:val="none"/>
          <w:lang w:val="en-US" w:eastAsia="zh-CN"/>
        </w:rPr>
        <w:t xml:space="preserve">  </w:t>
      </w:r>
      <w:r>
        <w:rPr>
          <w:rFonts w:hint="eastAsia" w:ascii="新宋体" w:hAnsi="新宋体" w:eastAsia="新宋体" w:cs="新宋体"/>
          <w:color w:val="auto"/>
          <w:sz w:val="22"/>
          <w:szCs w:val="22"/>
          <w:highlight w:val="none"/>
          <w:lang w:val="zh-CN"/>
        </w:rPr>
        <w:t>日</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u w:val="single"/>
        </w:rPr>
        <w:t>温州市公安局交通管理局</w:t>
      </w:r>
      <w:r>
        <w:rPr>
          <w:rFonts w:hint="eastAsia" w:ascii="新宋体" w:hAnsi="新宋体" w:eastAsia="新宋体" w:cs="新宋体"/>
          <w:color w:val="auto"/>
          <w:sz w:val="22"/>
          <w:szCs w:val="22"/>
          <w:highlight w:val="none"/>
        </w:rPr>
        <w:t>以</w:t>
      </w:r>
      <w:r>
        <w:rPr>
          <w:rFonts w:hint="eastAsia" w:ascii="新宋体" w:hAnsi="新宋体" w:eastAsia="新宋体" w:cs="新宋体"/>
          <w:color w:val="auto"/>
          <w:sz w:val="22"/>
          <w:szCs w:val="22"/>
          <w:highlight w:val="none"/>
          <w:u w:val="single"/>
        </w:rPr>
        <w:t>公开招标</w:t>
      </w:r>
      <w:r>
        <w:rPr>
          <w:rFonts w:hint="eastAsia" w:ascii="新宋体" w:hAnsi="新宋体" w:eastAsia="新宋体" w:cs="新宋体"/>
          <w:color w:val="auto"/>
          <w:sz w:val="22"/>
          <w:szCs w:val="22"/>
          <w:highlight w:val="none"/>
        </w:rPr>
        <w:t>对</w:t>
      </w:r>
      <w:r>
        <w:rPr>
          <w:rFonts w:hint="eastAsia" w:ascii="新宋体" w:hAnsi="新宋体" w:eastAsia="新宋体" w:cs="新宋体"/>
          <w:color w:val="auto"/>
          <w:sz w:val="22"/>
          <w:szCs w:val="22"/>
          <w:highlight w:val="none"/>
          <w:u w:val="single"/>
        </w:rPr>
        <w:t>（项目名称）</w:t>
      </w:r>
      <w:r>
        <w:rPr>
          <w:rFonts w:hint="eastAsia" w:ascii="新宋体" w:hAnsi="新宋体" w:eastAsia="新宋体" w:cs="新宋体"/>
          <w:color w:val="auto"/>
          <w:sz w:val="22"/>
          <w:szCs w:val="22"/>
          <w:highlight w:val="none"/>
        </w:rPr>
        <w:t>项目进行了采购。经</w:t>
      </w:r>
      <w:r>
        <w:rPr>
          <w:rFonts w:hint="eastAsia" w:ascii="新宋体" w:hAnsi="新宋体" w:eastAsia="新宋体" w:cs="新宋体"/>
          <w:color w:val="auto"/>
          <w:sz w:val="22"/>
          <w:szCs w:val="22"/>
          <w:highlight w:val="none"/>
          <w:u w:val="single"/>
        </w:rPr>
        <w:t>（相关评定主体名称）</w:t>
      </w:r>
      <w:r>
        <w:rPr>
          <w:rFonts w:hint="eastAsia" w:ascii="新宋体" w:hAnsi="新宋体" w:eastAsia="新宋体" w:cs="新宋体"/>
          <w:color w:val="auto"/>
          <w:sz w:val="22"/>
          <w:szCs w:val="22"/>
          <w:highlight w:val="none"/>
        </w:rPr>
        <w:t>评定，</w:t>
      </w:r>
      <w:r>
        <w:rPr>
          <w:rFonts w:hint="eastAsia" w:ascii="新宋体" w:hAnsi="新宋体" w:eastAsia="新宋体" w:cs="新宋体"/>
          <w:color w:val="auto"/>
          <w:sz w:val="22"/>
          <w:szCs w:val="22"/>
          <w:highlight w:val="none"/>
          <w:u w:val="single"/>
        </w:rPr>
        <w:t>（中标供应商名称）</w:t>
      </w:r>
      <w:r>
        <w:rPr>
          <w:rFonts w:hint="eastAsia" w:ascii="新宋体" w:hAnsi="新宋体" w:eastAsia="新宋体" w:cs="新宋体"/>
          <w:color w:val="auto"/>
          <w:sz w:val="22"/>
          <w:szCs w:val="22"/>
          <w:highlight w:val="none"/>
        </w:rPr>
        <w:t>为该项目</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___中标供应商。现于中标通知书发出后30日内，按照采购文件确定的事项签订本合同。</w:t>
      </w:r>
    </w:p>
    <w:p w14:paraId="027F9964">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zh-CN"/>
        </w:rPr>
        <w:t>根据《中华人民共和国民法典》、《中华人民共和国政府采购法》等相关法律法规之规定，按照平等、自愿、公平、诚实信用和绿色的原则，经</w:t>
      </w:r>
      <w:r>
        <w:rPr>
          <w:rFonts w:hint="eastAsia" w:ascii="新宋体" w:hAnsi="新宋体" w:eastAsia="新宋体" w:cs="新宋体"/>
          <w:color w:val="auto"/>
          <w:sz w:val="22"/>
          <w:szCs w:val="22"/>
          <w:highlight w:val="none"/>
          <w:u w:val="single"/>
        </w:rPr>
        <w:t>温州市公安局交通管理局</w:t>
      </w:r>
      <w:r>
        <w:rPr>
          <w:rFonts w:hint="eastAsia" w:ascii="新宋体" w:hAnsi="新宋体" w:eastAsia="新宋体" w:cs="新宋体"/>
          <w:color w:val="auto"/>
          <w:sz w:val="22"/>
          <w:szCs w:val="22"/>
          <w:highlight w:val="none"/>
          <w:lang w:val="zh-CN"/>
        </w:rPr>
        <w:t>(以下简称：甲方)和</w:t>
      </w:r>
      <w:r>
        <w:rPr>
          <w:rFonts w:hint="eastAsia" w:ascii="新宋体" w:hAnsi="新宋体" w:eastAsia="新宋体" w:cs="新宋体"/>
          <w:color w:val="auto"/>
          <w:sz w:val="22"/>
          <w:szCs w:val="22"/>
          <w:highlight w:val="none"/>
          <w:u w:val="single"/>
        </w:rPr>
        <w:t>（中标供应商名称）</w:t>
      </w:r>
      <w:r>
        <w:rPr>
          <w:rFonts w:hint="eastAsia" w:ascii="新宋体" w:hAnsi="新宋体" w:eastAsia="新宋体" w:cs="新宋体"/>
          <w:color w:val="auto"/>
          <w:sz w:val="22"/>
          <w:szCs w:val="22"/>
          <w:highlight w:val="none"/>
          <w:lang w:val="zh-CN"/>
        </w:rPr>
        <w:t>(以下简称：乙方)协商一致，约定以下合同</w:t>
      </w:r>
      <w:r>
        <w:rPr>
          <w:rFonts w:hint="eastAsia" w:ascii="新宋体" w:hAnsi="新宋体" w:eastAsia="新宋体" w:cs="新宋体"/>
          <w:color w:val="auto"/>
          <w:sz w:val="22"/>
          <w:szCs w:val="22"/>
          <w:highlight w:val="none"/>
        </w:rPr>
        <w:t>条款，以兹共同遵守、全面履行。</w:t>
      </w:r>
    </w:p>
    <w:p w14:paraId="5A839170">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1.1合同组成部分</w:t>
      </w:r>
    </w:p>
    <w:p w14:paraId="73042AC3">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329D357">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1.1.1本合同及其补充合同、变更协议；</w:t>
      </w:r>
    </w:p>
    <w:p w14:paraId="46F0149F">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1.1.2中标通知书；</w:t>
      </w:r>
    </w:p>
    <w:p w14:paraId="53C8983E">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1.1.3投标文件（含澄清或者说明文件）；</w:t>
      </w:r>
    </w:p>
    <w:p w14:paraId="085932BC">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1.1.4招标文件（含澄清或者修改文件）；</w:t>
      </w:r>
    </w:p>
    <w:p w14:paraId="533A4077">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1.1.5其他相关采购文件。</w:t>
      </w:r>
    </w:p>
    <w:p w14:paraId="590309C6">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1.2</w:t>
      </w:r>
      <w:r>
        <w:rPr>
          <w:rFonts w:hint="eastAsia" w:ascii="新宋体" w:hAnsi="新宋体" w:eastAsia="新宋体" w:cs="新宋体"/>
          <w:color w:val="auto"/>
          <w:sz w:val="22"/>
          <w:szCs w:val="22"/>
          <w:highlight w:val="none"/>
          <w:u w:val="single"/>
        </w:rPr>
        <w:t>标的</w:t>
      </w:r>
    </w:p>
    <w:p w14:paraId="00713354">
      <w:pPr>
        <w:spacing w:line="460" w:lineRule="exact"/>
        <w:ind w:firstLine="440" w:firstLineChars="200"/>
        <w:rPr>
          <w:rFonts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1.2.1标的名称：</w:t>
      </w:r>
      <w:r>
        <w:rPr>
          <w:rFonts w:hint="eastAsia" w:ascii="新宋体" w:hAnsi="新宋体" w:eastAsia="新宋体" w:cs="新宋体"/>
          <w:color w:val="auto"/>
          <w:sz w:val="22"/>
          <w:szCs w:val="22"/>
          <w:highlight w:val="none"/>
          <w:u w:val="single"/>
        </w:rPr>
        <w:t>；</w:t>
      </w:r>
    </w:p>
    <w:p w14:paraId="01BAA639">
      <w:pPr>
        <w:spacing w:line="460" w:lineRule="exact"/>
        <w:ind w:firstLine="440" w:firstLineChars="200"/>
        <w:rPr>
          <w:rFonts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1.2.2标的数量：</w:t>
      </w:r>
      <w:r>
        <w:rPr>
          <w:rFonts w:hint="eastAsia" w:ascii="新宋体" w:hAnsi="新宋体" w:eastAsia="新宋体" w:cs="新宋体"/>
          <w:color w:val="auto"/>
          <w:sz w:val="22"/>
          <w:szCs w:val="22"/>
          <w:highlight w:val="none"/>
          <w:u w:val="single"/>
        </w:rPr>
        <w:t>一项；</w:t>
      </w:r>
    </w:p>
    <w:p w14:paraId="41207713">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1.2.3标的质量：</w:t>
      </w:r>
      <w:r>
        <w:rPr>
          <w:rFonts w:hint="eastAsia" w:ascii="新宋体" w:hAnsi="新宋体" w:eastAsia="新宋体" w:cs="新宋体"/>
          <w:color w:val="auto"/>
          <w:sz w:val="22"/>
          <w:szCs w:val="22"/>
          <w:highlight w:val="none"/>
          <w:u w:val="single"/>
        </w:rPr>
        <w:t>根据采购文件确定的技术指标或者服务要求确定验收指标和标准。未进行相应约定的，应当符合国家强制性规定、政策要求、安全标准、行业或企业有关标准等。</w:t>
      </w:r>
    </w:p>
    <w:p w14:paraId="13A6864D">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1.3价款</w:t>
      </w:r>
    </w:p>
    <w:p w14:paraId="3619A6BB">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本项目结算方式为固定单价，数量按实结算，结算总价不超过项目预算。</w:t>
      </w:r>
    </w:p>
    <w:p w14:paraId="253A1DA6">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合同价格清单：详见附件1</w:t>
      </w:r>
    </w:p>
    <w:p w14:paraId="51EB0AB1">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项目人员清单：详细见附件2</w:t>
      </w:r>
    </w:p>
    <w:p w14:paraId="38AF049D">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1.4 付款方式和发票开具方式</w:t>
      </w:r>
    </w:p>
    <w:p w14:paraId="6F8A7599">
      <w:pPr>
        <w:pStyle w:val="342"/>
        <w:spacing w:before="0" w:beforeAutospacing="0" w:after="0" w:afterAutospacing="0" w:line="460" w:lineRule="exact"/>
        <w:ind w:firstLine="48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1.4.1甲方应严格履行合同，及时组织验收，验收合格后及时将合同款支付完毕。对于满足合同约定支付条件的，甲方5个工作日内将资金支付到合同约定的乙方账户，有条件的甲方可以即时支付。甲方不得以机构变动、人员更替、政策调整、单位放假等为由延迟付款。</w:t>
      </w:r>
    </w:p>
    <w:p w14:paraId="364229C0">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1.4.2 合同预付款比例为项目预算的40％；在签订合同时，乙方明确表示无需预付款或者主动要求降低预付款比例的，甲方可不适用前述规定。甲方根据项目特点、供应商诚信等因素，可以要求乙方提交银行、保险公司等金融机构出具的预付款保函或其他担保措施。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2477E8F6">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5FE8F282">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1.4.4资金支付的方式、时间和条件详见</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w:t>
      </w:r>
    </w:p>
    <w:p w14:paraId="45798E17">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1.5 履行期限、地点和方式</w:t>
      </w:r>
    </w:p>
    <w:p w14:paraId="01299AE3">
      <w:pPr>
        <w:spacing w:line="460" w:lineRule="exact"/>
        <w:ind w:firstLine="440" w:firstLineChars="200"/>
        <w:rPr>
          <w:rFonts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rPr>
        <w:t>1.5.1 履行期限：</w:t>
      </w:r>
      <w:r>
        <w:rPr>
          <w:rFonts w:hint="eastAsia" w:ascii="新宋体" w:hAnsi="新宋体" w:eastAsia="新宋体" w:cs="新宋体"/>
          <w:b/>
          <w:i/>
          <w:color w:val="auto"/>
          <w:sz w:val="22"/>
          <w:szCs w:val="22"/>
          <w:highlight w:val="none"/>
          <w:u w:val="single"/>
        </w:rPr>
        <w:t>详见合同专用条款</w:t>
      </w:r>
      <w:r>
        <w:rPr>
          <w:rFonts w:hint="eastAsia" w:ascii="新宋体" w:hAnsi="新宋体" w:eastAsia="新宋体" w:cs="新宋体"/>
          <w:color w:val="auto"/>
          <w:sz w:val="22"/>
          <w:szCs w:val="22"/>
          <w:highlight w:val="none"/>
        </w:rPr>
        <w:t>；</w:t>
      </w:r>
    </w:p>
    <w:p w14:paraId="0ED51BF1">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1.5.2 履行地点：</w:t>
      </w:r>
      <w:r>
        <w:rPr>
          <w:rFonts w:hint="eastAsia" w:ascii="新宋体" w:hAnsi="新宋体" w:eastAsia="新宋体" w:cs="新宋体"/>
          <w:b/>
          <w:i/>
          <w:color w:val="auto"/>
          <w:sz w:val="22"/>
          <w:szCs w:val="22"/>
          <w:highlight w:val="none"/>
          <w:u w:val="single"/>
        </w:rPr>
        <w:t>详见合同专用条款</w:t>
      </w:r>
      <w:r>
        <w:rPr>
          <w:rFonts w:hint="eastAsia" w:ascii="新宋体" w:hAnsi="新宋体" w:eastAsia="新宋体" w:cs="新宋体"/>
          <w:color w:val="auto"/>
          <w:sz w:val="22"/>
          <w:szCs w:val="22"/>
          <w:highlight w:val="none"/>
        </w:rPr>
        <w:t>；</w:t>
      </w:r>
    </w:p>
    <w:p w14:paraId="651EFE72">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1.5.3 履行方式：</w:t>
      </w:r>
      <w:r>
        <w:rPr>
          <w:rFonts w:hint="eastAsia" w:ascii="新宋体" w:hAnsi="新宋体" w:eastAsia="新宋体" w:cs="新宋体"/>
          <w:b/>
          <w:i/>
          <w:color w:val="auto"/>
          <w:sz w:val="22"/>
          <w:szCs w:val="22"/>
          <w:highlight w:val="none"/>
          <w:u w:val="single"/>
        </w:rPr>
        <w:t>详见合同专用条款</w:t>
      </w:r>
      <w:r>
        <w:rPr>
          <w:rFonts w:hint="eastAsia" w:ascii="新宋体" w:hAnsi="新宋体" w:eastAsia="新宋体" w:cs="新宋体"/>
          <w:color w:val="auto"/>
          <w:sz w:val="22"/>
          <w:szCs w:val="22"/>
          <w:highlight w:val="none"/>
        </w:rPr>
        <w:t>。</w:t>
      </w:r>
    </w:p>
    <w:p w14:paraId="57A40C65">
      <w:pPr>
        <w:spacing w:line="460" w:lineRule="exact"/>
        <w:ind w:firstLine="442" w:firstLineChars="200"/>
        <w:rPr>
          <w:rFonts w:ascii="新宋体" w:hAnsi="新宋体" w:eastAsia="新宋体" w:cs="新宋体"/>
          <w:color w:val="auto"/>
          <w:sz w:val="22"/>
          <w:szCs w:val="22"/>
          <w:highlight w:val="none"/>
          <w:u w:val="single"/>
        </w:rPr>
      </w:pPr>
      <w:r>
        <w:rPr>
          <w:rFonts w:hint="eastAsia" w:ascii="新宋体" w:hAnsi="新宋体" w:eastAsia="新宋体" w:cs="新宋体"/>
          <w:b/>
          <w:color w:val="auto"/>
          <w:sz w:val="22"/>
          <w:szCs w:val="22"/>
          <w:highlight w:val="none"/>
        </w:rPr>
        <w:t>1.6 违约责任</w:t>
      </w:r>
    </w:p>
    <w:p w14:paraId="3167F691">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1.6.1 除不可抗力外，如果乙方没有按照本合同约定的期限、地点和方式履行，那么甲方可要求乙方支付违约金，违约金按每迟延履行一日的应提供而未提供服务价格的</w:t>
      </w:r>
      <w:r>
        <w:rPr>
          <w:rFonts w:hint="eastAsia" w:ascii="新宋体" w:hAnsi="新宋体" w:eastAsia="新宋体" w:cs="新宋体"/>
          <w:color w:val="auto"/>
          <w:sz w:val="22"/>
          <w:szCs w:val="22"/>
          <w:highlight w:val="none"/>
          <w:u w:val="single"/>
        </w:rPr>
        <w:t xml:space="preserve"> 0.05   </w:t>
      </w:r>
      <w:r>
        <w:rPr>
          <w:rFonts w:hint="eastAsia" w:ascii="新宋体" w:hAnsi="新宋体" w:eastAsia="新宋体" w:cs="新宋体"/>
          <w:color w:val="auto"/>
          <w:sz w:val="22"/>
          <w:szCs w:val="22"/>
          <w:highlight w:val="none"/>
        </w:rPr>
        <w:t>%计算，最高限额为本项目预算的</w:t>
      </w:r>
      <w:r>
        <w:rPr>
          <w:rFonts w:hint="eastAsia" w:ascii="新宋体" w:hAnsi="新宋体" w:eastAsia="新宋体" w:cs="新宋体"/>
          <w:color w:val="auto"/>
          <w:sz w:val="22"/>
          <w:szCs w:val="22"/>
          <w:highlight w:val="none"/>
          <w:u w:val="single"/>
        </w:rPr>
        <w:t xml:space="preserve">  20   </w:t>
      </w:r>
      <w:r>
        <w:rPr>
          <w:rFonts w:hint="eastAsia" w:ascii="新宋体" w:hAnsi="新宋体" w:eastAsia="新宋体" w:cs="新宋体"/>
          <w:color w:val="auto"/>
          <w:sz w:val="22"/>
          <w:szCs w:val="22"/>
          <w:highlight w:val="none"/>
        </w:rPr>
        <w:t>%；迟延履行的违约金计算数额达到前述最高限额之日起，甲方有权在要求乙方支付违约金的同时，书面通知乙方解除本合同；</w:t>
      </w:r>
    </w:p>
    <w:p w14:paraId="741B08BE">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1.6.2 除不可抗力外，如果甲方没有按照本合同约定的付款方式付款，那么乙方可要求甲方支付违约金，违约金按每迟延付款一日的应付而未付款的</w:t>
      </w:r>
      <w:r>
        <w:rPr>
          <w:rFonts w:hint="eastAsia" w:ascii="新宋体" w:hAnsi="新宋体" w:eastAsia="新宋体" w:cs="新宋体"/>
          <w:color w:val="auto"/>
          <w:sz w:val="22"/>
          <w:szCs w:val="22"/>
          <w:highlight w:val="none"/>
          <w:u w:val="single"/>
        </w:rPr>
        <w:t xml:space="preserve"> 0.05   </w:t>
      </w:r>
      <w:r>
        <w:rPr>
          <w:rFonts w:hint="eastAsia" w:ascii="新宋体" w:hAnsi="新宋体" w:eastAsia="新宋体" w:cs="新宋体"/>
          <w:color w:val="auto"/>
          <w:sz w:val="22"/>
          <w:szCs w:val="22"/>
          <w:highlight w:val="none"/>
        </w:rPr>
        <w:t>%计算，最高限额为本项目预算的</w:t>
      </w:r>
      <w:r>
        <w:rPr>
          <w:rFonts w:hint="eastAsia" w:ascii="新宋体" w:hAnsi="新宋体" w:eastAsia="新宋体" w:cs="新宋体"/>
          <w:color w:val="auto"/>
          <w:sz w:val="22"/>
          <w:szCs w:val="22"/>
          <w:highlight w:val="none"/>
          <w:u w:val="single"/>
        </w:rPr>
        <w:t xml:space="preserve">  20   </w:t>
      </w:r>
      <w:r>
        <w:rPr>
          <w:rFonts w:hint="eastAsia" w:ascii="新宋体" w:hAnsi="新宋体" w:eastAsia="新宋体" w:cs="新宋体"/>
          <w:color w:val="auto"/>
          <w:sz w:val="22"/>
          <w:szCs w:val="22"/>
          <w:highlight w:val="none"/>
        </w:rPr>
        <w:t>%；迟延付款的违约金计算数额达到前述最高限额之日起，乙方有权在要求甲方支付违约金的同时，书面通知甲方解除本合同；</w:t>
      </w:r>
    </w:p>
    <w:p w14:paraId="6A16E967">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2B94C2A1">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EB58EA4">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F754E3D">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40DE3772">
      <w:pPr>
        <w:spacing w:line="460" w:lineRule="exact"/>
        <w:ind w:left="-420" w:leftChars="-200" w:right="-420" w:rightChars="-200" w:firstLine="660" w:firstLineChars="3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1.6.7违约责任</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另有约定的，从其约定。</w:t>
      </w:r>
    </w:p>
    <w:p w14:paraId="1EAEEC6B">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1.7 合同争议的解决</w:t>
      </w:r>
    </w:p>
    <w:p w14:paraId="595E3C26">
      <w:pPr>
        <w:spacing w:line="460" w:lineRule="exact"/>
        <w:ind w:left="-61" w:leftChars="-29" w:right="-420" w:rightChars="-200" w:firstLine="220" w:firstLineChars="1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本合同履行过程中发生的任何争议，双方当事人均可通过和解或者调解解决；不愿和解、调解或者和解、调解不成的，可以选择以下第</w:t>
      </w:r>
      <w:r>
        <w:rPr>
          <w:rFonts w:hint="eastAsia" w:ascii="新宋体" w:hAnsi="新宋体" w:eastAsia="新宋体" w:cs="新宋体"/>
          <w:b/>
          <w:i/>
          <w:color w:val="auto"/>
          <w:sz w:val="22"/>
          <w:szCs w:val="22"/>
          <w:highlight w:val="none"/>
          <w:u w:val="single"/>
        </w:rPr>
        <w:t xml:space="preserve"> 合同专用条款  </w:t>
      </w:r>
      <w:r>
        <w:rPr>
          <w:rFonts w:hint="eastAsia" w:ascii="新宋体" w:hAnsi="新宋体" w:eastAsia="新宋体" w:cs="新宋体"/>
          <w:color w:val="auto"/>
          <w:sz w:val="22"/>
          <w:szCs w:val="22"/>
          <w:highlight w:val="none"/>
        </w:rPr>
        <w:t>条款规定的方式解决：</w:t>
      </w:r>
    </w:p>
    <w:p w14:paraId="42BAB3C3">
      <w:pPr>
        <w:spacing w:line="460" w:lineRule="exact"/>
        <w:ind w:left="-420" w:leftChars="-200" w:right="-420" w:rightChars="-200"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1.7.1 将争议提交</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仲裁委员会依申请仲裁时其现行有效的仲裁规则裁决；</w:t>
      </w:r>
    </w:p>
    <w:p w14:paraId="5669A4F5">
      <w:pPr>
        <w:spacing w:line="460" w:lineRule="exact"/>
        <w:ind w:left="-420" w:leftChars="-200" w:right="-420" w:rightChars="-200" w:firstLine="550" w:firstLineChars="25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1.7.2 向</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人民法院起诉。</w:t>
      </w:r>
    </w:p>
    <w:p w14:paraId="2E5BDF9C">
      <w:pPr>
        <w:spacing w:line="460" w:lineRule="exact"/>
        <w:ind w:firstLine="221" w:firstLineChars="1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1.8 合同生效</w:t>
      </w:r>
    </w:p>
    <w:p w14:paraId="39F8D6ED">
      <w:pPr>
        <w:spacing w:line="460" w:lineRule="exact"/>
        <w:ind w:firstLine="440" w:firstLineChars="200"/>
        <w:rPr>
          <w:rFonts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本合同自双方法定代表人或授权代表签字并加盖公章时生效。</w:t>
      </w:r>
    </w:p>
    <w:p w14:paraId="6730AFB9">
      <w:pPr>
        <w:autoSpaceDE w:val="0"/>
        <w:autoSpaceDN w:val="0"/>
        <w:spacing w:line="460" w:lineRule="exact"/>
        <w:rPr>
          <w:rFonts w:ascii="新宋体" w:hAnsi="新宋体" w:eastAsia="新宋体" w:cs="新宋体"/>
          <w:color w:val="auto"/>
          <w:sz w:val="22"/>
          <w:szCs w:val="22"/>
          <w:highlight w:val="none"/>
          <w:lang w:val="zh-CN"/>
        </w:rPr>
      </w:pPr>
    </w:p>
    <w:p w14:paraId="067097F5">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b/>
          <w:color w:val="auto"/>
          <w:sz w:val="22"/>
          <w:szCs w:val="22"/>
          <w:highlight w:val="none"/>
          <w:lang w:val="zh-CN"/>
        </w:rPr>
        <w:t>甲方</w:t>
      </w:r>
      <w:r>
        <w:rPr>
          <w:rFonts w:hint="eastAsia" w:ascii="新宋体" w:hAnsi="新宋体" w:eastAsia="新宋体" w:cs="新宋体"/>
          <w:color w:val="auto"/>
          <w:sz w:val="22"/>
          <w:szCs w:val="22"/>
          <w:highlight w:val="none"/>
          <w:lang w:val="zh-CN"/>
        </w:rPr>
        <w:t>：</w:t>
      </w:r>
      <w:r>
        <w:rPr>
          <w:rFonts w:hint="eastAsia" w:ascii="新宋体" w:hAnsi="新宋体" w:eastAsia="新宋体" w:cs="新宋体"/>
          <w:b/>
          <w:color w:val="auto"/>
          <w:sz w:val="22"/>
          <w:szCs w:val="22"/>
          <w:highlight w:val="none"/>
          <w:lang w:val="zh-CN"/>
        </w:rPr>
        <w:t>乙方</w:t>
      </w:r>
      <w:r>
        <w:rPr>
          <w:rFonts w:hint="eastAsia" w:ascii="新宋体" w:hAnsi="新宋体" w:eastAsia="新宋体" w:cs="新宋体"/>
          <w:color w:val="auto"/>
          <w:sz w:val="22"/>
          <w:szCs w:val="22"/>
          <w:highlight w:val="none"/>
          <w:lang w:val="zh-CN"/>
        </w:rPr>
        <w:t>：</w:t>
      </w:r>
    </w:p>
    <w:p w14:paraId="01883C1F">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统一社会信用代码：                       统一社会信用代码或身份证号码：</w:t>
      </w:r>
    </w:p>
    <w:p w14:paraId="7593234B">
      <w:pPr>
        <w:autoSpaceDE w:val="0"/>
        <w:autoSpaceDN w:val="0"/>
        <w:spacing w:line="460" w:lineRule="exact"/>
        <w:rPr>
          <w:rFonts w:ascii="新宋体" w:hAnsi="新宋体" w:eastAsia="新宋体" w:cs="新宋体"/>
          <w:color w:val="auto"/>
          <w:sz w:val="22"/>
          <w:szCs w:val="22"/>
          <w:highlight w:val="none"/>
          <w:lang w:val="zh-CN"/>
        </w:rPr>
      </w:pPr>
    </w:p>
    <w:p w14:paraId="062B527F">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住所：                                   住所：</w:t>
      </w:r>
    </w:p>
    <w:p w14:paraId="733ADA09">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法定代表人或                             法定代表人或</w:t>
      </w:r>
    </w:p>
    <w:p w14:paraId="215B97EC">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 xml:space="preserve">授权代表（签字）：                       授权代表（签字）: </w:t>
      </w:r>
    </w:p>
    <w:p w14:paraId="7E8627BA">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联系人：                                 联系人：</w:t>
      </w:r>
    </w:p>
    <w:p w14:paraId="58751B7F">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约定送达地址：                           约定送达地址：</w:t>
      </w:r>
    </w:p>
    <w:p w14:paraId="2E29640F">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邮政编码：                               邮政编码：</w:t>
      </w:r>
    </w:p>
    <w:p w14:paraId="4A473A6C">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 xml:space="preserve">电话:                                    电话: </w:t>
      </w:r>
    </w:p>
    <w:p w14:paraId="4ACD69A1">
      <w:pPr>
        <w:autoSpaceDE w:val="0"/>
        <w:autoSpaceDN w:val="0"/>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传真:                                    传真:</w:t>
      </w:r>
    </w:p>
    <w:p w14:paraId="085C60ED">
      <w:pPr>
        <w:autoSpaceDE w:val="0"/>
        <w:autoSpaceDN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zh-CN"/>
        </w:rPr>
        <w:t>电子邮箱：                               电子邮箱：</w:t>
      </w:r>
    </w:p>
    <w:p w14:paraId="3F4FE6CB">
      <w:pPr>
        <w:autoSpaceDE w:val="0"/>
        <w:autoSpaceDN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开户银行：                               开户银行： </w:t>
      </w:r>
    </w:p>
    <w:p w14:paraId="7BAC74F8">
      <w:pPr>
        <w:autoSpaceDE w:val="0"/>
        <w:autoSpaceDN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开户名称：                               开户名称： </w:t>
      </w:r>
    </w:p>
    <w:p w14:paraId="45BCC9E2">
      <w:pPr>
        <w:autoSpaceDE w:val="0"/>
        <w:autoSpaceDN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开户账号：</w:t>
      </w:r>
      <w:r>
        <w:rPr>
          <w:rFonts w:hint="eastAsia" w:ascii="新宋体" w:hAnsi="新宋体" w:eastAsia="新宋体" w:cs="新宋体"/>
          <w:color w:val="auto"/>
          <w:sz w:val="22"/>
          <w:szCs w:val="22"/>
          <w:highlight w:val="none"/>
          <w:lang w:val="en-US" w:eastAsia="zh-CN"/>
        </w:rPr>
        <w:t xml:space="preserve">                               </w:t>
      </w:r>
      <w:r>
        <w:rPr>
          <w:rFonts w:hint="eastAsia" w:ascii="新宋体" w:hAnsi="新宋体" w:eastAsia="新宋体" w:cs="新宋体"/>
          <w:color w:val="auto"/>
          <w:sz w:val="22"/>
          <w:szCs w:val="22"/>
          <w:highlight w:val="none"/>
        </w:rPr>
        <w:t>开户账号：</w:t>
      </w:r>
    </w:p>
    <w:p w14:paraId="691A43B3">
      <w:pPr>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br w:type="page"/>
      </w:r>
    </w:p>
    <w:p w14:paraId="55401BB6">
      <w:pPr>
        <w:pStyle w:val="214"/>
        <w:spacing w:line="460" w:lineRule="exact"/>
        <w:ind w:firstLine="0" w:firstLineChars="0"/>
        <w:jc w:val="center"/>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第二部分 合同一般条款</w:t>
      </w:r>
    </w:p>
    <w:p w14:paraId="7E6E6109">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 定义</w:t>
      </w:r>
    </w:p>
    <w:p w14:paraId="599D06CA">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本合同中的下列词语应按以下内容进行解释：</w:t>
      </w:r>
    </w:p>
    <w:p w14:paraId="66D43514">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2.1.1 “合同”系指采购人和中标供应商签订的载明双方当事人所达成的协议，并包括所有的附件、附录和构成合同的其他文件。</w:t>
      </w:r>
    </w:p>
    <w:p w14:paraId="2DDF8CCB">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2.1.2 “合同总价”系指根据合同约定，中标供应商在完全履行合同义务后，采购人应支付给中标供应商的价格。</w:t>
      </w:r>
    </w:p>
    <w:p w14:paraId="0B33F3CA">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2.1.3 “服务”系指中标供应商根据合同约定应向采购人履行的除货物和工程以外的其他政府采购对象，包括采购人自身需要的服务和向社会公众提供的公共服务，具体以招标文件要求为准。</w:t>
      </w:r>
    </w:p>
    <w:p w14:paraId="3F6FC378">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2.1.4 “甲方”系指与中标供应商签署合同的采购人；采购人委托采购代理机构代表其与乙方签订合同的，采购人的授权委托书作为合同附件。</w:t>
      </w:r>
    </w:p>
    <w:p w14:paraId="059AC054">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2.1.5 “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783C7D8">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2.1.6 “现场”系指合同约定提供服务的地点。</w:t>
      </w:r>
    </w:p>
    <w:p w14:paraId="15C3D2F0">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2.2 技术规范</w:t>
      </w:r>
    </w:p>
    <w:p w14:paraId="334271AA">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327CB81">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2.3 知识产权</w:t>
      </w:r>
    </w:p>
    <w:p w14:paraId="6BD5E25C">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18E0FFF8">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2.3.2 合同涉及技术成果的归属和收益的分成办法的，详见</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w:t>
      </w:r>
    </w:p>
    <w:p w14:paraId="31F5581C">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2.4 履约检查和问题反馈</w:t>
      </w:r>
    </w:p>
    <w:p w14:paraId="2ED49E2F">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85D51BE">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2.4.2 合同履行期间，甲方有权将履行过程中出现的问题反馈给乙方，双方当事人应以书面形式约定需要完善和改进的内容。</w:t>
      </w:r>
    </w:p>
    <w:p w14:paraId="65E5C25C">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2.5 结算方式和付款条件</w:t>
      </w:r>
    </w:p>
    <w:p w14:paraId="04858301">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详见</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w:t>
      </w:r>
    </w:p>
    <w:p w14:paraId="2FC08A2E">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2.6 技术资料和保密义务</w:t>
      </w:r>
    </w:p>
    <w:p w14:paraId="54F47C39">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2.6.1 乙方有权依据合同约定和项目需要，向甲方了解有关情况，调阅有关资料等，甲方应予积极配合；</w:t>
      </w:r>
    </w:p>
    <w:p w14:paraId="11969240">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2.6.2 乙方有义务妥善保管和保护由甲方提供的前款信息和资料等，乙方应严格按照甲方规定使用、存储、处理文档资料和数据。合同终止时，乙方应当交还全部公安资料和数据；</w:t>
      </w:r>
    </w:p>
    <w:p w14:paraId="72AB3453">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3AFD41">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2.7 质量保证</w:t>
      </w:r>
    </w:p>
    <w:p w14:paraId="4DF3630E">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2.7.1 乙方应建立和完善履行合同的内部质量保证体系，并提供相关内部规章制度给甲方，以便甲方进行监督检查；</w:t>
      </w:r>
    </w:p>
    <w:p w14:paraId="48360102">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2.7.2 乙方应保证履行合同的人员数量和素质、软件和硬件设备的配置、场地、环境和设施等满足全面履行合同的要求，并应接受甲方的监督检查。</w:t>
      </w:r>
    </w:p>
    <w:p w14:paraId="5D8135C0">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2.8 延迟履行</w:t>
      </w:r>
    </w:p>
    <w:p w14:paraId="49CDED6E">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03DC9B41">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2.9 合同变更</w:t>
      </w:r>
    </w:p>
    <w:p w14:paraId="19588F4C">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合同继续履行将损害国家利益和社会公共利益的，双方当事人应当以书面形式变更合同。有过错的一方应当承担赔偿责任，双方当事人都有过错的，各自承担相应的责任。</w:t>
      </w:r>
    </w:p>
    <w:p w14:paraId="5E06B3A0">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2.10 合同转让和分包</w:t>
      </w:r>
    </w:p>
    <w:p w14:paraId="3E578CCC">
      <w:pPr>
        <w:spacing w:line="460" w:lineRule="exact"/>
        <w:ind w:firstLine="440" w:firstLineChars="200"/>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2.10.1合同的权利义务依法不得转让</w:t>
      </w:r>
      <w:r>
        <w:rPr>
          <w:rFonts w:hint="eastAsia" w:ascii="新宋体" w:hAnsi="新宋体" w:eastAsia="新宋体" w:cs="新宋体"/>
          <w:color w:val="auto"/>
          <w:sz w:val="22"/>
          <w:szCs w:val="22"/>
          <w:highlight w:val="none"/>
          <w:lang w:val="en-US" w:eastAsia="zh-CN"/>
        </w:rPr>
        <w:t>及分包。</w:t>
      </w:r>
    </w:p>
    <w:p w14:paraId="3F8568EB">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2.11 不可抗力</w:t>
      </w:r>
    </w:p>
    <w:p w14:paraId="39F52BFC">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2.11.1如果任何一方遭遇法律规定的不可抗力，致使合同履行受阻时，履行合同的期限应予延长，延长的期限应相当于不可抗力所影响的时间；</w:t>
      </w:r>
    </w:p>
    <w:p w14:paraId="36C5DC3B">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2.11.2 因不可抗力致使不能实现合同目的的，当事人可以解除合同；</w:t>
      </w:r>
    </w:p>
    <w:p w14:paraId="520FBA28">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2.11.3 因不可抗力致使合同有变更必要的，双方当事人应在</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约定时间内以书面形式变更合同；</w:t>
      </w:r>
    </w:p>
    <w:p w14:paraId="108296DD">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2.11.4受不可抗力影响的一方在不可抗力发生后，应在</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约定时间内以书面形式通知对方当事人，并在</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约定时间内，将有关部门出具的证明文件送达对方当事人。</w:t>
      </w:r>
    </w:p>
    <w:p w14:paraId="6E82EA4A">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2.12 税费</w:t>
      </w:r>
    </w:p>
    <w:p w14:paraId="01E070D9">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与合同有关的一切税费，均按照中华人民共和国法律的相关规定缴纳。</w:t>
      </w:r>
    </w:p>
    <w:p w14:paraId="68680EB0">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2.13 乙方破产</w:t>
      </w:r>
    </w:p>
    <w:p w14:paraId="73AB4B83">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1AA5C92">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2.14 合同中止、终止</w:t>
      </w:r>
    </w:p>
    <w:p w14:paraId="3C8E34C1">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2.14.1 双方当事人不得擅自中止或者终止合同；</w:t>
      </w:r>
    </w:p>
    <w:p w14:paraId="1FBE58D0">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2.14.2合同继续履行将损害国家利益和社会公共利益的，双方当事人应当中止或者终止合同。有过错的一方应当承担赔偿责任，双方当事人都有过错的，各自承担相应的责任。</w:t>
      </w:r>
    </w:p>
    <w:p w14:paraId="1E3866F8">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2.15 检验和验收</w:t>
      </w:r>
    </w:p>
    <w:p w14:paraId="6E3D25D4">
      <w:pPr>
        <w:tabs>
          <w:tab w:val="left" w:pos="360"/>
          <w:tab w:val="left" w:pos="540"/>
          <w:tab w:val="left" w:pos="1080"/>
        </w:tabs>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2.15.1 乙方按照</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的约定，定期提交服务报告，甲方按照</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的约定进行定期验收；</w:t>
      </w:r>
    </w:p>
    <w:p w14:paraId="3A2AA1A1">
      <w:pPr>
        <w:tabs>
          <w:tab w:val="left" w:pos="360"/>
          <w:tab w:val="left" w:pos="540"/>
          <w:tab w:val="left" w:pos="1080"/>
        </w:tabs>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331CD0D">
      <w:pPr>
        <w:tabs>
          <w:tab w:val="left" w:pos="360"/>
          <w:tab w:val="left" w:pos="540"/>
          <w:tab w:val="left" w:pos="1080"/>
        </w:tabs>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2.15.3 检验和验收标准、程序等具体内容以及前述验收书的效力详见</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i/>
          <w:color w:val="auto"/>
          <w:sz w:val="22"/>
          <w:szCs w:val="22"/>
          <w:highlight w:val="none"/>
        </w:rPr>
        <w:t>。</w:t>
      </w:r>
    </w:p>
    <w:p w14:paraId="536F1DF5">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2.16 通知和送达</w:t>
      </w:r>
    </w:p>
    <w:p w14:paraId="78698812">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新宋体" w:hAnsi="新宋体" w:eastAsia="新宋体" w:cs="新宋体"/>
          <w:color w:val="auto"/>
          <w:sz w:val="22"/>
          <w:szCs w:val="22"/>
          <w:highlight w:val="none"/>
          <w:u w:val="single"/>
        </w:rPr>
        <w:t>3</w:t>
      </w:r>
      <w:r>
        <w:rPr>
          <w:rFonts w:hint="eastAsia" w:ascii="新宋体" w:hAnsi="新宋体" w:eastAsia="新宋体" w:cs="新宋体"/>
          <w:color w:val="auto"/>
          <w:sz w:val="22"/>
          <w:szCs w:val="22"/>
          <w:highlight w:val="none"/>
        </w:rPr>
        <w:t>个工作日内书面通知对方当事人，在对方当事人收到有关变更通知之前，变更前的约定送达方式或者地址仍视为有效。</w:t>
      </w:r>
    </w:p>
    <w:p w14:paraId="68215E46">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7833BA3D">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2.17 合同使用的文字和适用的法律</w:t>
      </w:r>
    </w:p>
    <w:p w14:paraId="296E6E89">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2.17.1 合同使用汉语书就、变更和解释；</w:t>
      </w:r>
    </w:p>
    <w:p w14:paraId="31D5D0D6">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2.17.2 合同适用中华人民共和国法律。</w:t>
      </w:r>
    </w:p>
    <w:p w14:paraId="27573601">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2.18 履约保证金</w:t>
      </w:r>
    </w:p>
    <w:p w14:paraId="2218C9DC">
      <w:pPr>
        <w:pStyle w:val="342"/>
        <w:spacing w:before="0" w:beforeAutospacing="0" w:after="0" w:afterAutospacing="0" w:line="460" w:lineRule="exact"/>
        <w:ind w:firstLine="42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2.18.1 采购文件要求乙方提交履约保证金的，乙方应按</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约定的方式，以支票、汇票、本票或者金融机构、担保机构出具的保函等非现金形式，提交不超过项目预算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的履约保证金；鼓励和支持乙方以银行、保险公司出具的保函形式提供履约保证，乙方以银行、保险公司出具保函形式提交履约保证金的，甲方不得拒收。</w:t>
      </w:r>
    </w:p>
    <w:p w14:paraId="658A8F09">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2.18.2  甲方在项目验收结束后及时退还履约保证金。甲方在项目通过验收之日起</w:t>
      </w:r>
      <w:r>
        <w:rPr>
          <w:rFonts w:hint="eastAsia" w:ascii="新宋体" w:hAnsi="新宋体" w:eastAsia="新宋体" w:cs="新宋体"/>
          <w:color w:val="auto"/>
          <w:sz w:val="22"/>
          <w:szCs w:val="22"/>
          <w:highlight w:val="none"/>
          <w:u w:val="single"/>
        </w:rPr>
        <w:t xml:space="preserve"> 5 </w:t>
      </w:r>
      <w:r>
        <w:rPr>
          <w:rFonts w:hint="eastAsia" w:ascii="新宋体" w:hAnsi="新宋体" w:eastAsia="新宋体" w:cs="新宋体"/>
          <w:color w:val="auto"/>
          <w:sz w:val="22"/>
          <w:szCs w:val="22"/>
          <w:highlight w:val="none"/>
        </w:rPr>
        <w:t>个工作日内，按</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约定的方式将履约保证金退还乙方，逾期退还的，乙方可要求甲方支付违约金，违约金按每迟延退还一日的应退还而未退还金额的</w:t>
      </w:r>
      <w:r>
        <w:rPr>
          <w:rFonts w:hint="eastAsia" w:ascii="新宋体" w:hAnsi="新宋体" w:eastAsia="新宋体" w:cs="新宋体"/>
          <w:color w:val="auto"/>
          <w:sz w:val="22"/>
          <w:szCs w:val="22"/>
          <w:highlight w:val="none"/>
          <w:u w:val="single"/>
        </w:rPr>
        <w:t xml:space="preserve">  0.05  </w:t>
      </w:r>
      <w:r>
        <w:rPr>
          <w:rFonts w:hint="eastAsia" w:ascii="新宋体" w:hAnsi="新宋体" w:eastAsia="新宋体" w:cs="新宋体"/>
          <w:color w:val="auto"/>
          <w:sz w:val="22"/>
          <w:szCs w:val="22"/>
          <w:highlight w:val="none"/>
        </w:rPr>
        <w:t>%计算，最高限额为本合同履约保证金的</w:t>
      </w:r>
      <w:r>
        <w:rPr>
          <w:rFonts w:hint="eastAsia" w:ascii="新宋体" w:hAnsi="新宋体" w:eastAsia="新宋体" w:cs="新宋体"/>
          <w:color w:val="auto"/>
          <w:sz w:val="22"/>
          <w:szCs w:val="22"/>
          <w:highlight w:val="none"/>
          <w:u w:val="single"/>
        </w:rPr>
        <w:t xml:space="preserve">  20   </w:t>
      </w:r>
      <w:r>
        <w:rPr>
          <w:rFonts w:hint="eastAsia" w:ascii="新宋体" w:hAnsi="新宋体" w:eastAsia="新宋体" w:cs="新宋体"/>
          <w:color w:val="auto"/>
          <w:sz w:val="22"/>
          <w:szCs w:val="22"/>
          <w:highlight w:val="none"/>
        </w:rPr>
        <w:t xml:space="preserve">%； </w:t>
      </w:r>
    </w:p>
    <w:p w14:paraId="007EFEE1">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80390BF">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2.18.4甲方向乙方收取履约保证金为项目预算的</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p>
    <w:p w14:paraId="63B307DD">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2.18.5甲方在乙方履行完合同约定义务事项后及时退还，延迟退还的，应当按照合同约定和法律规定承担相应的赔偿责任。</w:t>
      </w:r>
    </w:p>
    <w:p w14:paraId="37EDE38B">
      <w:pPr>
        <w:spacing w:line="460" w:lineRule="exact"/>
        <w:ind w:firstLine="442" w:firstLineChars="200"/>
        <w:rPr>
          <w:rFonts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rPr>
        <w:t>2.19</w:t>
      </w:r>
      <w:r>
        <w:rPr>
          <w:rFonts w:hint="eastAsia" w:ascii="新宋体" w:hAnsi="新宋体" w:eastAsia="新宋体" w:cs="新宋体"/>
          <w:color w:val="auto"/>
          <w:sz w:val="22"/>
          <w:szCs w:val="22"/>
          <w:highlight w:val="none"/>
        </w:rPr>
        <w:t>对于因甲方原因导致变更、中止或者终止政府采购合同的，甲方应当依照合同约定对供应商受到的损失予以赔偿或者补偿。</w:t>
      </w:r>
    </w:p>
    <w:p w14:paraId="29F5F9F0">
      <w:pPr>
        <w:spacing w:line="460" w:lineRule="exact"/>
        <w:ind w:firstLine="442" w:firstLineChars="200"/>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2.20合同份数</w:t>
      </w:r>
    </w:p>
    <w:p w14:paraId="1499A500">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合同份数按</w:t>
      </w:r>
      <w:r>
        <w:rPr>
          <w:rFonts w:hint="eastAsia" w:ascii="新宋体" w:hAnsi="新宋体" w:eastAsia="新宋体" w:cs="新宋体"/>
          <w:b/>
          <w:i/>
          <w:color w:val="auto"/>
          <w:sz w:val="22"/>
          <w:szCs w:val="22"/>
          <w:highlight w:val="none"/>
          <w:u w:val="single"/>
        </w:rPr>
        <w:t>合同专用条款</w:t>
      </w:r>
      <w:r>
        <w:rPr>
          <w:rFonts w:hint="eastAsia" w:ascii="新宋体" w:hAnsi="新宋体" w:eastAsia="新宋体" w:cs="新宋体"/>
          <w:color w:val="auto"/>
          <w:sz w:val="22"/>
          <w:szCs w:val="22"/>
          <w:highlight w:val="none"/>
        </w:rPr>
        <w:t>规定，每份均具有同等法律效力。</w:t>
      </w:r>
    </w:p>
    <w:p w14:paraId="0495FBAB">
      <w:pPr>
        <w:pStyle w:val="214"/>
        <w:spacing w:line="460" w:lineRule="exact"/>
        <w:ind w:firstLine="440"/>
        <w:jc w:val="center"/>
        <w:rPr>
          <w:rFonts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br w:type="page"/>
      </w:r>
      <w:r>
        <w:rPr>
          <w:rFonts w:hint="eastAsia" w:ascii="新宋体" w:hAnsi="新宋体" w:eastAsia="新宋体" w:cs="新宋体"/>
          <w:b/>
          <w:color w:val="auto"/>
          <w:sz w:val="22"/>
          <w:szCs w:val="22"/>
          <w:highlight w:val="none"/>
        </w:rPr>
        <w:t>第三部分合同专用条款</w:t>
      </w:r>
    </w:p>
    <w:p w14:paraId="676850FC">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7A322258">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1.4.4</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t>付款条件（进度和方式）：</w:t>
      </w:r>
    </w:p>
    <w:p w14:paraId="24B01555">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1、合同签订后7个工作日内，待财政资金到位，甲方支付乙方合同金额的40％预付款，同时乙方缴纳项目预算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的履约保证。</w:t>
      </w:r>
    </w:p>
    <w:p w14:paraId="37919B8F">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2、按实支付，每3个月结算一次，结算金额优先从预付款金额中扣除。</w:t>
      </w:r>
    </w:p>
    <w:p w14:paraId="43922D28">
      <w:pPr>
        <w:spacing w:line="460" w:lineRule="exact"/>
        <w:ind w:firstLine="440" w:firstLineChars="200"/>
        <w:jc w:val="lef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双方确认，</w:t>
      </w:r>
      <w:r>
        <w:rPr>
          <w:rFonts w:hint="eastAsia" w:ascii="新宋体" w:hAnsi="新宋体" w:eastAsia="新宋体" w:cs="新宋体"/>
          <w:color w:val="auto"/>
          <w:sz w:val="22"/>
          <w:szCs w:val="22"/>
          <w:highlight w:val="none"/>
        </w:rPr>
        <w:t>甲方</w:t>
      </w:r>
      <w:r>
        <w:rPr>
          <w:rFonts w:hint="eastAsia" w:ascii="新宋体" w:hAnsi="新宋体" w:eastAsia="新宋体" w:cs="新宋体"/>
          <w:color w:val="auto"/>
          <w:sz w:val="22"/>
          <w:szCs w:val="22"/>
          <w:highlight w:val="none"/>
          <w:lang w:val="zh-CN"/>
        </w:rPr>
        <w:t>按</w:t>
      </w:r>
      <w:r>
        <w:rPr>
          <w:rFonts w:hint="eastAsia" w:ascii="新宋体" w:hAnsi="新宋体" w:eastAsia="新宋体" w:cs="新宋体"/>
          <w:color w:val="auto"/>
          <w:sz w:val="22"/>
          <w:szCs w:val="22"/>
          <w:highlight w:val="none"/>
        </w:rPr>
        <w:t>前2款</w:t>
      </w:r>
      <w:r>
        <w:rPr>
          <w:rFonts w:hint="eastAsia" w:ascii="新宋体" w:hAnsi="新宋体" w:eastAsia="新宋体" w:cs="新宋体"/>
          <w:color w:val="auto"/>
          <w:sz w:val="22"/>
          <w:szCs w:val="22"/>
          <w:highlight w:val="none"/>
          <w:lang w:val="zh-CN"/>
        </w:rPr>
        <w:t>结算并向</w:t>
      </w:r>
      <w:r>
        <w:rPr>
          <w:rFonts w:hint="eastAsia" w:ascii="新宋体" w:hAnsi="新宋体" w:eastAsia="新宋体" w:cs="新宋体"/>
          <w:color w:val="auto"/>
          <w:sz w:val="22"/>
          <w:szCs w:val="22"/>
          <w:highlight w:val="none"/>
        </w:rPr>
        <w:t>乙方</w:t>
      </w:r>
      <w:r>
        <w:rPr>
          <w:rFonts w:hint="eastAsia" w:ascii="新宋体" w:hAnsi="新宋体" w:eastAsia="新宋体" w:cs="新宋体"/>
          <w:color w:val="auto"/>
          <w:sz w:val="22"/>
          <w:szCs w:val="22"/>
          <w:highlight w:val="none"/>
          <w:lang w:val="zh-CN"/>
        </w:rPr>
        <w:t>支付的款项总额不超过项目预算。</w:t>
      </w:r>
    </w:p>
    <w:p w14:paraId="1CB22B92">
      <w:pPr>
        <w:spacing w:line="460" w:lineRule="exact"/>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前述</w:t>
      </w:r>
      <w:r>
        <w:rPr>
          <w:rFonts w:hint="eastAsia" w:ascii="新宋体" w:hAnsi="新宋体" w:eastAsia="新宋体" w:cs="新宋体"/>
          <w:color w:val="auto"/>
          <w:sz w:val="22"/>
          <w:szCs w:val="22"/>
          <w:highlight w:val="none"/>
        </w:rPr>
        <w:t>甲方根据合同单价及实际施工使用的产品数量、人员到位数、车辆使用数量</w:t>
      </w:r>
      <w:r>
        <w:rPr>
          <w:rFonts w:hint="eastAsia" w:ascii="新宋体" w:hAnsi="新宋体" w:eastAsia="新宋体" w:cs="新宋体"/>
          <w:color w:val="auto"/>
          <w:sz w:val="22"/>
          <w:szCs w:val="22"/>
          <w:highlight w:val="none"/>
          <w:lang w:val="zh-CN"/>
        </w:rPr>
        <w:t>与</w:t>
      </w:r>
      <w:r>
        <w:rPr>
          <w:rFonts w:hint="eastAsia" w:ascii="新宋体" w:hAnsi="新宋体" w:eastAsia="新宋体" w:cs="新宋体"/>
          <w:color w:val="auto"/>
          <w:sz w:val="22"/>
          <w:szCs w:val="22"/>
          <w:highlight w:val="none"/>
        </w:rPr>
        <w:t>乙方</w:t>
      </w:r>
      <w:r>
        <w:rPr>
          <w:rFonts w:hint="eastAsia" w:ascii="新宋体" w:hAnsi="新宋体" w:eastAsia="新宋体" w:cs="新宋体"/>
          <w:color w:val="auto"/>
          <w:sz w:val="22"/>
          <w:szCs w:val="22"/>
          <w:highlight w:val="none"/>
          <w:lang w:val="zh-CN"/>
        </w:rPr>
        <w:t>进行按实结算付款的方式不影响</w:t>
      </w:r>
      <w:r>
        <w:rPr>
          <w:rFonts w:hint="eastAsia" w:ascii="新宋体" w:hAnsi="新宋体" w:eastAsia="新宋体" w:cs="新宋体"/>
          <w:color w:val="auto"/>
          <w:sz w:val="22"/>
          <w:szCs w:val="22"/>
          <w:highlight w:val="none"/>
        </w:rPr>
        <w:t>乙方</w:t>
      </w:r>
      <w:r>
        <w:rPr>
          <w:rFonts w:hint="eastAsia" w:ascii="新宋体" w:hAnsi="新宋体" w:eastAsia="新宋体" w:cs="新宋体"/>
          <w:color w:val="auto"/>
          <w:sz w:val="22"/>
          <w:szCs w:val="22"/>
          <w:highlight w:val="none"/>
          <w:lang w:val="zh-CN"/>
        </w:rPr>
        <w:t>承担其因未全面履行本合同义务而产生的相应违约金。</w:t>
      </w:r>
    </w:p>
    <w:p w14:paraId="7B05B0C2">
      <w:pPr>
        <w:spacing w:line="460" w:lineRule="exact"/>
        <w:ind w:firstLine="442" w:firstLineChars="200"/>
        <w:rPr>
          <w:rFonts w:hint="eastAsia" w:ascii="新宋体" w:hAnsi="新宋体" w:eastAsia="新宋体" w:cs="新宋体"/>
          <w:color w:val="auto"/>
          <w:sz w:val="22"/>
          <w:szCs w:val="22"/>
          <w:highlight w:val="none"/>
        </w:rPr>
      </w:pPr>
      <w:r>
        <w:rPr>
          <w:rFonts w:hint="eastAsia" w:ascii="新宋体" w:hAnsi="新宋体" w:eastAsia="新宋体" w:cs="新宋体"/>
          <w:b/>
          <w:bCs w:val="0"/>
          <w:color w:val="auto"/>
          <w:sz w:val="22"/>
          <w:szCs w:val="22"/>
          <w:highlight w:val="none"/>
          <w:u w:val="single"/>
        </w:rPr>
        <w:t>注：1、本项目上一年服务合同截止时间为2024年11月30日。为保障项目服务的可持续运行（基础维护工作无法中止），2024年12月1日起由招标人委托原服务单位进行代为服务。在完成招标后，由受委托服务单位将该项目服务工作移交给中标人。期间产生的服务费用，以中标项目约定的各项单价为基准，参照本次中标人中标折扣率的价格按实际发生量结算给受委托服务单位。</w:t>
      </w:r>
    </w:p>
    <w:p w14:paraId="381E9EFF">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1.5.1履行期限：</w:t>
      </w:r>
      <w:r>
        <w:rPr>
          <w:rFonts w:hint="eastAsia" w:ascii="新宋体" w:hAnsi="新宋体" w:eastAsia="新宋体" w:cs="新宋体"/>
          <w:color w:val="auto"/>
          <w:sz w:val="22"/>
          <w:szCs w:val="22"/>
          <w:highlight w:val="none"/>
        </w:rPr>
        <w:t>2024年12月1日起8个月或采购金额达到预算金额（二者以先到为准）为止。</w:t>
      </w:r>
    </w:p>
    <w:p w14:paraId="068546FF">
      <w:pPr>
        <w:spacing w:line="460" w:lineRule="exact"/>
        <w:ind w:left="210" w:leftChars="100" w:firstLine="220" w:firstLineChars="1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1.5.2履行地点：</w:t>
      </w:r>
    </w:p>
    <w:p w14:paraId="0846207C">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1.5.3履行方式：。</w:t>
      </w:r>
    </w:p>
    <w:p w14:paraId="0BC1F54A">
      <w:pPr>
        <w:spacing w:line="460" w:lineRule="exact"/>
        <w:rPr>
          <w:rFonts w:ascii="新宋体" w:hAnsi="新宋体" w:eastAsia="新宋体" w:cs="新宋体"/>
          <w:b/>
          <w:bCs/>
          <w:color w:val="auto"/>
          <w:sz w:val="22"/>
          <w:szCs w:val="22"/>
          <w:highlight w:val="none"/>
        </w:rPr>
      </w:pPr>
      <w:r>
        <w:rPr>
          <w:rFonts w:hint="eastAsia" w:ascii="新宋体" w:hAnsi="新宋体" w:eastAsia="新宋体" w:cs="新宋体"/>
          <w:color w:val="auto"/>
          <w:sz w:val="22"/>
          <w:szCs w:val="22"/>
          <w:highlight w:val="none"/>
        </w:rPr>
        <w:t>1.6.7违约责任</w:t>
      </w:r>
    </w:p>
    <w:p w14:paraId="31755417">
      <w:pPr>
        <w:spacing w:line="460" w:lineRule="exact"/>
        <w:jc w:val="left"/>
        <w:rPr>
          <w:rFonts w:ascii="新宋体" w:hAnsi="新宋体" w:eastAsia="新宋体" w:cs="新宋体"/>
          <w:iCs/>
          <w:color w:val="auto"/>
          <w:sz w:val="22"/>
          <w:szCs w:val="22"/>
          <w:highlight w:val="none"/>
        </w:rPr>
      </w:pPr>
      <w:r>
        <w:rPr>
          <w:rFonts w:hint="eastAsia" w:ascii="新宋体" w:hAnsi="新宋体" w:eastAsia="新宋体" w:cs="新宋体"/>
          <w:iCs/>
          <w:color w:val="auto"/>
          <w:sz w:val="22"/>
          <w:szCs w:val="22"/>
          <w:highlight w:val="none"/>
        </w:rPr>
        <w:t>甲方的违约责任：</w:t>
      </w:r>
    </w:p>
    <w:p w14:paraId="62EACE7C">
      <w:pPr>
        <w:spacing w:line="460" w:lineRule="exact"/>
        <w:ind w:firstLine="440" w:firstLineChars="200"/>
        <w:jc w:val="left"/>
        <w:rPr>
          <w:rFonts w:ascii="新宋体" w:hAnsi="新宋体" w:eastAsia="新宋体" w:cs="新宋体"/>
          <w:iCs/>
          <w:color w:val="auto"/>
          <w:sz w:val="22"/>
          <w:szCs w:val="22"/>
          <w:highlight w:val="none"/>
        </w:rPr>
      </w:pPr>
      <w:r>
        <w:rPr>
          <w:rFonts w:hint="eastAsia" w:ascii="新宋体" w:hAnsi="新宋体" w:eastAsia="新宋体" w:cs="新宋体"/>
          <w:iCs/>
          <w:color w:val="auto"/>
          <w:sz w:val="22"/>
          <w:szCs w:val="22"/>
          <w:highlight w:val="none"/>
        </w:rPr>
        <w:t>1.履约保证金在约定期间内（合同签订之日起至项目通过验收，乙方递交退还履约保证金申请前）不予退还。乙方在前述约定期间届满前能履行完合同约定义务事项的，甲方在前述约定期间届满之日起5个工作日内，按乙方缴纳履约保证金的方式将履约保证金退还乙方（无息），逾期退还的，乙方可要求甲方支付违约金，违约金按每迟延退还一日的应退还而未退还金额的0.05%计算，最高限额为本合同履约保证金的20%；</w:t>
      </w:r>
    </w:p>
    <w:p w14:paraId="6FB9F7DA">
      <w:pPr>
        <w:spacing w:line="460" w:lineRule="exact"/>
        <w:ind w:firstLine="440" w:firstLineChars="200"/>
        <w:jc w:val="left"/>
        <w:rPr>
          <w:rFonts w:ascii="新宋体" w:hAnsi="新宋体" w:eastAsia="新宋体" w:cs="新宋体"/>
          <w:iCs/>
          <w:color w:val="auto"/>
          <w:sz w:val="22"/>
          <w:szCs w:val="22"/>
          <w:highlight w:val="none"/>
        </w:rPr>
      </w:pPr>
      <w:r>
        <w:rPr>
          <w:rFonts w:hint="eastAsia" w:ascii="新宋体" w:hAnsi="新宋体" w:eastAsia="新宋体" w:cs="新宋体"/>
          <w:iCs/>
          <w:color w:val="auto"/>
          <w:sz w:val="22"/>
          <w:szCs w:val="22"/>
          <w:highlight w:val="none"/>
        </w:rPr>
        <w:t>2.除不可抗力外，如果甲方没有按照本合同约定的付款方式付款，那么乙方可要求甲方支付违约金，违约金按每迟延付款一日的应付而未付款的0.05%计算，最高限额为本项目预算的20%；迟延付款的违约金计算数额达到前述最高限额之日起，乙方有权在要求甲方支付违约金的同时，书面通知甲方解除合同；</w:t>
      </w:r>
    </w:p>
    <w:p w14:paraId="37C3C548">
      <w:pPr>
        <w:spacing w:line="460" w:lineRule="exact"/>
        <w:ind w:firstLine="440" w:firstLineChars="200"/>
        <w:jc w:val="left"/>
        <w:rPr>
          <w:rFonts w:ascii="新宋体" w:hAnsi="新宋体" w:eastAsia="新宋体" w:cs="新宋体"/>
          <w:iCs/>
          <w:color w:val="auto"/>
          <w:sz w:val="22"/>
          <w:szCs w:val="22"/>
          <w:highlight w:val="none"/>
        </w:rPr>
      </w:pPr>
      <w:r>
        <w:rPr>
          <w:rFonts w:hint="eastAsia" w:ascii="新宋体" w:hAnsi="新宋体" w:eastAsia="新宋体" w:cs="新宋体"/>
          <w:iCs/>
          <w:color w:val="auto"/>
          <w:sz w:val="22"/>
          <w:szCs w:val="22"/>
          <w:highlight w:val="none"/>
        </w:rPr>
        <w:t>3.除不可抗力外，因甲方原因导致变更、中止或者终止政府采购合同的，甲方应当依照合同约定对乙方受到的损失予以赔偿或者补偿。</w:t>
      </w:r>
    </w:p>
    <w:p w14:paraId="2841B601">
      <w:pPr>
        <w:spacing w:line="460" w:lineRule="exact"/>
        <w:jc w:val="left"/>
        <w:rPr>
          <w:rFonts w:ascii="新宋体" w:hAnsi="新宋体" w:eastAsia="新宋体" w:cs="新宋体"/>
          <w:iCs/>
          <w:color w:val="auto"/>
          <w:sz w:val="22"/>
          <w:szCs w:val="22"/>
          <w:highlight w:val="none"/>
        </w:rPr>
      </w:pPr>
      <w:r>
        <w:rPr>
          <w:rFonts w:hint="eastAsia" w:ascii="新宋体" w:hAnsi="新宋体" w:eastAsia="新宋体" w:cs="新宋体"/>
          <w:iCs/>
          <w:color w:val="auto"/>
          <w:sz w:val="22"/>
          <w:szCs w:val="22"/>
          <w:highlight w:val="none"/>
        </w:rPr>
        <w:t>乙方的违约责任：</w:t>
      </w:r>
    </w:p>
    <w:p w14:paraId="4323CEBF">
      <w:pPr>
        <w:spacing w:line="460" w:lineRule="exact"/>
        <w:ind w:firstLine="440" w:firstLineChars="200"/>
        <w:jc w:val="left"/>
        <w:rPr>
          <w:rFonts w:ascii="新宋体" w:hAnsi="新宋体" w:eastAsia="新宋体" w:cs="新宋体"/>
          <w:iCs/>
          <w:color w:val="auto"/>
          <w:sz w:val="22"/>
          <w:szCs w:val="22"/>
          <w:highlight w:val="none"/>
        </w:rPr>
      </w:pPr>
      <w:r>
        <w:rPr>
          <w:rFonts w:hint="eastAsia" w:ascii="新宋体" w:hAnsi="新宋体" w:eastAsia="新宋体" w:cs="新宋体"/>
          <w:iCs/>
          <w:color w:val="auto"/>
          <w:sz w:val="22"/>
          <w:szCs w:val="22"/>
          <w:highlight w:val="none"/>
        </w:rPr>
        <w:t>1.乙方每延迟一日缴纳履约保证金，违约金则按应缴纳的履约保证金金额的</w:t>
      </w:r>
    </w:p>
    <w:p w14:paraId="4750E6F0">
      <w:pPr>
        <w:spacing w:line="460" w:lineRule="exact"/>
        <w:jc w:val="left"/>
        <w:rPr>
          <w:rFonts w:ascii="新宋体" w:hAnsi="新宋体" w:eastAsia="新宋体" w:cs="新宋体"/>
          <w:iCs/>
          <w:color w:val="auto"/>
          <w:sz w:val="22"/>
          <w:szCs w:val="22"/>
          <w:highlight w:val="none"/>
        </w:rPr>
      </w:pPr>
      <w:r>
        <w:rPr>
          <w:rFonts w:hint="eastAsia" w:ascii="新宋体" w:hAnsi="新宋体" w:eastAsia="新宋体" w:cs="新宋体"/>
          <w:iCs/>
          <w:color w:val="auto"/>
          <w:sz w:val="22"/>
          <w:szCs w:val="22"/>
          <w:highlight w:val="none"/>
        </w:rPr>
        <w:t>0.05%计算，最高限额为本合同履约保证金的20%；乙方逾期10日，未按要求缴纳履约保证金的，甲方有权在要求乙方支付违约金的同时，单方面解除合同，甲方由此产生的一切损失均由乙方负责赔偿。</w:t>
      </w:r>
    </w:p>
    <w:p w14:paraId="4C1DC807">
      <w:pPr>
        <w:spacing w:line="460" w:lineRule="exact"/>
        <w:ind w:firstLine="440" w:firstLineChars="200"/>
        <w:jc w:val="left"/>
        <w:rPr>
          <w:rFonts w:ascii="新宋体" w:hAnsi="新宋体" w:eastAsia="新宋体" w:cs="新宋体"/>
          <w:iCs/>
          <w:color w:val="auto"/>
          <w:sz w:val="22"/>
          <w:szCs w:val="22"/>
          <w:highlight w:val="none"/>
        </w:rPr>
      </w:pPr>
      <w:r>
        <w:rPr>
          <w:rFonts w:hint="eastAsia" w:ascii="新宋体" w:hAnsi="新宋体" w:eastAsia="新宋体" w:cs="新宋体"/>
          <w:iCs/>
          <w:color w:val="auto"/>
          <w:sz w:val="22"/>
          <w:szCs w:val="22"/>
          <w:highlight w:val="none"/>
        </w:rPr>
        <w:t>2.除不可抗力外，如果乙方没有按照本合同约定的期限、地点和方式提供服务，那么甲方可要求乙方支付违约金，违约金按每迟延提供服务一日的应提供服务而未提供服务价格的0.05%计算，最高限额为本项目预算的20%；迟延提供服务的违约金计算数额达到前述最高限额之日起，甲方有权在要求乙方支付违约金的同时，书面通知乙方解除本合同；</w:t>
      </w:r>
    </w:p>
    <w:p w14:paraId="008277BB">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r>
        <w:rPr>
          <w:rFonts w:hint="eastAsia" w:ascii="新宋体" w:hAnsi="新宋体" w:eastAsia="新宋体" w:cs="新宋体"/>
          <w:iCs/>
          <w:color w:val="auto"/>
          <w:sz w:val="22"/>
          <w:szCs w:val="22"/>
          <w:highlight w:val="none"/>
        </w:rPr>
        <w:t>.</w:t>
      </w:r>
      <w:r>
        <w:rPr>
          <w:rFonts w:hint="eastAsia" w:ascii="新宋体" w:hAnsi="新宋体" w:eastAsia="新宋体" w:cs="新宋体"/>
          <w:color w:val="auto"/>
          <w:sz w:val="22"/>
          <w:szCs w:val="22"/>
          <w:highlight w:val="none"/>
        </w:rPr>
        <w:t>乙方擅自将本合同的全部或部分事务转由第三人承担，甲方可解除本合同，且乙方应按项目预算的30％向</w:t>
      </w:r>
      <w:r>
        <w:rPr>
          <w:rFonts w:hint="eastAsia" w:ascii="新宋体" w:hAnsi="新宋体" w:eastAsia="新宋体" w:cs="新宋体"/>
          <w:iCs/>
          <w:color w:val="auto"/>
          <w:sz w:val="22"/>
          <w:szCs w:val="22"/>
          <w:highlight w:val="none"/>
        </w:rPr>
        <w:t>甲方</w:t>
      </w:r>
      <w:r>
        <w:rPr>
          <w:rFonts w:hint="eastAsia" w:ascii="新宋体" w:hAnsi="新宋体" w:eastAsia="新宋体" w:cs="新宋体"/>
          <w:color w:val="auto"/>
          <w:sz w:val="22"/>
          <w:szCs w:val="22"/>
          <w:highlight w:val="none"/>
        </w:rPr>
        <w:t>支付违约金。如发生损失的，乙方还应赔偿甲方损失，赔偿金额不受项目预算限制。</w:t>
      </w:r>
    </w:p>
    <w:p w14:paraId="5E8C35E8">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r>
        <w:rPr>
          <w:rFonts w:hint="eastAsia" w:ascii="新宋体" w:hAnsi="新宋体" w:eastAsia="新宋体" w:cs="新宋体"/>
          <w:iCs/>
          <w:color w:val="auto"/>
          <w:sz w:val="22"/>
          <w:szCs w:val="22"/>
          <w:highlight w:val="none"/>
        </w:rPr>
        <w:t>.服务期间，甲方每月对乙方实施考核，如有违约的，根据考核办法进行处置，直至</w:t>
      </w:r>
      <w:r>
        <w:rPr>
          <w:rFonts w:hint="eastAsia" w:ascii="新宋体" w:hAnsi="新宋体" w:eastAsia="新宋体" w:cs="新宋体"/>
          <w:color w:val="auto"/>
          <w:sz w:val="22"/>
          <w:szCs w:val="22"/>
          <w:highlight w:val="none"/>
        </w:rPr>
        <w:t>解除合同。</w:t>
      </w:r>
    </w:p>
    <w:p w14:paraId="45681C40">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r>
        <w:rPr>
          <w:rFonts w:hint="eastAsia" w:ascii="新宋体" w:hAnsi="新宋体" w:eastAsia="新宋体" w:cs="新宋体"/>
          <w:iCs/>
          <w:color w:val="auto"/>
          <w:sz w:val="22"/>
          <w:szCs w:val="22"/>
          <w:highlight w:val="none"/>
        </w:rPr>
        <w:t>乙方</w:t>
      </w:r>
      <w:r>
        <w:rPr>
          <w:rFonts w:hint="eastAsia" w:ascii="新宋体" w:hAnsi="新宋体" w:eastAsia="新宋体" w:cs="新宋体"/>
          <w:color w:val="auto"/>
          <w:sz w:val="22"/>
          <w:szCs w:val="22"/>
          <w:highlight w:val="none"/>
        </w:rPr>
        <w:t>如未按施工安全责任要求施工，导致安全事故责任的，每发生一次扣除违约金10000元，由此产生的死亡事故，由乙方负责，且甲方有权解除合同。</w:t>
      </w:r>
    </w:p>
    <w:p w14:paraId="114EA9F4">
      <w:pPr>
        <w:spacing w:line="460" w:lineRule="exact"/>
        <w:ind w:firstLine="440" w:firstLineChars="200"/>
        <w:jc w:val="left"/>
        <w:rPr>
          <w:rFonts w:ascii="新宋体" w:hAnsi="新宋体" w:eastAsia="新宋体" w:cs="新宋体"/>
          <w:iCs/>
          <w:color w:val="auto"/>
          <w:sz w:val="22"/>
          <w:szCs w:val="22"/>
          <w:highlight w:val="none"/>
        </w:rPr>
      </w:pPr>
      <w:r>
        <w:rPr>
          <w:rFonts w:hint="eastAsia" w:ascii="新宋体" w:hAnsi="新宋体" w:eastAsia="新宋体" w:cs="新宋体"/>
          <w:color w:val="auto"/>
          <w:sz w:val="22"/>
          <w:szCs w:val="22"/>
          <w:highlight w:val="none"/>
        </w:rPr>
        <w:t>6.乙方如</w:t>
      </w:r>
      <w:r>
        <w:rPr>
          <w:rFonts w:hint="eastAsia" w:ascii="新宋体" w:hAnsi="新宋体" w:eastAsia="新宋体" w:cs="新宋体"/>
          <w:iCs/>
          <w:color w:val="auto"/>
          <w:sz w:val="22"/>
          <w:szCs w:val="22"/>
          <w:highlight w:val="none"/>
        </w:rPr>
        <w:t>违反相关保密规定</w:t>
      </w:r>
      <w:r>
        <w:rPr>
          <w:rFonts w:hint="eastAsia" w:ascii="新宋体" w:hAnsi="新宋体" w:eastAsia="新宋体" w:cs="新宋体"/>
          <w:color w:val="auto"/>
          <w:sz w:val="22"/>
          <w:szCs w:val="22"/>
          <w:highlight w:val="none"/>
        </w:rPr>
        <w:t>，除扣除违约金10000元/次外，甲方将追究乙方一切法律责任。甲方应当对乙方及工作人员开展常态化安全保密教育，组织签订安全保密承诺书，明确具体安全管理内容、安全保密义务和责任。乙方应严格按照甲方规定使用、存储、处理文档资料和数据。合同终止时，乙方应当交还全部公安资料和数据。如乙方及乙方施工人员违反安全管理要求，构成违法犯罪的，甲方将报送本级政府采购和市场监督管理部门，提请列入政府采购严重违法失信行为记录名单、市场监督管理严重失信名单，并追究相关责任。</w:t>
      </w:r>
    </w:p>
    <w:p w14:paraId="25B56E2A">
      <w:pPr>
        <w:spacing w:line="460" w:lineRule="exact"/>
        <w:ind w:firstLine="440" w:firstLineChars="200"/>
        <w:jc w:val="left"/>
        <w:rPr>
          <w:rFonts w:ascii="新宋体" w:hAnsi="新宋体" w:eastAsia="新宋体" w:cs="新宋体"/>
          <w:iCs/>
          <w:color w:val="auto"/>
          <w:sz w:val="22"/>
          <w:szCs w:val="22"/>
          <w:highlight w:val="none"/>
        </w:rPr>
      </w:pPr>
      <w:r>
        <w:rPr>
          <w:rFonts w:hint="eastAsia" w:ascii="新宋体" w:hAnsi="新宋体" w:eastAsia="新宋体" w:cs="新宋体"/>
          <w:iCs/>
          <w:color w:val="auto"/>
          <w:sz w:val="22"/>
          <w:szCs w:val="22"/>
          <w:highlight w:val="none"/>
        </w:rPr>
        <w:t>7.乙方在本合同履行期限内产生的违约金由甲方在结算合同尾款时一次性扣除。</w:t>
      </w:r>
    </w:p>
    <w:p w14:paraId="482EEC42">
      <w:pPr>
        <w:spacing w:line="460" w:lineRule="exact"/>
        <w:rPr>
          <w:rFonts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1.7合同争议的解决</w:t>
      </w:r>
    </w:p>
    <w:p w14:paraId="6731CEF2">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w:t>
      </w:r>
      <w:r>
        <w:rPr>
          <w:rFonts w:hint="eastAsia" w:ascii="新宋体" w:hAnsi="新宋体" w:eastAsia="新宋体" w:cs="新宋体"/>
          <w:iCs/>
          <w:color w:val="auto"/>
          <w:sz w:val="22"/>
          <w:szCs w:val="22"/>
          <w:highlight w:val="none"/>
        </w:rPr>
        <w:t>合同</w:t>
      </w:r>
      <w:r>
        <w:rPr>
          <w:rFonts w:hint="eastAsia" w:ascii="新宋体" w:hAnsi="新宋体" w:eastAsia="新宋体" w:cs="新宋体"/>
          <w:color w:val="auto"/>
          <w:sz w:val="22"/>
          <w:szCs w:val="22"/>
          <w:highlight w:val="none"/>
        </w:rPr>
        <w:t>履行过程中发生的任何争议，双方当事人均可通过和解或者调解解决；不愿和解、调解或者和解、调解不成的，可以选择以下第</w:t>
      </w:r>
      <w:r>
        <w:rPr>
          <w:rFonts w:hint="eastAsia" w:ascii="新宋体" w:hAnsi="新宋体" w:eastAsia="新宋体" w:cs="新宋体"/>
          <w:color w:val="auto"/>
          <w:sz w:val="22"/>
          <w:szCs w:val="22"/>
          <w:highlight w:val="none"/>
          <w:u w:val="single"/>
        </w:rPr>
        <w:t xml:space="preserve"> 1.7.2条</w:t>
      </w:r>
      <w:r>
        <w:rPr>
          <w:rFonts w:hint="eastAsia" w:ascii="新宋体" w:hAnsi="新宋体" w:eastAsia="新宋体" w:cs="新宋体"/>
          <w:color w:val="auto"/>
          <w:sz w:val="22"/>
          <w:szCs w:val="22"/>
          <w:highlight w:val="none"/>
        </w:rPr>
        <w:t>款规定的方式解决：</w:t>
      </w:r>
    </w:p>
    <w:p w14:paraId="05610CA8">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1.7.1 将争议提交仲裁委员会依申请仲裁时其现行有效的仲裁规则裁决；</w:t>
      </w:r>
    </w:p>
    <w:p w14:paraId="56E6FA2D">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1.7.2 向甲方所在地人民法院起诉。</w:t>
      </w:r>
    </w:p>
    <w:p w14:paraId="3D3F0278">
      <w:pPr>
        <w:spacing w:line="460" w:lineRule="exact"/>
        <w:jc w:val="lef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2.5 结算方式和付款条件</w:t>
      </w:r>
    </w:p>
    <w:p w14:paraId="58F9737D">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zh-CN"/>
        </w:rPr>
        <w:t xml:space="preserve">2.5 </w:t>
      </w: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zh-CN"/>
        </w:rPr>
        <w:t>结算方式</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zh-CN"/>
        </w:rPr>
        <w:t>分期结算支付。</w:t>
      </w:r>
    </w:p>
    <w:p w14:paraId="20B46482">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zh-CN"/>
        </w:rPr>
        <w:t xml:space="preserve">2.5 </w:t>
      </w: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zh-CN"/>
        </w:rPr>
        <w:t>付款条件</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zh-CN"/>
        </w:rPr>
        <w:t>详见本协议第三部分第1.4.4条。</w:t>
      </w:r>
    </w:p>
    <w:p w14:paraId="0922A94E">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2.11.3因不可抗力致使合同有变更必要的，双方当事人应在</w:t>
      </w:r>
      <w:r>
        <w:rPr>
          <w:rFonts w:hint="eastAsia" w:ascii="新宋体" w:hAnsi="新宋体" w:eastAsia="新宋体" w:cs="新宋体"/>
          <w:b/>
          <w:i/>
          <w:color w:val="auto"/>
          <w:sz w:val="22"/>
          <w:szCs w:val="22"/>
          <w:highlight w:val="none"/>
          <w:u w:val="single"/>
        </w:rPr>
        <w:t>15个工作日</w:t>
      </w:r>
      <w:r>
        <w:rPr>
          <w:rFonts w:hint="eastAsia" w:ascii="新宋体" w:hAnsi="新宋体" w:eastAsia="新宋体" w:cs="新宋体"/>
          <w:color w:val="auto"/>
          <w:sz w:val="22"/>
          <w:szCs w:val="22"/>
          <w:highlight w:val="none"/>
        </w:rPr>
        <w:t>内以书面形式变更合同；</w:t>
      </w:r>
    </w:p>
    <w:p w14:paraId="67BE926B">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2.11.4受不可抗力影响的一方在不可抗力发生后，应在</w:t>
      </w:r>
      <w:r>
        <w:rPr>
          <w:rFonts w:hint="eastAsia" w:ascii="新宋体" w:hAnsi="新宋体" w:eastAsia="新宋体" w:cs="新宋体"/>
          <w:b/>
          <w:i/>
          <w:color w:val="auto"/>
          <w:sz w:val="22"/>
          <w:szCs w:val="22"/>
          <w:highlight w:val="none"/>
          <w:u w:val="single"/>
        </w:rPr>
        <w:t>7个工作日</w:t>
      </w:r>
      <w:r>
        <w:rPr>
          <w:rFonts w:hint="eastAsia" w:ascii="新宋体" w:hAnsi="新宋体" w:eastAsia="新宋体" w:cs="新宋体"/>
          <w:color w:val="auto"/>
          <w:sz w:val="22"/>
          <w:szCs w:val="22"/>
          <w:highlight w:val="none"/>
        </w:rPr>
        <w:t>内以书面形式通知对方当事人，并在</w:t>
      </w:r>
      <w:r>
        <w:rPr>
          <w:rFonts w:hint="eastAsia" w:ascii="新宋体" w:hAnsi="新宋体" w:eastAsia="新宋体" w:cs="新宋体"/>
          <w:b/>
          <w:i/>
          <w:color w:val="auto"/>
          <w:sz w:val="22"/>
          <w:szCs w:val="22"/>
          <w:highlight w:val="none"/>
          <w:u w:val="single"/>
        </w:rPr>
        <w:t>10个工作日</w:t>
      </w:r>
      <w:r>
        <w:rPr>
          <w:rFonts w:hint="eastAsia" w:ascii="新宋体" w:hAnsi="新宋体" w:eastAsia="新宋体" w:cs="新宋体"/>
          <w:color w:val="auto"/>
          <w:sz w:val="22"/>
          <w:szCs w:val="22"/>
          <w:highlight w:val="none"/>
        </w:rPr>
        <w:t>内，将有关部门出具的证明文件送达对方当事人。</w:t>
      </w:r>
    </w:p>
    <w:p w14:paraId="5EF3BA74">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2.16.3</w:t>
      </w:r>
      <w:r>
        <w:rPr>
          <w:rFonts w:hint="eastAsia" w:ascii="新宋体" w:hAnsi="新宋体" w:eastAsia="新宋体" w:cs="新宋体"/>
          <w:color w:val="auto"/>
          <w:sz w:val="22"/>
          <w:szCs w:val="22"/>
          <w:highlight w:val="none"/>
        </w:rPr>
        <w:tab/>
      </w:r>
      <w:r>
        <w:rPr>
          <w:rFonts w:hint="eastAsia" w:ascii="新宋体" w:hAnsi="新宋体" w:eastAsia="新宋体" w:cs="新宋体"/>
          <w:color w:val="auto"/>
          <w:sz w:val="22"/>
          <w:szCs w:val="22"/>
          <w:highlight w:val="none"/>
        </w:rPr>
        <w:t>甲方按照相关规定组织对乙方履约的验收。验收方成员应当在验收书上签字，并承担相应的法律责任。如果发现与合同中要求不符，乙方须承担由此发生的一切损失和费用，并接受相应的处理。</w:t>
      </w:r>
    </w:p>
    <w:p w14:paraId="31A9F0DC">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严格按照采购合同开展履约验收。甲方</w:t>
      </w:r>
      <w:r>
        <w:rPr>
          <w:rFonts w:hint="eastAsia" w:ascii="新宋体" w:hAnsi="新宋体" w:eastAsia="新宋体" w:cs="新宋体"/>
          <w:color w:val="auto"/>
          <w:sz w:val="22"/>
          <w:szCs w:val="22"/>
          <w:highlight w:val="none"/>
          <w:lang w:bidi="zh-CN"/>
        </w:rPr>
        <w:t>自行成立验收小组，验收小组共3人，由甲方1人、乙方1名，监理单位1人组成</w:t>
      </w:r>
      <w:r>
        <w:rPr>
          <w:rFonts w:hint="eastAsia" w:ascii="新宋体" w:hAnsi="新宋体" w:eastAsia="新宋体" w:cs="新宋体"/>
          <w:color w:val="auto"/>
          <w:sz w:val="22"/>
          <w:szCs w:val="22"/>
          <w:highlight w:val="none"/>
        </w:rPr>
        <w:t>。按照采购合同的约定对乙方履约情况进行验收，验收时，按照采购合同的约定对每一项技术、服务、安全标准的履约情况进行确认，出具验收报告并经验收小组全体成员签字。甲方根据验收报告形成验收意见并经甲方与采购合同约定的资金支付及履约保证金返还条件挂钩。履约验收的各项资料应当存档备查。</w:t>
      </w:r>
    </w:p>
    <w:p w14:paraId="49686715">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验收合格的项目，甲方将根据采购合同的约定及时向乙方支付采购资金、退还履约保证金。验收不合格的项目，甲方将依法及时处理。采购合同的履行、违约责任和解决争议的方式等适用《中华人民共和国民法典》。</w:t>
      </w:r>
    </w:p>
    <w:p w14:paraId="7561D351">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履约验收时间：202</w:t>
      </w:r>
      <w:r>
        <w:rPr>
          <w:rFonts w:hint="eastAsia" w:ascii="新宋体" w:hAnsi="新宋体" w:eastAsia="新宋体" w:cs="新宋体"/>
          <w:color w:val="auto"/>
          <w:sz w:val="22"/>
          <w:szCs w:val="22"/>
          <w:highlight w:val="none"/>
          <w:lang w:val="en-US" w:eastAsia="zh-CN"/>
        </w:rPr>
        <w:t>5</w:t>
      </w:r>
      <w:r>
        <w:rPr>
          <w:rFonts w:hint="eastAsia" w:ascii="新宋体" w:hAnsi="新宋体" w:eastAsia="新宋体" w:cs="新宋体"/>
          <w:color w:val="auto"/>
          <w:sz w:val="22"/>
          <w:szCs w:val="22"/>
          <w:highlight w:val="none"/>
        </w:rPr>
        <w:t>年月日后，具体验收时间由甲方最终确定。</w:t>
      </w:r>
    </w:p>
    <w:p w14:paraId="70095836">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标项一、标项二、标项三、标项四验收内容：</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255"/>
        <w:gridCol w:w="7788"/>
      </w:tblGrid>
      <w:tr w14:paraId="2743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ign w:val="center"/>
          </w:tcPr>
          <w:p w14:paraId="1496B274">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序号</w:t>
            </w:r>
          </w:p>
        </w:tc>
        <w:tc>
          <w:tcPr>
            <w:tcW w:w="637" w:type="pct"/>
            <w:noWrap/>
            <w:vAlign w:val="center"/>
          </w:tcPr>
          <w:p w14:paraId="588DD04D">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验收内容</w:t>
            </w:r>
          </w:p>
        </w:tc>
        <w:tc>
          <w:tcPr>
            <w:tcW w:w="3950" w:type="pct"/>
            <w:noWrap/>
            <w:vAlign w:val="center"/>
          </w:tcPr>
          <w:p w14:paraId="7763B218">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验收标准</w:t>
            </w:r>
          </w:p>
        </w:tc>
      </w:tr>
      <w:tr w14:paraId="1233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412" w:type="pct"/>
            <w:noWrap/>
            <w:vAlign w:val="center"/>
          </w:tcPr>
          <w:p w14:paraId="2173CD0B">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w:t>
            </w:r>
          </w:p>
        </w:tc>
        <w:tc>
          <w:tcPr>
            <w:tcW w:w="637" w:type="pct"/>
            <w:noWrap/>
            <w:vAlign w:val="center"/>
          </w:tcPr>
          <w:p w14:paraId="44F917AE">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质量保证</w:t>
            </w:r>
          </w:p>
        </w:tc>
        <w:tc>
          <w:tcPr>
            <w:tcW w:w="3950" w:type="pct"/>
            <w:noWrap/>
            <w:vAlign w:val="center"/>
          </w:tcPr>
          <w:p w14:paraId="744DB87D">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提供的产品品牌、型号、参数、数量、生产日期等是否与合同及投标文件承诺相符，检查资料是否提供了所有产品的产品拍照图片、产品说明书、产品合格证、质量保证书原件、原厂质保承诺函。</w:t>
            </w:r>
          </w:p>
        </w:tc>
      </w:tr>
      <w:tr w14:paraId="3287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2" w:type="pct"/>
            <w:noWrap/>
            <w:vAlign w:val="center"/>
          </w:tcPr>
          <w:p w14:paraId="3716940B">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w:t>
            </w:r>
          </w:p>
        </w:tc>
        <w:tc>
          <w:tcPr>
            <w:tcW w:w="637" w:type="pct"/>
            <w:noWrap/>
            <w:vAlign w:val="center"/>
          </w:tcPr>
          <w:p w14:paraId="6F32A5E8">
            <w:pPr>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服务要求</w:t>
            </w:r>
          </w:p>
        </w:tc>
        <w:tc>
          <w:tcPr>
            <w:tcW w:w="3950" w:type="pct"/>
            <w:noWrap/>
            <w:vAlign w:val="center"/>
          </w:tcPr>
          <w:p w14:paraId="7F5A8447">
            <w:pPr>
              <w:spacing w:line="46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按投标文件响应内容提供服务。</w:t>
            </w:r>
          </w:p>
        </w:tc>
      </w:tr>
      <w:tr w14:paraId="5E26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2" w:type="pct"/>
            <w:vMerge w:val="restart"/>
            <w:noWrap/>
            <w:vAlign w:val="center"/>
          </w:tcPr>
          <w:p w14:paraId="4FC3EDDE">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3</w:t>
            </w:r>
          </w:p>
        </w:tc>
        <w:tc>
          <w:tcPr>
            <w:tcW w:w="637" w:type="pct"/>
            <w:vMerge w:val="restart"/>
            <w:noWrap/>
            <w:vAlign w:val="center"/>
          </w:tcPr>
          <w:p w14:paraId="6AD49ED1">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质量满意度</w:t>
            </w:r>
          </w:p>
        </w:tc>
        <w:tc>
          <w:tcPr>
            <w:tcW w:w="3950" w:type="pct"/>
            <w:noWrap/>
            <w:vAlign w:val="center"/>
          </w:tcPr>
          <w:p w14:paraId="66042303">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不定期对各区域内</w:t>
            </w:r>
            <w:r>
              <w:rPr>
                <w:rFonts w:hint="eastAsia" w:ascii="新宋体" w:hAnsi="新宋体" w:eastAsia="新宋体" w:cs="新宋体"/>
                <w:color w:val="auto"/>
                <w:sz w:val="22"/>
                <w:szCs w:val="22"/>
                <w:highlight w:val="none"/>
              </w:rPr>
              <w:t>标志标线护栏设施等维护</w:t>
            </w:r>
            <w:r>
              <w:rPr>
                <w:rFonts w:hint="eastAsia" w:ascii="新宋体" w:hAnsi="新宋体" w:eastAsia="新宋体" w:cs="新宋体"/>
                <w:color w:val="auto"/>
                <w:kern w:val="0"/>
                <w:sz w:val="22"/>
                <w:szCs w:val="22"/>
                <w:highlight w:val="none"/>
              </w:rPr>
              <w:t>情况进行</w:t>
            </w:r>
            <w:r>
              <w:rPr>
                <w:rFonts w:hint="eastAsia" w:ascii="新宋体" w:hAnsi="新宋体" w:eastAsia="新宋体" w:cs="新宋体"/>
                <w:color w:val="auto"/>
                <w:sz w:val="22"/>
                <w:szCs w:val="22"/>
                <w:highlight w:val="none"/>
              </w:rPr>
              <w:t>抽查检测</w:t>
            </w:r>
            <w:r>
              <w:rPr>
                <w:rFonts w:hint="eastAsia" w:ascii="新宋体" w:hAnsi="新宋体" w:eastAsia="新宋体" w:cs="新宋体"/>
                <w:color w:val="auto"/>
                <w:kern w:val="0"/>
                <w:sz w:val="22"/>
                <w:szCs w:val="22"/>
                <w:highlight w:val="none"/>
              </w:rPr>
              <w:t>，并结合出现问题作出整改措施</w:t>
            </w:r>
            <w:r>
              <w:rPr>
                <w:rFonts w:hint="eastAsia" w:ascii="新宋体" w:hAnsi="新宋体" w:eastAsia="新宋体" w:cs="新宋体"/>
                <w:color w:val="auto"/>
                <w:sz w:val="22"/>
                <w:szCs w:val="22"/>
                <w:highlight w:val="none"/>
              </w:rPr>
              <w:t>。</w:t>
            </w:r>
          </w:p>
        </w:tc>
      </w:tr>
      <w:tr w14:paraId="1251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12" w:type="pct"/>
            <w:vMerge w:val="continue"/>
            <w:noWrap/>
            <w:vAlign w:val="center"/>
          </w:tcPr>
          <w:p w14:paraId="187FAE78">
            <w:pPr>
              <w:widowControl/>
              <w:spacing w:line="460" w:lineRule="exact"/>
              <w:jc w:val="center"/>
              <w:rPr>
                <w:rFonts w:ascii="新宋体" w:hAnsi="新宋体" w:eastAsia="新宋体" w:cs="新宋体"/>
                <w:color w:val="auto"/>
                <w:kern w:val="0"/>
                <w:sz w:val="22"/>
                <w:szCs w:val="22"/>
                <w:highlight w:val="none"/>
              </w:rPr>
            </w:pPr>
          </w:p>
        </w:tc>
        <w:tc>
          <w:tcPr>
            <w:tcW w:w="637" w:type="pct"/>
            <w:vMerge w:val="continue"/>
            <w:noWrap/>
            <w:vAlign w:val="center"/>
          </w:tcPr>
          <w:p w14:paraId="124634B4">
            <w:pPr>
              <w:widowControl/>
              <w:spacing w:line="460" w:lineRule="exact"/>
              <w:jc w:val="center"/>
              <w:rPr>
                <w:rFonts w:ascii="新宋体" w:hAnsi="新宋体" w:eastAsia="新宋体" w:cs="新宋体"/>
                <w:color w:val="auto"/>
                <w:kern w:val="0"/>
                <w:sz w:val="22"/>
                <w:szCs w:val="22"/>
                <w:highlight w:val="none"/>
              </w:rPr>
            </w:pPr>
          </w:p>
        </w:tc>
        <w:tc>
          <w:tcPr>
            <w:tcW w:w="3950" w:type="pct"/>
            <w:noWrap/>
            <w:vAlign w:val="center"/>
          </w:tcPr>
          <w:p w14:paraId="42677E9F">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甲方及监理的考核的满意情况</w:t>
            </w:r>
            <w:r>
              <w:rPr>
                <w:rFonts w:hint="eastAsia" w:ascii="新宋体" w:hAnsi="新宋体" w:eastAsia="新宋体" w:cs="新宋体"/>
                <w:color w:val="auto"/>
                <w:sz w:val="22"/>
                <w:szCs w:val="22"/>
                <w:highlight w:val="none"/>
              </w:rPr>
              <w:t>。</w:t>
            </w:r>
          </w:p>
        </w:tc>
      </w:tr>
      <w:tr w14:paraId="2C9B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12" w:type="pct"/>
            <w:noWrap/>
            <w:vAlign w:val="center"/>
          </w:tcPr>
          <w:p w14:paraId="6E10D6B0">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4</w:t>
            </w:r>
          </w:p>
        </w:tc>
        <w:tc>
          <w:tcPr>
            <w:tcW w:w="637" w:type="pct"/>
            <w:noWrap/>
            <w:vAlign w:val="center"/>
          </w:tcPr>
          <w:p w14:paraId="4B898B9D">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服务进度</w:t>
            </w:r>
          </w:p>
        </w:tc>
        <w:tc>
          <w:tcPr>
            <w:tcW w:w="3950" w:type="pct"/>
            <w:noWrap/>
            <w:vAlign w:val="center"/>
          </w:tcPr>
          <w:p w14:paraId="56683FD2">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服务响应的时间按投标文件落实到位</w:t>
            </w:r>
          </w:p>
        </w:tc>
      </w:tr>
      <w:tr w14:paraId="19D4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12" w:type="pct"/>
            <w:noWrap/>
            <w:vAlign w:val="center"/>
          </w:tcPr>
          <w:p w14:paraId="1B399B02">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5</w:t>
            </w:r>
          </w:p>
        </w:tc>
        <w:tc>
          <w:tcPr>
            <w:tcW w:w="637" w:type="pct"/>
            <w:noWrap/>
            <w:vAlign w:val="center"/>
          </w:tcPr>
          <w:p w14:paraId="611EC97A">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人员、设备、</w:t>
            </w:r>
            <w:r>
              <w:rPr>
                <w:rFonts w:hint="eastAsia" w:ascii="新宋体" w:hAnsi="新宋体" w:eastAsia="新宋体" w:cs="新宋体"/>
                <w:color w:val="auto"/>
                <w:sz w:val="22"/>
                <w:szCs w:val="22"/>
                <w:highlight w:val="none"/>
              </w:rPr>
              <w:t>车辆等</w:t>
            </w:r>
            <w:r>
              <w:rPr>
                <w:rFonts w:hint="eastAsia" w:ascii="新宋体" w:hAnsi="新宋体" w:eastAsia="新宋体" w:cs="新宋体"/>
                <w:color w:val="auto"/>
                <w:kern w:val="0"/>
                <w:sz w:val="22"/>
                <w:szCs w:val="22"/>
                <w:highlight w:val="none"/>
              </w:rPr>
              <w:t>配备情况</w:t>
            </w:r>
          </w:p>
        </w:tc>
        <w:tc>
          <w:tcPr>
            <w:tcW w:w="3950" w:type="pct"/>
            <w:noWrap/>
            <w:vAlign w:val="center"/>
          </w:tcPr>
          <w:p w14:paraId="1438DC83">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人员、设备、</w:t>
            </w:r>
            <w:r>
              <w:rPr>
                <w:rFonts w:hint="eastAsia" w:ascii="新宋体" w:hAnsi="新宋体" w:eastAsia="新宋体" w:cs="新宋体"/>
                <w:color w:val="auto"/>
                <w:sz w:val="22"/>
                <w:szCs w:val="22"/>
                <w:highlight w:val="none"/>
              </w:rPr>
              <w:t>车辆</w:t>
            </w:r>
            <w:r>
              <w:rPr>
                <w:rFonts w:hint="eastAsia" w:ascii="新宋体" w:hAnsi="新宋体" w:eastAsia="新宋体" w:cs="新宋体"/>
                <w:color w:val="auto"/>
                <w:kern w:val="0"/>
                <w:sz w:val="22"/>
                <w:szCs w:val="22"/>
                <w:highlight w:val="none"/>
              </w:rPr>
              <w:t>按投标文件到位</w:t>
            </w:r>
          </w:p>
        </w:tc>
      </w:tr>
      <w:tr w14:paraId="3371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12" w:type="pct"/>
            <w:noWrap/>
            <w:vAlign w:val="center"/>
          </w:tcPr>
          <w:p w14:paraId="29924030">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6</w:t>
            </w:r>
          </w:p>
        </w:tc>
        <w:tc>
          <w:tcPr>
            <w:tcW w:w="637" w:type="pct"/>
            <w:noWrap/>
            <w:vAlign w:val="center"/>
          </w:tcPr>
          <w:p w14:paraId="6D7EB435">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服务承诺实现</w:t>
            </w:r>
          </w:p>
        </w:tc>
        <w:tc>
          <w:tcPr>
            <w:tcW w:w="3950" w:type="pct"/>
            <w:noWrap/>
            <w:vAlign w:val="center"/>
          </w:tcPr>
          <w:p w14:paraId="1480611F">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承诺按投标文件实施情况</w:t>
            </w:r>
          </w:p>
        </w:tc>
      </w:tr>
      <w:tr w14:paraId="4B97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12" w:type="pct"/>
            <w:noWrap/>
            <w:vAlign w:val="center"/>
          </w:tcPr>
          <w:p w14:paraId="39187E14">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7</w:t>
            </w:r>
          </w:p>
        </w:tc>
        <w:tc>
          <w:tcPr>
            <w:tcW w:w="637" w:type="pct"/>
            <w:noWrap/>
            <w:vAlign w:val="center"/>
          </w:tcPr>
          <w:p w14:paraId="0A1ED5EB">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安全和保密</w:t>
            </w:r>
          </w:p>
        </w:tc>
        <w:tc>
          <w:tcPr>
            <w:tcW w:w="3950" w:type="pct"/>
            <w:noWrap/>
            <w:vAlign w:val="center"/>
          </w:tcPr>
          <w:p w14:paraId="6B650F8C">
            <w:pPr>
              <w:snapToGrid w:val="0"/>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1、公司签订保密协议，个人签订保密承诺书，保密措施完善。未发生敏感数据、资料丢失和泄漏问题。</w:t>
            </w:r>
          </w:p>
          <w:p w14:paraId="0096891D">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2、严格按照甲方规定使用、存储、处理文档资料和数据。合同终止时，应当交还全部公安资料和数据。</w:t>
            </w:r>
          </w:p>
        </w:tc>
      </w:tr>
      <w:tr w14:paraId="6C7D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12" w:type="pct"/>
            <w:noWrap/>
            <w:vAlign w:val="center"/>
          </w:tcPr>
          <w:p w14:paraId="783E6261">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8</w:t>
            </w:r>
          </w:p>
        </w:tc>
        <w:tc>
          <w:tcPr>
            <w:tcW w:w="637" w:type="pct"/>
            <w:noWrap/>
            <w:vAlign w:val="center"/>
          </w:tcPr>
          <w:p w14:paraId="47EDB23F">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台帐</w:t>
            </w:r>
          </w:p>
        </w:tc>
        <w:tc>
          <w:tcPr>
            <w:tcW w:w="3950" w:type="pct"/>
            <w:noWrap/>
            <w:vAlign w:val="center"/>
          </w:tcPr>
          <w:p w14:paraId="66626A88">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要做好</w:t>
            </w:r>
            <w:r>
              <w:rPr>
                <w:rFonts w:hint="eastAsia" w:ascii="新宋体" w:hAnsi="新宋体" w:eastAsia="新宋体" w:cs="新宋体"/>
                <w:color w:val="auto"/>
                <w:sz w:val="22"/>
                <w:szCs w:val="22"/>
                <w:highlight w:val="none"/>
              </w:rPr>
              <w:t>工作量、工作数据、工作小结、周巡查登记记录报告、月巡查登记记录报告、月巡查维护报告、《问题告知单》等</w:t>
            </w:r>
            <w:r>
              <w:rPr>
                <w:rFonts w:hint="eastAsia" w:ascii="新宋体" w:hAnsi="新宋体" w:eastAsia="新宋体" w:cs="新宋体"/>
                <w:color w:val="auto"/>
                <w:kern w:val="0"/>
                <w:sz w:val="22"/>
                <w:szCs w:val="22"/>
                <w:highlight w:val="none"/>
              </w:rPr>
              <w:t>台账。</w:t>
            </w:r>
          </w:p>
        </w:tc>
      </w:tr>
      <w:tr w14:paraId="5B66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12" w:type="pct"/>
            <w:noWrap/>
            <w:vAlign w:val="center"/>
          </w:tcPr>
          <w:p w14:paraId="3B066DC4">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9</w:t>
            </w:r>
          </w:p>
        </w:tc>
        <w:tc>
          <w:tcPr>
            <w:tcW w:w="637" w:type="pct"/>
            <w:noWrap/>
            <w:vAlign w:val="center"/>
          </w:tcPr>
          <w:p w14:paraId="5056A46D">
            <w:pPr>
              <w:widowControl/>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其他工作</w:t>
            </w:r>
          </w:p>
        </w:tc>
        <w:tc>
          <w:tcPr>
            <w:tcW w:w="3950" w:type="pct"/>
            <w:noWrap/>
            <w:vAlign w:val="center"/>
          </w:tcPr>
          <w:p w14:paraId="26FBAB7F">
            <w:pPr>
              <w:widowControl/>
              <w:spacing w:line="46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履行项目采购文件、投标文件、合同条款中涉及的其他承诺的情况。</w:t>
            </w:r>
          </w:p>
        </w:tc>
      </w:tr>
    </w:tbl>
    <w:p w14:paraId="525861A0">
      <w:pPr>
        <w:spacing w:line="460" w:lineRule="exact"/>
        <w:ind w:firstLine="442" w:firstLineChars="200"/>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5.2、验收资料要求包括（不限于）以下内容：</w:t>
      </w:r>
    </w:p>
    <w:p w14:paraId="69A8CB3D">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（1）招标文件 </w:t>
      </w:r>
    </w:p>
    <w:p w14:paraId="14F112F8">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（2）投标文件</w:t>
      </w:r>
    </w:p>
    <w:p w14:paraId="6188034D">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（3）中标通知书</w:t>
      </w:r>
    </w:p>
    <w:p w14:paraId="6B44E7C3">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（4）采购合同</w:t>
      </w:r>
    </w:p>
    <w:p w14:paraId="75F0B599">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（5）考核表：须甲方经办人、审核人、乙方签字并盖章。</w:t>
      </w:r>
    </w:p>
    <w:p w14:paraId="609A6517">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（6）单位保密协议、个人保密承诺书；</w:t>
      </w:r>
    </w:p>
    <w:p w14:paraId="5D67BE4B">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（7）人员清单、每月人员社保交纳清单、人员变更审批表（如有）、车辆信息；</w:t>
      </w:r>
    </w:p>
    <w:p w14:paraId="4D905242">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（8）维护方案、安装施工组织方案、安全防护措施方案</w:t>
      </w:r>
    </w:p>
    <w:p w14:paraId="6B9FAAF8">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（9）工作量、工作数据、工作小结、周巡查登记记录报告、月巡查登记记录报告、月巡查维护报告、台账、设施维护前后照片、工作联系单：须经甲方、监理、乙方签字确认。</w:t>
      </w:r>
    </w:p>
    <w:p w14:paraId="2C311E9E">
      <w:pPr>
        <w:spacing w:line="460" w:lineRule="exact"/>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 xml:space="preserve"> （10）《问题告知单》</w:t>
      </w:r>
    </w:p>
    <w:p w14:paraId="7BB5C626">
      <w:pPr>
        <w:spacing w:line="460" w:lineRule="exact"/>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（11）产品说明书、产品合格证、原厂质保承诺函、质量保证书原件、三包凭证、原配的附件（如有）、产品生产日期凭证等</w:t>
      </w:r>
    </w:p>
    <w:p w14:paraId="6BD28A22">
      <w:pPr>
        <w:spacing w:line="460" w:lineRule="exact"/>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（12）具有CMA资质第三方出具的检测报告</w:t>
      </w:r>
    </w:p>
    <w:p w14:paraId="52D4C829">
      <w:pPr>
        <w:spacing w:line="460" w:lineRule="exact"/>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（13）设施更换交接表（附设施更换前后对比照片）。须经采购人经办人及审核人、监理、供应商签字确认加盖公章。</w:t>
      </w:r>
    </w:p>
    <w:p w14:paraId="48D5614A">
      <w:pPr>
        <w:spacing w:line="460" w:lineRule="exact"/>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（14）每季度抽测表：须甲方经办人、审核人、监理、乙方签字并盖章。</w:t>
      </w:r>
    </w:p>
    <w:p w14:paraId="06F8DF42">
      <w:pPr>
        <w:spacing w:line="460" w:lineRule="exact"/>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（15）监理总结。监理总结中包含付款申请表、付款意见表。</w:t>
      </w:r>
    </w:p>
    <w:p w14:paraId="22872045">
      <w:pPr>
        <w:spacing w:line="460" w:lineRule="exact"/>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（16）验收总结报告。</w:t>
      </w:r>
    </w:p>
    <w:p w14:paraId="52B721ED">
      <w:pPr>
        <w:spacing w:line="460" w:lineRule="exact"/>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t>（17）验收需提供的其他相关材料。</w:t>
      </w:r>
    </w:p>
    <w:p w14:paraId="6AA05DB6">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履约验收标准：根据采购文件确定的技术指标或者服务要求确定验收指标和标准。未进行相应约定的，应当符合国家强制性规定、政策要求、安全标准、行业或企业有关标准等。</w:t>
      </w:r>
    </w:p>
    <w:p w14:paraId="37DB3B96">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2.20.1采购文件要求乙方提交履约保证金的，乙方提交不超过项目预算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的履约保证金。乙方以支票、汇票、本票或者金融机构、担保机构出具的保函等非现金形式，提交履约保证金；鼓励和支持乙方以履约保函形式提供履约保证。</w:t>
      </w:r>
    </w:p>
    <w:p w14:paraId="0C17A692">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2.20.2验收合格后，无任何质量问题，甲方于收到乙方退还履约保证金申请之日起5个工作日内凭双方签字盖章的验收意见，原额（无息）归还履约保证金。</w:t>
      </w:r>
    </w:p>
    <w:p w14:paraId="05B1F0B6">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2.22本合同壹式陆份，具有同等法律效力，甲乙双方各执叁份。</w:t>
      </w:r>
    </w:p>
    <w:p w14:paraId="263297D0">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3D08FDA7">
      <w:pPr>
        <w:spacing w:line="460" w:lineRule="exact"/>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附件1、标项一、标项二、标项三、标项四合同价格清单</w:t>
      </w:r>
    </w:p>
    <w:p w14:paraId="53678D7D">
      <w:pPr>
        <w:numPr>
          <w:ilvl w:val="0"/>
          <w:numId w:val="0"/>
        </w:numPr>
        <w:ind w:left="0" w:leftChars="0" w:firstLine="0" w:firstLineChars="0"/>
        <w:outlineLvl w:val="9"/>
        <w:rPr>
          <w:rFonts w:hint="eastAsia" w:ascii="新宋体" w:hAnsi="新宋体" w:eastAsia="新宋体" w:cs="新宋体"/>
          <w:color w:val="auto"/>
          <w:kern w:val="2"/>
          <w:sz w:val="22"/>
          <w:szCs w:val="22"/>
          <w:highlight w:val="none"/>
          <w:lang w:val="en-US" w:eastAsia="zh-CN" w:bidi="ar-SA"/>
        </w:rPr>
      </w:pPr>
    </w:p>
    <w:p w14:paraId="722CE056">
      <w:pPr>
        <w:numPr>
          <w:ilvl w:val="0"/>
          <w:numId w:val="0"/>
        </w:numPr>
        <w:ind w:left="0" w:leftChars="0" w:firstLine="0" w:firstLineChars="0"/>
        <w:outlineLvl w:val="9"/>
        <w:rPr>
          <w:rFonts w:hint="eastAsia" w:ascii="新宋体" w:hAnsi="新宋体" w:eastAsia="新宋体" w:cs="新宋体"/>
          <w:color w:val="auto"/>
          <w:kern w:val="2"/>
          <w:sz w:val="22"/>
          <w:szCs w:val="22"/>
          <w:highlight w:val="none"/>
          <w:lang w:val="en-US" w:eastAsia="zh-CN" w:bidi="ar-SA"/>
        </w:rPr>
      </w:pPr>
    </w:p>
    <w:p w14:paraId="54D8FC3E">
      <w:pP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13A20B6E">
      <w:pPr>
        <w:pStyle w:val="21"/>
        <w:spacing w:line="460" w:lineRule="exac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附件2：标项一、标项二、标项三、标项四</w:t>
      </w:r>
      <w:r>
        <w:rPr>
          <w:rFonts w:hint="eastAsia" w:ascii="新宋体" w:hAnsi="新宋体" w:eastAsia="新宋体" w:cs="新宋体"/>
          <w:color w:val="auto"/>
          <w:sz w:val="22"/>
          <w:szCs w:val="22"/>
          <w:highlight w:val="none"/>
          <w:lang w:val="zh-CN"/>
        </w:rPr>
        <w:t>项目人员清单</w:t>
      </w:r>
    </w:p>
    <w:tbl>
      <w:tblPr>
        <w:tblStyle w:val="52"/>
        <w:tblW w:w="4999"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882"/>
        <w:gridCol w:w="1882"/>
        <w:gridCol w:w="2462"/>
        <w:gridCol w:w="1813"/>
        <w:gridCol w:w="1814"/>
      </w:tblGrid>
      <w:tr w14:paraId="144EA22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510" w:hRule="exact"/>
        </w:trPr>
        <w:tc>
          <w:tcPr>
            <w:tcW w:w="955" w:type="pct"/>
            <w:tcBorders>
              <w:top w:val="single" w:color="auto" w:sz="2" w:space="0"/>
              <w:left w:val="single" w:color="auto" w:sz="2" w:space="0"/>
              <w:bottom w:val="single" w:color="auto" w:sz="6" w:space="0"/>
              <w:right w:val="single" w:color="auto" w:sz="6" w:space="0"/>
            </w:tcBorders>
            <w:noWrap/>
          </w:tcPr>
          <w:p w14:paraId="363BBEBB">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岗位</w:t>
            </w:r>
          </w:p>
        </w:tc>
        <w:tc>
          <w:tcPr>
            <w:tcW w:w="955" w:type="pct"/>
            <w:tcBorders>
              <w:top w:val="single" w:color="auto" w:sz="2" w:space="0"/>
              <w:left w:val="single" w:color="auto" w:sz="6" w:space="0"/>
              <w:bottom w:val="single" w:color="auto" w:sz="6" w:space="0"/>
              <w:right w:val="single" w:color="auto" w:sz="6" w:space="0"/>
            </w:tcBorders>
            <w:noWrap/>
          </w:tcPr>
          <w:p w14:paraId="7D6C47DE">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人数</w:t>
            </w:r>
          </w:p>
        </w:tc>
        <w:tc>
          <w:tcPr>
            <w:tcW w:w="1249" w:type="pct"/>
            <w:tcBorders>
              <w:top w:val="single" w:color="auto" w:sz="2" w:space="0"/>
              <w:left w:val="single" w:color="auto" w:sz="6" w:space="0"/>
              <w:bottom w:val="single" w:color="auto" w:sz="6" w:space="0"/>
              <w:right w:val="single" w:color="auto" w:sz="6" w:space="0"/>
            </w:tcBorders>
            <w:noWrap/>
          </w:tcPr>
          <w:p w14:paraId="2F25CDC4">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现场承担工作</w:t>
            </w:r>
          </w:p>
        </w:tc>
        <w:tc>
          <w:tcPr>
            <w:tcW w:w="920" w:type="pct"/>
            <w:tcBorders>
              <w:top w:val="single" w:color="auto" w:sz="2" w:space="0"/>
              <w:left w:val="single" w:color="auto" w:sz="6" w:space="0"/>
              <w:bottom w:val="single" w:color="auto" w:sz="6" w:space="0"/>
              <w:right w:val="single" w:color="auto" w:sz="2" w:space="0"/>
            </w:tcBorders>
            <w:noWrap/>
          </w:tcPr>
          <w:p w14:paraId="7F3EAFE1">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是否有上岗证书</w:t>
            </w:r>
          </w:p>
        </w:tc>
        <w:tc>
          <w:tcPr>
            <w:tcW w:w="920" w:type="pct"/>
            <w:tcBorders>
              <w:top w:val="single" w:color="auto" w:sz="2" w:space="0"/>
              <w:left w:val="single" w:color="auto" w:sz="6" w:space="0"/>
              <w:bottom w:val="single" w:color="auto" w:sz="6" w:space="0"/>
              <w:right w:val="single" w:color="auto" w:sz="2" w:space="0"/>
            </w:tcBorders>
            <w:noWrap/>
          </w:tcPr>
          <w:p w14:paraId="59AA8209">
            <w:pPr>
              <w:snapToGrid w:val="0"/>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备注</w:t>
            </w:r>
          </w:p>
        </w:tc>
      </w:tr>
      <w:tr w14:paraId="699A02E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1F90E77D">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6A8D88F5">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135EC349">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4183051C">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610779D4">
            <w:pPr>
              <w:snapToGrid w:val="0"/>
              <w:spacing w:line="460" w:lineRule="exact"/>
              <w:rPr>
                <w:rFonts w:ascii="新宋体" w:hAnsi="新宋体" w:eastAsia="新宋体" w:cs="新宋体"/>
                <w:color w:val="auto"/>
                <w:sz w:val="22"/>
                <w:szCs w:val="22"/>
                <w:highlight w:val="none"/>
              </w:rPr>
            </w:pPr>
          </w:p>
        </w:tc>
      </w:tr>
      <w:tr w14:paraId="007A1D2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045C2E59">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648343B8">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3A369704">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0090D5D7">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7BC0CCAF">
            <w:pPr>
              <w:snapToGrid w:val="0"/>
              <w:spacing w:line="460" w:lineRule="exact"/>
              <w:rPr>
                <w:rFonts w:ascii="新宋体" w:hAnsi="新宋体" w:eastAsia="新宋体" w:cs="新宋体"/>
                <w:color w:val="auto"/>
                <w:sz w:val="22"/>
                <w:szCs w:val="22"/>
                <w:highlight w:val="none"/>
              </w:rPr>
            </w:pPr>
          </w:p>
        </w:tc>
      </w:tr>
      <w:tr w14:paraId="4826524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5F4B59D9">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35616F4B">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41B4AFF4">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5BEBD65B">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63995DAC">
            <w:pPr>
              <w:snapToGrid w:val="0"/>
              <w:spacing w:line="460" w:lineRule="exact"/>
              <w:rPr>
                <w:rFonts w:ascii="新宋体" w:hAnsi="新宋体" w:eastAsia="新宋体" w:cs="新宋体"/>
                <w:color w:val="auto"/>
                <w:sz w:val="22"/>
                <w:szCs w:val="22"/>
                <w:highlight w:val="none"/>
              </w:rPr>
            </w:pPr>
          </w:p>
        </w:tc>
      </w:tr>
      <w:tr w14:paraId="14BDE48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7281DF3D">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5CA98699">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7B975469">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7DE01F7A">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23F1FD44">
            <w:pPr>
              <w:snapToGrid w:val="0"/>
              <w:spacing w:line="460" w:lineRule="exact"/>
              <w:rPr>
                <w:rFonts w:ascii="新宋体" w:hAnsi="新宋体" w:eastAsia="新宋体" w:cs="新宋体"/>
                <w:color w:val="auto"/>
                <w:sz w:val="22"/>
                <w:szCs w:val="22"/>
                <w:highlight w:val="none"/>
              </w:rPr>
            </w:pPr>
          </w:p>
        </w:tc>
      </w:tr>
      <w:tr w14:paraId="3850E1B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16C1D322">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4CFC3897">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32B6C830">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6BCE87B6">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4AD6AE20">
            <w:pPr>
              <w:snapToGrid w:val="0"/>
              <w:spacing w:line="460" w:lineRule="exact"/>
              <w:rPr>
                <w:rFonts w:ascii="新宋体" w:hAnsi="新宋体" w:eastAsia="新宋体" w:cs="新宋体"/>
                <w:color w:val="auto"/>
                <w:sz w:val="22"/>
                <w:szCs w:val="22"/>
                <w:highlight w:val="none"/>
              </w:rPr>
            </w:pPr>
          </w:p>
        </w:tc>
      </w:tr>
      <w:tr w14:paraId="552FD2F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7AB16114">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15083573">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2CFCF17A">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2FBB67ED">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54609520">
            <w:pPr>
              <w:snapToGrid w:val="0"/>
              <w:spacing w:line="460" w:lineRule="exact"/>
              <w:rPr>
                <w:rFonts w:ascii="新宋体" w:hAnsi="新宋体" w:eastAsia="新宋体" w:cs="新宋体"/>
                <w:color w:val="auto"/>
                <w:sz w:val="22"/>
                <w:szCs w:val="22"/>
                <w:highlight w:val="none"/>
              </w:rPr>
            </w:pPr>
          </w:p>
        </w:tc>
      </w:tr>
      <w:tr w14:paraId="1B3A6BD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025AEC59">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2846D1B2">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7EF6A287">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14436B05">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0E105B1B">
            <w:pPr>
              <w:snapToGrid w:val="0"/>
              <w:spacing w:line="460" w:lineRule="exact"/>
              <w:rPr>
                <w:rFonts w:ascii="新宋体" w:hAnsi="新宋体" w:eastAsia="新宋体" w:cs="新宋体"/>
                <w:color w:val="auto"/>
                <w:sz w:val="22"/>
                <w:szCs w:val="22"/>
                <w:highlight w:val="none"/>
              </w:rPr>
            </w:pPr>
          </w:p>
        </w:tc>
      </w:tr>
      <w:tr w14:paraId="18AD78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1925DC82">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1AEE6BF1">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5CAE806C">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7E11C6EB">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7735AB60">
            <w:pPr>
              <w:snapToGrid w:val="0"/>
              <w:spacing w:line="460" w:lineRule="exact"/>
              <w:rPr>
                <w:rFonts w:ascii="新宋体" w:hAnsi="新宋体" w:eastAsia="新宋体" w:cs="新宋体"/>
                <w:color w:val="auto"/>
                <w:sz w:val="22"/>
                <w:szCs w:val="22"/>
                <w:highlight w:val="none"/>
              </w:rPr>
            </w:pPr>
          </w:p>
        </w:tc>
      </w:tr>
      <w:tr w14:paraId="45A3083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5C90CC53">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6B9B7178">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42C4FE3C">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309944BD">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346AD246">
            <w:pPr>
              <w:snapToGrid w:val="0"/>
              <w:spacing w:line="460" w:lineRule="exact"/>
              <w:rPr>
                <w:rFonts w:ascii="新宋体" w:hAnsi="新宋体" w:eastAsia="新宋体" w:cs="新宋体"/>
                <w:color w:val="auto"/>
                <w:sz w:val="22"/>
                <w:szCs w:val="22"/>
                <w:highlight w:val="none"/>
              </w:rPr>
            </w:pPr>
          </w:p>
        </w:tc>
      </w:tr>
      <w:tr w14:paraId="2E63137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0D1FCA2D">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70D81418">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7BFE36BE">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55C679FB">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5C26F495">
            <w:pPr>
              <w:snapToGrid w:val="0"/>
              <w:spacing w:line="460" w:lineRule="exact"/>
              <w:rPr>
                <w:rFonts w:ascii="新宋体" w:hAnsi="新宋体" w:eastAsia="新宋体" w:cs="新宋体"/>
                <w:color w:val="auto"/>
                <w:sz w:val="22"/>
                <w:szCs w:val="22"/>
                <w:highlight w:val="none"/>
              </w:rPr>
            </w:pPr>
          </w:p>
        </w:tc>
      </w:tr>
      <w:tr w14:paraId="650A4F4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4D58E493">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0A30590A">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1CAEA2CE">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0902B322">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3A28CC34">
            <w:pPr>
              <w:snapToGrid w:val="0"/>
              <w:spacing w:line="460" w:lineRule="exact"/>
              <w:rPr>
                <w:rFonts w:ascii="新宋体" w:hAnsi="新宋体" w:eastAsia="新宋体" w:cs="新宋体"/>
                <w:color w:val="auto"/>
                <w:sz w:val="22"/>
                <w:szCs w:val="22"/>
                <w:highlight w:val="none"/>
              </w:rPr>
            </w:pPr>
          </w:p>
        </w:tc>
      </w:tr>
      <w:tr w14:paraId="66F1BF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08C08ECE">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36BA59F0">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75F318A1">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2CB27E40">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3CF426C6">
            <w:pPr>
              <w:snapToGrid w:val="0"/>
              <w:spacing w:line="460" w:lineRule="exact"/>
              <w:rPr>
                <w:rFonts w:ascii="新宋体" w:hAnsi="新宋体" w:eastAsia="新宋体" w:cs="新宋体"/>
                <w:color w:val="auto"/>
                <w:sz w:val="22"/>
                <w:szCs w:val="22"/>
                <w:highlight w:val="none"/>
              </w:rPr>
            </w:pPr>
          </w:p>
        </w:tc>
      </w:tr>
      <w:tr w14:paraId="0124EFC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2B1398E0">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26553528">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4F0BBF8D">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77859C43">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6385424C">
            <w:pPr>
              <w:snapToGrid w:val="0"/>
              <w:spacing w:line="460" w:lineRule="exact"/>
              <w:rPr>
                <w:rFonts w:ascii="新宋体" w:hAnsi="新宋体" w:eastAsia="新宋体" w:cs="新宋体"/>
                <w:color w:val="auto"/>
                <w:sz w:val="22"/>
                <w:szCs w:val="22"/>
                <w:highlight w:val="none"/>
              </w:rPr>
            </w:pPr>
          </w:p>
        </w:tc>
      </w:tr>
      <w:tr w14:paraId="1F41B70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1BC5AD60">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20241963">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02A868E6">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6E6A5609">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286BC03F">
            <w:pPr>
              <w:snapToGrid w:val="0"/>
              <w:spacing w:line="460" w:lineRule="exact"/>
              <w:rPr>
                <w:rFonts w:ascii="新宋体" w:hAnsi="新宋体" w:eastAsia="新宋体" w:cs="新宋体"/>
                <w:color w:val="auto"/>
                <w:sz w:val="22"/>
                <w:szCs w:val="22"/>
                <w:highlight w:val="none"/>
              </w:rPr>
            </w:pPr>
          </w:p>
        </w:tc>
      </w:tr>
      <w:tr w14:paraId="489F984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510" w:hRule="exact"/>
        </w:trPr>
        <w:tc>
          <w:tcPr>
            <w:tcW w:w="955" w:type="pct"/>
            <w:tcBorders>
              <w:top w:val="single" w:color="auto" w:sz="6" w:space="0"/>
              <w:left w:val="single" w:color="auto" w:sz="2" w:space="0"/>
              <w:bottom w:val="single" w:color="auto" w:sz="6" w:space="0"/>
              <w:right w:val="single" w:color="auto" w:sz="6" w:space="0"/>
            </w:tcBorders>
            <w:noWrap/>
          </w:tcPr>
          <w:p w14:paraId="79C08CB1">
            <w:pPr>
              <w:snapToGrid w:val="0"/>
              <w:spacing w:line="460" w:lineRule="exact"/>
              <w:rPr>
                <w:rFonts w:ascii="新宋体" w:hAnsi="新宋体" w:eastAsia="新宋体" w:cs="新宋体"/>
                <w:color w:val="auto"/>
                <w:sz w:val="22"/>
                <w:szCs w:val="22"/>
                <w:highlight w:val="none"/>
              </w:rPr>
            </w:pPr>
          </w:p>
        </w:tc>
        <w:tc>
          <w:tcPr>
            <w:tcW w:w="955" w:type="pct"/>
            <w:tcBorders>
              <w:top w:val="single" w:color="auto" w:sz="6" w:space="0"/>
              <w:left w:val="single" w:color="auto" w:sz="6" w:space="0"/>
              <w:bottom w:val="single" w:color="auto" w:sz="6" w:space="0"/>
              <w:right w:val="single" w:color="auto" w:sz="6" w:space="0"/>
            </w:tcBorders>
            <w:noWrap/>
          </w:tcPr>
          <w:p w14:paraId="1F286664">
            <w:pPr>
              <w:snapToGrid w:val="0"/>
              <w:spacing w:line="460" w:lineRule="exact"/>
              <w:rPr>
                <w:rFonts w:ascii="新宋体" w:hAnsi="新宋体" w:eastAsia="新宋体" w:cs="新宋体"/>
                <w:color w:val="auto"/>
                <w:sz w:val="22"/>
                <w:szCs w:val="22"/>
                <w:highlight w:val="none"/>
              </w:rPr>
            </w:pPr>
          </w:p>
        </w:tc>
        <w:tc>
          <w:tcPr>
            <w:tcW w:w="1249" w:type="pct"/>
            <w:tcBorders>
              <w:top w:val="single" w:color="auto" w:sz="6" w:space="0"/>
              <w:left w:val="single" w:color="auto" w:sz="6" w:space="0"/>
              <w:bottom w:val="single" w:color="auto" w:sz="6" w:space="0"/>
              <w:right w:val="single" w:color="auto" w:sz="6" w:space="0"/>
            </w:tcBorders>
            <w:noWrap/>
          </w:tcPr>
          <w:p w14:paraId="47F2C0DC">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4425A271">
            <w:pPr>
              <w:snapToGrid w:val="0"/>
              <w:spacing w:line="460" w:lineRule="exact"/>
              <w:rPr>
                <w:rFonts w:ascii="新宋体" w:hAnsi="新宋体" w:eastAsia="新宋体" w:cs="新宋体"/>
                <w:color w:val="auto"/>
                <w:sz w:val="22"/>
                <w:szCs w:val="22"/>
                <w:highlight w:val="none"/>
              </w:rPr>
            </w:pPr>
          </w:p>
        </w:tc>
        <w:tc>
          <w:tcPr>
            <w:tcW w:w="920" w:type="pct"/>
            <w:tcBorders>
              <w:top w:val="single" w:color="auto" w:sz="6" w:space="0"/>
              <w:left w:val="single" w:color="auto" w:sz="6" w:space="0"/>
              <w:bottom w:val="single" w:color="auto" w:sz="6" w:space="0"/>
              <w:right w:val="single" w:color="auto" w:sz="2" w:space="0"/>
            </w:tcBorders>
            <w:noWrap/>
          </w:tcPr>
          <w:p w14:paraId="7966F362">
            <w:pPr>
              <w:snapToGrid w:val="0"/>
              <w:spacing w:line="460" w:lineRule="exact"/>
              <w:rPr>
                <w:rFonts w:ascii="新宋体" w:hAnsi="新宋体" w:eastAsia="新宋体" w:cs="新宋体"/>
                <w:color w:val="auto"/>
                <w:sz w:val="22"/>
                <w:szCs w:val="22"/>
                <w:highlight w:val="none"/>
              </w:rPr>
            </w:pPr>
          </w:p>
        </w:tc>
      </w:tr>
    </w:tbl>
    <w:p w14:paraId="6C2D68A6">
      <w:pPr>
        <w:rPr>
          <w:rFonts w:hint="eastAsia" w:ascii="新宋体" w:hAnsi="新宋体" w:eastAsia="新宋体" w:cs="新宋体"/>
          <w:b/>
          <w:bCs/>
          <w:snapToGrid w:val="0"/>
          <w:color w:val="auto"/>
          <w:sz w:val="22"/>
          <w:szCs w:val="22"/>
          <w:highlight w:val="none"/>
        </w:rPr>
      </w:pPr>
      <w:r>
        <w:rPr>
          <w:rFonts w:hint="eastAsia" w:ascii="新宋体" w:hAnsi="新宋体" w:eastAsia="新宋体" w:cs="新宋体"/>
          <w:b/>
          <w:bCs/>
          <w:snapToGrid w:val="0"/>
          <w:color w:val="auto"/>
          <w:sz w:val="22"/>
          <w:szCs w:val="22"/>
          <w:highlight w:val="none"/>
        </w:rPr>
        <w:br w:type="page"/>
      </w:r>
    </w:p>
    <w:p w14:paraId="5AF810AB">
      <w:pPr>
        <w:snapToGrid w:val="0"/>
        <w:spacing w:line="460" w:lineRule="exact"/>
        <w:rPr>
          <w:rFonts w:ascii="新宋体" w:hAnsi="新宋体" w:eastAsia="新宋体" w:cs="新宋体"/>
          <w:b/>
          <w:bCs/>
          <w:snapToGrid w:val="0"/>
          <w:color w:val="auto"/>
          <w:sz w:val="22"/>
          <w:szCs w:val="22"/>
          <w:highlight w:val="none"/>
        </w:rPr>
      </w:pPr>
      <w:r>
        <w:rPr>
          <w:rFonts w:hint="eastAsia" w:ascii="新宋体" w:hAnsi="新宋体" w:eastAsia="新宋体" w:cs="新宋体"/>
          <w:b/>
          <w:bCs/>
          <w:snapToGrid w:val="0"/>
          <w:color w:val="auto"/>
          <w:sz w:val="22"/>
          <w:szCs w:val="22"/>
          <w:highlight w:val="none"/>
        </w:rPr>
        <w:t>附件3:标一、标二、标三、标四考核</w:t>
      </w:r>
    </w:p>
    <w:p w14:paraId="37E03700">
      <w:pPr>
        <w:spacing w:line="460" w:lineRule="exact"/>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为进一步做好交通设施维护日常管理工作，特制订本考核管理办法。</w:t>
      </w:r>
    </w:p>
    <w:p w14:paraId="5E94C91D">
      <w:pPr>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●考核对象</w:t>
      </w:r>
    </w:p>
    <w:p w14:paraId="49862994">
      <w:pPr>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交通安全设施维护项目单位。</w:t>
      </w:r>
    </w:p>
    <w:p w14:paraId="75B6B646">
      <w:pPr>
        <w:spacing w:line="46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●考核原则</w:t>
      </w:r>
    </w:p>
    <w:p w14:paraId="6E877065">
      <w:pPr>
        <w:snapToGrid w:val="0"/>
        <w:spacing w:line="460" w:lineRule="exact"/>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乙方履行对服务全流程服务内容及其相关的服务项目，甲方负责乙方的管理指导、验收考核等职责，督促其履行合同。</w:t>
      </w:r>
    </w:p>
    <w:p w14:paraId="4F1CAD0C">
      <w:pPr>
        <w:spacing w:line="460" w:lineRule="exact"/>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zh-CN"/>
        </w:rPr>
        <w:t>本考核以月为考核周期，采用百分制计分方式（</w:t>
      </w:r>
      <w:r>
        <w:rPr>
          <w:rFonts w:hint="eastAsia" w:ascii="新宋体" w:hAnsi="新宋体" w:eastAsia="新宋体" w:cs="新宋体"/>
          <w:color w:val="auto"/>
          <w:kern w:val="0"/>
          <w:sz w:val="22"/>
          <w:szCs w:val="22"/>
          <w:highlight w:val="none"/>
        </w:rPr>
        <w:t>扣分总计</w:t>
      </w:r>
      <w:r>
        <w:rPr>
          <w:rFonts w:hint="eastAsia" w:ascii="新宋体" w:hAnsi="新宋体" w:eastAsia="新宋体" w:cs="新宋体"/>
          <w:color w:val="auto"/>
          <w:kern w:val="0"/>
          <w:sz w:val="22"/>
          <w:szCs w:val="22"/>
          <w:highlight w:val="none"/>
          <w:lang w:eastAsia="zh-CN"/>
        </w:rPr>
        <w:t>为</w:t>
      </w:r>
      <w:r>
        <w:rPr>
          <w:rFonts w:hint="eastAsia" w:ascii="新宋体" w:hAnsi="新宋体" w:eastAsia="新宋体" w:cs="新宋体"/>
          <w:color w:val="auto"/>
          <w:kern w:val="0"/>
          <w:sz w:val="22"/>
          <w:szCs w:val="22"/>
          <w:highlight w:val="none"/>
          <w:lang w:val="en-US" w:eastAsia="zh-CN"/>
        </w:rPr>
        <w:t>100分，</w:t>
      </w:r>
      <w:r>
        <w:rPr>
          <w:rFonts w:hint="eastAsia" w:ascii="新宋体" w:hAnsi="新宋体" w:eastAsia="新宋体" w:cs="新宋体"/>
          <w:color w:val="auto"/>
          <w:sz w:val="22"/>
          <w:szCs w:val="22"/>
          <w:highlight w:val="none"/>
          <w:lang w:val="zh-CN"/>
        </w:rPr>
        <w:t>扣完为止），甲方根据逐条考核事项及对应扣分对供应商（人员）进行计分。乙方每被扣1分，扣除违约金</w:t>
      </w:r>
      <w:r>
        <w:rPr>
          <w:rFonts w:hint="eastAsia" w:ascii="新宋体" w:hAnsi="新宋体" w:eastAsia="新宋体" w:cs="新宋体"/>
          <w:color w:val="auto"/>
          <w:sz w:val="22"/>
          <w:szCs w:val="22"/>
          <w:highlight w:val="none"/>
        </w:rPr>
        <w:t>1000</w:t>
      </w:r>
      <w:r>
        <w:rPr>
          <w:rFonts w:hint="eastAsia" w:ascii="新宋体" w:hAnsi="新宋体" w:eastAsia="新宋体" w:cs="新宋体"/>
          <w:color w:val="auto"/>
          <w:sz w:val="22"/>
          <w:szCs w:val="22"/>
          <w:highlight w:val="none"/>
          <w:lang w:val="zh-CN"/>
        </w:rPr>
        <w:t>元，违约金在结算合同尾款时扣除。</w:t>
      </w:r>
      <w:r>
        <w:rPr>
          <w:rFonts w:hint="eastAsia" w:ascii="新宋体" w:hAnsi="新宋体" w:eastAsia="新宋体" w:cs="新宋体"/>
          <w:color w:val="auto"/>
          <w:sz w:val="22"/>
          <w:szCs w:val="22"/>
          <w:highlight w:val="none"/>
          <w:lang w:val="en-US" w:eastAsia="zh-CN"/>
        </w:rPr>
        <w:t>针对交安“e”智治平台案卷处置甲方给予乙方98%的案卷容错率；</w:t>
      </w:r>
      <w:r>
        <w:rPr>
          <w:rFonts w:hint="eastAsia" w:ascii="新宋体" w:hAnsi="新宋体" w:eastAsia="新宋体" w:cs="新宋体"/>
          <w:color w:val="auto"/>
          <w:sz w:val="22"/>
          <w:szCs w:val="22"/>
          <w:highlight w:val="none"/>
          <w:lang w:val="zh-CN"/>
        </w:rPr>
        <w:t>考核分值高于</w:t>
      </w:r>
      <w:r>
        <w:rPr>
          <w:rFonts w:hint="eastAsia" w:ascii="新宋体" w:hAnsi="新宋体" w:eastAsia="新宋体" w:cs="新宋体"/>
          <w:color w:val="auto"/>
          <w:sz w:val="22"/>
          <w:szCs w:val="22"/>
          <w:highlight w:val="none"/>
        </w:rPr>
        <w:t>8</w:t>
      </w:r>
      <w:r>
        <w:rPr>
          <w:rFonts w:hint="eastAsia" w:ascii="新宋体" w:hAnsi="新宋体" w:eastAsia="新宋体" w:cs="新宋体"/>
          <w:color w:val="auto"/>
          <w:sz w:val="22"/>
          <w:szCs w:val="22"/>
          <w:highlight w:val="none"/>
          <w:lang w:val="zh-CN"/>
        </w:rPr>
        <w:t>0分（含</w:t>
      </w:r>
      <w:r>
        <w:rPr>
          <w:rFonts w:hint="eastAsia" w:ascii="新宋体" w:hAnsi="新宋体" w:eastAsia="新宋体" w:cs="新宋体"/>
          <w:color w:val="auto"/>
          <w:sz w:val="22"/>
          <w:szCs w:val="22"/>
          <w:highlight w:val="none"/>
        </w:rPr>
        <w:t>8</w:t>
      </w:r>
      <w:r>
        <w:rPr>
          <w:rFonts w:hint="eastAsia" w:ascii="新宋体" w:hAnsi="新宋体" w:eastAsia="新宋体" w:cs="新宋体"/>
          <w:color w:val="auto"/>
          <w:sz w:val="22"/>
          <w:szCs w:val="22"/>
          <w:highlight w:val="none"/>
          <w:lang w:val="zh-CN"/>
        </w:rPr>
        <w:t>0分）视为合格，</w:t>
      </w:r>
      <w:r>
        <w:rPr>
          <w:rFonts w:hint="eastAsia" w:ascii="新宋体" w:hAnsi="新宋体" w:eastAsia="新宋体" w:cs="新宋体"/>
          <w:color w:val="auto"/>
          <w:sz w:val="22"/>
          <w:szCs w:val="22"/>
          <w:highlight w:val="none"/>
        </w:rPr>
        <w:t>80</w:t>
      </w:r>
      <w:r>
        <w:rPr>
          <w:rFonts w:hint="eastAsia" w:ascii="新宋体" w:hAnsi="新宋体" w:eastAsia="新宋体" w:cs="新宋体"/>
          <w:color w:val="auto"/>
          <w:sz w:val="22"/>
          <w:szCs w:val="22"/>
          <w:highlight w:val="none"/>
          <w:lang w:val="zh-CN"/>
        </w:rPr>
        <w:t>分以下视为不合格；如乙方经甲方考评连续两次均为不合格，甲方有权无条件终止合同,并没收乙方全部履约保证金。如给甲方造成损失的有权向乙方提出索赔。如考核周期内重复出现相同扣分情形，累计计算扣除分值。</w:t>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32"/>
        <w:gridCol w:w="4778"/>
        <w:gridCol w:w="2395"/>
        <w:gridCol w:w="869"/>
      </w:tblGrid>
      <w:tr w14:paraId="23C4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00" w:type="pct"/>
            <w:gridSpan w:val="5"/>
            <w:tcBorders>
              <w:top w:val="nil"/>
              <w:left w:val="nil"/>
              <w:bottom w:val="single" w:color="auto" w:sz="4" w:space="0"/>
              <w:right w:val="nil"/>
            </w:tcBorders>
            <w:noWrap/>
            <w:vAlign w:val="center"/>
          </w:tcPr>
          <w:p w14:paraId="24194456">
            <w:pPr>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交通安全设施维护</w:t>
            </w:r>
            <w:r>
              <w:rPr>
                <w:rFonts w:hint="eastAsia" w:ascii="新宋体" w:hAnsi="新宋体" w:eastAsia="新宋体" w:cs="新宋体"/>
                <w:color w:val="auto"/>
                <w:kern w:val="0"/>
                <w:sz w:val="22"/>
                <w:szCs w:val="22"/>
                <w:highlight w:val="none"/>
                <w:lang w:val="en-GB"/>
              </w:rPr>
              <w:t>考核表</w:t>
            </w:r>
          </w:p>
        </w:tc>
      </w:tr>
      <w:tr w14:paraId="3636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tcBorders>
              <w:top w:val="single" w:color="auto" w:sz="4" w:space="0"/>
              <w:left w:val="single" w:color="auto" w:sz="4" w:space="0"/>
              <w:bottom w:val="single" w:color="auto" w:sz="4" w:space="0"/>
              <w:right w:val="single" w:color="auto" w:sz="4" w:space="0"/>
            </w:tcBorders>
            <w:noWrap/>
            <w:vAlign w:val="center"/>
          </w:tcPr>
          <w:p w14:paraId="726B718A">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2998" w:type="pct"/>
            <w:gridSpan w:val="2"/>
            <w:tcBorders>
              <w:top w:val="single" w:color="auto" w:sz="4" w:space="0"/>
              <w:left w:val="single" w:color="auto" w:sz="4" w:space="0"/>
              <w:bottom w:val="single" w:color="auto" w:sz="4" w:space="0"/>
              <w:right w:val="single" w:color="auto" w:sz="4" w:space="0"/>
            </w:tcBorders>
            <w:noWrap/>
            <w:vAlign w:val="center"/>
          </w:tcPr>
          <w:p w14:paraId="2CC71E4C">
            <w:pPr>
              <w:spacing w:line="46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扣分项内容</w:t>
            </w:r>
          </w:p>
        </w:tc>
        <w:tc>
          <w:tcPr>
            <w:tcW w:w="1215" w:type="pct"/>
            <w:tcBorders>
              <w:top w:val="single" w:color="auto" w:sz="4" w:space="0"/>
              <w:left w:val="single" w:color="auto" w:sz="4" w:space="0"/>
              <w:bottom w:val="single" w:color="auto" w:sz="4" w:space="0"/>
              <w:right w:val="single" w:color="auto" w:sz="4" w:space="0"/>
            </w:tcBorders>
            <w:noWrap/>
            <w:vAlign w:val="center"/>
          </w:tcPr>
          <w:p w14:paraId="0C2EAD5C">
            <w:pPr>
              <w:spacing w:beforeLines="50"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考核扣分</w:t>
            </w:r>
          </w:p>
        </w:tc>
        <w:tc>
          <w:tcPr>
            <w:tcW w:w="440" w:type="pct"/>
            <w:tcBorders>
              <w:top w:val="single" w:color="auto" w:sz="4" w:space="0"/>
              <w:left w:val="single" w:color="auto" w:sz="4" w:space="0"/>
              <w:bottom w:val="single" w:color="auto" w:sz="4" w:space="0"/>
              <w:right w:val="single" w:color="auto" w:sz="4" w:space="0"/>
            </w:tcBorders>
            <w:noWrap/>
            <w:vAlign w:val="center"/>
          </w:tcPr>
          <w:p w14:paraId="1D17BD36">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备注</w:t>
            </w:r>
          </w:p>
        </w:tc>
      </w:tr>
      <w:tr w14:paraId="2799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14:paraId="3A242DE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574" w:type="pct"/>
            <w:vMerge w:val="restart"/>
            <w:tcBorders>
              <w:top w:val="single" w:color="auto" w:sz="4" w:space="0"/>
              <w:left w:val="single" w:color="auto" w:sz="4" w:space="0"/>
              <w:bottom w:val="single" w:color="auto" w:sz="4" w:space="0"/>
              <w:right w:val="single" w:color="auto" w:sz="4" w:space="0"/>
            </w:tcBorders>
            <w:noWrap/>
            <w:vAlign w:val="center"/>
          </w:tcPr>
          <w:p w14:paraId="2E3F084D">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人员、车辆管理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c>
          <w:tcPr>
            <w:tcW w:w="2424" w:type="pct"/>
            <w:tcBorders>
              <w:top w:val="single" w:color="auto" w:sz="4" w:space="0"/>
              <w:left w:val="single" w:color="auto" w:sz="4" w:space="0"/>
              <w:bottom w:val="single" w:color="auto" w:sz="4" w:space="0"/>
              <w:right w:val="single" w:color="auto" w:sz="4" w:space="0"/>
            </w:tcBorders>
            <w:noWrap/>
            <w:vAlign w:val="center"/>
          </w:tcPr>
          <w:p w14:paraId="5122E9B4">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（1）乙方未按采购需求规定配备车辆、人员、设备</w:t>
            </w:r>
          </w:p>
        </w:tc>
        <w:tc>
          <w:tcPr>
            <w:tcW w:w="1215" w:type="pct"/>
            <w:tcBorders>
              <w:top w:val="single" w:color="auto" w:sz="4" w:space="0"/>
              <w:left w:val="single" w:color="auto" w:sz="4" w:space="0"/>
              <w:bottom w:val="single" w:color="auto" w:sz="4" w:space="0"/>
              <w:right w:val="single" w:color="auto" w:sz="4" w:space="0"/>
            </w:tcBorders>
            <w:noWrap/>
            <w:vAlign w:val="center"/>
          </w:tcPr>
          <w:p w14:paraId="6FE4C73C">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43F593DC">
            <w:pPr>
              <w:spacing w:line="460" w:lineRule="exact"/>
              <w:rPr>
                <w:rFonts w:ascii="新宋体" w:hAnsi="新宋体" w:eastAsia="新宋体" w:cs="新宋体"/>
                <w:color w:val="auto"/>
                <w:sz w:val="22"/>
                <w:szCs w:val="22"/>
                <w:highlight w:val="none"/>
              </w:rPr>
            </w:pPr>
          </w:p>
        </w:tc>
      </w:tr>
      <w:tr w14:paraId="2A3A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6E1A919F">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48C71330">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5CA90ED4">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（2）服务人员工作数据统计错误，工作信息不准确，资料流程存在缺失</w:t>
            </w:r>
          </w:p>
        </w:tc>
        <w:tc>
          <w:tcPr>
            <w:tcW w:w="1215" w:type="pct"/>
            <w:tcBorders>
              <w:top w:val="single" w:color="auto" w:sz="4" w:space="0"/>
              <w:left w:val="single" w:color="auto" w:sz="4" w:space="0"/>
              <w:bottom w:val="single" w:color="auto" w:sz="4" w:space="0"/>
              <w:right w:val="single" w:color="auto" w:sz="4" w:space="0"/>
            </w:tcBorders>
            <w:noWrap/>
            <w:vAlign w:val="center"/>
          </w:tcPr>
          <w:p w14:paraId="033760AC">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641591DD">
            <w:pPr>
              <w:spacing w:line="460" w:lineRule="exact"/>
              <w:rPr>
                <w:rFonts w:ascii="新宋体" w:hAnsi="新宋体" w:eastAsia="新宋体" w:cs="新宋体"/>
                <w:color w:val="auto"/>
                <w:sz w:val="22"/>
                <w:szCs w:val="22"/>
                <w:highlight w:val="none"/>
              </w:rPr>
            </w:pPr>
          </w:p>
        </w:tc>
      </w:tr>
      <w:tr w14:paraId="7299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340751CD">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74ECF484">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488AA829">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（3）交办的工作不落实，未按要求时间完成，完成结果未达采购人要求</w:t>
            </w:r>
          </w:p>
        </w:tc>
        <w:tc>
          <w:tcPr>
            <w:tcW w:w="1215" w:type="pct"/>
            <w:tcBorders>
              <w:top w:val="single" w:color="auto" w:sz="4" w:space="0"/>
              <w:left w:val="single" w:color="auto" w:sz="4" w:space="0"/>
              <w:bottom w:val="single" w:color="auto" w:sz="4" w:space="0"/>
              <w:right w:val="single" w:color="auto" w:sz="4" w:space="0"/>
            </w:tcBorders>
            <w:noWrap/>
            <w:vAlign w:val="center"/>
          </w:tcPr>
          <w:p w14:paraId="097BA3EC">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每起扣1分；二次交办后仍未按要求落实办理，扣3分；产生不良后果扣5分。</w:t>
            </w:r>
          </w:p>
        </w:tc>
        <w:tc>
          <w:tcPr>
            <w:tcW w:w="440" w:type="pct"/>
            <w:tcBorders>
              <w:top w:val="single" w:color="auto" w:sz="4" w:space="0"/>
              <w:left w:val="single" w:color="auto" w:sz="4" w:space="0"/>
              <w:bottom w:val="single" w:color="auto" w:sz="4" w:space="0"/>
              <w:right w:val="single" w:color="auto" w:sz="4" w:space="0"/>
            </w:tcBorders>
            <w:noWrap/>
            <w:vAlign w:val="center"/>
          </w:tcPr>
          <w:p w14:paraId="5BD282C0">
            <w:pPr>
              <w:spacing w:line="460" w:lineRule="exact"/>
              <w:rPr>
                <w:rFonts w:ascii="新宋体" w:hAnsi="新宋体" w:eastAsia="新宋体" w:cs="新宋体"/>
                <w:color w:val="auto"/>
                <w:sz w:val="22"/>
                <w:szCs w:val="22"/>
                <w:highlight w:val="none"/>
              </w:rPr>
            </w:pPr>
          </w:p>
        </w:tc>
      </w:tr>
      <w:tr w14:paraId="7C73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47625821">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06771C11">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72342428">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（4）人员变更时，没有提前2个工作日向采购人提交书面报告，没有审批单，更换人员资历低于投标时人员资历的</w:t>
            </w:r>
          </w:p>
        </w:tc>
        <w:tc>
          <w:tcPr>
            <w:tcW w:w="1215" w:type="pct"/>
            <w:tcBorders>
              <w:top w:val="single" w:color="auto" w:sz="4" w:space="0"/>
              <w:left w:val="single" w:color="auto" w:sz="4" w:space="0"/>
              <w:bottom w:val="single" w:color="auto" w:sz="4" w:space="0"/>
              <w:right w:val="single" w:color="auto" w:sz="4" w:space="0"/>
            </w:tcBorders>
            <w:noWrap/>
            <w:vAlign w:val="center"/>
          </w:tcPr>
          <w:p w14:paraId="067D1754">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35130CAD">
            <w:pPr>
              <w:spacing w:line="460" w:lineRule="exact"/>
              <w:rPr>
                <w:rFonts w:ascii="新宋体" w:hAnsi="新宋体" w:eastAsia="新宋体" w:cs="新宋体"/>
                <w:color w:val="auto"/>
                <w:sz w:val="22"/>
                <w:szCs w:val="22"/>
                <w:highlight w:val="none"/>
              </w:rPr>
            </w:pPr>
          </w:p>
        </w:tc>
      </w:tr>
      <w:tr w14:paraId="3A06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50C309B8">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71EC4252">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6D6EA4A3">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（5）维护车辆及人员不每日上路巡查、维护，上路工作不开启车辆定位系统，</w:t>
            </w:r>
          </w:p>
        </w:tc>
        <w:tc>
          <w:tcPr>
            <w:tcW w:w="1215" w:type="pct"/>
            <w:tcBorders>
              <w:top w:val="single" w:color="auto" w:sz="4" w:space="0"/>
              <w:left w:val="single" w:color="auto" w:sz="4" w:space="0"/>
              <w:bottom w:val="single" w:color="auto" w:sz="4" w:space="0"/>
              <w:right w:val="single" w:color="auto" w:sz="4" w:space="0"/>
            </w:tcBorders>
            <w:noWrap/>
            <w:vAlign w:val="center"/>
          </w:tcPr>
          <w:p w14:paraId="5A129C14">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50FF2D8F">
            <w:pPr>
              <w:spacing w:line="460" w:lineRule="exact"/>
              <w:rPr>
                <w:rFonts w:ascii="新宋体" w:hAnsi="新宋体" w:eastAsia="新宋体" w:cs="新宋体"/>
                <w:color w:val="auto"/>
                <w:sz w:val="22"/>
                <w:szCs w:val="22"/>
                <w:highlight w:val="none"/>
              </w:rPr>
            </w:pPr>
          </w:p>
        </w:tc>
      </w:tr>
      <w:tr w14:paraId="0366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66CE10DE">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558A4F3C">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7D175225">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（6）维护车辆、设备、人员虽在维护区域内，未做与甲方维护项目相关工作的，或工作时间未在维护工作区域内，且未出具书面情况并及时整改的。</w:t>
            </w:r>
          </w:p>
        </w:tc>
        <w:tc>
          <w:tcPr>
            <w:tcW w:w="1215" w:type="pct"/>
            <w:tcBorders>
              <w:top w:val="single" w:color="auto" w:sz="4" w:space="0"/>
              <w:left w:val="single" w:color="auto" w:sz="4" w:space="0"/>
              <w:bottom w:val="single" w:color="auto" w:sz="4" w:space="0"/>
              <w:right w:val="single" w:color="auto" w:sz="4" w:space="0"/>
            </w:tcBorders>
            <w:noWrap/>
            <w:vAlign w:val="center"/>
          </w:tcPr>
          <w:p w14:paraId="5E6D04AA">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420F8B5C">
            <w:pPr>
              <w:spacing w:line="460" w:lineRule="exact"/>
              <w:rPr>
                <w:rFonts w:ascii="新宋体" w:hAnsi="新宋体" w:eastAsia="新宋体" w:cs="新宋体"/>
                <w:color w:val="auto"/>
                <w:sz w:val="22"/>
                <w:szCs w:val="22"/>
                <w:highlight w:val="none"/>
              </w:rPr>
            </w:pPr>
          </w:p>
        </w:tc>
      </w:tr>
      <w:tr w14:paraId="08B0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45" w:type="pct"/>
            <w:vMerge w:val="restart"/>
            <w:tcBorders>
              <w:top w:val="single" w:color="auto" w:sz="4" w:space="0"/>
              <w:left w:val="single" w:color="auto" w:sz="4" w:space="0"/>
              <w:right w:val="single" w:color="auto" w:sz="4" w:space="0"/>
            </w:tcBorders>
            <w:noWrap/>
            <w:vAlign w:val="center"/>
          </w:tcPr>
          <w:p w14:paraId="3A07D20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574" w:type="pct"/>
            <w:vMerge w:val="restart"/>
            <w:tcBorders>
              <w:top w:val="single" w:color="auto" w:sz="4" w:space="0"/>
              <w:left w:val="single" w:color="auto" w:sz="4" w:space="0"/>
              <w:right w:val="single" w:color="auto" w:sz="4" w:space="0"/>
            </w:tcBorders>
            <w:noWrap/>
            <w:vAlign w:val="center"/>
          </w:tcPr>
          <w:p w14:paraId="60C54A0B">
            <w:pPr>
              <w:spacing w:line="460" w:lineRule="exact"/>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设施提供</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10分</w:t>
            </w:r>
            <w:r>
              <w:rPr>
                <w:rFonts w:hint="eastAsia" w:ascii="新宋体" w:hAnsi="新宋体" w:eastAsia="新宋体" w:cs="新宋体"/>
                <w:color w:val="auto"/>
                <w:sz w:val="22"/>
                <w:szCs w:val="22"/>
                <w:highlight w:val="none"/>
                <w:lang w:eastAsia="zh-CN"/>
              </w:rPr>
              <w:t>）</w:t>
            </w:r>
          </w:p>
        </w:tc>
        <w:tc>
          <w:tcPr>
            <w:tcW w:w="2424" w:type="pct"/>
            <w:tcBorders>
              <w:top w:val="single" w:color="auto" w:sz="4" w:space="0"/>
              <w:left w:val="single" w:color="auto" w:sz="4" w:space="0"/>
              <w:bottom w:val="single" w:color="auto" w:sz="4" w:space="0"/>
              <w:right w:val="single" w:color="auto" w:sz="4" w:space="0"/>
            </w:tcBorders>
            <w:noWrap/>
            <w:vAlign w:val="center"/>
          </w:tcPr>
          <w:p w14:paraId="5E04D235">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（1）维护车辆未按要求配齐维护材料。</w:t>
            </w:r>
          </w:p>
        </w:tc>
        <w:tc>
          <w:tcPr>
            <w:tcW w:w="1215" w:type="pct"/>
            <w:tcBorders>
              <w:top w:val="single" w:color="auto" w:sz="4" w:space="0"/>
              <w:left w:val="single" w:color="auto" w:sz="4" w:space="0"/>
              <w:bottom w:val="single" w:color="auto" w:sz="4" w:space="0"/>
              <w:right w:val="single" w:color="auto" w:sz="4" w:space="0"/>
            </w:tcBorders>
            <w:noWrap/>
            <w:vAlign w:val="center"/>
          </w:tcPr>
          <w:p w14:paraId="547B9267">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7CB851FC">
            <w:pPr>
              <w:spacing w:line="460" w:lineRule="exact"/>
              <w:rPr>
                <w:rFonts w:ascii="新宋体" w:hAnsi="新宋体" w:eastAsia="新宋体" w:cs="新宋体"/>
                <w:color w:val="auto"/>
                <w:sz w:val="22"/>
                <w:szCs w:val="22"/>
                <w:highlight w:val="none"/>
              </w:rPr>
            </w:pPr>
          </w:p>
        </w:tc>
      </w:tr>
      <w:tr w14:paraId="0090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left w:val="single" w:color="auto" w:sz="4" w:space="0"/>
              <w:right w:val="single" w:color="auto" w:sz="4" w:space="0"/>
            </w:tcBorders>
            <w:noWrap/>
            <w:vAlign w:val="center"/>
          </w:tcPr>
          <w:p w14:paraId="13CD46B9">
            <w:pPr>
              <w:spacing w:line="460" w:lineRule="exact"/>
              <w:rPr>
                <w:rFonts w:ascii="新宋体" w:hAnsi="新宋体" w:eastAsia="新宋体" w:cs="新宋体"/>
                <w:color w:val="auto"/>
                <w:sz w:val="22"/>
                <w:szCs w:val="22"/>
                <w:highlight w:val="none"/>
              </w:rPr>
            </w:pPr>
          </w:p>
        </w:tc>
        <w:tc>
          <w:tcPr>
            <w:tcW w:w="574" w:type="pct"/>
            <w:vMerge w:val="continue"/>
            <w:tcBorders>
              <w:left w:val="single" w:color="auto" w:sz="4" w:space="0"/>
              <w:right w:val="single" w:color="auto" w:sz="4" w:space="0"/>
            </w:tcBorders>
            <w:noWrap/>
            <w:vAlign w:val="center"/>
          </w:tcPr>
          <w:p w14:paraId="09BF5734">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272C774E">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（2）标志类：不对标志牌进行整修、拆除、移位、更换、信息内容纠错、设置纠错等；不对可变标志牌、待行区诱导显示屏、警示灯及其它电子设施进行维护、整修、拆除、移位、更换等。</w:t>
            </w:r>
          </w:p>
        </w:tc>
        <w:tc>
          <w:tcPr>
            <w:tcW w:w="1215" w:type="pct"/>
            <w:tcBorders>
              <w:top w:val="single" w:color="auto" w:sz="4" w:space="0"/>
              <w:left w:val="single" w:color="auto" w:sz="4" w:space="0"/>
              <w:bottom w:val="single" w:color="auto" w:sz="4" w:space="0"/>
              <w:right w:val="single" w:color="auto" w:sz="4" w:space="0"/>
            </w:tcBorders>
            <w:noWrap/>
            <w:vAlign w:val="center"/>
          </w:tcPr>
          <w:p w14:paraId="49031BE8">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4AF67F61">
            <w:pPr>
              <w:spacing w:line="460" w:lineRule="exact"/>
              <w:rPr>
                <w:rFonts w:ascii="新宋体" w:hAnsi="新宋体" w:eastAsia="新宋体" w:cs="新宋体"/>
                <w:color w:val="auto"/>
                <w:sz w:val="22"/>
                <w:szCs w:val="22"/>
                <w:highlight w:val="none"/>
              </w:rPr>
            </w:pPr>
          </w:p>
        </w:tc>
      </w:tr>
      <w:tr w14:paraId="10E4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left w:val="single" w:color="auto" w:sz="4" w:space="0"/>
              <w:right w:val="single" w:color="auto" w:sz="4" w:space="0"/>
            </w:tcBorders>
            <w:noWrap/>
            <w:vAlign w:val="center"/>
          </w:tcPr>
          <w:p w14:paraId="5977F1B3">
            <w:pPr>
              <w:spacing w:line="460" w:lineRule="exact"/>
              <w:rPr>
                <w:rFonts w:ascii="新宋体" w:hAnsi="新宋体" w:eastAsia="新宋体" w:cs="新宋体"/>
                <w:color w:val="auto"/>
                <w:sz w:val="22"/>
                <w:szCs w:val="22"/>
                <w:highlight w:val="none"/>
              </w:rPr>
            </w:pPr>
          </w:p>
        </w:tc>
        <w:tc>
          <w:tcPr>
            <w:tcW w:w="574" w:type="pct"/>
            <w:vMerge w:val="continue"/>
            <w:tcBorders>
              <w:left w:val="single" w:color="auto" w:sz="4" w:space="0"/>
              <w:right w:val="single" w:color="auto" w:sz="4" w:space="0"/>
            </w:tcBorders>
            <w:noWrap/>
            <w:vAlign w:val="center"/>
          </w:tcPr>
          <w:p w14:paraId="6AE2BB2B">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77FC29BB">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（3）标线类：对发现交通标线不规范、缺失淡化或错误，标志、标线信息不一致、矛盾冲突等护，不及时做好维护、修复，不能立即修复的不做好临时防护措施。</w:t>
            </w:r>
          </w:p>
        </w:tc>
        <w:tc>
          <w:tcPr>
            <w:tcW w:w="1215" w:type="pct"/>
            <w:tcBorders>
              <w:top w:val="single" w:color="auto" w:sz="4" w:space="0"/>
              <w:left w:val="single" w:color="auto" w:sz="4" w:space="0"/>
              <w:bottom w:val="single" w:color="auto" w:sz="4" w:space="0"/>
              <w:right w:val="single" w:color="auto" w:sz="4" w:space="0"/>
            </w:tcBorders>
            <w:noWrap/>
            <w:vAlign w:val="center"/>
          </w:tcPr>
          <w:p w14:paraId="048BCF33">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1A770225">
            <w:pPr>
              <w:spacing w:line="460" w:lineRule="exact"/>
              <w:rPr>
                <w:rFonts w:ascii="新宋体" w:hAnsi="新宋体" w:eastAsia="新宋体" w:cs="新宋体"/>
                <w:color w:val="auto"/>
                <w:sz w:val="22"/>
                <w:szCs w:val="22"/>
                <w:highlight w:val="none"/>
              </w:rPr>
            </w:pPr>
          </w:p>
        </w:tc>
      </w:tr>
      <w:tr w14:paraId="28DC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left w:val="single" w:color="auto" w:sz="4" w:space="0"/>
              <w:right w:val="single" w:color="auto" w:sz="4" w:space="0"/>
            </w:tcBorders>
            <w:noWrap/>
            <w:vAlign w:val="center"/>
          </w:tcPr>
          <w:p w14:paraId="16CA93ED">
            <w:pPr>
              <w:spacing w:line="460" w:lineRule="exact"/>
              <w:rPr>
                <w:rFonts w:ascii="新宋体" w:hAnsi="新宋体" w:eastAsia="新宋体" w:cs="新宋体"/>
                <w:color w:val="auto"/>
                <w:sz w:val="22"/>
                <w:szCs w:val="22"/>
                <w:highlight w:val="none"/>
              </w:rPr>
            </w:pPr>
          </w:p>
        </w:tc>
        <w:tc>
          <w:tcPr>
            <w:tcW w:w="574" w:type="pct"/>
            <w:vMerge w:val="continue"/>
            <w:tcBorders>
              <w:left w:val="single" w:color="auto" w:sz="4" w:space="0"/>
              <w:right w:val="single" w:color="auto" w:sz="4" w:space="0"/>
            </w:tcBorders>
            <w:noWrap/>
            <w:vAlign w:val="center"/>
          </w:tcPr>
          <w:p w14:paraId="009A5FD0">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0A2431F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（4）其它安全设施类：不对立杆、护栏、隔离墩、示警桩、橡胶缓冲带、爆闪灯、震荡减速标线（带）、路口凹凸镜进行维护拆除、移位、更换等。</w:t>
            </w:r>
          </w:p>
        </w:tc>
        <w:tc>
          <w:tcPr>
            <w:tcW w:w="1215" w:type="pct"/>
            <w:tcBorders>
              <w:top w:val="single" w:color="auto" w:sz="4" w:space="0"/>
              <w:left w:val="single" w:color="auto" w:sz="4" w:space="0"/>
              <w:bottom w:val="single" w:color="auto" w:sz="4" w:space="0"/>
              <w:right w:val="single" w:color="auto" w:sz="4" w:space="0"/>
            </w:tcBorders>
            <w:noWrap/>
            <w:vAlign w:val="center"/>
          </w:tcPr>
          <w:p w14:paraId="205CFDB1">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733370F0">
            <w:pPr>
              <w:spacing w:line="460" w:lineRule="exact"/>
              <w:rPr>
                <w:rFonts w:ascii="新宋体" w:hAnsi="新宋体" w:eastAsia="新宋体" w:cs="新宋体"/>
                <w:color w:val="auto"/>
                <w:sz w:val="22"/>
                <w:szCs w:val="22"/>
                <w:highlight w:val="none"/>
              </w:rPr>
            </w:pPr>
          </w:p>
        </w:tc>
      </w:tr>
      <w:tr w14:paraId="374B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345" w:type="pct"/>
            <w:vMerge w:val="continue"/>
            <w:tcBorders>
              <w:left w:val="single" w:color="auto" w:sz="4" w:space="0"/>
              <w:right w:val="single" w:color="auto" w:sz="4" w:space="0"/>
            </w:tcBorders>
            <w:noWrap/>
            <w:vAlign w:val="center"/>
          </w:tcPr>
          <w:p w14:paraId="36280BD9">
            <w:pPr>
              <w:spacing w:line="460" w:lineRule="exact"/>
              <w:rPr>
                <w:rFonts w:ascii="新宋体" w:hAnsi="新宋体" w:eastAsia="新宋体" w:cs="新宋体"/>
                <w:color w:val="auto"/>
                <w:sz w:val="22"/>
                <w:szCs w:val="22"/>
                <w:highlight w:val="none"/>
              </w:rPr>
            </w:pPr>
          </w:p>
        </w:tc>
        <w:tc>
          <w:tcPr>
            <w:tcW w:w="574" w:type="pct"/>
            <w:vMerge w:val="continue"/>
            <w:tcBorders>
              <w:left w:val="single" w:color="auto" w:sz="4" w:space="0"/>
              <w:right w:val="single" w:color="auto" w:sz="4" w:space="0"/>
            </w:tcBorders>
            <w:noWrap/>
            <w:vAlign w:val="center"/>
          </w:tcPr>
          <w:p w14:paraId="5F89B700">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right w:val="single" w:color="auto" w:sz="4" w:space="0"/>
            </w:tcBorders>
            <w:noWrap/>
            <w:vAlign w:val="center"/>
          </w:tcPr>
          <w:p w14:paraId="43EFC6B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（5）乙方不设立备品备件库，不提供必要的备品备件，确保系统正常运行。</w:t>
            </w:r>
          </w:p>
        </w:tc>
        <w:tc>
          <w:tcPr>
            <w:tcW w:w="1215" w:type="pct"/>
            <w:tcBorders>
              <w:top w:val="single" w:color="auto" w:sz="4" w:space="0"/>
              <w:left w:val="single" w:color="auto" w:sz="4" w:space="0"/>
              <w:right w:val="single" w:color="auto" w:sz="4" w:space="0"/>
            </w:tcBorders>
            <w:noWrap/>
            <w:vAlign w:val="center"/>
          </w:tcPr>
          <w:p w14:paraId="4EDF30E6">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每出现一次扣2分</w:t>
            </w:r>
          </w:p>
        </w:tc>
        <w:tc>
          <w:tcPr>
            <w:tcW w:w="440" w:type="pct"/>
            <w:tcBorders>
              <w:top w:val="single" w:color="auto" w:sz="4" w:space="0"/>
              <w:left w:val="single" w:color="auto" w:sz="4" w:space="0"/>
              <w:bottom w:val="single" w:color="auto" w:sz="4" w:space="0"/>
              <w:right w:val="single" w:color="auto" w:sz="4" w:space="0"/>
            </w:tcBorders>
            <w:noWrap/>
            <w:vAlign w:val="center"/>
          </w:tcPr>
          <w:p w14:paraId="1791CA5D">
            <w:pPr>
              <w:spacing w:line="460" w:lineRule="exact"/>
              <w:rPr>
                <w:rFonts w:ascii="新宋体" w:hAnsi="新宋体" w:eastAsia="新宋体" w:cs="新宋体"/>
                <w:color w:val="auto"/>
                <w:sz w:val="22"/>
                <w:szCs w:val="22"/>
                <w:highlight w:val="none"/>
              </w:rPr>
            </w:pPr>
          </w:p>
        </w:tc>
      </w:tr>
      <w:tr w14:paraId="1998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14:paraId="67D160F6">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574" w:type="pct"/>
            <w:vMerge w:val="restart"/>
            <w:tcBorders>
              <w:top w:val="single" w:color="auto" w:sz="4" w:space="0"/>
              <w:left w:val="single" w:color="auto" w:sz="4" w:space="0"/>
              <w:bottom w:val="single" w:color="auto" w:sz="4" w:space="0"/>
              <w:right w:val="single" w:color="auto" w:sz="4" w:space="0"/>
            </w:tcBorders>
            <w:noWrap/>
            <w:vAlign w:val="center"/>
          </w:tcPr>
          <w:p w14:paraId="06206264">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安全管理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10分</w:t>
            </w:r>
            <w:r>
              <w:rPr>
                <w:rFonts w:hint="eastAsia" w:ascii="新宋体" w:hAnsi="新宋体" w:eastAsia="新宋体" w:cs="新宋体"/>
                <w:color w:val="auto"/>
                <w:sz w:val="22"/>
                <w:szCs w:val="22"/>
                <w:highlight w:val="none"/>
                <w:lang w:eastAsia="zh-CN"/>
              </w:rPr>
              <w:t>）</w:t>
            </w:r>
          </w:p>
        </w:tc>
        <w:tc>
          <w:tcPr>
            <w:tcW w:w="2424" w:type="pct"/>
            <w:tcBorders>
              <w:top w:val="single" w:color="auto" w:sz="4" w:space="0"/>
              <w:left w:val="single" w:color="auto" w:sz="4" w:space="0"/>
              <w:bottom w:val="single" w:color="auto" w:sz="4" w:space="0"/>
              <w:right w:val="single" w:color="auto" w:sz="4" w:space="0"/>
            </w:tcBorders>
            <w:noWrap/>
            <w:vAlign w:val="center"/>
          </w:tcPr>
          <w:p w14:paraId="24C7C0F7">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（1）安全检查：不负责中标区域的交通杆件安全隐患排查，不对交通设施的安全性能进行检查，不消除安全隐患。</w:t>
            </w:r>
          </w:p>
        </w:tc>
        <w:tc>
          <w:tcPr>
            <w:tcW w:w="1215" w:type="pct"/>
            <w:tcBorders>
              <w:top w:val="single" w:color="auto" w:sz="4" w:space="0"/>
              <w:left w:val="single" w:color="auto" w:sz="4" w:space="0"/>
              <w:bottom w:val="single" w:color="auto" w:sz="4" w:space="0"/>
              <w:right w:val="single" w:color="auto" w:sz="4" w:space="0"/>
            </w:tcBorders>
            <w:noWrap/>
            <w:vAlign w:val="center"/>
          </w:tcPr>
          <w:p w14:paraId="7AFCEA1C">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113DEE24">
            <w:pPr>
              <w:spacing w:line="460" w:lineRule="exact"/>
              <w:rPr>
                <w:rFonts w:ascii="新宋体" w:hAnsi="新宋体" w:eastAsia="新宋体" w:cs="新宋体"/>
                <w:color w:val="auto"/>
                <w:sz w:val="22"/>
                <w:szCs w:val="22"/>
                <w:highlight w:val="none"/>
              </w:rPr>
            </w:pPr>
          </w:p>
        </w:tc>
      </w:tr>
      <w:tr w14:paraId="314B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289FC26E">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05E6F2FB">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54C6E151">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（2）规范交通设施设置：重复设置、擅自设置、妨碍安全、不符合规范设置的交通设施进行清理。</w:t>
            </w:r>
          </w:p>
        </w:tc>
        <w:tc>
          <w:tcPr>
            <w:tcW w:w="1215" w:type="pct"/>
            <w:tcBorders>
              <w:top w:val="single" w:color="auto" w:sz="4" w:space="0"/>
              <w:left w:val="single" w:color="auto" w:sz="4" w:space="0"/>
              <w:bottom w:val="single" w:color="auto" w:sz="4" w:space="0"/>
              <w:right w:val="single" w:color="auto" w:sz="4" w:space="0"/>
            </w:tcBorders>
            <w:noWrap/>
            <w:vAlign w:val="center"/>
          </w:tcPr>
          <w:p w14:paraId="625F3CDF">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4128764D">
            <w:pPr>
              <w:spacing w:line="460" w:lineRule="exact"/>
              <w:rPr>
                <w:rFonts w:ascii="新宋体" w:hAnsi="新宋体" w:eastAsia="新宋体" w:cs="新宋体"/>
                <w:color w:val="auto"/>
                <w:sz w:val="22"/>
                <w:szCs w:val="22"/>
                <w:highlight w:val="none"/>
              </w:rPr>
            </w:pPr>
          </w:p>
        </w:tc>
      </w:tr>
      <w:tr w14:paraId="03B9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30282159">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772ABAF3">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71E0923D">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（3）施工现场不规范，安全措施不足，未做到文明施工</w:t>
            </w:r>
          </w:p>
        </w:tc>
        <w:tc>
          <w:tcPr>
            <w:tcW w:w="1215" w:type="pct"/>
            <w:tcBorders>
              <w:top w:val="single" w:color="auto" w:sz="4" w:space="0"/>
              <w:left w:val="single" w:color="auto" w:sz="4" w:space="0"/>
              <w:bottom w:val="single" w:color="auto" w:sz="4" w:space="0"/>
              <w:right w:val="single" w:color="auto" w:sz="4" w:space="0"/>
            </w:tcBorders>
            <w:noWrap/>
            <w:vAlign w:val="center"/>
          </w:tcPr>
          <w:p w14:paraId="534A65BE">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6E26AA8D">
            <w:pPr>
              <w:spacing w:line="460" w:lineRule="exact"/>
              <w:rPr>
                <w:rFonts w:ascii="新宋体" w:hAnsi="新宋体" w:eastAsia="新宋体" w:cs="新宋体"/>
                <w:color w:val="auto"/>
                <w:sz w:val="22"/>
                <w:szCs w:val="22"/>
                <w:highlight w:val="none"/>
              </w:rPr>
            </w:pPr>
          </w:p>
        </w:tc>
      </w:tr>
      <w:tr w14:paraId="4E96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14:paraId="75F9640C">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574" w:type="pct"/>
            <w:vMerge w:val="restart"/>
            <w:tcBorders>
              <w:top w:val="single" w:color="auto" w:sz="4" w:space="0"/>
              <w:left w:val="single" w:color="auto" w:sz="4" w:space="0"/>
              <w:bottom w:val="single" w:color="auto" w:sz="4" w:space="0"/>
              <w:right w:val="single" w:color="auto" w:sz="4" w:space="0"/>
            </w:tcBorders>
            <w:noWrap/>
            <w:vAlign w:val="center"/>
          </w:tcPr>
          <w:p w14:paraId="1F7244C4">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联系单、资料管理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c>
          <w:tcPr>
            <w:tcW w:w="2424" w:type="pct"/>
            <w:tcBorders>
              <w:top w:val="single" w:color="auto" w:sz="4" w:space="0"/>
              <w:left w:val="single" w:color="auto" w:sz="4" w:space="0"/>
              <w:bottom w:val="single" w:color="auto" w:sz="4" w:space="0"/>
              <w:right w:val="single" w:color="auto" w:sz="4" w:space="0"/>
            </w:tcBorders>
            <w:noWrap/>
            <w:vAlign w:val="center"/>
          </w:tcPr>
          <w:p w14:paraId="2039BB33">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（1）工作联系单填写不完整，不规范、不准确、资料不全，</w:t>
            </w:r>
          </w:p>
        </w:tc>
        <w:tc>
          <w:tcPr>
            <w:tcW w:w="1215" w:type="pct"/>
            <w:tcBorders>
              <w:top w:val="single" w:color="auto" w:sz="4" w:space="0"/>
              <w:left w:val="single" w:color="auto" w:sz="4" w:space="0"/>
              <w:bottom w:val="single" w:color="auto" w:sz="4" w:space="0"/>
              <w:right w:val="single" w:color="auto" w:sz="4" w:space="0"/>
            </w:tcBorders>
            <w:noWrap/>
            <w:vAlign w:val="center"/>
          </w:tcPr>
          <w:p w14:paraId="37216090">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12A2D025">
            <w:pPr>
              <w:spacing w:line="460" w:lineRule="exact"/>
              <w:rPr>
                <w:rFonts w:ascii="新宋体" w:hAnsi="新宋体" w:eastAsia="新宋体" w:cs="新宋体"/>
                <w:color w:val="auto"/>
                <w:sz w:val="22"/>
                <w:szCs w:val="22"/>
                <w:highlight w:val="none"/>
              </w:rPr>
            </w:pPr>
          </w:p>
        </w:tc>
      </w:tr>
      <w:tr w14:paraId="04E7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30A1887F">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390988ED">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60CD674B">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（2）甲方根据监理向供应商核发的《问题告知单》扣分</w:t>
            </w:r>
          </w:p>
        </w:tc>
        <w:tc>
          <w:tcPr>
            <w:tcW w:w="1215" w:type="pct"/>
            <w:tcBorders>
              <w:top w:val="single" w:color="auto" w:sz="4" w:space="0"/>
              <w:left w:val="single" w:color="auto" w:sz="4" w:space="0"/>
              <w:bottom w:val="single" w:color="auto" w:sz="4" w:space="0"/>
              <w:right w:val="single" w:color="auto" w:sz="4" w:space="0"/>
            </w:tcBorders>
            <w:noWrap/>
            <w:vAlign w:val="center"/>
          </w:tcPr>
          <w:p w14:paraId="3A7C74AB">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每张告知单扣一分，最多扣5分</w:t>
            </w:r>
          </w:p>
        </w:tc>
        <w:tc>
          <w:tcPr>
            <w:tcW w:w="440" w:type="pct"/>
            <w:tcBorders>
              <w:top w:val="single" w:color="auto" w:sz="4" w:space="0"/>
              <w:left w:val="single" w:color="auto" w:sz="4" w:space="0"/>
              <w:bottom w:val="single" w:color="auto" w:sz="4" w:space="0"/>
              <w:right w:val="single" w:color="auto" w:sz="4" w:space="0"/>
            </w:tcBorders>
            <w:noWrap/>
            <w:vAlign w:val="center"/>
          </w:tcPr>
          <w:p w14:paraId="69363C66">
            <w:pPr>
              <w:spacing w:line="460" w:lineRule="exact"/>
              <w:rPr>
                <w:rFonts w:ascii="新宋体" w:hAnsi="新宋体" w:eastAsia="新宋体" w:cs="新宋体"/>
                <w:color w:val="auto"/>
                <w:sz w:val="22"/>
                <w:szCs w:val="22"/>
                <w:highlight w:val="none"/>
              </w:rPr>
            </w:pPr>
          </w:p>
        </w:tc>
      </w:tr>
      <w:tr w14:paraId="3CE4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3F1CEF31">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70E0D77E">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625151BF">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（3）每周不上报巡查道路清单的。</w:t>
            </w:r>
          </w:p>
        </w:tc>
        <w:tc>
          <w:tcPr>
            <w:tcW w:w="1215" w:type="pct"/>
            <w:tcBorders>
              <w:top w:val="single" w:color="auto" w:sz="4" w:space="0"/>
              <w:left w:val="single" w:color="auto" w:sz="4" w:space="0"/>
              <w:bottom w:val="single" w:color="auto" w:sz="4" w:space="0"/>
              <w:right w:val="single" w:color="auto" w:sz="4" w:space="0"/>
            </w:tcBorders>
            <w:noWrap/>
            <w:vAlign w:val="center"/>
          </w:tcPr>
          <w:p w14:paraId="1A3AA855">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45B7C2A7">
            <w:pPr>
              <w:spacing w:line="460" w:lineRule="exact"/>
              <w:rPr>
                <w:rFonts w:ascii="新宋体" w:hAnsi="新宋体" w:eastAsia="新宋体" w:cs="新宋体"/>
                <w:color w:val="auto"/>
                <w:sz w:val="22"/>
                <w:szCs w:val="22"/>
                <w:highlight w:val="none"/>
              </w:rPr>
            </w:pPr>
          </w:p>
        </w:tc>
      </w:tr>
      <w:tr w14:paraId="73C8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798A963A">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3D49713D">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71D468E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（4）当月5日，未将上月巡查维护报告上交监理单位。</w:t>
            </w:r>
          </w:p>
        </w:tc>
        <w:tc>
          <w:tcPr>
            <w:tcW w:w="1215" w:type="pct"/>
            <w:tcBorders>
              <w:top w:val="single" w:color="auto" w:sz="4" w:space="0"/>
              <w:left w:val="single" w:color="auto" w:sz="4" w:space="0"/>
              <w:bottom w:val="single" w:color="auto" w:sz="4" w:space="0"/>
              <w:right w:val="single" w:color="auto" w:sz="4" w:space="0"/>
            </w:tcBorders>
            <w:noWrap/>
            <w:vAlign w:val="center"/>
          </w:tcPr>
          <w:p w14:paraId="3E0753B4">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63CB4AF6">
            <w:pPr>
              <w:spacing w:line="460" w:lineRule="exact"/>
              <w:rPr>
                <w:rFonts w:ascii="新宋体" w:hAnsi="新宋体" w:eastAsia="新宋体" w:cs="新宋体"/>
                <w:color w:val="auto"/>
                <w:sz w:val="22"/>
                <w:szCs w:val="22"/>
                <w:highlight w:val="none"/>
              </w:rPr>
            </w:pPr>
          </w:p>
        </w:tc>
      </w:tr>
      <w:tr w14:paraId="29CF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56267D3E">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0F90C6B7">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right w:val="single" w:color="auto" w:sz="4" w:space="0"/>
            </w:tcBorders>
            <w:noWrap/>
            <w:vAlign w:val="center"/>
          </w:tcPr>
          <w:p w14:paraId="613EAB5B">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（5）次月5日不向甲方上报当月的工作量、工作数据、工作小结等</w:t>
            </w:r>
          </w:p>
        </w:tc>
        <w:tc>
          <w:tcPr>
            <w:tcW w:w="1215" w:type="pct"/>
            <w:tcBorders>
              <w:top w:val="single" w:color="auto" w:sz="4" w:space="0"/>
              <w:left w:val="single" w:color="auto" w:sz="4" w:space="0"/>
              <w:right w:val="single" w:color="auto" w:sz="4" w:space="0"/>
            </w:tcBorders>
            <w:noWrap/>
            <w:vAlign w:val="center"/>
          </w:tcPr>
          <w:p w14:paraId="170B7A0A">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42643D59">
            <w:pPr>
              <w:spacing w:line="460" w:lineRule="exact"/>
              <w:rPr>
                <w:rFonts w:ascii="新宋体" w:hAnsi="新宋体" w:eastAsia="新宋体" w:cs="新宋体"/>
                <w:color w:val="auto"/>
                <w:sz w:val="22"/>
                <w:szCs w:val="22"/>
                <w:highlight w:val="none"/>
              </w:rPr>
            </w:pPr>
          </w:p>
        </w:tc>
      </w:tr>
      <w:tr w14:paraId="06B2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08EEAE27">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12452E64">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3BDCADBC">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（6)上报联系单内容与实际不符，或未按联系单最终意见要求办理的。</w:t>
            </w:r>
          </w:p>
        </w:tc>
        <w:tc>
          <w:tcPr>
            <w:tcW w:w="1215" w:type="pct"/>
            <w:tcBorders>
              <w:top w:val="single" w:color="auto" w:sz="4" w:space="0"/>
              <w:left w:val="single" w:color="auto" w:sz="4" w:space="0"/>
              <w:bottom w:val="single" w:color="auto" w:sz="4" w:space="0"/>
              <w:right w:val="single" w:color="auto" w:sz="4" w:space="0"/>
            </w:tcBorders>
            <w:noWrap/>
            <w:vAlign w:val="center"/>
          </w:tcPr>
          <w:p w14:paraId="1A2B4A2B">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7D719725">
            <w:pPr>
              <w:spacing w:line="460" w:lineRule="exact"/>
              <w:rPr>
                <w:rFonts w:ascii="新宋体" w:hAnsi="新宋体" w:eastAsia="新宋体" w:cs="新宋体"/>
                <w:color w:val="auto"/>
                <w:sz w:val="22"/>
                <w:szCs w:val="22"/>
                <w:highlight w:val="none"/>
              </w:rPr>
            </w:pPr>
          </w:p>
        </w:tc>
      </w:tr>
      <w:tr w14:paraId="16E2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14:paraId="46DDE447">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p>
        </w:tc>
        <w:tc>
          <w:tcPr>
            <w:tcW w:w="574" w:type="pct"/>
            <w:vMerge w:val="restart"/>
            <w:tcBorders>
              <w:top w:val="single" w:color="auto" w:sz="4" w:space="0"/>
              <w:left w:val="single" w:color="auto" w:sz="4" w:space="0"/>
              <w:bottom w:val="single" w:color="auto" w:sz="4" w:space="0"/>
              <w:right w:val="single" w:color="auto" w:sz="4" w:space="0"/>
            </w:tcBorders>
            <w:noWrap/>
            <w:vAlign w:val="center"/>
          </w:tcPr>
          <w:p w14:paraId="30B99488">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质量管理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15分</w:t>
            </w:r>
            <w:r>
              <w:rPr>
                <w:rFonts w:hint="eastAsia" w:ascii="新宋体" w:hAnsi="新宋体" w:eastAsia="新宋体" w:cs="新宋体"/>
                <w:color w:val="auto"/>
                <w:sz w:val="22"/>
                <w:szCs w:val="22"/>
                <w:highlight w:val="none"/>
                <w:lang w:eastAsia="zh-CN"/>
              </w:rPr>
              <w:t>）</w:t>
            </w:r>
          </w:p>
        </w:tc>
        <w:tc>
          <w:tcPr>
            <w:tcW w:w="2424" w:type="pct"/>
            <w:tcBorders>
              <w:top w:val="single" w:color="auto" w:sz="4" w:space="0"/>
              <w:left w:val="single" w:color="auto" w:sz="4" w:space="0"/>
              <w:bottom w:val="single" w:color="auto" w:sz="4" w:space="0"/>
              <w:right w:val="single" w:color="auto" w:sz="4" w:space="0"/>
            </w:tcBorders>
            <w:noWrap/>
            <w:vAlign w:val="center"/>
          </w:tcPr>
          <w:p w14:paraId="0F4FDC68">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（1）施工工艺不规范，施工工序遗漏，设施修复、维护不达标准，施工超期</w:t>
            </w:r>
          </w:p>
        </w:tc>
        <w:tc>
          <w:tcPr>
            <w:tcW w:w="1215" w:type="pct"/>
            <w:tcBorders>
              <w:top w:val="single" w:color="auto" w:sz="4" w:space="0"/>
              <w:left w:val="single" w:color="auto" w:sz="4" w:space="0"/>
              <w:bottom w:val="single" w:color="auto" w:sz="4" w:space="0"/>
              <w:right w:val="single" w:color="auto" w:sz="4" w:space="0"/>
            </w:tcBorders>
            <w:noWrap/>
            <w:vAlign w:val="center"/>
          </w:tcPr>
          <w:p w14:paraId="037034CD">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0" w:type="pct"/>
            <w:tcBorders>
              <w:top w:val="single" w:color="auto" w:sz="4" w:space="0"/>
              <w:left w:val="single" w:color="auto" w:sz="4" w:space="0"/>
              <w:bottom w:val="single" w:color="auto" w:sz="4" w:space="0"/>
              <w:right w:val="single" w:color="auto" w:sz="4" w:space="0"/>
            </w:tcBorders>
            <w:noWrap/>
            <w:vAlign w:val="center"/>
          </w:tcPr>
          <w:p w14:paraId="6D1A357D">
            <w:pPr>
              <w:spacing w:line="460" w:lineRule="exact"/>
              <w:rPr>
                <w:rFonts w:ascii="新宋体" w:hAnsi="新宋体" w:eastAsia="新宋体" w:cs="新宋体"/>
                <w:color w:val="auto"/>
                <w:sz w:val="22"/>
                <w:szCs w:val="22"/>
                <w:highlight w:val="none"/>
              </w:rPr>
            </w:pPr>
          </w:p>
        </w:tc>
      </w:tr>
      <w:tr w14:paraId="451C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7F48C085">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02D310F0">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5EA15E60">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（2）施工中所用材料与投标文件不符，或未达质量要求</w:t>
            </w:r>
          </w:p>
        </w:tc>
        <w:tc>
          <w:tcPr>
            <w:tcW w:w="1215" w:type="pct"/>
            <w:tcBorders>
              <w:top w:val="single" w:color="auto" w:sz="4" w:space="0"/>
              <w:left w:val="single" w:color="auto" w:sz="4" w:space="0"/>
              <w:bottom w:val="single" w:color="auto" w:sz="4" w:space="0"/>
              <w:right w:val="single" w:color="auto" w:sz="4" w:space="0"/>
            </w:tcBorders>
            <w:noWrap/>
            <w:vAlign w:val="center"/>
          </w:tcPr>
          <w:p w14:paraId="34DC4EDE">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每出现一次扣3分</w:t>
            </w:r>
          </w:p>
        </w:tc>
        <w:tc>
          <w:tcPr>
            <w:tcW w:w="440" w:type="pct"/>
            <w:tcBorders>
              <w:top w:val="single" w:color="auto" w:sz="4" w:space="0"/>
              <w:left w:val="single" w:color="auto" w:sz="4" w:space="0"/>
              <w:bottom w:val="single" w:color="auto" w:sz="4" w:space="0"/>
              <w:right w:val="single" w:color="auto" w:sz="4" w:space="0"/>
            </w:tcBorders>
            <w:noWrap/>
            <w:vAlign w:val="center"/>
          </w:tcPr>
          <w:p w14:paraId="197C1483">
            <w:pPr>
              <w:spacing w:line="460" w:lineRule="exact"/>
              <w:rPr>
                <w:rFonts w:ascii="新宋体" w:hAnsi="新宋体" w:eastAsia="新宋体" w:cs="新宋体"/>
                <w:color w:val="auto"/>
                <w:sz w:val="22"/>
                <w:szCs w:val="22"/>
                <w:highlight w:val="none"/>
              </w:rPr>
            </w:pPr>
          </w:p>
        </w:tc>
      </w:tr>
      <w:tr w14:paraId="7104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590ED3AE">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68FA705E">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4A4488B3">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（3）发生交通设施损坏未及时到达现场妥善处置，引发事故</w:t>
            </w:r>
          </w:p>
        </w:tc>
        <w:tc>
          <w:tcPr>
            <w:tcW w:w="1215" w:type="pct"/>
            <w:tcBorders>
              <w:top w:val="single" w:color="auto" w:sz="4" w:space="0"/>
              <w:left w:val="single" w:color="auto" w:sz="4" w:space="0"/>
              <w:bottom w:val="single" w:color="auto" w:sz="4" w:space="0"/>
              <w:right w:val="single" w:color="auto" w:sz="4" w:space="0"/>
            </w:tcBorders>
            <w:noWrap/>
            <w:vAlign w:val="center"/>
          </w:tcPr>
          <w:p w14:paraId="483F03D3">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每出现一次扣3分</w:t>
            </w:r>
          </w:p>
        </w:tc>
        <w:tc>
          <w:tcPr>
            <w:tcW w:w="440" w:type="pct"/>
            <w:tcBorders>
              <w:top w:val="single" w:color="auto" w:sz="4" w:space="0"/>
              <w:left w:val="single" w:color="auto" w:sz="4" w:space="0"/>
              <w:bottom w:val="single" w:color="auto" w:sz="4" w:space="0"/>
              <w:right w:val="single" w:color="auto" w:sz="4" w:space="0"/>
            </w:tcBorders>
            <w:noWrap/>
            <w:vAlign w:val="center"/>
          </w:tcPr>
          <w:p w14:paraId="04CA4BE1">
            <w:pPr>
              <w:spacing w:line="460" w:lineRule="exact"/>
              <w:rPr>
                <w:rFonts w:ascii="新宋体" w:hAnsi="新宋体" w:eastAsia="新宋体" w:cs="新宋体"/>
                <w:color w:val="auto"/>
                <w:sz w:val="22"/>
                <w:szCs w:val="22"/>
                <w:highlight w:val="none"/>
              </w:rPr>
            </w:pPr>
          </w:p>
        </w:tc>
      </w:tr>
      <w:tr w14:paraId="26CD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1B0E33B6">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5B24BAF3">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0D81DC9B">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（4）出现重大质量问题、施工安全问题</w:t>
            </w:r>
          </w:p>
        </w:tc>
        <w:tc>
          <w:tcPr>
            <w:tcW w:w="1215" w:type="pct"/>
            <w:tcBorders>
              <w:top w:val="single" w:color="auto" w:sz="4" w:space="0"/>
              <w:left w:val="single" w:color="auto" w:sz="4" w:space="0"/>
              <w:bottom w:val="single" w:color="auto" w:sz="4" w:space="0"/>
              <w:right w:val="single" w:color="auto" w:sz="4" w:space="0"/>
            </w:tcBorders>
            <w:noWrap/>
            <w:vAlign w:val="center"/>
          </w:tcPr>
          <w:p w14:paraId="15D8957E">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直接解除合同</w:t>
            </w:r>
          </w:p>
        </w:tc>
        <w:tc>
          <w:tcPr>
            <w:tcW w:w="440" w:type="pct"/>
            <w:tcBorders>
              <w:top w:val="single" w:color="auto" w:sz="4" w:space="0"/>
              <w:left w:val="single" w:color="auto" w:sz="4" w:space="0"/>
              <w:bottom w:val="single" w:color="auto" w:sz="4" w:space="0"/>
              <w:right w:val="single" w:color="auto" w:sz="4" w:space="0"/>
            </w:tcBorders>
            <w:noWrap/>
            <w:vAlign w:val="center"/>
          </w:tcPr>
          <w:p w14:paraId="539512E6">
            <w:pPr>
              <w:spacing w:line="460" w:lineRule="exact"/>
              <w:rPr>
                <w:rFonts w:ascii="新宋体" w:hAnsi="新宋体" w:eastAsia="新宋体" w:cs="新宋体"/>
                <w:color w:val="auto"/>
                <w:sz w:val="22"/>
                <w:szCs w:val="22"/>
                <w:highlight w:val="none"/>
              </w:rPr>
            </w:pPr>
          </w:p>
        </w:tc>
      </w:tr>
      <w:tr w14:paraId="2CCF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345" w:type="pct"/>
            <w:tcBorders>
              <w:top w:val="single" w:color="auto" w:sz="4" w:space="0"/>
              <w:left w:val="single" w:color="auto" w:sz="4" w:space="0"/>
              <w:bottom w:val="single" w:color="auto" w:sz="4" w:space="0"/>
              <w:right w:val="single" w:color="auto" w:sz="4" w:space="0"/>
            </w:tcBorders>
            <w:noWrap/>
            <w:vAlign w:val="center"/>
          </w:tcPr>
          <w:p w14:paraId="69A31A12">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p>
        </w:tc>
        <w:tc>
          <w:tcPr>
            <w:tcW w:w="574" w:type="pct"/>
            <w:tcBorders>
              <w:top w:val="single" w:color="auto" w:sz="4" w:space="0"/>
              <w:left w:val="single" w:color="auto" w:sz="4" w:space="0"/>
              <w:bottom w:val="single" w:color="auto" w:sz="4" w:space="0"/>
              <w:right w:val="single" w:color="auto" w:sz="4" w:space="0"/>
            </w:tcBorders>
            <w:noWrap/>
            <w:vAlign w:val="center"/>
          </w:tcPr>
          <w:p w14:paraId="41A959B7">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效率管理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5分</w:t>
            </w:r>
            <w:r>
              <w:rPr>
                <w:rFonts w:hint="eastAsia" w:ascii="新宋体" w:hAnsi="新宋体" w:eastAsia="新宋体" w:cs="新宋体"/>
                <w:color w:val="auto"/>
                <w:sz w:val="22"/>
                <w:szCs w:val="22"/>
                <w:highlight w:val="none"/>
                <w:lang w:eastAsia="zh-CN"/>
              </w:rPr>
              <w:t>）</w:t>
            </w:r>
          </w:p>
        </w:tc>
        <w:tc>
          <w:tcPr>
            <w:tcW w:w="2424" w:type="pct"/>
            <w:tcBorders>
              <w:top w:val="single" w:color="auto" w:sz="4" w:space="0"/>
              <w:left w:val="single" w:color="auto" w:sz="4" w:space="0"/>
              <w:bottom w:val="single" w:color="auto" w:sz="4" w:space="0"/>
              <w:right w:val="single" w:color="auto" w:sz="4" w:space="0"/>
            </w:tcBorders>
            <w:noWrap/>
            <w:vAlign w:val="center"/>
          </w:tcPr>
          <w:p w14:paraId="0BEC0BA4">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（1）在工作期间通讯不畅，或突发紧急情况人员、车辆、设施未能按要求到达现场、规范处置的</w:t>
            </w:r>
          </w:p>
        </w:tc>
        <w:tc>
          <w:tcPr>
            <w:tcW w:w="1215" w:type="pct"/>
            <w:tcBorders>
              <w:top w:val="single" w:color="auto" w:sz="4" w:space="0"/>
              <w:left w:val="single" w:color="auto" w:sz="4" w:space="0"/>
              <w:bottom w:val="single" w:color="auto" w:sz="4" w:space="0"/>
              <w:right w:val="single" w:color="auto" w:sz="4" w:space="0"/>
            </w:tcBorders>
            <w:noWrap/>
            <w:vAlign w:val="center"/>
          </w:tcPr>
          <w:p w14:paraId="72CB2C87">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每起扣2分；</w:t>
            </w:r>
          </w:p>
          <w:p w14:paraId="0B6F3937">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造成工作贻误每起扣5分</w:t>
            </w:r>
          </w:p>
        </w:tc>
        <w:tc>
          <w:tcPr>
            <w:tcW w:w="440" w:type="pct"/>
            <w:tcBorders>
              <w:top w:val="single" w:color="auto" w:sz="4" w:space="0"/>
              <w:left w:val="single" w:color="auto" w:sz="4" w:space="0"/>
              <w:bottom w:val="single" w:color="auto" w:sz="4" w:space="0"/>
              <w:right w:val="single" w:color="auto" w:sz="4" w:space="0"/>
            </w:tcBorders>
            <w:noWrap/>
            <w:vAlign w:val="center"/>
          </w:tcPr>
          <w:p w14:paraId="6D80980A">
            <w:pPr>
              <w:spacing w:line="460" w:lineRule="exact"/>
              <w:rPr>
                <w:rFonts w:ascii="新宋体" w:hAnsi="新宋体" w:eastAsia="新宋体" w:cs="新宋体"/>
                <w:color w:val="auto"/>
                <w:sz w:val="22"/>
                <w:szCs w:val="22"/>
                <w:highlight w:val="none"/>
              </w:rPr>
            </w:pPr>
          </w:p>
        </w:tc>
      </w:tr>
      <w:tr w14:paraId="2E96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14:paraId="0402092F">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p>
        </w:tc>
        <w:tc>
          <w:tcPr>
            <w:tcW w:w="574" w:type="pct"/>
            <w:vMerge w:val="restart"/>
            <w:tcBorders>
              <w:top w:val="single" w:color="auto" w:sz="4" w:space="0"/>
              <w:left w:val="single" w:color="auto" w:sz="4" w:space="0"/>
              <w:bottom w:val="single" w:color="auto" w:sz="4" w:space="0"/>
              <w:right w:val="single" w:color="auto" w:sz="4" w:space="0"/>
            </w:tcBorders>
            <w:noWrap/>
            <w:vAlign w:val="center"/>
          </w:tcPr>
          <w:p w14:paraId="52D65C90">
            <w:pPr>
              <w:spacing w:beforeLines="50"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保密管理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10分</w:t>
            </w:r>
            <w:r>
              <w:rPr>
                <w:rFonts w:hint="eastAsia" w:ascii="新宋体" w:hAnsi="新宋体" w:eastAsia="新宋体" w:cs="新宋体"/>
                <w:color w:val="auto"/>
                <w:sz w:val="22"/>
                <w:szCs w:val="22"/>
                <w:highlight w:val="none"/>
                <w:lang w:eastAsia="zh-CN"/>
              </w:rPr>
              <w:t>）</w:t>
            </w:r>
          </w:p>
        </w:tc>
        <w:tc>
          <w:tcPr>
            <w:tcW w:w="2424" w:type="pct"/>
            <w:tcBorders>
              <w:top w:val="single" w:color="auto" w:sz="4" w:space="0"/>
              <w:left w:val="single" w:color="auto" w:sz="4" w:space="0"/>
              <w:bottom w:val="single" w:color="auto" w:sz="4" w:space="0"/>
              <w:right w:val="single" w:color="auto" w:sz="4" w:space="0"/>
            </w:tcBorders>
            <w:noWrap/>
            <w:vAlign w:val="center"/>
          </w:tcPr>
          <w:p w14:paraId="0F597F68">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乙方及工作人员未签订安全保密承诺书的，或签订的安全保密承诺书未明确具体安全管理内容、安全保密义务和责任的。未按照采购人规定使用、存储、处理文档资料和数据。合同终止时，不交还全部公安资料和数据。</w:t>
            </w:r>
          </w:p>
        </w:tc>
        <w:tc>
          <w:tcPr>
            <w:tcW w:w="1215" w:type="pct"/>
            <w:tcBorders>
              <w:top w:val="single" w:color="auto" w:sz="4" w:space="0"/>
              <w:left w:val="single" w:color="auto" w:sz="4" w:space="0"/>
              <w:bottom w:val="single" w:color="auto" w:sz="4" w:space="0"/>
              <w:right w:val="single" w:color="auto" w:sz="4" w:space="0"/>
            </w:tcBorders>
            <w:noWrap/>
            <w:vAlign w:val="center"/>
          </w:tcPr>
          <w:p w14:paraId="52C374C7">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每发生一次扣5分</w:t>
            </w:r>
          </w:p>
        </w:tc>
        <w:tc>
          <w:tcPr>
            <w:tcW w:w="440" w:type="pct"/>
            <w:tcBorders>
              <w:top w:val="single" w:color="auto" w:sz="4" w:space="0"/>
              <w:left w:val="single" w:color="auto" w:sz="4" w:space="0"/>
              <w:bottom w:val="single" w:color="auto" w:sz="4" w:space="0"/>
              <w:right w:val="single" w:color="auto" w:sz="4" w:space="0"/>
            </w:tcBorders>
            <w:noWrap/>
            <w:vAlign w:val="center"/>
          </w:tcPr>
          <w:p w14:paraId="30083E87">
            <w:pPr>
              <w:spacing w:line="460" w:lineRule="exact"/>
              <w:rPr>
                <w:rFonts w:ascii="新宋体" w:hAnsi="新宋体" w:eastAsia="新宋体" w:cs="新宋体"/>
                <w:color w:val="auto"/>
                <w:sz w:val="22"/>
                <w:szCs w:val="22"/>
                <w:highlight w:val="none"/>
              </w:rPr>
            </w:pPr>
          </w:p>
        </w:tc>
      </w:tr>
      <w:tr w14:paraId="3C66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2F764160">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6A1B85D8">
            <w:pPr>
              <w:spacing w:beforeLines="50" w:line="460" w:lineRule="exact"/>
              <w:rPr>
                <w:rFonts w:ascii="新宋体" w:hAnsi="新宋体" w:eastAsia="新宋体" w:cs="新宋体"/>
                <w:b/>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32265F44">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乙方及工作人员违反安全管理要求，出现各类涉及业务的文字内容、影视资料等外流泄密，构成违法犯罪的，甲方应当及时报送本级政府采购和市场监督管理部门，提请列入政府采购严重违法失信行为记录名单、市场监督管理严重失信名单，并追究相关责任。</w:t>
            </w:r>
          </w:p>
        </w:tc>
        <w:tc>
          <w:tcPr>
            <w:tcW w:w="1215" w:type="pct"/>
            <w:tcBorders>
              <w:top w:val="single" w:color="auto" w:sz="4" w:space="0"/>
              <w:left w:val="single" w:color="auto" w:sz="4" w:space="0"/>
              <w:bottom w:val="single" w:color="auto" w:sz="4" w:space="0"/>
              <w:right w:val="single" w:color="auto" w:sz="4" w:space="0"/>
            </w:tcBorders>
            <w:noWrap/>
            <w:vAlign w:val="center"/>
          </w:tcPr>
          <w:p w14:paraId="4BF78D15">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没收全部履约保证金</w:t>
            </w:r>
          </w:p>
        </w:tc>
        <w:tc>
          <w:tcPr>
            <w:tcW w:w="440" w:type="pct"/>
            <w:tcBorders>
              <w:top w:val="single" w:color="auto" w:sz="4" w:space="0"/>
              <w:left w:val="single" w:color="auto" w:sz="4" w:space="0"/>
              <w:bottom w:val="single" w:color="auto" w:sz="4" w:space="0"/>
              <w:right w:val="single" w:color="auto" w:sz="4" w:space="0"/>
            </w:tcBorders>
            <w:noWrap/>
            <w:vAlign w:val="center"/>
          </w:tcPr>
          <w:p w14:paraId="177B0EBF">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解除合同</w:t>
            </w:r>
          </w:p>
        </w:tc>
      </w:tr>
      <w:tr w14:paraId="3AD8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345" w:type="pct"/>
            <w:vMerge w:val="restart"/>
            <w:tcBorders>
              <w:top w:val="single" w:color="auto" w:sz="4" w:space="0"/>
              <w:left w:val="single" w:color="auto" w:sz="4" w:space="0"/>
              <w:bottom w:val="single" w:color="auto" w:sz="4" w:space="0"/>
              <w:right w:val="single" w:color="auto" w:sz="4" w:space="0"/>
            </w:tcBorders>
            <w:noWrap/>
            <w:vAlign w:val="center"/>
          </w:tcPr>
          <w:p w14:paraId="1BBC2763">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w:t>
            </w:r>
          </w:p>
        </w:tc>
        <w:tc>
          <w:tcPr>
            <w:tcW w:w="574" w:type="pct"/>
            <w:vMerge w:val="restart"/>
            <w:tcBorders>
              <w:top w:val="single" w:color="auto" w:sz="4" w:space="0"/>
              <w:left w:val="single" w:color="auto" w:sz="4" w:space="0"/>
              <w:bottom w:val="single" w:color="auto" w:sz="4" w:space="0"/>
              <w:right w:val="single" w:color="auto" w:sz="4" w:space="0"/>
            </w:tcBorders>
            <w:noWrap/>
            <w:vAlign w:val="center"/>
          </w:tcPr>
          <w:p w14:paraId="3ABB2B22">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其他</w:t>
            </w:r>
          </w:p>
          <w:p w14:paraId="06F20E01">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10分</w:t>
            </w:r>
            <w:r>
              <w:rPr>
                <w:rFonts w:hint="eastAsia" w:ascii="新宋体" w:hAnsi="新宋体" w:eastAsia="新宋体" w:cs="新宋体"/>
                <w:color w:val="auto"/>
                <w:sz w:val="22"/>
                <w:szCs w:val="22"/>
                <w:highlight w:val="none"/>
                <w:lang w:eastAsia="zh-CN"/>
              </w:rPr>
              <w:t>）</w:t>
            </w:r>
          </w:p>
        </w:tc>
        <w:tc>
          <w:tcPr>
            <w:tcW w:w="2424" w:type="pct"/>
            <w:tcBorders>
              <w:top w:val="single" w:color="auto" w:sz="4" w:space="0"/>
              <w:left w:val="single" w:color="auto" w:sz="4" w:space="0"/>
              <w:bottom w:val="single" w:color="auto" w:sz="4" w:space="0"/>
              <w:right w:val="single" w:color="auto" w:sz="4" w:space="0"/>
            </w:tcBorders>
            <w:noWrap/>
            <w:vAlign w:val="center"/>
          </w:tcPr>
          <w:p w14:paraId="100E3AF5">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（1）上述所有问题，由媒体、信访、投诉曝光，或由上级部门、交警部门领导发现。</w:t>
            </w:r>
          </w:p>
        </w:tc>
        <w:tc>
          <w:tcPr>
            <w:tcW w:w="1215" w:type="pct"/>
            <w:tcBorders>
              <w:top w:val="single" w:color="auto" w:sz="4" w:space="0"/>
              <w:left w:val="single" w:color="auto" w:sz="4" w:space="0"/>
              <w:bottom w:val="single" w:color="auto" w:sz="4" w:space="0"/>
              <w:right w:val="single" w:color="auto" w:sz="4" w:space="0"/>
            </w:tcBorders>
            <w:noWrap/>
            <w:vAlign w:val="center"/>
          </w:tcPr>
          <w:p w14:paraId="798FB371">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在原分值基础上二倍扣分</w:t>
            </w:r>
          </w:p>
        </w:tc>
        <w:tc>
          <w:tcPr>
            <w:tcW w:w="440" w:type="pct"/>
            <w:tcBorders>
              <w:top w:val="single" w:color="auto" w:sz="4" w:space="0"/>
              <w:left w:val="single" w:color="auto" w:sz="4" w:space="0"/>
              <w:bottom w:val="single" w:color="auto" w:sz="4" w:space="0"/>
              <w:right w:val="single" w:color="auto" w:sz="4" w:space="0"/>
            </w:tcBorders>
            <w:noWrap/>
            <w:vAlign w:val="center"/>
          </w:tcPr>
          <w:p w14:paraId="43E82E85">
            <w:pPr>
              <w:spacing w:line="460" w:lineRule="exact"/>
              <w:rPr>
                <w:rFonts w:ascii="新宋体" w:hAnsi="新宋体" w:eastAsia="新宋体" w:cs="新宋体"/>
                <w:color w:val="auto"/>
                <w:sz w:val="22"/>
                <w:szCs w:val="22"/>
                <w:highlight w:val="none"/>
              </w:rPr>
            </w:pPr>
          </w:p>
        </w:tc>
      </w:tr>
      <w:tr w14:paraId="6AEC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45" w:type="pct"/>
            <w:vMerge w:val="continue"/>
            <w:tcBorders>
              <w:top w:val="single" w:color="auto" w:sz="4" w:space="0"/>
              <w:left w:val="single" w:color="auto" w:sz="4" w:space="0"/>
              <w:bottom w:val="single" w:color="auto" w:sz="4" w:space="0"/>
              <w:right w:val="single" w:color="auto" w:sz="4" w:space="0"/>
            </w:tcBorders>
            <w:noWrap/>
            <w:vAlign w:val="center"/>
          </w:tcPr>
          <w:p w14:paraId="013DE8BB">
            <w:pPr>
              <w:spacing w:line="460" w:lineRule="exact"/>
              <w:rPr>
                <w:rFonts w:ascii="新宋体" w:hAnsi="新宋体" w:eastAsia="新宋体" w:cs="新宋体"/>
                <w:color w:val="auto"/>
                <w:sz w:val="22"/>
                <w:szCs w:val="22"/>
                <w:highlight w:val="none"/>
              </w:rPr>
            </w:pPr>
          </w:p>
        </w:tc>
        <w:tc>
          <w:tcPr>
            <w:tcW w:w="574" w:type="pct"/>
            <w:vMerge w:val="continue"/>
            <w:tcBorders>
              <w:top w:val="single" w:color="auto" w:sz="4" w:space="0"/>
              <w:left w:val="single" w:color="auto" w:sz="4" w:space="0"/>
              <w:bottom w:val="single" w:color="auto" w:sz="4" w:space="0"/>
              <w:right w:val="single" w:color="auto" w:sz="4" w:space="0"/>
            </w:tcBorders>
            <w:noWrap/>
            <w:vAlign w:val="center"/>
          </w:tcPr>
          <w:p w14:paraId="0E4F3B40">
            <w:pPr>
              <w:spacing w:line="460" w:lineRule="exact"/>
              <w:rPr>
                <w:rFonts w:ascii="新宋体" w:hAnsi="新宋体" w:eastAsia="新宋体" w:cs="新宋体"/>
                <w:color w:val="auto"/>
                <w:sz w:val="22"/>
                <w:szCs w:val="22"/>
                <w:highlight w:val="none"/>
              </w:rPr>
            </w:pPr>
          </w:p>
        </w:tc>
        <w:tc>
          <w:tcPr>
            <w:tcW w:w="2424" w:type="pct"/>
            <w:tcBorders>
              <w:top w:val="single" w:color="auto" w:sz="4" w:space="0"/>
              <w:left w:val="single" w:color="auto" w:sz="4" w:space="0"/>
              <w:bottom w:val="single" w:color="auto" w:sz="4" w:space="0"/>
              <w:right w:val="single" w:color="auto" w:sz="4" w:space="0"/>
            </w:tcBorders>
            <w:noWrap/>
            <w:vAlign w:val="center"/>
          </w:tcPr>
          <w:p w14:paraId="48169FC5">
            <w:pPr>
              <w:spacing w:line="460" w:lineRule="exac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（2）上述所有问题，造成社会不良影响的</w:t>
            </w:r>
          </w:p>
        </w:tc>
        <w:tc>
          <w:tcPr>
            <w:tcW w:w="1215" w:type="pct"/>
            <w:tcBorders>
              <w:top w:val="single" w:color="auto" w:sz="4" w:space="0"/>
              <w:left w:val="single" w:color="auto" w:sz="4" w:space="0"/>
              <w:bottom w:val="single" w:color="auto" w:sz="4" w:space="0"/>
              <w:right w:val="single" w:color="auto" w:sz="4" w:space="0"/>
            </w:tcBorders>
            <w:noWrap/>
            <w:vAlign w:val="center"/>
          </w:tcPr>
          <w:p w14:paraId="263A8D3F">
            <w:pPr>
              <w:spacing w:line="460" w:lineRule="exact"/>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在原分值基础上三倍扣分</w:t>
            </w:r>
          </w:p>
        </w:tc>
        <w:tc>
          <w:tcPr>
            <w:tcW w:w="440" w:type="pct"/>
            <w:tcBorders>
              <w:top w:val="single" w:color="auto" w:sz="4" w:space="0"/>
              <w:left w:val="single" w:color="auto" w:sz="4" w:space="0"/>
              <w:bottom w:val="single" w:color="auto" w:sz="4" w:space="0"/>
              <w:right w:val="single" w:color="auto" w:sz="4" w:space="0"/>
            </w:tcBorders>
            <w:noWrap/>
            <w:vAlign w:val="center"/>
          </w:tcPr>
          <w:p w14:paraId="69F39FC4">
            <w:pPr>
              <w:spacing w:line="460" w:lineRule="exact"/>
              <w:rPr>
                <w:rFonts w:ascii="新宋体" w:hAnsi="新宋体" w:eastAsia="新宋体" w:cs="新宋体"/>
                <w:color w:val="auto"/>
                <w:sz w:val="22"/>
                <w:szCs w:val="22"/>
                <w:highlight w:val="none"/>
              </w:rPr>
            </w:pPr>
          </w:p>
        </w:tc>
      </w:tr>
      <w:tr w14:paraId="71B8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3343" w:type="pct"/>
            <w:gridSpan w:val="3"/>
            <w:tcBorders>
              <w:top w:val="single" w:color="auto" w:sz="4" w:space="0"/>
              <w:left w:val="single" w:color="auto" w:sz="4" w:space="0"/>
              <w:bottom w:val="single" w:color="auto" w:sz="4" w:space="0"/>
              <w:right w:val="single" w:color="auto" w:sz="4" w:space="0"/>
            </w:tcBorders>
            <w:noWrap/>
            <w:vAlign w:val="center"/>
          </w:tcPr>
          <w:p w14:paraId="6239528A">
            <w:pPr>
              <w:spacing w:line="460" w:lineRule="exact"/>
              <w:rPr>
                <w:rFonts w:hint="default" w:ascii="新宋体" w:hAnsi="新宋体" w:eastAsia="新宋体" w:cs="新宋体"/>
                <w:color w:val="auto"/>
                <w:kern w:val="0"/>
                <w:sz w:val="22"/>
                <w:szCs w:val="22"/>
                <w:highlight w:val="none"/>
                <w:lang w:val="en-US" w:eastAsia="zh-CN"/>
              </w:rPr>
            </w:pPr>
            <w:r>
              <w:rPr>
                <w:rFonts w:hint="eastAsia" w:ascii="新宋体" w:hAnsi="新宋体" w:eastAsia="新宋体" w:cs="新宋体"/>
                <w:color w:val="auto"/>
                <w:kern w:val="0"/>
                <w:sz w:val="22"/>
                <w:szCs w:val="22"/>
                <w:highlight w:val="none"/>
              </w:rPr>
              <w:t>扣分总计</w:t>
            </w:r>
            <w:r>
              <w:rPr>
                <w:rFonts w:hint="eastAsia" w:ascii="新宋体" w:hAnsi="新宋体" w:eastAsia="新宋体" w:cs="新宋体"/>
                <w:color w:val="auto"/>
                <w:kern w:val="0"/>
                <w:sz w:val="22"/>
                <w:szCs w:val="22"/>
                <w:highlight w:val="none"/>
                <w:lang w:eastAsia="zh-CN"/>
              </w:rPr>
              <w:t>为</w:t>
            </w:r>
            <w:r>
              <w:rPr>
                <w:rFonts w:hint="eastAsia" w:ascii="新宋体" w:hAnsi="新宋体" w:eastAsia="新宋体" w:cs="新宋体"/>
                <w:color w:val="auto"/>
                <w:kern w:val="0"/>
                <w:sz w:val="22"/>
                <w:szCs w:val="22"/>
                <w:highlight w:val="none"/>
                <w:lang w:val="en-US" w:eastAsia="zh-CN"/>
              </w:rPr>
              <w:t>100分</w:t>
            </w:r>
          </w:p>
        </w:tc>
        <w:tc>
          <w:tcPr>
            <w:tcW w:w="1656" w:type="pct"/>
            <w:gridSpan w:val="2"/>
            <w:tcBorders>
              <w:top w:val="single" w:color="auto" w:sz="4" w:space="0"/>
              <w:left w:val="single" w:color="auto" w:sz="4" w:space="0"/>
              <w:bottom w:val="single" w:color="auto" w:sz="4" w:space="0"/>
              <w:right w:val="single" w:color="auto" w:sz="4" w:space="0"/>
            </w:tcBorders>
            <w:noWrap/>
            <w:vAlign w:val="center"/>
          </w:tcPr>
          <w:p w14:paraId="047EF659">
            <w:pPr>
              <w:spacing w:line="460" w:lineRule="exact"/>
              <w:ind w:firstLine="3300" w:firstLineChars="150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分</w:t>
            </w:r>
          </w:p>
        </w:tc>
      </w:tr>
      <w:tr w14:paraId="628E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6" w:hRule="atLeast"/>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0A9B3B36">
            <w:pPr>
              <w:widowControl/>
              <w:spacing w:line="460" w:lineRule="exact"/>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甲方项目经办人（签字）：乙方（盖章）：</w:t>
            </w:r>
          </w:p>
          <w:p w14:paraId="4D7B8AB6">
            <w:pPr>
              <w:widowControl/>
              <w:spacing w:line="460" w:lineRule="exact"/>
              <w:textAlignment w:val="center"/>
              <w:rPr>
                <w:rFonts w:ascii="新宋体" w:hAnsi="新宋体" w:eastAsia="新宋体" w:cs="新宋体"/>
                <w:color w:val="auto"/>
                <w:kern w:val="0"/>
                <w:sz w:val="22"/>
                <w:szCs w:val="22"/>
                <w:highlight w:val="none"/>
              </w:rPr>
            </w:pPr>
          </w:p>
          <w:p w14:paraId="4A4A310E">
            <w:pPr>
              <w:widowControl/>
              <w:spacing w:line="460" w:lineRule="exact"/>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甲方项目审核人（签字、盖章）：乙方项目负责人（签字）：</w:t>
            </w:r>
          </w:p>
          <w:p w14:paraId="34D98611">
            <w:pPr>
              <w:widowControl/>
              <w:spacing w:line="460" w:lineRule="exact"/>
              <w:textAlignment w:val="center"/>
              <w:rPr>
                <w:rFonts w:ascii="新宋体" w:hAnsi="新宋体" w:eastAsia="新宋体" w:cs="新宋体"/>
                <w:color w:val="auto"/>
                <w:kern w:val="0"/>
                <w:sz w:val="22"/>
                <w:szCs w:val="22"/>
                <w:highlight w:val="none"/>
              </w:rPr>
            </w:pPr>
          </w:p>
          <w:p w14:paraId="376778B9">
            <w:pPr>
              <w:widowControl/>
              <w:spacing w:line="460" w:lineRule="exact"/>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监理单位（盖章）</w:t>
            </w:r>
          </w:p>
          <w:p w14:paraId="28BF88FC">
            <w:pPr>
              <w:widowControl/>
              <w:spacing w:line="460" w:lineRule="exact"/>
              <w:textAlignment w:val="center"/>
              <w:rPr>
                <w:rFonts w:ascii="新宋体" w:hAnsi="新宋体" w:eastAsia="新宋体" w:cs="新宋体"/>
                <w:color w:val="auto"/>
                <w:kern w:val="0"/>
                <w:sz w:val="22"/>
                <w:szCs w:val="22"/>
                <w:highlight w:val="none"/>
              </w:rPr>
            </w:pPr>
          </w:p>
          <w:p w14:paraId="05CCB6BB">
            <w:pPr>
              <w:widowControl/>
              <w:spacing w:line="460" w:lineRule="exact"/>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监理项目负责人（签字）：</w:t>
            </w:r>
          </w:p>
          <w:p w14:paraId="5633E159">
            <w:pPr>
              <w:widowControl/>
              <w:spacing w:line="460" w:lineRule="exact"/>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日期：日期：</w:t>
            </w:r>
          </w:p>
        </w:tc>
      </w:tr>
    </w:tbl>
    <w:p w14:paraId="40D7595D">
      <w:pPr>
        <w:spacing w:line="460" w:lineRule="exact"/>
        <w:ind w:firstLine="514" w:firstLineChars="245"/>
        <w:rPr>
          <w:rFonts w:hint="eastAsia" w:ascii="宋体" w:hAnsi="宋体" w:eastAsia="宋体" w:cs="宋体"/>
          <w:b/>
          <w:color w:val="auto"/>
          <w:sz w:val="30"/>
          <w:highlight w:val="none"/>
        </w:rPr>
      </w:pPr>
      <w:r>
        <w:rPr>
          <w:rFonts w:hint="eastAsia" w:ascii="宋体" w:hAnsi="宋体" w:cs="宋体"/>
          <w:color w:val="auto"/>
          <w:szCs w:val="21"/>
          <w:highlight w:val="none"/>
        </w:rPr>
        <w:br w:type="page"/>
      </w:r>
    </w:p>
    <w:p w14:paraId="0D68B263">
      <w:pPr>
        <w:pStyle w:val="2"/>
        <w:bidi w:val="0"/>
        <w:rPr>
          <w:rFonts w:hint="eastAsia" w:ascii="宋体" w:hAnsi="宋体" w:eastAsia="宋体" w:cs="宋体"/>
          <w:color w:val="auto"/>
          <w:highlight w:val="none"/>
        </w:rPr>
      </w:pPr>
      <w:bookmarkStart w:id="26" w:name="_Toc15605"/>
      <w:r>
        <w:rPr>
          <w:rFonts w:hint="eastAsia" w:ascii="宋体" w:hAnsi="宋体" w:eastAsia="宋体" w:cs="宋体"/>
          <w:color w:val="auto"/>
          <w:highlight w:val="none"/>
        </w:rPr>
        <w:t>第三部分    附件</w:t>
      </w:r>
      <w:bookmarkEnd w:id="26"/>
    </w:p>
    <w:p w14:paraId="482220D4">
      <w:pPr>
        <w:pStyle w:val="22"/>
        <w:spacing w:line="460" w:lineRule="exact"/>
        <w:ind w:left="433" w:hanging="433" w:hangingChars="196"/>
        <w:outlineLvl w:val="1"/>
        <w:rPr>
          <w:rFonts w:hint="eastAsia" w:ascii="宋体" w:hAnsi="宋体" w:eastAsia="宋体" w:cs="宋体"/>
          <w:b/>
          <w:color w:val="auto"/>
          <w:sz w:val="22"/>
          <w:highlight w:val="none"/>
        </w:rPr>
      </w:pPr>
      <w:bookmarkStart w:id="27" w:name="_Toc20958"/>
      <w:r>
        <w:rPr>
          <w:rFonts w:hint="eastAsia" w:ascii="宋体" w:hAnsi="宋体" w:eastAsia="宋体" w:cs="宋体"/>
          <w:b/>
          <w:color w:val="auto"/>
          <w:sz w:val="22"/>
          <w:highlight w:val="none"/>
        </w:rPr>
        <w:t>附件一</w:t>
      </w:r>
      <w:bookmarkEnd w:id="27"/>
    </w:p>
    <w:p w14:paraId="789EA9FA">
      <w:pPr>
        <w:spacing w:line="400" w:lineRule="exact"/>
        <w:jc w:val="center"/>
        <w:outlineLvl w:val="2"/>
        <w:rPr>
          <w:rFonts w:hint="eastAsia" w:ascii="宋体" w:hAnsi="宋体" w:eastAsia="宋体" w:cs="宋体"/>
          <w:b/>
          <w:bCs/>
          <w:color w:val="auto"/>
          <w:sz w:val="28"/>
          <w:szCs w:val="28"/>
          <w:highlight w:val="none"/>
        </w:rPr>
      </w:pPr>
      <w:bookmarkStart w:id="28" w:name="_Toc29156"/>
      <w:r>
        <w:rPr>
          <w:rFonts w:hint="eastAsia" w:ascii="宋体" w:hAnsi="宋体" w:eastAsia="宋体" w:cs="宋体"/>
          <w:b/>
          <w:bCs/>
          <w:color w:val="auto"/>
          <w:sz w:val="28"/>
          <w:szCs w:val="28"/>
          <w:highlight w:val="none"/>
        </w:rPr>
        <w:t>报价文件</w:t>
      </w:r>
      <w:bookmarkEnd w:id="28"/>
    </w:p>
    <w:p w14:paraId="275FD2E5">
      <w:pPr>
        <w:spacing w:line="400" w:lineRule="exact"/>
        <w:jc w:val="center"/>
        <w:outlineLvl w:val="3"/>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rPr>
        <w:t>1、</w:t>
      </w:r>
      <w:r>
        <w:rPr>
          <w:rFonts w:hint="eastAsia" w:ascii="宋体" w:hAnsi="宋体" w:eastAsia="宋体" w:cs="宋体"/>
          <w:b/>
          <w:color w:val="auto"/>
          <w:sz w:val="22"/>
          <w:szCs w:val="22"/>
          <w:highlight w:val="none"/>
          <w:lang w:val="zh-CN"/>
        </w:rPr>
        <w:t>投标函</w:t>
      </w:r>
    </w:p>
    <w:p w14:paraId="2655EC00">
      <w:pPr>
        <w:spacing w:line="460" w:lineRule="exac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致：</w:t>
      </w:r>
      <w:r>
        <w:rPr>
          <w:rFonts w:hint="eastAsia" w:ascii="宋体" w:hAnsi="宋体" w:cs="宋体"/>
          <w:color w:val="auto"/>
          <w:sz w:val="22"/>
          <w:szCs w:val="22"/>
          <w:highlight w:val="none"/>
          <w:lang w:eastAsia="zh-CN"/>
        </w:rPr>
        <w:t>温州市公安局交通管理局</w:t>
      </w:r>
    </w:p>
    <w:p w14:paraId="18B8A41D">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根据贵方为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项目（招标编号：</w:t>
      </w:r>
      <w:r>
        <w:rPr>
          <w:rFonts w:hint="eastAsia" w:ascii="宋体" w:hAnsi="宋体" w:eastAsia="宋体" w:cs="宋体"/>
          <w:b/>
          <w:color w:val="auto"/>
          <w:sz w:val="22"/>
          <w:szCs w:val="22"/>
          <w:highlight w:val="none"/>
          <w:u w:val="single"/>
        </w:rPr>
        <w:t xml:space="preserve">        </w:t>
      </w:r>
      <w:r>
        <w:rPr>
          <w:rFonts w:hint="eastAsia" w:ascii="宋体" w:hAnsi="宋体" w:eastAsia="宋体" w:cs="宋体"/>
          <w:b/>
          <w:color w:val="auto"/>
          <w:sz w:val="22"/>
          <w:szCs w:val="22"/>
          <w:highlight w:val="none"/>
        </w:rPr>
        <w:t xml:space="preserve"> </w:t>
      </w:r>
      <w:r>
        <w:rPr>
          <w:rFonts w:hint="eastAsia" w:ascii="宋体" w:hAnsi="宋体" w:eastAsia="宋体" w:cs="宋体"/>
          <w:color w:val="auto"/>
          <w:sz w:val="22"/>
          <w:szCs w:val="22"/>
          <w:highlight w:val="none"/>
        </w:rPr>
        <w:t>）的投标邀请，我方</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（投标人名称）作为投标人正式授权</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（授权代表全名，职务）代表我方处理有关本投标的一切事宜。为此：</w:t>
      </w:r>
    </w:p>
    <w:p w14:paraId="0260794B">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1、我方同意在投标人</w:t>
      </w:r>
      <w:r>
        <w:rPr>
          <w:rFonts w:hint="eastAsia" w:ascii="宋体" w:hAnsi="宋体" w:eastAsia="宋体" w:cs="宋体"/>
          <w:color w:val="auto"/>
          <w:kern w:val="44"/>
          <w:sz w:val="22"/>
          <w:szCs w:val="22"/>
          <w:highlight w:val="none"/>
        </w:rPr>
        <w:t>编制和提交投标文件须知</w:t>
      </w:r>
      <w:r>
        <w:rPr>
          <w:rFonts w:hint="eastAsia" w:ascii="宋体" w:hAnsi="宋体" w:eastAsia="宋体" w:cs="宋体"/>
          <w:color w:val="auto"/>
          <w:sz w:val="22"/>
          <w:szCs w:val="22"/>
          <w:highlight w:val="none"/>
        </w:rPr>
        <w:t>规定的开标日期起遵守本投标书中的承诺且在投标有效期满之前均具有约束力。</w:t>
      </w:r>
    </w:p>
    <w:p w14:paraId="3AE28C18">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2、我方承诺已经具备《中华人民共和国政府采购法》中规定的参加政府采购活动的供应商应当具备的条件：</w:t>
      </w:r>
    </w:p>
    <w:p w14:paraId="2891A749">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(1)具有独立承担民事责任的能力；</w:t>
      </w:r>
    </w:p>
    <w:p w14:paraId="07B13438">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(2)遵守国家法律、行政法规，具有良好的信誉和商业道德；</w:t>
      </w:r>
    </w:p>
    <w:p w14:paraId="62C6367F">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(3)具有履行合同的能力和良好的履行合同记录；</w:t>
      </w:r>
    </w:p>
    <w:p w14:paraId="7C00DB00">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(4)良好的资金、财务状况；</w:t>
      </w:r>
    </w:p>
    <w:p w14:paraId="4952FBF1">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(5)提供的产品和服务符合中国政府规定的相应标准和环保标准；</w:t>
      </w:r>
    </w:p>
    <w:p w14:paraId="779D2B27">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(6)没有违反政府采购法规、政策的记录；</w:t>
      </w:r>
    </w:p>
    <w:p w14:paraId="2A1B3161">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(7)没有发生重大经济纠纷和走私犯罪记录。</w:t>
      </w:r>
    </w:p>
    <w:p w14:paraId="20D25047">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3、提供</w:t>
      </w:r>
      <w:r>
        <w:rPr>
          <w:rFonts w:hint="eastAsia" w:ascii="宋体" w:hAnsi="宋体" w:eastAsia="宋体" w:cs="宋体"/>
          <w:color w:val="auto"/>
          <w:kern w:val="44"/>
          <w:sz w:val="22"/>
          <w:szCs w:val="22"/>
          <w:highlight w:val="none"/>
        </w:rPr>
        <w:t>编制和提交投标文件须知</w:t>
      </w:r>
      <w:r>
        <w:rPr>
          <w:rFonts w:hint="eastAsia" w:ascii="宋体" w:hAnsi="宋体" w:eastAsia="宋体" w:cs="宋体"/>
          <w:color w:val="auto"/>
          <w:sz w:val="22"/>
          <w:szCs w:val="22"/>
          <w:highlight w:val="none"/>
        </w:rPr>
        <w:t>规定的全部投标文件，包括资格文件、报价文件、商务技术文件。具体内容为：</w:t>
      </w:r>
    </w:p>
    <w:p w14:paraId="113BEEF3">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(1)资格文件</w:t>
      </w:r>
    </w:p>
    <w:p w14:paraId="18A63F02">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(2)报价文件；</w:t>
      </w:r>
    </w:p>
    <w:p w14:paraId="170E6A9D">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商务</w:t>
      </w:r>
      <w:r>
        <w:rPr>
          <w:rFonts w:hint="eastAsia" w:ascii="宋体" w:hAnsi="宋体" w:eastAsia="宋体" w:cs="宋体"/>
          <w:color w:val="auto"/>
          <w:kern w:val="0"/>
          <w:sz w:val="22"/>
          <w:szCs w:val="22"/>
          <w:highlight w:val="none"/>
          <w:lang w:val="zh-CN"/>
        </w:rPr>
        <w:t>技术文件</w:t>
      </w:r>
      <w:r>
        <w:rPr>
          <w:rFonts w:hint="eastAsia" w:ascii="宋体" w:hAnsi="宋体" w:eastAsia="宋体" w:cs="宋体"/>
          <w:color w:val="auto"/>
          <w:sz w:val="22"/>
          <w:szCs w:val="22"/>
          <w:highlight w:val="none"/>
        </w:rPr>
        <w:t>；</w:t>
      </w:r>
    </w:p>
    <w:p w14:paraId="616767BB">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kern w:val="44"/>
          <w:sz w:val="22"/>
          <w:szCs w:val="22"/>
          <w:highlight w:val="none"/>
        </w:rPr>
        <w:t>编制和提交投标文件须知</w:t>
      </w:r>
      <w:r>
        <w:rPr>
          <w:rFonts w:hint="eastAsia" w:ascii="宋体" w:hAnsi="宋体" w:eastAsia="宋体" w:cs="宋体"/>
          <w:color w:val="auto"/>
          <w:sz w:val="22"/>
          <w:szCs w:val="22"/>
          <w:highlight w:val="none"/>
        </w:rPr>
        <w:t>要求投标人提交的全部文件；</w:t>
      </w:r>
    </w:p>
    <w:p w14:paraId="50377481">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(5)按招标文件要求提供和交付的货物和服务的投标报价详见开标一览表；</w:t>
      </w:r>
    </w:p>
    <w:p w14:paraId="33757CF6">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(6)保证忠实地执行双方所签订的合同，并承担合同规定的责任和义务；</w:t>
      </w:r>
    </w:p>
    <w:p w14:paraId="0FA5BBB1">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(7)保证遵守招标文件中的其他有关规定。</w:t>
      </w:r>
    </w:p>
    <w:p w14:paraId="644CB6CE">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4、投标有效期内不撤销投标文件，如中标，有效期将延至合同终止日为止。</w:t>
      </w:r>
    </w:p>
    <w:p w14:paraId="20B89771">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5、我方完全理解贵方不一定要接受最低价的投标。</w:t>
      </w:r>
    </w:p>
    <w:p w14:paraId="5F577F38">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6、如中标，按招标文件规定与招标人签订合同。如拒绝签订合同，承诺按本项目预算金额的2%对招标人进行赔偿；赔偿金额不足以弥补招标人损失的，承诺继续承担超过部分的损失。</w:t>
      </w:r>
    </w:p>
    <w:p w14:paraId="5D626C01">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7、如中标，按招标文件规定的招标代理服务费标准，在领取中标通知书时向招标代理机构支付招标代理服务费。</w:t>
      </w:r>
    </w:p>
    <w:p w14:paraId="576DCF81">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8、我方愿意向贵方提供任何与该项投标有关的数据、情况和服务资料。若贵方需要，我方愿意提供我方作出的一切承诺的证明材料。</w:t>
      </w:r>
    </w:p>
    <w:p w14:paraId="342988AD">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9、我方已详细审核全部招标文件，包括招标文件修改书（如有的话）、参考资料及有关附件，确认无误。我方完全理解并接受招标文件的各项规定和要求，对招标文件的合理性、合法性不再有异议。</w:t>
      </w:r>
    </w:p>
    <w:p w14:paraId="38BDB4F9">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14EDBE">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(1)提供虚假材料谋取中标、成交的；</w:t>
      </w:r>
    </w:p>
    <w:p w14:paraId="4FBDCBAA">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(2)采取不正当手段诋毁、排挤其他供应商的；</w:t>
      </w:r>
    </w:p>
    <w:p w14:paraId="3C863418">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(3)与招标人、其它供应商或者招标代理机构恶意串通的；</w:t>
      </w:r>
    </w:p>
    <w:p w14:paraId="28E8F3D1">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(4)向招标人、招标代理机构行贿或者提供其他不正当利益的；</w:t>
      </w:r>
    </w:p>
    <w:p w14:paraId="079A0654">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(5)在招标采购过程中与招标人进行协商谈判的；</w:t>
      </w:r>
    </w:p>
    <w:p w14:paraId="6F1C761E">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(6)拒绝有关部门监督检查或提供虚假情况的。</w:t>
      </w:r>
    </w:p>
    <w:p w14:paraId="419749C4">
      <w:pPr>
        <w:shd w:val="clear" w:color="auto" w:fill="FFFFFF"/>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供应商有前款第(1)至(5)项情形之一的，中标、成交无效。</w:t>
      </w:r>
    </w:p>
    <w:p w14:paraId="43AD5ACF">
      <w:pPr>
        <w:shd w:val="clear" w:color="auto" w:fill="FFFFFF"/>
        <w:snapToGrid w:val="0"/>
        <w:spacing w:line="360" w:lineRule="auto"/>
        <w:rPr>
          <w:rFonts w:hint="eastAsia" w:ascii="宋体" w:hAnsi="宋体" w:eastAsia="宋体" w:cs="宋体"/>
          <w:color w:val="auto"/>
          <w:kern w:val="0"/>
          <w:sz w:val="22"/>
          <w:szCs w:val="22"/>
          <w:highlight w:val="none"/>
          <w:lang w:val="zh-CN"/>
        </w:rPr>
      </w:pPr>
    </w:p>
    <w:p w14:paraId="78BC4CBD">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法定（授权）代表人（签字）：</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rPr>
        <w:tab/>
      </w:r>
    </w:p>
    <w:p w14:paraId="33AD5EF7">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u w:val="single"/>
          <w:lang w:val="zh-CN"/>
        </w:rPr>
      </w:pPr>
      <w:r>
        <w:rPr>
          <w:rFonts w:hint="eastAsia" w:ascii="宋体" w:hAnsi="宋体" w:eastAsia="宋体" w:cs="宋体"/>
          <w:color w:val="auto"/>
          <w:kern w:val="0"/>
          <w:sz w:val="22"/>
          <w:szCs w:val="22"/>
          <w:highlight w:val="none"/>
          <w:lang w:val="zh-CN"/>
        </w:rPr>
        <w:t>投标人盖 章：</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rPr>
        <w:tab/>
      </w:r>
      <w:r>
        <w:rPr>
          <w:rFonts w:hint="eastAsia" w:ascii="宋体" w:hAnsi="宋体" w:eastAsia="宋体" w:cs="宋体"/>
          <w:color w:val="auto"/>
          <w:kern w:val="0"/>
          <w:sz w:val="22"/>
          <w:szCs w:val="22"/>
          <w:highlight w:val="none"/>
          <w:u w:val="single"/>
          <w:lang w:val="zh-CN"/>
        </w:rPr>
        <w:t xml:space="preserve">                      </w:t>
      </w:r>
    </w:p>
    <w:p w14:paraId="3965FA6D">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 xml:space="preserve">联系电话： </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lang w:val="zh-CN"/>
        </w:rPr>
        <w:t xml:space="preserve">传真：  </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lang w:val="zh-CN"/>
        </w:rPr>
        <w:t xml:space="preserve">电子邮件：  </w:t>
      </w:r>
      <w:r>
        <w:rPr>
          <w:rFonts w:hint="eastAsia" w:ascii="宋体" w:hAnsi="宋体" w:eastAsia="宋体" w:cs="宋体"/>
          <w:color w:val="auto"/>
          <w:kern w:val="0"/>
          <w:sz w:val="22"/>
          <w:szCs w:val="22"/>
          <w:highlight w:val="none"/>
          <w:u w:val="single"/>
          <w:lang w:val="zh-CN"/>
        </w:rPr>
        <w:t xml:space="preserve">              </w:t>
      </w:r>
    </w:p>
    <w:p w14:paraId="6265AC39">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联系地址：</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rPr>
        <w:tab/>
      </w:r>
      <w:r>
        <w:rPr>
          <w:rFonts w:hint="eastAsia" w:ascii="宋体" w:hAnsi="宋体" w:eastAsia="宋体" w:cs="宋体"/>
          <w:color w:val="auto"/>
          <w:kern w:val="0"/>
          <w:sz w:val="22"/>
          <w:szCs w:val="22"/>
          <w:highlight w:val="none"/>
          <w:u w:val="single"/>
          <w:lang w:val="zh-CN"/>
        </w:rPr>
        <w:t xml:space="preserve">                                                    </w:t>
      </w:r>
    </w:p>
    <w:p w14:paraId="60603085">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邮政编码：</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lang w:val="zh-CN"/>
        </w:rPr>
        <w:t>传真号码：</w:t>
      </w:r>
      <w:r>
        <w:rPr>
          <w:rFonts w:hint="eastAsia" w:ascii="宋体" w:hAnsi="宋体" w:eastAsia="宋体" w:cs="宋体"/>
          <w:color w:val="auto"/>
          <w:kern w:val="0"/>
          <w:sz w:val="22"/>
          <w:szCs w:val="22"/>
          <w:highlight w:val="none"/>
          <w:u w:val="single"/>
          <w:lang w:val="zh-CN"/>
        </w:rPr>
        <w:t xml:space="preserve">                     </w:t>
      </w:r>
    </w:p>
    <w:p w14:paraId="23055318">
      <w:pPr>
        <w:shd w:val="clear" w:color="auto" w:fill="FFFFFF"/>
        <w:snapToGrid w:val="0"/>
        <w:spacing w:line="360" w:lineRule="auto"/>
        <w:ind w:firstLine="440" w:firstLineChars="20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lang w:val="zh-CN"/>
        </w:rPr>
        <w:t>日</w:t>
      </w:r>
      <w:r>
        <w:rPr>
          <w:rFonts w:hint="eastAsia" w:ascii="宋体" w:hAnsi="宋体" w:eastAsia="宋体" w:cs="宋体"/>
          <w:color w:val="auto"/>
          <w:kern w:val="0"/>
          <w:sz w:val="22"/>
          <w:szCs w:val="22"/>
          <w:highlight w:val="none"/>
        </w:rPr>
        <w:t xml:space="preserve">    </w:t>
      </w:r>
      <w:r>
        <w:rPr>
          <w:rFonts w:hint="eastAsia" w:ascii="宋体" w:hAnsi="宋体" w:eastAsia="宋体" w:cs="宋体"/>
          <w:color w:val="auto"/>
          <w:kern w:val="0"/>
          <w:sz w:val="22"/>
          <w:szCs w:val="22"/>
          <w:highlight w:val="none"/>
          <w:lang w:val="zh-CN"/>
        </w:rPr>
        <w:t>期</w:t>
      </w:r>
      <w:r>
        <w:rPr>
          <w:rFonts w:hint="eastAsia" w:ascii="宋体" w:hAnsi="宋体" w:eastAsia="宋体" w:cs="宋体"/>
          <w:color w:val="auto"/>
          <w:kern w:val="0"/>
          <w:sz w:val="22"/>
          <w:szCs w:val="22"/>
          <w:highlight w:val="none"/>
        </w:rPr>
        <w:t xml:space="preserve">： </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lang w:val="zh-CN"/>
        </w:rPr>
        <w:t>年</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u w:val="single"/>
        </w:rPr>
        <w:tab/>
      </w:r>
      <w:r>
        <w:rPr>
          <w:rFonts w:hint="eastAsia" w:ascii="宋体" w:hAnsi="宋体" w:eastAsia="宋体" w:cs="宋体"/>
          <w:color w:val="auto"/>
          <w:kern w:val="0"/>
          <w:sz w:val="22"/>
          <w:szCs w:val="22"/>
          <w:highlight w:val="none"/>
          <w:lang w:val="zh-CN"/>
        </w:rPr>
        <w:t>月</w:t>
      </w:r>
      <w:r>
        <w:rPr>
          <w:rFonts w:hint="eastAsia" w:ascii="宋体" w:hAnsi="宋体" w:eastAsia="宋体" w:cs="宋体"/>
          <w:color w:val="auto"/>
          <w:kern w:val="0"/>
          <w:sz w:val="22"/>
          <w:szCs w:val="22"/>
          <w:highlight w:val="none"/>
          <w:u w:val="single"/>
          <w:lang w:val="zh-CN"/>
        </w:rPr>
        <w:t xml:space="preserve">    </w:t>
      </w:r>
      <w:r>
        <w:rPr>
          <w:rFonts w:hint="eastAsia" w:ascii="宋体" w:hAnsi="宋体" w:eastAsia="宋体" w:cs="宋体"/>
          <w:color w:val="auto"/>
          <w:kern w:val="0"/>
          <w:sz w:val="22"/>
          <w:szCs w:val="22"/>
          <w:highlight w:val="none"/>
          <w:lang w:val="zh-CN"/>
        </w:rPr>
        <w:t>日</w:t>
      </w:r>
    </w:p>
    <w:p w14:paraId="2BF29301">
      <w:pPr>
        <w:spacing w:line="44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val="zh-CN"/>
        </w:rPr>
        <w:t>注：未按照本投标响应函要求填报的将被视为非实质性响应，从而可能导致该投标文件被拒绝。</w:t>
      </w:r>
    </w:p>
    <w:p w14:paraId="03346AA8">
      <w:pPr>
        <w:pStyle w:val="22"/>
        <w:ind w:left="442" w:hanging="442"/>
        <w:rPr>
          <w:rFonts w:hint="eastAsia" w:ascii="宋体" w:hAnsi="宋体" w:eastAsia="宋体" w:cs="宋体"/>
          <w:b/>
          <w:bCs/>
          <w:color w:val="auto"/>
          <w:sz w:val="22"/>
          <w:szCs w:val="22"/>
          <w:highlight w:val="none"/>
        </w:rPr>
      </w:pPr>
    </w:p>
    <w:p w14:paraId="174AB7A1">
      <w:pPr>
        <w:pStyle w:val="22"/>
        <w:ind w:left="442" w:hanging="442"/>
        <w:rPr>
          <w:rFonts w:hint="eastAsia" w:ascii="宋体" w:hAnsi="宋体" w:eastAsia="宋体" w:cs="宋体"/>
          <w:b/>
          <w:bCs/>
          <w:color w:val="auto"/>
          <w:sz w:val="22"/>
          <w:szCs w:val="22"/>
          <w:highlight w:val="none"/>
        </w:rPr>
      </w:pPr>
    </w:p>
    <w:p w14:paraId="66761DA4">
      <w:pPr>
        <w:pStyle w:val="22"/>
        <w:ind w:left="442" w:hanging="442"/>
        <w:rPr>
          <w:rFonts w:hint="eastAsia" w:ascii="宋体" w:hAnsi="宋体" w:eastAsia="宋体" w:cs="宋体"/>
          <w:b/>
          <w:bCs/>
          <w:color w:val="auto"/>
          <w:sz w:val="22"/>
          <w:szCs w:val="22"/>
          <w:highlight w:val="none"/>
        </w:rPr>
      </w:pPr>
    </w:p>
    <w:p w14:paraId="53B7F400">
      <w:pPr>
        <w:pStyle w:val="22"/>
        <w:ind w:left="442" w:hanging="442"/>
        <w:rPr>
          <w:rFonts w:hint="eastAsia" w:ascii="宋体" w:hAnsi="宋体" w:eastAsia="宋体" w:cs="宋体"/>
          <w:b/>
          <w:bCs/>
          <w:color w:val="auto"/>
          <w:sz w:val="22"/>
          <w:szCs w:val="22"/>
          <w:highlight w:val="none"/>
        </w:rPr>
      </w:pPr>
    </w:p>
    <w:p w14:paraId="50D7E78B">
      <w:pPr>
        <w:pStyle w:val="22"/>
        <w:ind w:left="442" w:hanging="442"/>
        <w:rPr>
          <w:rFonts w:hint="eastAsia" w:ascii="宋体" w:hAnsi="宋体" w:eastAsia="宋体" w:cs="宋体"/>
          <w:b/>
          <w:bCs/>
          <w:color w:val="auto"/>
          <w:sz w:val="22"/>
          <w:szCs w:val="22"/>
          <w:highlight w:val="none"/>
        </w:rPr>
      </w:pPr>
    </w:p>
    <w:p w14:paraId="77BF0B8F">
      <w:pPr>
        <w:pStyle w:val="22"/>
        <w:ind w:left="442" w:hanging="442"/>
        <w:rPr>
          <w:rFonts w:hint="eastAsia" w:ascii="宋体" w:hAnsi="宋体" w:eastAsia="宋体" w:cs="宋体"/>
          <w:b/>
          <w:bCs/>
          <w:color w:val="auto"/>
          <w:sz w:val="22"/>
          <w:szCs w:val="22"/>
          <w:highlight w:val="none"/>
        </w:rPr>
      </w:pPr>
    </w:p>
    <w:p w14:paraId="6F1E2342">
      <w:pPr>
        <w:pStyle w:val="22"/>
        <w:ind w:left="442" w:hanging="442"/>
        <w:rPr>
          <w:rFonts w:hint="eastAsia" w:ascii="宋体" w:hAnsi="宋体" w:eastAsia="宋体" w:cs="宋体"/>
          <w:b/>
          <w:bCs/>
          <w:color w:val="auto"/>
          <w:sz w:val="22"/>
          <w:szCs w:val="22"/>
          <w:highlight w:val="none"/>
        </w:rPr>
      </w:pPr>
    </w:p>
    <w:p w14:paraId="29F1A472">
      <w:pPr>
        <w:pStyle w:val="22"/>
        <w:ind w:left="442" w:hanging="442"/>
        <w:rPr>
          <w:rFonts w:hint="eastAsia" w:ascii="宋体" w:hAnsi="宋体" w:eastAsia="宋体" w:cs="宋体"/>
          <w:b/>
          <w:bCs/>
          <w:color w:val="auto"/>
          <w:sz w:val="22"/>
          <w:szCs w:val="22"/>
          <w:highlight w:val="none"/>
        </w:rPr>
      </w:pPr>
    </w:p>
    <w:p w14:paraId="6EBD7C62">
      <w:pPr>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  </w:t>
      </w:r>
    </w:p>
    <w:p w14:paraId="73587B31">
      <w:pPr>
        <w:pStyle w:val="22"/>
        <w:ind w:left="0" w:firstLine="0" w:firstLineChars="0"/>
        <w:rPr>
          <w:rFonts w:hint="eastAsia" w:ascii="宋体" w:hAnsi="宋体" w:eastAsia="宋体" w:cs="宋体"/>
          <w:b/>
          <w:bCs/>
          <w:color w:val="auto"/>
          <w:sz w:val="22"/>
          <w:szCs w:val="22"/>
          <w:highlight w:val="none"/>
        </w:rPr>
      </w:pPr>
    </w:p>
    <w:p w14:paraId="4145BEB9">
      <w:pPr>
        <w:pStyle w:val="22"/>
        <w:ind w:left="0" w:firstLine="0" w:firstLineChars="0"/>
        <w:rPr>
          <w:rFonts w:hint="eastAsia" w:ascii="宋体" w:hAnsi="宋体" w:eastAsia="宋体" w:cs="宋体"/>
          <w:b/>
          <w:bCs/>
          <w:color w:val="auto"/>
          <w:sz w:val="22"/>
          <w:szCs w:val="22"/>
          <w:highlight w:val="none"/>
        </w:rPr>
      </w:pPr>
    </w:p>
    <w:p w14:paraId="00909D56">
      <w:pP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br w:type="page"/>
      </w:r>
    </w:p>
    <w:p w14:paraId="739769D1">
      <w:pPr>
        <w:spacing w:line="400" w:lineRule="exact"/>
        <w:jc w:val="center"/>
        <w:outlineLvl w:val="3"/>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rPr>
        <w:t>2、</w:t>
      </w:r>
      <w:r>
        <w:rPr>
          <w:rFonts w:hint="eastAsia" w:ascii="宋体" w:hAnsi="宋体" w:eastAsia="宋体" w:cs="宋体"/>
          <w:b/>
          <w:color w:val="auto"/>
          <w:sz w:val="22"/>
          <w:szCs w:val="22"/>
          <w:highlight w:val="none"/>
          <w:lang w:val="zh-CN"/>
        </w:rPr>
        <w:t>投标报价一览表</w:t>
      </w:r>
      <w:r>
        <w:rPr>
          <w:rFonts w:hint="eastAsia" w:ascii="宋体" w:hAnsi="宋体" w:cs="宋体"/>
          <w:b/>
          <w:color w:val="auto"/>
          <w:sz w:val="22"/>
          <w:szCs w:val="22"/>
          <w:highlight w:val="none"/>
          <w:lang w:val="zh-CN"/>
        </w:rPr>
        <w:t>（</w:t>
      </w:r>
      <w:r>
        <w:rPr>
          <w:rFonts w:hint="eastAsia" w:ascii="宋体" w:hAnsi="宋体" w:cs="宋体"/>
          <w:b/>
          <w:color w:val="auto"/>
          <w:sz w:val="22"/>
          <w:szCs w:val="22"/>
          <w:highlight w:val="none"/>
          <w:lang w:val="en-US" w:eastAsia="zh-CN"/>
        </w:rPr>
        <w:t>标项</w:t>
      </w:r>
      <w:r>
        <w:rPr>
          <w:rFonts w:hint="eastAsia" w:ascii="宋体" w:hAnsi="宋体" w:cs="宋体"/>
          <w:b/>
          <w:color w:val="auto"/>
          <w:sz w:val="22"/>
          <w:szCs w:val="22"/>
          <w:highlight w:val="none"/>
          <w:u w:val="single"/>
          <w:lang w:val="en-US" w:eastAsia="zh-CN"/>
        </w:rPr>
        <w:t xml:space="preserve">   </w:t>
      </w:r>
      <w:r>
        <w:rPr>
          <w:rFonts w:hint="eastAsia" w:ascii="宋体" w:hAnsi="宋体" w:cs="宋体"/>
          <w:b/>
          <w:color w:val="auto"/>
          <w:sz w:val="22"/>
          <w:szCs w:val="22"/>
          <w:highlight w:val="none"/>
          <w:lang w:val="zh-CN"/>
        </w:rPr>
        <w:t>）</w:t>
      </w:r>
    </w:p>
    <w:p w14:paraId="1389ACFE">
      <w:pPr>
        <w:spacing w:line="380" w:lineRule="exact"/>
        <w:rPr>
          <w:rFonts w:hint="eastAsia" w:ascii="宋体" w:hAnsi="宋体" w:eastAsia="宋体" w:cs="宋体"/>
          <w:b w:val="0"/>
          <w:bCs w:val="0"/>
          <w:color w:val="auto"/>
          <w:sz w:val="22"/>
          <w:szCs w:val="22"/>
          <w:highlight w:val="none"/>
        </w:rPr>
      </w:pPr>
      <w:r>
        <w:rPr>
          <w:rFonts w:hint="eastAsia" w:ascii="宋体" w:hAnsi="宋体" w:eastAsia="宋体" w:cs="宋体"/>
          <w:b/>
          <w:bCs/>
          <w:color w:val="auto"/>
          <w:sz w:val="22"/>
          <w:szCs w:val="22"/>
          <w:highlight w:val="none"/>
        </w:rPr>
        <w:t xml:space="preserve"> </w:t>
      </w:r>
      <w:r>
        <w:rPr>
          <w:rFonts w:hint="eastAsia" w:ascii="宋体" w:hAnsi="宋体" w:eastAsia="宋体" w:cs="宋体"/>
          <w:b w:val="0"/>
          <w:bCs w:val="0"/>
          <w:color w:val="auto"/>
          <w:sz w:val="22"/>
          <w:szCs w:val="22"/>
          <w:highlight w:val="none"/>
        </w:rPr>
        <w:t xml:space="preserve">                                         </w:t>
      </w:r>
    </w:p>
    <w:p w14:paraId="205151AA">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15077703">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eastAsia="宋体"/>
          <w:color w:val="auto"/>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2174"/>
        <w:gridCol w:w="3976"/>
        <w:gridCol w:w="2305"/>
      </w:tblGrid>
      <w:tr w14:paraId="556C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3" w:type="dxa"/>
            <w:vAlign w:val="center"/>
          </w:tcPr>
          <w:p w14:paraId="701EF4D3">
            <w:pPr>
              <w:spacing w:line="380" w:lineRule="exact"/>
              <w:jc w:val="center"/>
              <w:rPr>
                <w:rFonts w:ascii="宋体" w:hAnsi="宋体" w:cs="宋体"/>
                <w:color w:val="auto"/>
                <w:sz w:val="22"/>
                <w:highlight w:val="none"/>
              </w:rPr>
            </w:pPr>
            <w:r>
              <w:rPr>
                <w:rFonts w:hint="eastAsia" w:ascii="宋体" w:hAnsi="宋体" w:cs="宋体"/>
                <w:color w:val="auto"/>
                <w:sz w:val="22"/>
                <w:highlight w:val="none"/>
                <w:lang w:eastAsia="zh-CN"/>
              </w:rPr>
              <w:t>标项</w:t>
            </w:r>
            <w:r>
              <w:rPr>
                <w:rFonts w:hint="eastAsia" w:ascii="宋体" w:hAnsi="宋体" w:cs="宋体"/>
                <w:color w:val="auto"/>
                <w:sz w:val="24"/>
                <w:highlight w:val="none"/>
              </w:rPr>
              <w:t>号</w:t>
            </w:r>
          </w:p>
        </w:tc>
        <w:tc>
          <w:tcPr>
            <w:tcW w:w="2174" w:type="dxa"/>
            <w:vAlign w:val="center"/>
          </w:tcPr>
          <w:p w14:paraId="144586BB">
            <w:pPr>
              <w:spacing w:line="380" w:lineRule="exact"/>
              <w:jc w:val="center"/>
              <w:rPr>
                <w:rFonts w:ascii="宋体" w:hAnsi="宋体" w:cs="宋体"/>
                <w:color w:val="auto"/>
                <w:sz w:val="22"/>
                <w:highlight w:val="none"/>
              </w:rPr>
            </w:pPr>
            <w:r>
              <w:rPr>
                <w:rFonts w:hint="eastAsia" w:ascii="宋体" w:hAnsi="宋体" w:cs="宋体"/>
                <w:color w:val="auto"/>
                <w:sz w:val="22"/>
                <w:highlight w:val="none"/>
                <w:lang w:eastAsia="zh-CN"/>
              </w:rPr>
              <w:t>标项</w:t>
            </w:r>
            <w:r>
              <w:rPr>
                <w:rFonts w:hint="eastAsia" w:ascii="宋体" w:hAnsi="宋体" w:cs="宋体"/>
                <w:color w:val="auto"/>
                <w:sz w:val="22"/>
                <w:highlight w:val="none"/>
              </w:rPr>
              <w:t>名称</w:t>
            </w:r>
          </w:p>
        </w:tc>
        <w:tc>
          <w:tcPr>
            <w:tcW w:w="3976" w:type="dxa"/>
            <w:vAlign w:val="center"/>
          </w:tcPr>
          <w:p w14:paraId="1A41FA33">
            <w:pPr>
              <w:spacing w:line="380" w:lineRule="exact"/>
              <w:jc w:val="center"/>
              <w:rPr>
                <w:rFonts w:ascii="宋体" w:hAnsi="宋体" w:cs="宋体"/>
                <w:color w:val="auto"/>
                <w:sz w:val="22"/>
                <w:highlight w:val="none"/>
              </w:rPr>
            </w:pPr>
            <w:r>
              <w:rPr>
                <w:rFonts w:hint="eastAsia" w:ascii="宋体" w:hAnsi="宋体" w:cs="宋体"/>
                <w:color w:val="auto"/>
                <w:sz w:val="22"/>
                <w:highlight w:val="none"/>
              </w:rPr>
              <w:t>报价（</w:t>
            </w:r>
            <w:r>
              <w:rPr>
                <w:rFonts w:hint="eastAsia" w:ascii="新宋体" w:hAnsi="新宋体" w:eastAsia="新宋体" w:cs="新宋体"/>
                <w:color w:val="auto"/>
                <w:kern w:val="0"/>
                <w:sz w:val="22"/>
                <w:szCs w:val="22"/>
                <w:highlight w:val="none"/>
              </w:rPr>
              <w:t>各项单价统一折扣率（%）</w:t>
            </w:r>
            <w:r>
              <w:rPr>
                <w:rFonts w:hint="eastAsia" w:ascii="宋体" w:hAnsi="宋体" w:cs="宋体"/>
                <w:color w:val="auto"/>
                <w:sz w:val="22"/>
                <w:highlight w:val="none"/>
              </w:rPr>
              <w:t>）</w:t>
            </w:r>
          </w:p>
        </w:tc>
        <w:tc>
          <w:tcPr>
            <w:tcW w:w="2305" w:type="dxa"/>
            <w:vAlign w:val="center"/>
          </w:tcPr>
          <w:p w14:paraId="005223E7">
            <w:pPr>
              <w:spacing w:line="380" w:lineRule="exact"/>
              <w:jc w:val="center"/>
              <w:rPr>
                <w:rFonts w:ascii="宋体" w:hAnsi="宋体" w:cs="宋体"/>
                <w:color w:val="auto"/>
                <w:sz w:val="22"/>
                <w:highlight w:val="none"/>
              </w:rPr>
            </w:pPr>
            <w:r>
              <w:rPr>
                <w:rFonts w:hint="eastAsia" w:ascii="宋体" w:hAnsi="宋体" w:cs="宋体"/>
                <w:color w:val="auto"/>
                <w:sz w:val="22"/>
                <w:highlight w:val="none"/>
              </w:rPr>
              <w:t>备注</w:t>
            </w:r>
          </w:p>
        </w:tc>
      </w:tr>
      <w:tr w14:paraId="442A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1163" w:type="dxa"/>
            <w:vAlign w:val="center"/>
          </w:tcPr>
          <w:p w14:paraId="0F5835FC">
            <w:pPr>
              <w:spacing w:line="380" w:lineRule="exact"/>
              <w:jc w:val="center"/>
              <w:rPr>
                <w:rFonts w:ascii="宋体" w:hAnsi="宋体" w:cs="宋体"/>
                <w:color w:val="auto"/>
                <w:sz w:val="22"/>
                <w:highlight w:val="none"/>
              </w:rPr>
            </w:pPr>
          </w:p>
        </w:tc>
        <w:tc>
          <w:tcPr>
            <w:tcW w:w="2174" w:type="dxa"/>
            <w:vAlign w:val="center"/>
          </w:tcPr>
          <w:p w14:paraId="589E7A99">
            <w:pPr>
              <w:spacing w:line="380" w:lineRule="exact"/>
              <w:jc w:val="center"/>
              <w:rPr>
                <w:rFonts w:ascii="宋体" w:hAnsi="宋体" w:cs="宋体"/>
                <w:color w:val="auto"/>
                <w:sz w:val="22"/>
                <w:highlight w:val="none"/>
              </w:rPr>
            </w:pPr>
          </w:p>
        </w:tc>
        <w:tc>
          <w:tcPr>
            <w:tcW w:w="3976" w:type="dxa"/>
            <w:vAlign w:val="center"/>
          </w:tcPr>
          <w:p w14:paraId="14CEDA41">
            <w:pPr>
              <w:spacing w:line="380" w:lineRule="exact"/>
              <w:rPr>
                <w:rFonts w:ascii="宋体" w:hAnsi="宋体" w:cs="宋体"/>
                <w:color w:val="auto"/>
                <w:sz w:val="22"/>
                <w:highlight w:val="none"/>
              </w:rPr>
            </w:pPr>
          </w:p>
        </w:tc>
        <w:tc>
          <w:tcPr>
            <w:tcW w:w="2305" w:type="dxa"/>
            <w:vAlign w:val="center"/>
          </w:tcPr>
          <w:p w14:paraId="693CC186">
            <w:pPr>
              <w:spacing w:line="380" w:lineRule="exact"/>
              <w:jc w:val="center"/>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折扣率报价超过100%按无效标处理。</w:t>
            </w:r>
          </w:p>
        </w:tc>
      </w:tr>
    </w:tbl>
    <w:p w14:paraId="7FBC194D">
      <w:pPr>
        <w:spacing w:line="400" w:lineRule="exact"/>
        <w:rPr>
          <w:rFonts w:hint="eastAsia" w:ascii="宋体" w:hAnsi="宋体" w:eastAsia="宋体" w:cs="宋体"/>
          <w:b/>
          <w:color w:val="auto"/>
          <w:sz w:val="22"/>
          <w:highlight w:val="none"/>
          <w:lang w:eastAsia="zh-CN"/>
        </w:rPr>
      </w:pPr>
      <w:r>
        <w:rPr>
          <w:rFonts w:hint="eastAsia" w:ascii="宋体" w:hAnsi="宋体" w:eastAsia="宋体" w:cs="宋体"/>
          <w:b/>
          <w:color w:val="auto"/>
          <w:sz w:val="22"/>
          <w:highlight w:val="none"/>
        </w:rPr>
        <w:t>说明：</w:t>
      </w:r>
      <w:r>
        <w:rPr>
          <w:rFonts w:hint="eastAsia" w:ascii="宋体" w:hAnsi="宋体" w:cs="宋体"/>
          <w:b/>
          <w:color w:val="auto"/>
          <w:sz w:val="22"/>
          <w:highlight w:val="none"/>
          <w:lang w:val="en-US" w:eastAsia="zh-CN"/>
        </w:rPr>
        <w:t>▲</w:t>
      </w:r>
      <w:r>
        <w:rPr>
          <w:rFonts w:hint="eastAsia" w:ascii="宋体" w:hAnsi="宋体" w:eastAsia="宋体" w:cs="宋体"/>
          <w:b/>
          <w:color w:val="auto"/>
          <w:kern w:val="2"/>
          <w:sz w:val="22"/>
          <w:szCs w:val="24"/>
          <w:highlight w:val="none"/>
          <w:lang w:val="en-US" w:eastAsia="zh-CN" w:bidi="ar-SA"/>
        </w:rPr>
        <w:t>1、</w:t>
      </w:r>
      <w:r>
        <w:rPr>
          <w:rFonts w:hint="eastAsia" w:ascii="宋体" w:hAnsi="宋体" w:eastAsia="宋体" w:cs="宋体"/>
          <w:b/>
          <w:color w:val="auto"/>
          <w:sz w:val="22"/>
          <w:highlight w:val="none"/>
        </w:rPr>
        <w:t>不提供此表格将被视为没有实质性响应招标文件</w:t>
      </w:r>
      <w:r>
        <w:rPr>
          <w:rFonts w:hint="eastAsia" w:ascii="宋体" w:hAnsi="宋体" w:cs="宋体"/>
          <w:b/>
          <w:color w:val="auto"/>
          <w:sz w:val="22"/>
          <w:highlight w:val="none"/>
          <w:lang w:eastAsia="zh-CN"/>
        </w:rPr>
        <w:t>。</w:t>
      </w:r>
    </w:p>
    <w:p w14:paraId="1B42B355">
      <w:pPr>
        <w:spacing w:line="360" w:lineRule="auto"/>
        <w:ind w:firstLine="883" w:firstLineChars="400"/>
        <w:jc w:val="both"/>
        <w:rPr>
          <w:rFonts w:hint="default" w:ascii="宋体" w:hAnsi="宋体" w:eastAsia="宋体" w:cs="宋体"/>
          <w:b/>
          <w:bCs/>
          <w:color w:val="auto"/>
          <w:sz w:val="22"/>
          <w:szCs w:val="22"/>
          <w:highlight w:val="none"/>
          <w:u w:val="single"/>
          <w:lang w:val="en-US" w:eastAsia="zh-CN"/>
        </w:rPr>
      </w:pPr>
      <w:r>
        <w:rPr>
          <w:rFonts w:hint="eastAsia" w:ascii="宋体" w:hAnsi="宋体" w:cs="宋体"/>
          <w:b/>
          <w:bCs/>
          <w:color w:val="auto"/>
          <w:sz w:val="22"/>
          <w:szCs w:val="22"/>
          <w:highlight w:val="none"/>
          <w:u w:val="single"/>
          <w:lang w:val="en-US" w:eastAsia="zh-CN"/>
        </w:rPr>
        <w:t>2、投标人按统一折扣率进行报价，即结算金额=各项的</w:t>
      </w:r>
      <w:r>
        <w:rPr>
          <w:rFonts w:hint="eastAsia" w:ascii="新宋体" w:hAnsi="新宋体" w:eastAsia="新宋体" w:cs="新宋体"/>
          <w:b/>
          <w:bCs/>
          <w:i w:val="0"/>
          <w:iCs w:val="0"/>
          <w:color w:val="auto"/>
          <w:kern w:val="0"/>
          <w:sz w:val="20"/>
          <w:szCs w:val="20"/>
          <w:highlight w:val="none"/>
          <w:u w:val="single"/>
          <w:lang w:val="en-US" w:eastAsia="zh-CN" w:bidi="ar"/>
        </w:rPr>
        <w:t>最高限价单价*中标折扣率</w:t>
      </w:r>
    </w:p>
    <w:p w14:paraId="65225C95">
      <w:pPr>
        <w:spacing w:line="360" w:lineRule="auto"/>
        <w:jc w:val="center"/>
        <w:rPr>
          <w:rFonts w:hint="eastAsia" w:ascii="宋体" w:hAnsi="宋体" w:eastAsia="宋体" w:cs="宋体"/>
          <w:color w:val="auto"/>
          <w:sz w:val="22"/>
          <w:szCs w:val="22"/>
          <w:highlight w:val="none"/>
        </w:rPr>
      </w:pPr>
    </w:p>
    <w:p w14:paraId="52CDECB1">
      <w:pPr>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w:t>
      </w:r>
      <w:r>
        <w:rPr>
          <w:rFonts w:hint="eastAsia" w:ascii="宋体" w:hAnsi="宋体" w:cs="宋体"/>
          <w:color w:val="auto"/>
          <w:sz w:val="22"/>
          <w:szCs w:val="22"/>
          <w:highlight w:val="none"/>
          <w:lang w:eastAsia="zh-CN"/>
        </w:rPr>
        <w:t>盖章或电子盖章</w:t>
      </w:r>
      <w:r>
        <w:rPr>
          <w:rFonts w:hint="eastAsia" w:ascii="宋体" w:hAnsi="宋体" w:eastAsia="宋体" w:cs="宋体"/>
          <w:color w:val="auto"/>
          <w:sz w:val="22"/>
          <w:szCs w:val="22"/>
          <w:highlight w:val="none"/>
        </w:rPr>
        <w:t>）：</w:t>
      </w:r>
    </w:p>
    <w:p w14:paraId="039A3505">
      <w:pPr>
        <w:spacing w:line="360" w:lineRule="auto"/>
        <w:jc w:val="center"/>
        <w:rPr>
          <w:rFonts w:hint="eastAsia" w:ascii="宋体" w:hAnsi="宋体" w:eastAsia="宋体" w:cs="宋体"/>
          <w:color w:val="auto"/>
          <w:sz w:val="22"/>
          <w:szCs w:val="22"/>
          <w:highlight w:val="none"/>
        </w:rPr>
      </w:pPr>
      <w:r>
        <w:rPr>
          <w:rFonts w:hint="eastAsia" w:ascii="宋体" w:hAnsi="宋体" w:cs="宋体"/>
          <w:color w:val="auto"/>
          <w:kern w:val="0"/>
          <w:sz w:val="22"/>
          <w:szCs w:val="22"/>
          <w:highlight w:val="none"/>
          <w:lang w:val="en-US" w:eastAsia="zh-CN"/>
        </w:rPr>
        <w:t xml:space="preserve">                  </w:t>
      </w: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w:t>
      </w:r>
    </w:p>
    <w:p w14:paraId="77752A8F">
      <w:pPr>
        <w:spacing w:line="360" w:lineRule="auto"/>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w:t>
      </w:r>
    </w:p>
    <w:p w14:paraId="5200EE11">
      <w:pPr>
        <w:pStyle w:val="51"/>
        <w:ind w:left="860" w:hanging="440"/>
        <w:rPr>
          <w:rFonts w:hint="eastAsia" w:ascii="宋体" w:hAnsi="宋体" w:eastAsia="宋体" w:cs="宋体"/>
          <w:color w:val="auto"/>
          <w:sz w:val="22"/>
          <w:szCs w:val="22"/>
          <w:highlight w:val="none"/>
        </w:rPr>
      </w:pPr>
    </w:p>
    <w:p w14:paraId="4F3CDA82">
      <w:pPr>
        <w:pStyle w:val="51"/>
        <w:ind w:left="860" w:hanging="440"/>
        <w:rPr>
          <w:rFonts w:hint="eastAsia" w:ascii="宋体" w:hAnsi="宋体" w:eastAsia="宋体" w:cs="宋体"/>
          <w:color w:val="auto"/>
          <w:sz w:val="22"/>
          <w:szCs w:val="22"/>
          <w:highlight w:val="none"/>
        </w:rPr>
      </w:pPr>
    </w:p>
    <w:p w14:paraId="6AB8145A">
      <w:pPr>
        <w:pStyle w:val="51"/>
        <w:ind w:left="860" w:hanging="440"/>
        <w:rPr>
          <w:rFonts w:hint="eastAsia" w:ascii="宋体" w:hAnsi="宋体" w:eastAsia="宋体" w:cs="宋体"/>
          <w:color w:val="auto"/>
          <w:sz w:val="22"/>
          <w:szCs w:val="22"/>
          <w:highlight w:val="none"/>
        </w:rPr>
      </w:pPr>
    </w:p>
    <w:p w14:paraId="7B9318AF">
      <w:pPr>
        <w:pStyle w:val="51"/>
        <w:ind w:left="860" w:hanging="440"/>
        <w:rPr>
          <w:rFonts w:hint="eastAsia" w:ascii="宋体" w:hAnsi="宋体" w:eastAsia="宋体" w:cs="宋体"/>
          <w:color w:val="auto"/>
          <w:sz w:val="22"/>
          <w:szCs w:val="22"/>
          <w:highlight w:val="none"/>
        </w:rPr>
      </w:pPr>
    </w:p>
    <w:p w14:paraId="38E2161E">
      <w:pPr>
        <w:pStyle w:val="51"/>
        <w:ind w:left="860" w:hanging="440"/>
        <w:rPr>
          <w:rFonts w:hint="eastAsia" w:ascii="宋体" w:hAnsi="宋体" w:eastAsia="宋体" w:cs="宋体"/>
          <w:color w:val="auto"/>
          <w:sz w:val="22"/>
          <w:szCs w:val="22"/>
          <w:highlight w:val="none"/>
        </w:rPr>
      </w:pPr>
    </w:p>
    <w:p w14:paraId="4037A58F">
      <w:pPr>
        <w:pStyle w:val="51"/>
        <w:ind w:left="860" w:hanging="440"/>
        <w:rPr>
          <w:rFonts w:hint="eastAsia" w:ascii="宋体" w:hAnsi="宋体" w:eastAsia="宋体" w:cs="宋体"/>
          <w:color w:val="auto"/>
          <w:sz w:val="22"/>
          <w:szCs w:val="22"/>
          <w:highlight w:val="none"/>
        </w:rPr>
      </w:pPr>
    </w:p>
    <w:p w14:paraId="0656B7B1">
      <w:pPr>
        <w:pStyle w:val="51"/>
        <w:ind w:left="860" w:hanging="440"/>
        <w:rPr>
          <w:rFonts w:hint="eastAsia" w:ascii="宋体" w:hAnsi="宋体" w:eastAsia="宋体" w:cs="宋体"/>
          <w:color w:val="auto"/>
          <w:sz w:val="22"/>
          <w:szCs w:val="22"/>
          <w:highlight w:val="none"/>
        </w:rPr>
      </w:pPr>
    </w:p>
    <w:p w14:paraId="1B85ED8D">
      <w:pPr>
        <w:pStyle w:val="51"/>
        <w:ind w:left="860" w:hanging="440"/>
        <w:rPr>
          <w:rFonts w:hint="eastAsia" w:ascii="宋体" w:hAnsi="宋体" w:eastAsia="宋体" w:cs="宋体"/>
          <w:color w:val="auto"/>
          <w:sz w:val="22"/>
          <w:szCs w:val="22"/>
          <w:highlight w:val="none"/>
        </w:rPr>
      </w:pPr>
    </w:p>
    <w:p w14:paraId="4AC78CA6">
      <w:pPr>
        <w:pStyle w:val="51"/>
        <w:ind w:left="860" w:hanging="440"/>
        <w:rPr>
          <w:rFonts w:hint="eastAsia" w:ascii="宋体" w:hAnsi="宋体" w:eastAsia="宋体" w:cs="宋体"/>
          <w:color w:val="auto"/>
          <w:sz w:val="22"/>
          <w:szCs w:val="22"/>
          <w:highlight w:val="none"/>
        </w:rPr>
      </w:pPr>
    </w:p>
    <w:p w14:paraId="609D3670">
      <w:pPr>
        <w:pStyle w:val="51"/>
        <w:ind w:left="860" w:hanging="440"/>
        <w:rPr>
          <w:rFonts w:hint="eastAsia" w:ascii="宋体" w:hAnsi="宋体" w:eastAsia="宋体" w:cs="宋体"/>
          <w:color w:val="auto"/>
          <w:sz w:val="22"/>
          <w:szCs w:val="22"/>
          <w:highlight w:val="none"/>
        </w:rPr>
      </w:pPr>
    </w:p>
    <w:p w14:paraId="627E6A71">
      <w:pPr>
        <w:pStyle w:val="51"/>
        <w:ind w:left="860" w:hanging="440"/>
        <w:rPr>
          <w:rFonts w:hint="eastAsia" w:ascii="宋体" w:hAnsi="宋体" w:eastAsia="宋体" w:cs="宋体"/>
          <w:color w:val="auto"/>
          <w:sz w:val="22"/>
          <w:szCs w:val="22"/>
          <w:highlight w:val="none"/>
        </w:rPr>
      </w:pPr>
    </w:p>
    <w:p w14:paraId="6969C893">
      <w:pPr>
        <w:pStyle w:val="51"/>
        <w:ind w:left="860" w:hanging="440"/>
        <w:rPr>
          <w:rFonts w:hint="eastAsia" w:ascii="宋体" w:hAnsi="宋体" w:eastAsia="宋体" w:cs="宋体"/>
          <w:color w:val="auto"/>
          <w:sz w:val="22"/>
          <w:szCs w:val="22"/>
          <w:highlight w:val="none"/>
        </w:rPr>
      </w:pPr>
    </w:p>
    <w:p w14:paraId="3502EDC9">
      <w:pPr>
        <w:pStyle w:val="51"/>
        <w:ind w:left="860" w:hanging="440"/>
        <w:rPr>
          <w:rFonts w:hint="eastAsia" w:ascii="宋体" w:hAnsi="宋体" w:eastAsia="宋体" w:cs="宋体"/>
          <w:color w:val="auto"/>
          <w:sz w:val="22"/>
          <w:szCs w:val="22"/>
          <w:highlight w:val="none"/>
        </w:rPr>
      </w:pPr>
    </w:p>
    <w:p w14:paraId="31308E8A">
      <w:pPr>
        <w:pStyle w:val="51"/>
        <w:ind w:left="860" w:hanging="440"/>
        <w:rPr>
          <w:rFonts w:hint="eastAsia" w:ascii="宋体" w:hAnsi="宋体" w:eastAsia="宋体" w:cs="宋体"/>
          <w:color w:val="auto"/>
          <w:sz w:val="22"/>
          <w:szCs w:val="22"/>
          <w:highlight w:val="none"/>
        </w:rPr>
      </w:pPr>
    </w:p>
    <w:p w14:paraId="7D944C4A">
      <w:pPr>
        <w:pStyle w:val="51"/>
        <w:ind w:left="860" w:hanging="440"/>
        <w:rPr>
          <w:rFonts w:hint="eastAsia" w:ascii="宋体" w:hAnsi="宋体" w:eastAsia="宋体" w:cs="宋体"/>
          <w:color w:val="auto"/>
          <w:sz w:val="22"/>
          <w:szCs w:val="22"/>
          <w:highlight w:val="none"/>
        </w:rPr>
      </w:pPr>
    </w:p>
    <w:p w14:paraId="5B4E4807">
      <w:pPr>
        <w:pStyle w:val="51"/>
        <w:ind w:left="860" w:hanging="440"/>
        <w:rPr>
          <w:rFonts w:hint="eastAsia" w:ascii="宋体" w:hAnsi="宋体" w:eastAsia="宋体" w:cs="宋体"/>
          <w:color w:val="auto"/>
          <w:sz w:val="22"/>
          <w:szCs w:val="22"/>
          <w:highlight w:val="none"/>
        </w:rPr>
      </w:pPr>
    </w:p>
    <w:p w14:paraId="7E939DA2">
      <w:pP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br w:type="page"/>
      </w:r>
    </w:p>
    <w:p w14:paraId="639F90EF">
      <w:pPr>
        <w:pStyle w:val="22"/>
        <w:spacing w:line="460" w:lineRule="exact"/>
        <w:ind w:left="433" w:hanging="433" w:hangingChars="196"/>
        <w:outlineLvl w:val="1"/>
        <w:rPr>
          <w:rFonts w:hint="eastAsia" w:ascii="宋体" w:hAnsi="宋体" w:eastAsia="宋体" w:cs="宋体"/>
          <w:b/>
          <w:color w:val="auto"/>
          <w:sz w:val="22"/>
          <w:szCs w:val="22"/>
          <w:highlight w:val="none"/>
        </w:rPr>
      </w:pPr>
      <w:bookmarkStart w:id="29" w:name="_Toc5376"/>
      <w:r>
        <w:rPr>
          <w:rFonts w:hint="eastAsia" w:ascii="宋体" w:hAnsi="宋体" w:eastAsia="宋体" w:cs="宋体"/>
          <w:b/>
          <w:color w:val="auto"/>
          <w:sz w:val="22"/>
          <w:szCs w:val="22"/>
          <w:highlight w:val="none"/>
        </w:rPr>
        <w:t>附件二</w:t>
      </w:r>
      <w:bookmarkEnd w:id="29"/>
    </w:p>
    <w:p w14:paraId="7AE54F06">
      <w:pPr>
        <w:spacing w:line="460" w:lineRule="exact"/>
        <w:jc w:val="center"/>
        <w:outlineLvl w:val="2"/>
        <w:rPr>
          <w:rFonts w:hint="eastAsia" w:ascii="宋体" w:hAnsi="宋体" w:eastAsia="宋体" w:cs="宋体"/>
          <w:color w:val="auto"/>
          <w:sz w:val="28"/>
          <w:szCs w:val="28"/>
          <w:highlight w:val="none"/>
        </w:rPr>
      </w:pPr>
      <w:bookmarkStart w:id="30" w:name="_Toc983"/>
      <w:r>
        <w:rPr>
          <w:rFonts w:hint="eastAsia" w:ascii="宋体" w:hAnsi="宋体" w:eastAsia="宋体" w:cs="宋体"/>
          <w:b/>
          <w:bCs/>
          <w:color w:val="auto"/>
          <w:sz w:val="32"/>
          <w:szCs w:val="32"/>
          <w:highlight w:val="none"/>
        </w:rPr>
        <w:t>资格证明文件</w:t>
      </w:r>
      <w:bookmarkEnd w:id="30"/>
      <w:r>
        <w:rPr>
          <w:rFonts w:hint="eastAsia" w:ascii="宋体" w:hAnsi="宋体" w:eastAsia="宋体" w:cs="宋体"/>
          <w:color w:val="auto"/>
          <w:sz w:val="28"/>
          <w:szCs w:val="28"/>
          <w:highlight w:val="none"/>
        </w:rPr>
        <w:t xml:space="preserve"> </w:t>
      </w:r>
    </w:p>
    <w:p w14:paraId="5BE4FE4A">
      <w:pPr>
        <w:pStyle w:val="47"/>
        <w:keepNext w:val="0"/>
        <w:keepLines w:val="0"/>
        <w:pageBreakBefore w:val="0"/>
        <w:widowControl/>
        <w:numPr>
          <w:ilvl w:val="0"/>
          <w:numId w:val="0"/>
        </w:numPr>
        <w:tabs>
          <w:tab w:val="left" w:pos="630"/>
          <w:tab w:val="left" w:pos="840"/>
          <w:tab w:val="left" w:pos="1050"/>
        </w:tabs>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Fonts w:hint="eastAsia" w:cs="宋体"/>
          <w:b/>
          <w:bCs w:val="0"/>
          <w:color w:val="auto"/>
          <w:kern w:val="0"/>
          <w:sz w:val="32"/>
          <w:szCs w:val="32"/>
          <w:highlight w:val="none"/>
          <w:lang w:val="en-US" w:eastAsia="zh-CN" w:bidi="ar-SA"/>
        </w:rPr>
      </w:pPr>
    </w:p>
    <w:p w14:paraId="7B322BA1">
      <w:pPr>
        <w:pStyle w:val="47"/>
        <w:keepNext w:val="0"/>
        <w:keepLines w:val="0"/>
        <w:pageBreakBefore w:val="0"/>
        <w:widowControl/>
        <w:numPr>
          <w:ilvl w:val="0"/>
          <w:numId w:val="0"/>
        </w:numPr>
        <w:tabs>
          <w:tab w:val="left" w:pos="630"/>
          <w:tab w:val="left" w:pos="840"/>
          <w:tab w:val="left" w:pos="1050"/>
        </w:tabs>
        <w:kinsoku/>
        <w:wordWrap/>
        <w:overflowPunct/>
        <w:topLinePunct w:val="0"/>
        <w:autoSpaceDE/>
        <w:autoSpaceDN/>
        <w:bidi w:val="0"/>
        <w:adjustRightInd w:val="0"/>
        <w:snapToGrid w:val="0"/>
        <w:spacing w:before="0" w:beforeAutospacing="0" w:after="0" w:afterAutospacing="0" w:line="360" w:lineRule="auto"/>
        <w:jc w:val="center"/>
        <w:textAlignment w:val="auto"/>
        <w:outlineLvl w:val="3"/>
        <w:rPr>
          <w:rFonts w:hint="eastAsia" w:ascii="宋体" w:hAnsi="宋体" w:eastAsia="宋体" w:cs="宋体"/>
          <w:b/>
          <w:bCs w:val="0"/>
          <w:color w:val="auto"/>
          <w:sz w:val="28"/>
          <w:szCs w:val="28"/>
          <w:highlight w:val="none"/>
        </w:rPr>
      </w:pPr>
      <w:r>
        <w:rPr>
          <w:rFonts w:hint="eastAsia" w:cs="宋体"/>
          <w:b/>
          <w:bCs w:val="0"/>
          <w:color w:val="auto"/>
          <w:kern w:val="0"/>
          <w:sz w:val="28"/>
          <w:szCs w:val="28"/>
          <w:highlight w:val="none"/>
          <w:lang w:val="en-US" w:eastAsia="zh-CN" w:bidi="ar-SA"/>
        </w:rPr>
        <w:t>1、</w:t>
      </w:r>
      <w:r>
        <w:rPr>
          <w:rFonts w:hint="eastAsia" w:ascii="宋体" w:hAnsi="宋体" w:eastAsia="宋体" w:cs="宋体"/>
          <w:b/>
          <w:bCs w:val="0"/>
          <w:color w:val="auto"/>
          <w:kern w:val="0"/>
          <w:sz w:val="28"/>
          <w:szCs w:val="28"/>
          <w:highlight w:val="none"/>
          <w:lang w:val="en-US" w:eastAsia="zh-CN" w:bidi="ar-SA"/>
        </w:rPr>
        <w:t>资格条件承诺函</w:t>
      </w:r>
    </w:p>
    <w:p w14:paraId="4686A749">
      <w:pPr>
        <w:shd w:val="clear" w:color="auto" w:fill="FFFFFF"/>
        <w:snapToGrid w:val="0"/>
        <w:spacing w:line="44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温州市公安局交通管理局</w:t>
      </w:r>
      <w:r>
        <w:rPr>
          <w:rFonts w:hint="eastAsia" w:ascii="宋体" w:hAnsi="宋体" w:eastAsia="宋体" w:cs="宋体"/>
          <w:color w:val="auto"/>
          <w:sz w:val="22"/>
          <w:szCs w:val="22"/>
          <w:highlight w:val="none"/>
        </w:rPr>
        <w:t>、温州历程招标有限公司：</w:t>
      </w:r>
    </w:p>
    <w:p w14:paraId="4EBB0EC0">
      <w:pPr>
        <w:widowControl/>
        <w:spacing w:line="44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我方参与</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（采购项目名称、编号）投标，现郑重承诺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kern w:val="0"/>
          <w:sz w:val="22"/>
          <w:szCs w:val="22"/>
          <w:highlight w:val="none"/>
        </w:rPr>
        <w:t>参加本次政府采购活动前3年内</w:t>
      </w:r>
      <w:r>
        <w:rPr>
          <w:rFonts w:hint="eastAsia" w:ascii="宋体" w:hAnsi="宋体" w:eastAsia="宋体" w:cs="宋体"/>
          <w:color w:val="auto"/>
          <w:sz w:val="22"/>
          <w:szCs w:val="22"/>
          <w:highlight w:val="none"/>
        </w:rPr>
        <w:t>：</w:t>
      </w:r>
    </w:p>
    <w:p w14:paraId="0B7557DD">
      <w:pPr>
        <w:widowControl/>
        <w:spacing w:line="44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1、我方符合《中华人民共和国政府采购法》第22条规定的资格条件，即</w:t>
      </w:r>
    </w:p>
    <w:p w14:paraId="20C00D12">
      <w:pPr>
        <w:widowControl/>
        <w:spacing w:line="44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（1）我方具有独立承担民事责任的能力；</w:t>
      </w:r>
    </w:p>
    <w:p w14:paraId="79AA11C8">
      <w:pPr>
        <w:widowControl/>
        <w:spacing w:line="44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（2）我方具有良好的商业信誉和健全的财务会计制度；</w:t>
      </w:r>
    </w:p>
    <w:p w14:paraId="3AC8ABE3">
      <w:pPr>
        <w:widowControl/>
        <w:spacing w:line="44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（3）我方具有履行合同所必需的设备和专业技术能力；</w:t>
      </w:r>
    </w:p>
    <w:p w14:paraId="39D97623">
      <w:pPr>
        <w:widowControl/>
        <w:spacing w:line="44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（4）我方有依法缴纳税收和社会保障资金的良好记录；</w:t>
      </w:r>
    </w:p>
    <w:p w14:paraId="48819880">
      <w:pPr>
        <w:widowControl/>
        <w:spacing w:line="44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我方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w:t>
      </w:r>
    </w:p>
    <w:p w14:paraId="47E8B80D">
      <w:pPr>
        <w:widowControl/>
        <w:spacing w:line="44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2、到本项目投标截止时间为止，我方未被“信用中国（</w:t>
      </w:r>
      <w:r>
        <w:rPr>
          <w:rFonts w:hint="eastAsia" w:ascii="宋体" w:hAnsi="宋体" w:eastAsia="宋体" w:cs="宋体"/>
          <w:color w:val="auto"/>
          <w:kern w:val="0"/>
          <w:sz w:val="22"/>
          <w:szCs w:val="22"/>
          <w:highlight w:val="none"/>
        </w:rPr>
        <w:fldChar w:fldCharType="begin"/>
      </w:r>
      <w:r>
        <w:rPr>
          <w:rFonts w:hint="eastAsia" w:ascii="宋体" w:hAnsi="宋体" w:eastAsia="宋体" w:cs="宋体"/>
          <w:color w:val="auto"/>
          <w:kern w:val="0"/>
          <w:sz w:val="22"/>
          <w:szCs w:val="22"/>
          <w:highlight w:val="none"/>
        </w:rPr>
        <w:instrText xml:space="preserve"> HYPERLINK "http://www.creditchina.gov.cn）、" </w:instrText>
      </w:r>
      <w:r>
        <w:rPr>
          <w:rFonts w:hint="eastAsia" w:ascii="宋体" w:hAnsi="宋体" w:eastAsia="宋体" w:cs="宋体"/>
          <w:color w:val="auto"/>
          <w:kern w:val="0"/>
          <w:sz w:val="22"/>
          <w:szCs w:val="22"/>
          <w:highlight w:val="none"/>
        </w:rPr>
        <w:fldChar w:fldCharType="separate"/>
      </w:r>
      <w:r>
        <w:rPr>
          <w:rFonts w:hint="eastAsia" w:ascii="宋体" w:hAnsi="宋体" w:eastAsia="宋体" w:cs="宋体"/>
          <w:color w:val="auto"/>
          <w:kern w:val="0"/>
          <w:sz w:val="22"/>
          <w:szCs w:val="22"/>
          <w:highlight w:val="none"/>
        </w:rPr>
        <w:t>www.creditchina.gov.cn）、</w:t>
      </w:r>
      <w:r>
        <w:rPr>
          <w:rFonts w:hint="eastAsia" w:ascii="宋体" w:hAnsi="宋体" w:eastAsia="宋体" w:cs="宋体"/>
          <w:color w:val="auto"/>
          <w:kern w:val="0"/>
          <w:sz w:val="22"/>
          <w:szCs w:val="22"/>
          <w:highlight w:val="none"/>
        </w:rPr>
        <w:fldChar w:fldCharType="end"/>
      </w:r>
      <w:r>
        <w:rPr>
          <w:rFonts w:hint="eastAsia" w:ascii="宋体" w:hAnsi="宋体" w:eastAsia="宋体" w:cs="宋体"/>
          <w:color w:val="auto"/>
          <w:kern w:val="0"/>
          <w:sz w:val="22"/>
          <w:szCs w:val="22"/>
          <w:highlight w:val="none"/>
        </w:rPr>
        <w:t xml:space="preserve"> 中国政府采购网（www.ccgp.gov.cn）列入失信被执行人名单、重大税收违法案件当事人名单、政府采购严重违法失信行为记录名单。</w:t>
      </w:r>
    </w:p>
    <w:p w14:paraId="2C8DAD4F">
      <w:pPr>
        <w:widowControl/>
        <w:spacing w:line="44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3、我方与参加本次项目同一合同项下政府采购活动的其他供应商不存在单位负责人为同一人或者直接控股、管理关系。</w:t>
      </w:r>
    </w:p>
    <w:p w14:paraId="7E08072E">
      <w:pPr>
        <w:widowControl/>
        <w:spacing w:line="44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4、我方</w:t>
      </w:r>
      <w:r>
        <w:rPr>
          <w:rFonts w:hint="eastAsia" w:ascii="宋体" w:hAnsi="宋体" w:eastAsia="宋体" w:cs="宋体"/>
          <w:color w:val="auto"/>
          <w:kern w:val="0"/>
          <w:sz w:val="22"/>
          <w:szCs w:val="22"/>
          <w:highlight w:val="none"/>
        </w:rPr>
        <w:t>不属于公益一类事业单位。</w:t>
      </w:r>
    </w:p>
    <w:p w14:paraId="7B92110A">
      <w:pPr>
        <w:widowControl/>
        <w:snapToGrid w:val="0"/>
        <w:spacing w:line="440" w:lineRule="exact"/>
        <w:ind w:firstLine="440" w:firstLineChars="200"/>
        <w:jc w:val="left"/>
        <w:rPr>
          <w:rFonts w:hint="eastAsia" w:ascii="宋体" w:hAnsi="宋体" w:eastAsia="宋体" w:cs="宋体"/>
          <w:color w:val="auto"/>
          <w:kern w:val="0"/>
          <w:sz w:val="22"/>
          <w:szCs w:val="22"/>
          <w:highlight w:val="none"/>
          <w:lang w:val="en-US" w:eastAsia="zh-CN"/>
        </w:rPr>
      </w:pPr>
    </w:p>
    <w:p w14:paraId="18139D80">
      <w:pPr>
        <w:widowControl/>
        <w:spacing w:line="44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以上承诺如有虚假，</w:t>
      </w:r>
      <w:r>
        <w:rPr>
          <w:rFonts w:hint="eastAsia" w:ascii="宋体" w:hAnsi="宋体" w:eastAsia="宋体" w:cs="宋体"/>
          <w:color w:val="auto"/>
          <w:sz w:val="22"/>
          <w:szCs w:val="22"/>
          <w:highlight w:val="none"/>
        </w:rPr>
        <w:t>愿接受取消</w:t>
      </w:r>
      <w:r>
        <w:rPr>
          <w:rFonts w:hint="eastAsia" w:ascii="宋体" w:hAnsi="宋体" w:eastAsia="宋体" w:cs="宋体"/>
          <w:color w:val="auto"/>
          <w:kern w:val="0"/>
          <w:sz w:val="22"/>
          <w:szCs w:val="22"/>
          <w:highlight w:val="none"/>
        </w:rPr>
        <w:t>我方任何资格（投标/成交/签订合同）</w:t>
      </w:r>
      <w:r>
        <w:rPr>
          <w:rFonts w:hint="eastAsia" w:ascii="宋体" w:hAnsi="宋体" w:eastAsia="宋体" w:cs="宋体"/>
          <w:color w:val="auto"/>
          <w:sz w:val="22"/>
          <w:szCs w:val="22"/>
          <w:highlight w:val="none"/>
        </w:rPr>
        <w:t>及其他任何形式的处理。</w:t>
      </w:r>
    </w:p>
    <w:p w14:paraId="518EED2B">
      <w:pPr>
        <w:widowControl/>
        <w:snapToGrid w:val="0"/>
        <w:spacing w:line="440" w:lineRule="exact"/>
        <w:ind w:firstLine="440" w:firstLineChars="200"/>
        <w:jc w:val="left"/>
        <w:rPr>
          <w:rFonts w:hint="eastAsia" w:ascii="宋体" w:hAnsi="宋体" w:eastAsia="宋体" w:cs="宋体"/>
          <w:color w:val="auto"/>
          <w:kern w:val="0"/>
          <w:sz w:val="22"/>
          <w:szCs w:val="22"/>
          <w:highlight w:val="none"/>
        </w:rPr>
      </w:pPr>
    </w:p>
    <w:p w14:paraId="1EA6756C">
      <w:pPr>
        <w:snapToGrid w:val="0"/>
        <w:spacing w:line="360" w:lineRule="auto"/>
        <w:ind w:firstLine="5060" w:firstLineChars="2300"/>
        <w:rPr>
          <w:rFonts w:hint="eastAsia" w:ascii="宋体" w:hAnsi="宋体" w:eastAsia="宋体" w:cs="宋体"/>
          <w:color w:val="auto"/>
          <w:kern w:val="0"/>
          <w:sz w:val="22"/>
          <w:szCs w:val="22"/>
          <w:highlight w:val="none"/>
          <w:lang w:val="zh-CN"/>
        </w:rPr>
      </w:pPr>
    </w:p>
    <w:p w14:paraId="4520E927">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投标人全称（</w:t>
      </w:r>
      <w:r>
        <w:rPr>
          <w:rFonts w:hint="eastAsia" w:ascii="宋体" w:hAnsi="宋体" w:cs="宋体"/>
          <w:color w:val="auto"/>
          <w:sz w:val="22"/>
          <w:szCs w:val="22"/>
          <w:highlight w:val="none"/>
          <w:lang w:eastAsia="zh-CN"/>
        </w:rPr>
        <w:t>盖章或电子盖章</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 xml:space="preserve"> ：</w:t>
      </w:r>
    </w:p>
    <w:p w14:paraId="4BCD23AB">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p>
    <w:p w14:paraId="149169F3">
      <w:pPr>
        <w:widowControl/>
        <w:snapToGrid w:val="0"/>
        <w:spacing w:line="460" w:lineRule="exact"/>
        <w:ind w:firstLine="440" w:firstLineChars="200"/>
        <w:jc w:val="left"/>
        <w:rPr>
          <w:rFonts w:hint="eastAsia" w:ascii="宋体" w:hAnsi="宋体" w:eastAsia="宋体" w:cs="宋体"/>
          <w:color w:val="auto"/>
          <w:kern w:val="0"/>
          <w:sz w:val="22"/>
          <w:szCs w:val="22"/>
          <w:highlight w:val="none"/>
        </w:rPr>
      </w:pPr>
    </w:p>
    <w:p w14:paraId="7EB2A377">
      <w:pPr>
        <w:pStyle w:val="22"/>
        <w:spacing w:line="460" w:lineRule="exact"/>
        <w:ind w:left="479" w:leftChars="228" w:firstLine="5280" w:firstLineChars="24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日期：     年  月  日</w:t>
      </w:r>
    </w:p>
    <w:p w14:paraId="216F252E">
      <w:pPr>
        <w:rPr>
          <w:rFonts w:hint="eastAsia" w:ascii="宋体" w:hAnsi="宋体" w:eastAsia="宋体" w:cs="宋体"/>
          <w:color w:val="auto"/>
          <w:highlight w:val="none"/>
        </w:rPr>
      </w:pPr>
    </w:p>
    <w:p w14:paraId="5071F04B">
      <w:pPr>
        <w:pStyle w:val="47"/>
        <w:keepNext w:val="0"/>
        <w:keepLines w:val="0"/>
        <w:pageBreakBefore w:val="0"/>
        <w:widowControl/>
        <w:numPr>
          <w:ilvl w:val="0"/>
          <w:numId w:val="0"/>
        </w:numPr>
        <w:tabs>
          <w:tab w:val="left" w:pos="630"/>
          <w:tab w:val="left" w:pos="840"/>
          <w:tab w:val="left" w:pos="1050"/>
        </w:tabs>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eastAsia" w:ascii="宋体" w:hAnsi="宋体" w:eastAsia="宋体" w:cs="宋体"/>
          <w:b/>
          <w:bCs w:val="0"/>
          <w:color w:val="auto"/>
          <w:sz w:val="28"/>
          <w:szCs w:val="28"/>
          <w:highlight w:val="none"/>
        </w:rPr>
      </w:pPr>
    </w:p>
    <w:p w14:paraId="391780FF">
      <w:pPr>
        <w:rPr>
          <w:rFonts w:hint="eastAsia" w:ascii="宋体" w:hAnsi="宋体" w:eastAsia="宋体" w:cs="宋体"/>
          <w:b/>
          <w:bCs w:val="0"/>
          <w:color w:val="auto"/>
          <w:kern w:val="0"/>
          <w:sz w:val="32"/>
          <w:szCs w:val="32"/>
          <w:highlight w:val="none"/>
          <w:lang w:val="en-US" w:eastAsia="zh-CN" w:bidi="ar-SA"/>
        </w:rPr>
      </w:pPr>
      <w:r>
        <w:rPr>
          <w:rFonts w:hint="eastAsia" w:ascii="宋体" w:hAnsi="宋体" w:eastAsia="宋体" w:cs="宋体"/>
          <w:b/>
          <w:bCs w:val="0"/>
          <w:color w:val="auto"/>
          <w:kern w:val="0"/>
          <w:sz w:val="32"/>
          <w:szCs w:val="32"/>
          <w:highlight w:val="none"/>
          <w:lang w:val="en-US" w:eastAsia="zh-CN" w:bidi="ar-SA"/>
        </w:rPr>
        <w:br w:type="page"/>
      </w:r>
    </w:p>
    <w:p w14:paraId="288FA828">
      <w:pPr>
        <w:pStyle w:val="47"/>
        <w:keepNext w:val="0"/>
        <w:keepLines w:val="0"/>
        <w:pageBreakBefore w:val="0"/>
        <w:widowControl/>
        <w:numPr>
          <w:ilvl w:val="0"/>
          <w:numId w:val="0"/>
        </w:numPr>
        <w:tabs>
          <w:tab w:val="left" w:pos="630"/>
          <w:tab w:val="left" w:pos="840"/>
          <w:tab w:val="left" w:pos="1050"/>
        </w:tabs>
        <w:kinsoku/>
        <w:wordWrap/>
        <w:overflowPunct/>
        <w:topLinePunct w:val="0"/>
        <w:autoSpaceDE/>
        <w:autoSpaceDN/>
        <w:bidi w:val="0"/>
        <w:adjustRightInd w:val="0"/>
        <w:snapToGrid w:val="0"/>
        <w:spacing w:before="0" w:beforeAutospacing="0" w:after="0" w:afterAutospacing="0" w:line="360" w:lineRule="auto"/>
        <w:jc w:val="center"/>
        <w:textAlignment w:val="auto"/>
        <w:outlineLvl w:val="3"/>
        <w:rPr>
          <w:rFonts w:hint="eastAsia" w:cs="宋体"/>
          <w:b/>
          <w:bCs w:val="0"/>
          <w:color w:val="auto"/>
          <w:kern w:val="0"/>
          <w:sz w:val="28"/>
          <w:szCs w:val="28"/>
          <w:highlight w:val="none"/>
          <w:lang w:val="en-US" w:eastAsia="zh-CN" w:bidi="ar-SA"/>
        </w:rPr>
      </w:pPr>
      <w:r>
        <w:rPr>
          <w:rFonts w:hint="eastAsia" w:cs="宋体"/>
          <w:b/>
          <w:bCs w:val="0"/>
          <w:color w:val="auto"/>
          <w:kern w:val="0"/>
          <w:sz w:val="28"/>
          <w:szCs w:val="28"/>
          <w:highlight w:val="none"/>
          <w:lang w:val="en-US" w:eastAsia="zh-CN" w:bidi="ar-SA"/>
        </w:rPr>
        <w:t>2、有效营业执照</w:t>
      </w:r>
    </w:p>
    <w:p w14:paraId="7B83F308">
      <w:pPr>
        <w:pStyle w:val="47"/>
        <w:tabs>
          <w:tab w:val="left" w:pos="630"/>
          <w:tab w:val="left" w:pos="840"/>
          <w:tab w:val="left" w:pos="1050"/>
        </w:tabs>
        <w:adjustRightInd w:val="0"/>
        <w:snapToGrid w:val="0"/>
        <w:spacing w:before="0" w:beforeAutospacing="0" w:after="0" w:afterAutospacing="0" w:line="360" w:lineRule="auto"/>
        <w:ind w:left="420"/>
        <w:rPr>
          <w:rFonts w:hint="eastAsia" w:ascii="宋体" w:hAnsi="宋体" w:eastAsia="宋体" w:cs="宋体"/>
          <w:bCs/>
          <w:color w:val="auto"/>
          <w:sz w:val="24"/>
          <w:szCs w:val="24"/>
          <w:highlight w:val="none"/>
        </w:rPr>
      </w:pPr>
    </w:p>
    <w:p w14:paraId="1FAEFF30">
      <w:pPr>
        <w:pStyle w:val="47"/>
        <w:tabs>
          <w:tab w:val="left" w:pos="630"/>
          <w:tab w:val="left" w:pos="840"/>
          <w:tab w:val="left" w:pos="1050"/>
        </w:tabs>
        <w:adjustRightInd w:val="0"/>
        <w:snapToGrid w:val="0"/>
        <w:spacing w:before="0" w:beforeAutospacing="0" w:after="0" w:afterAutospacing="0" w:line="360" w:lineRule="auto"/>
        <w:ind w:left="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投标人须在投标文件中出具符合以下情况的证明材料复印件（五选一）：</w:t>
      </w:r>
    </w:p>
    <w:p w14:paraId="4FA2A649">
      <w:pPr>
        <w:pStyle w:val="47"/>
        <w:numPr>
          <w:ilvl w:val="0"/>
          <w:numId w:val="0"/>
        </w:numPr>
        <w:tabs>
          <w:tab w:val="left" w:pos="312"/>
        </w:tabs>
        <w:adjustRightInd w:val="0"/>
        <w:snapToGrid w:val="0"/>
        <w:spacing w:before="0" w:beforeAutospacing="0" w:after="0" w:afterAutospacing="0" w:line="360" w:lineRule="auto"/>
        <w:ind w:left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①</w:t>
      </w:r>
      <w:r>
        <w:rPr>
          <w:rFonts w:hint="eastAsia" w:ascii="宋体" w:hAnsi="宋体" w:eastAsia="宋体" w:cs="宋体"/>
          <w:bCs/>
          <w:color w:val="auto"/>
          <w:sz w:val="22"/>
          <w:szCs w:val="22"/>
          <w:highlight w:val="none"/>
        </w:rPr>
        <w:t>如投标人是企业（包括合伙企业），提供在工商部门注册的有效“企业法人营业执照”或“营业执照”；</w:t>
      </w:r>
    </w:p>
    <w:p w14:paraId="3BD007F8">
      <w:pPr>
        <w:pStyle w:val="47"/>
        <w:numPr>
          <w:ilvl w:val="0"/>
          <w:numId w:val="0"/>
        </w:numPr>
        <w:tabs>
          <w:tab w:val="left" w:pos="312"/>
        </w:tabs>
        <w:adjustRightInd w:val="0"/>
        <w:snapToGrid w:val="0"/>
        <w:spacing w:before="0" w:beforeAutospacing="0" w:after="0" w:afterAutospacing="0" w:line="360" w:lineRule="auto"/>
        <w:ind w:left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②</w:t>
      </w:r>
      <w:r>
        <w:rPr>
          <w:rFonts w:hint="eastAsia" w:ascii="宋体" w:hAnsi="宋体" w:eastAsia="宋体" w:cs="宋体"/>
          <w:bCs/>
          <w:color w:val="auto"/>
          <w:sz w:val="22"/>
          <w:szCs w:val="22"/>
          <w:highlight w:val="none"/>
        </w:rPr>
        <w:t>如投标人是事业单位，提供有效的“事业单位法人证书”；</w:t>
      </w:r>
    </w:p>
    <w:p w14:paraId="6B6DBD48">
      <w:pPr>
        <w:pStyle w:val="47"/>
        <w:numPr>
          <w:ilvl w:val="0"/>
          <w:numId w:val="0"/>
        </w:numPr>
        <w:tabs>
          <w:tab w:val="left" w:pos="312"/>
        </w:tabs>
        <w:adjustRightInd w:val="0"/>
        <w:snapToGrid w:val="0"/>
        <w:spacing w:before="0" w:beforeAutospacing="0" w:after="0" w:afterAutospacing="0" w:line="360" w:lineRule="auto"/>
        <w:ind w:left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③</w:t>
      </w:r>
      <w:r>
        <w:rPr>
          <w:rFonts w:hint="eastAsia" w:ascii="宋体" w:hAnsi="宋体" w:eastAsia="宋体" w:cs="宋体"/>
          <w:bCs/>
          <w:color w:val="auto"/>
          <w:sz w:val="22"/>
          <w:szCs w:val="22"/>
          <w:highlight w:val="none"/>
        </w:rPr>
        <w:t>如投标人是非企业专业服务机构的，提供执业许可证等证明文件；</w:t>
      </w:r>
    </w:p>
    <w:p w14:paraId="046D13B1">
      <w:pPr>
        <w:pStyle w:val="47"/>
        <w:numPr>
          <w:ilvl w:val="0"/>
          <w:numId w:val="0"/>
        </w:numPr>
        <w:tabs>
          <w:tab w:val="left" w:pos="312"/>
        </w:tabs>
        <w:adjustRightInd w:val="0"/>
        <w:snapToGrid w:val="0"/>
        <w:spacing w:before="0" w:beforeAutospacing="0" w:after="0" w:afterAutospacing="0" w:line="360" w:lineRule="auto"/>
        <w:ind w:left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④</w:t>
      </w:r>
      <w:r>
        <w:rPr>
          <w:rFonts w:hint="eastAsia" w:ascii="宋体" w:hAnsi="宋体" w:eastAsia="宋体" w:cs="宋体"/>
          <w:bCs/>
          <w:color w:val="auto"/>
          <w:sz w:val="22"/>
          <w:szCs w:val="22"/>
          <w:highlight w:val="none"/>
        </w:rPr>
        <w:t>如投标人是个体工商户，提供有效的“个体工商户营业执照”；</w:t>
      </w:r>
    </w:p>
    <w:p w14:paraId="59E356DA">
      <w:pPr>
        <w:pStyle w:val="47"/>
        <w:numPr>
          <w:ilvl w:val="0"/>
          <w:numId w:val="0"/>
        </w:numPr>
        <w:tabs>
          <w:tab w:val="left" w:pos="312"/>
        </w:tabs>
        <w:adjustRightInd w:val="0"/>
        <w:snapToGrid w:val="0"/>
        <w:spacing w:before="0" w:beforeAutospacing="0" w:after="0" w:afterAutospacing="0" w:line="360" w:lineRule="auto"/>
        <w:ind w:left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lang w:val="en-US" w:eastAsia="zh-CN"/>
        </w:rPr>
        <w:t>⑤</w:t>
      </w:r>
      <w:r>
        <w:rPr>
          <w:rFonts w:hint="eastAsia" w:ascii="宋体" w:hAnsi="宋体" w:eastAsia="宋体" w:cs="宋体"/>
          <w:bCs/>
          <w:color w:val="auto"/>
          <w:sz w:val="22"/>
          <w:szCs w:val="22"/>
          <w:highlight w:val="none"/>
        </w:rPr>
        <w:t>如投标人是自然人，提供有效的自然人身份证明（居民身份证正反面或公安机关出具的临时居民身份证正反面或港澳台胞证或护照）。</w:t>
      </w:r>
    </w:p>
    <w:p w14:paraId="42FD4E5D">
      <w:pPr>
        <w:pStyle w:val="47"/>
        <w:tabs>
          <w:tab w:val="left" w:pos="312"/>
        </w:tabs>
        <w:adjustRightInd w:val="0"/>
        <w:snapToGrid w:val="0"/>
        <w:spacing w:before="0" w:beforeAutospacing="0" w:after="0" w:afterAutospacing="0" w:line="360" w:lineRule="auto"/>
        <w:rPr>
          <w:rFonts w:hint="eastAsia" w:ascii="宋体" w:hAnsi="宋体" w:eastAsia="宋体" w:cs="宋体"/>
          <w:bCs/>
          <w:color w:val="auto"/>
          <w:sz w:val="22"/>
          <w:szCs w:val="22"/>
          <w:highlight w:val="none"/>
        </w:rPr>
      </w:pPr>
    </w:p>
    <w:p w14:paraId="240E2CFC">
      <w:pPr>
        <w:pStyle w:val="218"/>
        <w:tabs>
          <w:tab w:val="left" w:pos="1212"/>
          <w:tab w:val="left" w:pos="3888"/>
        </w:tabs>
        <w:snapToGrid w:val="0"/>
        <w:spacing w:line="360" w:lineRule="auto"/>
        <w:ind w:firstLine="4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4ECD6D9D">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64DC216C">
      <w:pPr>
        <w:rPr>
          <w:rFonts w:hint="eastAsia" w:ascii="宋体" w:hAnsi="宋体" w:eastAsia="宋体" w:cs="宋体"/>
          <w:color w:val="auto"/>
          <w:highlight w:val="none"/>
        </w:rPr>
      </w:pPr>
    </w:p>
    <w:p w14:paraId="5A4C8883">
      <w:pPr>
        <w:pStyle w:val="47"/>
        <w:keepNext w:val="0"/>
        <w:keepLines w:val="0"/>
        <w:pageBreakBefore w:val="0"/>
        <w:widowControl/>
        <w:numPr>
          <w:ilvl w:val="0"/>
          <w:numId w:val="0"/>
        </w:numPr>
        <w:tabs>
          <w:tab w:val="left" w:pos="630"/>
          <w:tab w:val="left" w:pos="840"/>
          <w:tab w:val="left" w:pos="1050"/>
        </w:tabs>
        <w:kinsoku/>
        <w:wordWrap/>
        <w:overflowPunct/>
        <w:topLinePunct w:val="0"/>
        <w:autoSpaceDE/>
        <w:autoSpaceDN/>
        <w:bidi w:val="0"/>
        <w:adjustRightInd w:val="0"/>
        <w:snapToGrid w:val="0"/>
        <w:spacing w:before="0" w:beforeAutospacing="0" w:after="0" w:afterAutospacing="0" w:line="360" w:lineRule="auto"/>
        <w:jc w:val="center"/>
        <w:textAlignment w:val="auto"/>
        <w:outlineLvl w:val="3"/>
        <w:rPr>
          <w:rFonts w:hint="eastAsia" w:cs="宋体"/>
          <w:b/>
          <w:bCs w:val="0"/>
          <w:color w:val="auto"/>
          <w:kern w:val="0"/>
          <w:sz w:val="28"/>
          <w:szCs w:val="28"/>
          <w:highlight w:val="none"/>
          <w:lang w:val="en-US" w:eastAsia="zh-CN" w:bidi="ar-SA"/>
        </w:rPr>
      </w:pPr>
      <w:r>
        <w:rPr>
          <w:rFonts w:hint="eastAsia" w:cs="宋体"/>
          <w:b/>
          <w:bCs w:val="0"/>
          <w:color w:val="auto"/>
          <w:kern w:val="0"/>
          <w:sz w:val="28"/>
          <w:szCs w:val="28"/>
          <w:highlight w:val="none"/>
          <w:lang w:val="en-US" w:eastAsia="zh-CN" w:bidi="ar-SA"/>
        </w:rPr>
        <w:t>3、投标人信用查询</w:t>
      </w:r>
    </w:p>
    <w:p w14:paraId="21CCA5E9">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1、投标人信用信息查询的查询渠道：“信用中国”(www.creditchina.gov.cn)；“中国政府采购网”（http://www.ccgp.gov.cn/）；</w:t>
      </w:r>
    </w:p>
    <w:p w14:paraId="01C2F5FB">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2、投标人信用信息查询截止时点：招标公告发布之日至投标截止时间前。</w:t>
      </w:r>
    </w:p>
    <w:p w14:paraId="20D84A01">
      <w:pPr>
        <w:tabs>
          <w:tab w:val="left" w:pos="360"/>
        </w:tabs>
        <w:spacing w:line="460" w:lineRule="exact"/>
        <w:ind w:firstLine="550" w:firstLineChars="250"/>
        <w:rPr>
          <w:rFonts w:hint="eastAsia" w:ascii="宋体" w:hAnsi="宋体" w:eastAsia="宋体" w:cs="宋体"/>
          <w:color w:val="auto"/>
          <w:sz w:val="22"/>
          <w:highlight w:val="none"/>
        </w:rPr>
      </w:pPr>
      <w:r>
        <w:rPr>
          <w:rFonts w:hint="eastAsia" w:ascii="宋体" w:hAnsi="宋体" w:eastAsia="宋体" w:cs="宋体"/>
          <w:color w:val="auto"/>
          <w:sz w:val="22"/>
          <w:highlight w:val="none"/>
        </w:rPr>
        <w:t>3、投标人信用信息查询记录和证据留存的具体方式：</w:t>
      </w:r>
      <w:r>
        <w:rPr>
          <w:rFonts w:hint="eastAsia" w:ascii="宋体" w:hAnsi="宋体" w:eastAsia="宋体" w:cs="宋体"/>
          <w:b/>
          <w:bCs/>
          <w:color w:val="auto"/>
          <w:sz w:val="22"/>
          <w:highlight w:val="none"/>
        </w:rPr>
        <w:t>网页截图</w:t>
      </w:r>
      <w:r>
        <w:rPr>
          <w:rFonts w:hint="eastAsia" w:ascii="宋体" w:hAnsi="宋体" w:eastAsia="宋体" w:cs="宋体"/>
          <w:color w:val="auto"/>
          <w:sz w:val="22"/>
          <w:highlight w:val="none"/>
        </w:rPr>
        <w:t>；</w:t>
      </w:r>
    </w:p>
    <w:p w14:paraId="0108351D">
      <w:pPr>
        <w:tabs>
          <w:tab w:val="left" w:pos="360"/>
        </w:tabs>
        <w:spacing w:line="460" w:lineRule="exact"/>
        <w:ind w:firstLine="550" w:firstLineChars="250"/>
        <w:rPr>
          <w:rFonts w:hint="eastAsia" w:ascii="宋体" w:hAnsi="宋体" w:eastAsia="宋体" w:cs="宋体"/>
          <w:b w:val="0"/>
          <w:bCs w:val="0"/>
          <w:color w:val="auto"/>
          <w:sz w:val="22"/>
          <w:szCs w:val="22"/>
          <w:highlight w:val="none"/>
          <w:u w:val="none"/>
        </w:rPr>
      </w:pPr>
      <w:r>
        <w:rPr>
          <w:rFonts w:hint="eastAsia" w:ascii="宋体" w:hAnsi="宋体" w:eastAsia="宋体" w:cs="宋体"/>
          <w:b w:val="0"/>
          <w:bCs w:val="0"/>
          <w:color w:val="auto"/>
          <w:sz w:val="22"/>
          <w:highlight w:val="none"/>
          <w:u w:val="none"/>
        </w:rPr>
        <w:t>4、信用信息的使用规则：对列入失信被执行人、重大税收违法案件当事人名单、政府采购严重违法失信行为记录名单的投标人，其投标将作无效标处理。</w:t>
      </w:r>
    </w:p>
    <w:p w14:paraId="763B5CAF">
      <w:pPr>
        <w:rPr>
          <w:rFonts w:hint="eastAsia" w:cs="宋体"/>
          <w:b/>
          <w:bCs w:val="0"/>
          <w:color w:val="auto"/>
          <w:kern w:val="0"/>
          <w:sz w:val="28"/>
          <w:szCs w:val="28"/>
          <w:highlight w:val="none"/>
          <w:lang w:val="en-US" w:eastAsia="zh-CN" w:bidi="ar-SA"/>
        </w:rPr>
      </w:pPr>
    </w:p>
    <w:p w14:paraId="704B4E0A">
      <w:pPr>
        <w:rPr>
          <w:rFonts w:hint="default" w:cs="宋体"/>
          <w:b/>
          <w:bCs w:val="0"/>
          <w:color w:val="auto"/>
          <w:kern w:val="0"/>
          <w:sz w:val="28"/>
          <w:szCs w:val="28"/>
          <w:highlight w:val="none"/>
          <w:lang w:val="en-US" w:eastAsia="zh-CN" w:bidi="ar-SA"/>
        </w:rPr>
      </w:pPr>
    </w:p>
    <w:p w14:paraId="00B97310">
      <w:pPr>
        <w:pStyle w:val="47"/>
        <w:keepNext w:val="0"/>
        <w:keepLines w:val="0"/>
        <w:pageBreakBefore w:val="0"/>
        <w:widowControl/>
        <w:numPr>
          <w:ilvl w:val="0"/>
          <w:numId w:val="0"/>
        </w:numPr>
        <w:tabs>
          <w:tab w:val="left" w:pos="630"/>
          <w:tab w:val="left" w:pos="840"/>
          <w:tab w:val="left" w:pos="1050"/>
        </w:tabs>
        <w:kinsoku/>
        <w:wordWrap/>
        <w:overflowPunct/>
        <w:topLinePunct w:val="0"/>
        <w:autoSpaceDE/>
        <w:autoSpaceDN/>
        <w:bidi w:val="0"/>
        <w:adjustRightInd w:val="0"/>
        <w:snapToGrid w:val="0"/>
        <w:spacing w:before="0" w:beforeAutospacing="0" w:after="0" w:afterAutospacing="0" w:line="360" w:lineRule="auto"/>
        <w:jc w:val="center"/>
        <w:textAlignment w:val="auto"/>
        <w:outlineLvl w:val="3"/>
        <w:rPr>
          <w:rFonts w:hint="eastAsia" w:cs="宋体"/>
          <w:b/>
          <w:bCs w:val="0"/>
          <w:color w:val="auto"/>
          <w:kern w:val="0"/>
          <w:sz w:val="28"/>
          <w:szCs w:val="28"/>
          <w:highlight w:val="none"/>
          <w:lang w:val="en-US" w:eastAsia="zh-CN" w:bidi="ar-SA"/>
        </w:rPr>
      </w:pPr>
      <w:r>
        <w:rPr>
          <w:rFonts w:hint="eastAsia" w:cs="宋体"/>
          <w:b/>
          <w:bCs w:val="0"/>
          <w:color w:val="auto"/>
          <w:kern w:val="0"/>
          <w:sz w:val="28"/>
          <w:szCs w:val="28"/>
          <w:highlight w:val="none"/>
          <w:lang w:val="en-US" w:eastAsia="zh-CN" w:bidi="ar-SA"/>
        </w:rPr>
        <w:t>4</w:t>
      </w:r>
      <w:r>
        <w:rPr>
          <w:rFonts w:hint="eastAsia" w:cs="宋体"/>
          <w:b/>
          <w:bCs w:val="0"/>
          <w:color w:val="auto"/>
          <w:kern w:val="0"/>
          <w:sz w:val="28"/>
          <w:szCs w:val="28"/>
          <w:highlight w:val="none"/>
          <w:lang w:val="en-US" w:eastAsia="zh-CN" w:bidi="ar-SA"/>
        </w:rPr>
        <w:t>、具备安全生产许可证、市政公用工程施工总承包贰级及以上资质或公路交通工程（公路安全设施分项）专业承包贰级及以上资质且在有效期内。</w:t>
      </w:r>
    </w:p>
    <w:p w14:paraId="1A074050">
      <w:pPr>
        <w:rPr>
          <w:rFonts w:hint="eastAsia" w:cs="宋体"/>
          <w:b/>
          <w:bCs w:val="0"/>
          <w:color w:val="auto"/>
          <w:kern w:val="0"/>
          <w:sz w:val="28"/>
          <w:szCs w:val="28"/>
          <w:highlight w:val="none"/>
          <w:lang w:val="en-US" w:eastAsia="zh-CN" w:bidi="ar-SA"/>
        </w:rPr>
      </w:pPr>
      <w:r>
        <w:rPr>
          <w:rFonts w:hint="eastAsia" w:cs="宋体"/>
          <w:b/>
          <w:bCs w:val="0"/>
          <w:color w:val="auto"/>
          <w:kern w:val="0"/>
          <w:sz w:val="28"/>
          <w:szCs w:val="28"/>
          <w:highlight w:val="none"/>
          <w:lang w:val="en-US" w:eastAsia="zh-CN" w:bidi="ar-SA"/>
        </w:rPr>
        <w:br w:type="page"/>
      </w:r>
    </w:p>
    <w:p w14:paraId="6F084415">
      <w:pPr>
        <w:pStyle w:val="47"/>
        <w:keepNext w:val="0"/>
        <w:keepLines w:val="0"/>
        <w:pageBreakBefore w:val="0"/>
        <w:widowControl/>
        <w:numPr>
          <w:ilvl w:val="0"/>
          <w:numId w:val="0"/>
        </w:numPr>
        <w:tabs>
          <w:tab w:val="left" w:pos="630"/>
          <w:tab w:val="left" w:pos="840"/>
          <w:tab w:val="left" w:pos="1050"/>
        </w:tabs>
        <w:kinsoku/>
        <w:wordWrap/>
        <w:overflowPunct/>
        <w:topLinePunct w:val="0"/>
        <w:autoSpaceDE/>
        <w:autoSpaceDN/>
        <w:bidi w:val="0"/>
        <w:adjustRightInd w:val="0"/>
        <w:snapToGrid w:val="0"/>
        <w:spacing w:before="0" w:beforeAutospacing="0" w:after="0" w:afterAutospacing="0" w:line="360" w:lineRule="auto"/>
        <w:jc w:val="center"/>
        <w:textAlignment w:val="auto"/>
        <w:outlineLvl w:val="3"/>
        <w:rPr>
          <w:rFonts w:hint="eastAsia" w:cs="宋体"/>
          <w:b/>
          <w:bCs w:val="0"/>
          <w:color w:val="auto"/>
          <w:kern w:val="0"/>
          <w:sz w:val="28"/>
          <w:szCs w:val="28"/>
          <w:highlight w:val="none"/>
          <w:lang w:val="en-US" w:eastAsia="zh-CN" w:bidi="ar-SA"/>
        </w:rPr>
      </w:pPr>
      <w:r>
        <w:rPr>
          <w:rFonts w:hint="eastAsia" w:cs="宋体"/>
          <w:b/>
          <w:bCs w:val="0"/>
          <w:color w:val="auto"/>
          <w:kern w:val="0"/>
          <w:sz w:val="28"/>
          <w:szCs w:val="28"/>
          <w:highlight w:val="none"/>
          <w:lang w:val="en-US" w:eastAsia="zh-CN" w:bidi="ar-SA"/>
        </w:rPr>
        <w:t>5、政府采购活动现场确认声明书</w:t>
      </w:r>
    </w:p>
    <w:p w14:paraId="6B3E8B6D">
      <w:pPr>
        <w:spacing w:line="460" w:lineRule="exact"/>
        <w:rPr>
          <w:rFonts w:hint="eastAsia" w:ascii="宋体" w:hAnsi="宋体" w:eastAsia="宋体" w:cs="宋体"/>
          <w:b/>
          <w:bCs/>
          <w:color w:val="auto"/>
          <w:sz w:val="22"/>
          <w:szCs w:val="22"/>
          <w:highlight w:val="none"/>
        </w:rPr>
      </w:pPr>
    </w:p>
    <w:p w14:paraId="53B5DF14">
      <w:pPr>
        <w:spacing w:line="460" w:lineRule="exac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lang w:eastAsia="zh-CN"/>
        </w:rPr>
        <w:t>温州历程招标有限公司</w:t>
      </w:r>
      <w:r>
        <w:rPr>
          <w:rFonts w:hint="eastAsia" w:ascii="宋体" w:hAnsi="宋体" w:eastAsia="宋体" w:cs="宋体"/>
          <w:color w:val="auto"/>
          <w:sz w:val="22"/>
          <w:szCs w:val="22"/>
          <w:highlight w:val="none"/>
        </w:rPr>
        <w:t>：</w:t>
      </w:r>
    </w:p>
    <w:p w14:paraId="6523E378">
      <w:pPr>
        <w:spacing w:line="4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本人经由</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（供应商名称）负责人</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（姓名）合法授权参加</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项目（编号：</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）采购活动，经与本单位法人代表（负责人）联系确认，现就有关公平竞争事项郑重声明如下：</w:t>
      </w:r>
    </w:p>
    <w:p w14:paraId="058AA20D">
      <w:pPr>
        <w:numPr>
          <w:ilvl w:val="0"/>
          <w:numId w:val="1"/>
        </w:numPr>
        <w:spacing w:line="46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本单位与招标人之间 □不存在利害关系 □存在下列利害关系：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A.投资关系    </w:t>
      </w:r>
    </w:p>
    <w:p w14:paraId="2AB8CCB6">
      <w:pPr>
        <w:spacing w:line="460" w:lineRule="exact"/>
        <w:ind w:firstLine="660" w:firstLineChars="3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B.行政隶属关系    </w:t>
      </w:r>
    </w:p>
    <w:p w14:paraId="7B8ECB0E">
      <w:pPr>
        <w:spacing w:line="460" w:lineRule="exact"/>
        <w:ind w:firstLine="660" w:firstLineChars="3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C.业务指导关系  </w:t>
      </w:r>
    </w:p>
    <w:p w14:paraId="4168F7A8">
      <w:pPr>
        <w:spacing w:line="460" w:lineRule="exact"/>
        <w:ind w:firstLine="660" w:firstLineChars="30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D.其他可能影响采购公正的利害关系</w:t>
      </w:r>
      <w:r>
        <w:rPr>
          <w:rStyle w:val="332"/>
          <w:rFonts w:hint="eastAsia" w:ascii="宋体" w:hAnsi="宋体" w:eastAsia="宋体" w:cs="宋体"/>
          <w:color w:val="auto"/>
          <w:sz w:val="22"/>
          <w:szCs w:val="22"/>
          <w:highlight w:val="none"/>
        </w:rPr>
        <w:t xml:space="preserve">（如有，请如实说明）                 </w:t>
      </w:r>
      <w:r>
        <w:rPr>
          <w:rFonts w:hint="eastAsia" w:ascii="宋体" w:hAnsi="宋体" w:eastAsia="宋体" w:cs="宋体"/>
          <w:color w:val="auto"/>
          <w:kern w:val="0"/>
          <w:sz w:val="22"/>
          <w:szCs w:val="22"/>
          <w:highlight w:val="none"/>
        </w:rPr>
        <w:t>。</w:t>
      </w:r>
    </w:p>
    <w:p w14:paraId="1BE2CE96">
      <w:pPr>
        <w:numPr>
          <w:ilvl w:val="0"/>
          <w:numId w:val="1"/>
        </w:numPr>
        <w:spacing w:line="460" w:lineRule="exac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现已清楚知道参加本项目采购活动的其他所有供应商名称，本单位 </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□与其他所有供应商之间均不存在利害关系 </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□与</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供应商名称）之间存在下列利害关系</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A.法定代表人或负责人或实际控制人是同一人</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B.法定代表人或负责人或实际控制人是夫妻关系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C.法定代表人或负责人或实际控制人是直系血亲关系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D.法定代表人或负责人或实际控制人存在三代以内旁系血亲关系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E.法定代表人或负责人或实际控制人存在近姻亲关系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F.法定代表人或负责人或实际控制人存在股份控制或实际控制关系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G.存在共同直接或间接投资设立子公司、联营企业和合营企业情况</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H.存在分级代理或代销关系、同一生产制造商关系、管理关系、重要业务（占主营业务收入50%以上）或重要财务往来关系（如融资）等其他实质性控制关系</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 xml:space="preserve">      I.其他利害关系情况</w:t>
      </w:r>
      <w:r>
        <w:rPr>
          <w:rFonts w:hint="eastAsia" w:ascii="宋体" w:hAnsi="宋体" w:eastAsia="宋体" w:cs="宋体"/>
          <w:color w:val="auto"/>
          <w:kern w:val="0"/>
          <w:sz w:val="22"/>
          <w:szCs w:val="22"/>
          <w:highlight w:val="none"/>
          <w:u w:val="single"/>
        </w:rPr>
        <w:t xml:space="preserve">                              。</w:t>
      </w:r>
    </w:p>
    <w:p w14:paraId="6EA57D21">
      <w:pPr>
        <w:pStyle w:val="22"/>
        <w:spacing w:line="460" w:lineRule="exact"/>
        <w:ind w:lef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（三）现已清楚知道并严格遵守政府采购法律法规和现场纪律</w:t>
      </w:r>
    </w:p>
    <w:p w14:paraId="70FC6322">
      <w:pPr>
        <w:pStyle w:val="22"/>
        <w:spacing w:line="460" w:lineRule="exact"/>
        <w:ind w:lef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（四）我发现</w:t>
      </w:r>
      <w:r>
        <w:rPr>
          <w:rStyle w:val="332"/>
          <w:rFonts w:hint="eastAsia" w:ascii="宋体" w:hAnsi="宋体" w:eastAsia="宋体" w:cs="宋体"/>
          <w:color w:val="auto"/>
          <w:sz w:val="22"/>
          <w:szCs w:val="22"/>
          <w:highlight w:val="none"/>
          <w:u w:val="single"/>
        </w:rPr>
        <w:t xml:space="preserve">                  </w:t>
      </w:r>
      <w:r>
        <w:rPr>
          <w:rStyle w:val="332"/>
          <w:rFonts w:hint="eastAsia" w:ascii="宋体" w:hAnsi="宋体" w:eastAsia="宋体" w:cs="宋体"/>
          <w:color w:val="auto"/>
          <w:sz w:val="22"/>
          <w:szCs w:val="22"/>
          <w:highlight w:val="none"/>
        </w:rPr>
        <w:t>与</w:t>
      </w:r>
      <w:r>
        <w:rPr>
          <w:rStyle w:val="332"/>
          <w:rFonts w:hint="eastAsia" w:ascii="宋体" w:hAnsi="宋体" w:eastAsia="宋体" w:cs="宋体"/>
          <w:color w:val="auto"/>
          <w:sz w:val="22"/>
          <w:szCs w:val="22"/>
          <w:highlight w:val="none"/>
          <w:u w:val="single"/>
        </w:rPr>
        <w:t xml:space="preserve">                  </w:t>
      </w:r>
      <w:r>
        <w:rPr>
          <w:rStyle w:val="332"/>
          <w:rFonts w:hint="eastAsia" w:ascii="宋体" w:hAnsi="宋体" w:eastAsia="宋体" w:cs="宋体"/>
          <w:color w:val="auto"/>
          <w:sz w:val="22"/>
          <w:szCs w:val="22"/>
          <w:highlight w:val="none"/>
        </w:rPr>
        <w:t>（供应商名称）</w:t>
      </w:r>
      <w:r>
        <w:rPr>
          <w:rFonts w:hint="eastAsia" w:ascii="宋体" w:hAnsi="宋体" w:eastAsia="宋体" w:cs="宋体"/>
          <w:color w:val="auto"/>
          <w:kern w:val="0"/>
          <w:sz w:val="22"/>
          <w:szCs w:val="22"/>
          <w:highlight w:val="none"/>
        </w:rPr>
        <w:t>之间存在或可能存在上述第二条第</w:t>
      </w:r>
      <w:r>
        <w:rPr>
          <w:rStyle w:val="332"/>
          <w:rFonts w:hint="eastAsia" w:ascii="宋体" w:hAnsi="宋体" w:eastAsia="宋体" w:cs="宋体"/>
          <w:color w:val="auto"/>
          <w:sz w:val="22"/>
          <w:szCs w:val="22"/>
          <w:highlight w:val="none"/>
          <w:u w:val="single"/>
        </w:rPr>
        <w:t xml:space="preserve">        </w:t>
      </w:r>
      <w:r>
        <w:rPr>
          <w:rFonts w:hint="eastAsia" w:ascii="宋体" w:hAnsi="宋体" w:eastAsia="宋体" w:cs="宋体"/>
          <w:color w:val="auto"/>
          <w:kern w:val="0"/>
          <w:sz w:val="22"/>
          <w:szCs w:val="22"/>
          <w:highlight w:val="none"/>
        </w:rPr>
        <w:t>项利害关系。</w:t>
      </w:r>
    </w:p>
    <w:p w14:paraId="383010CC">
      <w:pPr>
        <w:pStyle w:val="22"/>
        <w:spacing w:line="460" w:lineRule="exact"/>
        <w:ind w:left="0" w:firstLine="0" w:firstLineChars="0"/>
        <w:rPr>
          <w:rFonts w:hint="eastAsia" w:ascii="宋体" w:hAnsi="宋体" w:eastAsia="宋体" w:cs="宋体"/>
          <w:b/>
          <w:color w:val="auto"/>
          <w:kern w:val="0"/>
          <w:sz w:val="22"/>
          <w:szCs w:val="22"/>
          <w:highlight w:val="none"/>
        </w:rPr>
      </w:pPr>
      <w:r>
        <w:rPr>
          <w:rFonts w:hint="eastAsia" w:ascii="宋体" w:hAnsi="宋体" w:eastAsia="宋体" w:cs="宋体"/>
          <w:b/>
          <w:color w:val="auto"/>
          <w:kern w:val="0"/>
          <w:sz w:val="22"/>
          <w:szCs w:val="22"/>
          <w:highlight w:val="none"/>
        </w:rPr>
        <w:t>供应商代表签名:</w:t>
      </w:r>
    </w:p>
    <w:p w14:paraId="3E789A7B">
      <w:pPr>
        <w:pStyle w:val="22"/>
        <w:spacing w:line="460" w:lineRule="exact"/>
        <w:ind w:left="0" w:firstLine="0" w:firstLineChars="0"/>
        <w:jc w:val="right"/>
        <w:rPr>
          <w:rFonts w:hint="eastAsia" w:ascii="宋体" w:hAnsi="宋体" w:eastAsia="宋体" w:cs="宋体"/>
          <w:b/>
          <w:bCs/>
          <w:color w:val="auto"/>
          <w:sz w:val="22"/>
          <w:szCs w:val="22"/>
          <w:highlight w:val="none"/>
        </w:rPr>
      </w:pPr>
      <w:r>
        <w:rPr>
          <w:rFonts w:hint="eastAsia" w:ascii="宋体" w:hAnsi="宋体" w:eastAsia="宋体" w:cs="宋体"/>
          <w:b/>
          <w:color w:val="auto"/>
          <w:kern w:val="0"/>
          <w:sz w:val="22"/>
          <w:szCs w:val="22"/>
          <w:highlight w:val="none"/>
        </w:rPr>
        <w:t>日期:202</w:t>
      </w:r>
      <w:r>
        <w:rPr>
          <w:rFonts w:hint="eastAsia" w:ascii="宋体" w:hAnsi="宋体" w:eastAsia="宋体" w:cs="宋体"/>
          <w:b/>
          <w:color w:val="auto"/>
          <w:kern w:val="0"/>
          <w:sz w:val="22"/>
          <w:szCs w:val="22"/>
          <w:highlight w:val="none"/>
          <w:lang w:val="en-US" w:eastAsia="zh-CN"/>
        </w:rPr>
        <w:t xml:space="preserve">  </w:t>
      </w:r>
      <w:r>
        <w:rPr>
          <w:rFonts w:hint="eastAsia" w:ascii="宋体" w:hAnsi="宋体" w:eastAsia="宋体" w:cs="宋体"/>
          <w:b/>
          <w:color w:val="auto"/>
          <w:kern w:val="0"/>
          <w:sz w:val="22"/>
          <w:szCs w:val="22"/>
          <w:highlight w:val="none"/>
        </w:rPr>
        <w:t>年    月    日</w:t>
      </w:r>
    </w:p>
    <w:p w14:paraId="7FD24C5E">
      <w:pP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br w:type="page"/>
      </w:r>
    </w:p>
    <w:p w14:paraId="4BEEA299">
      <w:pPr>
        <w:widowControl/>
        <w:spacing w:before="100" w:beforeAutospacing="1" w:after="100" w:afterAutospacing="1" w:line="360" w:lineRule="auto"/>
        <w:jc w:val="both"/>
        <w:outlineLvl w:val="3"/>
        <w:rPr>
          <w:rFonts w:hint="eastAsia" w:ascii="新宋体" w:hAnsi="新宋体" w:eastAsia="新宋体" w:cs="新宋体"/>
          <w:b/>
          <w:color w:val="auto"/>
          <w:kern w:val="0"/>
          <w:sz w:val="22"/>
          <w:szCs w:val="22"/>
          <w:highlight w:val="none"/>
          <w:lang w:eastAsia="zh-CN"/>
        </w:rPr>
      </w:pPr>
      <w:r>
        <w:rPr>
          <w:rFonts w:hint="eastAsia" w:ascii="新宋体" w:hAnsi="新宋体" w:eastAsia="新宋体" w:cs="新宋体"/>
          <w:b/>
          <w:bCs/>
          <w:color w:val="auto"/>
          <w:sz w:val="22"/>
          <w:szCs w:val="22"/>
          <w:highlight w:val="none"/>
          <w:lang w:val="en-US" w:eastAsia="zh-CN"/>
        </w:rPr>
        <w:t>6、</w:t>
      </w:r>
      <w:r>
        <w:rPr>
          <w:rFonts w:hint="eastAsia" w:ascii="新宋体" w:hAnsi="新宋体" w:eastAsia="新宋体" w:cs="新宋体"/>
          <w:b/>
          <w:color w:val="auto"/>
          <w:kern w:val="0"/>
          <w:sz w:val="22"/>
          <w:szCs w:val="22"/>
          <w:highlight w:val="none"/>
        </w:rPr>
        <w:t>分包意向协议</w:t>
      </w:r>
      <w:r>
        <w:rPr>
          <w:rFonts w:hint="eastAsia" w:ascii="新宋体" w:hAnsi="新宋体" w:eastAsia="新宋体" w:cs="新宋体"/>
          <w:b/>
          <w:color w:val="auto"/>
          <w:kern w:val="0"/>
          <w:sz w:val="22"/>
          <w:szCs w:val="22"/>
          <w:highlight w:val="none"/>
          <w:lang w:eastAsia="zh-CN"/>
        </w:rPr>
        <w:t>（</w:t>
      </w:r>
      <w:r>
        <w:rPr>
          <w:rFonts w:hint="eastAsia" w:ascii="新宋体" w:hAnsi="新宋体" w:eastAsia="新宋体" w:cs="新宋体"/>
          <w:b/>
          <w:color w:val="auto"/>
          <w:kern w:val="0"/>
          <w:sz w:val="22"/>
          <w:szCs w:val="22"/>
          <w:highlight w:val="none"/>
          <w:lang w:val="en-US" w:eastAsia="zh-CN"/>
        </w:rPr>
        <w:t>如有</w:t>
      </w:r>
      <w:r>
        <w:rPr>
          <w:rFonts w:hint="eastAsia" w:ascii="新宋体" w:hAnsi="新宋体" w:eastAsia="新宋体" w:cs="新宋体"/>
          <w:b/>
          <w:color w:val="auto"/>
          <w:kern w:val="0"/>
          <w:sz w:val="22"/>
          <w:szCs w:val="22"/>
          <w:highlight w:val="none"/>
          <w:lang w:eastAsia="zh-CN"/>
        </w:rPr>
        <w:t>）</w:t>
      </w:r>
    </w:p>
    <w:p w14:paraId="66BB9C05">
      <w:pPr>
        <w:widowControl/>
        <w:spacing w:line="360" w:lineRule="auto"/>
        <w:ind w:firstLine="110" w:firstLineChars="50"/>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w:t>
      </w:r>
      <w:r>
        <w:rPr>
          <w:rFonts w:hint="eastAsia" w:ascii="新宋体" w:hAnsi="新宋体" w:eastAsia="新宋体" w:cs="新宋体"/>
          <w:b/>
          <w:color w:val="auto"/>
          <w:sz w:val="22"/>
          <w:szCs w:val="22"/>
          <w:highlight w:val="none"/>
        </w:rPr>
        <w:t>中标后以分包方式履行合同的，提供分包意向协议；采购人不同意分包或者投标人中标后不以分包方式履行合同的，则不需要提供。</w:t>
      </w:r>
      <w:r>
        <w:rPr>
          <w:rFonts w:hint="eastAsia" w:ascii="新宋体" w:hAnsi="新宋体" w:eastAsia="新宋体" w:cs="新宋体"/>
          <w:color w:val="auto"/>
          <w:sz w:val="22"/>
          <w:szCs w:val="22"/>
          <w:highlight w:val="none"/>
        </w:rPr>
        <w:t>）</w:t>
      </w:r>
    </w:p>
    <w:p w14:paraId="73246F07">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u w:val="single"/>
        </w:rPr>
        <w:t>（投标人名称）</w:t>
      </w:r>
      <w:r>
        <w:rPr>
          <w:rFonts w:hint="eastAsia" w:ascii="新宋体" w:hAnsi="新宋体" w:eastAsia="新宋体" w:cs="新宋体"/>
          <w:color w:val="auto"/>
          <w:kern w:val="0"/>
          <w:sz w:val="22"/>
          <w:szCs w:val="22"/>
          <w:highlight w:val="none"/>
          <w:lang w:val="zh-CN"/>
        </w:rPr>
        <w:t>若成为</w:t>
      </w:r>
      <w:r>
        <w:rPr>
          <w:rFonts w:hint="eastAsia" w:ascii="新宋体" w:hAnsi="新宋体" w:eastAsia="新宋体" w:cs="新宋体"/>
          <w:color w:val="auto"/>
          <w:sz w:val="22"/>
          <w:szCs w:val="22"/>
          <w:highlight w:val="none"/>
        </w:rPr>
        <w:t>（项目名称）【招标编号：（采购编号）】</w:t>
      </w:r>
      <w:r>
        <w:rPr>
          <w:rFonts w:hint="eastAsia" w:ascii="新宋体" w:hAnsi="新宋体" w:eastAsia="新宋体" w:cs="新宋体"/>
          <w:color w:val="auto"/>
          <w:kern w:val="0"/>
          <w:sz w:val="22"/>
          <w:szCs w:val="22"/>
          <w:highlight w:val="none"/>
          <w:lang w:val="zh-CN"/>
        </w:rPr>
        <w:t>的中标供应商，将依法采取分包方式履行合同。</w:t>
      </w:r>
      <w:r>
        <w:rPr>
          <w:rFonts w:hint="eastAsia" w:ascii="新宋体" w:hAnsi="新宋体" w:eastAsia="新宋体" w:cs="新宋体"/>
          <w:color w:val="auto"/>
          <w:kern w:val="0"/>
          <w:sz w:val="22"/>
          <w:szCs w:val="22"/>
          <w:highlight w:val="none"/>
          <w:u w:val="single"/>
        </w:rPr>
        <w:t>（投标人名称）</w:t>
      </w:r>
      <w:r>
        <w:rPr>
          <w:rFonts w:hint="eastAsia" w:ascii="新宋体" w:hAnsi="新宋体" w:eastAsia="新宋体" w:cs="新宋体"/>
          <w:color w:val="auto"/>
          <w:kern w:val="0"/>
          <w:sz w:val="22"/>
          <w:szCs w:val="22"/>
          <w:highlight w:val="none"/>
        </w:rPr>
        <w:t>与</w:t>
      </w:r>
      <w:r>
        <w:rPr>
          <w:rFonts w:hint="eastAsia" w:ascii="新宋体" w:hAnsi="新宋体" w:eastAsia="新宋体" w:cs="新宋体"/>
          <w:color w:val="auto"/>
          <w:kern w:val="0"/>
          <w:sz w:val="22"/>
          <w:szCs w:val="22"/>
          <w:highlight w:val="none"/>
          <w:u w:val="single"/>
        </w:rPr>
        <w:t>（所有分包供应商名称）</w:t>
      </w:r>
      <w:r>
        <w:rPr>
          <w:rFonts w:hint="eastAsia" w:ascii="新宋体" w:hAnsi="新宋体" w:eastAsia="新宋体" w:cs="新宋体"/>
          <w:color w:val="auto"/>
          <w:kern w:val="0"/>
          <w:sz w:val="22"/>
          <w:szCs w:val="22"/>
          <w:highlight w:val="none"/>
        </w:rPr>
        <w:t>达成分包意向协议</w:t>
      </w:r>
      <w:r>
        <w:rPr>
          <w:rFonts w:hint="eastAsia" w:ascii="新宋体" w:hAnsi="新宋体" w:eastAsia="新宋体" w:cs="新宋体"/>
          <w:color w:val="auto"/>
          <w:kern w:val="0"/>
          <w:sz w:val="22"/>
          <w:szCs w:val="22"/>
          <w:highlight w:val="none"/>
          <w:lang w:val="zh-CN"/>
        </w:rPr>
        <w:t xml:space="preserve">。 </w:t>
      </w:r>
    </w:p>
    <w:p w14:paraId="1085FF3D">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一、分包标的及数量</w:t>
      </w:r>
    </w:p>
    <w:p w14:paraId="4DF7D390">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u w:val="single"/>
        </w:rPr>
        <w:t>（投标人名称）</w:t>
      </w:r>
      <w:r>
        <w:rPr>
          <w:rFonts w:hint="eastAsia" w:ascii="新宋体" w:hAnsi="新宋体" w:eastAsia="新宋体" w:cs="新宋体"/>
          <w:color w:val="auto"/>
          <w:kern w:val="0"/>
          <w:sz w:val="22"/>
          <w:szCs w:val="22"/>
          <w:highlight w:val="none"/>
          <w:lang w:val="zh-CN"/>
        </w:rPr>
        <w:t>将</w:t>
      </w:r>
      <w:r>
        <w:rPr>
          <w:rFonts w:hint="eastAsia" w:ascii="新宋体" w:hAnsi="新宋体" w:eastAsia="新宋体" w:cs="新宋体"/>
          <w:color w:val="auto"/>
          <w:sz w:val="22"/>
          <w:szCs w:val="22"/>
          <w:highlight w:val="none"/>
          <w:u w:val="single"/>
        </w:rPr>
        <w:t xml:space="preserve">   XX工作内容   </w:t>
      </w:r>
      <w:r>
        <w:rPr>
          <w:rFonts w:hint="eastAsia" w:ascii="新宋体" w:hAnsi="新宋体" w:eastAsia="新宋体" w:cs="新宋体"/>
          <w:color w:val="auto"/>
          <w:sz w:val="22"/>
          <w:szCs w:val="22"/>
          <w:highlight w:val="none"/>
        </w:rPr>
        <w:t>分包给</w:t>
      </w:r>
      <w:r>
        <w:rPr>
          <w:rFonts w:hint="eastAsia" w:ascii="新宋体" w:hAnsi="新宋体" w:eastAsia="新宋体" w:cs="新宋体"/>
          <w:color w:val="auto"/>
          <w:kern w:val="0"/>
          <w:sz w:val="22"/>
          <w:szCs w:val="22"/>
          <w:highlight w:val="none"/>
          <w:u w:val="single"/>
        </w:rPr>
        <w:t>（某分包供应商名称）</w:t>
      </w:r>
      <w:r>
        <w:rPr>
          <w:rFonts w:hint="eastAsia" w:ascii="新宋体" w:hAnsi="新宋体" w:eastAsia="新宋体" w:cs="新宋体"/>
          <w:color w:val="auto"/>
          <w:kern w:val="0"/>
          <w:sz w:val="22"/>
          <w:szCs w:val="22"/>
          <w:highlight w:val="none"/>
          <w:lang w:val="zh-CN"/>
        </w:rPr>
        <w:t>，</w:t>
      </w:r>
      <w:r>
        <w:rPr>
          <w:rFonts w:hint="eastAsia" w:ascii="新宋体" w:hAnsi="新宋体" w:eastAsia="新宋体" w:cs="新宋体"/>
          <w:color w:val="auto"/>
          <w:kern w:val="0"/>
          <w:sz w:val="22"/>
          <w:szCs w:val="22"/>
          <w:highlight w:val="none"/>
          <w:u w:val="single"/>
        </w:rPr>
        <w:t>（某分包供应商名称），</w:t>
      </w:r>
      <w:r>
        <w:rPr>
          <w:rFonts w:hint="eastAsia" w:ascii="新宋体" w:hAnsi="新宋体" w:eastAsia="新宋体" w:cs="新宋体"/>
          <w:color w:val="auto"/>
          <w:kern w:val="0"/>
          <w:sz w:val="22"/>
          <w:szCs w:val="22"/>
          <w:highlight w:val="none"/>
          <w:lang w:val="zh-CN"/>
        </w:rPr>
        <w:t>具备承</w:t>
      </w:r>
      <w:r>
        <w:rPr>
          <w:rFonts w:hint="eastAsia" w:ascii="新宋体" w:hAnsi="新宋体" w:eastAsia="新宋体" w:cs="新宋体"/>
          <w:color w:val="auto"/>
          <w:kern w:val="0"/>
          <w:sz w:val="22"/>
          <w:szCs w:val="22"/>
          <w:highlight w:val="none"/>
        </w:rPr>
        <w:t>担</w:t>
      </w:r>
      <w:r>
        <w:rPr>
          <w:rFonts w:hint="eastAsia" w:ascii="新宋体" w:hAnsi="新宋体" w:eastAsia="新宋体" w:cs="新宋体"/>
          <w:color w:val="auto"/>
          <w:kern w:val="0"/>
          <w:sz w:val="22"/>
          <w:szCs w:val="22"/>
          <w:highlight w:val="none"/>
          <w:u w:val="single"/>
          <w:lang w:val="zh-CN"/>
        </w:rPr>
        <w:t>XX工作内容</w:t>
      </w:r>
      <w:r>
        <w:rPr>
          <w:rFonts w:hint="eastAsia" w:ascii="新宋体" w:hAnsi="新宋体" w:eastAsia="新宋体" w:cs="新宋体"/>
          <w:color w:val="auto"/>
          <w:kern w:val="0"/>
          <w:sz w:val="22"/>
          <w:szCs w:val="22"/>
          <w:highlight w:val="none"/>
          <w:lang w:val="zh-CN"/>
        </w:rPr>
        <w:t>相应资质条件且不得再次分包；</w:t>
      </w:r>
    </w:p>
    <w:p w14:paraId="2FF2D5D5">
      <w:pPr>
        <w:tabs>
          <w:tab w:val="left" w:pos="432"/>
        </w:tabs>
        <w:ind w:left="664" w:leftChars="316" w:firstLine="209" w:firstLineChars="95"/>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w:t>
      </w:r>
    </w:p>
    <w:p w14:paraId="11D8A009">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二、分包工作履行期限、地点、方式</w:t>
      </w:r>
    </w:p>
    <w:p w14:paraId="243BE81C">
      <w:pPr>
        <w:snapToGrid w:val="0"/>
        <w:spacing w:line="360" w:lineRule="auto"/>
        <w:ind w:firstLine="576"/>
        <w:rPr>
          <w:rFonts w:hint="eastAsia" w:ascii="新宋体" w:hAnsi="新宋体" w:eastAsia="新宋体" w:cs="新宋体"/>
          <w:color w:val="auto"/>
          <w:sz w:val="22"/>
          <w:szCs w:val="22"/>
          <w:highlight w:val="none"/>
          <w:u w:val="single"/>
        </w:rPr>
      </w:pPr>
      <w:r>
        <w:rPr>
          <w:rFonts w:hint="eastAsia" w:ascii="新宋体" w:hAnsi="新宋体" w:eastAsia="新宋体" w:cs="新宋体"/>
          <w:color w:val="auto"/>
          <w:sz w:val="22"/>
          <w:szCs w:val="22"/>
          <w:highlight w:val="none"/>
          <w:u w:val="single"/>
        </w:rPr>
        <w:t xml:space="preserve">                                                                                  </w:t>
      </w:r>
    </w:p>
    <w:p w14:paraId="6D27CAD7">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三、质量</w:t>
      </w:r>
    </w:p>
    <w:p w14:paraId="5DC49506">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sz w:val="22"/>
          <w:szCs w:val="22"/>
          <w:highlight w:val="none"/>
          <w:u w:val="single"/>
        </w:rPr>
        <w:t xml:space="preserve">                                                                                       </w:t>
      </w:r>
    </w:p>
    <w:p w14:paraId="2332FEE3">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四、价款或者报酬</w:t>
      </w:r>
    </w:p>
    <w:p w14:paraId="5A48EAC4">
      <w:pPr>
        <w:snapToGrid w:val="0"/>
        <w:spacing w:line="360" w:lineRule="auto"/>
        <w:ind w:left="573" w:leftChars="273"/>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sz w:val="22"/>
          <w:szCs w:val="22"/>
          <w:highlight w:val="none"/>
          <w:u w:val="single"/>
        </w:rPr>
        <w:t xml:space="preserve">                                                                                     </w:t>
      </w:r>
    </w:p>
    <w:p w14:paraId="28D82DAF">
      <w:pPr>
        <w:snapToGrid w:val="0"/>
        <w:spacing w:line="360" w:lineRule="auto"/>
        <w:ind w:left="573" w:leftChars="273"/>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五、违约责任</w:t>
      </w:r>
    </w:p>
    <w:p w14:paraId="2B479C09">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sz w:val="22"/>
          <w:szCs w:val="22"/>
          <w:highlight w:val="none"/>
          <w:u w:val="single"/>
        </w:rPr>
        <w:t xml:space="preserve">                                                                                     </w:t>
      </w:r>
    </w:p>
    <w:p w14:paraId="729E35C2">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六、争议解决的办法</w:t>
      </w:r>
    </w:p>
    <w:p w14:paraId="34986645">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sz w:val="22"/>
          <w:szCs w:val="22"/>
          <w:highlight w:val="none"/>
          <w:u w:val="single"/>
        </w:rPr>
        <w:t xml:space="preserve">                                                                                  </w:t>
      </w:r>
    </w:p>
    <w:p w14:paraId="271C716A">
      <w:pPr>
        <w:snapToGrid w:val="0"/>
        <w:spacing w:line="360" w:lineRule="auto"/>
        <w:ind w:firstLine="576"/>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七、其他</w:t>
      </w:r>
    </w:p>
    <w:p w14:paraId="1DEDEC69">
      <w:pPr>
        <w:snapToGrid w:val="0"/>
        <w:spacing w:line="360" w:lineRule="auto"/>
        <w:ind w:left="5338" w:leftChars="342" w:hanging="4620" w:hangingChars="2100"/>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sz w:val="22"/>
          <w:szCs w:val="22"/>
          <w:highlight w:val="none"/>
        </w:rPr>
        <w:t>中小企业合同金额达到</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rPr>
        <w:t>%，小微企业合同金额达到</w:t>
      </w:r>
      <w:r>
        <w:rPr>
          <w:rFonts w:hint="eastAsia" w:ascii="新宋体" w:hAnsi="新宋体" w:eastAsia="新宋体" w:cs="新宋体"/>
          <w:color w:val="auto"/>
          <w:sz w:val="22"/>
          <w:szCs w:val="22"/>
          <w:highlight w:val="none"/>
          <w:u w:val="single"/>
        </w:rPr>
        <w:t xml:space="preserve"> </w:t>
      </w:r>
      <w:r>
        <w:rPr>
          <w:rFonts w:hint="eastAsia" w:ascii="新宋体" w:hAnsi="新宋体" w:eastAsia="新宋体" w:cs="新宋体"/>
          <w:color w:val="auto"/>
          <w:sz w:val="22"/>
          <w:szCs w:val="22"/>
          <w:highlight w:val="none"/>
          <w:u w:val="single"/>
          <w:lang w:val="en-US" w:eastAsia="zh-CN"/>
        </w:rPr>
        <w:t xml:space="preserve">        </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kern w:val="0"/>
          <w:sz w:val="22"/>
          <w:szCs w:val="22"/>
          <w:highlight w:val="none"/>
          <w:lang w:val="zh-CN"/>
        </w:rPr>
        <w:t>。</w:t>
      </w:r>
    </w:p>
    <w:p w14:paraId="666FCBCC">
      <w:pPr>
        <w:snapToGrid w:val="0"/>
        <w:spacing w:line="360" w:lineRule="auto"/>
        <w:ind w:firstLine="5390" w:firstLineChars="2450"/>
        <w:rPr>
          <w:rFonts w:hint="eastAsia" w:ascii="新宋体" w:hAnsi="新宋体" w:eastAsia="新宋体" w:cs="新宋体"/>
          <w:color w:val="auto"/>
          <w:kern w:val="0"/>
          <w:sz w:val="22"/>
          <w:szCs w:val="22"/>
          <w:highlight w:val="none"/>
          <w:lang w:val="zh-CN"/>
        </w:rPr>
      </w:pPr>
    </w:p>
    <w:p w14:paraId="1E8469FA">
      <w:pPr>
        <w:snapToGrid w:val="0"/>
        <w:spacing w:line="360" w:lineRule="auto"/>
        <w:ind w:firstLine="5390" w:firstLineChars="2450"/>
        <w:rPr>
          <w:rFonts w:hint="eastAsia" w:ascii="新宋体" w:hAnsi="新宋体" w:eastAsia="新宋体" w:cs="新宋体"/>
          <w:color w:val="auto"/>
          <w:kern w:val="0"/>
          <w:sz w:val="22"/>
          <w:szCs w:val="22"/>
          <w:highlight w:val="none"/>
          <w:lang w:val="zh-CN"/>
        </w:rPr>
      </w:pPr>
    </w:p>
    <w:p w14:paraId="4335A617">
      <w:pPr>
        <w:snapToGrid w:val="0"/>
        <w:spacing w:line="360" w:lineRule="auto"/>
        <w:ind w:firstLine="5390" w:firstLineChars="2450"/>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投标人名称(电子签名)：</w:t>
      </w:r>
    </w:p>
    <w:p w14:paraId="6115F57B">
      <w:pPr>
        <w:snapToGrid w:val="0"/>
        <w:spacing w:line="360" w:lineRule="auto"/>
        <w:ind w:firstLine="5390" w:firstLineChars="2450"/>
        <w:rPr>
          <w:rFonts w:hint="eastAsia" w:ascii="新宋体" w:hAnsi="新宋体" w:eastAsia="新宋体" w:cs="新宋体"/>
          <w:color w:val="auto"/>
          <w:kern w:val="0"/>
          <w:sz w:val="22"/>
          <w:szCs w:val="22"/>
          <w:highlight w:val="none"/>
          <w:lang w:val="zh-CN"/>
        </w:rPr>
      </w:pPr>
      <w:r>
        <w:rPr>
          <w:rFonts w:hint="eastAsia" w:ascii="新宋体" w:hAnsi="新宋体" w:eastAsia="新宋体" w:cs="新宋体"/>
          <w:color w:val="auto"/>
          <w:kern w:val="0"/>
          <w:sz w:val="22"/>
          <w:szCs w:val="22"/>
          <w:highlight w:val="none"/>
          <w:lang w:val="zh-CN"/>
        </w:rPr>
        <w:t>分包供应商名称：</w:t>
      </w:r>
    </w:p>
    <w:p w14:paraId="7FA2D360">
      <w:pPr>
        <w:snapToGrid w:val="0"/>
        <w:spacing w:line="360" w:lineRule="auto"/>
        <w:ind w:firstLine="5390" w:firstLineChars="2450"/>
        <w:rPr>
          <w:rFonts w:hint="eastAsia" w:ascii="仿宋" w:hAnsi="仿宋" w:eastAsia="仿宋" w:cs="仿宋"/>
          <w:b/>
          <w:color w:val="auto"/>
          <w:kern w:val="0"/>
          <w:sz w:val="32"/>
          <w:szCs w:val="32"/>
          <w:highlight w:val="none"/>
        </w:rPr>
      </w:pPr>
      <w:r>
        <w:rPr>
          <w:rFonts w:hint="eastAsia" w:ascii="新宋体" w:hAnsi="新宋体" w:eastAsia="新宋体" w:cs="新宋体"/>
          <w:color w:val="auto"/>
          <w:kern w:val="0"/>
          <w:sz w:val="22"/>
          <w:szCs w:val="22"/>
          <w:highlight w:val="none"/>
          <w:lang w:val="zh-CN"/>
        </w:rPr>
        <w:t>日期：  年  月   日</w:t>
      </w:r>
    </w:p>
    <w:p w14:paraId="5BA0D09F">
      <w:pPr>
        <w:spacing w:line="360" w:lineRule="auto"/>
        <w:rPr>
          <w:rFonts w:hint="eastAsia" w:ascii="宋体" w:hAnsi="宋体" w:eastAsia="宋体" w:cs="宋体"/>
          <w:color w:val="auto"/>
          <w:sz w:val="22"/>
          <w:szCs w:val="22"/>
          <w:highlight w:val="none"/>
        </w:rPr>
      </w:pPr>
    </w:p>
    <w:p w14:paraId="0C3DA43A">
      <w:pP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br w:type="page"/>
      </w:r>
    </w:p>
    <w:p w14:paraId="63A59963">
      <w:pPr>
        <w:tabs>
          <w:tab w:val="left" w:pos="1620"/>
        </w:tabs>
        <w:spacing w:line="460" w:lineRule="exact"/>
        <w:outlineLvl w:val="3"/>
        <w:rPr>
          <w:rFonts w:hint="eastAsia" w:ascii="宋体" w:hAnsi="宋体" w:eastAsia="宋体" w:cs="宋体"/>
          <w:b/>
          <w:bCs/>
          <w:color w:val="auto"/>
          <w:sz w:val="22"/>
          <w:szCs w:val="22"/>
          <w:highlight w:val="none"/>
        </w:rPr>
      </w:pPr>
      <w:r>
        <w:rPr>
          <w:rFonts w:hint="eastAsia" w:ascii="宋体" w:hAnsi="宋体" w:cs="宋体"/>
          <w:b/>
          <w:bCs/>
          <w:color w:val="auto"/>
          <w:sz w:val="28"/>
          <w:szCs w:val="28"/>
          <w:highlight w:val="none"/>
          <w:lang w:val="en-US" w:eastAsia="zh-CN"/>
        </w:rPr>
        <w:t>7</w:t>
      </w:r>
      <w:r>
        <w:rPr>
          <w:rFonts w:hint="eastAsia" w:ascii="宋体" w:hAnsi="宋体" w:eastAsia="宋体" w:cs="宋体"/>
          <w:b/>
          <w:bCs/>
          <w:color w:val="auto"/>
          <w:sz w:val="28"/>
          <w:szCs w:val="28"/>
          <w:highlight w:val="none"/>
        </w:rPr>
        <w:t>、中小企业的相关证明材料</w:t>
      </w:r>
    </w:p>
    <w:p w14:paraId="3BD043B6">
      <w:pPr>
        <w:spacing w:line="460" w:lineRule="exact"/>
        <w:jc w:val="center"/>
        <w:rPr>
          <w:rFonts w:hint="eastAsia" w:ascii="宋体" w:hAnsi="宋体" w:eastAsia="宋体" w:cs="宋体"/>
          <w:b/>
          <w:bCs/>
          <w:color w:val="auto"/>
          <w:sz w:val="22"/>
          <w:szCs w:val="22"/>
          <w:highlight w:val="none"/>
        </w:rPr>
      </w:pPr>
    </w:p>
    <w:p w14:paraId="019DA038">
      <w:pPr>
        <w:spacing w:line="460" w:lineRule="exact"/>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中小企业声明函（工程、服务）</w:t>
      </w:r>
      <w:r>
        <w:rPr>
          <w:rFonts w:hint="eastAsia" w:ascii="宋体" w:hAnsi="宋体" w:eastAsia="宋体" w:cs="宋体"/>
          <w:b/>
          <w:bCs/>
          <w:color w:val="auto"/>
          <w:sz w:val="24"/>
          <w:szCs w:val="24"/>
          <w:highlight w:val="none"/>
          <w:lang w:eastAsia="zh-CN"/>
        </w:rPr>
        <w:t>》</w:t>
      </w:r>
    </w:p>
    <w:p w14:paraId="2FF96CFB">
      <w:pPr>
        <w:snapToGrid w:val="0"/>
        <w:spacing w:line="4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【不属于中小企业单位的无需填写、递交】</w:t>
      </w:r>
    </w:p>
    <w:p w14:paraId="28205800">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本公司（联合体）郑重声明，根据《政府采购促进中小企业发展管理办法》（财库﹝2020﹞46 号）的规定，本公司（联合体）参加</w:t>
      </w:r>
      <w:r>
        <w:rPr>
          <w:rFonts w:hint="eastAsia" w:ascii="宋体" w:hAnsi="宋体" w:eastAsia="宋体" w:cs="宋体"/>
          <w:color w:val="auto"/>
          <w:spacing w:val="20"/>
          <w:sz w:val="22"/>
          <w:szCs w:val="22"/>
          <w:highlight w:val="none"/>
          <w:u w:val="single"/>
        </w:rPr>
        <w:t>（单位名称）</w:t>
      </w:r>
      <w:r>
        <w:rPr>
          <w:rFonts w:hint="eastAsia" w:ascii="宋体" w:hAnsi="宋体" w:eastAsia="宋体" w:cs="宋体"/>
          <w:color w:val="auto"/>
          <w:spacing w:val="20"/>
          <w:sz w:val="22"/>
          <w:szCs w:val="22"/>
          <w:highlight w:val="none"/>
        </w:rPr>
        <w:t>的</w:t>
      </w:r>
      <w:r>
        <w:rPr>
          <w:rFonts w:hint="eastAsia" w:ascii="宋体" w:hAnsi="宋体" w:eastAsia="宋体" w:cs="宋体"/>
          <w:color w:val="auto"/>
          <w:spacing w:val="20"/>
          <w:sz w:val="22"/>
          <w:szCs w:val="22"/>
          <w:highlight w:val="none"/>
          <w:u w:val="single"/>
        </w:rPr>
        <w:t>（项目名称）</w:t>
      </w:r>
      <w:r>
        <w:rPr>
          <w:rFonts w:hint="eastAsia" w:ascii="宋体" w:hAnsi="宋体" w:eastAsia="宋体" w:cs="宋体"/>
          <w:color w:val="auto"/>
          <w:spacing w:val="20"/>
          <w:sz w:val="22"/>
          <w:szCs w:val="22"/>
          <w:highlight w:val="none"/>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36D5DA39">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1.</w:t>
      </w:r>
      <w:r>
        <w:rPr>
          <w:rFonts w:hint="eastAsia" w:ascii="宋体" w:hAnsi="宋体" w:eastAsia="宋体" w:cs="宋体"/>
          <w:color w:val="auto"/>
          <w:spacing w:val="20"/>
          <w:sz w:val="22"/>
          <w:szCs w:val="22"/>
          <w:highlight w:val="none"/>
          <w:u w:val="single"/>
        </w:rPr>
        <w:t>（标的名称）</w:t>
      </w:r>
      <w:r>
        <w:rPr>
          <w:rFonts w:hint="eastAsia" w:ascii="宋体" w:hAnsi="宋体" w:eastAsia="宋体" w:cs="宋体"/>
          <w:color w:val="auto"/>
          <w:spacing w:val="20"/>
          <w:sz w:val="22"/>
          <w:szCs w:val="22"/>
          <w:highlight w:val="none"/>
        </w:rPr>
        <w:t>，属于</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none"/>
          <w:lang w:val="en-US" w:eastAsia="zh-CN"/>
        </w:rPr>
        <w:t>行业</w:t>
      </w:r>
      <w:r>
        <w:rPr>
          <w:rFonts w:hint="eastAsia" w:ascii="宋体" w:hAnsi="宋体" w:eastAsia="宋体" w:cs="宋体"/>
          <w:color w:val="auto"/>
          <w:spacing w:val="20"/>
          <w:sz w:val="22"/>
          <w:szCs w:val="22"/>
          <w:highlight w:val="none"/>
        </w:rPr>
        <w:t>； 承建（承接）企业为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 小型企业、微型企业）</w:t>
      </w:r>
      <w:r>
        <w:rPr>
          <w:rFonts w:hint="eastAsia" w:ascii="宋体" w:hAnsi="宋体" w:eastAsia="宋体" w:cs="宋体"/>
          <w:color w:val="auto"/>
          <w:spacing w:val="20"/>
          <w:sz w:val="22"/>
          <w:szCs w:val="22"/>
          <w:highlight w:val="none"/>
        </w:rPr>
        <w:t xml:space="preserve">； </w:t>
      </w:r>
    </w:p>
    <w:p w14:paraId="60F7A512">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2.</w:t>
      </w:r>
      <w:r>
        <w:rPr>
          <w:rFonts w:hint="eastAsia" w:ascii="宋体" w:hAnsi="宋体" w:eastAsia="宋体" w:cs="宋体"/>
          <w:color w:val="auto"/>
          <w:spacing w:val="20"/>
          <w:sz w:val="22"/>
          <w:szCs w:val="22"/>
          <w:highlight w:val="none"/>
          <w:u w:val="single"/>
        </w:rPr>
        <w:t>（标的名称）</w:t>
      </w:r>
      <w:r>
        <w:rPr>
          <w:rFonts w:hint="eastAsia" w:ascii="宋体" w:hAnsi="宋体" w:eastAsia="宋体" w:cs="宋体"/>
          <w:color w:val="auto"/>
          <w:spacing w:val="20"/>
          <w:sz w:val="22"/>
          <w:szCs w:val="22"/>
          <w:highlight w:val="none"/>
        </w:rPr>
        <w:t>，属于</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u w:val="none"/>
          <w:lang w:val="en-US" w:eastAsia="zh-CN"/>
        </w:rPr>
        <w:t>行业</w:t>
      </w:r>
      <w:r>
        <w:rPr>
          <w:rFonts w:hint="eastAsia" w:ascii="宋体" w:hAnsi="宋体" w:eastAsia="宋体" w:cs="宋体"/>
          <w:color w:val="auto"/>
          <w:spacing w:val="20"/>
          <w:sz w:val="22"/>
          <w:szCs w:val="22"/>
          <w:highlight w:val="none"/>
        </w:rPr>
        <w:t>；承建（承接）企业为</w:t>
      </w:r>
      <w:r>
        <w:rPr>
          <w:rFonts w:hint="eastAsia" w:ascii="宋体" w:hAnsi="宋体" w:eastAsia="宋体" w:cs="宋体"/>
          <w:color w:val="auto"/>
          <w:spacing w:val="20"/>
          <w:sz w:val="22"/>
          <w:szCs w:val="22"/>
          <w:highlight w:val="none"/>
          <w:u w:val="single"/>
        </w:rPr>
        <w:t>（企业名称）</w:t>
      </w:r>
      <w:r>
        <w:rPr>
          <w:rFonts w:hint="eastAsia" w:ascii="宋体" w:hAnsi="宋体" w:eastAsia="宋体" w:cs="宋体"/>
          <w:color w:val="auto"/>
          <w:spacing w:val="20"/>
          <w:sz w:val="22"/>
          <w:szCs w:val="22"/>
          <w:highlight w:val="none"/>
        </w:rPr>
        <w:t>，从业人员</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人，营业收入为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万元，资产总额为</w:t>
      </w:r>
      <w:r>
        <w:rPr>
          <w:rFonts w:hint="eastAsia" w:ascii="宋体" w:hAnsi="宋体" w:eastAsia="宋体" w:cs="宋体"/>
          <w:color w:val="auto"/>
          <w:spacing w:val="20"/>
          <w:sz w:val="22"/>
          <w:szCs w:val="22"/>
          <w:highlight w:val="none"/>
          <w:u w:val="single"/>
          <w:lang w:val="en-US" w:eastAsia="zh-CN"/>
        </w:rPr>
        <w:t xml:space="preserve">    </w:t>
      </w:r>
      <w:r>
        <w:rPr>
          <w:rFonts w:hint="eastAsia" w:ascii="宋体" w:hAnsi="宋体" w:eastAsia="宋体" w:cs="宋体"/>
          <w:color w:val="auto"/>
          <w:spacing w:val="20"/>
          <w:sz w:val="22"/>
          <w:szCs w:val="22"/>
          <w:highlight w:val="none"/>
        </w:rPr>
        <w:t>万元，属于</w:t>
      </w:r>
      <w:r>
        <w:rPr>
          <w:rFonts w:hint="eastAsia" w:ascii="宋体" w:hAnsi="宋体" w:eastAsia="宋体" w:cs="宋体"/>
          <w:color w:val="auto"/>
          <w:spacing w:val="20"/>
          <w:sz w:val="22"/>
          <w:szCs w:val="22"/>
          <w:highlight w:val="none"/>
          <w:u w:val="single"/>
        </w:rPr>
        <w:t>（中型企业、 小型企业、微型企业）</w:t>
      </w:r>
      <w:r>
        <w:rPr>
          <w:rFonts w:hint="eastAsia" w:ascii="宋体" w:hAnsi="宋体" w:eastAsia="宋体" w:cs="宋体"/>
          <w:color w:val="auto"/>
          <w:spacing w:val="20"/>
          <w:sz w:val="22"/>
          <w:szCs w:val="22"/>
          <w:highlight w:val="none"/>
        </w:rPr>
        <w:t>；</w:t>
      </w:r>
    </w:p>
    <w:p w14:paraId="17EA4FE9">
      <w:pPr>
        <w:spacing w:line="460" w:lineRule="exact"/>
        <w:ind w:firstLine="639" w:firstLineChars="245"/>
        <w:rPr>
          <w:rFonts w:hint="eastAsia" w:ascii="宋体" w:hAnsi="宋体" w:eastAsia="宋体" w:cs="宋体"/>
          <w:b/>
          <w:bCs/>
          <w:color w:val="auto"/>
          <w:spacing w:val="20"/>
          <w:sz w:val="22"/>
          <w:szCs w:val="22"/>
          <w:highlight w:val="none"/>
        </w:rPr>
      </w:pPr>
      <w:r>
        <w:rPr>
          <w:rFonts w:hint="eastAsia" w:ascii="宋体" w:hAnsi="宋体" w:eastAsia="宋体" w:cs="宋体"/>
          <w:b/>
          <w:bCs/>
          <w:color w:val="auto"/>
          <w:spacing w:val="20"/>
          <w:sz w:val="22"/>
          <w:szCs w:val="22"/>
          <w:highlight w:val="none"/>
        </w:rPr>
        <w:t>……</w:t>
      </w:r>
    </w:p>
    <w:p w14:paraId="199C3F25">
      <w:pPr>
        <w:spacing w:line="460" w:lineRule="exact"/>
        <w:ind w:firstLine="637" w:firstLineChars="245"/>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以上企业，不属于大企业的分支机构，不存在控股股东为大企业的情形，也不存在与大企业的负责人为同一人的情形。</w:t>
      </w:r>
    </w:p>
    <w:p w14:paraId="4868715F">
      <w:pPr>
        <w:spacing w:line="460" w:lineRule="exact"/>
        <w:ind w:firstLine="637" w:firstLineChars="245"/>
        <w:rPr>
          <w:rFonts w:hint="eastAsia" w:ascii="宋体" w:hAnsi="宋体" w:eastAsia="宋体" w:cs="宋体"/>
          <w:color w:val="auto"/>
          <w:spacing w:val="20"/>
          <w:sz w:val="22"/>
          <w:szCs w:val="22"/>
          <w:highlight w:val="none"/>
          <w:lang w:val="en-US" w:eastAsia="zh-CN"/>
        </w:rPr>
      </w:pPr>
      <w:r>
        <w:rPr>
          <w:rFonts w:hint="eastAsia" w:ascii="宋体" w:hAnsi="宋体" w:eastAsia="宋体" w:cs="宋体"/>
          <w:color w:val="auto"/>
          <w:spacing w:val="20"/>
          <w:sz w:val="22"/>
          <w:szCs w:val="22"/>
          <w:highlight w:val="none"/>
        </w:rPr>
        <w:t xml:space="preserve">本企业对上述声明内容的真实性负责。如有虚假，将依法承担相应责任。 </w:t>
      </w:r>
    </w:p>
    <w:p w14:paraId="3EB16ADD">
      <w:pPr>
        <w:spacing w:line="460" w:lineRule="exact"/>
        <w:jc w:val="center"/>
        <w:rPr>
          <w:rFonts w:hint="eastAsia" w:ascii="宋体" w:hAnsi="宋体" w:eastAsia="宋体" w:cs="宋体"/>
          <w:color w:val="auto"/>
          <w:spacing w:val="20"/>
          <w:sz w:val="22"/>
          <w:szCs w:val="22"/>
          <w:highlight w:val="none"/>
          <w:lang w:val="en-US" w:eastAsia="zh-CN"/>
        </w:rPr>
      </w:pPr>
      <w:r>
        <w:rPr>
          <w:rFonts w:hint="eastAsia" w:ascii="宋体" w:hAnsi="宋体" w:eastAsia="宋体" w:cs="宋体"/>
          <w:color w:val="auto"/>
          <w:spacing w:val="20"/>
          <w:sz w:val="22"/>
          <w:szCs w:val="22"/>
          <w:highlight w:val="none"/>
          <w:lang w:val="en-US" w:eastAsia="zh-CN"/>
        </w:rPr>
        <w:t xml:space="preserve">           </w:t>
      </w:r>
    </w:p>
    <w:p w14:paraId="691271CA">
      <w:pPr>
        <w:spacing w:line="460" w:lineRule="exact"/>
        <w:jc w:val="center"/>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lang w:val="en-US" w:eastAsia="zh-CN"/>
        </w:rPr>
        <w:t>企业</w:t>
      </w:r>
      <w:r>
        <w:rPr>
          <w:rFonts w:hint="eastAsia" w:ascii="宋体" w:hAnsi="宋体" w:eastAsia="宋体" w:cs="宋体"/>
          <w:color w:val="auto"/>
          <w:spacing w:val="20"/>
          <w:sz w:val="22"/>
          <w:szCs w:val="22"/>
          <w:highlight w:val="none"/>
        </w:rPr>
        <w:t>名称（</w:t>
      </w:r>
      <w:r>
        <w:rPr>
          <w:rFonts w:hint="eastAsia" w:ascii="宋体" w:hAnsi="宋体" w:cs="宋体"/>
          <w:color w:val="auto"/>
          <w:spacing w:val="20"/>
          <w:sz w:val="22"/>
          <w:szCs w:val="22"/>
          <w:highlight w:val="none"/>
          <w:lang w:eastAsia="zh-CN"/>
        </w:rPr>
        <w:t>盖章或电子盖章</w:t>
      </w:r>
      <w:r>
        <w:rPr>
          <w:rFonts w:hint="eastAsia" w:ascii="宋体" w:hAnsi="宋体" w:eastAsia="宋体" w:cs="宋体"/>
          <w:color w:val="auto"/>
          <w:spacing w:val="20"/>
          <w:sz w:val="22"/>
          <w:szCs w:val="22"/>
          <w:highlight w:val="none"/>
        </w:rPr>
        <w:t>）：</w:t>
      </w:r>
    </w:p>
    <w:p w14:paraId="0C1F5429">
      <w:pPr>
        <w:spacing w:line="460" w:lineRule="exact"/>
        <w:jc w:val="center"/>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lang w:val="en-US" w:eastAsia="zh-CN"/>
        </w:rPr>
        <w:t>日</w:t>
      </w:r>
      <w:r>
        <w:rPr>
          <w:rFonts w:hint="eastAsia" w:ascii="宋体" w:hAnsi="宋体" w:eastAsia="宋体" w:cs="宋体"/>
          <w:color w:val="auto"/>
          <w:spacing w:val="20"/>
          <w:sz w:val="22"/>
          <w:szCs w:val="22"/>
          <w:highlight w:val="none"/>
        </w:rPr>
        <w:t xml:space="preserve"> 期：</w:t>
      </w:r>
    </w:p>
    <w:p w14:paraId="2444E888">
      <w:pPr>
        <w:spacing w:line="460" w:lineRule="exact"/>
        <w:rPr>
          <w:rFonts w:hint="eastAsia" w:ascii="宋体" w:hAnsi="宋体" w:eastAsia="宋体" w:cs="宋体"/>
          <w:color w:val="auto"/>
          <w:spacing w:val="20"/>
          <w:sz w:val="22"/>
          <w:szCs w:val="22"/>
          <w:highlight w:val="none"/>
        </w:rPr>
      </w:pPr>
    </w:p>
    <w:p w14:paraId="0979DF9C">
      <w:pP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br w:type="page"/>
      </w:r>
    </w:p>
    <w:p w14:paraId="51805C82">
      <w:pPr>
        <w:spacing w:line="420" w:lineRule="exact"/>
        <w:ind w:left="514" w:leftChars="245"/>
        <w:outlineLvl w:val="3"/>
        <w:rPr>
          <w:rFonts w:hint="eastAsia" w:ascii="宋体" w:hAnsi="宋体" w:eastAsia="宋体" w:cs="宋体"/>
          <w:b/>
          <w:bCs/>
          <w:color w:val="auto"/>
          <w:sz w:val="22"/>
          <w:szCs w:val="22"/>
          <w:highlight w:val="none"/>
        </w:rPr>
      </w:pPr>
      <w:r>
        <w:rPr>
          <w:rFonts w:hint="eastAsia" w:ascii="宋体" w:hAnsi="宋体" w:cs="宋体"/>
          <w:b/>
          <w:bCs/>
          <w:color w:val="auto"/>
          <w:sz w:val="28"/>
          <w:szCs w:val="28"/>
          <w:highlight w:val="none"/>
          <w:lang w:val="en-US" w:eastAsia="zh-CN"/>
        </w:rPr>
        <w:t>8</w:t>
      </w:r>
      <w:r>
        <w:rPr>
          <w:rFonts w:hint="eastAsia" w:ascii="宋体" w:hAnsi="宋体" w:eastAsia="宋体" w:cs="宋体"/>
          <w:b/>
          <w:bCs/>
          <w:color w:val="auto"/>
          <w:sz w:val="28"/>
          <w:szCs w:val="28"/>
          <w:highlight w:val="none"/>
        </w:rPr>
        <w:t>、监狱企业的相关证明材料</w:t>
      </w:r>
    </w:p>
    <w:p w14:paraId="1EC9D805">
      <w:pPr>
        <w:spacing w:line="460" w:lineRule="exact"/>
        <w:ind w:firstLine="571" w:firstLineChars="245"/>
        <w:rPr>
          <w:rFonts w:hint="eastAsia" w:ascii="宋体" w:hAnsi="宋体" w:eastAsia="宋体" w:cs="宋体"/>
          <w:b/>
          <w:bCs/>
          <w:color w:val="auto"/>
          <w:sz w:val="22"/>
          <w:szCs w:val="22"/>
          <w:highlight w:val="none"/>
          <w:u w:val="single"/>
          <w:lang w:val="zh-CN"/>
        </w:rPr>
      </w:pPr>
      <w:r>
        <w:rPr>
          <w:rFonts w:hint="eastAsia" w:ascii="宋体" w:hAnsi="宋体" w:eastAsia="宋体" w:cs="宋体"/>
          <w:b/>
          <w:color w:val="auto"/>
          <w:spacing w:val="6"/>
          <w:sz w:val="22"/>
          <w:szCs w:val="22"/>
          <w:highlight w:val="none"/>
        </w:rPr>
        <w:t>需提供相关证明材料，</w:t>
      </w:r>
      <w:r>
        <w:rPr>
          <w:rFonts w:hint="eastAsia" w:ascii="宋体" w:hAnsi="宋体" w:eastAsia="宋体" w:cs="宋体"/>
          <w:b/>
          <w:bCs/>
          <w:color w:val="auto"/>
          <w:sz w:val="22"/>
          <w:szCs w:val="22"/>
          <w:highlight w:val="none"/>
          <w:u w:val="single"/>
          <w:lang w:val="zh-CN"/>
        </w:rPr>
        <w:t>未提供证明材料或不能清楚辨析</w:t>
      </w:r>
      <w:r>
        <w:rPr>
          <w:rFonts w:hint="eastAsia" w:ascii="宋体" w:hAnsi="宋体" w:eastAsia="宋体" w:cs="宋体"/>
          <w:b/>
          <w:bCs/>
          <w:color w:val="auto"/>
          <w:sz w:val="22"/>
          <w:szCs w:val="22"/>
          <w:highlight w:val="none"/>
          <w:u w:val="single"/>
        </w:rPr>
        <w:t>是监狱企业的按非监狱企业处理，所提供的证明材料应为最新的最近的</w:t>
      </w:r>
      <w:r>
        <w:rPr>
          <w:rFonts w:hint="eastAsia" w:ascii="宋体" w:hAnsi="宋体" w:eastAsia="宋体" w:cs="宋体"/>
          <w:b/>
          <w:bCs/>
          <w:color w:val="auto"/>
          <w:sz w:val="22"/>
          <w:szCs w:val="22"/>
          <w:highlight w:val="none"/>
          <w:u w:val="single"/>
          <w:lang w:val="zh-CN"/>
        </w:rPr>
        <w:t>。</w:t>
      </w:r>
    </w:p>
    <w:p w14:paraId="1EB4E39F">
      <w:pPr>
        <w:adjustRightInd w:val="0"/>
        <w:snapToGrid w:val="0"/>
        <w:spacing w:line="300" w:lineRule="auto"/>
        <w:jc w:val="center"/>
        <w:rPr>
          <w:rFonts w:hint="eastAsia" w:ascii="宋体" w:hAnsi="宋体" w:eastAsia="宋体" w:cs="宋体"/>
          <w:b/>
          <w:color w:val="auto"/>
          <w:spacing w:val="6"/>
          <w:sz w:val="22"/>
          <w:szCs w:val="22"/>
          <w:highlight w:val="none"/>
        </w:rPr>
      </w:pPr>
    </w:p>
    <w:p w14:paraId="48FA5DF4">
      <w:pPr>
        <w:adjustRightInd w:val="0"/>
        <w:snapToGrid w:val="0"/>
        <w:spacing w:line="300" w:lineRule="auto"/>
        <w:jc w:val="center"/>
        <w:rPr>
          <w:rFonts w:hint="eastAsia" w:ascii="宋体" w:hAnsi="宋体" w:eastAsia="宋体" w:cs="宋体"/>
          <w:b/>
          <w:color w:val="auto"/>
          <w:spacing w:val="6"/>
          <w:sz w:val="22"/>
          <w:szCs w:val="22"/>
          <w:highlight w:val="none"/>
        </w:rPr>
      </w:pPr>
    </w:p>
    <w:p w14:paraId="5EA26EC2">
      <w:pPr>
        <w:adjustRightInd w:val="0"/>
        <w:snapToGrid w:val="0"/>
        <w:spacing w:line="300" w:lineRule="auto"/>
        <w:jc w:val="center"/>
        <w:rPr>
          <w:rFonts w:hint="eastAsia" w:ascii="宋体" w:hAnsi="宋体" w:eastAsia="宋体" w:cs="宋体"/>
          <w:b/>
          <w:color w:val="auto"/>
          <w:spacing w:val="6"/>
          <w:sz w:val="22"/>
          <w:szCs w:val="22"/>
          <w:highlight w:val="none"/>
        </w:rPr>
      </w:pPr>
    </w:p>
    <w:p w14:paraId="1353079E">
      <w:pPr>
        <w:adjustRightInd w:val="0"/>
        <w:snapToGrid w:val="0"/>
        <w:spacing w:line="300" w:lineRule="auto"/>
        <w:jc w:val="center"/>
        <w:rPr>
          <w:rFonts w:hint="eastAsia" w:ascii="宋体" w:hAnsi="宋体" w:eastAsia="宋体" w:cs="宋体"/>
          <w:color w:val="auto"/>
          <w:kern w:val="0"/>
          <w:sz w:val="22"/>
          <w:szCs w:val="22"/>
          <w:highlight w:val="none"/>
        </w:rPr>
      </w:pPr>
      <w:r>
        <w:rPr>
          <w:rFonts w:hint="eastAsia" w:ascii="宋体" w:hAnsi="宋体" w:eastAsia="宋体" w:cs="宋体"/>
          <w:b/>
          <w:color w:val="auto"/>
          <w:spacing w:val="6"/>
          <w:sz w:val="22"/>
          <w:szCs w:val="22"/>
          <w:highlight w:val="none"/>
        </w:rPr>
        <w:t>监狱企业声明函</w:t>
      </w:r>
    </w:p>
    <w:p w14:paraId="2907AF60">
      <w:pPr>
        <w:snapToGrid w:val="0"/>
        <w:spacing w:line="460" w:lineRule="exact"/>
        <w:ind w:firstLine="464" w:firstLineChars="200"/>
        <w:jc w:val="center"/>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【非监狱企业不用提供】</w:t>
      </w:r>
    </w:p>
    <w:p w14:paraId="51D0A7E4">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 xml:space="preserve">本企业郑重声明，根据《关于政府采购支持监狱企业发展有关问题的通知》（财库[2014]68号）的规定，本企业为监狱企业。 </w:t>
      </w:r>
    </w:p>
    <w:p w14:paraId="196F3322">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根据上述标准，我企业属于监狱企业的理由为：</w:t>
      </w:r>
      <w:r>
        <w:rPr>
          <w:rFonts w:hint="eastAsia" w:ascii="宋体" w:hAnsi="宋体" w:eastAsia="宋体" w:cs="宋体"/>
          <w:color w:val="auto"/>
          <w:spacing w:val="6"/>
          <w:sz w:val="22"/>
          <w:szCs w:val="22"/>
          <w:highlight w:val="none"/>
          <w:u w:val="single"/>
        </w:rPr>
        <w:t xml:space="preserve">                                   </w:t>
      </w:r>
      <w:r>
        <w:rPr>
          <w:rFonts w:hint="eastAsia" w:ascii="宋体" w:hAnsi="宋体" w:eastAsia="宋体" w:cs="宋体"/>
          <w:color w:val="auto"/>
          <w:spacing w:val="6"/>
          <w:sz w:val="22"/>
          <w:szCs w:val="22"/>
          <w:highlight w:val="none"/>
        </w:rPr>
        <w:t xml:space="preserve">。 </w:t>
      </w:r>
    </w:p>
    <w:p w14:paraId="36C6988C">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本企业为参加（招标项目名称</w:t>
      </w:r>
      <w:r>
        <w:rPr>
          <w:rFonts w:hint="eastAsia" w:ascii="宋体" w:hAnsi="宋体" w:eastAsia="宋体" w:cs="宋体"/>
          <w:color w:val="auto"/>
          <w:spacing w:val="6"/>
          <w:sz w:val="22"/>
          <w:szCs w:val="22"/>
          <w:highlight w:val="none"/>
          <w:u w:val="single"/>
        </w:rPr>
        <w:t xml:space="preserve">：         </w:t>
      </w:r>
      <w:r>
        <w:rPr>
          <w:rFonts w:hint="eastAsia" w:ascii="宋体" w:hAnsi="宋体" w:eastAsia="宋体" w:cs="宋体"/>
          <w:color w:val="auto"/>
          <w:spacing w:val="6"/>
          <w:sz w:val="22"/>
          <w:szCs w:val="22"/>
          <w:highlight w:val="none"/>
        </w:rPr>
        <w:t>）（招标编号</w:t>
      </w:r>
      <w:r>
        <w:rPr>
          <w:rFonts w:hint="eastAsia" w:ascii="宋体" w:hAnsi="宋体" w:eastAsia="宋体" w:cs="宋体"/>
          <w:color w:val="auto"/>
          <w:spacing w:val="6"/>
          <w:sz w:val="22"/>
          <w:szCs w:val="22"/>
          <w:highlight w:val="none"/>
          <w:u w:val="single"/>
        </w:rPr>
        <w:t xml:space="preserve">：         </w:t>
      </w:r>
      <w:r>
        <w:rPr>
          <w:rFonts w:hint="eastAsia" w:ascii="宋体" w:hAnsi="宋体" w:eastAsia="宋体" w:cs="宋体"/>
          <w:color w:val="auto"/>
          <w:spacing w:val="6"/>
          <w:sz w:val="22"/>
          <w:szCs w:val="22"/>
          <w:highlight w:val="none"/>
        </w:rPr>
        <w:t xml:space="preserve">）采购活动并承担本工程。 </w:t>
      </w:r>
    </w:p>
    <w:p w14:paraId="170CCA5F">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 xml:space="preserve">本企业对上述声明的真实性负责。如有虚假，将依法承担相应责任。  </w:t>
      </w:r>
    </w:p>
    <w:p w14:paraId="3FC1DAAB">
      <w:pPr>
        <w:adjustRightInd w:val="0"/>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投标人全称（</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 xml:space="preserve">                   </w:t>
      </w:r>
    </w:p>
    <w:p w14:paraId="6579A5FA">
      <w:pPr>
        <w:adjustRightInd w:val="0"/>
        <w:snapToGrid w:val="0"/>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日期：    年    月   日 </w:t>
      </w:r>
    </w:p>
    <w:p w14:paraId="3FFAED02">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 xml:space="preserve">监狱企业参加政府采购活动时，应当提供由省级以上监狱管理局、戒毒管理局（含新疆生产建设兵团）出具的属于监狱企业的证明文件。 </w:t>
      </w:r>
    </w:p>
    <w:p w14:paraId="13747787">
      <w:pPr>
        <w:adjustRightInd w:val="0"/>
        <w:snapToGrid w:val="0"/>
        <w:spacing w:line="460" w:lineRule="exact"/>
        <w:ind w:firstLine="464"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spacing w:val="6"/>
          <w:sz w:val="22"/>
          <w:szCs w:val="22"/>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4213435">
      <w:pPr>
        <w:spacing w:line="460" w:lineRule="exact"/>
        <w:rPr>
          <w:rFonts w:hint="eastAsia" w:ascii="宋体" w:hAnsi="宋体" w:eastAsia="宋体" w:cs="宋体"/>
          <w:color w:val="auto"/>
          <w:spacing w:val="20"/>
          <w:sz w:val="22"/>
          <w:szCs w:val="22"/>
          <w:highlight w:val="none"/>
        </w:rPr>
      </w:pPr>
    </w:p>
    <w:p w14:paraId="2A09E04F">
      <w:pPr>
        <w:spacing w:line="460" w:lineRule="exact"/>
        <w:rPr>
          <w:rFonts w:hint="eastAsia" w:ascii="宋体" w:hAnsi="宋体" w:eastAsia="宋体" w:cs="宋体"/>
          <w:color w:val="auto"/>
          <w:spacing w:val="20"/>
          <w:sz w:val="22"/>
          <w:szCs w:val="22"/>
          <w:highlight w:val="none"/>
        </w:rPr>
      </w:pPr>
    </w:p>
    <w:p w14:paraId="52069D17">
      <w:pPr>
        <w:spacing w:line="380" w:lineRule="exact"/>
        <w:rPr>
          <w:rFonts w:hint="eastAsia" w:ascii="宋体" w:hAnsi="宋体" w:eastAsia="宋体" w:cs="宋体"/>
          <w:color w:val="auto"/>
          <w:sz w:val="22"/>
          <w:szCs w:val="22"/>
          <w:highlight w:val="none"/>
        </w:rPr>
      </w:pPr>
    </w:p>
    <w:p w14:paraId="120DB661">
      <w:pPr>
        <w:spacing w:line="380" w:lineRule="exact"/>
        <w:rPr>
          <w:rFonts w:hint="eastAsia" w:ascii="宋体" w:hAnsi="宋体" w:eastAsia="宋体" w:cs="宋体"/>
          <w:color w:val="auto"/>
          <w:sz w:val="22"/>
          <w:szCs w:val="22"/>
          <w:highlight w:val="none"/>
        </w:rPr>
      </w:pPr>
    </w:p>
    <w:p w14:paraId="194DE255">
      <w:pPr>
        <w:spacing w:line="380" w:lineRule="exact"/>
        <w:rPr>
          <w:rFonts w:hint="eastAsia" w:ascii="宋体" w:hAnsi="宋体" w:eastAsia="宋体" w:cs="宋体"/>
          <w:color w:val="auto"/>
          <w:sz w:val="22"/>
          <w:szCs w:val="22"/>
          <w:highlight w:val="none"/>
        </w:rPr>
      </w:pPr>
    </w:p>
    <w:p w14:paraId="065AA01F">
      <w:pPr>
        <w:spacing w:line="380" w:lineRule="exact"/>
        <w:rPr>
          <w:rFonts w:hint="eastAsia" w:ascii="宋体" w:hAnsi="宋体" w:eastAsia="宋体" w:cs="宋体"/>
          <w:color w:val="auto"/>
          <w:sz w:val="22"/>
          <w:szCs w:val="22"/>
          <w:highlight w:val="none"/>
        </w:rPr>
      </w:pPr>
    </w:p>
    <w:p w14:paraId="39054574">
      <w:pPr>
        <w:spacing w:line="380" w:lineRule="exact"/>
        <w:rPr>
          <w:rFonts w:hint="eastAsia" w:ascii="宋体" w:hAnsi="宋体" w:eastAsia="宋体" w:cs="宋体"/>
          <w:color w:val="auto"/>
          <w:sz w:val="22"/>
          <w:szCs w:val="22"/>
          <w:highlight w:val="none"/>
        </w:rPr>
      </w:pPr>
    </w:p>
    <w:p w14:paraId="6A9BC54B">
      <w:pPr>
        <w:spacing w:line="380" w:lineRule="exact"/>
        <w:rPr>
          <w:rFonts w:hint="eastAsia" w:ascii="宋体" w:hAnsi="宋体" w:eastAsia="宋体" w:cs="宋体"/>
          <w:color w:val="auto"/>
          <w:sz w:val="22"/>
          <w:szCs w:val="22"/>
          <w:highlight w:val="none"/>
        </w:rPr>
      </w:pPr>
    </w:p>
    <w:p w14:paraId="58BC5917">
      <w:pPr>
        <w:spacing w:line="380" w:lineRule="exact"/>
        <w:rPr>
          <w:rFonts w:hint="eastAsia" w:ascii="宋体" w:hAnsi="宋体" w:eastAsia="宋体" w:cs="宋体"/>
          <w:color w:val="auto"/>
          <w:sz w:val="22"/>
          <w:szCs w:val="22"/>
          <w:highlight w:val="none"/>
        </w:rPr>
      </w:pPr>
    </w:p>
    <w:p w14:paraId="6AB4F283">
      <w:pPr>
        <w:spacing w:line="380" w:lineRule="exact"/>
        <w:rPr>
          <w:rFonts w:hint="eastAsia" w:ascii="宋体" w:hAnsi="宋体" w:eastAsia="宋体" w:cs="宋体"/>
          <w:color w:val="auto"/>
          <w:sz w:val="22"/>
          <w:szCs w:val="22"/>
          <w:highlight w:val="none"/>
        </w:rPr>
      </w:pPr>
    </w:p>
    <w:p w14:paraId="7BB9080E">
      <w:pPr>
        <w:pStyle w:val="22"/>
        <w:rPr>
          <w:rFonts w:hint="eastAsia" w:ascii="宋体" w:hAnsi="宋体" w:eastAsia="宋体" w:cs="宋体"/>
          <w:color w:val="auto"/>
          <w:highlight w:val="none"/>
        </w:rPr>
      </w:pPr>
    </w:p>
    <w:p w14:paraId="35C4EACD">
      <w:pPr>
        <w:pStyle w:val="22"/>
        <w:rPr>
          <w:rFonts w:hint="eastAsia" w:ascii="宋体" w:hAnsi="宋体" w:eastAsia="宋体" w:cs="宋体"/>
          <w:color w:val="auto"/>
          <w:highlight w:val="none"/>
        </w:rPr>
      </w:pPr>
    </w:p>
    <w:p w14:paraId="225E7E8B">
      <w:pPr>
        <w:spacing w:line="420" w:lineRule="exact"/>
        <w:ind w:left="514" w:leftChars="245"/>
        <w:outlineLvl w:val="3"/>
        <w:rPr>
          <w:rFonts w:hint="eastAsia" w:ascii="宋体" w:hAnsi="宋体" w:eastAsia="宋体" w:cs="宋体"/>
          <w:b/>
          <w:bCs/>
          <w:color w:val="auto"/>
          <w:sz w:val="22"/>
          <w:szCs w:val="22"/>
          <w:highlight w:val="none"/>
        </w:rPr>
      </w:pPr>
      <w:r>
        <w:rPr>
          <w:rFonts w:hint="eastAsia" w:ascii="宋体" w:hAnsi="宋体" w:cs="宋体"/>
          <w:b/>
          <w:bCs/>
          <w:color w:val="auto"/>
          <w:sz w:val="28"/>
          <w:szCs w:val="28"/>
          <w:highlight w:val="none"/>
          <w:lang w:val="en-US" w:eastAsia="zh-CN"/>
        </w:rPr>
        <w:t>9</w:t>
      </w:r>
      <w:r>
        <w:rPr>
          <w:rFonts w:hint="eastAsia" w:ascii="宋体" w:hAnsi="宋体" w:eastAsia="宋体" w:cs="宋体"/>
          <w:b/>
          <w:bCs/>
          <w:color w:val="auto"/>
          <w:sz w:val="28"/>
          <w:szCs w:val="28"/>
          <w:highlight w:val="none"/>
        </w:rPr>
        <w:t>、残疾人福利性单位的相关证明材料</w:t>
      </w:r>
    </w:p>
    <w:p w14:paraId="4227565C">
      <w:pPr>
        <w:spacing w:line="460" w:lineRule="exact"/>
        <w:ind w:firstLine="699" w:firstLineChars="300"/>
        <w:rPr>
          <w:rFonts w:hint="eastAsia" w:ascii="宋体" w:hAnsi="宋体" w:eastAsia="宋体" w:cs="宋体"/>
          <w:color w:val="auto"/>
          <w:spacing w:val="20"/>
          <w:sz w:val="22"/>
          <w:szCs w:val="22"/>
          <w:highlight w:val="none"/>
        </w:rPr>
      </w:pPr>
      <w:r>
        <w:rPr>
          <w:rFonts w:hint="eastAsia" w:ascii="宋体" w:hAnsi="宋体" w:eastAsia="宋体" w:cs="宋体"/>
          <w:b/>
          <w:color w:val="auto"/>
          <w:spacing w:val="6"/>
          <w:sz w:val="22"/>
          <w:szCs w:val="22"/>
          <w:highlight w:val="none"/>
        </w:rPr>
        <w:t>需提供相关证明材料，</w:t>
      </w:r>
      <w:r>
        <w:rPr>
          <w:rFonts w:hint="eastAsia" w:ascii="宋体" w:hAnsi="宋体" w:eastAsia="宋体" w:cs="宋体"/>
          <w:b/>
          <w:bCs/>
          <w:color w:val="auto"/>
          <w:sz w:val="22"/>
          <w:szCs w:val="22"/>
          <w:highlight w:val="none"/>
          <w:u w:val="single"/>
          <w:lang w:val="zh-CN"/>
        </w:rPr>
        <w:t>未提供证明材料或不能清楚辨析</w:t>
      </w:r>
      <w:r>
        <w:rPr>
          <w:rFonts w:hint="eastAsia" w:ascii="宋体" w:hAnsi="宋体" w:eastAsia="宋体" w:cs="宋体"/>
          <w:b/>
          <w:bCs/>
          <w:color w:val="auto"/>
          <w:sz w:val="22"/>
          <w:szCs w:val="22"/>
          <w:highlight w:val="none"/>
          <w:u w:val="single"/>
        </w:rPr>
        <w:t>是残疾人福利性单位的按非残疾人福利性单位处理，所提供的证明材料应为最新的最近的</w:t>
      </w:r>
      <w:r>
        <w:rPr>
          <w:rFonts w:hint="eastAsia" w:ascii="宋体" w:hAnsi="宋体" w:eastAsia="宋体" w:cs="宋体"/>
          <w:b/>
          <w:bCs/>
          <w:color w:val="auto"/>
          <w:sz w:val="22"/>
          <w:szCs w:val="22"/>
          <w:highlight w:val="none"/>
          <w:u w:val="single"/>
          <w:lang w:val="zh-CN"/>
        </w:rPr>
        <w:t>。</w:t>
      </w:r>
    </w:p>
    <w:p w14:paraId="3328C57B">
      <w:pPr>
        <w:spacing w:line="460" w:lineRule="exact"/>
        <w:rPr>
          <w:rFonts w:hint="eastAsia" w:ascii="宋体" w:hAnsi="宋体" w:eastAsia="宋体" w:cs="宋体"/>
          <w:color w:val="auto"/>
          <w:spacing w:val="20"/>
          <w:sz w:val="22"/>
          <w:szCs w:val="22"/>
          <w:highlight w:val="none"/>
        </w:rPr>
      </w:pPr>
    </w:p>
    <w:p w14:paraId="5E57300E">
      <w:pPr>
        <w:spacing w:line="460" w:lineRule="exact"/>
        <w:rPr>
          <w:rFonts w:hint="eastAsia" w:ascii="宋体" w:hAnsi="宋体" w:eastAsia="宋体" w:cs="宋体"/>
          <w:color w:val="auto"/>
          <w:spacing w:val="20"/>
          <w:sz w:val="22"/>
          <w:szCs w:val="22"/>
          <w:highlight w:val="none"/>
        </w:rPr>
      </w:pPr>
    </w:p>
    <w:p w14:paraId="420FA326">
      <w:pPr>
        <w:spacing w:line="460" w:lineRule="exact"/>
        <w:jc w:val="center"/>
        <w:rPr>
          <w:rFonts w:hint="eastAsia" w:ascii="宋体" w:hAnsi="宋体" w:eastAsia="宋体" w:cs="宋体"/>
          <w:color w:val="auto"/>
          <w:spacing w:val="6"/>
          <w:sz w:val="22"/>
          <w:szCs w:val="22"/>
          <w:highlight w:val="none"/>
        </w:rPr>
      </w:pPr>
      <w:r>
        <w:rPr>
          <w:rFonts w:hint="eastAsia" w:ascii="宋体" w:hAnsi="宋体" w:eastAsia="宋体" w:cs="宋体"/>
          <w:b/>
          <w:color w:val="auto"/>
          <w:spacing w:val="6"/>
          <w:sz w:val="22"/>
          <w:szCs w:val="22"/>
          <w:highlight w:val="none"/>
        </w:rPr>
        <w:t>残疾人福利性单位声明函</w:t>
      </w:r>
    </w:p>
    <w:p w14:paraId="495D3925">
      <w:pPr>
        <w:widowControl/>
        <w:adjustRightInd w:val="0"/>
        <w:snapToGrid w:val="0"/>
        <w:spacing w:line="460" w:lineRule="exact"/>
        <w:ind w:firstLine="440" w:firstLineChars="20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【不属于残疾人福利性单位的无需填写、递交】</w:t>
      </w:r>
    </w:p>
    <w:p w14:paraId="15BDBF77">
      <w:pPr>
        <w:snapToGrid w:val="0"/>
        <w:spacing w:line="460" w:lineRule="exact"/>
        <w:jc w:val="center"/>
        <w:rPr>
          <w:rFonts w:hint="eastAsia" w:ascii="宋体" w:hAnsi="宋体" w:eastAsia="宋体" w:cs="宋体"/>
          <w:b/>
          <w:bCs/>
          <w:color w:val="auto"/>
          <w:sz w:val="22"/>
          <w:szCs w:val="22"/>
          <w:highlight w:val="none"/>
        </w:rPr>
      </w:pPr>
    </w:p>
    <w:p w14:paraId="61FAF35D">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本单位郑重声明，根据《财政部民政部中国残疾人联合会关于促进残疾人就业政府采购政策的通知》（财库</w:t>
      </w:r>
      <w:r>
        <w:rPr>
          <w:rFonts w:hint="eastAsia" w:ascii="宋体" w:hAnsi="宋体" w:eastAsia="宋体" w:cs="宋体"/>
          <w:color w:val="auto"/>
          <w:sz w:val="22"/>
          <w:szCs w:val="22"/>
          <w:highlight w:val="none"/>
        </w:rPr>
        <w:t>〔2017〕141</w:t>
      </w:r>
      <w:r>
        <w:rPr>
          <w:rFonts w:hint="eastAsia" w:ascii="宋体" w:hAnsi="宋体" w:eastAsia="宋体" w:cs="宋体"/>
          <w:color w:val="auto"/>
          <w:spacing w:val="6"/>
          <w:sz w:val="22"/>
          <w:szCs w:val="22"/>
          <w:highlight w:val="none"/>
        </w:rPr>
        <w:t>号）的规定，本单位为符合条件的残疾人福利性单位，且本单位参加</w:t>
      </w:r>
      <w:r>
        <w:rPr>
          <w:rFonts w:hint="eastAsia" w:ascii="宋体" w:hAnsi="宋体" w:eastAsia="宋体" w:cs="宋体"/>
          <w:color w:val="auto"/>
          <w:spacing w:val="6"/>
          <w:sz w:val="22"/>
          <w:szCs w:val="22"/>
          <w:highlight w:val="none"/>
          <w:u w:val="single"/>
        </w:rPr>
        <w:t>（招标人名称）</w:t>
      </w:r>
      <w:r>
        <w:rPr>
          <w:rFonts w:hint="eastAsia" w:ascii="宋体" w:hAnsi="宋体" w:eastAsia="宋体" w:cs="宋体"/>
          <w:color w:val="auto"/>
          <w:spacing w:val="6"/>
          <w:sz w:val="22"/>
          <w:szCs w:val="22"/>
          <w:highlight w:val="none"/>
        </w:rPr>
        <w:t>单位的</w:t>
      </w:r>
      <w:r>
        <w:rPr>
          <w:rFonts w:hint="eastAsia" w:ascii="宋体" w:hAnsi="宋体" w:eastAsia="宋体" w:cs="宋体"/>
          <w:color w:val="auto"/>
          <w:spacing w:val="6"/>
          <w:sz w:val="22"/>
          <w:szCs w:val="22"/>
          <w:highlight w:val="none"/>
          <w:u w:val="single"/>
        </w:rPr>
        <w:t>（招标项目名称）</w:t>
      </w:r>
      <w:r>
        <w:rPr>
          <w:rFonts w:hint="eastAsia" w:ascii="宋体" w:hAnsi="宋体" w:eastAsia="宋体" w:cs="宋体"/>
          <w:color w:val="auto"/>
          <w:spacing w:val="6"/>
          <w:sz w:val="22"/>
          <w:szCs w:val="22"/>
          <w:highlight w:val="none"/>
        </w:rPr>
        <w:t>项目采购活动提供本单位制造的货物（由本单位承担工程/提供服务），或者提供其他残疾人福利性单位制造的货物（不包括使用非残疾人福利性单位注册商标的货物）。</w:t>
      </w:r>
    </w:p>
    <w:p w14:paraId="36BA523D">
      <w:pPr>
        <w:snapToGrid w:val="0"/>
        <w:spacing w:line="460" w:lineRule="exact"/>
        <w:ind w:firstLine="464" w:firstLineChars="200"/>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rPr>
        <w:t>本单位对上述声明的真实性负责。如有虚假，将依法承担相应责任。</w:t>
      </w:r>
    </w:p>
    <w:p w14:paraId="5F1500E8">
      <w:pPr>
        <w:snapToGrid w:val="0"/>
        <w:spacing w:line="460" w:lineRule="exact"/>
        <w:ind w:firstLine="464" w:firstLineChars="200"/>
        <w:rPr>
          <w:rFonts w:hint="eastAsia" w:ascii="宋体" w:hAnsi="宋体" w:eastAsia="宋体" w:cs="宋体"/>
          <w:color w:val="auto"/>
          <w:spacing w:val="6"/>
          <w:sz w:val="22"/>
          <w:szCs w:val="22"/>
          <w:highlight w:val="none"/>
        </w:rPr>
      </w:pPr>
    </w:p>
    <w:p w14:paraId="2274C930">
      <w:pPr>
        <w:snapToGrid w:val="0"/>
        <w:spacing w:line="460" w:lineRule="exact"/>
        <w:ind w:firstLine="464" w:firstLineChars="200"/>
        <w:rPr>
          <w:rFonts w:hint="eastAsia" w:ascii="宋体" w:hAnsi="宋体" w:eastAsia="宋体" w:cs="宋体"/>
          <w:color w:val="auto"/>
          <w:spacing w:val="6"/>
          <w:sz w:val="22"/>
          <w:szCs w:val="22"/>
          <w:highlight w:val="none"/>
        </w:rPr>
      </w:pPr>
    </w:p>
    <w:p w14:paraId="3C220778">
      <w:pPr>
        <w:adjustRightInd w:val="0"/>
        <w:snapToGrid w:val="0"/>
        <w:spacing w:line="460" w:lineRule="exact"/>
        <w:ind w:firstLine="440" w:firstLineChars="20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rPr>
        <w:t>投标人全称（</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color w:val="auto"/>
          <w:kern w:val="0"/>
          <w:sz w:val="22"/>
          <w:szCs w:val="22"/>
          <w:highlight w:val="none"/>
          <w:u w:val="single"/>
        </w:rPr>
        <w:t xml:space="preserve">                    </w:t>
      </w:r>
    </w:p>
    <w:p w14:paraId="2BCA1C46">
      <w:pPr>
        <w:pStyle w:val="22"/>
        <w:spacing w:line="460" w:lineRule="exact"/>
        <w:ind w:left="437" w:leftChars="208"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日期：    年   月  日</w:t>
      </w:r>
    </w:p>
    <w:p w14:paraId="5FC358E0">
      <w:pPr>
        <w:pStyle w:val="22"/>
        <w:spacing w:line="460" w:lineRule="exact"/>
        <w:ind w:left="440" w:hanging="440"/>
        <w:rPr>
          <w:rFonts w:hint="eastAsia" w:ascii="宋体" w:hAnsi="宋体" w:eastAsia="宋体" w:cs="宋体"/>
          <w:color w:val="auto"/>
          <w:kern w:val="0"/>
          <w:sz w:val="22"/>
          <w:szCs w:val="22"/>
          <w:highlight w:val="none"/>
        </w:rPr>
      </w:pPr>
    </w:p>
    <w:p w14:paraId="65C03E0A">
      <w:pPr>
        <w:pStyle w:val="22"/>
        <w:ind w:left="440" w:hanging="440"/>
        <w:rPr>
          <w:rFonts w:hint="eastAsia" w:ascii="宋体" w:hAnsi="宋体" w:eastAsia="宋体" w:cs="宋体"/>
          <w:color w:val="auto"/>
          <w:kern w:val="0"/>
          <w:sz w:val="22"/>
          <w:szCs w:val="22"/>
          <w:highlight w:val="none"/>
        </w:rPr>
      </w:pPr>
    </w:p>
    <w:p w14:paraId="6BB57976">
      <w:pPr>
        <w:pStyle w:val="22"/>
        <w:ind w:left="440" w:hanging="440"/>
        <w:rPr>
          <w:rFonts w:hint="eastAsia" w:ascii="宋体" w:hAnsi="宋体" w:eastAsia="宋体" w:cs="宋体"/>
          <w:color w:val="auto"/>
          <w:kern w:val="0"/>
          <w:sz w:val="22"/>
          <w:szCs w:val="22"/>
          <w:highlight w:val="none"/>
        </w:rPr>
      </w:pPr>
    </w:p>
    <w:p w14:paraId="167F6AE1">
      <w:pPr>
        <w:pStyle w:val="22"/>
        <w:ind w:left="440" w:hanging="440"/>
        <w:rPr>
          <w:rFonts w:hint="eastAsia" w:ascii="宋体" w:hAnsi="宋体" w:eastAsia="宋体" w:cs="宋体"/>
          <w:color w:val="auto"/>
          <w:kern w:val="0"/>
          <w:sz w:val="22"/>
          <w:szCs w:val="22"/>
          <w:highlight w:val="none"/>
        </w:rPr>
      </w:pPr>
    </w:p>
    <w:p w14:paraId="0FD0F7F8">
      <w:pPr>
        <w:pStyle w:val="22"/>
        <w:ind w:left="440" w:hanging="440"/>
        <w:rPr>
          <w:rFonts w:hint="eastAsia" w:ascii="宋体" w:hAnsi="宋体" w:eastAsia="宋体" w:cs="宋体"/>
          <w:color w:val="auto"/>
          <w:kern w:val="0"/>
          <w:sz w:val="22"/>
          <w:szCs w:val="22"/>
          <w:highlight w:val="none"/>
        </w:rPr>
      </w:pPr>
    </w:p>
    <w:p w14:paraId="59C2296E">
      <w:pPr>
        <w:pStyle w:val="22"/>
        <w:ind w:left="440" w:hanging="440"/>
        <w:rPr>
          <w:rFonts w:hint="eastAsia" w:ascii="宋体" w:hAnsi="宋体" w:eastAsia="宋体" w:cs="宋体"/>
          <w:color w:val="auto"/>
          <w:kern w:val="0"/>
          <w:sz w:val="22"/>
          <w:szCs w:val="22"/>
          <w:highlight w:val="none"/>
        </w:rPr>
      </w:pPr>
    </w:p>
    <w:p w14:paraId="1258DD4B">
      <w:pPr>
        <w:pStyle w:val="22"/>
        <w:ind w:left="440" w:hanging="440"/>
        <w:rPr>
          <w:rFonts w:hint="eastAsia" w:ascii="宋体" w:hAnsi="宋体" w:eastAsia="宋体" w:cs="宋体"/>
          <w:color w:val="auto"/>
          <w:kern w:val="0"/>
          <w:sz w:val="22"/>
          <w:szCs w:val="22"/>
          <w:highlight w:val="none"/>
        </w:rPr>
      </w:pPr>
    </w:p>
    <w:p w14:paraId="4F0A7507">
      <w:pPr>
        <w:pStyle w:val="22"/>
        <w:ind w:left="440" w:hanging="440"/>
        <w:rPr>
          <w:rFonts w:hint="eastAsia" w:ascii="宋体" w:hAnsi="宋体" w:eastAsia="宋体" w:cs="宋体"/>
          <w:color w:val="auto"/>
          <w:kern w:val="0"/>
          <w:sz w:val="22"/>
          <w:szCs w:val="22"/>
          <w:highlight w:val="none"/>
        </w:rPr>
      </w:pPr>
    </w:p>
    <w:p w14:paraId="17ECC315">
      <w:pPr>
        <w:pStyle w:val="22"/>
        <w:ind w:left="440" w:hanging="440"/>
        <w:rPr>
          <w:rFonts w:hint="eastAsia" w:ascii="宋体" w:hAnsi="宋体" w:eastAsia="宋体" w:cs="宋体"/>
          <w:color w:val="auto"/>
          <w:kern w:val="0"/>
          <w:sz w:val="22"/>
          <w:szCs w:val="22"/>
          <w:highlight w:val="none"/>
        </w:rPr>
      </w:pPr>
    </w:p>
    <w:p w14:paraId="48405C0C">
      <w:pPr>
        <w:pStyle w:val="22"/>
        <w:ind w:left="440" w:hanging="440"/>
        <w:rPr>
          <w:rFonts w:hint="eastAsia" w:ascii="宋体" w:hAnsi="宋体" w:eastAsia="宋体" w:cs="宋体"/>
          <w:color w:val="auto"/>
          <w:kern w:val="0"/>
          <w:sz w:val="22"/>
          <w:szCs w:val="22"/>
          <w:highlight w:val="none"/>
        </w:rPr>
      </w:pPr>
    </w:p>
    <w:p w14:paraId="6E3132C2">
      <w:pPr>
        <w:pStyle w:val="22"/>
        <w:ind w:left="440" w:hanging="440"/>
        <w:rPr>
          <w:rFonts w:hint="eastAsia" w:ascii="宋体" w:hAnsi="宋体" w:eastAsia="宋体" w:cs="宋体"/>
          <w:color w:val="auto"/>
          <w:kern w:val="0"/>
          <w:sz w:val="22"/>
          <w:szCs w:val="22"/>
          <w:highlight w:val="none"/>
        </w:rPr>
      </w:pPr>
    </w:p>
    <w:p w14:paraId="5BC37BE6">
      <w:pPr>
        <w:pStyle w:val="22"/>
        <w:ind w:left="440" w:hanging="440"/>
        <w:rPr>
          <w:rFonts w:hint="eastAsia" w:ascii="宋体" w:hAnsi="宋体" w:eastAsia="宋体" w:cs="宋体"/>
          <w:color w:val="auto"/>
          <w:kern w:val="0"/>
          <w:sz w:val="22"/>
          <w:szCs w:val="22"/>
          <w:highlight w:val="none"/>
        </w:rPr>
      </w:pPr>
    </w:p>
    <w:p w14:paraId="45677E7A">
      <w:pPr>
        <w:pStyle w:val="22"/>
        <w:ind w:left="440" w:hanging="440"/>
        <w:rPr>
          <w:rFonts w:hint="eastAsia" w:ascii="宋体" w:hAnsi="宋体" w:eastAsia="宋体" w:cs="宋体"/>
          <w:color w:val="auto"/>
          <w:kern w:val="0"/>
          <w:sz w:val="22"/>
          <w:szCs w:val="22"/>
          <w:highlight w:val="none"/>
        </w:rPr>
      </w:pPr>
    </w:p>
    <w:p w14:paraId="7014F2D2">
      <w:pPr>
        <w:pStyle w:val="22"/>
        <w:ind w:left="440" w:hanging="440"/>
        <w:rPr>
          <w:rFonts w:hint="eastAsia" w:ascii="宋体" w:hAnsi="宋体" w:eastAsia="宋体" w:cs="宋体"/>
          <w:color w:val="auto"/>
          <w:kern w:val="0"/>
          <w:sz w:val="22"/>
          <w:szCs w:val="22"/>
          <w:highlight w:val="none"/>
        </w:rPr>
      </w:pPr>
    </w:p>
    <w:p w14:paraId="720D7D28">
      <w:pPr>
        <w:pStyle w:val="22"/>
        <w:ind w:left="440" w:hanging="440"/>
        <w:rPr>
          <w:rFonts w:hint="eastAsia" w:ascii="宋体" w:hAnsi="宋体" w:eastAsia="宋体" w:cs="宋体"/>
          <w:color w:val="auto"/>
          <w:kern w:val="0"/>
          <w:sz w:val="22"/>
          <w:szCs w:val="22"/>
          <w:highlight w:val="none"/>
        </w:rPr>
      </w:pPr>
    </w:p>
    <w:p w14:paraId="36CB543F">
      <w:pPr>
        <w:pStyle w:val="22"/>
        <w:ind w:left="440" w:hanging="440"/>
        <w:rPr>
          <w:rFonts w:hint="eastAsia" w:ascii="宋体" w:hAnsi="宋体" w:eastAsia="宋体" w:cs="宋体"/>
          <w:color w:val="auto"/>
          <w:kern w:val="0"/>
          <w:sz w:val="22"/>
          <w:szCs w:val="22"/>
          <w:highlight w:val="none"/>
        </w:rPr>
      </w:pPr>
    </w:p>
    <w:p w14:paraId="35159551">
      <w:pP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br w:type="page"/>
      </w:r>
    </w:p>
    <w:p w14:paraId="2B3D29BB">
      <w:pPr>
        <w:outlineLvl w:val="1"/>
        <w:rPr>
          <w:rFonts w:hint="eastAsia" w:ascii="宋体" w:hAnsi="宋体" w:eastAsia="宋体" w:cs="宋体"/>
          <w:b/>
          <w:bCs/>
          <w:color w:val="auto"/>
          <w:sz w:val="22"/>
          <w:szCs w:val="22"/>
          <w:highlight w:val="none"/>
        </w:rPr>
      </w:pPr>
      <w:bookmarkStart w:id="31" w:name="_Toc18884"/>
      <w:r>
        <w:rPr>
          <w:rFonts w:hint="eastAsia" w:ascii="宋体" w:hAnsi="宋体" w:eastAsia="宋体" w:cs="宋体"/>
          <w:b/>
          <w:bCs/>
          <w:color w:val="auto"/>
          <w:sz w:val="22"/>
          <w:szCs w:val="22"/>
          <w:highlight w:val="none"/>
        </w:rPr>
        <w:t>附件三</w:t>
      </w:r>
      <w:bookmarkEnd w:id="31"/>
    </w:p>
    <w:p w14:paraId="68DE9DCD">
      <w:pPr>
        <w:spacing w:line="460" w:lineRule="exact"/>
        <w:jc w:val="center"/>
        <w:outlineLvl w:val="2"/>
        <w:rPr>
          <w:rFonts w:hint="eastAsia" w:ascii="宋体" w:hAnsi="宋体" w:eastAsia="宋体" w:cs="宋体"/>
          <w:b/>
          <w:bCs/>
          <w:color w:val="auto"/>
          <w:sz w:val="28"/>
          <w:szCs w:val="28"/>
          <w:highlight w:val="none"/>
          <w:lang w:val="zh-CN"/>
        </w:rPr>
      </w:pPr>
      <w:bookmarkStart w:id="32" w:name="_Toc12246"/>
      <w:r>
        <w:rPr>
          <w:rFonts w:hint="eastAsia" w:ascii="宋体" w:hAnsi="宋体" w:eastAsia="宋体" w:cs="宋体"/>
          <w:b/>
          <w:bCs/>
          <w:color w:val="auto"/>
          <w:sz w:val="28"/>
          <w:szCs w:val="28"/>
          <w:highlight w:val="none"/>
          <w:lang w:val="zh-CN"/>
        </w:rPr>
        <w:t>商务技术文件</w:t>
      </w:r>
      <w:bookmarkEnd w:id="32"/>
    </w:p>
    <w:p w14:paraId="4C84DE7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bCs/>
          <w:color w:val="auto"/>
          <w:sz w:val="28"/>
          <w:szCs w:val="28"/>
          <w:highlight w:val="none"/>
          <w:lang w:val="en-US" w:eastAsia="zh-CN"/>
        </w:rPr>
      </w:pPr>
    </w:p>
    <w:p w14:paraId="1B0D2372">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1、法定代表人授权书</w:t>
      </w:r>
    </w:p>
    <w:p w14:paraId="0BFCAA34">
      <w:pPr>
        <w:spacing w:line="460" w:lineRule="exac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eastAsia="zh-CN"/>
        </w:rPr>
        <w:t>温州市公安局交通管理局、</w:t>
      </w:r>
      <w:r>
        <w:rPr>
          <w:rFonts w:hint="eastAsia" w:ascii="宋体" w:hAnsi="宋体" w:cs="宋体"/>
          <w:color w:val="auto"/>
          <w:sz w:val="22"/>
          <w:szCs w:val="22"/>
          <w:highlight w:val="none"/>
          <w:lang w:val="en-US" w:eastAsia="zh-CN"/>
        </w:rPr>
        <w:t>温州历程招标有限公司</w:t>
      </w:r>
      <w:r>
        <w:rPr>
          <w:rFonts w:hint="eastAsia" w:ascii="宋体" w:hAnsi="宋体" w:eastAsia="宋体" w:cs="宋体"/>
          <w:color w:val="auto"/>
          <w:sz w:val="22"/>
          <w:szCs w:val="22"/>
          <w:highlight w:val="none"/>
        </w:rPr>
        <w:t>：</w:t>
      </w:r>
    </w:p>
    <w:p w14:paraId="1E46D01F">
      <w:pPr>
        <w:spacing w:line="460" w:lineRule="exact"/>
        <w:rPr>
          <w:rFonts w:hint="eastAsia" w:ascii="宋体" w:hAnsi="宋体" w:eastAsia="宋体" w:cs="宋体"/>
          <w:color w:val="auto"/>
          <w:sz w:val="22"/>
          <w:szCs w:val="22"/>
          <w:highlight w:val="none"/>
          <w:u w:val="single"/>
        </w:rPr>
      </w:pPr>
    </w:p>
    <w:p w14:paraId="2CED1339">
      <w:pPr>
        <w:spacing w:line="4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（投标人全称）法定代表人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授权</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（全权代表姓名）为全权代表，参加贵处组织的（项目名称</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、编号</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）的招标活动，全权代表我方处理招标活动中的一切事宜。</w:t>
      </w:r>
    </w:p>
    <w:p w14:paraId="553C3CB0">
      <w:pPr>
        <w:spacing w:line="460" w:lineRule="exact"/>
        <w:ind w:firstLine="2955"/>
        <w:rPr>
          <w:rFonts w:hint="eastAsia" w:ascii="宋体" w:hAnsi="宋体" w:eastAsia="宋体" w:cs="宋体"/>
          <w:color w:val="auto"/>
          <w:sz w:val="22"/>
          <w:szCs w:val="22"/>
          <w:highlight w:val="none"/>
        </w:rPr>
      </w:pPr>
    </w:p>
    <w:p w14:paraId="2FF69B89">
      <w:pPr>
        <w:spacing w:line="460" w:lineRule="exact"/>
        <w:ind w:firstLine="29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1F9C7FC3">
      <w:pPr>
        <w:spacing w:line="460" w:lineRule="exact"/>
        <w:ind w:firstLine="4081" w:firstLineChars="18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  (签字或</w:t>
      </w:r>
      <w:r>
        <w:rPr>
          <w:rFonts w:hint="eastAsia" w:ascii="宋体" w:hAnsi="宋体" w:cs="宋体"/>
          <w:color w:val="auto"/>
          <w:sz w:val="22"/>
          <w:szCs w:val="22"/>
          <w:highlight w:val="none"/>
          <w:lang w:eastAsia="zh-CN"/>
        </w:rPr>
        <w:t>盖章或电子盖章</w:t>
      </w:r>
      <w:r>
        <w:rPr>
          <w:rFonts w:hint="eastAsia" w:ascii="宋体" w:hAnsi="宋体" w:eastAsia="宋体" w:cs="宋体"/>
          <w:color w:val="auto"/>
          <w:sz w:val="22"/>
          <w:szCs w:val="22"/>
          <w:highlight w:val="none"/>
        </w:rPr>
        <w:t>)：</w:t>
      </w:r>
    </w:p>
    <w:p w14:paraId="10DD8BB2">
      <w:pPr>
        <w:spacing w:line="460" w:lineRule="exact"/>
        <w:ind w:firstLine="29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投标人全称（公章</w:t>
      </w:r>
      <w:r>
        <w:rPr>
          <w:rFonts w:hint="eastAsia" w:ascii="宋体" w:hAnsi="宋体" w:cs="宋体"/>
          <w:color w:val="auto"/>
          <w:sz w:val="22"/>
          <w:szCs w:val="22"/>
          <w:highlight w:val="none"/>
          <w:lang w:val="en-US" w:eastAsia="zh-CN"/>
        </w:rPr>
        <w:t>或电子公章</w:t>
      </w:r>
      <w:r>
        <w:rPr>
          <w:rFonts w:hint="eastAsia" w:ascii="宋体" w:hAnsi="宋体" w:eastAsia="宋体" w:cs="宋体"/>
          <w:color w:val="auto"/>
          <w:sz w:val="22"/>
          <w:szCs w:val="22"/>
          <w:highlight w:val="none"/>
        </w:rPr>
        <w:t>）：</w:t>
      </w:r>
    </w:p>
    <w:p w14:paraId="6DE488BA">
      <w:pPr>
        <w:spacing w:line="460" w:lineRule="exact"/>
        <w:ind w:firstLine="295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w:t>
      </w:r>
    </w:p>
    <w:p w14:paraId="045A06B6">
      <w:pPr>
        <w:spacing w:line="380" w:lineRule="exact"/>
        <w:rPr>
          <w:rFonts w:hint="eastAsia" w:ascii="宋体" w:hAnsi="宋体" w:eastAsia="宋体" w:cs="宋体"/>
          <w:color w:val="auto"/>
          <w:sz w:val="22"/>
          <w:szCs w:val="22"/>
          <w:highlight w:val="none"/>
        </w:rPr>
      </w:pPr>
    </w:p>
    <w:p w14:paraId="562A0645">
      <w:pPr>
        <w:spacing w:line="380" w:lineRule="exact"/>
        <w:rPr>
          <w:rFonts w:hint="eastAsia" w:ascii="宋体" w:hAnsi="宋体" w:eastAsia="宋体" w:cs="宋体"/>
          <w:color w:val="auto"/>
          <w:sz w:val="22"/>
          <w:szCs w:val="22"/>
          <w:highlight w:val="none"/>
        </w:rPr>
      </w:pPr>
    </w:p>
    <w:p w14:paraId="3F57F8F1">
      <w:pPr>
        <w:spacing w:line="380" w:lineRule="exact"/>
        <w:rPr>
          <w:rFonts w:hint="eastAsia" w:ascii="宋体" w:hAnsi="宋体" w:eastAsia="宋体" w:cs="宋体"/>
          <w:color w:val="auto"/>
          <w:sz w:val="22"/>
          <w:szCs w:val="22"/>
          <w:highlight w:val="none"/>
        </w:rPr>
      </w:pPr>
    </w:p>
    <w:p w14:paraId="450E939C">
      <w:pPr>
        <w:spacing w:line="460" w:lineRule="exact"/>
        <w:ind w:firstLine="541" w:firstLineChars="24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附：</w:t>
      </w:r>
    </w:p>
    <w:p w14:paraId="67389A95">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 xml:space="preserve">授权代表姓名：                               </w:t>
      </w:r>
    </w:p>
    <w:p w14:paraId="4E6D107A">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职务：</w:t>
      </w:r>
    </w:p>
    <w:p w14:paraId="4B741B34">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详细通讯地址：</w:t>
      </w:r>
    </w:p>
    <w:p w14:paraId="5F422218">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电话：</w:t>
      </w:r>
    </w:p>
    <w:p w14:paraId="281D1585">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传真：</w:t>
      </w:r>
    </w:p>
    <w:p w14:paraId="027559BB">
      <w:pPr>
        <w:spacing w:line="460" w:lineRule="exact"/>
        <w:ind w:firstLine="539" w:firstLineChars="24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邮政编码:</w:t>
      </w:r>
    </w:p>
    <w:p w14:paraId="21BDE00E">
      <w:pPr>
        <w:spacing w:line="380" w:lineRule="exact"/>
        <w:rPr>
          <w:rFonts w:hint="eastAsia" w:ascii="宋体" w:hAnsi="宋体" w:eastAsia="宋体" w:cs="宋体"/>
          <w:color w:val="auto"/>
          <w:sz w:val="22"/>
          <w:szCs w:val="22"/>
          <w:highlight w:val="none"/>
        </w:rPr>
      </w:pPr>
    </w:p>
    <w:p w14:paraId="5CD3588C">
      <w:pPr>
        <w:spacing w:line="460" w:lineRule="exact"/>
        <w:jc w:val="center"/>
        <w:rPr>
          <w:rFonts w:hint="eastAsia" w:ascii="宋体" w:hAnsi="宋体" w:eastAsia="宋体" w:cs="宋体"/>
          <w:b/>
          <w:bCs/>
          <w:color w:val="auto"/>
          <w:sz w:val="28"/>
          <w:szCs w:val="28"/>
          <w:highlight w:val="none"/>
        </w:rPr>
      </w:pPr>
    </w:p>
    <w:p w14:paraId="04FC1E44">
      <w:pPr>
        <w:spacing w:line="460" w:lineRule="exact"/>
        <w:jc w:val="center"/>
        <w:rPr>
          <w:rFonts w:hint="eastAsia" w:ascii="宋体" w:hAnsi="宋体" w:eastAsia="宋体" w:cs="宋体"/>
          <w:b/>
          <w:bCs/>
          <w:color w:val="auto"/>
          <w:sz w:val="28"/>
          <w:szCs w:val="28"/>
          <w:highlight w:val="none"/>
        </w:rPr>
      </w:pPr>
    </w:p>
    <w:p w14:paraId="327C270C">
      <w:pPr>
        <w:spacing w:line="460" w:lineRule="exact"/>
        <w:jc w:val="center"/>
        <w:rPr>
          <w:rFonts w:hint="eastAsia" w:ascii="宋体" w:hAnsi="宋体" w:eastAsia="宋体" w:cs="宋体"/>
          <w:b/>
          <w:bCs/>
          <w:color w:val="auto"/>
          <w:sz w:val="28"/>
          <w:szCs w:val="28"/>
          <w:highlight w:val="none"/>
        </w:rPr>
      </w:pPr>
    </w:p>
    <w:p w14:paraId="3D243125">
      <w:pPr>
        <w:spacing w:line="460" w:lineRule="exact"/>
        <w:jc w:val="center"/>
        <w:rPr>
          <w:rFonts w:hint="eastAsia" w:ascii="宋体" w:hAnsi="宋体" w:eastAsia="宋体" w:cs="宋体"/>
          <w:b/>
          <w:bCs/>
          <w:color w:val="auto"/>
          <w:sz w:val="28"/>
          <w:szCs w:val="28"/>
          <w:highlight w:val="none"/>
        </w:rPr>
      </w:pPr>
    </w:p>
    <w:p w14:paraId="635C5FD0">
      <w:pPr>
        <w:spacing w:line="460" w:lineRule="exact"/>
        <w:jc w:val="center"/>
        <w:rPr>
          <w:rFonts w:hint="eastAsia" w:ascii="宋体" w:hAnsi="宋体" w:eastAsia="宋体" w:cs="宋体"/>
          <w:b/>
          <w:bCs/>
          <w:color w:val="auto"/>
          <w:sz w:val="28"/>
          <w:szCs w:val="28"/>
          <w:highlight w:val="none"/>
        </w:rPr>
      </w:pPr>
    </w:p>
    <w:p w14:paraId="0242777E">
      <w:pPr>
        <w:spacing w:line="460" w:lineRule="exact"/>
        <w:jc w:val="center"/>
        <w:rPr>
          <w:rFonts w:hint="eastAsia" w:ascii="宋体" w:hAnsi="宋体" w:eastAsia="宋体" w:cs="宋体"/>
          <w:b/>
          <w:bCs/>
          <w:color w:val="auto"/>
          <w:sz w:val="28"/>
          <w:szCs w:val="28"/>
          <w:highlight w:val="none"/>
        </w:rPr>
      </w:pPr>
    </w:p>
    <w:p w14:paraId="73A5E6DF">
      <w:pPr>
        <w:spacing w:line="460" w:lineRule="exact"/>
        <w:jc w:val="center"/>
        <w:rPr>
          <w:rFonts w:hint="eastAsia" w:ascii="宋体" w:hAnsi="宋体" w:eastAsia="宋体" w:cs="宋体"/>
          <w:b/>
          <w:bCs/>
          <w:color w:val="auto"/>
          <w:sz w:val="28"/>
          <w:szCs w:val="28"/>
          <w:highlight w:val="none"/>
        </w:rPr>
      </w:pPr>
    </w:p>
    <w:p w14:paraId="0419FD98">
      <w:pPr>
        <w:spacing w:line="460" w:lineRule="exact"/>
        <w:jc w:val="center"/>
        <w:rPr>
          <w:rFonts w:hint="eastAsia" w:ascii="宋体" w:hAnsi="宋体" w:eastAsia="宋体" w:cs="宋体"/>
          <w:b/>
          <w:bCs/>
          <w:color w:val="auto"/>
          <w:sz w:val="28"/>
          <w:szCs w:val="28"/>
          <w:highlight w:val="none"/>
        </w:rPr>
      </w:pPr>
    </w:p>
    <w:p w14:paraId="6AE463E3">
      <w:pPr>
        <w:spacing w:line="460" w:lineRule="exact"/>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2"/>
          <w:szCs w:val="22"/>
          <w:highlight w:val="none"/>
          <w:lang w:val="zh-CN"/>
        </w:rPr>
        <mc:AlternateContent>
          <mc:Choice Requires="wps">
            <w:drawing>
              <wp:anchor distT="0" distB="0" distL="114300" distR="114300" simplePos="0" relativeHeight="251661312" behindDoc="0" locked="0" layoutInCell="1" allowOverlap="1">
                <wp:simplePos x="0" y="0"/>
                <wp:positionH relativeFrom="column">
                  <wp:posOffset>113665</wp:posOffset>
                </wp:positionH>
                <wp:positionV relativeFrom="paragraph">
                  <wp:posOffset>320675</wp:posOffset>
                </wp:positionV>
                <wp:extent cx="6254115" cy="3004185"/>
                <wp:effectExtent l="5080" t="4445" r="8255" b="10795"/>
                <wp:wrapNone/>
                <wp:docPr id="2" name="Text Box 2"/>
                <wp:cNvGraphicFramePr/>
                <a:graphic xmlns:a="http://schemas.openxmlformats.org/drawingml/2006/main">
                  <a:graphicData uri="http://schemas.microsoft.com/office/word/2010/wordprocessingShape">
                    <wps:wsp>
                      <wps:cNvSpPr txBox="1"/>
                      <wps:spPr>
                        <a:xfrm>
                          <a:off x="0" y="0"/>
                          <a:ext cx="6254115" cy="3004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86655C">
                            <w:r>
                              <w:rPr>
                                <w:rFonts w:hint="eastAsia" w:ascii="新宋体" w:hAnsi="新宋体" w:eastAsia="新宋体"/>
                                <w:sz w:val="22"/>
                                <w:szCs w:val="22"/>
                              </w:rPr>
                              <w:t xml:space="preserve">  法定代表人身份证（正反面）：</w:t>
                            </w:r>
                          </w:p>
                        </w:txbxContent>
                      </wps:txbx>
                      <wps:bodyPr upright="1"/>
                    </wps:wsp>
                  </a:graphicData>
                </a:graphic>
              </wp:anchor>
            </w:drawing>
          </mc:Choice>
          <mc:Fallback>
            <w:pict>
              <v:shape id="Text Box 2" o:spid="_x0000_s1026" o:spt="202" type="#_x0000_t202" style="position:absolute;left:0pt;margin-left:8.95pt;margin-top:25.25pt;height:236.55pt;width:492.45pt;z-index:251661312;mso-width-relative:page;mso-height-relative:page;" fillcolor="#FFFFFF" filled="t" stroked="t" coordsize="21600,21600" o:gfxdata="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9wjaNgAAAAKAQAADwAAAAAAAAABACAAAAAiAAAAZHJzL2Rv&#10;d25yZXYueG1sUEsBAhQAFAAAAAgAh07iQGVZRSYBAgAARAQAAA4AAAAAAAAAAQAgAAAAJwEAAGRy&#10;cy9lMm9Eb2MueG1sUEsFBgAAAAAGAAYAWQEAAJoFAAAAAA==&#10;">
                <v:fill on="t" focussize="0,0"/>
                <v:stroke color="#000000" joinstyle="miter"/>
                <v:imagedata o:title=""/>
                <o:lock v:ext="edit" aspectratio="f"/>
                <v:textbox>
                  <w:txbxContent>
                    <w:p w14:paraId="1586655C">
                      <w:r>
                        <w:rPr>
                          <w:rFonts w:hint="eastAsia" w:ascii="新宋体" w:hAnsi="新宋体" w:eastAsia="新宋体"/>
                          <w:sz w:val="22"/>
                          <w:szCs w:val="22"/>
                        </w:rPr>
                        <w:t xml:space="preserve">  法定代表人身份证（正反面）：</w:t>
                      </w:r>
                    </w:p>
                  </w:txbxContent>
                </v:textbox>
              </v:shape>
            </w:pict>
          </mc:Fallback>
        </mc:AlternateContent>
      </w:r>
    </w:p>
    <w:p w14:paraId="3A737FC4">
      <w:pPr>
        <w:spacing w:line="460" w:lineRule="exact"/>
        <w:jc w:val="center"/>
        <w:rPr>
          <w:rFonts w:hint="eastAsia" w:ascii="宋体" w:hAnsi="宋体" w:eastAsia="宋体" w:cs="宋体"/>
          <w:b/>
          <w:bCs/>
          <w:color w:val="auto"/>
          <w:sz w:val="28"/>
          <w:szCs w:val="28"/>
          <w:highlight w:val="none"/>
        </w:rPr>
      </w:pPr>
    </w:p>
    <w:p w14:paraId="3C93088E">
      <w:pPr>
        <w:spacing w:line="460" w:lineRule="exact"/>
        <w:jc w:val="center"/>
        <w:rPr>
          <w:rFonts w:hint="eastAsia" w:ascii="宋体" w:hAnsi="宋体" w:eastAsia="宋体" w:cs="宋体"/>
          <w:b/>
          <w:bCs/>
          <w:color w:val="auto"/>
          <w:sz w:val="28"/>
          <w:szCs w:val="28"/>
          <w:highlight w:val="none"/>
        </w:rPr>
      </w:pPr>
    </w:p>
    <w:p w14:paraId="1676C3D1">
      <w:pPr>
        <w:spacing w:line="460" w:lineRule="exact"/>
        <w:jc w:val="center"/>
        <w:rPr>
          <w:rFonts w:hint="eastAsia" w:ascii="宋体" w:hAnsi="宋体" w:eastAsia="宋体" w:cs="宋体"/>
          <w:b/>
          <w:bCs/>
          <w:color w:val="auto"/>
          <w:sz w:val="28"/>
          <w:szCs w:val="28"/>
          <w:highlight w:val="none"/>
        </w:rPr>
      </w:pPr>
    </w:p>
    <w:p w14:paraId="07173310">
      <w:pPr>
        <w:spacing w:line="460" w:lineRule="exact"/>
        <w:jc w:val="center"/>
        <w:rPr>
          <w:rFonts w:hint="eastAsia" w:ascii="宋体" w:hAnsi="宋体" w:eastAsia="宋体" w:cs="宋体"/>
          <w:b/>
          <w:bCs/>
          <w:color w:val="auto"/>
          <w:sz w:val="28"/>
          <w:szCs w:val="28"/>
          <w:highlight w:val="none"/>
        </w:rPr>
      </w:pPr>
    </w:p>
    <w:p w14:paraId="5B2F9F56">
      <w:pPr>
        <w:spacing w:line="460" w:lineRule="exact"/>
        <w:jc w:val="center"/>
        <w:rPr>
          <w:rFonts w:hint="eastAsia" w:ascii="宋体" w:hAnsi="宋体" w:eastAsia="宋体" w:cs="宋体"/>
          <w:b/>
          <w:bCs/>
          <w:color w:val="auto"/>
          <w:sz w:val="28"/>
          <w:szCs w:val="28"/>
          <w:highlight w:val="none"/>
        </w:rPr>
      </w:pPr>
    </w:p>
    <w:p w14:paraId="3288F234">
      <w:pPr>
        <w:spacing w:line="460" w:lineRule="exact"/>
        <w:jc w:val="center"/>
        <w:rPr>
          <w:rFonts w:hint="eastAsia" w:ascii="宋体" w:hAnsi="宋体" w:eastAsia="宋体" w:cs="宋体"/>
          <w:b/>
          <w:bCs/>
          <w:color w:val="auto"/>
          <w:sz w:val="28"/>
          <w:szCs w:val="28"/>
          <w:highlight w:val="none"/>
        </w:rPr>
      </w:pPr>
    </w:p>
    <w:p w14:paraId="650C9199">
      <w:pPr>
        <w:spacing w:line="460" w:lineRule="exact"/>
        <w:jc w:val="center"/>
        <w:rPr>
          <w:rFonts w:hint="eastAsia" w:ascii="宋体" w:hAnsi="宋体" w:eastAsia="宋体" w:cs="宋体"/>
          <w:b/>
          <w:bCs/>
          <w:color w:val="auto"/>
          <w:sz w:val="28"/>
          <w:szCs w:val="28"/>
          <w:highlight w:val="none"/>
        </w:rPr>
      </w:pPr>
    </w:p>
    <w:p w14:paraId="4B5A3F59">
      <w:pPr>
        <w:spacing w:line="460" w:lineRule="exact"/>
        <w:jc w:val="center"/>
        <w:rPr>
          <w:rFonts w:hint="eastAsia" w:ascii="宋体" w:hAnsi="宋体" w:eastAsia="宋体" w:cs="宋体"/>
          <w:b/>
          <w:bCs/>
          <w:color w:val="auto"/>
          <w:sz w:val="28"/>
          <w:szCs w:val="28"/>
          <w:highlight w:val="none"/>
        </w:rPr>
      </w:pPr>
    </w:p>
    <w:p w14:paraId="5A080041">
      <w:pPr>
        <w:spacing w:line="460" w:lineRule="exact"/>
        <w:jc w:val="center"/>
        <w:rPr>
          <w:rFonts w:hint="eastAsia" w:ascii="宋体" w:hAnsi="宋体" w:eastAsia="宋体" w:cs="宋体"/>
          <w:b/>
          <w:bCs/>
          <w:color w:val="auto"/>
          <w:sz w:val="28"/>
          <w:szCs w:val="28"/>
          <w:highlight w:val="none"/>
        </w:rPr>
      </w:pPr>
    </w:p>
    <w:p w14:paraId="182D6449">
      <w:pPr>
        <w:spacing w:line="460" w:lineRule="exact"/>
        <w:jc w:val="center"/>
        <w:rPr>
          <w:rFonts w:hint="eastAsia" w:ascii="宋体" w:hAnsi="宋体" w:eastAsia="宋体" w:cs="宋体"/>
          <w:b/>
          <w:bCs/>
          <w:color w:val="auto"/>
          <w:sz w:val="28"/>
          <w:szCs w:val="28"/>
          <w:highlight w:val="none"/>
        </w:rPr>
      </w:pPr>
    </w:p>
    <w:p w14:paraId="5B5D0E4F">
      <w:pPr>
        <w:spacing w:line="460" w:lineRule="exact"/>
        <w:jc w:val="center"/>
        <w:rPr>
          <w:rFonts w:hint="eastAsia" w:ascii="宋体" w:hAnsi="宋体" w:eastAsia="宋体" w:cs="宋体"/>
          <w:b/>
          <w:bCs/>
          <w:color w:val="auto"/>
          <w:sz w:val="28"/>
          <w:szCs w:val="28"/>
          <w:highlight w:val="none"/>
        </w:rPr>
      </w:pPr>
    </w:p>
    <w:p w14:paraId="489E418C">
      <w:pPr>
        <w:spacing w:line="460" w:lineRule="exact"/>
        <w:jc w:val="center"/>
        <w:rPr>
          <w:rFonts w:hint="eastAsia" w:ascii="宋体" w:hAnsi="宋体" w:eastAsia="宋体" w:cs="宋体"/>
          <w:b/>
          <w:bCs/>
          <w:color w:val="auto"/>
          <w:sz w:val="28"/>
          <w:szCs w:val="28"/>
          <w:highlight w:val="none"/>
        </w:rPr>
      </w:pPr>
    </w:p>
    <w:p w14:paraId="022BDD27">
      <w:pPr>
        <w:spacing w:line="460" w:lineRule="exact"/>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2"/>
          <w:szCs w:val="22"/>
          <w:highlight w:val="none"/>
          <w:lang w:val="zh-CN"/>
        </w:rPr>
        <mc:AlternateContent>
          <mc:Choice Requires="wps">
            <w:drawing>
              <wp:anchor distT="0" distB="0" distL="114300" distR="114300" simplePos="0" relativeHeight="251662336" behindDoc="0" locked="0" layoutInCell="1" allowOverlap="1">
                <wp:simplePos x="0" y="0"/>
                <wp:positionH relativeFrom="column">
                  <wp:posOffset>88265</wp:posOffset>
                </wp:positionH>
                <wp:positionV relativeFrom="paragraph">
                  <wp:posOffset>-53975</wp:posOffset>
                </wp:positionV>
                <wp:extent cx="6303645" cy="3875405"/>
                <wp:effectExtent l="4445" t="5080" r="6985" b="5715"/>
                <wp:wrapNone/>
                <wp:docPr id="24" name="文本框 26"/>
                <wp:cNvGraphicFramePr/>
                <a:graphic xmlns:a="http://schemas.openxmlformats.org/drawingml/2006/main">
                  <a:graphicData uri="http://schemas.microsoft.com/office/word/2010/wordprocessingShape">
                    <wps:wsp>
                      <wps:cNvSpPr txBox="1"/>
                      <wps:spPr>
                        <a:xfrm>
                          <a:off x="0" y="0"/>
                          <a:ext cx="6303645" cy="3875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3C4215">
                            <w:r>
                              <w:rPr>
                                <w:rFonts w:hint="eastAsia" w:ascii="新宋体" w:hAnsi="新宋体" w:eastAsia="新宋体"/>
                                <w:sz w:val="22"/>
                                <w:szCs w:val="22"/>
                              </w:rPr>
                              <w:t xml:space="preserve">  授权代表身份证（正反面）：</w:t>
                            </w:r>
                          </w:p>
                        </w:txbxContent>
                      </wps:txbx>
                      <wps:bodyPr upright="1"/>
                    </wps:wsp>
                  </a:graphicData>
                </a:graphic>
              </wp:anchor>
            </w:drawing>
          </mc:Choice>
          <mc:Fallback>
            <w:pict>
              <v:shape id="文本框 26" o:spid="_x0000_s1026" o:spt="202" type="#_x0000_t202" style="position:absolute;left:0pt;margin-left:6.95pt;margin-top:-4.25pt;height:305.15pt;width:496.35pt;z-index:251662336;mso-width-relative:page;mso-height-relative:page;" fillcolor="#FFFFFF" filled="t" stroked="t" coordsize="21600,21600" o:gfxdata="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GqLXdgAAAAKAQAADwAAAAAA&#10;AAABACAAAAAiAAAAZHJzL2Rvd25yZXYueG1sUEsBAhQAFAAAAAgAh07iQBrPWoUTAgAARwQAAA4A&#10;AAAAAAAAAQAgAAAAJwEAAGRycy9lMm9Eb2MueG1sUEsFBgAAAAAGAAYAWQEAAKwFAAAAAA==&#10;">
                <v:fill on="t" focussize="0,0"/>
                <v:stroke color="#000000" joinstyle="miter"/>
                <v:imagedata o:title=""/>
                <o:lock v:ext="edit" aspectratio="f"/>
                <v:textbox>
                  <w:txbxContent>
                    <w:p w14:paraId="343C4215">
                      <w:r>
                        <w:rPr>
                          <w:rFonts w:hint="eastAsia" w:ascii="新宋体" w:hAnsi="新宋体" w:eastAsia="新宋体"/>
                          <w:sz w:val="22"/>
                          <w:szCs w:val="22"/>
                        </w:rPr>
                        <w:t xml:space="preserve">  授权代表身份证（正反面）：</w:t>
                      </w:r>
                    </w:p>
                  </w:txbxContent>
                </v:textbox>
              </v:shape>
            </w:pict>
          </mc:Fallback>
        </mc:AlternateContent>
      </w:r>
    </w:p>
    <w:p w14:paraId="1C5390FE">
      <w:pPr>
        <w:spacing w:line="460" w:lineRule="exact"/>
        <w:jc w:val="center"/>
        <w:rPr>
          <w:rFonts w:hint="eastAsia" w:ascii="宋体" w:hAnsi="宋体" w:eastAsia="宋体" w:cs="宋体"/>
          <w:b/>
          <w:bCs/>
          <w:color w:val="auto"/>
          <w:sz w:val="28"/>
          <w:szCs w:val="28"/>
          <w:highlight w:val="none"/>
        </w:rPr>
      </w:pPr>
    </w:p>
    <w:p w14:paraId="5FB0DC8D">
      <w:pPr>
        <w:spacing w:line="460" w:lineRule="exact"/>
        <w:jc w:val="center"/>
        <w:rPr>
          <w:rFonts w:hint="eastAsia" w:ascii="宋体" w:hAnsi="宋体" w:eastAsia="宋体" w:cs="宋体"/>
          <w:b/>
          <w:bCs/>
          <w:color w:val="auto"/>
          <w:sz w:val="28"/>
          <w:szCs w:val="28"/>
          <w:highlight w:val="none"/>
        </w:rPr>
      </w:pPr>
    </w:p>
    <w:p w14:paraId="0A9AD9AD">
      <w:pPr>
        <w:spacing w:line="460" w:lineRule="exact"/>
        <w:jc w:val="center"/>
        <w:rPr>
          <w:rFonts w:hint="eastAsia" w:ascii="宋体" w:hAnsi="宋体" w:eastAsia="宋体" w:cs="宋体"/>
          <w:b/>
          <w:bCs/>
          <w:color w:val="auto"/>
          <w:sz w:val="28"/>
          <w:szCs w:val="28"/>
          <w:highlight w:val="none"/>
        </w:rPr>
      </w:pPr>
    </w:p>
    <w:p w14:paraId="39FEC0F3">
      <w:pPr>
        <w:spacing w:line="460" w:lineRule="exact"/>
        <w:jc w:val="center"/>
        <w:rPr>
          <w:rFonts w:hint="eastAsia" w:ascii="宋体" w:hAnsi="宋体" w:eastAsia="宋体" w:cs="宋体"/>
          <w:b/>
          <w:bCs/>
          <w:color w:val="auto"/>
          <w:sz w:val="28"/>
          <w:szCs w:val="28"/>
          <w:highlight w:val="none"/>
        </w:rPr>
      </w:pPr>
    </w:p>
    <w:p w14:paraId="704D0667">
      <w:pPr>
        <w:spacing w:line="460" w:lineRule="exact"/>
        <w:jc w:val="center"/>
        <w:rPr>
          <w:rFonts w:hint="eastAsia" w:ascii="宋体" w:hAnsi="宋体" w:eastAsia="宋体" w:cs="宋体"/>
          <w:b/>
          <w:bCs/>
          <w:color w:val="auto"/>
          <w:sz w:val="28"/>
          <w:szCs w:val="28"/>
          <w:highlight w:val="none"/>
        </w:rPr>
      </w:pPr>
    </w:p>
    <w:p w14:paraId="38F82C08">
      <w:pPr>
        <w:spacing w:line="460" w:lineRule="exact"/>
        <w:jc w:val="center"/>
        <w:rPr>
          <w:rFonts w:hint="eastAsia" w:ascii="宋体" w:hAnsi="宋体" w:eastAsia="宋体" w:cs="宋体"/>
          <w:b/>
          <w:bCs/>
          <w:color w:val="auto"/>
          <w:sz w:val="28"/>
          <w:szCs w:val="28"/>
          <w:highlight w:val="none"/>
        </w:rPr>
      </w:pPr>
    </w:p>
    <w:p w14:paraId="02B00FB1">
      <w:pPr>
        <w:spacing w:line="460" w:lineRule="exact"/>
        <w:jc w:val="center"/>
        <w:rPr>
          <w:rFonts w:hint="eastAsia" w:ascii="宋体" w:hAnsi="宋体" w:eastAsia="宋体" w:cs="宋体"/>
          <w:b/>
          <w:bCs/>
          <w:color w:val="auto"/>
          <w:sz w:val="28"/>
          <w:szCs w:val="28"/>
          <w:highlight w:val="none"/>
        </w:rPr>
      </w:pPr>
    </w:p>
    <w:p w14:paraId="18CF4117">
      <w:pPr>
        <w:spacing w:line="460" w:lineRule="exact"/>
        <w:jc w:val="center"/>
        <w:rPr>
          <w:rFonts w:hint="eastAsia" w:ascii="宋体" w:hAnsi="宋体" w:eastAsia="宋体" w:cs="宋体"/>
          <w:b/>
          <w:bCs/>
          <w:color w:val="auto"/>
          <w:sz w:val="28"/>
          <w:szCs w:val="28"/>
          <w:highlight w:val="none"/>
        </w:rPr>
      </w:pPr>
    </w:p>
    <w:p w14:paraId="04DB514C">
      <w:pPr>
        <w:spacing w:line="460" w:lineRule="exact"/>
        <w:jc w:val="center"/>
        <w:rPr>
          <w:rFonts w:hint="eastAsia" w:ascii="宋体" w:hAnsi="宋体" w:eastAsia="宋体" w:cs="宋体"/>
          <w:b/>
          <w:bCs/>
          <w:color w:val="auto"/>
          <w:sz w:val="28"/>
          <w:szCs w:val="28"/>
          <w:highlight w:val="none"/>
        </w:rPr>
      </w:pPr>
    </w:p>
    <w:p w14:paraId="006E3857">
      <w:pPr>
        <w:spacing w:line="460" w:lineRule="exact"/>
        <w:jc w:val="center"/>
        <w:rPr>
          <w:rFonts w:hint="eastAsia" w:ascii="宋体" w:hAnsi="宋体" w:eastAsia="宋体" w:cs="宋体"/>
          <w:b/>
          <w:bCs/>
          <w:color w:val="auto"/>
          <w:sz w:val="28"/>
          <w:szCs w:val="28"/>
          <w:highlight w:val="none"/>
        </w:rPr>
      </w:pPr>
    </w:p>
    <w:p w14:paraId="59F0EC5C">
      <w:pPr>
        <w:spacing w:line="460" w:lineRule="exact"/>
        <w:jc w:val="center"/>
        <w:rPr>
          <w:rFonts w:hint="eastAsia" w:ascii="宋体" w:hAnsi="宋体" w:eastAsia="宋体" w:cs="宋体"/>
          <w:b/>
          <w:bCs/>
          <w:color w:val="auto"/>
          <w:sz w:val="28"/>
          <w:szCs w:val="28"/>
          <w:highlight w:val="none"/>
        </w:rPr>
      </w:pPr>
    </w:p>
    <w:p w14:paraId="0C2FC137">
      <w:pPr>
        <w:spacing w:line="460" w:lineRule="exact"/>
        <w:jc w:val="center"/>
        <w:rPr>
          <w:rFonts w:hint="eastAsia" w:ascii="宋体" w:hAnsi="宋体" w:eastAsia="宋体" w:cs="宋体"/>
          <w:b/>
          <w:bCs/>
          <w:color w:val="auto"/>
          <w:sz w:val="28"/>
          <w:szCs w:val="28"/>
          <w:highlight w:val="none"/>
        </w:rPr>
      </w:pPr>
    </w:p>
    <w:p w14:paraId="270AB18F">
      <w:pPr>
        <w:spacing w:line="460" w:lineRule="exact"/>
        <w:jc w:val="center"/>
        <w:rPr>
          <w:rFonts w:hint="eastAsia" w:ascii="宋体" w:hAnsi="宋体" w:eastAsia="宋体" w:cs="宋体"/>
          <w:b/>
          <w:bCs/>
          <w:color w:val="auto"/>
          <w:sz w:val="28"/>
          <w:szCs w:val="28"/>
          <w:highlight w:val="none"/>
        </w:rPr>
      </w:pPr>
    </w:p>
    <w:p w14:paraId="3E56C385">
      <w:pPr>
        <w:spacing w:line="460" w:lineRule="exact"/>
        <w:jc w:val="center"/>
        <w:rPr>
          <w:rFonts w:hint="eastAsia" w:ascii="宋体" w:hAnsi="宋体" w:eastAsia="宋体" w:cs="宋体"/>
          <w:b/>
          <w:bCs/>
          <w:color w:val="auto"/>
          <w:sz w:val="28"/>
          <w:szCs w:val="28"/>
          <w:highlight w:val="none"/>
        </w:rPr>
      </w:pPr>
    </w:p>
    <w:p w14:paraId="1E442568">
      <w:pPr>
        <w:spacing w:line="460" w:lineRule="exact"/>
        <w:jc w:val="center"/>
        <w:rPr>
          <w:rFonts w:hint="eastAsia" w:ascii="宋体" w:hAnsi="宋体" w:eastAsia="宋体" w:cs="宋体"/>
          <w:b/>
          <w:bCs/>
          <w:color w:val="auto"/>
          <w:sz w:val="28"/>
          <w:szCs w:val="28"/>
          <w:highlight w:val="none"/>
        </w:rPr>
      </w:pPr>
    </w:p>
    <w:p w14:paraId="60C0D7FF">
      <w:pPr>
        <w:widowControl/>
        <w:spacing w:line="460" w:lineRule="exact"/>
        <w:jc w:val="left"/>
        <w:rPr>
          <w:rFonts w:ascii="新宋体" w:hAnsi="新宋体" w:eastAsia="新宋体" w:cs="新宋体"/>
          <w:color w:val="auto"/>
          <w:kern w:val="0"/>
          <w:sz w:val="22"/>
          <w:szCs w:val="22"/>
          <w:highlight w:val="none"/>
        </w:rPr>
        <w:sectPr>
          <w:headerReference r:id="rId3" w:type="default"/>
          <w:footerReference r:id="rId4" w:type="default"/>
          <w:pgSz w:w="11907" w:h="16840"/>
          <w:pgMar w:top="1134" w:right="1134" w:bottom="1134" w:left="1134" w:header="851" w:footer="851" w:gutter="0"/>
          <w:pgBorders>
            <w:top w:val="none" w:sz="0" w:space="0"/>
            <w:left w:val="none" w:sz="0" w:space="0"/>
            <w:bottom w:val="none" w:sz="0" w:space="0"/>
            <w:right w:val="none" w:sz="0" w:space="0"/>
          </w:pgBorders>
          <w:pgNumType w:start="1"/>
          <w:cols w:space="720" w:num="1"/>
        </w:sectPr>
      </w:pPr>
    </w:p>
    <w:p w14:paraId="570A4E70">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2、投标人情况表</w:t>
      </w:r>
    </w:p>
    <w:p w14:paraId="769DF2CD">
      <w:pPr>
        <w:tabs>
          <w:tab w:val="left" w:pos="780"/>
        </w:tabs>
        <w:spacing w:line="400" w:lineRule="exac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项目名称：                                                                       项目编号：</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15"/>
        <w:gridCol w:w="1689"/>
        <w:gridCol w:w="728"/>
        <w:gridCol w:w="387"/>
        <w:gridCol w:w="1100"/>
        <w:gridCol w:w="1488"/>
        <w:gridCol w:w="1488"/>
        <w:gridCol w:w="1502"/>
        <w:gridCol w:w="1488"/>
        <w:gridCol w:w="1115"/>
        <w:gridCol w:w="355"/>
        <w:gridCol w:w="1106"/>
      </w:tblGrid>
      <w:tr w14:paraId="4F38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tcPr>
          <w:p w14:paraId="4C943971">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单位名称（</w:t>
            </w:r>
            <w:r>
              <w:rPr>
                <w:rFonts w:hint="eastAsia" w:ascii="宋体" w:hAnsi="宋体" w:cs="宋体"/>
                <w:color w:val="auto"/>
                <w:sz w:val="22"/>
                <w:szCs w:val="22"/>
                <w:highlight w:val="none"/>
                <w:lang w:eastAsia="zh-CN"/>
              </w:rPr>
              <w:t>盖章或电子盖章</w:t>
            </w:r>
            <w:r>
              <w:rPr>
                <w:rFonts w:hint="eastAsia" w:ascii="宋体" w:hAnsi="宋体" w:eastAsia="宋体" w:cs="宋体"/>
                <w:color w:val="auto"/>
                <w:sz w:val="22"/>
                <w:szCs w:val="22"/>
                <w:highlight w:val="none"/>
              </w:rPr>
              <w:t>）</w:t>
            </w:r>
          </w:p>
        </w:tc>
        <w:tc>
          <w:tcPr>
            <w:tcW w:w="2804" w:type="dxa"/>
            <w:gridSpan w:val="2"/>
          </w:tcPr>
          <w:p w14:paraId="6C8B9B48">
            <w:pPr>
              <w:spacing w:line="480" w:lineRule="exact"/>
              <w:rPr>
                <w:rFonts w:hint="eastAsia" w:ascii="宋体" w:hAnsi="宋体" w:eastAsia="宋体" w:cs="宋体"/>
                <w:color w:val="auto"/>
                <w:sz w:val="22"/>
                <w:szCs w:val="22"/>
                <w:highlight w:val="none"/>
              </w:rPr>
            </w:pPr>
          </w:p>
        </w:tc>
        <w:tc>
          <w:tcPr>
            <w:tcW w:w="1115" w:type="dxa"/>
            <w:gridSpan w:val="2"/>
          </w:tcPr>
          <w:p w14:paraId="13D44C60">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 话</w:t>
            </w:r>
          </w:p>
        </w:tc>
        <w:tc>
          <w:tcPr>
            <w:tcW w:w="2588" w:type="dxa"/>
            <w:gridSpan w:val="2"/>
          </w:tcPr>
          <w:p w14:paraId="2ACA9676">
            <w:pPr>
              <w:spacing w:line="480" w:lineRule="exact"/>
              <w:rPr>
                <w:rFonts w:hint="eastAsia" w:ascii="宋体" w:hAnsi="宋体" w:eastAsia="宋体" w:cs="宋体"/>
                <w:color w:val="auto"/>
                <w:sz w:val="22"/>
                <w:szCs w:val="22"/>
                <w:highlight w:val="none"/>
              </w:rPr>
            </w:pPr>
          </w:p>
        </w:tc>
        <w:tc>
          <w:tcPr>
            <w:tcW w:w="1488" w:type="dxa"/>
          </w:tcPr>
          <w:p w14:paraId="0F9AF396">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主管部门</w:t>
            </w:r>
          </w:p>
        </w:tc>
        <w:tc>
          <w:tcPr>
            <w:tcW w:w="1502" w:type="dxa"/>
          </w:tcPr>
          <w:p w14:paraId="483CA1D3">
            <w:pPr>
              <w:spacing w:line="480" w:lineRule="exact"/>
              <w:rPr>
                <w:rFonts w:hint="eastAsia" w:ascii="宋体" w:hAnsi="宋体" w:eastAsia="宋体" w:cs="宋体"/>
                <w:color w:val="auto"/>
                <w:sz w:val="22"/>
                <w:szCs w:val="22"/>
                <w:highlight w:val="none"/>
              </w:rPr>
            </w:pPr>
          </w:p>
        </w:tc>
        <w:tc>
          <w:tcPr>
            <w:tcW w:w="1488" w:type="dxa"/>
          </w:tcPr>
          <w:p w14:paraId="415F2F40">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企业负责人</w:t>
            </w:r>
          </w:p>
        </w:tc>
        <w:tc>
          <w:tcPr>
            <w:tcW w:w="1115" w:type="dxa"/>
          </w:tcPr>
          <w:p w14:paraId="0DA5537A">
            <w:pPr>
              <w:spacing w:line="480" w:lineRule="exact"/>
              <w:rPr>
                <w:rFonts w:hint="eastAsia" w:ascii="宋体" w:hAnsi="宋体" w:eastAsia="宋体" w:cs="宋体"/>
                <w:color w:val="auto"/>
                <w:sz w:val="22"/>
                <w:szCs w:val="22"/>
                <w:highlight w:val="none"/>
              </w:rPr>
            </w:pPr>
          </w:p>
        </w:tc>
        <w:tc>
          <w:tcPr>
            <w:tcW w:w="1461" w:type="dxa"/>
            <w:gridSpan w:val="2"/>
          </w:tcPr>
          <w:p w14:paraId="5AF609A0">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职务</w:t>
            </w:r>
          </w:p>
        </w:tc>
      </w:tr>
      <w:tr w14:paraId="2E0A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tcPr>
          <w:p w14:paraId="485A5A06">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    址</w:t>
            </w:r>
          </w:p>
        </w:tc>
        <w:tc>
          <w:tcPr>
            <w:tcW w:w="2804" w:type="dxa"/>
            <w:gridSpan w:val="2"/>
          </w:tcPr>
          <w:p w14:paraId="1DC80AF3">
            <w:pPr>
              <w:spacing w:line="480" w:lineRule="exact"/>
              <w:rPr>
                <w:rFonts w:hint="eastAsia" w:ascii="宋体" w:hAnsi="宋体" w:eastAsia="宋体" w:cs="宋体"/>
                <w:color w:val="auto"/>
                <w:sz w:val="22"/>
                <w:szCs w:val="22"/>
                <w:highlight w:val="none"/>
              </w:rPr>
            </w:pPr>
          </w:p>
        </w:tc>
        <w:tc>
          <w:tcPr>
            <w:tcW w:w="1115" w:type="dxa"/>
            <w:gridSpan w:val="2"/>
          </w:tcPr>
          <w:p w14:paraId="615E2509">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传 真</w:t>
            </w:r>
          </w:p>
        </w:tc>
        <w:tc>
          <w:tcPr>
            <w:tcW w:w="2588" w:type="dxa"/>
            <w:gridSpan w:val="2"/>
          </w:tcPr>
          <w:p w14:paraId="6A1B4155">
            <w:pPr>
              <w:spacing w:line="480" w:lineRule="exact"/>
              <w:rPr>
                <w:rFonts w:hint="eastAsia" w:ascii="宋体" w:hAnsi="宋体" w:eastAsia="宋体" w:cs="宋体"/>
                <w:color w:val="auto"/>
                <w:sz w:val="22"/>
                <w:szCs w:val="22"/>
                <w:highlight w:val="none"/>
              </w:rPr>
            </w:pPr>
          </w:p>
        </w:tc>
        <w:tc>
          <w:tcPr>
            <w:tcW w:w="1488" w:type="dxa"/>
          </w:tcPr>
          <w:p w14:paraId="6327BA82">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企业性质</w:t>
            </w:r>
          </w:p>
        </w:tc>
        <w:tc>
          <w:tcPr>
            <w:tcW w:w="1502" w:type="dxa"/>
          </w:tcPr>
          <w:p w14:paraId="477FE21D">
            <w:pPr>
              <w:spacing w:line="480" w:lineRule="exact"/>
              <w:rPr>
                <w:rFonts w:hint="eastAsia" w:ascii="宋体" w:hAnsi="宋体" w:eastAsia="宋体" w:cs="宋体"/>
                <w:color w:val="auto"/>
                <w:sz w:val="22"/>
                <w:szCs w:val="22"/>
                <w:highlight w:val="none"/>
              </w:rPr>
            </w:pPr>
          </w:p>
        </w:tc>
        <w:tc>
          <w:tcPr>
            <w:tcW w:w="1488" w:type="dxa"/>
          </w:tcPr>
          <w:p w14:paraId="505838E8">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授权代表</w:t>
            </w:r>
          </w:p>
        </w:tc>
        <w:tc>
          <w:tcPr>
            <w:tcW w:w="1115" w:type="dxa"/>
          </w:tcPr>
          <w:p w14:paraId="71E06DEE">
            <w:pPr>
              <w:spacing w:line="480" w:lineRule="exact"/>
              <w:rPr>
                <w:rFonts w:hint="eastAsia" w:ascii="宋体" w:hAnsi="宋体" w:eastAsia="宋体" w:cs="宋体"/>
                <w:color w:val="auto"/>
                <w:sz w:val="22"/>
                <w:szCs w:val="22"/>
                <w:highlight w:val="none"/>
              </w:rPr>
            </w:pPr>
          </w:p>
        </w:tc>
        <w:tc>
          <w:tcPr>
            <w:tcW w:w="1461" w:type="dxa"/>
            <w:gridSpan w:val="2"/>
          </w:tcPr>
          <w:p w14:paraId="3EF35337">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职务</w:t>
            </w:r>
          </w:p>
        </w:tc>
      </w:tr>
      <w:tr w14:paraId="3120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1227" w:type="dxa"/>
            <w:vAlign w:val="center"/>
          </w:tcPr>
          <w:p w14:paraId="6C08D487">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单位简介</w:t>
            </w:r>
          </w:p>
          <w:p w14:paraId="269574C1">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及机构</w:t>
            </w:r>
          </w:p>
        </w:tc>
        <w:tc>
          <w:tcPr>
            <w:tcW w:w="6507" w:type="dxa"/>
            <w:gridSpan w:val="6"/>
            <w:vAlign w:val="center"/>
          </w:tcPr>
          <w:p w14:paraId="0687F4C5">
            <w:pPr>
              <w:spacing w:line="480" w:lineRule="exact"/>
              <w:jc w:val="center"/>
              <w:rPr>
                <w:rFonts w:hint="eastAsia" w:ascii="宋体" w:hAnsi="宋体" w:eastAsia="宋体" w:cs="宋体"/>
                <w:color w:val="auto"/>
                <w:sz w:val="22"/>
                <w:szCs w:val="22"/>
                <w:highlight w:val="none"/>
              </w:rPr>
            </w:pPr>
          </w:p>
        </w:tc>
        <w:tc>
          <w:tcPr>
            <w:tcW w:w="1488" w:type="dxa"/>
            <w:vAlign w:val="center"/>
          </w:tcPr>
          <w:p w14:paraId="64CB3C58">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单位优势</w:t>
            </w:r>
          </w:p>
          <w:p w14:paraId="254CE408">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及特长</w:t>
            </w:r>
          </w:p>
        </w:tc>
        <w:tc>
          <w:tcPr>
            <w:tcW w:w="5566" w:type="dxa"/>
            <w:gridSpan w:val="5"/>
          </w:tcPr>
          <w:p w14:paraId="16B888C9">
            <w:pPr>
              <w:spacing w:line="480" w:lineRule="exact"/>
              <w:rPr>
                <w:rFonts w:hint="eastAsia" w:ascii="宋体" w:hAnsi="宋体" w:eastAsia="宋体" w:cs="宋体"/>
                <w:color w:val="auto"/>
                <w:sz w:val="22"/>
                <w:szCs w:val="22"/>
                <w:highlight w:val="none"/>
              </w:rPr>
            </w:pPr>
          </w:p>
        </w:tc>
      </w:tr>
      <w:tr w14:paraId="4036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227" w:type="dxa"/>
            <w:vMerge w:val="restart"/>
            <w:vAlign w:val="center"/>
          </w:tcPr>
          <w:p w14:paraId="0455CB71">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单位概况</w:t>
            </w:r>
          </w:p>
        </w:tc>
        <w:tc>
          <w:tcPr>
            <w:tcW w:w="1115" w:type="dxa"/>
            <w:vMerge w:val="restart"/>
          </w:tcPr>
          <w:p w14:paraId="09A85F6F">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职工总数</w:t>
            </w:r>
          </w:p>
        </w:tc>
        <w:tc>
          <w:tcPr>
            <w:tcW w:w="1689" w:type="dxa"/>
            <w:vMerge w:val="restart"/>
          </w:tcPr>
          <w:p w14:paraId="51215421">
            <w:pPr>
              <w:spacing w:line="480" w:lineRule="exact"/>
              <w:ind w:firstLine="1540" w:firstLineChars="700"/>
              <w:rPr>
                <w:rFonts w:hint="eastAsia" w:ascii="宋体" w:hAnsi="宋体" w:eastAsia="宋体" w:cs="宋体"/>
                <w:color w:val="auto"/>
                <w:sz w:val="22"/>
                <w:szCs w:val="22"/>
                <w:highlight w:val="none"/>
              </w:rPr>
            </w:pPr>
          </w:p>
        </w:tc>
        <w:tc>
          <w:tcPr>
            <w:tcW w:w="3703" w:type="dxa"/>
            <w:gridSpan w:val="4"/>
            <w:vMerge w:val="restart"/>
          </w:tcPr>
          <w:p w14:paraId="16F9F8DB">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各人员构成情况</w:t>
            </w:r>
          </w:p>
        </w:tc>
        <w:tc>
          <w:tcPr>
            <w:tcW w:w="1488" w:type="dxa"/>
            <w:vMerge w:val="restart"/>
            <w:vAlign w:val="center"/>
          </w:tcPr>
          <w:p w14:paraId="7892F6CA">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上一年主要  经济指标</w:t>
            </w:r>
          </w:p>
        </w:tc>
        <w:tc>
          <w:tcPr>
            <w:tcW w:w="1502" w:type="dxa"/>
            <w:vAlign w:val="center"/>
          </w:tcPr>
          <w:p w14:paraId="68E2E246">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指标名称</w:t>
            </w:r>
          </w:p>
        </w:tc>
        <w:tc>
          <w:tcPr>
            <w:tcW w:w="1488" w:type="dxa"/>
            <w:tcBorders>
              <w:tr2bl w:val="single" w:color="auto" w:sz="4" w:space="0"/>
            </w:tcBorders>
            <w:vAlign w:val="center"/>
          </w:tcPr>
          <w:p w14:paraId="3A9BC585">
            <w:pPr>
              <w:spacing w:line="480" w:lineRule="exact"/>
              <w:jc w:val="center"/>
              <w:rPr>
                <w:rFonts w:hint="eastAsia" w:ascii="宋体" w:hAnsi="宋体" w:eastAsia="宋体" w:cs="宋体"/>
                <w:color w:val="auto"/>
                <w:sz w:val="22"/>
                <w:szCs w:val="22"/>
                <w:highlight w:val="none"/>
              </w:rPr>
            </w:pPr>
          </w:p>
        </w:tc>
        <w:tc>
          <w:tcPr>
            <w:tcW w:w="1470" w:type="dxa"/>
            <w:gridSpan w:val="2"/>
            <w:vAlign w:val="center"/>
          </w:tcPr>
          <w:p w14:paraId="3E36560E">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实际完成</w:t>
            </w:r>
          </w:p>
        </w:tc>
        <w:tc>
          <w:tcPr>
            <w:tcW w:w="1106" w:type="dxa"/>
            <w:tcBorders>
              <w:tr2bl w:val="single" w:color="auto" w:sz="4" w:space="0"/>
            </w:tcBorders>
            <w:vAlign w:val="center"/>
          </w:tcPr>
          <w:p w14:paraId="71FD6210">
            <w:pPr>
              <w:spacing w:line="480" w:lineRule="exact"/>
              <w:jc w:val="center"/>
              <w:rPr>
                <w:rFonts w:hint="eastAsia" w:ascii="宋体" w:hAnsi="宋体" w:eastAsia="宋体" w:cs="宋体"/>
                <w:color w:val="auto"/>
                <w:sz w:val="22"/>
                <w:szCs w:val="22"/>
                <w:highlight w:val="none"/>
              </w:rPr>
            </w:pPr>
          </w:p>
        </w:tc>
      </w:tr>
      <w:tr w14:paraId="5B66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227" w:type="dxa"/>
            <w:vMerge w:val="continue"/>
          </w:tcPr>
          <w:p w14:paraId="215E6914">
            <w:pPr>
              <w:spacing w:line="480" w:lineRule="exact"/>
              <w:rPr>
                <w:rFonts w:hint="eastAsia" w:ascii="宋体" w:hAnsi="宋体" w:eastAsia="宋体" w:cs="宋体"/>
                <w:color w:val="auto"/>
                <w:sz w:val="22"/>
                <w:szCs w:val="22"/>
                <w:highlight w:val="none"/>
              </w:rPr>
            </w:pPr>
          </w:p>
        </w:tc>
        <w:tc>
          <w:tcPr>
            <w:tcW w:w="1115" w:type="dxa"/>
            <w:vMerge w:val="continue"/>
          </w:tcPr>
          <w:p w14:paraId="330EC05A">
            <w:pPr>
              <w:spacing w:line="480" w:lineRule="exact"/>
              <w:rPr>
                <w:rFonts w:hint="eastAsia" w:ascii="宋体" w:hAnsi="宋体" w:eastAsia="宋体" w:cs="宋体"/>
                <w:color w:val="auto"/>
                <w:sz w:val="22"/>
                <w:szCs w:val="22"/>
                <w:highlight w:val="none"/>
              </w:rPr>
            </w:pPr>
          </w:p>
        </w:tc>
        <w:tc>
          <w:tcPr>
            <w:tcW w:w="1689" w:type="dxa"/>
            <w:vMerge w:val="continue"/>
          </w:tcPr>
          <w:p w14:paraId="15F31CB0">
            <w:pPr>
              <w:spacing w:line="480" w:lineRule="exact"/>
              <w:rPr>
                <w:rFonts w:hint="eastAsia" w:ascii="宋体" w:hAnsi="宋体" w:eastAsia="宋体" w:cs="宋体"/>
                <w:color w:val="auto"/>
                <w:sz w:val="22"/>
                <w:szCs w:val="22"/>
                <w:highlight w:val="none"/>
              </w:rPr>
            </w:pPr>
          </w:p>
        </w:tc>
        <w:tc>
          <w:tcPr>
            <w:tcW w:w="3703" w:type="dxa"/>
            <w:gridSpan w:val="4"/>
            <w:vMerge w:val="continue"/>
          </w:tcPr>
          <w:p w14:paraId="298FBE46">
            <w:pPr>
              <w:spacing w:line="480" w:lineRule="exact"/>
              <w:rPr>
                <w:rFonts w:hint="eastAsia" w:ascii="宋体" w:hAnsi="宋体" w:eastAsia="宋体" w:cs="宋体"/>
                <w:color w:val="auto"/>
                <w:sz w:val="22"/>
                <w:szCs w:val="22"/>
                <w:highlight w:val="none"/>
              </w:rPr>
            </w:pPr>
          </w:p>
        </w:tc>
        <w:tc>
          <w:tcPr>
            <w:tcW w:w="1488" w:type="dxa"/>
            <w:vMerge w:val="continue"/>
          </w:tcPr>
          <w:p w14:paraId="64DED57C">
            <w:pPr>
              <w:spacing w:line="480" w:lineRule="exact"/>
              <w:rPr>
                <w:rFonts w:hint="eastAsia" w:ascii="宋体" w:hAnsi="宋体" w:eastAsia="宋体" w:cs="宋体"/>
                <w:color w:val="auto"/>
                <w:sz w:val="22"/>
                <w:szCs w:val="22"/>
                <w:highlight w:val="none"/>
              </w:rPr>
            </w:pPr>
          </w:p>
        </w:tc>
        <w:tc>
          <w:tcPr>
            <w:tcW w:w="1502" w:type="dxa"/>
            <w:vAlign w:val="center"/>
          </w:tcPr>
          <w:p w14:paraId="0207AF5E">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总产值</w:t>
            </w:r>
          </w:p>
        </w:tc>
        <w:tc>
          <w:tcPr>
            <w:tcW w:w="1488" w:type="dxa"/>
            <w:vAlign w:val="center"/>
          </w:tcPr>
          <w:p w14:paraId="369D7CB5">
            <w:pPr>
              <w:spacing w:line="480" w:lineRule="exact"/>
              <w:ind w:firstLine="660" w:firstLineChars="300"/>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70" w:type="dxa"/>
            <w:gridSpan w:val="2"/>
            <w:vAlign w:val="center"/>
          </w:tcPr>
          <w:p w14:paraId="53B3D795">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总产值</w:t>
            </w:r>
          </w:p>
        </w:tc>
        <w:tc>
          <w:tcPr>
            <w:tcW w:w="1106" w:type="dxa"/>
            <w:vAlign w:val="center"/>
          </w:tcPr>
          <w:p w14:paraId="0569A76D">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r>
      <w:tr w14:paraId="3812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227" w:type="dxa"/>
            <w:vMerge w:val="continue"/>
          </w:tcPr>
          <w:p w14:paraId="1E4458F0">
            <w:pPr>
              <w:spacing w:line="480" w:lineRule="exact"/>
              <w:rPr>
                <w:rFonts w:hint="eastAsia" w:ascii="宋体" w:hAnsi="宋体" w:eastAsia="宋体" w:cs="宋体"/>
                <w:color w:val="auto"/>
                <w:sz w:val="22"/>
                <w:szCs w:val="22"/>
                <w:highlight w:val="none"/>
              </w:rPr>
            </w:pPr>
          </w:p>
        </w:tc>
        <w:tc>
          <w:tcPr>
            <w:tcW w:w="1115" w:type="dxa"/>
            <w:vMerge w:val="restart"/>
          </w:tcPr>
          <w:p w14:paraId="0734BA1C">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流动资金</w:t>
            </w:r>
          </w:p>
        </w:tc>
        <w:tc>
          <w:tcPr>
            <w:tcW w:w="1689" w:type="dxa"/>
            <w:vMerge w:val="restart"/>
          </w:tcPr>
          <w:p w14:paraId="524A7DEF">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77F36726">
            <w:pPr>
              <w:spacing w:line="480" w:lineRule="exact"/>
              <w:ind w:firstLine="660" w:firstLineChars="300"/>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万元 </w:t>
            </w:r>
          </w:p>
        </w:tc>
        <w:tc>
          <w:tcPr>
            <w:tcW w:w="728" w:type="dxa"/>
            <w:vMerge w:val="restart"/>
          </w:tcPr>
          <w:p w14:paraId="3537562C">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资金来源</w:t>
            </w:r>
          </w:p>
        </w:tc>
        <w:tc>
          <w:tcPr>
            <w:tcW w:w="1487" w:type="dxa"/>
            <w:gridSpan w:val="2"/>
            <w:vAlign w:val="center"/>
          </w:tcPr>
          <w:p w14:paraId="4ED4292A">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自有资金</w:t>
            </w:r>
          </w:p>
        </w:tc>
        <w:tc>
          <w:tcPr>
            <w:tcW w:w="1488" w:type="dxa"/>
            <w:vAlign w:val="center"/>
          </w:tcPr>
          <w:p w14:paraId="291078A2">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c>
          <w:tcPr>
            <w:tcW w:w="1488" w:type="dxa"/>
            <w:vMerge w:val="continue"/>
          </w:tcPr>
          <w:p w14:paraId="201332CE">
            <w:pPr>
              <w:spacing w:line="480" w:lineRule="exact"/>
              <w:rPr>
                <w:rFonts w:hint="eastAsia" w:ascii="宋体" w:hAnsi="宋体" w:eastAsia="宋体" w:cs="宋体"/>
                <w:color w:val="auto"/>
                <w:sz w:val="22"/>
                <w:szCs w:val="22"/>
                <w:highlight w:val="none"/>
              </w:rPr>
            </w:pPr>
          </w:p>
        </w:tc>
        <w:tc>
          <w:tcPr>
            <w:tcW w:w="1502" w:type="dxa"/>
            <w:vAlign w:val="center"/>
          </w:tcPr>
          <w:p w14:paraId="25E29672">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实现利润</w:t>
            </w:r>
          </w:p>
        </w:tc>
        <w:tc>
          <w:tcPr>
            <w:tcW w:w="1488" w:type="dxa"/>
            <w:vAlign w:val="center"/>
          </w:tcPr>
          <w:p w14:paraId="6AB3DEF3">
            <w:pPr>
              <w:spacing w:line="480" w:lineRule="exact"/>
              <w:ind w:firstLine="660" w:firstLineChars="300"/>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70" w:type="dxa"/>
            <w:gridSpan w:val="2"/>
            <w:vAlign w:val="center"/>
          </w:tcPr>
          <w:p w14:paraId="297B7EF0">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实现利润</w:t>
            </w:r>
          </w:p>
        </w:tc>
        <w:tc>
          <w:tcPr>
            <w:tcW w:w="1106" w:type="dxa"/>
            <w:vAlign w:val="center"/>
          </w:tcPr>
          <w:p w14:paraId="5BF1316E">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r>
      <w:tr w14:paraId="4C97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1227" w:type="dxa"/>
            <w:vMerge w:val="continue"/>
            <w:tcBorders>
              <w:bottom w:val="single" w:color="auto" w:sz="4" w:space="0"/>
            </w:tcBorders>
          </w:tcPr>
          <w:p w14:paraId="7298E19E">
            <w:pPr>
              <w:spacing w:line="480" w:lineRule="exact"/>
              <w:rPr>
                <w:rFonts w:hint="eastAsia" w:ascii="宋体" w:hAnsi="宋体" w:eastAsia="宋体" w:cs="宋体"/>
                <w:color w:val="auto"/>
                <w:sz w:val="22"/>
                <w:szCs w:val="22"/>
                <w:highlight w:val="none"/>
              </w:rPr>
            </w:pPr>
          </w:p>
        </w:tc>
        <w:tc>
          <w:tcPr>
            <w:tcW w:w="1115" w:type="dxa"/>
            <w:vMerge w:val="continue"/>
            <w:tcBorders>
              <w:bottom w:val="single" w:color="auto" w:sz="4" w:space="0"/>
            </w:tcBorders>
          </w:tcPr>
          <w:p w14:paraId="01223CEA">
            <w:pPr>
              <w:spacing w:line="480" w:lineRule="exact"/>
              <w:rPr>
                <w:rFonts w:hint="eastAsia" w:ascii="宋体" w:hAnsi="宋体" w:eastAsia="宋体" w:cs="宋体"/>
                <w:color w:val="auto"/>
                <w:sz w:val="22"/>
                <w:szCs w:val="22"/>
                <w:highlight w:val="none"/>
              </w:rPr>
            </w:pPr>
          </w:p>
        </w:tc>
        <w:tc>
          <w:tcPr>
            <w:tcW w:w="1689" w:type="dxa"/>
            <w:vMerge w:val="continue"/>
            <w:tcBorders>
              <w:bottom w:val="single" w:color="auto" w:sz="4" w:space="0"/>
            </w:tcBorders>
          </w:tcPr>
          <w:p w14:paraId="68A8F848">
            <w:pPr>
              <w:spacing w:line="480" w:lineRule="exact"/>
              <w:rPr>
                <w:rFonts w:hint="eastAsia" w:ascii="宋体" w:hAnsi="宋体" w:eastAsia="宋体" w:cs="宋体"/>
                <w:color w:val="auto"/>
                <w:sz w:val="22"/>
                <w:szCs w:val="22"/>
                <w:highlight w:val="none"/>
              </w:rPr>
            </w:pPr>
          </w:p>
        </w:tc>
        <w:tc>
          <w:tcPr>
            <w:tcW w:w="728" w:type="dxa"/>
            <w:vMerge w:val="continue"/>
            <w:tcBorders>
              <w:bottom w:val="single" w:color="auto" w:sz="4" w:space="0"/>
            </w:tcBorders>
          </w:tcPr>
          <w:p w14:paraId="2CF42E95">
            <w:pPr>
              <w:spacing w:line="480" w:lineRule="exact"/>
              <w:rPr>
                <w:rFonts w:hint="eastAsia" w:ascii="宋体" w:hAnsi="宋体" w:eastAsia="宋体" w:cs="宋体"/>
                <w:color w:val="auto"/>
                <w:sz w:val="22"/>
                <w:szCs w:val="22"/>
                <w:highlight w:val="none"/>
              </w:rPr>
            </w:pPr>
          </w:p>
        </w:tc>
        <w:tc>
          <w:tcPr>
            <w:tcW w:w="1487" w:type="dxa"/>
            <w:gridSpan w:val="2"/>
            <w:tcBorders>
              <w:bottom w:val="single" w:color="auto" w:sz="4" w:space="0"/>
            </w:tcBorders>
          </w:tcPr>
          <w:p w14:paraId="685AAF62">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银行贷款</w:t>
            </w:r>
          </w:p>
        </w:tc>
        <w:tc>
          <w:tcPr>
            <w:tcW w:w="1488" w:type="dxa"/>
            <w:tcBorders>
              <w:bottom w:val="single" w:color="auto" w:sz="4" w:space="0"/>
            </w:tcBorders>
          </w:tcPr>
          <w:p w14:paraId="662CBB57">
            <w:pPr>
              <w:spacing w:line="48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万元</w:t>
            </w:r>
          </w:p>
        </w:tc>
        <w:tc>
          <w:tcPr>
            <w:tcW w:w="1488" w:type="dxa"/>
            <w:vMerge w:val="continue"/>
            <w:tcBorders>
              <w:bottom w:val="single" w:color="auto" w:sz="4" w:space="0"/>
            </w:tcBorders>
          </w:tcPr>
          <w:p w14:paraId="23E72954">
            <w:pPr>
              <w:spacing w:line="480" w:lineRule="exact"/>
              <w:rPr>
                <w:rFonts w:hint="eastAsia" w:ascii="宋体" w:hAnsi="宋体" w:eastAsia="宋体" w:cs="宋体"/>
                <w:color w:val="auto"/>
                <w:sz w:val="22"/>
                <w:szCs w:val="22"/>
                <w:highlight w:val="none"/>
              </w:rPr>
            </w:pPr>
          </w:p>
        </w:tc>
        <w:tc>
          <w:tcPr>
            <w:tcW w:w="1502" w:type="dxa"/>
            <w:vMerge w:val="restart"/>
            <w:tcBorders>
              <w:bottom w:val="single" w:color="auto" w:sz="4" w:space="0"/>
            </w:tcBorders>
            <w:vAlign w:val="center"/>
          </w:tcPr>
          <w:p w14:paraId="1081A9A3">
            <w:pPr>
              <w:spacing w:line="48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主要业绩</w:t>
            </w:r>
          </w:p>
        </w:tc>
        <w:tc>
          <w:tcPr>
            <w:tcW w:w="4064" w:type="dxa"/>
            <w:gridSpan w:val="4"/>
            <w:vMerge w:val="restart"/>
            <w:tcBorders>
              <w:bottom w:val="single" w:color="auto" w:sz="4" w:space="0"/>
            </w:tcBorders>
            <w:vAlign w:val="center"/>
          </w:tcPr>
          <w:p w14:paraId="4DD6F661">
            <w:pPr>
              <w:spacing w:line="480" w:lineRule="exact"/>
              <w:jc w:val="center"/>
              <w:rPr>
                <w:rFonts w:hint="eastAsia" w:ascii="宋体" w:hAnsi="宋体" w:eastAsia="宋体" w:cs="宋体"/>
                <w:color w:val="auto"/>
                <w:sz w:val="22"/>
                <w:szCs w:val="22"/>
                <w:highlight w:val="none"/>
              </w:rPr>
            </w:pPr>
          </w:p>
        </w:tc>
      </w:tr>
      <w:tr w14:paraId="013D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227" w:type="dxa"/>
            <w:vMerge w:val="continue"/>
          </w:tcPr>
          <w:p w14:paraId="568E5D95">
            <w:pPr>
              <w:spacing w:line="480" w:lineRule="exact"/>
              <w:rPr>
                <w:rFonts w:hint="eastAsia" w:ascii="宋体" w:hAnsi="宋体" w:eastAsia="宋体" w:cs="宋体"/>
                <w:color w:val="auto"/>
                <w:sz w:val="22"/>
                <w:szCs w:val="22"/>
                <w:highlight w:val="none"/>
              </w:rPr>
            </w:pPr>
          </w:p>
        </w:tc>
        <w:tc>
          <w:tcPr>
            <w:tcW w:w="1115" w:type="dxa"/>
            <w:vMerge w:val="restart"/>
          </w:tcPr>
          <w:p w14:paraId="0DE6CCD3">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固定资产</w:t>
            </w:r>
          </w:p>
        </w:tc>
        <w:tc>
          <w:tcPr>
            <w:tcW w:w="1689" w:type="dxa"/>
            <w:vMerge w:val="restart"/>
          </w:tcPr>
          <w:p w14:paraId="663FF55E">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原值   万元</w:t>
            </w:r>
          </w:p>
          <w:p w14:paraId="0A36D3A0">
            <w:pPr>
              <w:spacing w:line="480" w:lineRule="exact"/>
              <w:jc w:val="righ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净值   万元</w:t>
            </w:r>
          </w:p>
        </w:tc>
        <w:tc>
          <w:tcPr>
            <w:tcW w:w="728" w:type="dxa"/>
            <w:vMerge w:val="restart"/>
          </w:tcPr>
          <w:p w14:paraId="784B645C">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资金性质</w:t>
            </w:r>
          </w:p>
        </w:tc>
        <w:tc>
          <w:tcPr>
            <w:tcW w:w="1487" w:type="dxa"/>
            <w:gridSpan w:val="2"/>
          </w:tcPr>
          <w:p w14:paraId="565E0E7E">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生产性</w:t>
            </w:r>
          </w:p>
        </w:tc>
        <w:tc>
          <w:tcPr>
            <w:tcW w:w="1488" w:type="dxa"/>
          </w:tcPr>
          <w:p w14:paraId="32FAE9BC">
            <w:pPr>
              <w:spacing w:line="480" w:lineRule="exact"/>
              <w:ind w:left="220" w:hanging="220"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c>
          <w:tcPr>
            <w:tcW w:w="1488" w:type="dxa"/>
            <w:vMerge w:val="continue"/>
          </w:tcPr>
          <w:p w14:paraId="6964B9C4">
            <w:pPr>
              <w:spacing w:line="480" w:lineRule="exact"/>
              <w:rPr>
                <w:rFonts w:hint="eastAsia" w:ascii="宋体" w:hAnsi="宋体" w:eastAsia="宋体" w:cs="宋体"/>
                <w:color w:val="auto"/>
                <w:sz w:val="22"/>
                <w:szCs w:val="22"/>
                <w:highlight w:val="none"/>
              </w:rPr>
            </w:pPr>
          </w:p>
        </w:tc>
        <w:tc>
          <w:tcPr>
            <w:tcW w:w="1502" w:type="dxa"/>
            <w:vMerge w:val="continue"/>
          </w:tcPr>
          <w:p w14:paraId="460840F6">
            <w:pPr>
              <w:spacing w:line="480" w:lineRule="exact"/>
              <w:rPr>
                <w:rFonts w:hint="eastAsia" w:ascii="宋体" w:hAnsi="宋体" w:eastAsia="宋体" w:cs="宋体"/>
                <w:color w:val="auto"/>
                <w:sz w:val="22"/>
                <w:szCs w:val="22"/>
                <w:highlight w:val="none"/>
              </w:rPr>
            </w:pPr>
          </w:p>
        </w:tc>
        <w:tc>
          <w:tcPr>
            <w:tcW w:w="4064" w:type="dxa"/>
            <w:gridSpan w:val="4"/>
            <w:vMerge w:val="continue"/>
          </w:tcPr>
          <w:p w14:paraId="4931845C">
            <w:pPr>
              <w:spacing w:line="480" w:lineRule="exact"/>
              <w:rPr>
                <w:rFonts w:hint="eastAsia" w:ascii="宋体" w:hAnsi="宋体" w:eastAsia="宋体" w:cs="宋体"/>
                <w:color w:val="auto"/>
                <w:sz w:val="22"/>
                <w:szCs w:val="22"/>
                <w:highlight w:val="none"/>
              </w:rPr>
            </w:pPr>
          </w:p>
        </w:tc>
      </w:tr>
      <w:tr w14:paraId="070C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227" w:type="dxa"/>
            <w:vMerge w:val="continue"/>
          </w:tcPr>
          <w:p w14:paraId="35259541">
            <w:pPr>
              <w:spacing w:line="480" w:lineRule="exact"/>
              <w:rPr>
                <w:rFonts w:hint="eastAsia" w:ascii="宋体" w:hAnsi="宋体" w:eastAsia="宋体" w:cs="宋体"/>
                <w:color w:val="auto"/>
                <w:sz w:val="22"/>
                <w:szCs w:val="22"/>
                <w:highlight w:val="none"/>
              </w:rPr>
            </w:pPr>
          </w:p>
        </w:tc>
        <w:tc>
          <w:tcPr>
            <w:tcW w:w="1115" w:type="dxa"/>
            <w:vMerge w:val="continue"/>
          </w:tcPr>
          <w:p w14:paraId="60C53FE9">
            <w:pPr>
              <w:spacing w:line="480" w:lineRule="exact"/>
              <w:rPr>
                <w:rFonts w:hint="eastAsia" w:ascii="宋体" w:hAnsi="宋体" w:eastAsia="宋体" w:cs="宋体"/>
                <w:color w:val="auto"/>
                <w:sz w:val="22"/>
                <w:szCs w:val="22"/>
                <w:highlight w:val="none"/>
              </w:rPr>
            </w:pPr>
          </w:p>
        </w:tc>
        <w:tc>
          <w:tcPr>
            <w:tcW w:w="1689" w:type="dxa"/>
            <w:vMerge w:val="continue"/>
          </w:tcPr>
          <w:p w14:paraId="3ADE6C5C">
            <w:pPr>
              <w:spacing w:line="480" w:lineRule="exact"/>
              <w:rPr>
                <w:rFonts w:hint="eastAsia" w:ascii="宋体" w:hAnsi="宋体" w:eastAsia="宋体" w:cs="宋体"/>
                <w:color w:val="auto"/>
                <w:sz w:val="22"/>
                <w:szCs w:val="22"/>
                <w:highlight w:val="none"/>
              </w:rPr>
            </w:pPr>
          </w:p>
        </w:tc>
        <w:tc>
          <w:tcPr>
            <w:tcW w:w="728" w:type="dxa"/>
            <w:vMerge w:val="continue"/>
          </w:tcPr>
          <w:p w14:paraId="5C54B34C">
            <w:pPr>
              <w:spacing w:line="480" w:lineRule="exact"/>
              <w:rPr>
                <w:rFonts w:hint="eastAsia" w:ascii="宋体" w:hAnsi="宋体" w:eastAsia="宋体" w:cs="宋体"/>
                <w:color w:val="auto"/>
                <w:sz w:val="22"/>
                <w:szCs w:val="22"/>
                <w:highlight w:val="none"/>
              </w:rPr>
            </w:pPr>
          </w:p>
        </w:tc>
        <w:tc>
          <w:tcPr>
            <w:tcW w:w="1487" w:type="dxa"/>
            <w:gridSpan w:val="2"/>
          </w:tcPr>
          <w:p w14:paraId="0AB8DD85">
            <w:pP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非生产性</w:t>
            </w:r>
          </w:p>
        </w:tc>
        <w:tc>
          <w:tcPr>
            <w:tcW w:w="1488" w:type="dxa"/>
          </w:tcPr>
          <w:p w14:paraId="67EB794E">
            <w:pPr>
              <w:spacing w:line="480" w:lineRule="exact"/>
              <w:ind w:left="220" w:hanging="220" w:hanging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万元</w:t>
            </w:r>
          </w:p>
        </w:tc>
        <w:tc>
          <w:tcPr>
            <w:tcW w:w="1488" w:type="dxa"/>
            <w:vMerge w:val="continue"/>
          </w:tcPr>
          <w:p w14:paraId="04BEE017">
            <w:pPr>
              <w:spacing w:line="480" w:lineRule="exact"/>
              <w:rPr>
                <w:rFonts w:hint="eastAsia" w:ascii="宋体" w:hAnsi="宋体" w:eastAsia="宋体" w:cs="宋体"/>
                <w:color w:val="auto"/>
                <w:sz w:val="22"/>
                <w:szCs w:val="22"/>
                <w:highlight w:val="none"/>
              </w:rPr>
            </w:pPr>
          </w:p>
        </w:tc>
        <w:tc>
          <w:tcPr>
            <w:tcW w:w="1502" w:type="dxa"/>
            <w:vMerge w:val="continue"/>
          </w:tcPr>
          <w:p w14:paraId="3DFC06B4">
            <w:pPr>
              <w:spacing w:line="480" w:lineRule="exact"/>
              <w:rPr>
                <w:rFonts w:hint="eastAsia" w:ascii="宋体" w:hAnsi="宋体" w:eastAsia="宋体" w:cs="宋体"/>
                <w:color w:val="auto"/>
                <w:sz w:val="22"/>
                <w:szCs w:val="22"/>
                <w:highlight w:val="none"/>
              </w:rPr>
            </w:pPr>
          </w:p>
        </w:tc>
        <w:tc>
          <w:tcPr>
            <w:tcW w:w="4064" w:type="dxa"/>
            <w:gridSpan w:val="4"/>
            <w:vMerge w:val="continue"/>
          </w:tcPr>
          <w:p w14:paraId="3014BFC1">
            <w:pPr>
              <w:spacing w:line="480" w:lineRule="exact"/>
              <w:rPr>
                <w:rFonts w:hint="eastAsia" w:ascii="宋体" w:hAnsi="宋体" w:eastAsia="宋体" w:cs="宋体"/>
                <w:color w:val="auto"/>
                <w:sz w:val="22"/>
                <w:szCs w:val="22"/>
                <w:highlight w:val="none"/>
              </w:rPr>
            </w:pPr>
          </w:p>
        </w:tc>
      </w:tr>
    </w:tbl>
    <w:p w14:paraId="25DCB4D2">
      <w:pPr>
        <w:spacing w:line="460" w:lineRule="exact"/>
        <w:rPr>
          <w:rFonts w:hint="eastAsia" w:ascii="宋体" w:hAnsi="宋体" w:eastAsia="宋体" w:cs="宋体"/>
          <w:color w:val="auto"/>
          <w:sz w:val="22"/>
          <w:szCs w:val="22"/>
          <w:highlight w:val="none"/>
        </w:rPr>
        <w:sectPr>
          <w:headerReference r:id="rId5" w:type="default"/>
          <w:footerReference r:id="rId6" w:type="default"/>
          <w:pgSz w:w="16838" w:h="11906" w:orient="landscape"/>
          <w:pgMar w:top="1134" w:right="1134" w:bottom="1134" w:left="1134" w:header="850" w:footer="992" w:gutter="0"/>
          <w:cols w:space="720" w:num="1"/>
          <w:docGrid w:type="lines" w:linePitch="321" w:charSpace="0"/>
        </w:sectPr>
      </w:pPr>
    </w:p>
    <w:p w14:paraId="060920AB">
      <w:pPr>
        <w:spacing w:line="400" w:lineRule="exact"/>
        <w:jc w:val="center"/>
        <w:outlineLvl w:val="3"/>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w:t>
      </w:r>
      <w:r>
        <w:rPr>
          <w:rFonts w:hint="eastAsia" w:ascii="宋体" w:hAnsi="宋体" w:eastAsia="宋体" w:cs="宋体"/>
          <w:b/>
          <w:bCs/>
          <w:color w:val="auto"/>
          <w:sz w:val="28"/>
          <w:szCs w:val="28"/>
          <w:highlight w:val="none"/>
          <w:lang w:val="zh-CN" w:eastAsia="zh-CN"/>
        </w:rPr>
        <w:t>偏离表（</w:t>
      </w:r>
      <w:r>
        <w:rPr>
          <w:rFonts w:hint="eastAsia" w:ascii="宋体" w:hAnsi="宋体" w:eastAsia="宋体" w:cs="宋体"/>
          <w:b/>
          <w:bCs/>
          <w:color w:val="auto"/>
          <w:sz w:val="28"/>
          <w:szCs w:val="28"/>
          <w:highlight w:val="none"/>
          <w:lang w:val="en-US" w:eastAsia="zh-CN"/>
        </w:rPr>
        <w:t>商务、技术偏离</w:t>
      </w:r>
      <w:r>
        <w:rPr>
          <w:rFonts w:hint="eastAsia" w:ascii="宋体" w:hAnsi="宋体" w:eastAsia="宋体" w:cs="宋体"/>
          <w:b/>
          <w:bCs/>
          <w:color w:val="auto"/>
          <w:sz w:val="28"/>
          <w:szCs w:val="28"/>
          <w:highlight w:val="none"/>
          <w:lang w:val="zh-CN" w:eastAsia="zh-CN"/>
        </w:rPr>
        <w:t>）</w:t>
      </w:r>
    </w:p>
    <w:p w14:paraId="352AB989">
      <w:pPr>
        <w:spacing w:line="360" w:lineRule="auto"/>
        <w:rPr>
          <w:rFonts w:hint="eastAsia" w:ascii="宋体" w:hAnsi="宋体" w:eastAsia="宋体" w:cs="宋体"/>
          <w:b w:val="0"/>
          <w:bCs w:val="0"/>
          <w:color w:val="auto"/>
          <w:sz w:val="22"/>
          <w:szCs w:val="22"/>
          <w:highlight w:val="none"/>
        </w:rPr>
      </w:pPr>
    </w:p>
    <w:p w14:paraId="3D7FD347">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76F8FFF3">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6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687"/>
        <w:gridCol w:w="3402"/>
        <w:gridCol w:w="1580"/>
      </w:tblGrid>
      <w:tr w14:paraId="0E15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91" w:type="dxa"/>
            <w:shd w:val="clear" w:color="auto" w:fill="FFFFFF"/>
            <w:vAlign w:val="center"/>
          </w:tcPr>
          <w:p w14:paraId="53D4305E">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序  号</w:t>
            </w:r>
          </w:p>
        </w:tc>
        <w:tc>
          <w:tcPr>
            <w:tcW w:w="3687" w:type="dxa"/>
            <w:shd w:val="clear" w:color="auto" w:fill="FFFFFF"/>
            <w:vAlign w:val="center"/>
          </w:tcPr>
          <w:p w14:paraId="15245027">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招标文件</w:t>
            </w:r>
          </w:p>
          <w:p w14:paraId="664D9E20">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规格要求</w:t>
            </w:r>
          </w:p>
        </w:tc>
        <w:tc>
          <w:tcPr>
            <w:tcW w:w="3402" w:type="dxa"/>
            <w:shd w:val="clear" w:color="auto" w:fill="FFFFFF"/>
            <w:vAlign w:val="center"/>
          </w:tcPr>
          <w:p w14:paraId="373E6775">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投标文件</w:t>
            </w:r>
          </w:p>
          <w:p w14:paraId="03107493">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对应规格</w:t>
            </w:r>
          </w:p>
        </w:tc>
        <w:tc>
          <w:tcPr>
            <w:tcW w:w="1580" w:type="dxa"/>
            <w:shd w:val="clear" w:color="auto" w:fill="FFFFFF"/>
            <w:vAlign w:val="center"/>
          </w:tcPr>
          <w:p w14:paraId="1A3B8906">
            <w:pPr>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说   明</w:t>
            </w:r>
          </w:p>
        </w:tc>
      </w:tr>
      <w:tr w14:paraId="4BD0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991" w:type="dxa"/>
            <w:vAlign w:val="center"/>
          </w:tcPr>
          <w:p w14:paraId="145A7624">
            <w:pPr>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c>
          <w:tcPr>
            <w:tcW w:w="3687" w:type="dxa"/>
            <w:vAlign w:val="center"/>
          </w:tcPr>
          <w:p w14:paraId="664182C9">
            <w:pPr>
              <w:jc w:val="center"/>
              <w:rPr>
                <w:rFonts w:hint="eastAsia" w:ascii="宋体" w:hAnsi="宋体" w:eastAsia="宋体" w:cs="宋体"/>
                <w:color w:val="auto"/>
                <w:sz w:val="22"/>
                <w:szCs w:val="22"/>
                <w:highlight w:val="none"/>
              </w:rPr>
            </w:pPr>
          </w:p>
        </w:tc>
        <w:tc>
          <w:tcPr>
            <w:tcW w:w="3402" w:type="dxa"/>
            <w:vAlign w:val="center"/>
          </w:tcPr>
          <w:p w14:paraId="56249F0C">
            <w:pPr>
              <w:jc w:val="center"/>
              <w:rPr>
                <w:rFonts w:hint="eastAsia" w:ascii="宋体" w:hAnsi="宋体" w:eastAsia="宋体" w:cs="宋体"/>
                <w:color w:val="auto"/>
                <w:sz w:val="22"/>
                <w:szCs w:val="22"/>
                <w:highlight w:val="none"/>
              </w:rPr>
            </w:pPr>
          </w:p>
        </w:tc>
        <w:tc>
          <w:tcPr>
            <w:tcW w:w="1580" w:type="dxa"/>
            <w:vAlign w:val="center"/>
          </w:tcPr>
          <w:p w14:paraId="472E8310">
            <w:pPr>
              <w:jc w:val="center"/>
              <w:rPr>
                <w:rFonts w:hint="eastAsia" w:ascii="宋体" w:hAnsi="宋体" w:eastAsia="宋体" w:cs="宋体"/>
                <w:color w:val="auto"/>
                <w:sz w:val="22"/>
                <w:szCs w:val="22"/>
                <w:highlight w:val="none"/>
              </w:rPr>
            </w:pPr>
          </w:p>
        </w:tc>
      </w:tr>
      <w:tr w14:paraId="6F14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3C95047D">
            <w:pPr>
              <w:jc w:val="center"/>
              <w:rPr>
                <w:rFonts w:hint="eastAsia" w:ascii="宋体" w:hAnsi="宋体" w:eastAsia="宋体" w:cs="宋体"/>
                <w:color w:val="auto"/>
                <w:sz w:val="22"/>
                <w:szCs w:val="22"/>
                <w:highlight w:val="none"/>
              </w:rPr>
            </w:pPr>
          </w:p>
        </w:tc>
        <w:tc>
          <w:tcPr>
            <w:tcW w:w="3687" w:type="dxa"/>
            <w:vAlign w:val="center"/>
          </w:tcPr>
          <w:p w14:paraId="24F3481E">
            <w:pPr>
              <w:jc w:val="center"/>
              <w:rPr>
                <w:rFonts w:hint="eastAsia" w:ascii="宋体" w:hAnsi="宋体" w:eastAsia="宋体" w:cs="宋体"/>
                <w:color w:val="auto"/>
                <w:sz w:val="22"/>
                <w:szCs w:val="22"/>
                <w:highlight w:val="none"/>
              </w:rPr>
            </w:pPr>
          </w:p>
        </w:tc>
        <w:tc>
          <w:tcPr>
            <w:tcW w:w="3402" w:type="dxa"/>
            <w:vAlign w:val="center"/>
          </w:tcPr>
          <w:p w14:paraId="077E1EA7">
            <w:pPr>
              <w:jc w:val="center"/>
              <w:rPr>
                <w:rFonts w:hint="eastAsia" w:ascii="宋体" w:hAnsi="宋体" w:eastAsia="宋体" w:cs="宋体"/>
                <w:color w:val="auto"/>
                <w:sz w:val="22"/>
                <w:szCs w:val="22"/>
                <w:highlight w:val="none"/>
              </w:rPr>
            </w:pPr>
          </w:p>
        </w:tc>
        <w:tc>
          <w:tcPr>
            <w:tcW w:w="1580" w:type="dxa"/>
            <w:vAlign w:val="center"/>
          </w:tcPr>
          <w:p w14:paraId="3E710C87">
            <w:pPr>
              <w:jc w:val="center"/>
              <w:rPr>
                <w:rFonts w:hint="eastAsia" w:ascii="宋体" w:hAnsi="宋体" w:eastAsia="宋体" w:cs="宋体"/>
                <w:color w:val="auto"/>
                <w:sz w:val="22"/>
                <w:szCs w:val="22"/>
                <w:highlight w:val="none"/>
              </w:rPr>
            </w:pPr>
          </w:p>
        </w:tc>
      </w:tr>
      <w:tr w14:paraId="1362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5D0F7FD1">
            <w:pPr>
              <w:jc w:val="center"/>
              <w:rPr>
                <w:rFonts w:hint="eastAsia" w:ascii="宋体" w:hAnsi="宋体" w:eastAsia="宋体" w:cs="宋体"/>
                <w:color w:val="auto"/>
                <w:sz w:val="22"/>
                <w:szCs w:val="22"/>
                <w:highlight w:val="none"/>
              </w:rPr>
            </w:pPr>
          </w:p>
        </w:tc>
        <w:tc>
          <w:tcPr>
            <w:tcW w:w="3687" w:type="dxa"/>
            <w:vAlign w:val="center"/>
          </w:tcPr>
          <w:p w14:paraId="38F53CFD">
            <w:pPr>
              <w:jc w:val="center"/>
              <w:rPr>
                <w:rFonts w:hint="eastAsia" w:ascii="宋体" w:hAnsi="宋体" w:eastAsia="宋体" w:cs="宋体"/>
                <w:color w:val="auto"/>
                <w:sz w:val="22"/>
                <w:szCs w:val="22"/>
                <w:highlight w:val="none"/>
              </w:rPr>
            </w:pPr>
          </w:p>
        </w:tc>
        <w:tc>
          <w:tcPr>
            <w:tcW w:w="3402" w:type="dxa"/>
            <w:vAlign w:val="center"/>
          </w:tcPr>
          <w:p w14:paraId="7873534C">
            <w:pPr>
              <w:jc w:val="center"/>
              <w:rPr>
                <w:rFonts w:hint="eastAsia" w:ascii="宋体" w:hAnsi="宋体" w:eastAsia="宋体" w:cs="宋体"/>
                <w:color w:val="auto"/>
                <w:sz w:val="22"/>
                <w:szCs w:val="22"/>
                <w:highlight w:val="none"/>
              </w:rPr>
            </w:pPr>
          </w:p>
        </w:tc>
        <w:tc>
          <w:tcPr>
            <w:tcW w:w="1580" w:type="dxa"/>
            <w:vAlign w:val="center"/>
          </w:tcPr>
          <w:p w14:paraId="1EFD4FC3">
            <w:pPr>
              <w:jc w:val="center"/>
              <w:rPr>
                <w:rFonts w:hint="eastAsia" w:ascii="宋体" w:hAnsi="宋体" w:eastAsia="宋体" w:cs="宋体"/>
                <w:color w:val="auto"/>
                <w:sz w:val="22"/>
                <w:szCs w:val="22"/>
                <w:highlight w:val="none"/>
              </w:rPr>
            </w:pPr>
          </w:p>
        </w:tc>
      </w:tr>
      <w:tr w14:paraId="4831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1BA01A80">
            <w:pPr>
              <w:jc w:val="center"/>
              <w:rPr>
                <w:rFonts w:hint="eastAsia" w:ascii="宋体" w:hAnsi="宋体" w:eastAsia="宋体" w:cs="宋体"/>
                <w:color w:val="auto"/>
                <w:sz w:val="22"/>
                <w:szCs w:val="22"/>
                <w:highlight w:val="none"/>
              </w:rPr>
            </w:pPr>
          </w:p>
        </w:tc>
        <w:tc>
          <w:tcPr>
            <w:tcW w:w="3687" w:type="dxa"/>
            <w:vAlign w:val="center"/>
          </w:tcPr>
          <w:p w14:paraId="30FFF82C">
            <w:pPr>
              <w:jc w:val="center"/>
              <w:rPr>
                <w:rFonts w:hint="eastAsia" w:ascii="宋体" w:hAnsi="宋体" w:eastAsia="宋体" w:cs="宋体"/>
                <w:color w:val="auto"/>
                <w:sz w:val="22"/>
                <w:szCs w:val="22"/>
                <w:highlight w:val="none"/>
              </w:rPr>
            </w:pPr>
          </w:p>
        </w:tc>
        <w:tc>
          <w:tcPr>
            <w:tcW w:w="3402" w:type="dxa"/>
            <w:vAlign w:val="center"/>
          </w:tcPr>
          <w:p w14:paraId="5BA131D8">
            <w:pPr>
              <w:jc w:val="center"/>
              <w:rPr>
                <w:rFonts w:hint="eastAsia" w:ascii="宋体" w:hAnsi="宋体" w:eastAsia="宋体" w:cs="宋体"/>
                <w:color w:val="auto"/>
                <w:sz w:val="22"/>
                <w:szCs w:val="22"/>
                <w:highlight w:val="none"/>
              </w:rPr>
            </w:pPr>
          </w:p>
        </w:tc>
        <w:tc>
          <w:tcPr>
            <w:tcW w:w="1580" w:type="dxa"/>
            <w:vAlign w:val="center"/>
          </w:tcPr>
          <w:p w14:paraId="0FF7813E">
            <w:pPr>
              <w:jc w:val="center"/>
              <w:rPr>
                <w:rFonts w:hint="eastAsia" w:ascii="宋体" w:hAnsi="宋体" w:eastAsia="宋体" w:cs="宋体"/>
                <w:color w:val="auto"/>
                <w:sz w:val="22"/>
                <w:szCs w:val="22"/>
                <w:highlight w:val="none"/>
              </w:rPr>
            </w:pPr>
          </w:p>
        </w:tc>
      </w:tr>
      <w:tr w14:paraId="2818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7C2BB19E">
            <w:pPr>
              <w:jc w:val="center"/>
              <w:rPr>
                <w:rFonts w:hint="eastAsia" w:ascii="宋体" w:hAnsi="宋体" w:eastAsia="宋体" w:cs="宋体"/>
                <w:color w:val="auto"/>
                <w:sz w:val="22"/>
                <w:szCs w:val="22"/>
                <w:highlight w:val="none"/>
              </w:rPr>
            </w:pPr>
          </w:p>
        </w:tc>
        <w:tc>
          <w:tcPr>
            <w:tcW w:w="3687" w:type="dxa"/>
            <w:vAlign w:val="center"/>
          </w:tcPr>
          <w:p w14:paraId="4885353B">
            <w:pPr>
              <w:jc w:val="center"/>
              <w:rPr>
                <w:rFonts w:hint="eastAsia" w:ascii="宋体" w:hAnsi="宋体" w:eastAsia="宋体" w:cs="宋体"/>
                <w:color w:val="auto"/>
                <w:sz w:val="22"/>
                <w:szCs w:val="22"/>
                <w:highlight w:val="none"/>
              </w:rPr>
            </w:pPr>
          </w:p>
        </w:tc>
        <w:tc>
          <w:tcPr>
            <w:tcW w:w="3402" w:type="dxa"/>
            <w:vAlign w:val="center"/>
          </w:tcPr>
          <w:p w14:paraId="358D8F27">
            <w:pPr>
              <w:jc w:val="center"/>
              <w:rPr>
                <w:rFonts w:hint="eastAsia" w:ascii="宋体" w:hAnsi="宋体" w:eastAsia="宋体" w:cs="宋体"/>
                <w:color w:val="auto"/>
                <w:sz w:val="22"/>
                <w:szCs w:val="22"/>
                <w:highlight w:val="none"/>
              </w:rPr>
            </w:pPr>
          </w:p>
        </w:tc>
        <w:tc>
          <w:tcPr>
            <w:tcW w:w="1580" w:type="dxa"/>
            <w:vAlign w:val="center"/>
          </w:tcPr>
          <w:p w14:paraId="1633BB2B">
            <w:pPr>
              <w:jc w:val="center"/>
              <w:rPr>
                <w:rFonts w:hint="eastAsia" w:ascii="宋体" w:hAnsi="宋体" w:eastAsia="宋体" w:cs="宋体"/>
                <w:color w:val="auto"/>
                <w:sz w:val="22"/>
                <w:szCs w:val="22"/>
                <w:highlight w:val="none"/>
              </w:rPr>
            </w:pPr>
          </w:p>
        </w:tc>
      </w:tr>
      <w:tr w14:paraId="1225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33C0880A">
            <w:pPr>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tc>
        <w:tc>
          <w:tcPr>
            <w:tcW w:w="3687" w:type="dxa"/>
            <w:vAlign w:val="center"/>
          </w:tcPr>
          <w:p w14:paraId="5805AE99">
            <w:pPr>
              <w:jc w:val="center"/>
              <w:rPr>
                <w:rFonts w:hint="eastAsia" w:ascii="宋体" w:hAnsi="宋体" w:eastAsia="宋体" w:cs="宋体"/>
                <w:color w:val="auto"/>
                <w:sz w:val="22"/>
                <w:szCs w:val="22"/>
                <w:highlight w:val="none"/>
              </w:rPr>
            </w:pPr>
          </w:p>
        </w:tc>
        <w:tc>
          <w:tcPr>
            <w:tcW w:w="3402" w:type="dxa"/>
            <w:vAlign w:val="center"/>
          </w:tcPr>
          <w:p w14:paraId="77E0586E">
            <w:pPr>
              <w:jc w:val="center"/>
              <w:rPr>
                <w:rFonts w:hint="eastAsia" w:ascii="宋体" w:hAnsi="宋体" w:eastAsia="宋体" w:cs="宋体"/>
                <w:color w:val="auto"/>
                <w:sz w:val="22"/>
                <w:szCs w:val="22"/>
                <w:highlight w:val="none"/>
              </w:rPr>
            </w:pPr>
          </w:p>
        </w:tc>
        <w:tc>
          <w:tcPr>
            <w:tcW w:w="1580" w:type="dxa"/>
            <w:vAlign w:val="center"/>
          </w:tcPr>
          <w:p w14:paraId="53C37590">
            <w:pPr>
              <w:jc w:val="center"/>
              <w:rPr>
                <w:rFonts w:hint="eastAsia" w:ascii="宋体" w:hAnsi="宋体" w:eastAsia="宋体" w:cs="宋体"/>
                <w:color w:val="auto"/>
                <w:sz w:val="22"/>
                <w:szCs w:val="22"/>
                <w:highlight w:val="none"/>
              </w:rPr>
            </w:pPr>
          </w:p>
        </w:tc>
      </w:tr>
      <w:tr w14:paraId="046D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4711F6F9">
            <w:pPr>
              <w:jc w:val="center"/>
              <w:rPr>
                <w:rFonts w:hint="eastAsia" w:ascii="宋体" w:hAnsi="宋体" w:eastAsia="宋体" w:cs="宋体"/>
                <w:color w:val="auto"/>
                <w:sz w:val="22"/>
                <w:szCs w:val="22"/>
                <w:highlight w:val="none"/>
              </w:rPr>
            </w:pPr>
          </w:p>
        </w:tc>
        <w:tc>
          <w:tcPr>
            <w:tcW w:w="3687" w:type="dxa"/>
            <w:vAlign w:val="center"/>
          </w:tcPr>
          <w:p w14:paraId="43D86B65">
            <w:pPr>
              <w:jc w:val="center"/>
              <w:rPr>
                <w:rFonts w:hint="eastAsia" w:ascii="宋体" w:hAnsi="宋体" w:eastAsia="宋体" w:cs="宋体"/>
                <w:color w:val="auto"/>
                <w:sz w:val="22"/>
                <w:szCs w:val="22"/>
                <w:highlight w:val="none"/>
              </w:rPr>
            </w:pPr>
          </w:p>
        </w:tc>
        <w:tc>
          <w:tcPr>
            <w:tcW w:w="3402" w:type="dxa"/>
            <w:vAlign w:val="center"/>
          </w:tcPr>
          <w:p w14:paraId="57073C85">
            <w:pPr>
              <w:jc w:val="center"/>
              <w:rPr>
                <w:rFonts w:hint="eastAsia" w:ascii="宋体" w:hAnsi="宋体" w:eastAsia="宋体" w:cs="宋体"/>
                <w:color w:val="auto"/>
                <w:sz w:val="22"/>
                <w:szCs w:val="22"/>
                <w:highlight w:val="none"/>
              </w:rPr>
            </w:pPr>
          </w:p>
        </w:tc>
        <w:tc>
          <w:tcPr>
            <w:tcW w:w="1580" w:type="dxa"/>
            <w:vAlign w:val="center"/>
          </w:tcPr>
          <w:p w14:paraId="42A7862D">
            <w:pPr>
              <w:jc w:val="center"/>
              <w:rPr>
                <w:rFonts w:hint="eastAsia" w:ascii="宋体" w:hAnsi="宋体" w:eastAsia="宋体" w:cs="宋体"/>
                <w:color w:val="auto"/>
                <w:sz w:val="22"/>
                <w:szCs w:val="22"/>
                <w:highlight w:val="none"/>
              </w:rPr>
            </w:pPr>
          </w:p>
        </w:tc>
      </w:tr>
      <w:tr w14:paraId="35A4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50CD7429">
            <w:pPr>
              <w:jc w:val="center"/>
              <w:rPr>
                <w:rFonts w:hint="eastAsia" w:ascii="宋体" w:hAnsi="宋体" w:eastAsia="宋体" w:cs="宋体"/>
                <w:color w:val="auto"/>
                <w:sz w:val="22"/>
                <w:szCs w:val="22"/>
                <w:highlight w:val="none"/>
              </w:rPr>
            </w:pPr>
          </w:p>
        </w:tc>
        <w:tc>
          <w:tcPr>
            <w:tcW w:w="3687" w:type="dxa"/>
            <w:vAlign w:val="center"/>
          </w:tcPr>
          <w:p w14:paraId="64AAE5AA">
            <w:pPr>
              <w:jc w:val="center"/>
              <w:rPr>
                <w:rFonts w:hint="eastAsia" w:ascii="宋体" w:hAnsi="宋体" w:eastAsia="宋体" w:cs="宋体"/>
                <w:color w:val="auto"/>
                <w:sz w:val="22"/>
                <w:szCs w:val="22"/>
                <w:highlight w:val="none"/>
              </w:rPr>
            </w:pPr>
          </w:p>
        </w:tc>
        <w:tc>
          <w:tcPr>
            <w:tcW w:w="3402" w:type="dxa"/>
            <w:vAlign w:val="center"/>
          </w:tcPr>
          <w:p w14:paraId="0C87F740">
            <w:pPr>
              <w:jc w:val="center"/>
              <w:rPr>
                <w:rFonts w:hint="eastAsia" w:ascii="宋体" w:hAnsi="宋体" w:eastAsia="宋体" w:cs="宋体"/>
                <w:color w:val="auto"/>
                <w:sz w:val="22"/>
                <w:szCs w:val="22"/>
                <w:highlight w:val="none"/>
              </w:rPr>
            </w:pPr>
          </w:p>
        </w:tc>
        <w:tc>
          <w:tcPr>
            <w:tcW w:w="1580" w:type="dxa"/>
            <w:vAlign w:val="center"/>
          </w:tcPr>
          <w:p w14:paraId="5B4DC15D">
            <w:pPr>
              <w:jc w:val="center"/>
              <w:rPr>
                <w:rFonts w:hint="eastAsia" w:ascii="宋体" w:hAnsi="宋体" w:eastAsia="宋体" w:cs="宋体"/>
                <w:color w:val="auto"/>
                <w:sz w:val="22"/>
                <w:szCs w:val="22"/>
                <w:highlight w:val="none"/>
              </w:rPr>
            </w:pPr>
          </w:p>
        </w:tc>
      </w:tr>
      <w:tr w14:paraId="336E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36D9CD91">
            <w:pPr>
              <w:jc w:val="center"/>
              <w:rPr>
                <w:rFonts w:hint="eastAsia" w:ascii="宋体" w:hAnsi="宋体" w:eastAsia="宋体" w:cs="宋体"/>
                <w:color w:val="auto"/>
                <w:sz w:val="22"/>
                <w:szCs w:val="22"/>
                <w:highlight w:val="none"/>
              </w:rPr>
            </w:pPr>
          </w:p>
        </w:tc>
        <w:tc>
          <w:tcPr>
            <w:tcW w:w="3687" w:type="dxa"/>
            <w:vAlign w:val="center"/>
          </w:tcPr>
          <w:p w14:paraId="754BC3C3">
            <w:pPr>
              <w:jc w:val="center"/>
              <w:rPr>
                <w:rFonts w:hint="eastAsia" w:ascii="宋体" w:hAnsi="宋体" w:eastAsia="宋体" w:cs="宋体"/>
                <w:color w:val="auto"/>
                <w:sz w:val="22"/>
                <w:szCs w:val="22"/>
                <w:highlight w:val="none"/>
              </w:rPr>
            </w:pPr>
          </w:p>
        </w:tc>
        <w:tc>
          <w:tcPr>
            <w:tcW w:w="3402" w:type="dxa"/>
            <w:vAlign w:val="center"/>
          </w:tcPr>
          <w:p w14:paraId="04A733FE">
            <w:pPr>
              <w:jc w:val="center"/>
              <w:rPr>
                <w:rFonts w:hint="eastAsia" w:ascii="宋体" w:hAnsi="宋体" w:eastAsia="宋体" w:cs="宋体"/>
                <w:color w:val="auto"/>
                <w:sz w:val="22"/>
                <w:szCs w:val="22"/>
                <w:highlight w:val="none"/>
              </w:rPr>
            </w:pPr>
          </w:p>
        </w:tc>
        <w:tc>
          <w:tcPr>
            <w:tcW w:w="1580" w:type="dxa"/>
            <w:vAlign w:val="center"/>
          </w:tcPr>
          <w:p w14:paraId="7BE55ED1">
            <w:pPr>
              <w:jc w:val="center"/>
              <w:rPr>
                <w:rFonts w:hint="eastAsia" w:ascii="宋体" w:hAnsi="宋体" w:eastAsia="宋体" w:cs="宋体"/>
                <w:color w:val="auto"/>
                <w:sz w:val="22"/>
                <w:szCs w:val="22"/>
                <w:highlight w:val="none"/>
              </w:rPr>
            </w:pPr>
          </w:p>
        </w:tc>
      </w:tr>
      <w:tr w14:paraId="4A74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6AB60327">
            <w:pPr>
              <w:jc w:val="center"/>
              <w:rPr>
                <w:rFonts w:hint="eastAsia" w:ascii="宋体" w:hAnsi="宋体" w:eastAsia="宋体" w:cs="宋体"/>
                <w:color w:val="auto"/>
                <w:sz w:val="22"/>
                <w:szCs w:val="22"/>
                <w:highlight w:val="none"/>
              </w:rPr>
            </w:pPr>
          </w:p>
        </w:tc>
        <w:tc>
          <w:tcPr>
            <w:tcW w:w="3687" w:type="dxa"/>
            <w:vAlign w:val="center"/>
          </w:tcPr>
          <w:p w14:paraId="62F27CAF">
            <w:pPr>
              <w:jc w:val="center"/>
              <w:rPr>
                <w:rFonts w:hint="eastAsia" w:ascii="宋体" w:hAnsi="宋体" w:eastAsia="宋体" w:cs="宋体"/>
                <w:color w:val="auto"/>
                <w:sz w:val="22"/>
                <w:szCs w:val="22"/>
                <w:highlight w:val="none"/>
              </w:rPr>
            </w:pPr>
          </w:p>
        </w:tc>
        <w:tc>
          <w:tcPr>
            <w:tcW w:w="3402" w:type="dxa"/>
            <w:vAlign w:val="center"/>
          </w:tcPr>
          <w:p w14:paraId="4E6FB65A">
            <w:pPr>
              <w:jc w:val="center"/>
              <w:rPr>
                <w:rFonts w:hint="eastAsia" w:ascii="宋体" w:hAnsi="宋体" w:eastAsia="宋体" w:cs="宋体"/>
                <w:color w:val="auto"/>
                <w:sz w:val="22"/>
                <w:szCs w:val="22"/>
                <w:highlight w:val="none"/>
              </w:rPr>
            </w:pPr>
          </w:p>
        </w:tc>
        <w:tc>
          <w:tcPr>
            <w:tcW w:w="1580" w:type="dxa"/>
            <w:vAlign w:val="center"/>
          </w:tcPr>
          <w:p w14:paraId="3A4D23E4">
            <w:pPr>
              <w:jc w:val="center"/>
              <w:rPr>
                <w:rFonts w:hint="eastAsia" w:ascii="宋体" w:hAnsi="宋体" w:eastAsia="宋体" w:cs="宋体"/>
                <w:color w:val="auto"/>
                <w:sz w:val="22"/>
                <w:szCs w:val="22"/>
                <w:highlight w:val="none"/>
              </w:rPr>
            </w:pPr>
          </w:p>
        </w:tc>
      </w:tr>
      <w:tr w14:paraId="728B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0B8E14E8">
            <w:pPr>
              <w:jc w:val="center"/>
              <w:rPr>
                <w:rFonts w:hint="eastAsia" w:ascii="宋体" w:hAnsi="宋体" w:eastAsia="宋体" w:cs="宋体"/>
                <w:color w:val="auto"/>
                <w:sz w:val="22"/>
                <w:szCs w:val="22"/>
                <w:highlight w:val="none"/>
              </w:rPr>
            </w:pPr>
          </w:p>
        </w:tc>
        <w:tc>
          <w:tcPr>
            <w:tcW w:w="3687" w:type="dxa"/>
            <w:vAlign w:val="center"/>
          </w:tcPr>
          <w:p w14:paraId="2B3DCA45">
            <w:pPr>
              <w:jc w:val="center"/>
              <w:rPr>
                <w:rFonts w:hint="eastAsia" w:ascii="宋体" w:hAnsi="宋体" w:eastAsia="宋体" w:cs="宋体"/>
                <w:color w:val="auto"/>
                <w:sz w:val="22"/>
                <w:szCs w:val="22"/>
                <w:highlight w:val="none"/>
              </w:rPr>
            </w:pPr>
          </w:p>
        </w:tc>
        <w:tc>
          <w:tcPr>
            <w:tcW w:w="3402" w:type="dxa"/>
            <w:vAlign w:val="center"/>
          </w:tcPr>
          <w:p w14:paraId="0576459A">
            <w:pPr>
              <w:jc w:val="center"/>
              <w:rPr>
                <w:rFonts w:hint="eastAsia" w:ascii="宋体" w:hAnsi="宋体" w:eastAsia="宋体" w:cs="宋体"/>
                <w:color w:val="auto"/>
                <w:sz w:val="22"/>
                <w:szCs w:val="22"/>
                <w:highlight w:val="none"/>
              </w:rPr>
            </w:pPr>
          </w:p>
        </w:tc>
        <w:tc>
          <w:tcPr>
            <w:tcW w:w="1580" w:type="dxa"/>
            <w:vAlign w:val="center"/>
          </w:tcPr>
          <w:p w14:paraId="30932852">
            <w:pPr>
              <w:jc w:val="center"/>
              <w:rPr>
                <w:rFonts w:hint="eastAsia" w:ascii="宋体" w:hAnsi="宋体" w:eastAsia="宋体" w:cs="宋体"/>
                <w:color w:val="auto"/>
                <w:sz w:val="22"/>
                <w:szCs w:val="22"/>
                <w:highlight w:val="none"/>
              </w:rPr>
            </w:pPr>
          </w:p>
        </w:tc>
      </w:tr>
    </w:tbl>
    <w:p w14:paraId="609995EC">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eastAsia="宋体" w:cs="宋体"/>
          <w:b/>
          <w:bCs/>
          <w:color w:val="auto"/>
          <w:sz w:val="22"/>
          <w:szCs w:val="22"/>
          <w:highlight w:val="none"/>
        </w:rPr>
        <w:t>注： 如有偏离，必须在偏离表中进行详细对比说明并注明正偏离和负偏离，如不说明偏离情况，视为完全响应采购文件要求无偏离</w:t>
      </w:r>
    </w:p>
    <w:p w14:paraId="00A324FA">
      <w:pPr>
        <w:pStyle w:val="28"/>
        <w:spacing w:line="360" w:lineRule="auto"/>
        <w:ind w:left="2520" w:leftChars="0" w:firstLine="420" w:firstLineChars="0"/>
        <w:rPr>
          <w:rFonts w:hint="eastAsia" w:ascii="宋体" w:hAnsi="宋体" w:eastAsia="宋体" w:cs="宋体"/>
          <w:b w:val="0"/>
          <w:bCs/>
          <w:color w:val="auto"/>
          <w:sz w:val="22"/>
          <w:szCs w:val="22"/>
          <w:highlight w:val="none"/>
        </w:rPr>
      </w:pPr>
      <w:bookmarkStart w:id="33" w:name="_Toc415152386"/>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7ABC0B6D">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7FD2325C">
      <w:pPr>
        <w:spacing w:line="360" w:lineRule="auto"/>
        <w:ind w:left="2520" w:leftChars="0" w:firstLine="420" w:firstLineChars="0"/>
        <w:rPr>
          <w:rFonts w:hint="eastAsia" w:ascii="宋体" w:hAnsi="宋体" w:eastAsia="宋体" w:cs="宋体"/>
          <w:b/>
          <w:color w:val="auto"/>
          <w:sz w:val="24"/>
          <w:highlight w:val="none"/>
        </w:rPr>
      </w:pPr>
      <w:r>
        <w:rPr>
          <w:rFonts w:hint="eastAsia" w:ascii="宋体" w:hAnsi="宋体" w:eastAsia="宋体" w:cs="宋体"/>
          <w:b w:val="0"/>
          <w:bCs/>
          <w:color w:val="auto"/>
          <w:sz w:val="22"/>
          <w:szCs w:val="22"/>
          <w:highlight w:val="none"/>
        </w:rPr>
        <w:t>日    期：</w:t>
      </w:r>
      <w:r>
        <w:rPr>
          <w:rFonts w:hint="eastAsia" w:ascii="宋体" w:hAnsi="宋体" w:eastAsia="宋体" w:cs="宋体"/>
          <w:b/>
          <w:color w:val="auto"/>
          <w:sz w:val="24"/>
          <w:highlight w:val="none"/>
        </w:rPr>
        <w:br w:type="page"/>
      </w:r>
    </w:p>
    <w:p w14:paraId="794C7F41">
      <w:pPr>
        <w:spacing w:line="400" w:lineRule="exact"/>
        <w:jc w:val="center"/>
        <w:outlineLvl w:val="3"/>
        <w:rPr>
          <w:rFonts w:ascii="新宋体" w:hAnsi="新宋体" w:eastAsia="新宋体" w:cs="新宋体"/>
          <w:b/>
          <w:color w:val="auto"/>
          <w:sz w:val="24"/>
          <w:highlight w:val="none"/>
          <w:lang w:val="zh-CN"/>
        </w:rPr>
      </w:pPr>
      <w:r>
        <w:rPr>
          <w:rFonts w:hint="eastAsia" w:ascii="新宋体" w:hAnsi="新宋体" w:eastAsia="新宋体" w:cs="新宋体"/>
          <w:b/>
          <w:color w:val="auto"/>
          <w:sz w:val="24"/>
          <w:highlight w:val="none"/>
        </w:rPr>
        <w:t>4、</w:t>
      </w:r>
      <w:r>
        <w:rPr>
          <w:rFonts w:hint="eastAsia" w:ascii="新宋体" w:hAnsi="新宋体" w:eastAsia="新宋体" w:cs="新宋体"/>
          <w:b/>
          <w:color w:val="auto"/>
          <w:sz w:val="24"/>
          <w:highlight w:val="none"/>
          <w:lang w:val="zh-CN"/>
        </w:rPr>
        <w:t>详细供货清单说明一览表（</w:t>
      </w:r>
      <w:r>
        <w:rPr>
          <w:rFonts w:hint="eastAsia" w:ascii="新宋体" w:hAnsi="新宋体" w:eastAsia="新宋体" w:cs="新宋体"/>
          <w:b/>
          <w:color w:val="auto"/>
          <w:sz w:val="24"/>
          <w:highlight w:val="none"/>
          <w:lang w:val="en-US" w:eastAsia="zh-CN"/>
        </w:rPr>
        <w:t>如有</w:t>
      </w:r>
      <w:r>
        <w:rPr>
          <w:rFonts w:hint="eastAsia" w:ascii="新宋体" w:hAnsi="新宋体" w:eastAsia="新宋体" w:cs="新宋体"/>
          <w:b/>
          <w:color w:val="auto"/>
          <w:sz w:val="24"/>
          <w:highlight w:val="none"/>
          <w:lang w:val="zh-CN"/>
        </w:rPr>
        <w:t>）</w:t>
      </w:r>
    </w:p>
    <w:p w14:paraId="25956970">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04E6B7A2">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新宋体" w:hAnsi="新宋体" w:eastAsia="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pPr w:leftFromText="180" w:rightFromText="180" w:vertAnchor="text" w:horzAnchor="margin" w:tblpY="1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2"/>
        <w:gridCol w:w="2880"/>
        <w:gridCol w:w="1661"/>
        <w:gridCol w:w="1260"/>
        <w:gridCol w:w="1219"/>
      </w:tblGrid>
      <w:tr w14:paraId="65A0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828" w:type="dxa"/>
            <w:shd w:val="clear" w:color="auto" w:fill="FFFFFF"/>
            <w:noWrap w:val="0"/>
            <w:vAlign w:val="center"/>
          </w:tcPr>
          <w:p w14:paraId="0F4052F5">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序号</w:t>
            </w:r>
          </w:p>
        </w:tc>
        <w:tc>
          <w:tcPr>
            <w:tcW w:w="1692" w:type="dxa"/>
            <w:shd w:val="clear" w:color="auto" w:fill="FFFFFF"/>
            <w:noWrap w:val="0"/>
            <w:vAlign w:val="center"/>
          </w:tcPr>
          <w:p w14:paraId="606CE370">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设备名称</w:t>
            </w:r>
          </w:p>
        </w:tc>
        <w:tc>
          <w:tcPr>
            <w:tcW w:w="2880" w:type="dxa"/>
            <w:shd w:val="clear" w:color="auto" w:fill="FFFFFF"/>
            <w:noWrap w:val="0"/>
            <w:vAlign w:val="center"/>
          </w:tcPr>
          <w:p w14:paraId="20912048">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规格及技术参数</w:t>
            </w:r>
          </w:p>
        </w:tc>
        <w:tc>
          <w:tcPr>
            <w:tcW w:w="1661" w:type="dxa"/>
            <w:shd w:val="clear" w:color="auto" w:fill="FFFFFF"/>
            <w:noWrap w:val="0"/>
            <w:vAlign w:val="center"/>
          </w:tcPr>
          <w:p w14:paraId="130CB89A">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原产地</w:t>
            </w:r>
          </w:p>
          <w:p w14:paraId="7E199706">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（生产厂家）</w:t>
            </w:r>
          </w:p>
        </w:tc>
        <w:tc>
          <w:tcPr>
            <w:tcW w:w="1260" w:type="dxa"/>
            <w:shd w:val="clear" w:color="auto" w:fill="FFFFFF"/>
            <w:noWrap w:val="0"/>
            <w:vAlign w:val="center"/>
          </w:tcPr>
          <w:p w14:paraId="6E8506E6">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数量</w:t>
            </w:r>
          </w:p>
        </w:tc>
        <w:tc>
          <w:tcPr>
            <w:tcW w:w="1219" w:type="dxa"/>
            <w:shd w:val="clear" w:color="auto" w:fill="FFFFFF"/>
            <w:noWrap w:val="0"/>
            <w:vAlign w:val="center"/>
          </w:tcPr>
          <w:p w14:paraId="10B89B95">
            <w:pPr>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质保期</w:t>
            </w:r>
          </w:p>
        </w:tc>
      </w:tr>
      <w:tr w14:paraId="70EC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25F0C37D">
            <w:pPr>
              <w:spacing w:line="360" w:lineRule="auto"/>
              <w:jc w:val="center"/>
              <w:rPr>
                <w:rFonts w:ascii="新宋体" w:hAnsi="新宋体" w:eastAsia="新宋体"/>
                <w:color w:val="auto"/>
                <w:sz w:val="22"/>
                <w:szCs w:val="22"/>
                <w:highlight w:val="none"/>
              </w:rPr>
            </w:pPr>
          </w:p>
        </w:tc>
        <w:tc>
          <w:tcPr>
            <w:tcW w:w="1692" w:type="dxa"/>
            <w:noWrap w:val="0"/>
            <w:vAlign w:val="center"/>
          </w:tcPr>
          <w:p w14:paraId="0BADAE1E">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4D44C792">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01BC3422">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510EDB73">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338ED0FD">
            <w:pPr>
              <w:rPr>
                <w:rFonts w:ascii="新宋体" w:hAnsi="新宋体" w:eastAsia="新宋体"/>
                <w:color w:val="auto"/>
                <w:sz w:val="22"/>
                <w:szCs w:val="22"/>
                <w:highlight w:val="none"/>
              </w:rPr>
            </w:pPr>
          </w:p>
        </w:tc>
      </w:tr>
      <w:tr w14:paraId="5402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69B6DB68">
            <w:pPr>
              <w:spacing w:line="360" w:lineRule="auto"/>
              <w:jc w:val="center"/>
              <w:rPr>
                <w:rFonts w:ascii="新宋体" w:hAnsi="新宋体" w:eastAsia="新宋体"/>
                <w:color w:val="auto"/>
                <w:sz w:val="22"/>
                <w:szCs w:val="22"/>
                <w:highlight w:val="none"/>
              </w:rPr>
            </w:pPr>
          </w:p>
        </w:tc>
        <w:tc>
          <w:tcPr>
            <w:tcW w:w="1692" w:type="dxa"/>
            <w:noWrap w:val="0"/>
            <w:vAlign w:val="center"/>
          </w:tcPr>
          <w:p w14:paraId="29C61BF9">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1AE05B12">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22A9206">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514FD77A">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5382326C">
            <w:pPr>
              <w:rPr>
                <w:rFonts w:ascii="新宋体" w:hAnsi="新宋体" w:eastAsia="新宋体"/>
                <w:color w:val="auto"/>
                <w:sz w:val="22"/>
                <w:szCs w:val="22"/>
                <w:highlight w:val="none"/>
              </w:rPr>
            </w:pPr>
          </w:p>
        </w:tc>
      </w:tr>
      <w:tr w14:paraId="2558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704217FF">
            <w:pPr>
              <w:spacing w:line="360" w:lineRule="auto"/>
              <w:jc w:val="center"/>
              <w:rPr>
                <w:rFonts w:ascii="新宋体" w:hAnsi="新宋体" w:eastAsia="新宋体"/>
                <w:color w:val="auto"/>
                <w:sz w:val="22"/>
                <w:szCs w:val="22"/>
                <w:highlight w:val="none"/>
              </w:rPr>
            </w:pPr>
          </w:p>
        </w:tc>
        <w:tc>
          <w:tcPr>
            <w:tcW w:w="1692" w:type="dxa"/>
            <w:noWrap w:val="0"/>
            <w:vAlign w:val="center"/>
          </w:tcPr>
          <w:p w14:paraId="4600F8D8">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1B6FE9AB">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483E781B">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2173E6C6">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38E146B">
            <w:pPr>
              <w:rPr>
                <w:rFonts w:ascii="新宋体" w:hAnsi="新宋体" w:eastAsia="新宋体"/>
                <w:color w:val="auto"/>
                <w:sz w:val="22"/>
                <w:szCs w:val="22"/>
                <w:highlight w:val="none"/>
              </w:rPr>
            </w:pPr>
          </w:p>
        </w:tc>
      </w:tr>
      <w:tr w14:paraId="2C4E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5FE24A85">
            <w:pPr>
              <w:spacing w:line="360" w:lineRule="auto"/>
              <w:jc w:val="center"/>
              <w:rPr>
                <w:rFonts w:ascii="新宋体" w:hAnsi="新宋体" w:eastAsia="新宋体"/>
                <w:color w:val="auto"/>
                <w:sz w:val="22"/>
                <w:szCs w:val="22"/>
                <w:highlight w:val="none"/>
              </w:rPr>
            </w:pPr>
          </w:p>
        </w:tc>
        <w:tc>
          <w:tcPr>
            <w:tcW w:w="1692" w:type="dxa"/>
            <w:noWrap w:val="0"/>
            <w:vAlign w:val="center"/>
          </w:tcPr>
          <w:p w14:paraId="767C50EF">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6D121A33">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720D379">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6B1BDC9C">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4838088B">
            <w:pPr>
              <w:rPr>
                <w:rFonts w:ascii="新宋体" w:hAnsi="新宋体" w:eastAsia="新宋体"/>
                <w:color w:val="auto"/>
                <w:sz w:val="22"/>
                <w:szCs w:val="22"/>
                <w:highlight w:val="none"/>
              </w:rPr>
            </w:pPr>
          </w:p>
        </w:tc>
      </w:tr>
      <w:tr w14:paraId="68B2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151A485B">
            <w:pPr>
              <w:spacing w:line="360" w:lineRule="auto"/>
              <w:jc w:val="center"/>
              <w:rPr>
                <w:rFonts w:ascii="新宋体" w:hAnsi="新宋体" w:eastAsia="新宋体"/>
                <w:color w:val="auto"/>
                <w:sz w:val="22"/>
                <w:szCs w:val="22"/>
                <w:highlight w:val="none"/>
              </w:rPr>
            </w:pPr>
          </w:p>
        </w:tc>
        <w:tc>
          <w:tcPr>
            <w:tcW w:w="1692" w:type="dxa"/>
            <w:noWrap w:val="0"/>
            <w:vAlign w:val="center"/>
          </w:tcPr>
          <w:p w14:paraId="4F31069B">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487EC71D">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B7B0D29">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076381C5">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21DDEE9C">
            <w:pPr>
              <w:rPr>
                <w:rFonts w:ascii="新宋体" w:hAnsi="新宋体" w:eastAsia="新宋体"/>
                <w:color w:val="auto"/>
                <w:sz w:val="22"/>
                <w:szCs w:val="22"/>
                <w:highlight w:val="none"/>
              </w:rPr>
            </w:pPr>
          </w:p>
        </w:tc>
      </w:tr>
      <w:tr w14:paraId="4C93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243BACC5">
            <w:pPr>
              <w:spacing w:line="360" w:lineRule="auto"/>
              <w:jc w:val="center"/>
              <w:rPr>
                <w:rFonts w:ascii="新宋体" w:hAnsi="新宋体" w:eastAsia="新宋体"/>
                <w:color w:val="auto"/>
                <w:sz w:val="22"/>
                <w:szCs w:val="22"/>
                <w:highlight w:val="none"/>
              </w:rPr>
            </w:pPr>
          </w:p>
        </w:tc>
        <w:tc>
          <w:tcPr>
            <w:tcW w:w="1692" w:type="dxa"/>
            <w:noWrap w:val="0"/>
            <w:vAlign w:val="center"/>
          </w:tcPr>
          <w:p w14:paraId="38988C5E">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00757A5E">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83C8351">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31C17489">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043D006">
            <w:pPr>
              <w:rPr>
                <w:rFonts w:ascii="新宋体" w:hAnsi="新宋体" w:eastAsia="新宋体"/>
                <w:color w:val="auto"/>
                <w:sz w:val="22"/>
                <w:szCs w:val="22"/>
                <w:highlight w:val="none"/>
              </w:rPr>
            </w:pPr>
          </w:p>
        </w:tc>
      </w:tr>
      <w:tr w14:paraId="57F5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601AD4FB">
            <w:pPr>
              <w:spacing w:line="360" w:lineRule="auto"/>
              <w:jc w:val="center"/>
              <w:rPr>
                <w:rFonts w:ascii="新宋体" w:hAnsi="新宋体" w:eastAsia="新宋体"/>
                <w:color w:val="auto"/>
                <w:sz w:val="22"/>
                <w:szCs w:val="22"/>
                <w:highlight w:val="none"/>
              </w:rPr>
            </w:pPr>
          </w:p>
        </w:tc>
        <w:tc>
          <w:tcPr>
            <w:tcW w:w="1692" w:type="dxa"/>
            <w:noWrap w:val="0"/>
            <w:vAlign w:val="center"/>
          </w:tcPr>
          <w:p w14:paraId="711F94EA">
            <w:pPr>
              <w:spacing w:line="360" w:lineRule="auto"/>
              <w:jc w:val="center"/>
              <w:rPr>
                <w:rFonts w:ascii="新宋体" w:hAnsi="新宋体" w:eastAsia="新宋体"/>
                <w:color w:val="auto"/>
                <w:sz w:val="22"/>
                <w:szCs w:val="22"/>
                <w:highlight w:val="none"/>
              </w:rPr>
            </w:pPr>
          </w:p>
        </w:tc>
        <w:tc>
          <w:tcPr>
            <w:tcW w:w="2880" w:type="dxa"/>
            <w:noWrap w:val="0"/>
            <w:vAlign w:val="center"/>
          </w:tcPr>
          <w:p w14:paraId="6DF6827C">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CE61EBC">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07679D8C">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6ABD705">
            <w:pPr>
              <w:rPr>
                <w:rFonts w:ascii="新宋体" w:hAnsi="新宋体" w:eastAsia="新宋体"/>
                <w:color w:val="auto"/>
                <w:sz w:val="22"/>
                <w:szCs w:val="22"/>
                <w:highlight w:val="none"/>
              </w:rPr>
            </w:pPr>
          </w:p>
        </w:tc>
      </w:tr>
      <w:tr w14:paraId="668A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0B56F991">
            <w:pPr>
              <w:spacing w:line="360" w:lineRule="auto"/>
              <w:jc w:val="center"/>
              <w:rPr>
                <w:rFonts w:ascii="新宋体" w:hAnsi="新宋体" w:eastAsia="新宋体"/>
                <w:color w:val="auto"/>
                <w:sz w:val="22"/>
                <w:szCs w:val="22"/>
                <w:highlight w:val="none"/>
              </w:rPr>
            </w:pPr>
          </w:p>
        </w:tc>
        <w:tc>
          <w:tcPr>
            <w:tcW w:w="1692" w:type="dxa"/>
            <w:noWrap w:val="0"/>
            <w:vAlign w:val="center"/>
          </w:tcPr>
          <w:p w14:paraId="62616696">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2BC7A5A5">
            <w:pPr>
              <w:spacing w:line="360" w:lineRule="auto"/>
              <w:jc w:val="center"/>
              <w:rPr>
                <w:rFonts w:ascii="新宋体" w:hAnsi="新宋体" w:eastAsia="新宋体"/>
                <w:color w:val="auto"/>
                <w:sz w:val="22"/>
                <w:szCs w:val="22"/>
                <w:highlight w:val="none"/>
              </w:rPr>
            </w:pPr>
          </w:p>
        </w:tc>
        <w:tc>
          <w:tcPr>
            <w:tcW w:w="1661" w:type="dxa"/>
            <w:noWrap w:val="0"/>
            <w:vAlign w:val="center"/>
          </w:tcPr>
          <w:p w14:paraId="1F75032C">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4B8F2DFB">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7E877AC0">
            <w:pPr>
              <w:rPr>
                <w:rFonts w:ascii="新宋体" w:hAnsi="新宋体" w:eastAsia="新宋体"/>
                <w:color w:val="auto"/>
                <w:sz w:val="22"/>
                <w:szCs w:val="22"/>
                <w:highlight w:val="none"/>
              </w:rPr>
            </w:pPr>
          </w:p>
        </w:tc>
      </w:tr>
      <w:tr w14:paraId="6D17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2C6EDBBF">
            <w:pPr>
              <w:spacing w:line="360" w:lineRule="auto"/>
              <w:jc w:val="center"/>
              <w:rPr>
                <w:rFonts w:ascii="新宋体" w:hAnsi="新宋体" w:eastAsia="新宋体"/>
                <w:color w:val="auto"/>
                <w:sz w:val="22"/>
                <w:szCs w:val="22"/>
                <w:highlight w:val="none"/>
              </w:rPr>
            </w:pPr>
          </w:p>
        </w:tc>
        <w:tc>
          <w:tcPr>
            <w:tcW w:w="1692" w:type="dxa"/>
            <w:noWrap w:val="0"/>
            <w:vAlign w:val="center"/>
          </w:tcPr>
          <w:p w14:paraId="4939BBDB">
            <w:pPr>
              <w:spacing w:line="360" w:lineRule="auto"/>
              <w:jc w:val="center"/>
              <w:rPr>
                <w:rFonts w:ascii="新宋体" w:hAnsi="新宋体" w:eastAsia="新宋体"/>
                <w:color w:val="auto"/>
                <w:sz w:val="22"/>
                <w:szCs w:val="22"/>
                <w:highlight w:val="none"/>
              </w:rPr>
            </w:pPr>
          </w:p>
        </w:tc>
        <w:tc>
          <w:tcPr>
            <w:tcW w:w="2880" w:type="dxa"/>
            <w:noWrap w:val="0"/>
            <w:vAlign w:val="top"/>
          </w:tcPr>
          <w:p w14:paraId="2D3D72F0">
            <w:pPr>
              <w:spacing w:line="360" w:lineRule="auto"/>
              <w:rPr>
                <w:rFonts w:ascii="新宋体" w:hAnsi="新宋体" w:eastAsia="新宋体"/>
                <w:b/>
                <w:bCs/>
                <w:color w:val="auto"/>
                <w:sz w:val="22"/>
                <w:szCs w:val="22"/>
                <w:highlight w:val="none"/>
              </w:rPr>
            </w:pPr>
          </w:p>
        </w:tc>
        <w:tc>
          <w:tcPr>
            <w:tcW w:w="1661" w:type="dxa"/>
            <w:noWrap w:val="0"/>
            <w:vAlign w:val="center"/>
          </w:tcPr>
          <w:p w14:paraId="43DAEE28">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3281E51C">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952D9DC">
            <w:pPr>
              <w:rPr>
                <w:rFonts w:ascii="新宋体" w:hAnsi="新宋体" w:eastAsia="新宋体"/>
                <w:color w:val="auto"/>
                <w:sz w:val="22"/>
                <w:szCs w:val="22"/>
                <w:highlight w:val="none"/>
              </w:rPr>
            </w:pPr>
          </w:p>
        </w:tc>
      </w:tr>
      <w:tr w14:paraId="2286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74B41119">
            <w:pPr>
              <w:spacing w:line="360" w:lineRule="auto"/>
              <w:jc w:val="center"/>
              <w:rPr>
                <w:rFonts w:ascii="新宋体" w:hAnsi="新宋体" w:eastAsia="新宋体"/>
                <w:color w:val="auto"/>
                <w:sz w:val="22"/>
                <w:szCs w:val="22"/>
                <w:highlight w:val="none"/>
              </w:rPr>
            </w:pPr>
          </w:p>
        </w:tc>
        <w:tc>
          <w:tcPr>
            <w:tcW w:w="1692" w:type="dxa"/>
            <w:noWrap w:val="0"/>
            <w:vAlign w:val="center"/>
          </w:tcPr>
          <w:p w14:paraId="138F10AD">
            <w:pPr>
              <w:spacing w:line="360" w:lineRule="auto"/>
              <w:jc w:val="center"/>
              <w:rPr>
                <w:rFonts w:ascii="新宋体" w:hAnsi="新宋体" w:eastAsia="新宋体"/>
                <w:b/>
                <w:bCs/>
                <w:color w:val="auto"/>
                <w:sz w:val="22"/>
                <w:szCs w:val="22"/>
                <w:highlight w:val="none"/>
              </w:rPr>
            </w:pPr>
          </w:p>
        </w:tc>
        <w:tc>
          <w:tcPr>
            <w:tcW w:w="2880" w:type="dxa"/>
            <w:noWrap w:val="0"/>
            <w:vAlign w:val="top"/>
          </w:tcPr>
          <w:p w14:paraId="7E12E666">
            <w:pPr>
              <w:spacing w:line="360" w:lineRule="auto"/>
              <w:rPr>
                <w:rFonts w:ascii="新宋体" w:hAnsi="新宋体" w:eastAsia="新宋体"/>
                <w:color w:val="auto"/>
                <w:sz w:val="22"/>
                <w:szCs w:val="22"/>
                <w:highlight w:val="none"/>
              </w:rPr>
            </w:pPr>
          </w:p>
        </w:tc>
        <w:tc>
          <w:tcPr>
            <w:tcW w:w="1661" w:type="dxa"/>
            <w:noWrap w:val="0"/>
            <w:vAlign w:val="center"/>
          </w:tcPr>
          <w:p w14:paraId="165165F7">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635B0D85">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231C9DEB">
            <w:pPr>
              <w:rPr>
                <w:rFonts w:ascii="新宋体" w:hAnsi="新宋体" w:eastAsia="新宋体"/>
                <w:color w:val="auto"/>
                <w:sz w:val="22"/>
                <w:szCs w:val="22"/>
                <w:highlight w:val="none"/>
              </w:rPr>
            </w:pPr>
          </w:p>
        </w:tc>
      </w:tr>
      <w:tr w14:paraId="1145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4D290BCE">
            <w:pPr>
              <w:spacing w:line="360" w:lineRule="auto"/>
              <w:jc w:val="center"/>
              <w:rPr>
                <w:rFonts w:ascii="新宋体" w:hAnsi="新宋体" w:eastAsia="新宋体"/>
                <w:color w:val="auto"/>
                <w:sz w:val="22"/>
                <w:szCs w:val="22"/>
                <w:highlight w:val="none"/>
              </w:rPr>
            </w:pPr>
          </w:p>
        </w:tc>
        <w:tc>
          <w:tcPr>
            <w:tcW w:w="1692" w:type="dxa"/>
            <w:noWrap w:val="0"/>
            <w:vAlign w:val="center"/>
          </w:tcPr>
          <w:p w14:paraId="3D16C34D">
            <w:pPr>
              <w:spacing w:line="360" w:lineRule="auto"/>
              <w:jc w:val="center"/>
              <w:rPr>
                <w:rFonts w:ascii="新宋体" w:hAnsi="新宋体" w:eastAsia="新宋体"/>
                <w:color w:val="auto"/>
                <w:sz w:val="22"/>
                <w:szCs w:val="22"/>
                <w:highlight w:val="none"/>
              </w:rPr>
            </w:pPr>
          </w:p>
        </w:tc>
        <w:tc>
          <w:tcPr>
            <w:tcW w:w="2880" w:type="dxa"/>
            <w:noWrap w:val="0"/>
            <w:vAlign w:val="top"/>
          </w:tcPr>
          <w:p w14:paraId="4CD1471D">
            <w:pPr>
              <w:spacing w:line="360" w:lineRule="auto"/>
              <w:rPr>
                <w:rFonts w:ascii="新宋体" w:hAnsi="新宋体" w:eastAsia="新宋体"/>
                <w:color w:val="auto"/>
                <w:sz w:val="22"/>
                <w:szCs w:val="22"/>
                <w:highlight w:val="none"/>
              </w:rPr>
            </w:pPr>
          </w:p>
        </w:tc>
        <w:tc>
          <w:tcPr>
            <w:tcW w:w="1661" w:type="dxa"/>
            <w:noWrap w:val="0"/>
            <w:vAlign w:val="center"/>
          </w:tcPr>
          <w:p w14:paraId="6F0DF998">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1E051190">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5DAB7003">
            <w:pPr>
              <w:rPr>
                <w:rFonts w:ascii="新宋体" w:hAnsi="新宋体" w:eastAsia="新宋体"/>
                <w:color w:val="auto"/>
                <w:sz w:val="22"/>
                <w:szCs w:val="22"/>
                <w:highlight w:val="none"/>
              </w:rPr>
            </w:pPr>
          </w:p>
        </w:tc>
      </w:tr>
      <w:tr w14:paraId="1E10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296F450A">
            <w:pPr>
              <w:spacing w:line="360" w:lineRule="auto"/>
              <w:jc w:val="center"/>
              <w:rPr>
                <w:rFonts w:ascii="新宋体" w:hAnsi="新宋体" w:eastAsia="新宋体"/>
                <w:color w:val="auto"/>
                <w:sz w:val="22"/>
                <w:szCs w:val="22"/>
                <w:highlight w:val="none"/>
              </w:rPr>
            </w:pPr>
          </w:p>
        </w:tc>
        <w:tc>
          <w:tcPr>
            <w:tcW w:w="1692" w:type="dxa"/>
            <w:noWrap w:val="0"/>
            <w:vAlign w:val="center"/>
          </w:tcPr>
          <w:p w14:paraId="04AF0C69">
            <w:pPr>
              <w:spacing w:line="360" w:lineRule="auto"/>
              <w:jc w:val="center"/>
              <w:rPr>
                <w:rFonts w:ascii="新宋体" w:hAnsi="新宋体" w:eastAsia="新宋体"/>
                <w:color w:val="auto"/>
                <w:sz w:val="22"/>
                <w:szCs w:val="22"/>
                <w:highlight w:val="none"/>
              </w:rPr>
            </w:pPr>
          </w:p>
        </w:tc>
        <w:tc>
          <w:tcPr>
            <w:tcW w:w="2880" w:type="dxa"/>
            <w:noWrap w:val="0"/>
            <w:vAlign w:val="top"/>
          </w:tcPr>
          <w:p w14:paraId="0E46070F">
            <w:pPr>
              <w:spacing w:line="360" w:lineRule="auto"/>
              <w:rPr>
                <w:rFonts w:ascii="新宋体" w:hAnsi="新宋体" w:eastAsia="新宋体"/>
                <w:color w:val="auto"/>
                <w:sz w:val="22"/>
                <w:szCs w:val="22"/>
                <w:highlight w:val="none"/>
              </w:rPr>
            </w:pPr>
          </w:p>
        </w:tc>
        <w:tc>
          <w:tcPr>
            <w:tcW w:w="1661" w:type="dxa"/>
            <w:noWrap w:val="0"/>
            <w:vAlign w:val="center"/>
          </w:tcPr>
          <w:p w14:paraId="7A90BA41">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0E6197D4">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8610086">
            <w:pPr>
              <w:rPr>
                <w:rFonts w:ascii="新宋体" w:hAnsi="新宋体" w:eastAsia="新宋体"/>
                <w:color w:val="auto"/>
                <w:sz w:val="22"/>
                <w:szCs w:val="22"/>
                <w:highlight w:val="none"/>
              </w:rPr>
            </w:pPr>
          </w:p>
        </w:tc>
      </w:tr>
      <w:tr w14:paraId="14A4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26874125">
            <w:pPr>
              <w:spacing w:line="360" w:lineRule="auto"/>
              <w:jc w:val="center"/>
              <w:rPr>
                <w:rFonts w:ascii="新宋体" w:hAnsi="新宋体" w:eastAsia="新宋体"/>
                <w:color w:val="auto"/>
                <w:sz w:val="22"/>
                <w:szCs w:val="22"/>
                <w:highlight w:val="none"/>
              </w:rPr>
            </w:pPr>
          </w:p>
        </w:tc>
        <w:tc>
          <w:tcPr>
            <w:tcW w:w="1692" w:type="dxa"/>
            <w:noWrap w:val="0"/>
            <w:vAlign w:val="center"/>
          </w:tcPr>
          <w:p w14:paraId="38DF1AD1">
            <w:pPr>
              <w:spacing w:line="360" w:lineRule="auto"/>
              <w:jc w:val="center"/>
              <w:rPr>
                <w:rFonts w:ascii="新宋体" w:hAnsi="新宋体" w:eastAsia="新宋体"/>
                <w:b/>
                <w:bCs/>
                <w:color w:val="auto"/>
                <w:sz w:val="22"/>
                <w:szCs w:val="22"/>
                <w:highlight w:val="none"/>
              </w:rPr>
            </w:pPr>
          </w:p>
        </w:tc>
        <w:tc>
          <w:tcPr>
            <w:tcW w:w="2880" w:type="dxa"/>
            <w:noWrap w:val="0"/>
            <w:vAlign w:val="center"/>
          </w:tcPr>
          <w:p w14:paraId="077C3213">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1F1A6C8B">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6BA75D4C">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57E25801">
            <w:pPr>
              <w:rPr>
                <w:rFonts w:ascii="新宋体" w:hAnsi="新宋体" w:eastAsia="新宋体"/>
                <w:color w:val="auto"/>
                <w:sz w:val="22"/>
                <w:szCs w:val="22"/>
                <w:highlight w:val="none"/>
              </w:rPr>
            </w:pPr>
          </w:p>
        </w:tc>
      </w:tr>
      <w:tr w14:paraId="3EC3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5B7F9D59">
            <w:pPr>
              <w:spacing w:line="360" w:lineRule="auto"/>
              <w:jc w:val="center"/>
              <w:rPr>
                <w:rFonts w:ascii="新宋体" w:hAnsi="新宋体" w:eastAsia="新宋体"/>
                <w:color w:val="auto"/>
                <w:sz w:val="22"/>
                <w:szCs w:val="22"/>
                <w:highlight w:val="none"/>
              </w:rPr>
            </w:pPr>
          </w:p>
        </w:tc>
        <w:tc>
          <w:tcPr>
            <w:tcW w:w="1692" w:type="dxa"/>
            <w:noWrap w:val="0"/>
            <w:vAlign w:val="center"/>
          </w:tcPr>
          <w:p w14:paraId="244BF411">
            <w:pPr>
              <w:spacing w:line="360" w:lineRule="auto"/>
              <w:rPr>
                <w:rFonts w:ascii="新宋体" w:hAnsi="新宋体" w:eastAsia="新宋体"/>
                <w:b/>
                <w:bCs/>
                <w:color w:val="auto"/>
                <w:sz w:val="22"/>
                <w:szCs w:val="22"/>
                <w:highlight w:val="none"/>
              </w:rPr>
            </w:pPr>
          </w:p>
        </w:tc>
        <w:tc>
          <w:tcPr>
            <w:tcW w:w="2880" w:type="dxa"/>
            <w:noWrap w:val="0"/>
            <w:vAlign w:val="center"/>
          </w:tcPr>
          <w:p w14:paraId="6697B502">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2FAD6D04">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5B5FA301">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8ADAD83">
            <w:pPr>
              <w:rPr>
                <w:rFonts w:ascii="新宋体" w:hAnsi="新宋体" w:eastAsia="新宋体"/>
                <w:color w:val="auto"/>
                <w:sz w:val="22"/>
                <w:szCs w:val="22"/>
                <w:highlight w:val="none"/>
              </w:rPr>
            </w:pPr>
          </w:p>
        </w:tc>
      </w:tr>
      <w:tr w14:paraId="52BB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5D302D26">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23C752AE">
            <w:pPr>
              <w:spacing w:line="360" w:lineRule="auto"/>
              <w:rPr>
                <w:rFonts w:ascii="新宋体" w:hAnsi="新宋体" w:eastAsia="新宋体"/>
                <w:b/>
                <w:bCs/>
                <w:color w:val="auto"/>
                <w:sz w:val="22"/>
                <w:szCs w:val="22"/>
                <w:highlight w:val="none"/>
              </w:rPr>
            </w:pPr>
          </w:p>
        </w:tc>
        <w:tc>
          <w:tcPr>
            <w:tcW w:w="2880" w:type="dxa"/>
            <w:noWrap w:val="0"/>
            <w:vAlign w:val="center"/>
          </w:tcPr>
          <w:p w14:paraId="67E5A2DA">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1DEB48C8">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00D329FB">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2DDF65F">
            <w:pPr>
              <w:rPr>
                <w:rFonts w:ascii="新宋体" w:hAnsi="新宋体" w:eastAsia="新宋体"/>
                <w:color w:val="auto"/>
                <w:sz w:val="22"/>
                <w:szCs w:val="22"/>
                <w:highlight w:val="none"/>
              </w:rPr>
            </w:pPr>
          </w:p>
        </w:tc>
      </w:tr>
      <w:tr w14:paraId="19C2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39365883">
            <w:pPr>
              <w:spacing w:line="360" w:lineRule="auto"/>
              <w:jc w:val="center"/>
              <w:rPr>
                <w:rFonts w:ascii="新宋体" w:hAnsi="新宋体" w:eastAsia="新宋体"/>
                <w:bCs/>
                <w:color w:val="auto"/>
                <w:sz w:val="22"/>
                <w:szCs w:val="22"/>
                <w:highlight w:val="none"/>
              </w:rPr>
            </w:pPr>
          </w:p>
        </w:tc>
        <w:tc>
          <w:tcPr>
            <w:tcW w:w="1692" w:type="dxa"/>
            <w:noWrap w:val="0"/>
            <w:vAlign w:val="center"/>
          </w:tcPr>
          <w:p w14:paraId="1CCAF8B6">
            <w:pPr>
              <w:spacing w:line="360" w:lineRule="auto"/>
              <w:rPr>
                <w:rFonts w:ascii="新宋体" w:hAnsi="新宋体" w:eastAsia="新宋体"/>
                <w:color w:val="auto"/>
                <w:sz w:val="22"/>
                <w:szCs w:val="22"/>
                <w:highlight w:val="none"/>
              </w:rPr>
            </w:pPr>
          </w:p>
        </w:tc>
        <w:tc>
          <w:tcPr>
            <w:tcW w:w="2880" w:type="dxa"/>
            <w:noWrap w:val="0"/>
            <w:vAlign w:val="center"/>
          </w:tcPr>
          <w:p w14:paraId="5218BFF5">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0A2104EC">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62F55E47">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30AC2068">
            <w:pPr>
              <w:rPr>
                <w:rFonts w:ascii="新宋体" w:hAnsi="新宋体" w:eastAsia="新宋体"/>
                <w:color w:val="auto"/>
                <w:sz w:val="22"/>
                <w:szCs w:val="22"/>
                <w:highlight w:val="none"/>
              </w:rPr>
            </w:pPr>
          </w:p>
        </w:tc>
      </w:tr>
      <w:tr w14:paraId="39F6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4ED77605">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6DA29FB9">
            <w:pPr>
              <w:spacing w:line="360" w:lineRule="auto"/>
              <w:rPr>
                <w:rFonts w:ascii="新宋体" w:hAnsi="新宋体" w:eastAsia="新宋体"/>
                <w:b/>
                <w:bCs/>
                <w:color w:val="auto"/>
                <w:sz w:val="22"/>
                <w:szCs w:val="22"/>
                <w:highlight w:val="none"/>
              </w:rPr>
            </w:pPr>
          </w:p>
        </w:tc>
        <w:tc>
          <w:tcPr>
            <w:tcW w:w="2880" w:type="dxa"/>
            <w:noWrap w:val="0"/>
            <w:vAlign w:val="center"/>
          </w:tcPr>
          <w:p w14:paraId="15687BEC">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6BD0A45B">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5F41B124">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84B22BD">
            <w:pPr>
              <w:rPr>
                <w:rFonts w:ascii="新宋体" w:hAnsi="新宋体" w:eastAsia="新宋体"/>
                <w:color w:val="auto"/>
                <w:sz w:val="22"/>
                <w:szCs w:val="22"/>
                <w:highlight w:val="none"/>
              </w:rPr>
            </w:pPr>
          </w:p>
        </w:tc>
      </w:tr>
      <w:tr w14:paraId="7B87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42A7CA8B">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6AA1AB69">
            <w:pPr>
              <w:spacing w:line="360" w:lineRule="auto"/>
              <w:rPr>
                <w:rFonts w:ascii="新宋体" w:hAnsi="新宋体" w:eastAsia="新宋体"/>
                <w:color w:val="auto"/>
                <w:sz w:val="22"/>
                <w:szCs w:val="22"/>
                <w:highlight w:val="none"/>
              </w:rPr>
            </w:pPr>
          </w:p>
        </w:tc>
        <w:tc>
          <w:tcPr>
            <w:tcW w:w="2880" w:type="dxa"/>
            <w:noWrap w:val="0"/>
            <w:vAlign w:val="center"/>
          </w:tcPr>
          <w:p w14:paraId="5EB5128F">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0F3C1AB">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62D3729F">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3323B8E9">
            <w:pPr>
              <w:rPr>
                <w:rFonts w:ascii="新宋体" w:hAnsi="新宋体" w:eastAsia="新宋体"/>
                <w:color w:val="auto"/>
                <w:sz w:val="22"/>
                <w:szCs w:val="22"/>
                <w:highlight w:val="none"/>
              </w:rPr>
            </w:pPr>
          </w:p>
        </w:tc>
      </w:tr>
      <w:tr w14:paraId="37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63087DAA">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55746BFB">
            <w:pPr>
              <w:spacing w:line="360" w:lineRule="auto"/>
              <w:rPr>
                <w:rFonts w:ascii="新宋体" w:hAnsi="新宋体" w:eastAsia="新宋体"/>
                <w:b/>
                <w:bCs/>
                <w:color w:val="auto"/>
                <w:sz w:val="22"/>
                <w:szCs w:val="22"/>
                <w:highlight w:val="none"/>
              </w:rPr>
            </w:pPr>
          </w:p>
        </w:tc>
        <w:tc>
          <w:tcPr>
            <w:tcW w:w="2880" w:type="dxa"/>
            <w:noWrap w:val="0"/>
            <w:vAlign w:val="center"/>
          </w:tcPr>
          <w:p w14:paraId="7301D983">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433E70AF">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3002C13A">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2300B865">
            <w:pPr>
              <w:rPr>
                <w:rFonts w:ascii="新宋体" w:hAnsi="新宋体" w:eastAsia="新宋体"/>
                <w:color w:val="auto"/>
                <w:sz w:val="22"/>
                <w:szCs w:val="22"/>
                <w:highlight w:val="none"/>
              </w:rPr>
            </w:pPr>
          </w:p>
        </w:tc>
      </w:tr>
      <w:tr w14:paraId="46FF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11EA7427">
            <w:pPr>
              <w:spacing w:line="360" w:lineRule="auto"/>
              <w:jc w:val="center"/>
              <w:rPr>
                <w:rFonts w:ascii="新宋体" w:hAnsi="新宋体" w:eastAsia="新宋体"/>
                <w:b/>
                <w:bCs/>
                <w:color w:val="auto"/>
                <w:sz w:val="22"/>
                <w:szCs w:val="22"/>
                <w:highlight w:val="none"/>
              </w:rPr>
            </w:pPr>
          </w:p>
        </w:tc>
        <w:tc>
          <w:tcPr>
            <w:tcW w:w="1692" w:type="dxa"/>
            <w:noWrap w:val="0"/>
            <w:vAlign w:val="center"/>
          </w:tcPr>
          <w:p w14:paraId="56D64932">
            <w:pPr>
              <w:spacing w:line="360" w:lineRule="auto"/>
              <w:rPr>
                <w:rFonts w:ascii="新宋体" w:hAnsi="新宋体" w:eastAsia="新宋体"/>
                <w:b/>
                <w:bCs/>
                <w:color w:val="auto"/>
                <w:sz w:val="22"/>
                <w:szCs w:val="22"/>
                <w:highlight w:val="none"/>
              </w:rPr>
            </w:pPr>
          </w:p>
        </w:tc>
        <w:tc>
          <w:tcPr>
            <w:tcW w:w="2880" w:type="dxa"/>
            <w:noWrap w:val="0"/>
            <w:vAlign w:val="center"/>
          </w:tcPr>
          <w:p w14:paraId="3092513F">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2BDE3793">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13FE13AB">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3436F58">
            <w:pPr>
              <w:rPr>
                <w:rFonts w:ascii="新宋体" w:hAnsi="新宋体" w:eastAsia="新宋体"/>
                <w:color w:val="auto"/>
                <w:sz w:val="22"/>
                <w:szCs w:val="22"/>
                <w:highlight w:val="none"/>
              </w:rPr>
            </w:pPr>
          </w:p>
        </w:tc>
      </w:tr>
      <w:tr w14:paraId="6DBA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522AC109">
            <w:pPr>
              <w:spacing w:line="360" w:lineRule="auto"/>
              <w:jc w:val="center"/>
              <w:rPr>
                <w:rFonts w:ascii="新宋体" w:hAnsi="新宋体" w:eastAsia="新宋体"/>
                <w:color w:val="auto"/>
                <w:sz w:val="22"/>
                <w:szCs w:val="22"/>
                <w:highlight w:val="none"/>
              </w:rPr>
            </w:pPr>
          </w:p>
        </w:tc>
        <w:tc>
          <w:tcPr>
            <w:tcW w:w="1692" w:type="dxa"/>
            <w:noWrap w:val="0"/>
            <w:vAlign w:val="center"/>
          </w:tcPr>
          <w:p w14:paraId="44099F6B">
            <w:pPr>
              <w:spacing w:line="360" w:lineRule="auto"/>
              <w:rPr>
                <w:rFonts w:ascii="新宋体" w:hAnsi="新宋体" w:eastAsia="新宋体"/>
                <w:color w:val="auto"/>
                <w:sz w:val="22"/>
                <w:szCs w:val="22"/>
                <w:highlight w:val="none"/>
              </w:rPr>
            </w:pPr>
          </w:p>
        </w:tc>
        <w:tc>
          <w:tcPr>
            <w:tcW w:w="2880" w:type="dxa"/>
            <w:noWrap w:val="0"/>
            <w:vAlign w:val="center"/>
          </w:tcPr>
          <w:p w14:paraId="35312FD3">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4A73B13">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7E9F513F">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1D675312">
            <w:pPr>
              <w:rPr>
                <w:rFonts w:ascii="新宋体" w:hAnsi="新宋体" w:eastAsia="新宋体"/>
                <w:color w:val="auto"/>
                <w:sz w:val="22"/>
                <w:szCs w:val="22"/>
                <w:highlight w:val="none"/>
              </w:rPr>
            </w:pPr>
          </w:p>
        </w:tc>
      </w:tr>
      <w:tr w14:paraId="7726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6094866F">
            <w:pPr>
              <w:spacing w:line="360" w:lineRule="auto"/>
              <w:rPr>
                <w:rFonts w:ascii="新宋体" w:hAnsi="新宋体" w:eastAsia="新宋体"/>
                <w:color w:val="auto"/>
                <w:sz w:val="22"/>
                <w:szCs w:val="22"/>
                <w:highlight w:val="none"/>
              </w:rPr>
            </w:pPr>
          </w:p>
        </w:tc>
        <w:tc>
          <w:tcPr>
            <w:tcW w:w="1692" w:type="dxa"/>
            <w:noWrap w:val="0"/>
            <w:vAlign w:val="center"/>
          </w:tcPr>
          <w:p w14:paraId="0736EFD8">
            <w:pPr>
              <w:spacing w:line="360" w:lineRule="auto"/>
              <w:rPr>
                <w:rFonts w:ascii="新宋体" w:hAnsi="新宋体" w:eastAsia="新宋体"/>
                <w:color w:val="auto"/>
                <w:sz w:val="22"/>
                <w:szCs w:val="22"/>
                <w:highlight w:val="none"/>
              </w:rPr>
            </w:pPr>
          </w:p>
        </w:tc>
        <w:tc>
          <w:tcPr>
            <w:tcW w:w="2880" w:type="dxa"/>
            <w:noWrap w:val="0"/>
            <w:vAlign w:val="center"/>
          </w:tcPr>
          <w:p w14:paraId="6D9AFADD">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3C3383ED">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7D5B6382">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6BDD2459">
            <w:pPr>
              <w:rPr>
                <w:rFonts w:ascii="新宋体" w:hAnsi="新宋体" w:eastAsia="新宋体"/>
                <w:color w:val="auto"/>
                <w:sz w:val="22"/>
                <w:szCs w:val="22"/>
                <w:highlight w:val="none"/>
              </w:rPr>
            </w:pPr>
          </w:p>
        </w:tc>
      </w:tr>
      <w:tr w14:paraId="317D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828" w:type="dxa"/>
            <w:noWrap w:val="0"/>
            <w:vAlign w:val="center"/>
          </w:tcPr>
          <w:p w14:paraId="32A7A4D1">
            <w:pPr>
              <w:spacing w:line="360" w:lineRule="auto"/>
              <w:jc w:val="center"/>
              <w:rPr>
                <w:rFonts w:ascii="新宋体" w:hAnsi="新宋体" w:eastAsia="新宋体"/>
                <w:b/>
                <w:bCs/>
                <w:color w:val="auto"/>
                <w:sz w:val="22"/>
                <w:szCs w:val="22"/>
                <w:highlight w:val="none"/>
              </w:rPr>
            </w:pPr>
          </w:p>
        </w:tc>
        <w:tc>
          <w:tcPr>
            <w:tcW w:w="1692" w:type="dxa"/>
            <w:noWrap w:val="0"/>
            <w:vAlign w:val="top"/>
          </w:tcPr>
          <w:p w14:paraId="22C48774">
            <w:pPr>
              <w:spacing w:line="360" w:lineRule="auto"/>
              <w:rPr>
                <w:rFonts w:ascii="新宋体" w:hAnsi="新宋体" w:eastAsia="新宋体"/>
                <w:color w:val="auto"/>
                <w:sz w:val="22"/>
                <w:szCs w:val="22"/>
                <w:highlight w:val="none"/>
              </w:rPr>
            </w:pPr>
          </w:p>
        </w:tc>
        <w:tc>
          <w:tcPr>
            <w:tcW w:w="2880" w:type="dxa"/>
            <w:noWrap w:val="0"/>
            <w:vAlign w:val="center"/>
          </w:tcPr>
          <w:p w14:paraId="66BF7788">
            <w:pPr>
              <w:spacing w:line="360" w:lineRule="auto"/>
              <w:jc w:val="center"/>
              <w:rPr>
                <w:rFonts w:ascii="新宋体" w:hAnsi="新宋体" w:eastAsia="新宋体"/>
                <w:b/>
                <w:bCs/>
                <w:color w:val="auto"/>
                <w:sz w:val="22"/>
                <w:szCs w:val="22"/>
                <w:highlight w:val="none"/>
              </w:rPr>
            </w:pPr>
          </w:p>
        </w:tc>
        <w:tc>
          <w:tcPr>
            <w:tcW w:w="1661" w:type="dxa"/>
            <w:noWrap w:val="0"/>
            <w:vAlign w:val="center"/>
          </w:tcPr>
          <w:p w14:paraId="5CDC12D5">
            <w:pPr>
              <w:spacing w:line="360" w:lineRule="auto"/>
              <w:jc w:val="center"/>
              <w:rPr>
                <w:rFonts w:ascii="新宋体" w:hAnsi="新宋体" w:eastAsia="新宋体"/>
                <w:b/>
                <w:bCs/>
                <w:color w:val="auto"/>
                <w:sz w:val="22"/>
                <w:szCs w:val="22"/>
                <w:highlight w:val="none"/>
              </w:rPr>
            </w:pPr>
          </w:p>
        </w:tc>
        <w:tc>
          <w:tcPr>
            <w:tcW w:w="1260" w:type="dxa"/>
            <w:noWrap w:val="0"/>
            <w:vAlign w:val="center"/>
          </w:tcPr>
          <w:p w14:paraId="2CFE6D86">
            <w:pPr>
              <w:spacing w:line="360" w:lineRule="auto"/>
              <w:jc w:val="center"/>
              <w:rPr>
                <w:rFonts w:ascii="新宋体" w:hAnsi="新宋体" w:eastAsia="新宋体"/>
                <w:b/>
                <w:bCs/>
                <w:color w:val="auto"/>
                <w:sz w:val="22"/>
                <w:szCs w:val="22"/>
                <w:highlight w:val="none"/>
              </w:rPr>
            </w:pPr>
          </w:p>
        </w:tc>
        <w:tc>
          <w:tcPr>
            <w:tcW w:w="1219" w:type="dxa"/>
            <w:noWrap w:val="0"/>
            <w:vAlign w:val="top"/>
          </w:tcPr>
          <w:p w14:paraId="2FC72116">
            <w:pPr>
              <w:rPr>
                <w:rFonts w:ascii="新宋体" w:hAnsi="新宋体" w:eastAsia="新宋体"/>
                <w:color w:val="auto"/>
                <w:sz w:val="22"/>
                <w:szCs w:val="22"/>
                <w:highlight w:val="none"/>
              </w:rPr>
            </w:pPr>
          </w:p>
        </w:tc>
      </w:tr>
    </w:tbl>
    <w:p w14:paraId="3545EC46">
      <w:pPr>
        <w:pStyle w:val="28"/>
        <w:spacing w:line="400" w:lineRule="atLeast"/>
        <w:rPr>
          <w:rFonts w:ascii="新宋体" w:hAnsi="新宋体" w:eastAsia="新宋体"/>
          <w:color w:val="auto"/>
          <w:sz w:val="22"/>
          <w:szCs w:val="22"/>
          <w:highlight w:val="none"/>
        </w:rPr>
      </w:pPr>
    </w:p>
    <w:p w14:paraId="101B0DCB">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42C192D0">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682ECEEF">
      <w:pPr>
        <w:spacing w:line="360" w:lineRule="auto"/>
        <w:ind w:left="2520" w:leftChars="0" w:firstLine="420" w:firstLineChars="0"/>
        <w:rPr>
          <w:rFonts w:ascii="新宋体" w:hAnsi="新宋体" w:eastAsia="新宋体"/>
          <w:color w:val="auto"/>
          <w:sz w:val="22"/>
          <w:szCs w:val="22"/>
          <w:highlight w:val="none"/>
        </w:rPr>
      </w:pPr>
      <w:r>
        <w:rPr>
          <w:rFonts w:hint="eastAsia" w:ascii="宋体" w:hAnsi="宋体" w:eastAsia="宋体" w:cs="宋体"/>
          <w:b w:val="0"/>
          <w:bCs/>
          <w:color w:val="auto"/>
          <w:sz w:val="22"/>
          <w:szCs w:val="22"/>
          <w:highlight w:val="none"/>
        </w:rPr>
        <w:t>日    期：</w:t>
      </w:r>
    </w:p>
    <w:p w14:paraId="0CB1AF43">
      <w:pPr>
        <w:spacing w:line="460" w:lineRule="exact"/>
        <w:ind w:firstLine="5060" w:firstLineChars="2300"/>
        <w:rPr>
          <w:rFonts w:ascii="新宋体" w:hAnsi="新宋体" w:eastAsia="新宋体"/>
          <w:color w:val="auto"/>
          <w:sz w:val="22"/>
          <w:szCs w:val="22"/>
          <w:highlight w:val="none"/>
        </w:rPr>
      </w:pPr>
    </w:p>
    <w:p w14:paraId="1769E7BC">
      <w:pPr>
        <w:spacing w:line="460" w:lineRule="exact"/>
        <w:ind w:firstLine="5060" w:firstLineChars="2300"/>
        <w:rPr>
          <w:rFonts w:ascii="新宋体" w:hAnsi="新宋体" w:eastAsia="新宋体"/>
          <w:color w:val="auto"/>
          <w:sz w:val="22"/>
          <w:szCs w:val="22"/>
          <w:highlight w:val="none"/>
        </w:rPr>
      </w:pPr>
    </w:p>
    <w:p w14:paraId="624D46FA">
      <w:pPr>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br w:type="page"/>
      </w:r>
    </w:p>
    <w:p w14:paraId="6EE66AD1">
      <w:pPr>
        <w:spacing w:line="400" w:lineRule="exact"/>
        <w:jc w:val="center"/>
        <w:outlineLvl w:val="3"/>
        <w:rPr>
          <w:rFonts w:ascii="新宋体" w:hAnsi="新宋体" w:eastAsia="新宋体" w:cs="新宋体"/>
          <w:b/>
          <w:color w:val="auto"/>
          <w:sz w:val="24"/>
          <w:highlight w:val="none"/>
          <w:lang w:val="zh-CN"/>
        </w:rPr>
      </w:pPr>
      <w:r>
        <w:rPr>
          <w:rFonts w:hint="eastAsia" w:ascii="新宋体" w:hAnsi="新宋体" w:eastAsia="新宋体" w:cs="新宋体"/>
          <w:b/>
          <w:color w:val="auto"/>
          <w:sz w:val="24"/>
          <w:highlight w:val="none"/>
        </w:rPr>
        <w:t>5、备</w:t>
      </w:r>
      <w:r>
        <w:rPr>
          <w:rFonts w:hint="eastAsia" w:ascii="新宋体" w:hAnsi="新宋体" w:eastAsia="新宋体" w:cs="新宋体"/>
          <w:b/>
          <w:color w:val="auto"/>
          <w:sz w:val="24"/>
          <w:highlight w:val="none"/>
          <w:lang w:val="zh-CN"/>
        </w:rPr>
        <w:t>品、易损件、备件、专用工具清单（</w:t>
      </w:r>
      <w:r>
        <w:rPr>
          <w:rFonts w:hint="eastAsia" w:ascii="新宋体" w:hAnsi="新宋体" w:eastAsia="新宋体" w:cs="新宋体"/>
          <w:b/>
          <w:color w:val="auto"/>
          <w:sz w:val="24"/>
          <w:highlight w:val="none"/>
          <w:lang w:val="en-US" w:eastAsia="zh-CN"/>
        </w:rPr>
        <w:t>如有</w:t>
      </w:r>
      <w:r>
        <w:rPr>
          <w:rFonts w:hint="eastAsia" w:ascii="新宋体" w:hAnsi="新宋体" w:eastAsia="新宋体" w:cs="新宋体"/>
          <w:b/>
          <w:color w:val="auto"/>
          <w:sz w:val="24"/>
          <w:highlight w:val="none"/>
          <w:lang w:val="zh-CN"/>
        </w:rPr>
        <w:t>）</w:t>
      </w:r>
    </w:p>
    <w:p w14:paraId="29846C16">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3A66E3A8">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新宋体" w:hAnsi="新宋体" w:eastAsia="宋体" w:cs="新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240"/>
        <w:gridCol w:w="1404"/>
        <w:gridCol w:w="796"/>
        <w:gridCol w:w="3704"/>
        <w:gridCol w:w="1568"/>
      </w:tblGrid>
      <w:tr w14:paraId="0076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56" w:type="dxa"/>
            <w:shd w:val="clear" w:color="auto" w:fill="FFFFFF"/>
            <w:noWrap w:val="0"/>
            <w:vAlign w:val="center"/>
          </w:tcPr>
          <w:p w14:paraId="3D36DD94">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序号</w:t>
            </w:r>
          </w:p>
        </w:tc>
        <w:tc>
          <w:tcPr>
            <w:tcW w:w="1240" w:type="dxa"/>
            <w:shd w:val="clear" w:color="auto" w:fill="FFFFFF"/>
            <w:noWrap w:val="0"/>
            <w:vAlign w:val="center"/>
          </w:tcPr>
          <w:p w14:paraId="6BA8DF55">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名  称</w:t>
            </w:r>
          </w:p>
        </w:tc>
        <w:tc>
          <w:tcPr>
            <w:tcW w:w="1404" w:type="dxa"/>
            <w:shd w:val="clear" w:color="auto" w:fill="FFFFFF"/>
            <w:noWrap w:val="0"/>
            <w:vAlign w:val="center"/>
          </w:tcPr>
          <w:p w14:paraId="4FF58343">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规格型号</w:t>
            </w:r>
          </w:p>
        </w:tc>
        <w:tc>
          <w:tcPr>
            <w:tcW w:w="796" w:type="dxa"/>
            <w:shd w:val="clear" w:color="auto" w:fill="FFFFFF"/>
            <w:noWrap w:val="0"/>
            <w:vAlign w:val="center"/>
          </w:tcPr>
          <w:p w14:paraId="72E49371">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数量</w:t>
            </w:r>
          </w:p>
        </w:tc>
        <w:tc>
          <w:tcPr>
            <w:tcW w:w="3704" w:type="dxa"/>
            <w:shd w:val="clear" w:color="auto" w:fill="FFFFFF"/>
            <w:noWrap w:val="0"/>
            <w:vAlign w:val="center"/>
          </w:tcPr>
          <w:p w14:paraId="761EFB8A">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原产地/制造商</w:t>
            </w:r>
          </w:p>
        </w:tc>
        <w:tc>
          <w:tcPr>
            <w:tcW w:w="1568" w:type="dxa"/>
            <w:shd w:val="clear" w:color="auto" w:fill="FFFFFF"/>
            <w:noWrap w:val="0"/>
            <w:vAlign w:val="center"/>
          </w:tcPr>
          <w:p w14:paraId="5F9E50CE">
            <w:pPr>
              <w:spacing w:line="400" w:lineRule="exact"/>
              <w:jc w:val="cente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备注</w:t>
            </w:r>
          </w:p>
        </w:tc>
      </w:tr>
      <w:tr w14:paraId="3DC0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7A1F44E9">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1A249B7E">
            <w:pPr>
              <w:spacing w:line="400" w:lineRule="exact"/>
              <w:rPr>
                <w:rFonts w:ascii="新宋体" w:hAnsi="新宋体" w:eastAsia="新宋体" w:cs="新宋体"/>
                <w:color w:val="auto"/>
                <w:sz w:val="22"/>
                <w:szCs w:val="22"/>
                <w:highlight w:val="none"/>
              </w:rPr>
            </w:pPr>
          </w:p>
        </w:tc>
        <w:tc>
          <w:tcPr>
            <w:tcW w:w="1404" w:type="dxa"/>
            <w:noWrap w:val="0"/>
            <w:vAlign w:val="top"/>
          </w:tcPr>
          <w:p w14:paraId="6F602814">
            <w:pPr>
              <w:spacing w:line="400" w:lineRule="exact"/>
              <w:rPr>
                <w:rFonts w:ascii="新宋体" w:hAnsi="新宋体" w:eastAsia="新宋体" w:cs="新宋体"/>
                <w:color w:val="auto"/>
                <w:sz w:val="22"/>
                <w:szCs w:val="22"/>
                <w:highlight w:val="none"/>
              </w:rPr>
            </w:pPr>
          </w:p>
        </w:tc>
        <w:tc>
          <w:tcPr>
            <w:tcW w:w="796" w:type="dxa"/>
            <w:noWrap w:val="0"/>
            <w:vAlign w:val="top"/>
          </w:tcPr>
          <w:p w14:paraId="235F7FA9">
            <w:pPr>
              <w:spacing w:line="400" w:lineRule="exact"/>
              <w:rPr>
                <w:rFonts w:ascii="新宋体" w:hAnsi="新宋体" w:eastAsia="新宋体" w:cs="新宋体"/>
                <w:color w:val="auto"/>
                <w:sz w:val="22"/>
                <w:szCs w:val="22"/>
                <w:highlight w:val="none"/>
              </w:rPr>
            </w:pPr>
          </w:p>
        </w:tc>
        <w:tc>
          <w:tcPr>
            <w:tcW w:w="3704" w:type="dxa"/>
            <w:noWrap w:val="0"/>
            <w:vAlign w:val="top"/>
          </w:tcPr>
          <w:p w14:paraId="120EFBDA">
            <w:pPr>
              <w:spacing w:line="400" w:lineRule="exact"/>
              <w:rPr>
                <w:rFonts w:ascii="新宋体" w:hAnsi="新宋体" w:eastAsia="新宋体" w:cs="新宋体"/>
                <w:color w:val="auto"/>
                <w:sz w:val="22"/>
                <w:szCs w:val="22"/>
                <w:highlight w:val="none"/>
              </w:rPr>
            </w:pPr>
          </w:p>
        </w:tc>
        <w:tc>
          <w:tcPr>
            <w:tcW w:w="1568" w:type="dxa"/>
            <w:noWrap w:val="0"/>
            <w:vAlign w:val="top"/>
          </w:tcPr>
          <w:p w14:paraId="61AD273A">
            <w:pPr>
              <w:spacing w:line="400" w:lineRule="exact"/>
              <w:rPr>
                <w:rFonts w:ascii="新宋体" w:hAnsi="新宋体" w:eastAsia="新宋体" w:cs="新宋体"/>
                <w:color w:val="auto"/>
                <w:sz w:val="22"/>
                <w:szCs w:val="22"/>
                <w:highlight w:val="none"/>
              </w:rPr>
            </w:pPr>
          </w:p>
        </w:tc>
      </w:tr>
      <w:tr w14:paraId="7A88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37384B13">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2C3EAE1B">
            <w:pPr>
              <w:spacing w:line="400" w:lineRule="exact"/>
              <w:rPr>
                <w:rFonts w:ascii="新宋体" w:hAnsi="新宋体" w:eastAsia="新宋体" w:cs="新宋体"/>
                <w:color w:val="auto"/>
                <w:sz w:val="22"/>
                <w:szCs w:val="22"/>
                <w:highlight w:val="none"/>
              </w:rPr>
            </w:pPr>
          </w:p>
        </w:tc>
        <w:tc>
          <w:tcPr>
            <w:tcW w:w="1404" w:type="dxa"/>
            <w:noWrap w:val="0"/>
            <w:vAlign w:val="top"/>
          </w:tcPr>
          <w:p w14:paraId="67B5B6DE">
            <w:pPr>
              <w:spacing w:line="400" w:lineRule="exact"/>
              <w:rPr>
                <w:rFonts w:ascii="新宋体" w:hAnsi="新宋体" w:eastAsia="新宋体" w:cs="新宋体"/>
                <w:color w:val="auto"/>
                <w:sz w:val="22"/>
                <w:szCs w:val="22"/>
                <w:highlight w:val="none"/>
              </w:rPr>
            </w:pPr>
          </w:p>
        </w:tc>
        <w:tc>
          <w:tcPr>
            <w:tcW w:w="796" w:type="dxa"/>
            <w:noWrap w:val="0"/>
            <w:vAlign w:val="top"/>
          </w:tcPr>
          <w:p w14:paraId="129C6D7E">
            <w:pPr>
              <w:spacing w:line="400" w:lineRule="exact"/>
              <w:rPr>
                <w:rFonts w:ascii="新宋体" w:hAnsi="新宋体" w:eastAsia="新宋体" w:cs="新宋体"/>
                <w:color w:val="auto"/>
                <w:sz w:val="22"/>
                <w:szCs w:val="22"/>
                <w:highlight w:val="none"/>
              </w:rPr>
            </w:pPr>
          </w:p>
        </w:tc>
        <w:tc>
          <w:tcPr>
            <w:tcW w:w="3704" w:type="dxa"/>
            <w:noWrap w:val="0"/>
            <w:vAlign w:val="top"/>
          </w:tcPr>
          <w:p w14:paraId="1320F878">
            <w:pPr>
              <w:spacing w:line="400" w:lineRule="exact"/>
              <w:rPr>
                <w:rFonts w:ascii="新宋体" w:hAnsi="新宋体" w:eastAsia="新宋体" w:cs="新宋体"/>
                <w:color w:val="auto"/>
                <w:sz w:val="22"/>
                <w:szCs w:val="22"/>
                <w:highlight w:val="none"/>
              </w:rPr>
            </w:pPr>
          </w:p>
        </w:tc>
        <w:tc>
          <w:tcPr>
            <w:tcW w:w="1568" w:type="dxa"/>
            <w:noWrap w:val="0"/>
            <w:vAlign w:val="top"/>
          </w:tcPr>
          <w:p w14:paraId="217FA043">
            <w:pPr>
              <w:spacing w:line="400" w:lineRule="exact"/>
              <w:rPr>
                <w:rFonts w:ascii="新宋体" w:hAnsi="新宋体" w:eastAsia="新宋体" w:cs="新宋体"/>
                <w:color w:val="auto"/>
                <w:sz w:val="22"/>
                <w:szCs w:val="22"/>
                <w:highlight w:val="none"/>
              </w:rPr>
            </w:pPr>
          </w:p>
        </w:tc>
      </w:tr>
      <w:tr w14:paraId="157B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48D1684D">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560BBAAC">
            <w:pPr>
              <w:spacing w:line="400" w:lineRule="exact"/>
              <w:rPr>
                <w:rFonts w:ascii="新宋体" w:hAnsi="新宋体" w:eastAsia="新宋体" w:cs="新宋体"/>
                <w:color w:val="auto"/>
                <w:sz w:val="22"/>
                <w:szCs w:val="22"/>
                <w:highlight w:val="none"/>
              </w:rPr>
            </w:pPr>
          </w:p>
        </w:tc>
        <w:tc>
          <w:tcPr>
            <w:tcW w:w="1404" w:type="dxa"/>
            <w:noWrap w:val="0"/>
            <w:vAlign w:val="top"/>
          </w:tcPr>
          <w:p w14:paraId="47C7EDAE">
            <w:pPr>
              <w:spacing w:line="400" w:lineRule="exact"/>
              <w:rPr>
                <w:rFonts w:ascii="新宋体" w:hAnsi="新宋体" w:eastAsia="新宋体" w:cs="新宋体"/>
                <w:color w:val="auto"/>
                <w:sz w:val="22"/>
                <w:szCs w:val="22"/>
                <w:highlight w:val="none"/>
              </w:rPr>
            </w:pPr>
          </w:p>
        </w:tc>
        <w:tc>
          <w:tcPr>
            <w:tcW w:w="796" w:type="dxa"/>
            <w:noWrap w:val="0"/>
            <w:vAlign w:val="top"/>
          </w:tcPr>
          <w:p w14:paraId="474185FF">
            <w:pPr>
              <w:spacing w:line="400" w:lineRule="exact"/>
              <w:rPr>
                <w:rFonts w:ascii="新宋体" w:hAnsi="新宋体" w:eastAsia="新宋体" w:cs="新宋体"/>
                <w:color w:val="auto"/>
                <w:sz w:val="22"/>
                <w:szCs w:val="22"/>
                <w:highlight w:val="none"/>
              </w:rPr>
            </w:pPr>
          </w:p>
        </w:tc>
        <w:tc>
          <w:tcPr>
            <w:tcW w:w="3704" w:type="dxa"/>
            <w:noWrap w:val="0"/>
            <w:vAlign w:val="top"/>
          </w:tcPr>
          <w:p w14:paraId="7BB93437">
            <w:pPr>
              <w:spacing w:line="400" w:lineRule="exact"/>
              <w:rPr>
                <w:rFonts w:ascii="新宋体" w:hAnsi="新宋体" w:eastAsia="新宋体" w:cs="新宋体"/>
                <w:color w:val="auto"/>
                <w:sz w:val="22"/>
                <w:szCs w:val="22"/>
                <w:highlight w:val="none"/>
              </w:rPr>
            </w:pPr>
          </w:p>
        </w:tc>
        <w:tc>
          <w:tcPr>
            <w:tcW w:w="1568" w:type="dxa"/>
            <w:noWrap w:val="0"/>
            <w:vAlign w:val="top"/>
          </w:tcPr>
          <w:p w14:paraId="03A6531C">
            <w:pPr>
              <w:spacing w:line="400" w:lineRule="exact"/>
              <w:rPr>
                <w:rFonts w:ascii="新宋体" w:hAnsi="新宋体" w:eastAsia="新宋体" w:cs="新宋体"/>
                <w:color w:val="auto"/>
                <w:sz w:val="22"/>
                <w:szCs w:val="22"/>
                <w:highlight w:val="none"/>
              </w:rPr>
            </w:pPr>
          </w:p>
        </w:tc>
      </w:tr>
      <w:tr w14:paraId="799A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469A9331">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23200D21">
            <w:pPr>
              <w:spacing w:line="400" w:lineRule="exact"/>
              <w:rPr>
                <w:rFonts w:ascii="新宋体" w:hAnsi="新宋体" w:eastAsia="新宋体" w:cs="新宋体"/>
                <w:color w:val="auto"/>
                <w:sz w:val="22"/>
                <w:szCs w:val="22"/>
                <w:highlight w:val="none"/>
              </w:rPr>
            </w:pPr>
          </w:p>
        </w:tc>
        <w:tc>
          <w:tcPr>
            <w:tcW w:w="1404" w:type="dxa"/>
            <w:noWrap w:val="0"/>
            <w:vAlign w:val="top"/>
          </w:tcPr>
          <w:p w14:paraId="18041783">
            <w:pPr>
              <w:spacing w:line="400" w:lineRule="exact"/>
              <w:rPr>
                <w:rFonts w:ascii="新宋体" w:hAnsi="新宋体" w:eastAsia="新宋体" w:cs="新宋体"/>
                <w:color w:val="auto"/>
                <w:sz w:val="22"/>
                <w:szCs w:val="22"/>
                <w:highlight w:val="none"/>
              </w:rPr>
            </w:pPr>
          </w:p>
        </w:tc>
        <w:tc>
          <w:tcPr>
            <w:tcW w:w="796" w:type="dxa"/>
            <w:noWrap w:val="0"/>
            <w:vAlign w:val="top"/>
          </w:tcPr>
          <w:p w14:paraId="3DA016CC">
            <w:pPr>
              <w:spacing w:line="400" w:lineRule="exact"/>
              <w:rPr>
                <w:rFonts w:ascii="新宋体" w:hAnsi="新宋体" w:eastAsia="新宋体" w:cs="新宋体"/>
                <w:color w:val="auto"/>
                <w:sz w:val="22"/>
                <w:szCs w:val="22"/>
                <w:highlight w:val="none"/>
              </w:rPr>
            </w:pPr>
          </w:p>
        </w:tc>
        <w:tc>
          <w:tcPr>
            <w:tcW w:w="3704" w:type="dxa"/>
            <w:noWrap w:val="0"/>
            <w:vAlign w:val="top"/>
          </w:tcPr>
          <w:p w14:paraId="486EF630">
            <w:pPr>
              <w:spacing w:line="400" w:lineRule="exact"/>
              <w:rPr>
                <w:rFonts w:ascii="新宋体" w:hAnsi="新宋体" w:eastAsia="新宋体" w:cs="新宋体"/>
                <w:color w:val="auto"/>
                <w:sz w:val="22"/>
                <w:szCs w:val="22"/>
                <w:highlight w:val="none"/>
              </w:rPr>
            </w:pPr>
          </w:p>
        </w:tc>
        <w:tc>
          <w:tcPr>
            <w:tcW w:w="1568" w:type="dxa"/>
            <w:noWrap w:val="0"/>
            <w:vAlign w:val="top"/>
          </w:tcPr>
          <w:p w14:paraId="46A31FF5">
            <w:pPr>
              <w:spacing w:line="400" w:lineRule="exact"/>
              <w:rPr>
                <w:rFonts w:ascii="新宋体" w:hAnsi="新宋体" w:eastAsia="新宋体" w:cs="新宋体"/>
                <w:color w:val="auto"/>
                <w:sz w:val="22"/>
                <w:szCs w:val="22"/>
                <w:highlight w:val="none"/>
              </w:rPr>
            </w:pPr>
          </w:p>
        </w:tc>
      </w:tr>
      <w:tr w14:paraId="7A5B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243E9E96">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64511287">
            <w:pPr>
              <w:spacing w:line="400" w:lineRule="exact"/>
              <w:rPr>
                <w:rFonts w:ascii="新宋体" w:hAnsi="新宋体" w:eastAsia="新宋体" w:cs="新宋体"/>
                <w:color w:val="auto"/>
                <w:sz w:val="22"/>
                <w:szCs w:val="22"/>
                <w:highlight w:val="none"/>
              </w:rPr>
            </w:pPr>
          </w:p>
        </w:tc>
        <w:tc>
          <w:tcPr>
            <w:tcW w:w="1404" w:type="dxa"/>
            <w:noWrap w:val="0"/>
            <w:vAlign w:val="top"/>
          </w:tcPr>
          <w:p w14:paraId="557081E2">
            <w:pPr>
              <w:spacing w:line="400" w:lineRule="exact"/>
              <w:rPr>
                <w:rFonts w:ascii="新宋体" w:hAnsi="新宋体" w:eastAsia="新宋体" w:cs="新宋体"/>
                <w:color w:val="auto"/>
                <w:sz w:val="22"/>
                <w:szCs w:val="22"/>
                <w:highlight w:val="none"/>
              </w:rPr>
            </w:pPr>
          </w:p>
        </w:tc>
        <w:tc>
          <w:tcPr>
            <w:tcW w:w="796" w:type="dxa"/>
            <w:noWrap w:val="0"/>
            <w:vAlign w:val="top"/>
          </w:tcPr>
          <w:p w14:paraId="12453950">
            <w:pPr>
              <w:spacing w:line="400" w:lineRule="exact"/>
              <w:rPr>
                <w:rFonts w:ascii="新宋体" w:hAnsi="新宋体" w:eastAsia="新宋体" w:cs="新宋体"/>
                <w:color w:val="auto"/>
                <w:sz w:val="22"/>
                <w:szCs w:val="22"/>
                <w:highlight w:val="none"/>
              </w:rPr>
            </w:pPr>
          </w:p>
        </w:tc>
        <w:tc>
          <w:tcPr>
            <w:tcW w:w="3704" w:type="dxa"/>
            <w:noWrap w:val="0"/>
            <w:vAlign w:val="top"/>
          </w:tcPr>
          <w:p w14:paraId="58535EA7">
            <w:pPr>
              <w:spacing w:line="400" w:lineRule="exact"/>
              <w:rPr>
                <w:rFonts w:ascii="新宋体" w:hAnsi="新宋体" w:eastAsia="新宋体" w:cs="新宋体"/>
                <w:color w:val="auto"/>
                <w:sz w:val="22"/>
                <w:szCs w:val="22"/>
                <w:highlight w:val="none"/>
              </w:rPr>
            </w:pPr>
          </w:p>
        </w:tc>
        <w:tc>
          <w:tcPr>
            <w:tcW w:w="1568" w:type="dxa"/>
            <w:noWrap w:val="0"/>
            <w:vAlign w:val="top"/>
          </w:tcPr>
          <w:p w14:paraId="42685B65">
            <w:pPr>
              <w:spacing w:line="400" w:lineRule="exact"/>
              <w:rPr>
                <w:rFonts w:ascii="新宋体" w:hAnsi="新宋体" w:eastAsia="新宋体" w:cs="新宋体"/>
                <w:color w:val="auto"/>
                <w:sz w:val="22"/>
                <w:szCs w:val="22"/>
                <w:highlight w:val="none"/>
              </w:rPr>
            </w:pPr>
          </w:p>
        </w:tc>
      </w:tr>
      <w:tr w14:paraId="3C2E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2410C42F">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0A5DA1F4">
            <w:pPr>
              <w:spacing w:line="400" w:lineRule="exact"/>
              <w:rPr>
                <w:rFonts w:ascii="新宋体" w:hAnsi="新宋体" w:eastAsia="新宋体" w:cs="新宋体"/>
                <w:color w:val="auto"/>
                <w:sz w:val="22"/>
                <w:szCs w:val="22"/>
                <w:highlight w:val="none"/>
              </w:rPr>
            </w:pPr>
          </w:p>
        </w:tc>
        <w:tc>
          <w:tcPr>
            <w:tcW w:w="1404" w:type="dxa"/>
            <w:noWrap w:val="0"/>
            <w:vAlign w:val="top"/>
          </w:tcPr>
          <w:p w14:paraId="3641B52B">
            <w:pPr>
              <w:spacing w:line="400" w:lineRule="exact"/>
              <w:rPr>
                <w:rFonts w:ascii="新宋体" w:hAnsi="新宋体" w:eastAsia="新宋体" w:cs="新宋体"/>
                <w:color w:val="auto"/>
                <w:sz w:val="22"/>
                <w:szCs w:val="22"/>
                <w:highlight w:val="none"/>
              </w:rPr>
            </w:pPr>
          </w:p>
        </w:tc>
        <w:tc>
          <w:tcPr>
            <w:tcW w:w="796" w:type="dxa"/>
            <w:noWrap w:val="0"/>
            <w:vAlign w:val="top"/>
          </w:tcPr>
          <w:p w14:paraId="6D812B07">
            <w:pPr>
              <w:spacing w:line="400" w:lineRule="exact"/>
              <w:rPr>
                <w:rFonts w:ascii="新宋体" w:hAnsi="新宋体" w:eastAsia="新宋体" w:cs="新宋体"/>
                <w:color w:val="auto"/>
                <w:sz w:val="22"/>
                <w:szCs w:val="22"/>
                <w:highlight w:val="none"/>
              </w:rPr>
            </w:pPr>
          </w:p>
        </w:tc>
        <w:tc>
          <w:tcPr>
            <w:tcW w:w="3704" w:type="dxa"/>
            <w:noWrap w:val="0"/>
            <w:vAlign w:val="top"/>
          </w:tcPr>
          <w:p w14:paraId="69000C89">
            <w:pPr>
              <w:spacing w:line="400" w:lineRule="exact"/>
              <w:rPr>
                <w:rFonts w:ascii="新宋体" w:hAnsi="新宋体" w:eastAsia="新宋体" w:cs="新宋体"/>
                <w:color w:val="auto"/>
                <w:sz w:val="22"/>
                <w:szCs w:val="22"/>
                <w:highlight w:val="none"/>
              </w:rPr>
            </w:pPr>
          </w:p>
        </w:tc>
        <w:tc>
          <w:tcPr>
            <w:tcW w:w="1568" w:type="dxa"/>
            <w:noWrap w:val="0"/>
            <w:vAlign w:val="top"/>
          </w:tcPr>
          <w:p w14:paraId="034283B7">
            <w:pPr>
              <w:spacing w:line="400" w:lineRule="exact"/>
              <w:rPr>
                <w:rFonts w:ascii="新宋体" w:hAnsi="新宋体" w:eastAsia="新宋体" w:cs="新宋体"/>
                <w:color w:val="auto"/>
                <w:sz w:val="22"/>
                <w:szCs w:val="22"/>
                <w:highlight w:val="none"/>
              </w:rPr>
            </w:pPr>
          </w:p>
        </w:tc>
      </w:tr>
      <w:tr w14:paraId="07EB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38664E9E">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1474FDDD">
            <w:pPr>
              <w:spacing w:line="400" w:lineRule="exact"/>
              <w:rPr>
                <w:rFonts w:ascii="新宋体" w:hAnsi="新宋体" w:eastAsia="新宋体" w:cs="新宋体"/>
                <w:color w:val="auto"/>
                <w:sz w:val="22"/>
                <w:szCs w:val="22"/>
                <w:highlight w:val="none"/>
              </w:rPr>
            </w:pPr>
          </w:p>
        </w:tc>
        <w:tc>
          <w:tcPr>
            <w:tcW w:w="1404" w:type="dxa"/>
            <w:noWrap w:val="0"/>
            <w:vAlign w:val="top"/>
          </w:tcPr>
          <w:p w14:paraId="593594F4">
            <w:pPr>
              <w:spacing w:line="400" w:lineRule="exact"/>
              <w:rPr>
                <w:rFonts w:ascii="新宋体" w:hAnsi="新宋体" w:eastAsia="新宋体" w:cs="新宋体"/>
                <w:color w:val="auto"/>
                <w:sz w:val="22"/>
                <w:szCs w:val="22"/>
                <w:highlight w:val="none"/>
              </w:rPr>
            </w:pPr>
          </w:p>
        </w:tc>
        <w:tc>
          <w:tcPr>
            <w:tcW w:w="796" w:type="dxa"/>
            <w:noWrap w:val="0"/>
            <w:vAlign w:val="top"/>
          </w:tcPr>
          <w:p w14:paraId="71FF5CD4">
            <w:pPr>
              <w:spacing w:line="400" w:lineRule="exact"/>
              <w:rPr>
                <w:rFonts w:ascii="新宋体" w:hAnsi="新宋体" w:eastAsia="新宋体" w:cs="新宋体"/>
                <w:color w:val="auto"/>
                <w:sz w:val="22"/>
                <w:szCs w:val="22"/>
                <w:highlight w:val="none"/>
              </w:rPr>
            </w:pPr>
          </w:p>
        </w:tc>
        <w:tc>
          <w:tcPr>
            <w:tcW w:w="3704" w:type="dxa"/>
            <w:noWrap w:val="0"/>
            <w:vAlign w:val="top"/>
          </w:tcPr>
          <w:p w14:paraId="62C5C3D4">
            <w:pPr>
              <w:spacing w:line="400" w:lineRule="exact"/>
              <w:rPr>
                <w:rFonts w:ascii="新宋体" w:hAnsi="新宋体" w:eastAsia="新宋体" w:cs="新宋体"/>
                <w:color w:val="auto"/>
                <w:sz w:val="22"/>
                <w:szCs w:val="22"/>
                <w:highlight w:val="none"/>
              </w:rPr>
            </w:pPr>
          </w:p>
        </w:tc>
        <w:tc>
          <w:tcPr>
            <w:tcW w:w="1568" w:type="dxa"/>
            <w:noWrap w:val="0"/>
            <w:vAlign w:val="top"/>
          </w:tcPr>
          <w:p w14:paraId="10112CDE">
            <w:pPr>
              <w:spacing w:line="400" w:lineRule="exact"/>
              <w:rPr>
                <w:rFonts w:ascii="新宋体" w:hAnsi="新宋体" w:eastAsia="新宋体" w:cs="新宋体"/>
                <w:color w:val="auto"/>
                <w:sz w:val="22"/>
                <w:szCs w:val="22"/>
                <w:highlight w:val="none"/>
              </w:rPr>
            </w:pPr>
          </w:p>
        </w:tc>
      </w:tr>
      <w:tr w14:paraId="2BC3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6A7D807F">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519F2214">
            <w:pPr>
              <w:spacing w:line="400" w:lineRule="exact"/>
              <w:rPr>
                <w:rFonts w:ascii="新宋体" w:hAnsi="新宋体" w:eastAsia="新宋体" w:cs="新宋体"/>
                <w:color w:val="auto"/>
                <w:sz w:val="22"/>
                <w:szCs w:val="22"/>
                <w:highlight w:val="none"/>
              </w:rPr>
            </w:pPr>
          </w:p>
        </w:tc>
        <w:tc>
          <w:tcPr>
            <w:tcW w:w="1404" w:type="dxa"/>
            <w:noWrap w:val="0"/>
            <w:vAlign w:val="top"/>
          </w:tcPr>
          <w:p w14:paraId="6EB2251E">
            <w:pPr>
              <w:spacing w:line="400" w:lineRule="exact"/>
              <w:rPr>
                <w:rFonts w:ascii="新宋体" w:hAnsi="新宋体" w:eastAsia="新宋体" w:cs="新宋体"/>
                <w:color w:val="auto"/>
                <w:sz w:val="22"/>
                <w:szCs w:val="22"/>
                <w:highlight w:val="none"/>
              </w:rPr>
            </w:pPr>
          </w:p>
        </w:tc>
        <w:tc>
          <w:tcPr>
            <w:tcW w:w="796" w:type="dxa"/>
            <w:noWrap w:val="0"/>
            <w:vAlign w:val="top"/>
          </w:tcPr>
          <w:p w14:paraId="7FEC26DA">
            <w:pPr>
              <w:spacing w:line="400" w:lineRule="exact"/>
              <w:rPr>
                <w:rFonts w:ascii="新宋体" w:hAnsi="新宋体" w:eastAsia="新宋体" w:cs="新宋体"/>
                <w:color w:val="auto"/>
                <w:sz w:val="22"/>
                <w:szCs w:val="22"/>
                <w:highlight w:val="none"/>
              </w:rPr>
            </w:pPr>
          </w:p>
        </w:tc>
        <w:tc>
          <w:tcPr>
            <w:tcW w:w="3704" w:type="dxa"/>
            <w:noWrap w:val="0"/>
            <w:vAlign w:val="top"/>
          </w:tcPr>
          <w:p w14:paraId="0A371926">
            <w:pPr>
              <w:spacing w:line="400" w:lineRule="exact"/>
              <w:rPr>
                <w:rFonts w:ascii="新宋体" w:hAnsi="新宋体" w:eastAsia="新宋体" w:cs="新宋体"/>
                <w:color w:val="auto"/>
                <w:sz w:val="22"/>
                <w:szCs w:val="22"/>
                <w:highlight w:val="none"/>
              </w:rPr>
            </w:pPr>
          </w:p>
        </w:tc>
        <w:tc>
          <w:tcPr>
            <w:tcW w:w="1568" w:type="dxa"/>
            <w:noWrap w:val="0"/>
            <w:vAlign w:val="top"/>
          </w:tcPr>
          <w:p w14:paraId="3CB99187">
            <w:pPr>
              <w:spacing w:line="400" w:lineRule="exact"/>
              <w:rPr>
                <w:rFonts w:ascii="新宋体" w:hAnsi="新宋体" w:eastAsia="新宋体" w:cs="新宋体"/>
                <w:color w:val="auto"/>
                <w:sz w:val="22"/>
                <w:szCs w:val="22"/>
                <w:highlight w:val="none"/>
              </w:rPr>
            </w:pPr>
          </w:p>
        </w:tc>
      </w:tr>
      <w:tr w14:paraId="46DD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7824502E">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1573D591">
            <w:pPr>
              <w:spacing w:line="400" w:lineRule="exact"/>
              <w:rPr>
                <w:rFonts w:ascii="新宋体" w:hAnsi="新宋体" w:eastAsia="新宋体" w:cs="新宋体"/>
                <w:color w:val="auto"/>
                <w:sz w:val="22"/>
                <w:szCs w:val="22"/>
                <w:highlight w:val="none"/>
              </w:rPr>
            </w:pPr>
          </w:p>
        </w:tc>
        <w:tc>
          <w:tcPr>
            <w:tcW w:w="1404" w:type="dxa"/>
            <w:noWrap w:val="0"/>
            <w:vAlign w:val="top"/>
          </w:tcPr>
          <w:p w14:paraId="01D9815A">
            <w:pPr>
              <w:spacing w:line="400" w:lineRule="exact"/>
              <w:rPr>
                <w:rFonts w:ascii="新宋体" w:hAnsi="新宋体" w:eastAsia="新宋体" w:cs="新宋体"/>
                <w:color w:val="auto"/>
                <w:sz w:val="22"/>
                <w:szCs w:val="22"/>
                <w:highlight w:val="none"/>
              </w:rPr>
            </w:pPr>
          </w:p>
        </w:tc>
        <w:tc>
          <w:tcPr>
            <w:tcW w:w="796" w:type="dxa"/>
            <w:noWrap w:val="0"/>
            <w:vAlign w:val="top"/>
          </w:tcPr>
          <w:p w14:paraId="5BF47E43">
            <w:pPr>
              <w:spacing w:line="400" w:lineRule="exact"/>
              <w:rPr>
                <w:rFonts w:ascii="新宋体" w:hAnsi="新宋体" w:eastAsia="新宋体" w:cs="新宋体"/>
                <w:color w:val="auto"/>
                <w:sz w:val="22"/>
                <w:szCs w:val="22"/>
                <w:highlight w:val="none"/>
              </w:rPr>
            </w:pPr>
          </w:p>
        </w:tc>
        <w:tc>
          <w:tcPr>
            <w:tcW w:w="3704" w:type="dxa"/>
            <w:noWrap w:val="0"/>
            <w:vAlign w:val="top"/>
          </w:tcPr>
          <w:p w14:paraId="39A01D18">
            <w:pPr>
              <w:spacing w:line="400" w:lineRule="exact"/>
              <w:rPr>
                <w:rFonts w:ascii="新宋体" w:hAnsi="新宋体" w:eastAsia="新宋体" w:cs="新宋体"/>
                <w:color w:val="auto"/>
                <w:sz w:val="22"/>
                <w:szCs w:val="22"/>
                <w:highlight w:val="none"/>
              </w:rPr>
            </w:pPr>
          </w:p>
        </w:tc>
        <w:tc>
          <w:tcPr>
            <w:tcW w:w="1568" w:type="dxa"/>
            <w:noWrap w:val="0"/>
            <w:vAlign w:val="top"/>
          </w:tcPr>
          <w:p w14:paraId="19503991">
            <w:pPr>
              <w:spacing w:line="400" w:lineRule="exact"/>
              <w:rPr>
                <w:rFonts w:ascii="新宋体" w:hAnsi="新宋体" w:eastAsia="新宋体" w:cs="新宋体"/>
                <w:color w:val="auto"/>
                <w:sz w:val="22"/>
                <w:szCs w:val="22"/>
                <w:highlight w:val="none"/>
              </w:rPr>
            </w:pPr>
          </w:p>
        </w:tc>
      </w:tr>
      <w:tr w14:paraId="105E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32D0CE27">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3AAAC8B8">
            <w:pPr>
              <w:spacing w:line="400" w:lineRule="exact"/>
              <w:rPr>
                <w:rFonts w:ascii="新宋体" w:hAnsi="新宋体" w:eastAsia="新宋体" w:cs="新宋体"/>
                <w:color w:val="auto"/>
                <w:sz w:val="22"/>
                <w:szCs w:val="22"/>
                <w:highlight w:val="none"/>
              </w:rPr>
            </w:pPr>
          </w:p>
        </w:tc>
        <w:tc>
          <w:tcPr>
            <w:tcW w:w="1404" w:type="dxa"/>
            <w:noWrap w:val="0"/>
            <w:vAlign w:val="top"/>
          </w:tcPr>
          <w:p w14:paraId="725AC771">
            <w:pPr>
              <w:spacing w:line="400" w:lineRule="exact"/>
              <w:rPr>
                <w:rFonts w:ascii="新宋体" w:hAnsi="新宋体" w:eastAsia="新宋体" w:cs="新宋体"/>
                <w:color w:val="auto"/>
                <w:sz w:val="22"/>
                <w:szCs w:val="22"/>
                <w:highlight w:val="none"/>
              </w:rPr>
            </w:pPr>
          </w:p>
        </w:tc>
        <w:tc>
          <w:tcPr>
            <w:tcW w:w="796" w:type="dxa"/>
            <w:noWrap w:val="0"/>
            <w:vAlign w:val="top"/>
          </w:tcPr>
          <w:p w14:paraId="1191266E">
            <w:pPr>
              <w:spacing w:line="400" w:lineRule="exact"/>
              <w:rPr>
                <w:rFonts w:ascii="新宋体" w:hAnsi="新宋体" w:eastAsia="新宋体" w:cs="新宋体"/>
                <w:color w:val="auto"/>
                <w:sz w:val="22"/>
                <w:szCs w:val="22"/>
                <w:highlight w:val="none"/>
              </w:rPr>
            </w:pPr>
          </w:p>
        </w:tc>
        <w:tc>
          <w:tcPr>
            <w:tcW w:w="3704" w:type="dxa"/>
            <w:noWrap w:val="0"/>
            <w:vAlign w:val="top"/>
          </w:tcPr>
          <w:p w14:paraId="6D17732F">
            <w:pPr>
              <w:spacing w:line="400" w:lineRule="exact"/>
              <w:rPr>
                <w:rFonts w:ascii="新宋体" w:hAnsi="新宋体" w:eastAsia="新宋体" w:cs="新宋体"/>
                <w:color w:val="auto"/>
                <w:sz w:val="22"/>
                <w:szCs w:val="22"/>
                <w:highlight w:val="none"/>
              </w:rPr>
            </w:pPr>
          </w:p>
        </w:tc>
        <w:tc>
          <w:tcPr>
            <w:tcW w:w="1568" w:type="dxa"/>
            <w:noWrap w:val="0"/>
            <w:vAlign w:val="top"/>
          </w:tcPr>
          <w:p w14:paraId="27642037">
            <w:pPr>
              <w:spacing w:line="400" w:lineRule="exact"/>
              <w:rPr>
                <w:rFonts w:ascii="新宋体" w:hAnsi="新宋体" w:eastAsia="新宋体" w:cs="新宋体"/>
                <w:color w:val="auto"/>
                <w:sz w:val="22"/>
                <w:szCs w:val="22"/>
                <w:highlight w:val="none"/>
              </w:rPr>
            </w:pPr>
          </w:p>
        </w:tc>
      </w:tr>
      <w:tr w14:paraId="1B57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04C9951F">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22A10BE6">
            <w:pPr>
              <w:spacing w:line="400" w:lineRule="exact"/>
              <w:rPr>
                <w:rFonts w:ascii="新宋体" w:hAnsi="新宋体" w:eastAsia="新宋体" w:cs="新宋体"/>
                <w:color w:val="auto"/>
                <w:sz w:val="22"/>
                <w:szCs w:val="22"/>
                <w:highlight w:val="none"/>
              </w:rPr>
            </w:pPr>
          </w:p>
        </w:tc>
        <w:tc>
          <w:tcPr>
            <w:tcW w:w="1404" w:type="dxa"/>
            <w:noWrap w:val="0"/>
            <w:vAlign w:val="top"/>
          </w:tcPr>
          <w:p w14:paraId="79B32D17">
            <w:pPr>
              <w:spacing w:line="400" w:lineRule="exact"/>
              <w:rPr>
                <w:rFonts w:ascii="新宋体" w:hAnsi="新宋体" w:eastAsia="新宋体" w:cs="新宋体"/>
                <w:color w:val="auto"/>
                <w:sz w:val="22"/>
                <w:szCs w:val="22"/>
                <w:highlight w:val="none"/>
              </w:rPr>
            </w:pPr>
          </w:p>
        </w:tc>
        <w:tc>
          <w:tcPr>
            <w:tcW w:w="796" w:type="dxa"/>
            <w:noWrap w:val="0"/>
            <w:vAlign w:val="top"/>
          </w:tcPr>
          <w:p w14:paraId="512E4A50">
            <w:pPr>
              <w:spacing w:line="400" w:lineRule="exact"/>
              <w:rPr>
                <w:rFonts w:ascii="新宋体" w:hAnsi="新宋体" w:eastAsia="新宋体" w:cs="新宋体"/>
                <w:color w:val="auto"/>
                <w:sz w:val="22"/>
                <w:szCs w:val="22"/>
                <w:highlight w:val="none"/>
              </w:rPr>
            </w:pPr>
          </w:p>
        </w:tc>
        <w:tc>
          <w:tcPr>
            <w:tcW w:w="3704" w:type="dxa"/>
            <w:noWrap w:val="0"/>
            <w:vAlign w:val="top"/>
          </w:tcPr>
          <w:p w14:paraId="504ED845">
            <w:pPr>
              <w:spacing w:line="400" w:lineRule="exact"/>
              <w:rPr>
                <w:rFonts w:ascii="新宋体" w:hAnsi="新宋体" w:eastAsia="新宋体" w:cs="新宋体"/>
                <w:color w:val="auto"/>
                <w:sz w:val="22"/>
                <w:szCs w:val="22"/>
                <w:highlight w:val="none"/>
              </w:rPr>
            </w:pPr>
          </w:p>
        </w:tc>
        <w:tc>
          <w:tcPr>
            <w:tcW w:w="1568" w:type="dxa"/>
            <w:noWrap w:val="0"/>
            <w:vAlign w:val="top"/>
          </w:tcPr>
          <w:p w14:paraId="4EA1DE66">
            <w:pPr>
              <w:spacing w:line="400" w:lineRule="exact"/>
              <w:rPr>
                <w:rFonts w:ascii="新宋体" w:hAnsi="新宋体" w:eastAsia="新宋体" w:cs="新宋体"/>
                <w:color w:val="auto"/>
                <w:sz w:val="22"/>
                <w:szCs w:val="22"/>
                <w:highlight w:val="none"/>
              </w:rPr>
            </w:pPr>
          </w:p>
        </w:tc>
      </w:tr>
      <w:tr w14:paraId="44C2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293B3FB7">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4C606AA4">
            <w:pPr>
              <w:spacing w:line="400" w:lineRule="exact"/>
              <w:rPr>
                <w:rFonts w:ascii="新宋体" w:hAnsi="新宋体" w:eastAsia="新宋体" w:cs="新宋体"/>
                <w:color w:val="auto"/>
                <w:sz w:val="22"/>
                <w:szCs w:val="22"/>
                <w:highlight w:val="none"/>
              </w:rPr>
            </w:pPr>
          </w:p>
        </w:tc>
        <w:tc>
          <w:tcPr>
            <w:tcW w:w="1404" w:type="dxa"/>
            <w:noWrap w:val="0"/>
            <w:vAlign w:val="top"/>
          </w:tcPr>
          <w:p w14:paraId="423AA38D">
            <w:pPr>
              <w:spacing w:line="400" w:lineRule="exact"/>
              <w:rPr>
                <w:rFonts w:ascii="新宋体" w:hAnsi="新宋体" w:eastAsia="新宋体" w:cs="新宋体"/>
                <w:color w:val="auto"/>
                <w:sz w:val="22"/>
                <w:szCs w:val="22"/>
                <w:highlight w:val="none"/>
              </w:rPr>
            </w:pPr>
          </w:p>
        </w:tc>
        <w:tc>
          <w:tcPr>
            <w:tcW w:w="796" w:type="dxa"/>
            <w:noWrap w:val="0"/>
            <w:vAlign w:val="top"/>
          </w:tcPr>
          <w:p w14:paraId="7FF0A504">
            <w:pPr>
              <w:spacing w:line="400" w:lineRule="exact"/>
              <w:rPr>
                <w:rFonts w:ascii="新宋体" w:hAnsi="新宋体" w:eastAsia="新宋体" w:cs="新宋体"/>
                <w:color w:val="auto"/>
                <w:sz w:val="22"/>
                <w:szCs w:val="22"/>
                <w:highlight w:val="none"/>
              </w:rPr>
            </w:pPr>
          </w:p>
        </w:tc>
        <w:tc>
          <w:tcPr>
            <w:tcW w:w="3704" w:type="dxa"/>
            <w:noWrap w:val="0"/>
            <w:vAlign w:val="top"/>
          </w:tcPr>
          <w:p w14:paraId="4F93FA01">
            <w:pPr>
              <w:spacing w:line="400" w:lineRule="exact"/>
              <w:rPr>
                <w:rFonts w:ascii="新宋体" w:hAnsi="新宋体" w:eastAsia="新宋体" w:cs="新宋体"/>
                <w:color w:val="auto"/>
                <w:sz w:val="22"/>
                <w:szCs w:val="22"/>
                <w:highlight w:val="none"/>
              </w:rPr>
            </w:pPr>
          </w:p>
        </w:tc>
        <w:tc>
          <w:tcPr>
            <w:tcW w:w="1568" w:type="dxa"/>
            <w:noWrap w:val="0"/>
            <w:vAlign w:val="top"/>
          </w:tcPr>
          <w:p w14:paraId="09A9A876">
            <w:pPr>
              <w:spacing w:line="400" w:lineRule="exact"/>
              <w:rPr>
                <w:rFonts w:ascii="新宋体" w:hAnsi="新宋体" w:eastAsia="新宋体" w:cs="新宋体"/>
                <w:color w:val="auto"/>
                <w:sz w:val="22"/>
                <w:szCs w:val="22"/>
                <w:highlight w:val="none"/>
              </w:rPr>
            </w:pPr>
          </w:p>
        </w:tc>
      </w:tr>
      <w:tr w14:paraId="5E6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531F08D6">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09E214FC">
            <w:pPr>
              <w:spacing w:line="400" w:lineRule="exact"/>
              <w:rPr>
                <w:rFonts w:ascii="新宋体" w:hAnsi="新宋体" w:eastAsia="新宋体" w:cs="新宋体"/>
                <w:color w:val="auto"/>
                <w:sz w:val="22"/>
                <w:szCs w:val="22"/>
                <w:highlight w:val="none"/>
              </w:rPr>
            </w:pPr>
          </w:p>
        </w:tc>
        <w:tc>
          <w:tcPr>
            <w:tcW w:w="1404" w:type="dxa"/>
            <w:noWrap w:val="0"/>
            <w:vAlign w:val="top"/>
          </w:tcPr>
          <w:p w14:paraId="67370791">
            <w:pPr>
              <w:spacing w:line="400" w:lineRule="exact"/>
              <w:rPr>
                <w:rFonts w:ascii="新宋体" w:hAnsi="新宋体" w:eastAsia="新宋体" w:cs="新宋体"/>
                <w:color w:val="auto"/>
                <w:sz w:val="22"/>
                <w:szCs w:val="22"/>
                <w:highlight w:val="none"/>
              </w:rPr>
            </w:pPr>
          </w:p>
        </w:tc>
        <w:tc>
          <w:tcPr>
            <w:tcW w:w="796" w:type="dxa"/>
            <w:noWrap w:val="0"/>
            <w:vAlign w:val="top"/>
          </w:tcPr>
          <w:p w14:paraId="73A49A68">
            <w:pPr>
              <w:spacing w:line="400" w:lineRule="exact"/>
              <w:rPr>
                <w:rFonts w:ascii="新宋体" w:hAnsi="新宋体" w:eastAsia="新宋体" w:cs="新宋体"/>
                <w:color w:val="auto"/>
                <w:sz w:val="22"/>
                <w:szCs w:val="22"/>
                <w:highlight w:val="none"/>
              </w:rPr>
            </w:pPr>
          </w:p>
        </w:tc>
        <w:tc>
          <w:tcPr>
            <w:tcW w:w="3704" w:type="dxa"/>
            <w:noWrap w:val="0"/>
            <w:vAlign w:val="top"/>
          </w:tcPr>
          <w:p w14:paraId="5549EDF5">
            <w:pPr>
              <w:spacing w:line="400" w:lineRule="exact"/>
              <w:rPr>
                <w:rFonts w:ascii="新宋体" w:hAnsi="新宋体" w:eastAsia="新宋体" w:cs="新宋体"/>
                <w:color w:val="auto"/>
                <w:sz w:val="22"/>
                <w:szCs w:val="22"/>
                <w:highlight w:val="none"/>
              </w:rPr>
            </w:pPr>
          </w:p>
        </w:tc>
        <w:tc>
          <w:tcPr>
            <w:tcW w:w="1568" w:type="dxa"/>
            <w:noWrap w:val="0"/>
            <w:vAlign w:val="top"/>
          </w:tcPr>
          <w:p w14:paraId="74FEED99">
            <w:pPr>
              <w:spacing w:line="400" w:lineRule="exact"/>
              <w:rPr>
                <w:rFonts w:ascii="新宋体" w:hAnsi="新宋体" w:eastAsia="新宋体" w:cs="新宋体"/>
                <w:color w:val="auto"/>
                <w:sz w:val="22"/>
                <w:szCs w:val="22"/>
                <w:highlight w:val="none"/>
              </w:rPr>
            </w:pPr>
          </w:p>
        </w:tc>
      </w:tr>
      <w:tr w14:paraId="68E3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6" w:type="dxa"/>
            <w:noWrap w:val="0"/>
            <w:vAlign w:val="center"/>
          </w:tcPr>
          <w:p w14:paraId="3539F542">
            <w:pPr>
              <w:spacing w:line="400" w:lineRule="exact"/>
              <w:jc w:val="center"/>
              <w:rPr>
                <w:rFonts w:ascii="新宋体" w:hAnsi="新宋体" w:eastAsia="新宋体" w:cs="新宋体"/>
                <w:color w:val="auto"/>
                <w:sz w:val="22"/>
                <w:szCs w:val="22"/>
                <w:highlight w:val="none"/>
              </w:rPr>
            </w:pPr>
          </w:p>
        </w:tc>
        <w:tc>
          <w:tcPr>
            <w:tcW w:w="1240" w:type="dxa"/>
            <w:noWrap w:val="0"/>
            <w:vAlign w:val="top"/>
          </w:tcPr>
          <w:p w14:paraId="736562D2">
            <w:pPr>
              <w:spacing w:line="400" w:lineRule="exact"/>
              <w:rPr>
                <w:rFonts w:ascii="新宋体" w:hAnsi="新宋体" w:eastAsia="新宋体" w:cs="新宋体"/>
                <w:color w:val="auto"/>
                <w:sz w:val="22"/>
                <w:szCs w:val="22"/>
                <w:highlight w:val="none"/>
              </w:rPr>
            </w:pPr>
          </w:p>
        </w:tc>
        <w:tc>
          <w:tcPr>
            <w:tcW w:w="1404" w:type="dxa"/>
            <w:noWrap w:val="0"/>
            <w:vAlign w:val="top"/>
          </w:tcPr>
          <w:p w14:paraId="1BE1430F">
            <w:pPr>
              <w:spacing w:line="400" w:lineRule="exact"/>
              <w:rPr>
                <w:rFonts w:ascii="新宋体" w:hAnsi="新宋体" w:eastAsia="新宋体" w:cs="新宋体"/>
                <w:color w:val="auto"/>
                <w:sz w:val="22"/>
                <w:szCs w:val="22"/>
                <w:highlight w:val="none"/>
              </w:rPr>
            </w:pPr>
          </w:p>
        </w:tc>
        <w:tc>
          <w:tcPr>
            <w:tcW w:w="796" w:type="dxa"/>
            <w:noWrap w:val="0"/>
            <w:vAlign w:val="top"/>
          </w:tcPr>
          <w:p w14:paraId="31C331C9">
            <w:pPr>
              <w:spacing w:line="400" w:lineRule="exact"/>
              <w:rPr>
                <w:rFonts w:ascii="新宋体" w:hAnsi="新宋体" w:eastAsia="新宋体" w:cs="新宋体"/>
                <w:color w:val="auto"/>
                <w:sz w:val="22"/>
                <w:szCs w:val="22"/>
                <w:highlight w:val="none"/>
              </w:rPr>
            </w:pPr>
          </w:p>
        </w:tc>
        <w:tc>
          <w:tcPr>
            <w:tcW w:w="3704" w:type="dxa"/>
            <w:noWrap w:val="0"/>
            <w:vAlign w:val="top"/>
          </w:tcPr>
          <w:p w14:paraId="2667D62D">
            <w:pPr>
              <w:spacing w:line="400" w:lineRule="exact"/>
              <w:rPr>
                <w:rFonts w:ascii="新宋体" w:hAnsi="新宋体" w:eastAsia="新宋体" w:cs="新宋体"/>
                <w:color w:val="auto"/>
                <w:sz w:val="22"/>
                <w:szCs w:val="22"/>
                <w:highlight w:val="none"/>
              </w:rPr>
            </w:pPr>
          </w:p>
        </w:tc>
        <w:tc>
          <w:tcPr>
            <w:tcW w:w="1568" w:type="dxa"/>
            <w:noWrap w:val="0"/>
            <w:vAlign w:val="top"/>
          </w:tcPr>
          <w:p w14:paraId="5DC407B2">
            <w:pPr>
              <w:spacing w:line="400" w:lineRule="exact"/>
              <w:rPr>
                <w:rFonts w:ascii="新宋体" w:hAnsi="新宋体" w:eastAsia="新宋体" w:cs="新宋体"/>
                <w:color w:val="auto"/>
                <w:sz w:val="22"/>
                <w:szCs w:val="22"/>
                <w:highlight w:val="none"/>
              </w:rPr>
            </w:pPr>
          </w:p>
        </w:tc>
      </w:tr>
    </w:tbl>
    <w:p w14:paraId="7B404EAD">
      <w:pPr>
        <w:spacing w:line="400" w:lineRule="exact"/>
        <w:ind w:firstLine="4620" w:firstLineChars="2100"/>
        <w:rPr>
          <w:rFonts w:ascii="新宋体" w:hAnsi="新宋体" w:eastAsia="新宋体" w:cs="新宋体"/>
          <w:color w:val="auto"/>
          <w:sz w:val="22"/>
          <w:szCs w:val="22"/>
          <w:highlight w:val="none"/>
        </w:rPr>
      </w:pPr>
    </w:p>
    <w:p w14:paraId="7DCD4EDB">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5164B773">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290FB52A">
      <w:pPr>
        <w:spacing w:line="360" w:lineRule="auto"/>
        <w:ind w:left="2520" w:leftChars="0" w:firstLine="420" w:firstLineChars="0"/>
        <w:rPr>
          <w:rFonts w:hint="eastAsia" w:ascii="宋体" w:hAnsi="宋体" w:eastAsia="宋体" w:cs="宋体"/>
          <w:b/>
          <w:bCs/>
          <w:color w:val="auto"/>
          <w:sz w:val="28"/>
          <w:szCs w:val="28"/>
          <w:highlight w:val="none"/>
          <w:lang w:val="en-US" w:eastAsia="zh-CN"/>
        </w:rPr>
      </w:pPr>
      <w:r>
        <w:rPr>
          <w:rFonts w:hint="eastAsia" w:ascii="宋体" w:hAnsi="宋体" w:eastAsia="宋体" w:cs="宋体"/>
          <w:b w:val="0"/>
          <w:bCs/>
          <w:color w:val="auto"/>
          <w:sz w:val="22"/>
          <w:szCs w:val="22"/>
          <w:highlight w:val="none"/>
        </w:rPr>
        <w:t>日    期：</w:t>
      </w:r>
      <w:r>
        <w:rPr>
          <w:rFonts w:hint="eastAsia" w:ascii="宋体" w:hAnsi="宋体" w:eastAsia="宋体" w:cs="宋体"/>
          <w:b/>
          <w:bCs/>
          <w:color w:val="auto"/>
          <w:sz w:val="28"/>
          <w:szCs w:val="28"/>
          <w:highlight w:val="none"/>
          <w:lang w:val="en-US" w:eastAsia="zh-CN"/>
        </w:rPr>
        <w:br w:type="page"/>
      </w:r>
    </w:p>
    <w:p w14:paraId="0FBCA4B0">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6</w:t>
      </w:r>
      <w:r>
        <w:rPr>
          <w:rFonts w:hint="eastAsia" w:ascii="宋体" w:hAnsi="宋体" w:eastAsia="宋体" w:cs="宋体"/>
          <w:b/>
          <w:bCs/>
          <w:color w:val="auto"/>
          <w:sz w:val="28"/>
          <w:szCs w:val="28"/>
          <w:highlight w:val="none"/>
          <w:lang w:val="en-US" w:eastAsia="zh-CN"/>
        </w:rPr>
        <w:t>、</w:t>
      </w:r>
      <w:bookmarkEnd w:id="33"/>
      <w:r>
        <w:rPr>
          <w:rFonts w:hint="eastAsia" w:ascii="宋体" w:hAnsi="宋体" w:eastAsia="宋体" w:cs="宋体"/>
          <w:b/>
          <w:bCs/>
          <w:color w:val="auto"/>
          <w:sz w:val="28"/>
          <w:szCs w:val="28"/>
          <w:highlight w:val="none"/>
          <w:lang w:val="en-US" w:eastAsia="zh-CN"/>
        </w:rPr>
        <w:t>投标产品的性能与需求的吻合程度</w:t>
      </w:r>
    </w:p>
    <w:p w14:paraId="4D70BCD7">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15F5471B">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eastAsia="宋体"/>
          <w:color w:val="auto"/>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7"/>
      </w:tblGrid>
      <w:tr w14:paraId="6F45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10157" w:type="dxa"/>
            <w:vAlign w:val="center"/>
          </w:tcPr>
          <w:p w14:paraId="612568DB">
            <w:pPr>
              <w:spacing w:line="360" w:lineRule="auto"/>
              <w:rPr>
                <w:rFonts w:hint="eastAsia" w:ascii="宋体" w:hAnsi="宋体" w:eastAsia="宋体" w:cs="宋体"/>
                <w:color w:val="auto"/>
                <w:sz w:val="22"/>
                <w:szCs w:val="22"/>
                <w:highlight w:val="none"/>
              </w:rPr>
            </w:pPr>
          </w:p>
        </w:tc>
      </w:tr>
    </w:tbl>
    <w:p w14:paraId="31438610">
      <w:pPr>
        <w:pStyle w:val="28"/>
        <w:spacing w:line="400" w:lineRule="atLeast"/>
        <w:rPr>
          <w:rFonts w:hint="eastAsia" w:ascii="宋体" w:hAnsi="宋体" w:eastAsia="宋体" w:cs="宋体"/>
          <w:color w:val="auto"/>
          <w:sz w:val="22"/>
          <w:szCs w:val="22"/>
          <w:highlight w:val="none"/>
        </w:rPr>
      </w:pPr>
    </w:p>
    <w:p w14:paraId="19082520">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4A871C45">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05895759">
      <w:pPr>
        <w:spacing w:line="360" w:lineRule="auto"/>
        <w:ind w:left="2520" w:leftChars="0" w:firstLine="420" w:firstLineChars="0"/>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日    期：</w:t>
      </w:r>
      <w:r>
        <w:rPr>
          <w:rFonts w:hint="eastAsia" w:ascii="宋体" w:hAnsi="宋体" w:eastAsia="宋体" w:cs="宋体"/>
          <w:color w:val="auto"/>
          <w:sz w:val="22"/>
          <w:szCs w:val="22"/>
          <w:highlight w:val="none"/>
        </w:rPr>
        <w:t>：</w:t>
      </w:r>
    </w:p>
    <w:p w14:paraId="6DE25F34">
      <w:pPr>
        <w:spacing w:line="460" w:lineRule="exact"/>
        <w:ind w:firstLine="5060" w:firstLineChars="2300"/>
        <w:rPr>
          <w:rFonts w:hint="eastAsia" w:ascii="宋体" w:hAnsi="宋体" w:eastAsia="宋体" w:cs="宋体"/>
          <w:color w:val="auto"/>
          <w:sz w:val="22"/>
          <w:szCs w:val="22"/>
          <w:highlight w:val="none"/>
        </w:rPr>
      </w:pPr>
    </w:p>
    <w:p w14:paraId="64A00E7F">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0BE083A5">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7</w:t>
      </w:r>
      <w:r>
        <w:rPr>
          <w:rFonts w:hint="eastAsia" w:ascii="宋体" w:hAnsi="宋体" w:eastAsia="宋体" w:cs="宋体"/>
          <w:b/>
          <w:bCs/>
          <w:color w:val="auto"/>
          <w:sz w:val="28"/>
          <w:szCs w:val="28"/>
          <w:highlight w:val="none"/>
          <w:lang w:val="en-US" w:eastAsia="zh-CN"/>
        </w:rPr>
        <w:t>、投标方案优势情况</w:t>
      </w:r>
    </w:p>
    <w:p w14:paraId="6CE84E6D">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44A456EE">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6C7A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vAlign w:val="center"/>
          </w:tcPr>
          <w:p w14:paraId="032DAA53">
            <w:pPr>
              <w:spacing w:line="360" w:lineRule="auto"/>
              <w:rPr>
                <w:rFonts w:hint="eastAsia" w:ascii="宋体" w:hAnsi="宋体" w:eastAsia="宋体" w:cs="宋体"/>
                <w:color w:val="auto"/>
                <w:sz w:val="22"/>
                <w:szCs w:val="22"/>
                <w:highlight w:val="none"/>
              </w:rPr>
            </w:pPr>
          </w:p>
        </w:tc>
      </w:tr>
    </w:tbl>
    <w:p w14:paraId="30D23C02">
      <w:pPr>
        <w:spacing w:line="400" w:lineRule="exact"/>
        <w:ind w:firstLine="4620" w:firstLineChars="2100"/>
        <w:rPr>
          <w:rFonts w:hint="eastAsia" w:ascii="宋体" w:hAnsi="宋体" w:eastAsia="宋体" w:cs="宋体"/>
          <w:color w:val="auto"/>
          <w:sz w:val="22"/>
          <w:szCs w:val="22"/>
          <w:highlight w:val="none"/>
        </w:rPr>
      </w:pPr>
    </w:p>
    <w:p w14:paraId="41FFFA65">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1E299B7D">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7686912D">
      <w:pPr>
        <w:spacing w:line="360" w:lineRule="auto"/>
        <w:ind w:left="2520" w:leftChars="0" w:firstLine="420" w:firstLineChars="0"/>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日    期：</w:t>
      </w:r>
    </w:p>
    <w:p w14:paraId="385F7D64">
      <w:pPr>
        <w:rPr>
          <w:rFonts w:hint="eastAsia" w:ascii="宋体" w:hAnsi="宋体" w:eastAsia="宋体" w:cs="宋体"/>
          <w:color w:val="auto"/>
          <w:highlight w:val="none"/>
        </w:rPr>
      </w:pPr>
    </w:p>
    <w:p w14:paraId="53D6789F">
      <w:pP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br w:type="page"/>
      </w:r>
    </w:p>
    <w:p w14:paraId="3EE0A873">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8</w:t>
      </w:r>
      <w:r>
        <w:rPr>
          <w:rFonts w:hint="eastAsia" w:ascii="宋体" w:hAnsi="宋体" w:eastAsia="宋体" w:cs="宋体"/>
          <w:b/>
          <w:bCs/>
          <w:color w:val="auto"/>
          <w:sz w:val="28"/>
          <w:szCs w:val="28"/>
          <w:highlight w:val="none"/>
          <w:lang w:val="en-US" w:eastAsia="zh-CN"/>
        </w:rPr>
        <w:t>、设备材料制作车间情况</w:t>
      </w:r>
    </w:p>
    <w:p w14:paraId="0E396601">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4471AE6D">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20CA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vAlign w:val="center"/>
          </w:tcPr>
          <w:p w14:paraId="1F6DA26B">
            <w:pPr>
              <w:spacing w:line="360" w:lineRule="auto"/>
              <w:rPr>
                <w:rFonts w:hint="eastAsia" w:ascii="宋体" w:hAnsi="宋体" w:eastAsia="宋体" w:cs="宋体"/>
                <w:color w:val="auto"/>
                <w:sz w:val="22"/>
                <w:szCs w:val="22"/>
                <w:highlight w:val="none"/>
              </w:rPr>
            </w:pPr>
          </w:p>
        </w:tc>
      </w:tr>
    </w:tbl>
    <w:p w14:paraId="0938E511">
      <w:pPr>
        <w:pStyle w:val="28"/>
        <w:spacing w:line="400" w:lineRule="atLeast"/>
        <w:rPr>
          <w:rFonts w:hint="eastAsia" w:ascii="宋体" w:hAnsi="宋体" w:eastAsia="宋体" w:cs="宋体"/>
          <w:color w:val="auto"/>
          <w:sz w:val="22"/>
          <w:highlight w:val="none"/>
        </w:rPr>
      </w:pPr>
    </w:p>
    <w:p w14:paraId="7CA35985">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1ECB738E">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4A2B0868">
      <w:pPr>
        <w:spacing w:line="360" w:lineRule="auto"/>
        <w:ind w:left="2520" w:leftChars="0" w:firstLine="420" w:firstLineChars="0"/>
        <w:rPr>
          <w:rFonts w:hint="eastAsia" w:ascii="宋体" w:hAnsi="宋体" w:eastAsia="宋体" w:cs="宋体"/>
          <w:b/>
          <w:bCs/>
          <w:color w:val="auto"/>
          <w:sz w:val="22"/>
          <w:szCs w:val="22"/>
          <w:highlight w:val="none"/>
        </w:rPr>
      </w:pPr>
      <w:r>
        <w:rPr>
          <w:rFonts w:hint="eastAsia" w:ascii="宋体" w:hAnsi="宋体" w:eastAsia="宋体" w:cs="宋体"/>
          <w:b w:val="0"/>
          <w:bCs/>
          <w:color w:val="auto"/>
          <w:sz w:val="22"/>
          <w:szCs w:val="22"/>
          <w:highlight w:val="none"/>
        </w:rPr>
        <w:t>日    期：</w:t>
      </w:r>
    </w:p>
    <w:p w14:paraId="2FCAF405">
      <w:pPr>
        <w:pStyle w:val="9"/>
        <w:rPr>
          <w:rFonts w:hint="eastAsia" w:ascii="宋体" w:hAnsi="宋体" w:eastAsia="宋体" w:cs="宋体"/>
          <w:bCs/>
          <w:color w:val="auto"/>
          <w:sz w:val="22"/>
          <w:szCs w:val="22"/>
          <w:highlight w:val="none"/>
        </w:rPr>
      </w:pPr>
    </w:p>
    <w:p w14:paraId="3CC6D1C5">
      <w:pP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br w:type="page"/>
      </w:r>
    </w:p>
    <w:p w14:paraId="469D0ECB">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9</w:t>
      </w:r>
      <w:r>
        <w:rPr>
          <w:rFonts w:hint="eastAsia" w:ascii="宋体" w:hAnsi="宋体" w:eastAsia="宋体" w:cs="宋体"/>
          <w:b/>
          <w:bCs/>
          <w:color w:val="auto"/>
          <w:sz w:val="28"/>
          <w:szCs w:val="28"/>
          <w:highlight w:val="none"/>
          <w:lang w:val="en-US" w:eastAsia="zh-CN"/>
        </w:rPr>
        <w:t>、设施巡查方案</w:t>
      </w:r>
    </w:p>
    <w:p w14:paraId="73AA75B7">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0C6B3DB5">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3C99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vAlign w:val="center"/>
          </w:tcPr>
          <w:p w14:paraId="624D4542">
            <w:pPr>
              <w:spacing w:line="360" w:lineRule="auto"/>
              <w:rPr>
                <w:rFonts w:hint="eastAsia" w:ascii="宋体" w:hAnsi="宋体" w:eastAsia="宋体" w:cs="宋体"/>
                <w:color w:val="auto"/>
                <w:sz w:val="22"/>
                <w:szCs w:val="22"/>
                <w:highlight w:val="none"/>
              </w:rPr>
            </w:pPr>
          </w:p>
        </w:tc>
      </w:tr>
    </w:tbl>
    <w:p w14:paraId="4EE8A9CC">
      <w:pPr>
        <w:spacing w:line="380" w:lineRule="exact"/>
        <w:rPr>
          <w:rFonts w:hint="eastAsia" w:ascii="宋体" w:hAnsi="宋体" w:eastAsia="宋体" w:cs="宋体"/>
          <w:color w:val="auto"/>
          <w:sz w:val="36"/>
          <w:szCs w:val="36"/>
          <w:highlight w:val="none"/>
        </w:rPr>
      </w:pPr>
    </w:p>
    <w:p w14:paraId="6AB3526B">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7DF5452D">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6DCE8F50">
      <w:pPr>
        <w:spacing w:line="360" w:lineRule="auto"/>
        <w:ind w:left="2520" w:leftChars="0" w:firstLine="420" w:firstLineChars="0"/>
        <w:rPr>
          <w:rFonts w:hint="eastAsia" w:ascii="宋体" w:hAnsi="宋体" w:eastAsia="宋体" w:cs="宋体"/>
          <w:b/>
          <w:color w:val="auto"/>
          <w:sz w:val="36"/>
          <w:szCs w:val="36"/>
          <w:highlight w:val="none"/>
        </w:rPr>
      </w:pPr>
      <w:r>
        <w:rPr>
          <w:rFonts w:hint="eastAsia" w:ascii="宋体" w:hAnsi="宋体" w:eastAsia="宋体" w:cs="宋体"/>
          <w:b w:val="0"/>
          <w:bCs/>
          <w:color w:val="auto"/>
          <w:sz w:val="22"/>
          <w:szCs w:val="22"/>
          <w:highlight w:val="none"/>
        </w:rPr>
        <w:t>日    期：</w:t>
      </w:r>
      <w:r>
        <w:rPr>
          <w:rFonts w:hint="eastAsia" w:ascii="宋体" w:hAnsi="宋体" w:eastAsia="宋体" w:cs="宋体"/>
          <w:color w:val="auto"/>
          <w:sz w:val="22"/>
          <w:szCs w:val="22"/>
          <w:highlight w:val="none"/>
        </w:rPr>
        <w:t xml:space="preserve">  </w:t>
      </w:r>
    </w:p>
    <w:p w14:paraId="7E7BBD4E">
      <w:pPr>
        <w:spacing w:line="380" w:lineRule="exact"/>
        <w:rPr>
          <w:rFonts w:hint="eastAsia" w:ascii="宋体" w:hAnsi="宋体" w:eastAsia="宋体" w:cs="宋体"/>
          <w:b/>
          <w:color w:val="auto"/>
          <w:sz w:val="36"/>
          <w:szCs w:val="36"/>
          <w:highlight w:val="none"/>
        </w:rPr>
      </w:pPr>
    </w:p>
    <w:p w14:paraId="17FD2439">
      <w:pPr>
        <w:spacing w:line="380" w:lineRule="exact"/>
        <w:rPr>
          <w:rFonts w:hint="eastAsia" w:ascii="宋体" w:hAnsi="宋体" w:eastAsia="宋体" w:cs="宋体"/>
          <w:b/>
          <w:color w:val="auto"/>
          <w:sz w:val="36"/>
          <w:szCs w:val="36"/>
          <w:highlight w:val="none"/>
        </w:rPr>
      </w:pPr>
    </w:p>
    <w:p w14:paraId="0AEACAAD">
      <w:pPr>
        <w:spacing w:line="380" w:lineRule="exact"/>
        <w:rPr>
          <w:rFonts w:hint="eastAsia" w:ascii="宋体" w:hAnsi="宋体" w:eastAsia="宋体" w:cs="宋体"/>
          <w:b/>
          <w:color w:val="auto"/>
          <w:sz w:val="36"/>
          <w:szCs w:val="36"/>
          <w:highlight w:val="none"/>
        </w:rPr>
      </w:pPr>
    </w:p>
    <w:p w14:paraId="13046604">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10</w:t>
      </w:r>
      <w:r>
        <w:rPr>
          <w:rFonts w:hint="eastAsia" w:ascii="宋体" w:hAnsi="宋体" w:eastAsia="宋体" w:cs="宋体"/>
          <w:b/>
          <w:bCs/>
          <w:color w:val="auto"/>
          <w:sz w:val="28"/>
          <w:szCs w:val="28"/>
          <w:highlight w:val="none"/>
          <w:lang w:val="en-US" w:eastAsia="zh-CN"/>
        </w:rPr>
        <w:t>、应急方案</w:t>
      </w:r>
    </w:p>
    <w:p w14:paraId="124530E5">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40BF3F4C">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37FA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78" w:hRule="atLeast"/>
          <w:jc w:val="center"/>
        </w:trPr>
        <w:tc>
          <w:tcPr>
            <w:tcW w:w="9801" w:type="dxa"/>
            <w:vAlign w:val="center"/>
          </w:tcPr>
          <w:p w14:paraId="56700196">
            <w:pPr>
              <w:spacing w:line="360" w:lineRule="auto"/>
              <w:rPr>
                <w:rFonts w:hint="eastAsia" w:ascii="宋体" w:hAnsi="宋体" w:eastAsia="宋体" w:cs="宋体"/>
                <w:color w:val="auto"/>
                <w:sz w:val="22"/>
                <w:szCs w:val="22"/>
                <w:highlight w:val="none"/>
              </w:rPr>
            </w:pPr>
          </w:p>
        </w:tc>
      </w:tr>
    </w:tbl>
    <w:p w14:paraId="2DF90872">
      <w:pPr>
        <w:spacing w:line="380" w:lineRule="exact"/>
        <w:rPr>
          <w:rFonts w:hint="eastAsia" w:ascii="宋体" w:hAnsi="宋体" w:eastAsia="宋体" w:cs="宋体"/>
          <w:color w:val="auto"/>
          <w:sz w:val="36"/>
          <w:szCs w:val="36"/>
          <w:highlight w:val="none"/>
        </w:rPr>
      </w:pPr>
    </w:p>
    <w:p w14:paraId="48375DD6">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73600A3E">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4B21D2E4">
      <w:pPr>
        <w:spacing w:line="360" w:lineRule="auto"/>
        <w:ind w:left="2520" w:leftChars="0" w:firstLine="420" w:firstLineChars="0"/>
        <w:rPr>
          <w:rFonts w:hint="eastAsia" w:ascii="宋体" w:hAnsi="宋体" w:eastAsia="宋体" w:cs="宋体"/>
          <w:b/>
          <w:color w:val="auto"/>
          <w:sz w:val="24"/>
          <w:highlight w:val="none"/>
        </w:rPr>
      </w:pPr>
      <w:r>
        <w:rPr>
          <w:rFonts w:hint="eastAsia" w:ascii="宋体" w:hAnsi="宋体" w:eastAsia="宋体" w:cs="宋体"/>
          <w:b w:val="0"/>
          <w:bCs/>
          <w:color w:val="auto"/>
          <w:sz w:val="22"/>
          <w:szCs w:val="22"/>
          <w:highlight w:val="none"/>
        </w:rPr>
        <w:t>日    期：</w:t>
      </w:r>
      <w:r>
        <w:rPr>
          <w:rFonts w:hint="eastAsia" w:ascii="宋体" w:hAnsi="宋体" w:eastAsia="宋体" w:cs="宋体"/>
          <w:b/>
          <w:color w:val="auto"/>
          <w:sz w:val="24"/>
          <w:highlight w:val="none"/>
        </w:rPr>
        <w:br w:type="page"/>
      </w:r>
    </w:p>
    <w:p w14:paraId="55682B21">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11</w:t>
      </w:r>
      <w:r>
        <w:rPr>
          <w:rFonts w:hint="eastAsia" w:ascii="宋体" w:hAnsi="宋体" w:eastAsia="宋体" w:cs="宋体"/>
          <w:b/>
          <w:bCs/>
          <w:color w:val="auto"/>
          <w:sz w:val="28"/>
          <w:szCs w:val="28"/>
          <w:highlight w:val="none"/>
          <w:lang w:val="en-US" w:eastAsia="zh-CN"/>
        </w:rPr>
        <w:t>、备品备件</w:t>
      </w:r>
    </w:p>
    <w:p w14:paraId="53114F1A">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color w:val="auto"/>
          <w:sz w:val="22"/>
          <w:szCs w:val="22"/>
          <w:highlight w:val="none"/>
        </w:rPr>
        <w:t xml:space="preserve">  </w:t>
      </w: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7B4BBCFC">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55FC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vAlign w:val="center"/>
          </w:tcPr>
          <w:p w14:paraId="504C60B7">
            <w:pPr>
              <w:spacing w:line="360" w:lineRule="auto"/>
              <w:rPr>
                <w:rFonts w:hint="eastAsia" w:ascii="宋体" w:hAnsi="宋体" w:eastAsia="宋体" w:cs="宋体"/>
                <w:color w:val="auto"/>
                <w:sz w:val="22"/>
                <w:szCs w:val="22"/>
                <w:highlight w:val="none"/>
              </w:rPr>
            </w:pPr>
          </w:p>
        </w:tc>
      </w:tr>
    </w:tbl>
    <w:p w14:paraId="4D3EE420">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2F3726A4">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79E5C0BD">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291CBB81">
      <w:pPr>
        <w:spacing w:line="360" w:lineRule="auto"/>
        <w:ind w:left="2520" w:leftChars="0" w:firstLine="420" w:firstLineChars="0"/>
        <w:rPr>
          <w:rFonts w:hint="eastAsia" w:ascii="宋体" w:hAnsi="宋体" w:eastAsia="宋体" w:cs="宋体"/>
          <w:color w:val="auto"/>
          <w:sz w:val="22"/>
          <w:highlight w:val="none"/>
        </w:rPr>
      </w:pPr>
      <w:r>
        <w:rPr>
          <w:rFonts w:hint="eastAsia" w:ascii="宋体" w:hAnsi="宋体" w:eastAsia="宋体" w:cs="宋体"/>
          <w:b w:val="0"/>
          <w:bCs/>
          <w:color w:val="auto"/>
          <w:sz w:val="22"/>
          <w:szCs w:val="22"/>
          <w:highlight w:val="none"/>
        </w:rPr>
        <w:t>日    期：</w:t>
      </w:r>
    </w:p>
    <w:p w14:paraId="01A3B52A">
      <w:pPr>
        <w:pStyle w:val="28"/>
        <w:spacing w:line="400" w:lineRule="atLeast"/>
        <w:ind w:left="663" w:hanging="663" w:hangingChars="300"/>
        <w:rPr>
          <w:rFonts w:hint="eastAsia" w:ascii="宋体" w:hAnsi="宋体" w:eastAsia="宋体" w:cs="宋体"/>
          <w:color w:val="auto"/>
          <w:sz w:val="22"/>
          <w:highlight w:val="none"/>
        </w:rPr>
      </w:pPr>
    </w:p>
    <w:p w14:paraId="01D7A557">
      <w:pPr>
        <w:pStyle w:val="28"/>
        <w:spacing w:line="400" w:lineRule="atLeast"/>
        <w:rPr>
          <w:rFonts w:hint="eastAsia" w:ascii="宋体" w:hAnsi="宋体" w:eastAsia="宋体" w:cs="宋体"/>
          <w:color w:val="auto"/>
          <w:sz w:val="22"/>
          <w:highlight w:val="none"/>
        </w:rPr>
      </w:pPr>
    </w:p>
    <w:p w14:paraId="74385E6F">
      <w:pP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br w:type="page"/>
      </w:r>
    </w:p>
    <w:p w14:paraId="4285CE8D">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w:t>
      </w:r>
      <w:r>
        <w:rPr>
          <w:rFonts w:hint="eastAsia" w:ascii="宋体" w:hAnsi="宋体" w:cs="宋体"/>
          <w:b/>
          <w:bCs/>
          <w:color w:val="auto"/>
          <w:sz w:val="28"/>
          <w:szCs w:val="28"/>
          <w:highlight w:val="none"/>
          <w:lang w:val="en-US" w:eastAsia="zh-CN"/>
        </w:rPr>
        <w:t>2</w:t>
      </w:r>
      <w:r>
        <w:rPr>
          <w:rFonts w:hint="eastAsia" w:ascii="宋体" w:hAnsi="宋体" w:eastAsia="宋体" w:cs="宋体"/>
          <w:b/>
          <w:bCs/>
          <w:color w:val="auto"/>
          <w:sz w:val="28"/>
          <w:szCs w:val="28"/>
          <w:highlight w:val="none"/>
          <w:lang w:val="en-US" w:eastAsia="zh-CN"/>
        </w:rPr>
        <w:t>、质量保证措施</w:t>
      </w:r>
    </w:p>
    <w:p w14:paraId="393D92A2">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6093559A">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507D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vAlign w:val="center"/>
          </w:tcPr>
          <w:p w14:paraId="7A3A3AB0">
            <w:pPr>
              <w:spacing w:line="360" w:lineRule="auto"/>
              <w:rPr>
                <w:rFonts w:hint="eastAsia" w:ascii="宋体" w:hAnsi="宋体" w:eastAsia="宋体" w:cs="宋体"/>
                <w:color w:val="auto"/>
                <w:sz w:val="22"/>
                <w:szCs w:val="22"/>
                <w:highlight w:val="none"/>
              </w:rPr>
            </w:pPr>
          </w:p>
        </w:tc>
      </w:tr>
    </w:tbl>
    <w:p w14:paraId="59211D86">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6A54BFC3">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72AE90B9">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4B8BA21C">
      <w:pPr>
        <w:spacing w:line="360" w:lineRule="auto"/>
        <w:ind w:left="2520" w:leftChars="0" w:firstLine="420" w:firstLineChars="0"/>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日    期：</w:t>
      </w:r>
    </w:p>
    <w:p w14:paraId="3D2F5302">
      <w:pPr>
        <w:spacing w:line="460" w:lineRule="exact"/>
        <w:ind w:firstLine="4400" w:firstLineChars="2000"/>
        <w:rPr>
          <w:rFonts w:hint="eastAsia" w:ascii="宋体" w:hAnsi="宋体" w:eastAsia="宋体" w:cs="宋体"/>
          <w:color w:val="auto"/>
          <w:sz w:val="22"/>
          <w:szCs w:val="22"/>
          <w:highlight w:val="none"/>
        </w:rPr>
      </w:pPr>
    </w:p>
    <w:p w14:paraId="0479F9A5">
      <w:pP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br w:type="page"/>
      </w:r>
    </w:p>
    <w:p w14:paraId="30E02B04">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w:t>
      </w:r>
      <w:r>
        <w:rPr>
          <w:rFonts w:hint="eastAsia" w:ascii="宋体" w:hAnsi="宋体" w:cs="宋体"/>
          <w:b/>
          <w:bCs/>
          <w:color w:val="auto"/>
          <w:sz w:val="28"/>
          <w:szCs w:val="28"/>
          <w:highlight w:val="none"/>
          <w:lang w:val="en-US" w:eastAsia="zh-CN"/>
        </w:rPr>
        <w:t>3</w:t>
      </w:r>
      <w:r>
        <w:rPr>
          <w:rFonts w:hint="eastAsia" w:ascii="宋体" w:hAnsi="宋体" w:eastAsia="宋体" w:cs="宋体"/>
          <w:b/>
          <w:bCs/>
          <w:color w:val="auto"/>
          <w:sz w:val="28"/>
          <w:szCs w:val="28"/>
          <w:highlight w:val="none"/>
          <w:lang w:val="en-US" w:eastAsia="zh-CN"/>
        </w:rPr>
        <w:t>、售后服务要求</w:t>
      </w:r>
    </w:p>
    <w:p w14:paraId="242AD56E">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4E50FB0B">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6D70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vAlign w:val="center"/>
          </w:tcPr>
          <w:p w14:paraId="4D71A366">
            <w:pPr>
              <w:spacing w:line="360" w:lineRule="auto"/>
              <w:rPr>
                <w:rFonts w:hint="eastAsia" w:ascii="宋体" w:hAnsi="宋体" w:eastAsia="宋体" w:cs="宋体"/>
                <w:color w:val="auto"/>
                <w:sz w:val="22"/>
                <w:szCs w:val="22"/>
                <w:highlight w:val="none"/>
              </w:rPr>
            </w:pPr>
          </w:p>
        </w:tc>
      </w:tr>
    </w:tbl>
    <w:p w14:paraId="4DBA04BF">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12986D34">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08652486">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3DA9DA1E">
      <w:pPr>
        <w:spacing w:line="360" w:lineRule="auto"/>
        <w:ind w:left="2520" w:leftChars="0" w:firstLine="420" w:firstLineChars="0"/>
        <w:rPr>
          <w:rFonts w:hint="eastAsia" w:ascii="宋体" w:hAnsi="宋体" w:eastAsia="宋体" w:cs="宋体"/>
          <w:color w:val="auto"/>
          <w:highlight w:val="none"/>
        </w:rPr>
      </w:pPr>
      <w:r>
        <w:rPr>
          <w:rFonts w:hint="eastAsia" w:ascii="宋体" w:hAnsi="宋体" w:eastAsia="宋体" w:cs="宋体"/>
          <w:b w:val="0"/>
          <w:bCs/>
          <w:color w:val="auto"/>
          <w:sz w:val="22"/>
          <w:szCs w:val="22"/>
          <w:highlight w:val="none"/>
        </w:rPr>
        <w:t>日    期：</w:t>
      </w:r>
    </w:p>
    <w:p w14:paraId="797940F3">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70860265">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w:t>
      </w:r>
      <w:r>
        <w:rPr>
          <w:rFonts w:hint="eastAsia" w:ascii="宋体" w:hAnsi="宋体" w:cs="宋体"/>
          <w:b/>
          <w:bCs/>
          <w:color w:val="auto"/>
          <w:sz w:val="28"/>
          <w:szCs w:val="28"/>
          <w:highlight w:val="none"/>
          <w:lang w:val="en-US" w:eastAsia="zh-CN"/>
        </w:rPr>
        <w:t>4</w:t>
      </w:r>
      <w:r>
        <w:rPr>
          <w:rFonts w:hint="eastAsia" w:ascii="宋体" w:hAnsi="宋体" w:eastAsia="宋体" w:cs="宋体"/>
          <w:b/>
          <w:bCs/>
          <w:color w:val="auto"/>
          <w:sz w:val="28"/>
          <w:szCs w:val="28"/>
          <w:highlight w:val="none"/>
          <w:lang w:val="en-US" w:eastAsia="zh-CN"/>
        </w:rPr>
        <w:t>、人员情况</w:t>
      </w:r>
    </w:p>
    <w:p w14:paraId="6C81BE71">
      <w:pPr>
        <w:spacing w:line="460" w:lineRule="exact"/>
        <w:jc w:val="center"/>
        <w:outlineLvl w:val="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（1）项目负责人情况表</w:t>
      </w:r>
    </w:p>
    <w:p w14:paraId="77A1021C">
      <w:pPr>
        <w:spacing w:line="360" w:lineRule="auto"/>
        <w:jc w:val="left"/>
        <w:rPr>
          <w:rFonts w:hint="eastAsia" w:ascii="宋体" w:hAnsi="宋体" w:eastAsia="宋体" w:cs="宋体"/>
          <w:bCs/>
          <w:color w:val="auto"/>
          <w:sz w:val="22"/>
          <w:szCs w:val="22"/>
          <w:highlight w:val="none"/>
          <w:lang w:eastAsia="zh-CN"/>
        </w:rPr>
      </w:pPr>
      <w:r>
        <w:rPr>
          <w:rFonts w:hint="eastAsia" w:ascii="宋体" w:hAnsi="宋体" w:eastAsia="宋体" w:cs="宋体"/>
          <w:bCs/>
          <w:color w:val="auto"/>
          <w:sz w:val="22"/>
          <w:szCs w:val="22"/>
          <w:highlight w:val="none"/>
        </w:rPr>
        <w:t>项 目 编 号：</w:t>
      </w:r>
      <w:r>
        <w:rPr>
          <w:rFonts w:hint="eastAsia" w:ascii="宋体" w:hAnsi="宋体" w:cs="宋体"/>
          <w:bCs/>
          <w:color w:val="auto"/>
          <w:sz w:val="22"/>
          <w:szCs w:val="22"/>
          <w:highlight w:val="none"/>
          <w:lang w:eastAsia="zh-CN"/>
        </w:rPr>
        <w:t>WZLCZB（Z）-2025-01034</w:t>
      </w:r>
    </w:p>
    <w:p w14:paraId="70AF1F14">
      <w:pPr>
        <w:spacing w:line="360" w:lineRule="auto"/>
        <w:rPr>
          <w:rFonts w:hint="eastAsia" w:ascii="宋体" w:hAnsi="宋体" w:eastAsia="宋体" w:cs="宋体"/>
          <w:b/>
          <w:bCs/>
          <w:color w:val="auto"/>
          <w:sz w:val="32"/>
          <w:highlight w:val="none"/>
        </w:rPr>
      </w:pPr>
      <w:r>
        <w:rPr>
          <w:rFonts w:hint="eastAsia" w:ascii="宋体" w:hAnsi="宋体" w:eastAsia="宋体" w:cs="宋体"/>
          <w:bCs/>
          <w:color w:val="auto"/>
          <w:sz w:val="22"/>
          <w:szCs w:val="22"/>
          <w:highlight w:val="none"/>
        </w:rPr>
        <w:t>项 目 名 称：</w:t>
      </w:r>
      <w:r>
        <w:rPr>
          <w:rFonts w:hint="eastAsia" w:ascii="宋体" w:hAnsi="宋体" w:cs="宋体"/>
          <w:bCs/>
          <w:color w:val="auto"/>
          <w:sz w:val="22"/>
          <w:szCs w:val="22"/>
          <w:highlight w:val="none"/>
          <w:lang w:eastAsia="zh-CN"/>
        </w:rPr>
        <w:t>2024-2025年市区道路交通安全设施维护项目(第一期)</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color w:val="auto"/>
          <w:highlight w:val="none"/>
        </w:rPr>
        <w:t xml:space="preserve">    </w:t>
      </w:r>
    </w:p>
    <w:tbl>
      <w:tblPr>
        <w:tblStyle w:val="52"/>
        <w:tblW w:w="0" w:type="auto"/>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1833"/>
        <w:gridCol w:w="5880"/>
      </w:tblGrid>
      <w:tr w14:paraId="27F5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027" w:type="dxa"/>
            <w:noWrap w:val="0"/>
            <w:vAlign w:val="center"/>
          </w:tcPr>
          <w:p w14:paraId="5DDFB306">
            <w:pPr>
              <w:pStyle w:val="200"/>
              <w:autoSpaceDE w:val="0"/>
              <w:autoSpaceDN w:val="0"/>
              <w:adjustRightInd w:val="0"/>
              <w:spacing w:line="24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姓名</w:t>
            </w:r>
          </w:p>
        </w:tc>
        <w:tc>
          <w:tcPr>
            <w:tcW w:w="1833" w:type="dxa"/>
            <w:noWrap w:val="0"/>
            <w:vAlign w:val="center"/>
          </w:tcPr>
          <w:p w14:paraId="7DBA8565">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noWrap w:val="0"/>
            <w:vAlign w:val="center"/>
          </w:tcPr>
          <w:p w14:paraId="798D9951">
            <w:pPr>
              <w:pStyle w:val="200"/>
              <w:autoSpaceDE w:val="0"/>
              <w:autoSpaceDN w:val="0"/>
              <w:adjustRightInd w:val="0"/>
              <w:spacing w:line="360" w:lineRule="auto"/>
              <w:rPr>
                <w:rFonts w:hint="eastAsia" w:ascii="宋体" w:hAnsi="宋体" w:eastAsia="宋体" w:cs="宋体"/>
                <w:color w:val="auto"/>
                <w:sz w:val="22"/>
                <w:szCs w:val="22"/>
                <w:highlight w:val="none"/>
                <w:lang w:val="zh-CN"/>
              </w:rPr>
            </w:pPr>
            <w:r>
              <w:rPr>
                <w:rFonts w:hint="eastAsia" w:ascii="宋体" w:hAnsi="宋体" w:eastAsia="宋体" w:cs="宋体"/>
                <w:color w:val="auto"/>
                <w:kern w:val="0"/>
                <w:sz w:val="22"/>
                <w:szCs w:val="22"/>
                <w:highlight w:val="none"/>
              </w:rPr>
              <w:t>自</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年</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月</w:t>
            </w:r>
            <w:r>
              <w:rPr>
                <w:rFonts w:hint="eastAsia" w:ascii="宋体" w:hAnsi="宋体" w:eastAsia="宋体" w:cs="宋体"/>
                <w:color w:val="auto"/>
                <w:kern w:val="0"/>
                <w:sz w:val="22"/>
                <w:szCs w:val="22"/>
                <w:highlight w:val="none"/>
                <w:u w:val="single"/>
              </w:rPr>
              <w:t xml:space="preserve">     </w:t>
            </w:r>
            <w:r>
              <w:rPr>
                <w:rFonts w:hint="eastAsia" w:ascii="宋体" w:hAnsi="宋体" w:eastAsia="宋体" w:cs="宋体"/>
                <w:color w:val="auto"/>
                <w:kern w:val="0"/>
                <w:sz w:val="22"/>
                <w:szCs w:val="22"/>
                <w:highlight w:val="none"/>
              </w:rPr>
              <w:t>日以来负责的相关项目经验</w:t>
            </w:r>
          </w:p>
        </w:tc>
      </w:tr>
      <w:tr w14:paraId="3327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trPr>
        <w:tc>
          <w:tcPr>
            <w:tcW w:w="2027" w:type="dxa"/>
            <w:noWrap w:val="0"/>
            <w:vAlign w:val="center"/>
          </w:tcPr>
          <w:p w14:paraId="4A65AA10">
            <w:pPr>
              <w:pStyle w:val="200"/>
              <w:autoSpaceDE w:val="0"/>
              <w:autoSpaceDN w:val="0"/>
              <w:adjustRightInd w:val="0"/>
              <w:spacing w:line="24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1寸免冠照片</w:t>
            </w:r>
          </w:p>
        </w:tc>
        <w:tc>
          <w:tcPr>
            <w:tcW w:w="1833" w:type="dxa"/>
            <w:noWrap w:val="0"/>
            <w:vAlign w:val="center"/>
          </w:tcPr>
          <w:p w14:paraId="653D7305">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vMerge w:val="restart"/>
            <w:noWrap w:val="0"/>
            <w:vAlign w:val="center"/>
          </w:tcPr>
          <w:p w14:paraId="2BC720F2">
            <w:pPr>
              <w:pStyle w:val="267"/>
              <w:widowControl w:val="0"/>
              <w:autoSpaceDE w:val="0"/>
              <w:autoSpaceDN w:val="0"/>
              <w:adjustRightInd w:val="0"/>
              <w:spacing w:before="0" w:beforeAutospacing="0" w:after="0" w:afterAutospacing="0" w:line="360" w:lineRule="auto"/>
              <w:textAlignment w:val="auto"/>
              <w:rPr>
                <w:rFonts w:hint="eastAsia" w:ascii="宋体" w:hAnsi="宋体" w:eastAsia="宋体" w:cs="宋体"/>
                <w:color w:val="auto"/>
                <w:kern w:val="0"/>
                <w:sz w:val="22"/>
                <w:szCs w:val="22"/>
                <w:highlight w:val="none"/>
              </w:rPr>
            </w:pPr>
            <w:r>
              <w:rPr>
                <w:rFonts w:hint="eastAsia" w:ascii="宋体" w:hAnsi="宋体" w:eastAsia="宋体" w:cs="宋体"/>
                <w:color w:val="auto"/>
                <w:kern w:val="2"/>
                <w:sz w:val="22"/>
                <w:szCs w:val="22"/>
                <w:highlight w:val="none"/>
              </w:rPr>
              <w:t>注：相关项目经验应提供旁证材料</w:t>
            </w:r>
          </w:p>
        </w:tc>
      </w:tr>
      <w:tr w14:paraId="6C97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027" w:type="dxa"/>
            <w:noWrap w:val="0"/>
            <w:vAlign w:val="center"/>
          </w:tcPr>
          <w:p w14:paraId="55B6858A">
            <w:pPr>
              <w:autoSpaceDE w:val="0"/>
              <w:autoSpaceDN w:val="0"/>
              <w:adjustRightInd w:val="0"/>
              <w:jc w:val="center"/>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性别</w:t>
            </w:r>
          </w:p>
        </w:tc>
        <w:tc>
          <w:tcPr>
            <w:tcW w:w="1833" w:type="dxa"/>
            <w:noWrap w:val="0"/>
            <w:vAlign w:val="center"/>
          </w:tcPr>
          <w:p w14:paraId="1DC1D511">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vMerge w:val="continue"/>
            <w:noWrap w:val="0"/>
            <w:vAlign w:val="center"/>
          </w:tcPr>
          <w:p w14:paraId="5F1509ED">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r>
      <w:tr w14:paraId="5AE0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027" w:type="dxa"/>
            <w:noWrap w:val="0"/>
            <w:vAlign w:val="center"/>
          </w:tcPr>
          <w:p w14:paraId="4DCA28D1">
            <w:pPr>
              <w:autoSpaceDE w:val="0"/>
              <w:autoSpaceDN w:val="0"/>
              <w:adjustRightInd w:val="0"/>
              <w:jc w:val="center"/>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年龄</w:t>
            </w:r>
          </w:p>
        </w:tc>
        <w:tc>
          <w:tcPr>
            <w:tcW w:w="1833" w:type="dxa"/>
            <w:noWrap w:val="0"/>
            <w:vAlign w:val="center"/>
          </w:tcPr>
          <w:p w14:paraId="1FB60708">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vMerge w:val="continue"/>
            <w:noWrap w:val="0"/>
            <w:vAlign w:val="center"/>
          </w:tcPr>
          <w:p w14:paraId="2E87519E">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r>
      <w:tr w14:paraId="3277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trPr>
        <w:tc>
          <w:tcPr>
            <w:tcW w:w="2027" w:type="dxa"/>
            <w:noWrap w:val="0"/>
            <w:vAlign w:val="center"/>
          </w:tcPr>
          <w:p w14:paraId="0524D769">
            <w:pPr>
              <w:autoSpaceDE w:val="0"/>
              <w:autoSpaceDN w:val="0"/>
              <w:adjustRightInd w:val="0"/>
              <w:jc w:val="center"/>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职称</w:t>
            </w:r>
          </w:p>
        </w:tc>
        <w:tc>
          <w:tcPr>
            <w:tcW w:w="1833" w:type="dxa"/>
            <w:noWrap w:val="0"/>
            <w:vAlign w:val="center"/>
          </w:tcPr>
          <w:p w14:paraId="0B39A6CC">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vMerge w:val="continue"/>
            <w:noWrap w:val="0"/>
            <w:vAlign w:val="center"/>
          </w:tcPr>
          <w:p w14:paraId="024EDA3C">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r>
      <w:tr w14:paraId="4D35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2027" w:type="dxa"/>
            <w:noWrap w:val="0"/>
            <w:vAlign w:val="center"/>
          </w:tcPr>
          <w:p w14:paraId="7BECB776">
            <w:pPr>
              <w:autoSpaceDE w:val="0"/>
              <w:autoSpaceDN w:val="0"/>
              <w:adjustRightInd w:val="0"/>
              <w:jc w:val="center"/>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毕业院校系及专业</w:t>
            </w:r>
          </w:p>
        </w:tc>
        <w:tc>
          <w:tcPr>
            <w:tcW w:w="1833" w:type="dxa"/>
            <w:noWrap w:val="0"/>
            <w:vAlign w:val="center"/>
          </w:tcPr>
          <w:p w14:paraId="15E2A794">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vMerge w:val="continue"/>
            <w:noWrap w:val="0"/>
            <w:vAlign w:val="center"/>
          </w:tcPr>
          <w:p w14:paraId="7C6DF100">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r>
      <w:tr w14:paraId="5F45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2027" w:type="dxa"/>
            <w:noWrap w:val="0"/>
            <w:vAlign w:val="center"/>
          </w:tcPr>
          <w:p w14:paraId="2DCE6FDE">
            <w:pPr>
              <w:autoSpaceDE w:val="0"/>
              <w:autoSpaceDN w:val="0"/>
              <w:adjustRightInd w:val="0"/>
              <w:jc w:val="center"/>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毕业时间</w:t>
            </w:r>
          </w:p>
        </w:tc>
        <w:tc>
          <w:tcPr>
            <w:tcW w:w="1833" w:type="dxa"/>
            <w:noWrap w:val="0"/>
            <w:vAlign w:val="center"/>
          </w:tcPr>
          <w:p w14:paraId="07BD12F7">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vMerge w:val="continue"/>
            <w:noWrap w:val="0"/>
            <w:vAlign w:val="center"/>
          </w:tcPr>
          <w:p w14:paraId="22E8C120">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r>
      <w:tr w14:paraId="6F53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2027" w:type="dxa"/>
            <w:noWrap w:val="0"/>
            <w:vAlign w:val="center"/>
          </w:tcPr>
          <w:p w14:paraId="19423B4C">
            <w:pPr>
              <w:autoSpaceDE w:val="0"/>
              <w:autoSpaceDN w:val="0"/>
              <w:adjustRightInd w:val="0"/>
              <w:jc w:val="center"/>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最高学历</w:t>
            </w:r>
          </w:p>
        </w:tc>
        <w:tc>
          <w:tcPr>
            <w:tcW w:w="1833" w:type="dxa"/>
            <w:noWrap w:val="0"/>
            <w:vAlign w:val="center"/>
          </w:tcPr>
          <w:p w14:paraId="621F5D90">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vMerge w:val="continue"/>
            <w:noWrap w:val="0"/>
            <w:vAlign w:val="center"/>
          </w:tcPr>
          <w:p w14:paraId="091C0E02">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r>
      <w:tr w14:paraId="5E5A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2027" w:type="dxa"/>
            <w:noWrap w:val="0"/>
            <w:vAlign w:val="center"/>
          </w:tcPr>
          <w:p w14:paraId="25F4C6C2">
            <w:pPr>
              <w:autoSpaceDE w:val="0"/>
              <w:autoSpaceDN w:val="0"/>
              <w:adjustRightInd w:val="0"/>
              <w:jc w:val="center"/>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联系电话</w:t>
            </w:r>
          </w:p>
        </w:tc>
        <w:tc>
          <w:tcPr>
            <w:tcW w:w="1833" w:type="dxa"/>
            <w:noWrap w:val="0"/>
            <w:vAlign w:val="center"/>
          </w:tcPr>
          <w:p w14:paraId="7C2C5539">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vMerge w:val="continue"/>
            <w:noWrap w:val="0"/>
            <w:vAlign w:val="center"/>
          </w:tcPr>
          <w:p w14:paraId="6C88AB29">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r>
      <w:tr w14:paraId="41A5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2027" w:type="dxa"/>
            <w:noWrap w:val="0"/>
            <w:vAlign w:val="center"/>
          </w:tcPr>
          <w:p w14:paraId="1ED13EE0">
            <w:pPr>
              <w:autoSpaceDE w:val="0"/>
              <w:autoSpaceDN w:val="0"/>
              <w:adjustRightInd w:val="0"/>
              <w:jc w:val="center"/>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rPr>
              <w:t>最近一年工作单位</w:t>
            </w:r>
          </w:p>
        </w:tc>
        <w:tc>
          <w:tcPr>
            <w:tcW w:w="1833" w:type="dxa"/>
            <w:noWrap w:val="0"/>
            <w:vAlign w:val="center"/>
          </w:tcPr>
          <w:p w14:paraId="7833A8A4">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c>
          <w:tcPr>
            <w:tcW w:w="5880" w:type="dxa"/>
            <w:vMerge w:val="continue"/>
            <w:noWrap w:val="0"/>
            <w:vAlign w:val="center"/>
          </w:tcPr>
          <w:p w14:paraId="65DFD957">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r>
      <w:tr w14:paraId="6CE7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027" w:type="dxa"/>
            <w:noWrap w:val="0"/>
            <w:vAlign w:val="center"/>
          </w:tcPr>
          <w:p w14:paraId="6244CCB2">
            <w:pPr>
              <w:autoSpaceDE w:val="0"/>
              <w:autoSpaceDN w:val="0"/>
              <w:adjustRightInd w:val="0"/>
              <w:jc w:val="center"/>
              <w:rPr>
                <w:rFonts w:hint="eastAsia" w:ascii="宋体" w:hAnsi="宋体" w:eastAsia="宋体" w:cs="宋体"/>
                <w:b/>
                <w:bCs/>
                <w:color w:val="auto"/>
                <w:sz w:val="22"/>
                <w:szCs w:val="22"/>
                <w:highlight w:val="none"/>
                <w:lang w:val="zh-CN"/>
              </w:rPr>
            </w:pPr>
            <w:r>
              <w:rPr>
                <w:rFonts w:hint="eastAsia" w:ascii="宋体" w:hAnsi="宋体" w:eastAsia="宋体" w:cs="宋体"/>
                <w:b/>
                <w:bCs/>
                <w:color w:val="auto"/>
                <w:sz w:val="22"/>
                <w:szCs w:val="22"/>
                <w:highlight w:val="none"/>
                <w:lang w:val="zh-CN"/>
              </w:rPr>
              <w:t>拟在本项目中担任主要工作</w:t>
            </w:r>
          </w:p>
        </w:tc>
        <w:tc>
          <w:tcPr>
            <w:tcW w:w="7713" w:type="dxa"/>
            <w:gridSpan w:val="2"/>
            <w:noWrap w:val="0"/>
            <w:vAlign w:val="center"/>
          </w:tcPr>
          <w:p w14:paraId="3C15BF61">
            <w:pPr>
              <w:autoSpaceDE w:val="0"/>
              <w:autoSpaceDN w:val="0"/>
              <w:adjustRightInd w:val="0"/>
              <w:spacing w:line="360" w:lineRule="auto"/>
              <w:jc w:val="center"/>
              <w:rPr>
                <w:rFonts w:hint="eastAsia" w:ascii="宋体" w:hAnsi="宋体" w:eastAsia="宋体" w:cs="宋体"/>
                <w:color w:val="auto"/>
                <w:sz w:val="22"/>
                <w:szCs w:val="22"/>
                <w:highlight w:val="none"/>
                <w:lang w:val="zh-CN"/>
              </w:rPr>
            </w:pPr>
          </w:p>
        </w:tc>
      </w:tr>
    </w:tbl>
    <w:p w14:paraId="5D2A70D4">
      <w:pPr>
        <w:spacing w:line="460" w:lineRule="exact"/>
        <w:rPr>
          <w:rFonts w:hint="eastAsia" w:ascii="宋体" w:hAnsi="宋体" w:eastAsia="宋体" w:cs="宋体"/>
          <w:color w:val="auto"/>
          <w:sz w:val="22"/>
          <w:szCs w:val="22"/>
          <w:highlight w:val="none"/>
        </w:rPr>
      </w:pPr>
    </w:p>
    <w:p w14:paraId="58B7AE73">
      <w:pPr>
        <w:spacing w:line="460" w:lineRule="exac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 xml:space="preserve">                                       </w:t>
      </w:r>
    </w:p>
    <w:p w14:paraId="0580EE60">
      <w:pP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br w:type="page"/>
      </w:r>
    </w:p>
    <w:p w14:paraId="0911A1CA">
      <w:pPr>
        <w:spacing w:line="460" w:lineRule="exact"/>
        <w:jc w:val="center"/>
        <w:outlineLvl w:val="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（2）项目服务人员汇总表</w:t>
      </w:r>
    </w:p>
    <w:p w14:paraId="1D85D030">
      <w:pPr>
        <w:spacing w:line="360" w:lineRule="auto"/>
        <w:rPr>
          <w:rFonts w:hint="eastAsia" w:ascii="宋体" w:hAnsi="宋体" w:eastAsia="宋体" w:cs="宋体"/>
          <w:bCs/>
          <w:color w:val="auto"/>
          <w:highlight w:val="none"/>
        </w:rPr>
      </w:pPr>
      <w:r>
        <w:rPr>
          <w:rFonts w:hint="eastAsia" w:ascii="宋体" w:hAnsi="宋体" w:eastAsia="宋体" w:cs="宋体"/>
          <w:color w:val="auto"/>
          <w:highlight w:val="none"/>
        </w:rPr>
        <w:t xml:space="preserve">                                           </w:t>
      </w:r>
    </w:p>
    <w:tbl>
      <w:tblPr>
        <w:tblStyle w:val="52"/>
        <w:tblW w:w="0" w:type="auto"/>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2351"/>
        <w:gridCol w:w="720"/>
        <w:gridCol w:w="720"/>
        <w:gridCol w:w="720"/>
        <w:gridCol w:w="1080"/>
        <w:gridCol w:w="1458"/>
        <w:gridCol w:w="1422"/>
      </w:tblGrid>
      <w:tr w14:paraId="7555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5BADD682">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姓名</w:t>
            </w:r>
          </w:p>
        </w:tc>
        <w:tc>
          <w:tcPr>
            <w:tcW w:w="2351" w:type="dxa"/>
            <w:noWrap w:val="0"/>
            <w:vAlign w:val="center"/>
          </w:tcPr>
          <w:p w14:paraId="41631E1B">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本项目主要工作</w:t>
            </w:r>
          </w:p>
        </w:tc>
        <w:tc>
          <w:tcPr>
            <w:tcW w:w="720" w:type="dxa"/>
            <w:noWrap w:val="0"/>
            <w:vAlign w:val="center"/>
          </w:tcPr>
          <w:p w14:paraId="3BF83C5F">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年龄</w:t>
            </w:r>
          </w:p>
        </w:tc>
        <w:tc>
          <w:tcPr>
            <w:tcW w:w="720" w:type="dxa"/>
            <w:noWrap w:val="0"/>
            <w:vAlign w:val="center"/>
          </w:tcPr>
          <w:p w14:paraId="192A46E9">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性别</w:t>
            </w:r>
          </w:p>
        </w:tc>
        <w:tc>
          <w:tcPr>
            <w:tcW w:w="720" w:type="dxa"/>
            <w:noWrap w:val="0"/>
            <w:vAlign w:val="center"/>
          </w:tcPr>
          <w:p w14:paraId="34D557A6">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专业</w:t>
            </w:r>
          </w:p>
        </w:tc>
        <w:tc>
          <w:tcPr>
            <w:tcW w:w="1080" w:type="dxa"/>
            <w:noWrap w:val="0"/>
            <w:vAlign w:val="center"/>
          </w:tcPr>
          <w:p w14:paraId="464B7A09">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专业</w:t>
            </w:r>
          </w:p>
          <w:p w14:paraId="6548C33D">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年限</w:t>
            </w:r>
          </w:p>
        </w:tc>
        <w:tc>
          <w:tcPr>
            <w:tcW w:w="1458" w:type="dxa"/>
            <w:noWrap w:val="0"/>
            <w:vAlign w:val="center"/>
          </w:tcPr>
          <w:p w14:paraId="10AA7388">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职务</w:t>
            </w:r>
          </w:p>
          <w:p w14:paraId="06D9C240">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和职称/认证</w:t>
            </w:r>
          </w:p>
        </w:tc>
        <w:tc>
          <w:tcPr>
            <w:tcW w:w="1422" w:type="dxa"/>
            <w:noWrap w:val="0"/>
            <w:vAlign w:val="center"/>
          </w:tcPr>
          <w:p w14:paraId="658F20EF">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到现场服务</w:t>
            </w:r>
          </w:p>
          <w:p w14:paraId="1A8A19F4">
            <w:pPr>
              <w:jc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起止时间</w:t>
            </w:r>
          </w:p>
        </w:tc>
      </w:tr>
      <w:tr w14:paraId="3EBF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69DE8F92">
            <w:pPr>
              <w:spacing w:line="360" w:lineRule="auto"/>
              <w:rPr>
                <w:rFonts w:hint="eastAsia" w:ascii="宋体" w:hAnsi="宋体" w:eastAsia="宋体" w:cs="宋体"/>
                <w:b w:val="0"/>
                <w:bCs w:val="0"/>
                <w:color w:val="auto"/>
                <w:sz w:val="22"/>
                <w:szCs w:val="22"/>
                <w:highlight w:val="none"/>
              </w:rPr>
            </w:pPr>
          </w:p>
        </w:tc>
        <w:tc>
          <w:tcPr>
            <w:tcW w:w="2351" w:type="dxa"/>
            <w:noWrap w:val="0"/>
            <w:vAlign w:val="center"/>
          </w:tcPr>
          <w:p w14:paraId="21A85DB5">
            <w:pPr>
              <w:spacing w:line="360" w:lineRule="auto"/>
              <w:rPr>
                <w:rFonts w:hint="eastAsia" w:ascii="宋体" w:hAnsi="宋体" w:eastAsia="宋体" w:cs="宋体"/>
                <w:b w:val="0"/>
                <w:bCs w:val="0"/>
                <w:color w:val="auto"/>
                <w:sz w:val="22"/>
                <w:szCs w:val="22"/>
                <w:highlight w:val="none"/>
              </w:rPr>
            </w:pPr>
          </w:p>
        </w:tc>
        <w:tc>
          <w:tcPr>
            <w:tcW w:w="720" w:type="dxa"/>
            <w:noWrap w:val="0"/>
            <w:vAlign w:val="center"/>
          </w:tcPr>
          <w:p w14:paraId="38DED92C">
            <w:pPr>
              <w:spacing w:line="360" w:lineRule="auto"/>
              <w:rPr>
                <w:rFonts w:hint="eastAsia" w:ascii="宋体" w:hAnsi="宋体" w:eastAsia="宋体" w:cs="宋体"/>
                <w:b w:val="0"/>
                <w:bCs w:val="0"/>
                <w:color w:val="auto"/>
                <w:sz w:val="22"/>
                <w:szCs w:val="22"/>
                <w:highlight w:val="none"/>
              </w:rPr>
            </w:pPr>
          </w:p>
        </w:tc>
        <w:tc>
          <w:tcPr>
            <w:tcW w:w="720" w:type="dxa"/>
            <w:noWrap w:val="0"/>
            <w:vAlign w:val="center"/>
          </w:tcPr>
          <w:p w14:paraId="73CE2362">
            <w:pPr>
              <w:spacing w:line="360" w:lineRule="auto"/>
              <w:rPr>
                <w:rFonts w:hint="eastAsia" w:ascii="宋体" w:hAnsi="宋体" w:eastAsia="宋体" w:cs="宋体"/>
                <w:b w:val="0"/>
                <w:bCs w:val="0"/>
                <w:color w:val="auto"/>
                <w:sz w:val="22"/>
                <w:szCs w:val="22"/>
                <w:highlight w:val="none"/>
              </w:rPr>
            </w:pPr>
          </w:p>
        </w:tc>
        <w:tc>
          <w:tcPr>
            <w:tcW w:w="720" w:type="dxa"/>
            <w:noWrap w:val="0"/>
            <w:vAlign w:val="center"/>
          </w:tcPr>
          <w:p w14:paraId="142C9B8F">
            <w:pPr>
              <w:spacing w:line="360" w:lineRule="auto"/>
              <w:rPr>
                <w:rFonts w:hint="eastAsia" w:ascii="宋体" w:hAnsi="宋体" w:eastAsia="宋体" w:cs="宋体"/>
                <w:b w:val="0"/>
                <w:bCs w:val="0"/>
                <w:color w:val="auto"/>
                <w:sz w:val="22"/>
                <w:szCs w:val="22"/>
                <w:highlight w:val="none"/>
              </w:rPr>
            </w:pPr>
          </w:p>
        </w:tc>
        <w:tc>
          <w:tcPr>
            <w:tcW w:w="1080" w:type="dxa"/>
            <w:noWrap w:val="0"/>
            <w:vAlign w:val="center"/>
          </w:tcPr>
          <w:p w14:paraId="135209D7">
            <w:pPr>
              <w:spacing w:line="360" w:lineRule="auto"/>
              <w:rPr>
                <w:rFonts w:hint="eastAsia" w:ascii="宋体" w:hAnsi="宋体" w:eastAsia="宋体" w:cs="宋体"/>
                <w:b w:val="0"/>
                <w:bCs w:val="0"/>
                <w:color w:val="auto"/>
                <w:sz w:val="22"/>
                <w:szCs w:val="22"/>
                <w:highlight w:val="none"/>
              </w:rPr>
            </w:pPr>
          </w:p>
        </w:tc>
        <w:tc>
          <w:tcPr>
            <w:tcW w:w="1458" w:type="dxa"/>
            <w:noWrap w:val="0"/>
            <w:vAlign w:val="center"/>
          </w:tcPr>
          <w:p w14:paraId="0C3FC613">
            <w:pPr>
              <w:spacing w:line="360" w:lineRule="auto"/>
              <w:ind w:left="5250"/>
              <w:rPr>
                <w:rFonts w:hint="eastAsia" w:ascii="宋体" w:hAnsi="宋体" w:eastAsia="宋体" w:cs="宋体"/>
                <w:b w:val="0"/>
                <w:bCs w:val="0"/>
                <w:color w:val="auto"/>
                <w:spacing w:val="12"/>
                <w:sz w:val="22"/>
                <w:szCs w:val="22"/>
                <w:highlight w:val="none"/>
              </w:rPr>
            </w:pPr>
          </w:p>
        </w:tc>
        <w:tc>
          <w:tcPr>
            <w:tcW w:w="1422" w:type="dxa"/>
            <w:noWrap w:val="0"/>
            <w:vAlign w:val="center"/>
          </w:tcPr>
          <w:p w14:paraId="6FE03133">
            <w:pPr>
              <w:spacing w:line="360" w:lineRule="auto"/>
              <w:rPr>
                <w:rFonts w:hint="eastAsia" w:ascii="宋体" w:hAnsi="宋体" w:eastAsia="宋体" w:cs="宋体"/>
                <w:b w:val="0"/>
                <w:bCs w:val="0"/>
                <w:color w:val="auto"/>
                <w:sz w:val="22"/>
                <w:szCs w:val="22"/>
                <w:highlight w:val="none"/>
              </w:rPr>
            </w:pPr>
          </w:p>
        </w:tc>
      </w:tr>
      <w:tr w14:paraId="6327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29ACA875">
            <w:pPr>
              <w:spacing w:line="360" w:lineRule="auto"/>
              <w:rPr>
                <w:rFonts w:hint="eastAsia" w:ascii="宋体" w:hAnsi="宋体" w:eastAsia="宋体" w:cs="宋体"/>
                <w:color w:val="auto"/>
                <w:sz w:val="22"/>
                <w:szCs w:val="22"/>
                <w:highlight w:val="none"/>
              </w:rPr>
            </w:pPr>
          </w:p>
        </w:tc>
        <w:tc>
          <w:tcPr>
            <w:tcW w:w="2351" w:type="dxa"/>
            <w:noWrap w:val="0"/>
            <w:vAlign w:val="center"/>
          </w:tcPr>
          <w:p w14:paraId="12D5BF07">
            <w:pPr>
              <w:spacing w:line="360" w:lineRule="auto"/>
              <w:rPr>
                <w:rFonts w:hint="eastAsia" w:ascii="宋体" w:hAnsi="宋体" w:eastAsia="宋体" w:cs="宋体"/>
                <w:color w:val="auto"/>
                <w:sz w:val="22"/>
                <w:szCs w:val="22"/>
                <w:highlight w:val="none"/>
              </w:rPr>
            </w:pPr>
          </w:p>
        </w:tc>
        <w:tc>
          <w:tcPr>
            <w:tcW w:w="720" w:type="dxa"/>
            <w:noWrap w:val="0"/>
            <w:vAlign w:val="center"/>
          </w:tcPr>
          <w:p w14:paraId="36C59C46">
            <w:pPr>
              <w:spacing w:line="360" w:lineRule="auto"/>
              <w:rPr>
                <w:rFonts w:hint="eastAsia" w:ascii="宋体" w:hAnsi="宋体" w:eastAsia="宋体" w:cs="宋体"/>
                <w:color w:val="auto"/>
                <w:sz w:val="22"/>
                <w:szCs w:val="22"/>
                <w:highlight w:val="none"/>
              </w:rPr>
            </w:pPr>
          </w:p>
        </w:tc>
        <w:tc>
          <w:tcPr>
            <w:tcW w:w="720" w:type="dxa"/>
            <w:noWrap w:val="0"/>
            <w:vAlign w:val="center"/>
          </w:tcPr>
          <w:p w14:paraId="3864F625">
            <w:pPr>
              <w:spacing w:line="360" w:lineRule="auto"/>
              <w:rPr>
                <w:rFonts w:hint="eastAsia" w:ascii="宋体" w:hAnsi="宋体" w:eastAsia="宋体" w:cs="宋体"/>
                <w:color w:val="auto"/>
                <w:sz w:val="22"/>
                <w:szCs w:val="22"/>
                <w:highlight w:val="none"/>
              </w:rPr>
            </w:pPr>
          </w:p>
        </w:tc>
        <w:tc>
          <w:tcPr>
            <w:tcW w:w="720" w:type="dxa"/>
            <w:noWrap w:val="0"/>
            <w:vAlign w:val="center"/>
          </w:tcPr>
          <w:p w14:paraId="18315AA7">
            <w:pPr>
              <w:spacing w:line="360" w:lineRule="auto"/>
              <w:rPr>
                <w:rFonts w:hint="eastAsia" w:ascii="宋体" w:hAnsi="宋体" w:eastAsia="宋体" w:cs="宋体"/>
                <w:color w:val="auto"/>
                <w:sz w:val="22"/>
                <w:szCs w:val="22"/>
                <w:highlight w:val="none"/>
              </w:rPr>
            </w:pPr>
          </w:p>
        </w:tc>
        <w:tc>
          <w:tcPr>
            <w:tcW w:w="1080" w:type="dxa"/>
            <w:noWrap w:val="0"/>
            <w:vAlign w:val="center"/>
          </w:tcPr>
          <w:p w14:paraId="3CB75B93">
            <w:pPr>
              <w:spacing w:line="360" w:lineRule="auto"/>
              <w:rPr>
                <w:rFonts w:hint="eastAsia" w:ascii="宋体" w:hAnsi="宋体" w:eastAsia="宋体" w:cs="宋体"/>
                <w:color w:val="auto"/>
                <w:sz w:val="22"/>
                <w:szCs w:val="22"/>
                <w:highlight w:val="none"/>
              </w:rPr>
            </w:pPr>
          </w:p>
        </w:tc>
        <w:tc>
          <w:tcPr>
            <w:tcW w:w="1458" w:type="dxa"/>
            <w:noWrap w:val="0"/>
            <w:vAlign w:val="center"/>
          </w:tcPr>
          <w:p w14:paraId="2D498206">
            <w:pPr>
              <w:spacing w:line="360" w:lineRule="auto"/>
              <w:rPr>
                <w:rFonts w:hint="eastAsia" w:ascii="宋体" w:hAnsi="宋体" w:eastAsia="宋体" w:cs="宋体"/>
                <w:color w:val="auto"/>
                <w:sz w:val="22"/>
                <w:szCs w:val="22"/>
                <w:highlight w:val="none"/>
              </w:rPr>
            </w:pPr>
          </w:p>
        </w:tc>
        <w:tc>
          <w:tcPr>
            <w:tcW w:w="1422" w:type="dxa"/>
            <w:noWrap w:val="0"/>
            <w:vAlign w:val="center"/>
          </w:tcPr>
          <w:p w14:paraId="1B2E33F8">
            <w:pPr>
              <w:spacing w:line="360" w:lineRule="auto"/>
              <w:ind w:left="5250"/>
              <w:rPr>
                <w:rFonts w:hint="eastAsia" w:ascii="宋体" w:hAnsi="宋体" w:eastAsia="宋体" w:cs="宋体"/>
                <w:color w:val="auto"/>
                <w:spacing w:val="12"/>
                <w:sz w:val="22"/>
                <w:szCs w:val="22"/>
                <w:highlight w:val="none"/>
              </w:rPr>
            </w:pPr>
          </w:p>
        </w:tc>
      </w:tr>
      <w:tr w14:paraId="3FB5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212E23A8">
            <w:pPr>
              <w:spacing w:line="360" w:lineRule="auto"/>
              <w:rPr>
                <w:rFonts w:hint="eastAsia" w:ascii="宋体" w:hAnsi="宋体" w:eastAsia="宋体" w:cs="宋体"/>
                <w:color w:val="auto"/>
                <w:sz w:val="22"/>
                <w:szCs w:val="22"/>
                <w:highlight w:val="none"/>
              </w:rPr>
            </w:pPr>
          </w:p>
        </w:tc>
        <w:tc>
          <w:tcPr>
            <w:tcW w:w="2351" w:type="dxa"/>
            <w:noWrap w:val="0"/>
            <w:vAlign w:val="center"/>
          </w:tcPr>
          <w:p w14:paraId="38D4A283">
            <w:pPr>
              <w:spacing w:line="360" w:lineRule="auto"/>
              <w:rPr>
                <w:rFonts w:hint="eastAsia" w:ascii="宋体" w:hAnsi="宋体" w:eastAsia="宋体" w:cs="宋体"/>
                <w:color w:val="auto"/>
                <w:sz w:val="22"/>
                <w:szCs w:val="22"/>
                <w:highlight w:val="none"/>
              </w:rPr>
            </w:pPr>
          </w:p>
        </w:tc>
        <w:tc>
          <w:tcPr>
            <w:tcW w:w="720" w:type="dxa"/>
            <w:noWrap w:val="0"/>
            <w:vAlign w:val="center"/>
          </w:tcPr>
          <w:p w14:paraId="5146D9BD">
            <w:pPr>
              <w:spacing w:line="360" w:lineRule="auto"/>
              <w:rPr>
                <w:rFonts w:hint="eastAsia" w:ascii="宋体" w:hAnsi="宋体" w:eastAsia="宋体" w:cs="宋体"/>
                <w:color w:val="auto"/>
                <w:sz w:val="22"/>
                <w:szCs w:val="22"/>
                <w:highlight w:val="none"/>
              </w:rPr>
            </w:pPr>
          </w:p>
        </w:tc>
        <w:tc>
          <w:tcPr>
            <w:tcW w:w="720" w:type="dxa"/>
            <w:noWrap w:val="0"/>
            <w:vAlign w:val="center"/>
          </w:tcPr>
          <w:p w14:paraId="6AE5B88B">
            <w:pPr>
              <w:spacing w:line="360" w:lineRule="auto"/>
              <w:rPr>
                <w:rFonts w:hint="eastAsia" w:ascii="宋体" w:hAnsi="宋体" w:eastAsia="宋体" w:cs="宋体"/>
                <w:color w:val="auto"/>
                <w:sz w:val="22"/>
                <w:szCs w:val="22"/>
                <w:highlight w:val="none"/>
              </w:rPr>
            </w:pPr>
          </w:p>
        </w:tc>
        <w:tc>
          <w:tcPr>
            <w:tcW w:w="720" w:type="dxa"/>
            <w:noWrap w:val="0"/>
            <w:vAlign w:val="center"/>
          </w:tcPr>
          <w:p w14:paraId="45DB5922">
            <w:pPr>
              <w:spacing w:line="360" w:lineRule="auto"/>
              <w:rPr>
                <w:rFonts w:hint="eastAsia" w:ascii="宋体" w:hAnsi="宋体" w:eastAsia="宋体" w:cs="宋体"/>
                <w:color w:val="auto"/>
                <w:sz w:val="22"/>
                <w:szCs w:val="22"/>
                <w:highlight w:val="none"/>
              </w:rPr>
            </w:pPr>
          </w:p>
        </w:tc>
        <w:tc>
          <w:tcPr>
            <w:tcW w:w="1080" w:type="dxa"/>
            <w:noWrap w:val="0"/>
            <w:vAlign w:val="center"/>
          </w:tcPr>
          <w:p w14:paraId="54BA3ADE">
            <w:pPr>
              <w:spacing w:line="360" w:lineRule="auto"/>
              <w:rPr>
                <w:rFonts w:hint="eastAsia" w:ascii="宋体" w:hAnsi="宋体" w:eastAsia="宋体" w:cs="宋体"/>
                <w:color w:val="auto"/>
                <w:sz w:val="22"/>
                <w:szCs w:val="22"/>
                <w:highlight w:val="none"/>
              </w:rPr>
            </w:pPr>
          </w:p>
        </w:tc>
        <w:tc>
          <w:tcPr>
            <w:tcW w:w="1458" w:type="dxa"/>
            <w:noWrap w:val="0"/>
            <w:vAlign w:val="center"/>
          </w:tcPr>
          <w:p w14:paraId="39765FA2">
            <w:pPr>
              <w:spacing w:line="360" w:lineRule="auto"/>
              <w:rPr>
                <w:rFonts w:hint="eastAsia" w:ascii="宋体" w:hAnsi="宋体" w:eastAsia="宋体" w:cs="宋体"/>
                <w:color w:val="auto"/>
                <w:sz w:val="22"/>
                <w:szCs w:val="22"/>
                <w:highlight w:val="none"/>
              </w:rPr>
            </w:pPr>
          </w:p>
        </w:tc>
        <w:tc>
          <w:tcPr>
            <w:tcW w:w="1422" w:type="dxa"/>
            <w:noWrap w:val="0"/>
            <w:vAlign w:val="center"/>
          </w:tcPr>
          <w:p w14:paraId="433E091B">
            <w:pPr>
              <w:spacing w:line="360" w:lineRule="auto"/>
              <w:rPr>
                <w:rFonts w:hint="eastAsia" w:ascii="宋体" w:hAnsi="宋体" w:eastAsia="宋体" w:cs="宋体"/>
                <w:color w:val="auto"/>
                <w:sz w:val="22"/>
                <w:szCs w:val="22"/>
                <w:highlight w:val="none"/>
              </w:rPr>
            </w:pPr>
          </w:p>
        </w:tc>
      </w:tr>
      <w:tr w14:paraId="24DE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195FF79B">
            <w:pPr>
              <w:spacing w:line="360" w:lineRule="auto"/>
              <w:rPr>
                <w:rFonts w:hint="eastAsia" w:ascii="宋体" w:hAnsi="宋体" w:eastAsia="宋体" w:cs="宋体"/>
                <w:color w:val="auto"/>
                <w:sz w:val="22"/>
                <w:szCs w:val="22"/>
                <w:highlight w:val="none"/>
              </w:rPr>
            </w:pPr>
          </w:p>
        </w:tc>
        <w:tc>
          <w:tcPr>
            <w:tcW w:w="2351" w:type="dxa"/>
            <w:noWrap w:val="0"/>
            <w:vAlign w:val="center"/>
          </w:tcPr>
          <w:p w14:paraId="7B187FD6">
            <w:pPr>
              <w:spacing w:line="360" w:lineRule="auto"/>
              <w:rPr>
                <w:rFonts w:hint="eastAsia" w:ascii="宋体" w:hAnsi="宋体" w:eastAsia="宋体" w:cs="宋体"/>
                <w:color w:val="auto"/>
                <w:sz w:val="22"/>
                <w:szCs w:val="22"/>
                <w:highlight w:val="none"/>
              </w:rPr>
            </w:pPr>
          </w:p>
        </w:tc>
        <w:tc>
          <w:tcPr>
            <w:tcW w:w="720" w:type="dxa"/>
            <w:noWrap w:val="0"/>
            <w:vAlign w:val="center"/>
          </w:tcPr>
          <w:p w14:paraId="56D9DF19">
            <w:pPr>
              <w:spacing w:line="360" w:lineRule="auto"/>
              <w:rPr>
                <w:rFonts w:hint="eastAsia" w:ascii="宋体" w:hAnsi="宋体" w:eastAsia="宋体" w:cs="宋体"/>
                <w:color w:val="auto"/>
                <w:sz w:val="22"/>
                <w:szCs w:val="22"/>
                <w:highlight w:val="none"/>
              </w:rPr>
            </w:pPr>
          </w:p>
        </w:tc>
        <w:tc>
          <w:tcPr>
            <w:tcW w:w="720" w:type="dxa"/>
            <w:noWrap w:val="0"/>
            <w:vAlign w:val="center"/>
          </w:tcPr>
          <w:p w14:paraId="16BB9171">
            <w:pPr>
              <w:spacing w:line="360" w:lineRule="auto"/>
              <w:rPr>
                <w:rFonts w:hint="eastAsia" w:ascii="宋体" w:hAnsi="宋体" w:eastAsia="宋体" w:cs="宋体"/>
                <w:color w:val="auto"/>
                <w:sz w:val="22"/>
                <w:szCs w:val="22"/>
                <w:highlight w:val="none"/>
              </w:rPr>
            </w:pPr>
          </w:p>
        </w:tc>
        <w:tc>
          <w:tcPr>
            <w:tcW w:w="720" w:type="dxa"/>
            <w:noWrap w:val="0"/>
            <w:vAlign w:val="center"/>
          </w:tcPr>
          <w:p w14:paraId="67040E9A">
            <w:pPr>
              <w:spacing w:line="360" w:lineRule="auto"/>
              <w:rPr>
                <w:rFonts w:hint="eastAsia" w:ascii="宋体" w:hAnsi="宋体" w:eastAsia="宋体" w:cs="宋体"/>
                <w:color w:val="auto"/>
                <w:sz w:val="22"/>
                <w:szCs w:val="22"/>
                <w:highlight w:val="none"/>
              </w:rPr>
            </w:pPr>
          </w:p>
        </w:tc>
        <w:tc>
          <w:tcPr>
            <w:tcW w:w="1080" w:type="dxa"/>
            <w:noWrap w:val="0"/>
            <w:vAlign w:val="center"/>
          </w:tcPr>
          <w:p w14:paraId="1FC9B285">
            <w:pPr>
              <w:spacing w:line="360" w:lineRule="auto"/>
              <w:rPr>
                <w:rFonts w:hint="eastAsia" w:ascii="宋体" w:hAnsi="宋体" w:eastAsia="宋体" w:cs="宋体"/>
                <w:color w:val="auto"/>
                <w:sz w:val="22"/>
                <w:szCs w:val="22"/>
                <w:highlight w:val="none"/>
              </w:rPr>
            </w:pPr>
          </w:p>
        </w:tc>
        <w:tc>
          <w:tcPr>
            <w:tcW w:w="1458" w:type="dxa"/>
            <w:noWrap w:val="0"/>
            <w:vAlign w:val="center"/>
          </w:tcPr>
          <w:p w14:paraId="0765AF13">
            <w:pPr>
              <w:spacing w:line="360" w:lineRule="auto"/>
              <w:rPr>
                <w:rFonts w:hint="eastAsia" w:ascii="宋体" w:hAnsi="宋体" w:eastAsia="宋体" w:cs="宋体"/>
                <w:color w:val="auto"/>
                <w:sz w:val="22"/>
                <w:szCs w:val="22"/>
                <w:highlight w:val="none"/>
              </w:rPr>
            </w:pPr>
          </w:p>
        </w:tc>
        <w:tc>
          <w:tcPr>
            <w:tcW w:w="1422" w:type="dxa"/>
            <w:noWrap w:val="0"/>
            <w:vAlign w:val="center"/>
          </w:tcPr>
          <w:p w14:paraId="1184ECB5">
            <w:pPr>
              <w:spacing w:line="360" w:lineRule="auto"/>
              <w:rPr>
                <w:rFonts w:hint="eastAsia" w:ascii="宋体" w:hAnsi="宋体" w:eastAsia="宋体" w:cs="宋体"/>
                <w:color w:val="auto"/>
                <w:sz w:val="22"/>
                <w:szCs w:val="22"/>
                <w:highlight w:val="none"/>
              </w:rPr>
            </w:pPr>
          </w:p>
        </w:tc>
      </w:tr>
      <w:tr w14:paraId="41AA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38E81E0C">
            <w:pPr>
              <w:spacing w:line="360" w:lineRule="auto"/>
              <w:rPr>
                <w:rFonts w:hint="eastAsia" w:ascii="宋体" w:hAnsi="宋体" w:eastAsia="宋体" w:cs="宋体"/>
                <w:color w:val="auto"/>
                <w:sz w:val="22"/>
                <w:szCs w:val="22"/>
                <w:highlight w:val="none"/>
              </w:rPr>
            </w:pPr>
          </w:p>
        </w:tc>
        <w:tc>
          <w:tcPr>
            <w:tcW w:w="2351" w:type="dxa"/>
            <w:noWrap w:val="0"/>
            <w:vAlign w:val="center"/>
          </w:tcPr>
          <w:p w14:paraId="071590E1">
            <w:pPr>
              <w:spacing w:line="360" w:lineRule="auto"/>
              <w:rPr>
                <w:rFonts w:hint="eastAsia" w:ascii="宋体" w:hAnsi="宋体" w:eastAsia="宋体" w:cs="宋体"/>
                <w:color w:val="auto"/>
                <w:sz w:val="22"/>
                <w:szCs w:val="22"/>
                <w:highlight w:val="none"/>
              </w:rPr>
            </w:pPr>
          </w:p>
        </w:tc>
        <w:tc>
          <w:tcPr>
            <w:tcW w:w="720" w:type="dxa"/>
            <w:noWrap w:val="0"/>
            <w:vAlign w:val="center"/>
          </w:tcPr>
          <w:p w14:paraId="33BC9A67">
            <w:pPr>
              <w:spacing w:line="360" w:lineRule="auto"/>
              <w:rPr>
                <w:rFonts w:hint="eastAsia" w:ascii="宋体" w:hAnsi="宋体" w:eastAsia="宋体" w:cs="宋体"/>
                <w:color w:val="auto"/>
                <w:sz w:val="22"/>
                <w:szCs w:val="22"/>
                <w:highlight w:val="none"/>
              </w:rPr>
            </w:pPr>
          </w:p>
        </w:tc>
        <w:tc>
          <w:tcPr>
            <w:tcW w:w="720" w:type="dxa"/>
            <w:noWrap w:val="0"/>
            <w:vAlign w:val="center"/>
          </w:tcPr>
          <w:p w14:paraId="23B13410">
            <w:pPr>
              <w:spacing w:line="360" w:lineRule="auto"/>
              <w:rPr>
                <w:rFonts w:hint="eastAsia" w:ascii="宋体" w:hAnsi="宋体" w:eastAsia="宋体" w:cs="宋体"/>
                <w:color w:val="auto"/>
                <w:sz w:val="22"/>
                <w:szCs w:val="22"/>
                <w:highlight w:val="none"/>
              </w:rPr>
            </w:pPr>
          </w:p>
        </w:tc>
        <w:tc>
          <w:tcPr>
            <w:tcW w:w="720" w:type="dxa"/>
            <w:noWrap w:val="0"/>
            <w:vAlign w:val="center"/>
          </w:tcPr>
          <w:p w14:paraId="3AAEC88F">
            <w:pPr>
              <w:spacing w:line="360" w:lineRule="auto"/>
              <w:rPr>
                <w:rFonts w:hint="eastAsia" w:ascii="宋体" w:hAnsi="宋体" w:eastAsia="宋体" w:cs="宋体"/>
                <w:color w:val="auto"/>
                <w:sz w:val="22"/>
                <w:szCs w:val="22"/>
                <w:highlight w:val="none"/>
              </w:rPr>
            </w:pPr>
          </w:p>
        </w:tc>
        <w:tc>
          <w:tcPr>
            <w:tcW w:w="1080" w:type="dxa"/>
            <w:noWrap w:val="0"/>
            <w:vAlign w:val="center"/>
          </w:tcPr>
          <w:p w14:paraId="7463B048">
            <w:pPr>
              <w:spacing w:line="360" w:lineRule="auto"/>
              <w:rPr>
                <w:rFonts w:hint="eastAsia" w:ascii="宋体" w:hAnsi="宋体" w:eastAsia="宋体" w:cs="宋体"/>
                <w:color w:val="auto"/>
                <w:sz w:val="22"/>
                <w:szCs w:val="22"/>
                <w:highlight w:val="none"/>
              </w:rPr>
            </w:pPr>
          </w:p>
        </w:tc>
        <w:tc>
          <w:tcPr>
            <w:tcW w:w="1458" w:type="dxa"/>
            <w:noWrap w:val="0"/>
            <w:vAlign w:val="center"/>
          </w:tcPr>
          <w:p w14:paraId="576D1441">
            <w:pPr>
              <w:spacing w:line="360" w:lineRule="auto"/>
              <w:rPr>
                <w:rFonts w:hint="eastAsia" w:ascii="宋体" w:hAnsi="宋体" w:eastAsia="宋体" w:cs="宋体"/>
                <w:color w:val="auto"/>
                <w:sz w:val="22"/>
                <w:szCs w:val="22"/>
                <w:highlight w:val="none"/>
              </w:rPr>
            </w:pPr>
          </w:p>
        </w:tc>
        <w:tc>
          <w:tcPr>
            <w:tcW w:w="1422" w:type="dxa"/>
            <w:noWrap w:val="0"/>
            <w:vAlign w:val="center"/>
          </w:tcPr>
          <w:p w14:paraId="6D3AF86C">
            <w:pPr>
              <w:spacing w:line="360" w:lineRule="auto"/>
              <w:rPr>
                <w:rFonts w:hint="eastAsia" w:ascii="宋体" w:hAnsi="宋体" w:eastAsia="宋体" w:cs="宋体"/>
                <w:color w:val="auto"/>
                <w:sz w:val="22"/>
                <w:szCs w:val="22"/>
                <w:highlight w:val="none"/>
              </w:rPr>
            </w:pPr>
          </w:p>
        </w:tc>
      </w:tr>
      <w:tr w14:paraId="28C9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04E04801">
            <w:pPr>
              <w:spacing w:line="360" w:lineRule="auto"/>
              <w:rPr>
                <w:rFonts w:hint="eastAsia" w:ascii="宋体" w:hAnsi="宋体" w:eastAsia="宋体" w:cs="宋体"/>
                <w:color w:val="auto"/>
                <w:sz w:val="22"/>
                <w:szCs w:val="22"/>
                <w:highlight w:val="none"/>
              </w:rPr>
            </w:pPr>
          </w:p>
        </w:tc>
        <w:tc>
          <w:tcPr>
            <w:tcW w:w="2351" w:type="dxa"/>
            <w:noWrap w:val="0"/>
            <w:vAlign w:val="center"/>
          </w:tcPr>
          <w:p w14:paraId="7A501A6D">
            <w:pPr>
              <w:spacing w:line="360" w:lineRule="auto"/>
              <w:rPr>
                <w:rFonts w:hint="eastAsia" w:ascii="宋体" w:hAnsi="宋体" w:eastAsia="宋体" w:cs="宋体"/>
                <w:color w:val="auto"/>
                <w:sz w:val="22"/>
                <w:szCs w:val="22"/>
                <w:highlight w:val="none"/>
              </w:rPr>
            </w:pPr>
          </w:p>
        </w:tc>
        <w:tc>
          <w:tcPr>
            <w:tcW w:w="720" w:type="dxa"/>
            <w:noWrap w:val="0"/>
            <w:vAlign w:val="center"/>
          </w:tcPr>
          <w:p w14:paraId="567B67DB">
            <w:pPr>
              <w:spacing w:line="360" w:lineRule="auto"/>
              <w:rPr>
                <w:rFonts w:hint="eastAsia" w:ascii="宋体" w:hAnsi="宋体" w:eastAsia="宋体" w:cs="宋体"/>
                <w:color w:val="auto"/>
                <w:sz w:val="22"/>
                <w:szCs w:val="22"/>
                <w:highlight w:val="none"/>
              </w:rPr>
            </w:pPr>
          </w:p>
        </w:tc>
        <w:tc>
          <w:tcPr>
            <w:tcW w:w="720" w:type="dxa"/>
            <w:noWrap w:val="0"/>
            <w:vAlign w:val="center"/>
          </w:tcPr>
          <w:p w14:paraId="688E0063">
            <w:pPr>
              <w:spacing w:line="360" w:lineRule="auto"/>
              <w:rPr>
                <w:rFonts w:hint="eastAsia" w:ascii="宋体" w:hAnsi="宋体" w:eastAsia="宋体" w:cs="宋体"/>
                <w:color w:val="auto"/>
                <w:sz w:val="22"/>
                <w:szCs w:val="22"/>
                <w:highlight w:val="none"/>
              </w:rPr>
            </w:pPr>
          </w:p>
        </w:tc>
        <w:tc>
          <w:tcPr>
            <w:tcW w:w="720" w:type="dxa"/>
            <w:noWrap w:val="0"/>
            <w:vAlign w:val="center"/>
          </w:tcPr>
          <w:p w14:paraId="13968826">
            <w:pPr>
              <w:spacing w:line="360" w:lineRule="auto"/>
              <w:rPr>
                <w:rFonts w:hint="eastAsia" w:ascii="宋体" w:hAnsi="宋体" w:eastAsia="宋体" w:cs="宋体"/>
                <w:color w:val="auto"/>
                <w:sz w:val="22"/>
                <w:szCs w:val="22"/>
                <w:highlight w:val="none"/>
              </w:rPr>
            </w:pPr>
          </w:p>
        </w:tc>
        <w:tc>
          <w:tcPr>
            <w:tcW w:w="1080" w:type="dxa"/>
            <w:noWrap w:val="0"/>
            <w:vAlign w:val="center"/>
          </w:tcPr>
          <w:p w14:paraId="345F0CDE">
            <w:pPr>
              <w:spacing w:line="360" w:lineRule="auto"/>
              <w:rPr>
                <w:rFonts w:hint="eastAsia" w:ascii="宋体" w:hAnsi="宋体" w:eastAsia="宋体" w:cs="宋体"/>
                <w:color w:val="auto"/>
                <w:sz w:val="22"/>
                <w:szCs w:val="22"/>
                <w:highlight w:val="none"/>
              </w:rPr>
            </w:pPr>
          </w:p>
        </w:tc>
        <w:tc>
          <w:tcPr>
            <w:tcW w:w="1458" w:type="dxa"/>
            <w:noWrap w:val="0"/>
            <w:vAlign w:val="center"/>
          </w:tcPr>
          <w:p w14:paraId="64EB8D60">
            <w:pPr>
              <w:spacing w:line="360" w:lineRule="auto"/>
              <w:rPr>
                <w:rFonts w:hint="eastAsia" w:ascii="宋体" w:hAnsi="宋体" w:eastAsia="宋体" w:cs="宋体"/>
                <w:color w:val="auto"/>
                <w:sz w:val="22"/>
                <w:szCs w:val="22"/>
                <w:highlight w:val="none"/>
              </w:rPr>
            </w:pPr>
          </w:p>
        </w:tc>
        <w:tc>
          <w:tcPr>
            <w:tcW w:w="1422" w:type="dxa"/>
            <w:noWrap w:val="0"/>
            <w:vAlign w:val="center"/>
          </w:tcPr>
          <w:p w14:paraId="716BCD82">
            <w:pPr>
              <w:spacing w:line="360" w:lineRule="auto"/>
              <w:rPr>
                <w:rFonts w:hint="eastAsia" w:ascii="宋体" w:hAnsi="宋体" w:eastAsia="宋体" w:cs="宋体"/>
                <w:color w:val="auto"/>
                <w:sz w:val="22"/>
                <w:szCs w:val="22"/>
                <w:highlight w:val="none"/>
              </w:rPr>
            </w:pPr>
          </w:p>
        </w:tc>
      </w:tr>
      <w:tr w14:paraId="6821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05A7AE3B">
            <w:pPr>
              <w:spacing w:line="360" w:lineRule="auto"/>
              <w:rPr>
                <w:rFonts w:hint="eastAsia" w:ascii="宋体" w:hAnsi="宋体" w:eastAsia="宋体" w:cs="宋体"/>
                <w:color w:val="auto"/>
                <w:sz w:val="22"/>
                <w:szCs w:val="22"/>
                <w:highlight w:val="none"/>
              </w:rPr>
            </w:pPr>
          </w:p>
        </w:tc>
        <w:tc>
          <w:tcPr>
            <w:tcW w:w="2351" w:type="dxa"/>
            <w:noWrap w:val="0"/>
            <w:vAlign w:val="center"/>
          </w:tcPr>
          <w:p w14:paraId="4E083407">
            <w:pPr>
              <w:spacing w:line="360" w:lineRule="auto"/>
              <w:rPr>
                <w:rFonts w:hint="eastAsia" w:ascii="宋体" w:hAnsi="宋体" w:eastAsia="宋体" w:cs="宋体"/>
                <w:color w:val="auto"/>
                <w:sz w:val="22"/>
                <w:szCs w:val="22"/>
                <w:highlight w:val="none"/>
              </w:rPr>
            </w:pPr>
          </w:p>
        </w:tc>
        <w:tc>
          <w:tcPr>
            <w:tcW w:w="720" w:type="dxa"/>
            <w:noWrap w:val="0"/>
            <w:vAlign w:val="center"/>
          </w:tcPr>
          <w:p w14:paraId="32F2CB6F">
            <w:pPr>
              <w:spacing w:line="360" w:lineRule="auto"/>
              <w:rPr>
                <w:rFonts w:hint="eastAsia" w:ascii="宋体" w:hAnsi="宋体" w:eastAsia="宋体" w:cs="宋体"/>
                <w:color w:val="auto"/>
                <w:sz w:val="22"/>
                <w:szCs w:val="22"/>
                <w:highlight w:val="none"/>
              </w:rPr>
            </w:pPr>
          </w:p>
        </w:tc>
        <w:tc>
          <w:tcPr>
            <w:tcW w:w="720" w:type="dxa"/>
            <w:noWrap w:val="0"/>
            <w:vAlign w:val="center"/>
          </w:tcPr>
          <w:p w14:paraId="5DAC9586">
            <w:pPr>
              <w:spacing w:line="360" w:lineRule="auto"/>
              <w:rPr>
                <w:rFonts w:hint="eastAsia" w:ascii="宋体" w:hAnsi="宋体" w:eastAsia="宋体" w:cs="宋体"/>
                <w:color w:val="auto"/>
                <w:sz w:val="22"/>
                <w:szCs w:val="22"/>
                <w:highlight w:val="none"/>
              </w:rPr>
            </w:pPr>
          </w:p>
        </w:tc>
        <w:tc>
          <w:tcPr>
            <w:tcW w:w="720" w:type="dxa"/>
            <w:noWrap w:val="0"/>
            <w:vAlign w:val="center"/>
          </w:tcPr>
          <w:p w14:paraId="23019CA3">
            <w:pPr>
              <w:spacing w:line="360" w:lineRule="auto"/>
              <w:rPr>
                <w:rFonts w:hint="eastAsia" w:ascii="宋体" w:hAnsi="宋体" w:eastAsia="宋体" w:cs="宋体"/>
                <w:color w:val="auto"/>
                <w:sz w:val="22"/>
                <w:szCs w:val="22"/>
                <w:highlight w:val="none"/>
              </w:rPr>
            </w:pPr>
          </w:p>
        </w:tc>
        <w:tc>
          <w:tcPr>
            <w:tcW w:w="1080" w:type="dxa"/>
            <w:noWrap w:val="0"/>
            <w:vAlign w:val="center"/>
          </w:tcPr>
          <w:p w14:paraId="14F3CEF0">
            <w:pPr>
              <w:spacing w:line="360" w:lineRule="auto"/>
              <w:rPr>
                <w:rFonts w:hint="eastAsia" w:ascii="宋体" w:hAnsi="宋体" w:eastAsia="宋体" w:cs="宋体"/>
                <w:color w:val="auto"/>
                <w:sz w:val="22"/>
                <w:szCs w:val="22"/>
                <w:highlight w:val="none"/>
              </w:rPr>
            </w:pPr>
          </w:p>
        </w:tc>
        <w:tc>
          <w:tcPr>
            <w:tcW w:w="1458" w:type="dxa"/>
            <w:noWrap w:val="0"/>
            <w:vAlign w:val="center"/>
          </w:tcPr>
          <w:p w14:paraId="7E7A4934">
            <w:pPr>
              <w:spacing w:line="360" w:lineRule="auto"/>
              <w:rPr>
                <w:rFonts w:hint="eastAsia" w:ascii="宋体" w:hAnsi="宋体" w:eastAsia="宋体" w:cs="宋体"/>
                <w:color w:val="auto"/>
                <w:sz w:val="22"/>
                <w:szCs w:val="22"/>
                <w:highlight w:val="none"/>
              </w:rPr>
            </w:pPr>
          </w:p>
        </w:tc>
        <w:tc>
          <w:tcPr>
            <w:tcW w:w="1422" w:type="dxa"/>
            <w:noWrap w:val="0"/>
            <w:vAlign w:val="center"/>
          </w:tcPr>
          <w:p w14:paraId="07F60F3C">
            <w:pPr>
              <w:spacing w:line="360" w:lineRule="auto"/>
              <w:rPr>
                <w:rFonts w:hint="eastAsia" w:ascii="宋体" w:hAnsi="宋体" w:eastAsia="宋体" w:cs="宋体"/>
                <w:color w:val="auto"/>
                <w:sz w:val="22"/>
                <w:szCs w:val="22"/>
                <w:highlight w:val="none"/>
              </w:rPr>
            </w:pPr>
          </w:p>
        </w:tc>
      </w:tr>
      <w:tr w14:paraId="2D23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32467CA5">
            <w:pPr>
              <w:spacing w:line="360" w:lineRule="auto"/>
              <w:rPr>
                <w:rFonts w:hint="eastAsia" w:ascii="宋体" w:hAnsi="宋体" w:eastAsia="宋体" w:cs="宋体"/>
                <w:color w:val="auto"/>
                <w:sz w:val="22"/>
                <w:szCs w:val="22"/>
                <w:highlight w:val="none"/>
              </w:rPr>
            </w:pPr>
          </w:p>
        </w:tc>
        <w:tc>
          <w:tcPr>
            <w:tcW w:w="2351" w:type="dxa"/>
            <w:noWrap w:val="0"/>
            <w:vAlign w:val="center"/>
          </w:tcPr>
          <w:p w14:paraId="70354BE4">
            <w:pPr>
              <w:spacing w:line="360" w:lineRule="auto"/>
              <w:rPr>
                <w:rFonts w:hint="eastAsia" w:ascii="宋体" w:hAnsi="宋体" w:eastAsia="宋体" w:cs="宋体"/>
                <w:color w:val="auto"/>
                <w:sz w:val="22"/>
                <w:szCs w:val="22"/>
                <w:highlight w:val="none"/>
              </w:rPr>
            </w:pPr>
          </w:p>
        </w:tc>
        <w:tc>
          <w:tcPr>
            <w:tcW w:w="720" w:type="dxa"/>
            <w:noWrap w:val="0"/>
            <w:vAlign w:val="center"/>
          </w:tcPr>
          <w:p w14:paraId="214F25AE">
            <w:pPr>
              <w:spacing w:line="360" w:lineRule="auto"/>
              <w:rPr>
                <w:rFonts w:hint="eastAsia" w:ascii="宋体" w:hAnsi="宋体" w:eastAsia="宋体" w:cs="宋体"/>
                <w:color w:val="auto"/>
                <w:sz w:val="22"/>
                <w:szCs w:val="22"/>
                <w:highlight w:val="none"/>
              </w:rPr>
            </w:pPr>
          </w:p>
        </w:tc>
        <w:tc>
          <w:tcPr>
            <w:tcW w:w="720" w:type="dxa"/>
            <w:noWrap w:val="0"/>
            <w:vAlign w:val="center"/>
          </w:tcPr>
          <w:p w14:paraId="2BE0C5ED">
            <w:pPr>
              <w:spacing w:line="360" w:lineRule="auto"/>
              <w:rPr>
                <w:rFonts w:hint="eastAsia" w:ascii="宋体" w:hAnsi="宋体" w:eastAsia="宋体" w:cs="宋体"/>
                <w:color w:val="auto"/>
                <w:sz w:val="22"/>
                <w:szCs w:val="22"/>
                <w:highlight w:val="none"/>
              </w:rPr>
            </w:pPr>
          </w:p>
        </w:tc>
        <w:tc>
          <w:tcPr>
            <w:tcW w:w="720" w:type="dxa"/>
            <w:noWrap w:val="0"/>
            <w:vAlign w:val="center"/>
          </w:tcPr>
          <w:p w14:paraId="64D1BFC8">
            <w:pPr>
              <w:spacing w:line="360" w:lineRule="auto"/>
              <w:rPr>
                <w:rFonts w:hint="eastAsia" w:ascii="宋体" w:hAnsi="宋体" w:eastAsia="宋体" w:cs="宋体"/>
                <w:color w:val="auto"/>
                <w:sz w:val="22"/>
                <w:szCs w:val="22"/>
                <w:highlight w:val="none"/>
              </w:rPr>
            </w:pPr>
          </w:p>
        </w:tc>
        <w:tc>
          <w:tcPr>
            <w:tcW w:w="1080" w:type="dxa"/>
            <w:noWrap w:val="0"/>
            <w:vAlign w:val="center"/>
          </w:tcPr>
          <w:p w14:paraId="28E5077D">
            <w:pPr>
              <w:spacing w:line="360" w:lineRule="auto"/>
              <w:rPr>
                <w:rFonts w:hint="eastAsia" w:ascii="宋体" w:hAnsi="宋体" w:eastAsia="宋体" w:cs="宋体"/>
                <w:color w:val="auto"/>
                <w:sz w:val="22"/>
                <w:szCs w:val="22"/>
                <w:highlight w:val="none"/>
              </w:rPr>
            </w:pPr>
          </w:p>
        </w:tc>
        <w:tc>
          <w:tcPr>
            <w:tcW w:w="1458" w:type="dxa"/>
            <w:noWrap w:val="0"/>
            <w:vAlign w:val="center"/>
          </w:tcPr>
          <w:p w14:paraId="02397C93">
            <w:pPr>
              <w:spacing w:line="360" w:lineRule="auto"/>
              <w:rPr>
                <w:rFonts w:hint="eastAsia" w:ascii="宋体" w:hAnsi="宋体" w:eastAsia="宋体" w:cs="宋体"/>
                <w:color w:val="auto"/>
                <w:sz w:val="22"/>
                <w:szCs w:val="22"/>
                <w:highlight w:val="none"/>
              </w:rPr>
            </w:pPr>
          </w:p>
        </w:tc>
        <w:tc>
          <w:tcPr>
            <w:tcW w:w="1422" w:type="dxa"/>
            <w:noWrap w:val="0"/>
            <w:vAlign w:val="center"/>
          </w:tcPr>
          <w:p w14:paraId="4596D4B0">
            <w:pPr>
              <w:spacing w:line="360" w:lineRule="auto"/>
              <w:rPr>
                <w:rFonts w:hint="eastAsia" w:ascii="宋体" w:hAnsi="宋体" w:eastAsia="宋体" w:cs="宋体"/>
                <w:color w:val="auto"/>
                <w:sz w:val="22"/>
                <w:szCs w:val="22"/>
                <w:highlight w:val="none"/>
              </w:rPr>
            </w:pPr>
          </w:p>
        </w:tc>
      </w:tr>
      <w:tr w14:paraId="41E9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7CFEA1FE">
            <w:pPr>
              <w:spacing w:line="360" w:lineRule="auto"/>
              <w:rPr>
                <w:rFonts w:hint="eastAsia" w:ascii="宋体" w:hAnsi="宋体" w:eastAsia="宋体" w:cs="宋体"/>
                <w:color w:val="auto"/>
                <w:sz w:val="22"/>
                <w:szCs w:val="22"/>
                <w:highlight w:val="none"/>
              </w:rPr>
            </w:pPr>
          </w:p>
        </w:tc>
        <w:tc>
          <w:tcPr>
            <w:tcW w:w="2351" w:type="dxa"/>
            <w:noWrap w:val="0"/>
            <w:vAlign w:val="center"/>
          </w:tcPr>
          <w:p w14:paraId="3D7A2C1D">
            <w:pPr>
              <w:spacing w:line="360" w:lineRule="auto"/>
              <w:rPr>
                <w:rFonts w:hint="eastAsia" w:ascii="宋体" w:hAnsi="宋体" w:eastAsia="宋体" w:cs="宋体"/>
                <w:color w:val="auto"/>
                <w:sz w:val="22"/>
                <w:szCs w:val="22"/>
                <w:highlight w:val="none"/>
              </w:rPr>
            </w:pPr>
          </w:p>
        </w:tc>
        <w:tc>
          <w:tcPr>
            <w:tcW w:w="720" w:type="dxa"/>
            <w:noWrap w:val="0"/>
            <w:vAlign w:val="center"/>
          </w:tcPr>
          <w:p w14:paraId="1E809789">
            <w:pPr>
              <w:spacing w:line="360" w:lineRule="auto"/>
              <w:rPr>
                <w:rFonts w:hint="eastAsia" w:ascii="宋体" w:hAnsi="宋体" w:eastAsia="宋体" w:cs="宋体"/>
                <w:color w:val="auto"/>
                <w:sz w:val="22"/>
                <w:szCs w:val="22"/>
                <w:highlight w:val="none"/>
              </w:rPr>
            </w:pPr>
          </w:p>
        </w:tc>
        <w:tc>
          <w:tcPr>
            <w:tcW w:w="720" w:type="dxa"/>
            <w:noWrap w:val="0"/>
            <w:vAlign w:val="center"/>
          </w:tcPr>
          <w:p w14:paraId="6ECDFE76">
            <w:pPr>
              <w:spacing w:line="360" w:lineRule="auto"/>
              <w:rPr>
                <w:rFonts w:hint="eastAsia" w:ascii="宋体" w:hAnsi="宋体" w:eastAsia="宋体" w:cs="宋体"/>
                <w:color w:val="auto"/>
                <w:sz w:val="22"/>
                <w:szCs w:val="22"/>
                <w:highlight w:val="none"/>
              </w:rPr>
            </w:pPr>
          </w:p>
        </w:tc>
        <w:tc>
          <w:tcPr>
            <w:tcW w:w="720" w:type="dxa"/>
            <w:noWrap w:val="0"/>
            <w:vAlign w:val="center"/>
          </w:tcPr>
          <w:p w14:paraId="6005AF45">
            <w:pPr>
              <w:spacing w:line="360" w:lineRule="auto"/>
              <w:rPr>
                <w:rFonts w:hint="eastAsia" w:ascii="宋体" w:hAnsi="宋体" w:eastAsia="宋体" w:cs="宋体"/>
                <w:color w:val="auto"/>
                <w:sz w:val="22"/>
                <w:szCs w:val="22"/>
                <w:highlight w:val="none"/>
              </w:rPr>
            </w:pPr>
          </w:p>
        </w:tc>
        <w:tc>
          <w:tcPr>
            <w:tcW w:w="1080" w:type="dxa"/>
            <w:noWrap w:val="0"/>
            <w:vAlign w:val="center"/>
          </w:tcPr>
          <w:p w14:paraId="7C483E1B">
            <w:pPr>
              <w:spacing w:line="360" w:lineRule="auto"/>
              <w:rPr>
                <w:rFonts w:hint="eastAsia" w:ascii="宋体" w:hAnsi="宋体" w:eastAsia="宋体" w:cs="宋体"/>
                <w:color w:val="auto"/>
                <w:sz w:val="22"/>
                <w:szCs w:val="22"/>
                <w:highlight w:val="none"/>
              </w:rPr>
            </w:pPr>
          </w:p>
        </w:tc>
        <w:tc>
          <w:tcPr>
            <w:tcW w:w="1458" w:type="dxa"/>
            <w:noWrap w:val="0"/>
            <w:vAlign w:val="center"/>
          </w:tcPr>
          <w:p w14:paraId="44C010DC">
            <w:pPr>
              <w:spacing w:line="360" w:lineRule="auto"/>
              <w:rPr>
                <w:rFonts w:hint="eastAsia" w:ascii="宋体" w:hAnsi="宋体" w:eastAsia="宋体" w:cs="宋体"/>
                <w:color w:val="auto"/>
                <w:sz w:val="22"/>
                <w:szCs w:val="22"/>
                <w:highlight w:val="none"/>
              </w:rPr>
            </w:pPr>
          </w:p>
        </w:tc>
        <w:tc>
          <w:tcPr>
            <w:tcW w:w="1422" w:type="dxa"/>
            <w:noWrap w:val="0"/>
            <w:vAlign w:val="center"/>
          </w:tcPr>
          <w:p w14:paraId="25295F73">
            <w:pPr>
              <w:spacing w:line="360" w:lineRule="auto"/>
              <w:rPr>
                <w:rFonts w:hint="eastAsia" w:ascii="宋体" w:hAnsi="宋体" w:eastAsia="宋体" w:cs="宋体"/>
                <w:color w:val="auto"/>
                <w:sz w:val="22"/>
                <w:szCs w:val="22"/>
                <w:highlight w:val="none"/>
              </w:rPr>
            </w:pPr>
          </w:p>
        </w:tc>
      </w:tr>
      <w:tr w14:paraId="69D8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75D87E34">
            <w:pPr>
              <w:spacing w:line="360" w:lineRule="auto"/>
              <w:rPr>
                <w:rFonts w:hint="eastAsia" w:ascii="宋体" w:hAnsi="宋体" w:eastAsia="宋体" w:cs="宋体"/>
                <w:color w:val="auto"/>
                <w:sz w:val="22"/>
                <w:szCs w:val="22"/>
                <w:highlight w:val="none"/>
              </w:rPr>
            </w:pPr>
          </w:p>
        </w:tc>
        <w:tc>
          <w:tcPr>
            <w:tcW w:w="2351" w:type="dxa"/>
            <w:noWrap w:val="0"/>
            <w:vAlign w:val="center"/>
          </w:tcPr>
          <w:p w14:paraId="3E89AA61">
            <w:pPr>
              <w:spacing w:line="360" w:lineRule="auto"/>
              <w:rPr>
                <w:rFonts w:hint="eastAsia" w:ascii="宋体" w:hAnsi="宋体" w:eastAsia="宋体" w:cs="宋体"/>
                <w:color w:val="auto"/>
                <w:sz w:val="22"/>
                <w:szCs w:val="22"/>
                <w:highlight w:val="none"/>
              </w:rPr>
            </w:pPr>
          </w:p>
        </w:tc>
        <w:tc>
          <w:tcPr>
            <w:tcW w:w="720" w:type="dxa"/>
            <w:noWrap w:val="0"/>
            <w:vAlign w:val="center"/>
          </w:tcPr>
          <w:p w14:paraId="410F0A04">
            <w:pPr>
              <w:spacing w:line="360" w:lineRule="auto"/>
              <w:rPr>
                <w:rFonts w:hint="eastAsia" w:ascii="宋体" w:hAnsi="宋体" w:eastAsia="宋体" w:cs="宋体"/>
                <w:color w:val="auto"/>
                <w:sz w:val="22"/>
                <w:szCs w:val="22"/>
                <w:highlight w:val="none"/>
              </w:rPr>
            </w:pPr>
          </w:p>
        </w:tc>
        <w:tc>
          <w:tcPr>
            <w:tcW w:w="720" w:type="dxa"/>
            <w:noWrap w:val="0"/>
            <w:vAlign w:val="center"/>
          </w:tcPr>
          <w:p w14:paraId="62EACC5D">
            <w:pPr>
              <w:spacing w:line="360" w:lineRule="auto"/>
              <w:rPr>
                <w:rFonts w:hint="eastAsia" w:ascii="宋体" w:hAnsi="宋体" w:eastAsia="宋体" w:cs="宋体"/>
                <w:color w:val="auto"/>
                <w:sz w:val="22"/>
                <w:szCs w:val="22"/>
                <w:highlight w:val="none"/>
              </w:rPr>
            </w:pPr>
          </w:p>
        </w:tc>
        <w:tc>
          <w:tcPr>
            <w:tcW w:w="720" w:type="dxa"/>
            <w:noWrap w:val="0"/>
            <w:vAlign w:val="center"/>
          </w:tcPr>
          <w:p w14:paraId="1A905CC6">
            <w:pPr>
              <w:spacing w:line="360" w:lineRule="auto"/>
              <w:rPr>
                <w:rFonts w:hint="eastAsia" w:ascii="宋体" w:hAnsi="宋体" w:eastAsia="宋体" w:cs="宋体"/>
                <w:color w:val="auto"/>
                <w:sz w:val="22"/>
                <w:szCs w:val="22"/>
                <w:highlight w:val="none"/>
              </w:rPr>
            </w:pPr>
          </w:p>
        </w:tc>
        <w:tc>
          <w:tcPr>
            <w:tcW w:w="1080" w:type="dxa"/>
            <w:noWrap w:val="0"/>
            <w:vAlign w:val="center"/>
          </w:tcPr>
          <w:p w14:paraId="60227AC4">
            <w:pPr>
              <w:spacing w:line="360" w:lineRule="auto"/>
              <w:rPr>
                <w:rFonts w:hint="eastAsia" w:ascii="宋体" w:hAnsi="宋体" w:eastAsia="宋体" w:cs="宋体"/>
                <w:color w:val="auto"/>
                <w:sz w:val="22"/>
                <w:szCs w:val="22"/>
                <w:highlight w:val="none"/>
              </w:rPr>
            </w:pPr>
          </w:p>
        </w:tc>
        <w:tc>
          <w:tcPr>
            <w:tcW w:w="1458" w:type="dxa"/>
            <w:noWrap w:val="0"/>
            <w:vAlign w:val="center"/>
          </w:tcPr>
          <w:p w14:paraId="3370B301">
            <w:pPr>
              <w:spacing w:line="360" w:lineRule="auto"/>
              <w:rPr>
                <w:rFonts w:hint="eastAsia" w:ascii="宋体" w:hAnsi="宋体" w:eastAsia="宋体" w:cs="宋体"/>
                <w:color w:val="auto"/>
                <w:sz w:val="22"/>
                <w:szCs w:val="22"/>
                <w:highlight w:val="none"/>
              </w:rPr>
            </w:pPr>
          </w:p>
        </w:tc>
        <w:tc>
          <w:tcPr>
            <w:tcW w:w="1422" w:type="dxa"/>
            <w:noWrap w:val="0"/>
            <w:vAlign w:val="center"/>
          </w:tcPr>
          <w:p w14:paraId="4051006B">
            <w:pPr>
              <w:spacing w:line="360" w:lineRule="auto"/>
              <w:rPr>
                <w:rFonts w:hint="eastAsia" w:ascii="宋体" w:hAnsi="宋体" w:eastAsia="宋体" w:cs="宋体"/>
                <w:color w:val="auto"/>
                <w:sz w:val="22"/>
                <w:szCs w:val="22"/>
                <w:highlight w:val="none"/>
              </w:rPr>
            </w:pPr>
          </w:p>
        </w:tc>
      </w:tr>
      <w:tr w14:paraId="1199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1A65525E">
            <w:pPr>
              <w:spacing w:line="360" w:lineRule="auto"/>
              <w:rPr>
                <w:rFonts w:hint="eastAsia" w:ascii="宋体" w:hAnsi="宋体" w:eastAsia="宋体" w:cs="宋体"/>
                <w:color w:val="auto"/>
                <w:sz w:val="22"/>
                <w:szCs w:val="22"/>
                <w:highlight w:val="none"/>
              </w:rPr>
            </w:pPr>
          </w:p>
        </w:tc>
        <w:tc>
          <w:tcPr>
            <w:tcW w:w="2351" w:type="dxa"/>
            <w:noWrap w:val="0"/>
            <w:vAlign w:val="center"/>
          </w:tcPr>
          <w:p w14:paraId="31D1DD64">
            <w:pPr>
              <w:spacing w:line="360" w:lineRule="auto"/>
              <w:rPr>
                <w:rFonts w:hint="eastAsia" w:ascii="宋体" w:hAnsi="宋体" w:eastAsia="宋体" w:cs="宋体"/>
                <w:color w:val="auto"/>
                <w:sz w:val="22"/>
                <w:szCs w:val="22"/>
                <w:highlight w:val="none"/>
              </w:rPr>
            </w:pPr>
          </w:p>
        </w:tc>
        <w:tc>
          <w:tcPr>
            <w:tcW w:w="720" w:type="dxa"/>
            <w:noWrap w:val="0"/>
            <w:vAlign w:val="center"/>
          </w:tcPr>
          <w:p w14:paraId="5951A33F">
            <w:pPr>
              <w:spacing w:line="360" w:lineRule="auto"/>
              <w:rPr>
                <w:rFonts w:hint="eastAsia" w:ascii="宋体" w:hAnsi="宋体" w:eastAsia="宋体" w:cs="宋体"/>
                <w:color w:val="auto"/>
                <w:sz w:val="22"/>
                <w:szCs w:val="22"/>
                <w:highlight w:val="none"/>
              </w:rPr>
            </w:pPr>
          </w:p>
        </w:tc>
        <w:tc>
          <w:tcPr>
            <w:tcW w:w="720" w:type="dxa"/>
            <w:noWrap w:val="0"/>
            <w:vAlign w:val="center"/>
          </w:tcPr>
          <w:p w14:paraId="5D3A8F93">
            <w:pPr>
              <w:spacing w:line="360" w:lineRule="auto"/>
              <w:rPr>
                <w:rFonts w:hint="eastAsia" w:ascii="宋体" w:hAnsi="宋体" w:eastAsia="宋体" w:cs="宋体"/>
                <w:color w:val="auto"/>
                <w:sz w:val="22"/>
                <w:szCs w:val="22"/>
                <w:highlight w:val="none"/>
              </w:rPr>
            </w:pPr>
          </w:p>
        </w:tc>
        <w:tc>
          <w:tcPr>
            <w:tcW w:w="720" w:type="dxa"/>
            <w:noWrap w:val="0"/>
            <w:vAlign w:val="center"/>
          </w:tcPr>
          <w:p w14:paraId="2858D7B5">
            <w:pPr>
              <w:spacing w:line="360" w:lineRule="auto"/>
              <w:rPr>
                <w:rFonts w:hint="eastAsia" w:ascii="宋体" w:hAnsi="宋体" w:eastAsia="宋体" w:cs="宋体"/>
                <w:color w:val="auto"/>
                <w:sz w:val="22"/>
                <w:szCs w:val="22"/>
                <w:highlight w:val="none"/>
              </w:rPr>
            </w:pPr>
          </w:p>
        </w:tc>
        <w:tc>
          <w:tcPr>
            <w:tcW w:w="1080" w:type="dxa"/>
            <w:noWrap w:val="0"/>
            <w:vAlign w:val="center"/>
          </w:tcPr>
          <w:p w14:paraId="39577836">
            <w:pPr>
              <w:spacing w:line="360" w:lineRule="auto"/>
              <w:rPr>
                <w:rFonts w:hint="eastAsia" w:ascii="宋体" w:hAnsi="宋体" w:eastAsia="宋体" w:cs="宋体"/>
                <w:color w:val="auto"/>
                <w:sz w:val="22"/>
                <w:szCs w:val="22"/>
                <w:highlight w:val="none"/>
              </w:rPr>
            </w:pPr>
          </w:p>
        </w:tc>
        <w:tc>
          <w:tcPr>
            <w:tcW w:w="1458" w:type="dxa"/>
            <w:noWrap w:val="0"/>
            <w:vAlign w:val="center"/>
          </w:tcPr>
          <w:p w14:paraId="0FDF5D1B">
            <w:pPr>
              <w:spacing w:line="360" w:lineRule="auto"/>
              <w:rPr>
                <w:rFonts w:hint="eastAsia" w:ascii="宋体" w:hAnsi="宋体" w:eastAsia="宋体" w:cs="宋体"/>
                <w:color w:val="auto"/>
                <w:sz w:val="22"/>
                <w:szCs w:val="22"/>
                <w:highlight w:val="none"/>
              </w:rPr>
            </w:pPr>
          </w:p>
        </w:tc>
        <w:tc>
          <w:tcPr>
            <w:tcW w:w="1422" w:type="dxa"/>
            <w:noWrap w:val="0"/>
            <w:vAlign w:val="center"/>
          </w:tcPr>
          <w:p w14:paraId="2916FD6D">
            <w:pPr>
              <w:spacing w:line="360" w:lineRule="auto"/>
              <w:rPr>
                <w:rFonts w:hint="eastAsia" w:ascii="宋体" w:hAnsi="宋体" w:eastAsia="宋体" w:cs="宋体"/>
                <w:color w:val="auto"/>
                <w:sz w:val="22"/>
                <w:szCs w:val="22"/>
                <w:highlight w:val="none"/>
              </w:rPr>
            </w:pPr>
          </w:p>
        </w:tc>
      </w:tr>
      <w:tr w14:paraId="08B3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3534D790">
            <w:pPr>
              <w:spacing w:line="360" w:lineRule="auto"/>
              <w:rPr>
                <w:rFonts w:hint="eastAsia" w:ascii="宋体" w:hAnsi="宋体" w:eastAsia="宋体" w:cs="宋体"/>
                <w:color w:val="auto"/>
                <w:sz w:val="22"/>
                <w:szCs w:val="22"/>
                <w:highlight w:val="none"/>
              </w:rPr>
            </w:pPr>
          </w:p>
        </w:tc>
        <w:tc>
          <w:tcPr>
            <w:tcW w:w="2351" w:type="dxa"/>
            <w:noWrap w:val="0"/>
            <w:vAlign w:val="center"/>
          </w:tcPr>
          <w:p w14:paraId="42FCD4C8">
            <w:pPr>
              <w:spacing w:line="360" w:lineRule="auto"/>
              <w:rPr>
                <w:rFonts w:hint="eastAsia" w:ascii="宋体" w:hAnsi="宋体" w:eastAsia="宋体" w:cs="宋体"/>
                <w:color w:val="auto"/>
                <w:sz w:val="22"/>
                <w:szCs w:val="22"/>
                <w:highlight w:val="none"/>
              </w:rPr>
            </w:pPr>
          </w:p>
        </w:tc>
        <w:tc>
          <w:tcPr>
            <w:tcW w:w="720" w:type="dxa"/>
            <w:noWrap w:val="0"/>
            <w:vAlign w:val="center"/>
          </w:tcPr>
          <w:p w14:paraId="70BD32DA">
            <w:pPr>
              <w:spacing w:line="360" w:lineRule="auto"/>
              <w:rPr>
                <w:rFonts w:hint="eastAsia" w:ascii="宋体" w:hAnsi="宋体" w:eastAsia="宋体" w:cs="宋体"/>
                <w:color w:val="auto"/>
                <w:sz w:val="22"/>
                <w:szCs w:val="22"/>
                <w:highlight w:val="none"/>
              </w:rPr>
            </w:pPr>
          </w:p>
        </w:tc>
        <w:tc>
          <w:tcPr>
            <w:tcW w:w="720" w:type="dxa"/>
            <w:noWrap w:val="0"/>
            <w:vAlign w:val="center"/>
          </w:tcPr>
          <w:p w14:paraId="158F6F60">
            <w:pPr>
              <w:spacing w:line="360" w:lineRule="auto"/>
              <w:rPr>
                <w:rFonts w:hint="eastAsia" w:ascii="宋体" w:hAnsi="宋体" w:eastAsia="宋体" w:cs="宋体"/>
                <w:color w:val="auto"/>
                <w:sz w:val="22"/>
                <w:szCs w:val="22"/>
                <w:highlight w:val="none"/>
              </w:rPr>
            </w:pPr>
          </w:p>
        </w:tc>
        <w:tc>
          <w:tcPr>
            <w:tcW w:w="720" w:type="dxa"/>
            <w:noWrap w:val="0"/>
            <w:vAlign w:val="center"/>
          </w:tcPr>
          <w:p w14:paraId="1C425AEA">
            <w:pPr>
              <w:spacing w:line="360" w:lineRule="auto"/>
              <w:rPr>
                <w:rFonts w:hint="eastAsia" w:ascii="宋体" w:hAnsi="宋体" w:eastAsia="宋体" w:cs="宋体"/>
                <w:color w:val="auto"/>
                <w:sz w:val="22"/>
                <w:szCs w:val="22"/>
                <w:highlight w:val="none"/>
              </w:rPr>
            </w:pPr>
          </w:p>
        </w:tc>
        <w:tc>
          <w:tcPr>
            <w:tcW w:w="1080" w:type="dxa"/>
            <w:noWrap w:val="0"/>
            <w:vAlign w:val="center"/>
          </w:tcPr>
          <w:p w14:paraId="2C725C5D">
            <w:pPr>
              <w:spacing w:line="360" w:lineRule="auto"/>
              <w:rPr>
                <w:rFonts w:hint="eastAsia" w:ascii="宋体" w:hAnsi="宋体" w:eastAsia="宋体" w:cs="宋体"/>
                <w:color w:val="auto"/>
                <w:sz w:val="22"/>
                <w:szCs w:val="22"/>
                <w:highlight w:val="none"/>
              </w:rPr>
            </w:pPr>
          </w:p>
        </w:tc>
        <w:tc>
          <w:tcPr>
            <w:tcW w:w="1458" w:type="dxa"/>
            <w:noWrap w:val="0"/>
            <w:vAlign w:val="center"/>
          </w:tcPr>
          <w:p w14:paraId="11365866">
            <w:pPr>
              <w:spacing w:line="360" w:lineRule="auto"/>
              <w:rPr>
                <w:rFonts w:hint="eastAsia" w:ascii="宋体" w:hAnsi="宋体" w:eastAsia="宋体" w:cs="宋体"/>
                <w:color w:val="auto"/>
                <w:sz w:val="22"/>
                <w:szCs w:val="22"/>
                <w:highlight w:val="none"/>
              </w:rPr>
            </w:pPr>
          </w:p>
        </w:tc>
        <w:tc>
          <w:tcPr>
            <w:tcW w:w="1422" w:type="dxa"/>
            <w:noWrap w:val="0"/>
            <w:vAlign w:val="center"/>
          </w:tcPr>
          <w:p w14:paraId="43CD34BA">
            <w:pPr>
              <w:spacing w:line="360" w:lineRule="auto"/>
              <w:rPr>
                <w:rFonts w:hint="eastAsia" w:ascii="宋体" w:hAnsi="宋体" w:eastAsia="宋体" w:cs="宋体"/>
                <w:color w:val="auto"/>
                <w:sz w:val="22"/>
                <w:szCs w:val="22"/>
                <w:highlight w:val="none"/>
              </w:rPr>
            </w:pPr>
          </w:p>
        </w:tc>
      </w:tr>
      <w:tr w14:paraId="05F1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4401D95F">
            <w:pPr>
              <w:spacing w:line="360" w:lineRule="auto"/>
              <w:rPr>
                <w:rFonts w:hint="eastAsia" w:ascii="宋体" w:hAnsi="宋体" w:eastAsia="宋体" w:cs="宋体"/>
                <w:color w:val="auto"/>
                <w:sz w:val="22"/>
                <w:szCs w:val="22"/>
                <w:highlight w:val="none"/>
              </w:rPr>
            </w:pPr>
          </w:p>
        </w:tc>
        <w:tc>
          <w:tcPr>
            <w:tcW w:w="2351" w:type="dxa"/>
            <w:noWrap w:val="0"/>
            <w:vAlign w:val="center"/>
          </w:tcPr>
          <w:p w14:paraId="633CEED1">
            <w:pPr>
              <w:spacing w:line="360" w:lineRule="auto"/>
              <w:rPr>
                <w:rFonts w:hint="eastAsia" w:ascii="宋体" w:hAnsi="宋体" w:eastAsia="宋体" w:cs="宋体"/>
                <w:color w:val="auto"/>
                <w:sz w:val="22"/>
                <w:szCs w:val="22"/>
                <w:highlight w:val="none"/>
              </w:rPr>
            </w:pPr>
          </w:p>
        </w:tc>
        <w:tc>
          <w:tcPr>
            <w:tcW w:w="720" w:type="dxa"/>
            <w:noWrap w:val="0"/>
            <w:vAlign w:val="center"/>
          </w:tcPr>
          <w:p w14:paraId="37A75182">
            <w:pPr>
              <w:spacing w:line="360" w:lineRule="auto"/>
              <w:rPr>
                <w:rFonts w:hint="eastAsia" w:ascii="宋体" w:hAnsi="宋体" w:eastAsia="宋体" w:cs="宋体"/>
                <w:color w:val="auto"/>
                <w:sz w:val="22"/>
                <w:szCs w:val="22"/>
                <w:highlight w:val="none"/>
              </w:rPr>
            </w:pPr>
          </w:p>
        </w:tc>
        <w:tc>
          <w:tcPr>
            <w:tcW w:w="720" w:type="dxa"/>
            <w:noWrap w:val="0"/>
            <w:vAlign w:val="center"/>
          </w:tcPr>
          <w:p w14:paraId="4ABB8A19">
            <w:pPr>
              <w:spacing w:line="360" w:lineRule="auto"/>
              <w:rPr>
                <w:rFonts w:hint="eastAsia" w:ascii="宋体" w:hAnsi="宋体" w:eastAsia="宋体" w:cs="宋体"/>
                <w:color w:val="auto"/>
                <w:sz w:val="22"/>
                <w:szCs w:val="22"/>
                <w:highlight w:val="none"/>
              </w:rPr>
            </w:pPr>
          </w:p>
        </w:tc>
        <w:tc>
          <w:tcPr>
            <w:tcW w:w="720" w:type="dxa"/>
            <w:noWrap w:val="0"/>
            <w:vAlign w:val="center"/>
          </w:tcPr>
          <w:p w14:paraId="50D5C26E">
            <w:pPr>
              <w:spacing w:line="360" w:lineRule="auto"/>
              <w:rPr>
                <w:rFonts w:hint="eastAsia" w:ascii="宋体" w:hAnsi="宋体" w:eastAsia="宋体" w:cs="宋体"/>
                <w:color w:val="auto"/>
                <w:sz w:val="22"/>
                <w:szCs w:val="22"/>
                <w:highlight w:val="none"/>
              </w:rPr>
            </w:pPr>
          </w:p>
        </w:tc>
        <w:tc>
          <w:tcPr>
            <w:tcW w:w="1080" w:type="dxa"/>
            <w:noWrap w:val="0"/>
            <w:vAlign w:val="center"/>
          </w:tcPr>
          <w:p w14:paraId="6F20F0FD">
            <w:pPr>
              <w:spacing w:line="360" w:lineRule="auto"/>
              <w:rPr>
                <w:rFonts w:hint="eastAsia" w:ascii="宋体" w:hAnsi="宋体" w:eastAsia="宋体" w:cs="宋体"/>
                <w:color w:val="auto"/>
                <w:sz w:val="22"/>
                <w:szCs w:val="22"/>
                <w:highlight w:val="none"/>
              </w:rPr>
            </w:pPr>
          </w:p>
        </w:tc>
        <w:tc>
          <w:tcPr>
            <w:tcW w:w="1458" w:type="dxa"/>
            <w:noWrap w:val="0"/>
            <w:vAlign w:val="center"/>
          </w:tcPr>
          <w:p w14:paraId="73207EEE">
            <w:pPr>
              <w:spacing w:line="360" w:lineRule="auto"/>
              <w:rPr>
                <w:rFonts w:hint="eastAsia" w:ascii="宋体" w:hAnsi="宋体" w:eastAsia="宋体" w:cs="宋体"/>
                <w:color w:val="auto"/>
                <w:sz w:val="22"/>
                <w:szCs w:val="22"/>
                <w:highlight w:val="none"/>
              </w:rPr>
            </w:pPr>
          </w:p>
        </w:tc>
        <w:tc>
          <w:tcPr>
            <w:tcW w:w="1422" w:type="dxa"/>
            <w:noWrap w:val="0"/>
            <w:vAlign w:val="center"/>
          </w:tcPr>
          <w:p w14:paraId="0AD78982">
            <w:pPr>
              <w:spacing w:line="360" w:lineRule="auto"/>
              <w:rPr>
                <w:rFonts w:hint="eastAsia" w:ascii="宋体" w:hAnsi="宋体" w:eastAsia="宋体" w:cs="宋体"/>
                <w:color w:val="auto"/>
                <w:sz w:val="22"/>
                <w:szCs w:val="22"/>
                <w:highlight w:val="none"/>
              </w:rPr>
            </w:pPr>
          </w:p>
        </w:tc>
      </w:tr>
      <w:tr w14:paraId="4A11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46759C4A">
            <w:pPr>
              <w:spacing w:line="360" w:lineRule="auto"/>
              <w:rPr>
                <w:rFonts w:hint="eastAsia" w:ascii="宋体" w:hAnsi="宋体" w:eastAsia="宋体" w:cs="宋体"/>
                <w:color w:val="auto"/>
                <w:sz w:val="22"/>
                <w:szCs w:val="22"/>
                <w:highlight w:val="none"/>
              </w:rPr>
            </w:pPr>
          </w:p>
        </w:tc>
        <w:tc>
          <w:tcPr>
            <w:tcW w:w="2351" w:type="dxa"/>
            <w:noWrap w:val="0"/>
            <w:vAlign w:val="center"/>
          </w:tcPr>
          <w:p w14:paraId="0AACACBB">
            <w:pPr>
              <w:spacing w:line="360" w:lineRule="auto"/>
              <w:rPr>
                <w:rFonts w:hint="eastAsia" w:ascii="宋体" w:hAnsi="宋体" w:eastAsia="宋体" w:cs="宋体"/>
                <w:color w:val="auto"/>
                <w:sz w:val="22"/>
                <w:szCs w:val="22"/>
                <w:highlight w:val="none"/>
              </w:rPr>
            </w:pPr>
          </w:p>
        </w:tc>
        <w:tc>
          <w:tcPr>
            <w:tcW w:w="720" w:type="dxa"/>
            <w:noWrap w:val="0"/>
            <w:vAlign w:val="center"/>
          </w:tcPr>
          <w:p w14:paraId="398FC818">
            <w:pPr>
              <w:spacing w:line="360" w:lineRule="auto"/>
              <w:rPr>
                <w:rFonts w:hint="eastAsia" w:ascii="宋体" w:hAnsi="宋体" w:eastAsia="宋体" w:cs="宋体"/>
                <w:color w:val="auto"/>
                <w:sz w:val="22"/>
                <w:szCs w:val="22"/>
                <w:highlight w:val="none"/>
              </w:rPr>
            </w:pPr>
          </w:p>
        </w:tc>
        <w:tc>
          <w:tcPr>
            <w:tcW w:w="720" w:type="dxa"/>
            <w:noWrap w:val="0"/>
            <w:vAlign w:val="center"/>
          </w:tcPr>
          <w:p w14:paraId="0DB69108">
            <w:pPr>
              <w:spacing w:line="360" w:lineRule="auto"/>
              <w:rPr>
                <w:rFonts w:hint="eastAsia" w:ascii="宋体" w:hAnsi="宋体" w:eastAsia="宋体" w:cs="宋体"/>
                <w:color w:val="auto"/>
                <w:sz w:val="22"/>
                <w:szCs w:val="22"/>
                <w:highlight w:val="none"/>
              </w:rPr>
            </w:pPr>
          </w:p>
        </w:tc>
        <w:tc>
          <w:tcPr>
            <w:tcW w:w="720" w:type="dxa"/>
            <w:noWrap w:val="0"/>
            <w:vAlign w:val="center"/>
          </w:tcPr>
          <w:p w14:paraId="7EDDA802">
            <w:pPr>
              <w:spacing w:line="360" w:lineRule="auto"/>
              <w:rPr>
                <w:rFonts w:hint="eastAsia" w:ascii="宋体" w:hAnsi="宋体" w:eastAsia="宋体" w:cs="宋体"/>
                <w:color w:val="auto"/>
                <w:sz w:val="22"/>
                <w:szCs w:val="22"/>
                <w:highlight w:val="none"/>
              </w:rPr>
            </w:pPr>
          </w:p>
        </w:tc>
        <w:tc>
          <w:tcPr>
            <w:tcW w:w="1080" w:type="dxa"/>
            <w:noWrap w:val="0"/>
            <w:vAlign w:val="center"/>
          </w:tcPr>
          <w:p w14:paraId="246774AC">
            <w:pPr>
              <w:spacing w:line="360" w:lineRule="auto"/>
              <w:rPr>
                <w:rFonts w:hint="eastAsia" w:ascii="宋体" w:hAnsi="宋体" w:eastAsia="宋体" w:cs="宋体"/>
                <w:color w:val="auto"/>
                <w:sz w:val="22"/>
                <w:szCs w:val="22"/>
                <w:highlight w:val="none"/>
              </w:rPr>
            </w:pPr>
          </w:p>
        </w:tc>
        <w:tc>
          <w:tcPr>
            <w:tcW w:w="1458" w:type="dxa"/>
            <w:noWrap w:val="0"/>
            <w:vAlign w:val="center"/>
          </w:tcPr>
          <w:p w14:paraId="13782DCA">
            <w:pPr>
              <w:spacing w:line="360" w:lineRule="auto"/>
              <w:rPr>
                <w:rFonts w:hint="eastAsia" w:ascii="宋体" w:hAnsi="宋体" w:eastAsia="宋体" w:cs="宋体"/>
                <w:color w:val="auto"/>
                <w:sz w:val="22"/>
                <w:szCs w:val="22"/>
                <w:highlight w:val="none"/>
              </w:rPr>
            </w:pPr>
          </w:p>
        </w:tc>
        <w:tc>
          <w:tcPr>
            <w:tcW w:w="1422" w:type="dxa"/>
            <w:noWrap w:val="0"/>
            <w:vAlign w:val="center"/>
          </w:tcPr>
          <w:p w14:paraId="60FC27C4">
            <w:pPr>
              <w:spacing w:line="360" w:lineRule="auto"/>
              <w:rPr>
                <w:rFonts w:hint="eastAsia" w:ascii="宋体" w:hAnsi="宋体" w:eastAsia="宋体" w:cs="宋体"/>
                <w:color w:val="auto"/>
                <w:sz w:val="22"/>
                <w:szCs w:val="22"/>
                <w:highlight w:val="none"/>
              </w:rPr>
            </w:pPr>
          </w:p>
        </w:tc>
      </w:tr>
      <w:tr w14:paraId="7200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681D000C">
            <w:pPr>
              <w:spacing w:line="360" w:lineRule="auto"/>
              <w:rPr>
                <w:rFonts w:hint="eastAsia" w:ascii="宋体" w:hAnsi="宋体" w:eastAsia="宋体" w:cs="宋体"/>
                <w:color w:val="auto"/>
                <w:sz w:val="22"/>
                <w:szCs w:val="22"/>
                <w:highlight w:val="none"/>
              </w:rPr>
            </w:pPr>
          </w:p>
        </w:tc>
        <w:tc>
          <w:tcPr>
            <w:tcW w:w="2351" w:type="dxa"/>
            <w:noWrap w:val="0"/>
            <w:vAlign w:val="center"/>
          </w:tcPr>
          <w:p w14:paraId="5D13B49C">
            <w:pPr>
              <w:spacing w:line="360" w:lineRule="auto"/>
              <w:rPr>
                <w:rFonts w:hint="eastAsia" w:ascii="宋体" w:hAnsi="宋体" w:eastAsia="宋体" w:cs="宋体"/>
                <w:color w:val="auto"/>
                <w:sz w:val="22"/>
                <w:szCs w:val="22"/>
                <w:highlight w:val="none"/>
              </w:rPr>
            </w:pPr>
          </w:p>
        </w:tc>
        <w:tc>
          <w:tcPr>
            <w:tcW w:w="720" w:type="dxa"/>
            <w:noWrap w:val="0"/>
            <w:vAlign w:val="center"/>
          </w:tcPr>
          <w:p w14:paraId="1A4F5B46">
            <w:pPr>
              <w:spacing w:line="360" w:lineRule="auto"/>
              <w:rPr>
                <w:rFonts w:hint="eastAsia" w:ascii="宋体" w:hAnsi="宋体" w:eastAsia="宋体" w:cs="宋体"/>
                <w:color w:val="auto"/>
                <w:sz w:val="22"/>
                <w:szCs w:val="22"/>
                <w:highlight w:val="none"/>
              </w:rPr>
            </w:pPr>
          </w:p>
        </w:tc>
        <w:tc>
          <w:tcPr>
            <w:tcW w:w="720" w:type="dxa"/>
            <w:noWrap w:val="0"/>
            <w:vAlign w:val="center"/>
          </w:tcPr>
          <w:p w14:paraId="7CF548DF">
            <w:pPr>
              <w:spacing w:line="360" w:lineRule="auto"/>
              <w:rPr>
                <w:rFonts w:hint="eastAsia" w:ascii="宋体" w:hAnsi="宋体" w:eastAsia="宋体" w:cs="宋体"/>
                <w:color w:val="auto"/>
                <w:sz w:val="22"/>
                <w:szCs w:val="22"/>
                <w:highlight w:val="none"/>
              </w:rPr>
            </w:pPr>
          </w:p>
        </w:tc>
        <w:tc>
          <w:tcPr>
            <w:tcW w:w="720" w:type="dxa"/>
            <w:noWrap w:val="0"/>
            <w:vAlign w:val="center"/>
          </w:tcPr>
          <w:p w14:paraId="1517E266">
            <w:pPr>
              <w:spacing w:line="360" w:lineRule="auto"/>
              <w:rPr>
                <w:rFonts w:hint="eastAsia" w:ascii="宋体" w:hAnsi="宋体" w:eastAsia="宋体" w:cs="宋体"/>
                <w:color w:val="auto"/>
                <w:sz w:val="22"/>
                <w:szCs w:val="22"/>
                <w:highlight w:val="none"/>
              </w:rPr>
            </w:pPr>
          </w:p>
        </w:tc>
        <w:tc>
          <w:tcPr>
            <w:tcW w:w="1080" w:type="dxa"/>
            <w:noWrap w:val="0"/>
            <w:vAlign w:val="center"/>
          </w:tcPr>
          <w:p w14:paraId="1A77CB56">
            <w:pPr>
              <w:spacing w:line="360" w:lineRule="auto"/>
              <w:rPr>
                <w:rFonts w:hint="eastAsia" w:ascii="宋体" w:hAnsi="宋体" w:eastAsia="宋体" w:cs="宋体"/>
                <w:color w:val="auto"/>
                <w:sz w:val="22"/>
                <w:szCs w:val="22"/>
                <w:highlight w:val="none"/>
              </w:rPr>
            </w:pPr>
          </w:p>
        </w:tc>
        <w:tc>
          <w:tcPr>
            <w:tcW w:w="1458" w:type="dxa"/>
            <w:noWrap w:val="0"/>
            <w:vAlign w:val="center"/>
          </w:tcPr>
          <w:p w14:paraId="4193F459">
            <w:pPr>
              <w:spacing w:line="360" w:lineRule="auto"/>
              <w:rPr>
                <w:rFonts w:hint="eastAsia" w:ascii="宋体" w:hAnsi="宋体" w:eastAsia="宋体" w:cs="宋体"/>
                <w:color w:val="auto"/>
                <w:sz w:val="22"/>
                <w:szCs w:val="22"/>
                <w:highlight w:val="none"/>
              </w:rPr>
            </w:pPr>
          </w:p>
        </w:tc>
        <w:tc>
          <w:tcPr>
            <w:tcW w:w="1422" w:type="dxa"/>
            <w:noWrap w:val="0"/>
            <w:vAlign w:val="center"/>
          </w:tcPr>
          <w:p w14:paraId="309846B3">
            <w:pPr>
              <w:spacing w:line="360" w:lineRule="auto"/>
              <w:rPr>
                <w:rFonts w:hint="eastAsia" w:ascii="宋体" w:hAnsi="宋体" w:eastAsia="宋体" w:cs="宋体"/>
                <w:color w:val="auto"/>
                <w:sz w:val="22"/>
                <w:szCs w:val="22"/>
                <w:highlight w:val="none"/>
              </w:rPr>
            </w:pPr>
          </w:p>
        </w:tc>
      </w:tr>
      <w:tr w14:paraId="6889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7DF18137">
            <w:pPr>
              <w:spacing w:line="360" w:lineRule="auto"/>
              <w:rPr>
                <w:rFonts w:hint="eastAsia" w:ascii="宋体" w:hAnsi="宋体" w:eastAsia="宋体" w:cs="宋体"/>
                <w:color w:val="auto"/>
                <w:sz w:val="22"/>
                <w:szCs w:val="22"/>
                <w:highlight w:val="none"/>
              </w:rPr>
            </w:pPr>
          </w:p>
        </w:tc>
        <w:tc>
          <w:tcPr>
            <w:tcW w:w="2351" w:type="dxa"/>
            <w:noWrap w:val="0"/>
            <w:vAlign w:val="center"/>
          </w:tcPr>
          <w:p w14:paraId="428D595E">
            <w:pPr>
              <w:spacing w:line="360" w:lineRule="auto"/>
              <w:rPr>
                <w:rFonts w:hint="eastAsia" w:ascii="宋体" w:hAnsi="宋体" w:eastAsia="宋体" w:cs="宋体"/>
                <w:color w:val="auto"/>
                <w:sz w:val="22"/>
                <w:szCs w:val="22"/>
                <w:highlight w:val="none"/>
              </w:rPr>
            </w:pPr>
          </w:p>
        </w:tc>
        <w:tc>
          <w:tcPr>
            <w:tcW w:w="720" w:type="dxa"/>
            <w:noWrap w:val="0"/>
            <w:vAlign w:val="center"/>
          </w:tcPr>
          <w:p w14:paraId="434104DE">
            <w:pPr>
              <w:spacing w:line="360" w:lineRule="auto"/>
              <w:rPr>
                <w:rFonts w:hint="eastAsia" w:ascii="宋体" w:hAnsi="宋体" w:eastAsia="宋体" w:cs="宋体"/>
                <w:color w:val="auto"/>
                <w:sz w:val="22"/>
                <w:szCs w:val="22"/>
                <w:highlight w:val="none"/>
              </w:rPr>
            </w:pPr>
          </w:p>
        </w:tc>
        <w:tc>
          <w:tcPr>
            <w:tcW w:w="720" w:type="dxa"/>
            <w:noWrap w:val="0"/>
            <w:vAlign w:val="center"/>
          </w:tcPr>
          <w:p w14:paraId="18C2FF60">
            <w:pPr>
              <w:spacing w:line="360" w:lineRule="auto"/>
              <w:rPr>
                <w:rFonts w:hint="eastAsia" w:ascii="宋体" w:hAnsi="宋体" w:eastAsia="宋体" w:cs="宋体"/>
                <w:color w:val="auto"/>
                <w:sz w:val="22"/>
                <w:szCs w:val="22"/>
                <w:highlight w:val="none"/>
              </w:rPr>
            </w:pPr>
          </w:p>
        </w:tc>
        <w:tc>
          <w:tcPr>
            <w:tcW w:w="720" w:type="dxa"/>
            <w:noWrap w:val="0"/>
            <w:vAlign w:val="center"/>
          </w:tcPr>
          <w:p w14:paraId="5E6FC1C6">
            <w:pPr>
              <w:spacing w:line="360" w:lineRule="auto"/>
              <w:rPr>
                <w:rFonts w:hint="eastAsia" w:ascii="宋体" w:hAnsi="宋体" w:eastAsia="宋体" w:cs="宋体"/>
                <w:color w:val="auto"/>
                <w:sz w:val="22"/>
                <w:szCs w:val="22"/>
                <w:highlight w:val="none"/>
              </w:rPr>
            </w:pPr>
          </w:p>
        </w:tc>
        <w:tc>
          <w:tcPr>
            <w:tcW w:w="1080" w:type="dxa"/>
            <w:noWrap w:val="0"/>
            <w:vAlign w:val="center"/>
          </w:tcPr>
          <w:p w14:paraId="25C6072F">
            <w:pPr>
              <w:spacing w:line="360" w:lineRule="auto"/>
              <w:rPr>
                <w:rFonts w:hint="eastAsia" w:ascii="宋体" w:hAnsi="宋体" w:eastAsia="宋体" w:cs="宋体"/>
                <w:color w:val="auto"/>
                <w:sz w:val="22"/>
                <w:szCs w:val="22"/>
                <w:highlight w:val="none"/>
              </w:rPr>
            </w:pPr>
          </w:p>
        </w:tc>
        <w:tc>
          <w:tcPr>
            <w:tcW w:w="1458" w:type="dxa"/>
            <w:noWrap w:val="0"/>
            <w:vAlign w:val="center"/>
          </w:tcPr>
          <w:p w14:paraId="11177AF4">
            <w:pPr>
              <w:spacing w:line="360" w:lineRule="auto"/>
              <w:rPr>
                <w:rFonts w:hint="eastAsia" w:ascii="宋体" w:hAnsi="宋体" w:eastAsia="宋体" w:cs="宋体"/>
                <w:color w:val="auto"/>
                <w:sz w:val="22"/>
                <w:szCs w:val="22"/>
                <w:highlight w:val="none"/>
              </w:rPr>
            </w:pPr>
          </w:p>
        </w:tc>
        <w:tc>
          <w:tcPr>
            <w:tcW w:w="1422" w:type="dxa"/>
            <w:noWrap w:val="0"/>
            <w:vAlign w:val="center"/>
          </w:tcPr>
          <w:p w14:paraId="46D1BF3A">
            <w:pPr>
              <w:spacing w:line="360" w:lineRule="auto"/>
              <w:rPr>
                <w:rFonts w:hint="eastAsia" w:ascii="宋体" w:hAnsi="宋体" w:eastAsia="宋体" w:cs="宋体"/>
                <w:color w:val="auto"/>
                <w:sz w:val="22"/>
                <w:szCs w:val="22"/>
                <w:highlight w:val="none"/>
              </w:rPr>
            </w:pPr>
          </w:p>
        </w:tc>
      </w:tr>
      <w:tr w14:paraId="67D0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23A5535F">
            <w:pPr>
              <w:spacing w:line="360" w:lineRule="auto"/>
              <w:rPr>
                <w:rFonts w:hint="eastAsia" w:ascii="宋体" w:hAnsi="宋体" w:eastAsia="宋体" w:cs="宋体"/>
                <w:color w:val="auto"/>
                <w:sz w:val="22"/>
                <w:szCs w:val="22"/>
                <w:highlight w:val="none"/>
              </w:rPr>
            </w:pPr>
          </w:p>
        </w:tc>
        <w:tc>
          <w:tcPr>
            <w:tcW w:w="2351" w:type="dxa"/>
            <w:noWrap w:val="0"/>
            <w:vAlign w:val="center"/>
          </w:tcPr>
          <w:p w14:paraId="30CECB53">
            <w:pPr>
              <w:spacing w:line="360" w:lineRule="auto"/>
              <w:rPr>
                <w:rFonts w:hint="eastAsia" w:ascii="宋体" w:hAnsi="宋体" w:eastAsia="宋体" w:cs="宋体"/>
                <w:color w:val="auto"/>
                <w:sz w:val="22"/>
                <w:szCs w:val="22"/>
                <w:highlight w:val="none"/>
              </w:rPr>
            </w:pPr>
          </w:p>
        </w:tc>
        <w:tc>
          <w:tcPr>
            <w:tcW w:w="720" w:type="dxa"/>
            <w:noWrap w:val="0"/>
            <w:vAlign w:val="center"/>
          </w:tcPr>
          <w:p w14:paraId="3D3D4077">
            <w:pPr>
              <w:spacing w:line="360" w:lineRule="auto"/>
              <w:rPr>
                <w:rFonts w:hint="eastAsia" w:ascii="宋体" w:hAnsi="宋体" w:eastAsia="宋体" w:cs="宋体"/>
                <w:color w:val="auto"/>
                <w:sz w:val="22"/>
                <w:szCs w:val="22"/>
                <w:highlight w:val="none"/>
              </w:rPr>
            </w:pPr>
          </w:p>
        </w:tc>
        <w:tc>
          <w:tcPr>
            <w:tcW w:w="720" w:type="dxa"/>
            <w:noWrap w:val="0"/>
            <w:vAlign w:val="center"/>
          </w:tcPr>
          <w:p w14:paraId="219857BC">
            <w:pPr>
              <w:spacing w:line="360" w:lineRule="auto"/>
              <w:rPr>
                <w:rFonts w:hint="eastAsia" w:ascii="宋体" w:hAnsi="宋体" w:eastAsia="宋体" w:cs="宋体"/>
                <w:color w:val="auto"/>
                <w:sz w:val="22"/>
                <w:szCs w:val="22"/>
                <w:highlight w:val="none"/>
              </w:rPr>
            </w:pPr>
          </w:p>
        </w:tc>
        <w:tc>
          <w:tcPr>
            <w:tcW w:w="720" w:type="dxa"/>
            <w:noWrap w:val="0"/>
            <w:vAlign w:val="center"/>
          </w:tcPr>
          <w:p w14:paraId="7CE52C84">
            <w:pPr>
              <w:spacing w:line="360" w:lineRule="auto"/>
              <w:rPr>
                <w:rFonts w:hint="eastAsia" w:ascii="宋体" w:hAnsi="宋体" w:eastAsia="宋体" w:cs="宋体"/>
                <w:color w:val="auto"/>
                <w:sz w:val="22"/>
                <w:szCs w:val="22"/>
                <w:highlight w:val="none"/>
              </w:rPr>
            </w:pPr>
          </w:p>
        </w:tc>
        <w:tc>
          <w:tcPr>
            <w:tcW w:w="1080" w:type="dxa"/>
            <w:noWrap w:val="0"/>
            <w:vAlign w:val="center"/>
          </w:tcPr>
          <w:p w14:paraId="448305F9">
            <w:pPr>
              <w:spacing w:line="360" w:lineRule="auto"/>
              <w:rPr>
                <w:rFonts w:hint="eastAsia" w:ascii="宋体" w:hAnsi="宋体" w:eastAsia="宋体" w:cs="宋体"/>
                <w:color w:val="auto"/>
                <w:sz w:val="22"/>
                <w:szCs w:val="22"/>
                <w:highlight w:val="none"/>
              </w:rPr>
            </w:pPr>
          </w:p>
        </w:tc>
        <w:tc>
          <w:tcPr>
            <w:tcW w:w="1458" w:type="dxa"/>
            <w:noWrap w:val="0"/>
            <w:vAlign w:val="center"/>
          </w:tcPr>
          <w:p w14:paraId="0ECDE299">
            <w:pPr>
              <w:spacing w:line="360" w:lineRule="auto"/>
              <w:rPr>
                <w:rFonts w:hint="eastAsia" w:ascii="宋体" w:hAnsi="宋体" w:eastAsia="宋体" w:cs="宋体"/>
                <w:color w:val="auto"/>
                <w:sz w:val="22"/>
                <w:szCs w:val="22"/>
                <w:highlight w:val="none"/>
              </w:rPr>
            </w:pPr>
          </w:p>
        </w:tc>
        <w:tc>
          <w:tcPr>
            <w:tcW w:w="1422" w:type="dxa"/>
            <w:noWrap w:val="0"/>
            <w:vAlign w:val="center"/>
          </w:tcPr>
          <w:p w14:paraId="4456D519">
            <w:pPr>
              <w:spacing w:line="360" w:lineRule="auto"/>
              <w:rPr>
                <w:rFonts w:hint="eastAsia" w:ascii="宋体" w:hAnsi="宋体" w:eastAsia="宋体" w:cs="宋体"/>
                <w:color w:val="auto"/>
                <w:sz w:val="22"/>
                <w:szCs w:val="22"/>
                <w:highlight w:val="none"/>
              </w:rPr>
            </w:pPr>
          </w:p>
        </w:tc>
      </w:tr>
      <w:tr w14:paraId="3647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7E334DF6">
            <w:pPr>
              <w:spacing w:line="360" w:lineRule="auto"/>
              <w:rPr>
                <w:rFonts w:hint="eastAsia" w:ascii="宋体" w:hAnsi="宋体" w:eastAsia="宋体" w:cs="宋体"/>
                <w:color w:val="auto"/>
                <w:sz w:val="22"/>
                <w:szCs w:val="22"/>
                <w:highlight w:val="none"/>
              </w:rPr>
            </w:pPr>
          </w:p>
        </w:tc>
        <w:tc>
          <w:tcPr>
            <w:tcW w:w="2351" w:type="dxa"/>
            <w:noWrap w:val="0"/>
            <w:vAlign w:val="center"/>
          </w:tcPr>
          <w:p w14:paraId="11F2BF5D">
            <w:pPr>
              <w:spacing w:line="360" w:lineRule="auto"/>
              <w:rPr>
                <w:rFonts w:hint="eastAsia" w:ascii="宋体" w:hAnsi="宋体" w:eastAsia="宋体" w:cs="宋体"/>
                <w:color w:val="auto"/>
                <w:sz w:val="22"/>
                <w:szCs w:val="22"/>
                <w:highlight w:val="none"/>
              </w:rPr>
            </w:pPr>
          </w:p>
        </w:tc>
        <w:tc>
          <w:tcPr>
            <w:tcW w:w="720" w:type="dxa"/>
            <w:noWrap w:val="0"/>
            <w:vAlign w:val="center"/>
          </w:tcPr>
          <w:p w14:paraId="1FA0B1A5">
            <w:pPr>
              <w:spacing w:line="360" w:lineRule="auto"/>
              <w:rPr>
                <w:rFonts w:hint="eastAsia" w:ascii="宋体" w:hAnsi="宋体" w:eastAsia="宋体" w:cs="宋体"/>
                <w:color w:val="auto"/>
                <w:sz w:val="22"/>
                <w:szCs w:val="22"/>
                <w:highlight w:val="none"/>
              </w:rPr>
            </w:pPr>
          </w:p>
        </w:tc>
        <w:tc>
          <w:tcPr>
            <w:tcW w:w="720" w:type="dxa"/>
            <w:noWrap w:val="0"/>
            <w:vAlign w:val="center"/>
          </w:tcPr>
          <w:p w14:paraId="1905B139">
            <w:pPr>
              <w:spacing w:line="360" w:lineRule="auto"/>
              <w:rPr>
                <w:rFonts w:hint="eastAsia" w:ascii="宋体" w:hAnsi="宋体" w:eastAsia="宋体" w:cs="宋体"/>
                <w:color w:val="auto"/>
                <w:sz w:val="22"/>
                <w:szCs w:val="22"/>
                <w:highlight w:val="none"/>
              </w:rPr>
            </w:pPr>
          </w:p>
        </w:tc>
        <w:tc>
          <w:tcPr>
            <w:tcW w:w="720" w:type="dxa"/>
            <w:noWrap w:val="0"/>
            <w:vAlign w:val="center"/>
          </w:tcPr>
          <w:p w14:paraId="55407BCF">
            <w:pPr>
              <w:spacing w:line="360" w:lineRule="auto"/>
              <w:rPr>
                <w:rFonts w:hint="eastAsia" w:ascii="宋体" w:hAnsi="宋体" w:eastAsia="宋体" w:cs="宋体"/>
                <w:color w:val="auto"/>
                <w:sz w:val="22"/>
                <w:szCs w:val="22"/>
                <w:highlight w:val="none"/>
              </w:rPr>
            </w:pPr>
          </w:p>
        </w:tc>
        <w:tc>
          <w:tcPr>
            <w:tcW w:w="1080" w:type="dxa"/>
            <w:noWrap w:val="0"/>
            <w:vAlign w:val="center"/>
          </w:tcPr>
          <w:p w14:paraId="027BBEFF">
            <w:pPr>
              <w:spacing w:line="360" w:lineRule="auto"/>
              <w:rPr>
                <w:rFonts w:hint="eastAsia" w:ascii="宋体" w:hAnsi="宋体" w:eastAsia="宋体" w:cs="宋体"/>
                <w:color w:val="auto"/>
                <w:sz w:val="22"/>
                <w:szCs w:val="22"/>
                <w:highlight w:val="none"/>
              </w:rPr>
            </w:pPr>
          </w:p>
        </w:tc>
        <w:tc>
          <w:tcPr>
            <w:tcW w:w="1458" w:type="dxa"/>
            <w:noWrap w:val="0"/>
            <w:vAlign w:val="center"/>
          </w:tcPr>
          <w:p w14:paraId="27FB5E27">
            <w:pPr>
              <w:spacing w:line="360" w:lineRule="auto"/>
              <w:rPr>
                <w:rFonts w:hint="eastAsia" w:ascii="宋体" w:hAnsi="宋体" w:eastAsia="宋体" w:cs="宋体"/>
                <w:color w:val="auto"/>
                <w:sz w:val="22"/>
                <w:szCs w:val="22"/>
                <w:highlight w:val="none"/>
              </w:rPr>
            </w:pPr>
          </w:p>
        </w:tc>
        <w:tc>
          <w:tcPr>
            <w:tcW w:w="1422" w:type="dxa"/>
            <w:noWrap w:val="0"/>
            <w:vAlign w:val="center"/>
          </w:tcPr>
          <w:p w14:paraId="3EF217EB">
            <w:pPr>
              <w:spacing w:line="360" w:lineRule="auto"/>
              <w:rPr>
                <w:rFonts w:hint="eastAsia" w:ascii="宋体" w:hAnsi="宋体" w:eastAsia="宋体" w:cs="宋体"/>
                <w:color w:val="auto"/>
                <w:sz w:val="22"/>
                <w:szCs w:val="22"/>
                <w:highlight w:val="none"/>
              </w:rPr>
            </w:pPr>
          </w:p>
        </w:tc>
      </w:tr>
      <w:tr w14:paraId="43A7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11" w:type="dxa"/>
            <w:noWrap w:val="0"/>
            <w:vAlign w:val="center"/>
          </w:tcPr>
          <w:p w14:paraId="05C9A229">
            <w:pPr>
              <w:spacing w:line="360" w:lineRule="auto"/>
              <w:rPr>
                <w:rFonts w:hint="eastAsia" w:ascii="宋体" w:hAnsi="宋体" w:eastAsia="宋体" w:cs="宋体"/>
                <w:color w:val="auto"/>
                <w:sz w:val="22"/>
                <w:szCs w:val="22"/>
                <w:highlight w:val="none"/>
              </w:rPr>
            </w:pPr>
          </w:p>
        </w:tc>
        <w:tc>
          <w:tcPr>
            <w:tcW w:w="2351" w:type="dxa"/>
            <w:noWrap w:val="0"/>
            <w:vAlign w:val="center"/>
          </w:tcPr>
          <w:p w14:paraId="7806841A">
            <w:pPr>
              <w:spacing w:line="360" w:lineRule="auto"/>
              <w:rPr>
                <w:rFonts w:hint="eastAsia" w:ascii="宋体" w:hAnsi="宋体" w:eastAsia="宋体" w:cs="宋体"/>
                <w:color w:val="auto"/>
                <w:sz w:val="22"/>
                <w:szCs w:val="22"/>
                <w:highlight w:val="none"/>
              </w:rPr>
            </w:pPr>
          </w:p>
        </w:tc>
        <w:tc>
          <w:tcPr>
            <w:tcW w:w="720" w:type="dxa"/>
            <w:noWrap w:val="0"/>
            <w:vAlign w:val="center"/>
          </w:tcPr>
          <w:p w14:paraId="1CE2BE1C">
            <w:pPr>
              <w:spacing w:line="360" w:lineRule="auto"/>
              <w:rPr>
                <w:rFonts w:hint="eastAsia" w:ascii="宋体" w:hAnsi="宋体" w:eastAsia="宋体" w:cs="宋体"/>
                <w:color w:val="auto"/>
                <w:sz w:val="22"/>
                <w:szCs w:val="22"/>
                <w:highlight w:val="none"/>
              </w:rPr>
            </w:pPr>
          </w:p>
        </w:tc>
        <w:tc>
          <w:tcPr>
            <w:tcW w:w="720" w:type="dxa"/>
            <w:noWrap w:val="0"/>
            <w:vAlign w:val="center"/>
          </w:tcPr>
          <w:p w14:paraId="58E98327">
            <w:pPr>
              <w:spacing w:line="360" w:lineRule="auto"/>
              <w:rPr>
                <w:rFonts w:hint="eastAsia" w:ascii="宋体" w:hAnsi="宋体" w:eastAsia="宋体" w:cs="宋体"/>
                <w:color w:val="auto"/>
                <w:sz w:val="22"/>
                <w:szCs w:val="22"/>
                <w:highlight w:val="none"/>
              </w:rPr>
            </w:pPr>
          </w:p>
        </w:tc>
        <w:tc>
          <w:tcPr>
            <w:tcW w:w="720" w:type="dxa"/>
            <w:noWrap w:val="0"/>
            <w:vAlign w:val="center"/>
          </w:tcPr>
          <w:p w14:paraId="0FEA05E5">
            <w:pPr>
              <w:spacing w:line="360" w:lineRule="auto"/>
              <w:rPr>
                <w:rFonts w:hint="eastAsia" w:ascii="宋体" w:hAnsi="宋体" w:eastAsia="宋体" w:cs="宋体"/>
                <w:color w:val="auto"/>
                <w:sz w:val="22"/>
                <w:szCs w:val="22"/>
                <w:highlight w:val="none"/>
              </w:rPr>
            </w:pPr>
          </w:p>
        </w:tc>
        <w:tc>
          <w:tcPr>
            <w:tcW w:w="1080" w:type="dxa"/>
            <w:noWrap w:val="0"/>
            <w:vAlign w:val="center"/>
          </w:tcPr>
          <w:p w14:paraId="38F8403C">
            <w:pPr>
              <w:spacing w:line="360" w:lineRule="auto"/>
              <w:rPr>
                <w:rFonts w:hint="eastAsia" w:ascii="宋体" w:hAnsi="宋体" w:eastAsia="宋体" w:cs="宋体"/>
                <w:color w:val="auto"/>
                <w:sz w:val="22"/>
                <w:szCs w:val="22"/>
                <w:highlight w:val="none"/>
              </w:rPr>
            </w:pPr>
          </w:p>
        </w:tc>
        <w:tc>
          <w:tcPr>
            <w:tcW w:w="1458" w:type="dxa"/>
            <w:noWrap w:val="0"/>
            <w:vAlign w:val="center"/>
          </w:tcPr>
          <w:p w14:paraId="60BF8126">
            <w:pPr>
              <w:spacing w:line="360" w:lineRule="auto"/>
              <w:rPr>
                <w:rFonts w:hint="eastAsia" w:ascii="宋体" w:hAnsi="宋体" w:eastAsia="宋体" w:cs="宋体"/>
                <w:color w:val="auto"/>
                <w:sz w:val="22"/>
                <w:szCs w:val="22"/>
                <w:highlight w:val="none"/>
              </w:rPr>
            </w:pPr>
          </w:p>
        </w:tc>
        <w:tc>
          <w:tcPr>
            <w:tcW w:w="1422" w:type="dxa"/>
            <w:noWrap w:val="0"/>
            <w:vAlign w:val="center"/>
          </w:tcPr>
          <w:p w14:paraId="0F0AA0CA">
            <w:pPr>
              <w:spacing w:line="360" w:lineRule="auto"/>
              <w:rPr>
                <w:rFonts w:hint="eastAsia" w:ascii="宋体" w:hAnsi="宋体" w:eastAsia="宋体" w:cs="宋体"/>
                <w:color w:val="auto"/>
                <w:sz w:val="22"/>
                <w:szCs w:val="22"/>
                <w:highlight w:val="none"/>
              </w:rPr>
            </w:pPr>
          </w:p>
        </w:tc>
      </w:tr>
    </w:tbl>
    <w:p w14:paraId="2875D976">
      <w:pPr>
        <w:spacing w:line="360" w:lineRule="exact"/>
        <w:ind w:left="968" w:hanging="968" w:hangingChars="44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附注：1、列入本表人员如要更换，需经采购人同意，擅自更换或不到位属违约行为；</w:t>
      </w:r>
    </w:p>
    <w:p w14:paraId="6C89AB66">
      <w:pPr>
        <w:spacing w:line="360" w:lineRule="exact"/>
        <w:ind w:left="718" w:leftChars="321" w:hanging="44" w:hangingChars="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2、职称/认证证书复印件附后。</w:t>
      </w:r>
    </w:p>
    <w:p w14:paraId="5E19B955">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038994AC">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66F318FD">
      <w:pPr>
        <w:spacing w:line="360" w:lineRule="auto"/>
        <w:ind w:left="2520" w:leftChars="0" w:firstLine="420" w:firstLineChars="0"/>
        <w:rPr>
          <w:rFonts w:hint="eastAsia" w:ascii="宋体" w:hAnsi="宋体" w:eastAsia="宋体" w:cs="宋体"/>
          <w:b/>
          <w:color w:val="auto"/>
          <w:sz w:val="24"/>
          <w:highlight w:val="none"/>
        </w:rPr>
      </w:pPr>
      <w:r>
        <w:rPr>
          <w:rFonts w:hint="eastAsia" w:ascii="宋体" w:hAnsi="宋体" w:eastAsia="宋体" w:cs="宋体"/>
          <w:b w:val="0"/>
          <w:bCs/>
          <w:color w:val="auto"/>
          <w:sz w:val="22"/>
          <w:szCs w:val="22"/>
          <w:highlight w:val="none"/>
        </w:rPr>
        <w:t>日    期：</w:t>
      </w:r>
      <w:r>
        <w:rPr>
          <w:rFonts w:hint="eastAsia" w:ascii="宋体" w:hAnsi="宋体" w:eastAsia="宋体" w:cs="宋体"/>
          <w:b/>
          <w:color w:val="auto"/>
          <w:sz w:val="24"/>
          <w:highlight w:val="none"/>
        </w:rPr>
        <w:br w:type="page"/>
      </w:r>
    </w:p>
    <w:p w14:paraId="48F365DF">
      <w:pPr>
        <w:spacing w:line="400" w:lineRule="exact"/>
        <w:jc w:val="center"/>
        <w:outlineLvl w:val="3"/>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w:t>
      </w:r>
      <w:r>
        <w:rPr>
          <w:rFonts w:hint="eastAsia" w:ascii="宋体" w:hAnsi="宋体" w:cs="宋体"/>
          <w:b/>
          <w:bCs/>
          <w:color w:val="auto"/>
          <w:sz w:val="28"/>
          <w:szCs w:val="28"/>
          <w:highlight w:val="none"/>
          <w:lang w:val="en-US" w:eastAsia="zh-CN"/>
        </w:rPr>
        <w:t>5</w:t>
      </w:r>
      <w:r>
        <w:rPr>
          <w:rFonts w:hint="eastAsia" w:ascii="宋体" w:hAnsi="宋体" w:eastAsia="宋体" w:cs="宋体"/>
          <w:b/>
          <w:bCs/>
          <w:color w:val="auto"/>
          <w:sz w:val="28"/>
          <w:szCs w:val="28"/>
          <w:highlight w:val="none"/>
          <w:lang w:val="en-US" w:eastAsia="zh-CN"/>
        </w:rPr>
        <w:t>、保密承诺</w:t>
      </w:r>
    </w:p>
    <w:p w14:paraId="1418E81C">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3F05736A">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6028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vAlign w:val="center"/>
          </w:tcPr>
          <w:p w14:paraId="781C0B40">
            <w:pPr>
              <w:spacing w:line="360" w:lineRule="auto"/>
              <w:rPr>
                <w:rFonts w:hint="eastAsia" w:ascii="宋体" w:hAnsi="宋体" w:eastAsia="宋体" w:cs="宋体"/>
                <w:color w:val="auto"/>
                <w:sz w:val="22"/>
                <w:szCs w:val="22"/>
                <w:highlight w:val="none"/>
              </w:rPr>
            </w:pPr>
          </w:p>
        </w:tc>
      </w:tr>
    </w:tbl>
    <w:p w14:paraId="48DF679A">
      <w:pPr>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6CAB0464">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692E658E">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6F72AA45">
      <w:pPr>
        <w:spacing w:line="360" w:lineRule="auto"/>
        <w:ind w:left="2520" w:leftChars="0" w:firstLine="420" w:firstLineChars="0"/>
        <w:rPr>
          <w:rFonts w:hint="eastAsia" w:ascii="宋体" w:hAnsi="宋体" w:eastAsia="宋体" w:cs="宋体"/>
          <w:color w:val="auto"/>
          <w:highlight w:val="none"/>
        </w:rPr>
      </w:pPr>
      <w:r>
        <w:rPr>
          <w:rFonts w:hint="eastAsia" w:ascii="宋体" w:hAnsi="宋体" w:eastAsia="宋体" w:cs="宋体"/>
          <w:b w:val="0"/>
          <w:bCs/>
          <w:color w:val="auto"/>
          <w:sz w:val="22"/>
          <w:szCs w:val="22"/>
          <w:highlight w:val="none"/>
        </w:rPr>
        <w:t>日    期：</w:t>
      </w:r>
    </w:p>
    <w:p w14:paraId="54D79D47">
      <w:pPr>
        <w:pStyle w:val="21"/>
        <w:rPr>
          <w:rFonts w:hint="eastAsia" w:ascii="宋体" w:hAnsi="宋体" w:eastAsia="宋体" w:cs="宋体"/>
          <w:color w:val="auto"/>
          <w:highlight w:val="none"/>
        </w:rPr>
      </w:pPr>
    </w:p>
    <w:p w14:paraId="52571A3A">
      <w:pPr>
        <w:pStyle w:val="21"/>
        <w:rPr>
          <w:rFonts w:hint="eastAsia" w:ascii="宋体" w:hAnsi="宋体" w:eastAsia="宋体" w:cs="宋体"/>
          <w:color w:val="auto"/>
          <w:highlight w:val="none"/>
        </w:rPr>
      </w:pPr>
    </w:p>
    <w:p w14:paraId="0B0A874E">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0DB3CE15">
      <w:pPr>
        <w:spacing w:line="400" w:lineRule="exact"/>
        <w:jc w:val="center"/>
        <w:outlineLvl w:val="3"/>
        <w:rPr>
          <w:rFonts w:hint="eastAsia" w:ascii="宋体" w:hAnsi="宋体" w:eastAsia="宋体" w:cs="宋体"/>
          <w:b/>
          <w:bCs/>
          <w:color w:val="auto"/>
          <w:sz w:val="28"/>
          <w:szCs w:val="28"/>
          <w:highlight w:val="none"/>
          <w:lang w:val="zh-CN" w:eastAsia="zh-CN"/>
        </w:rPr>
      </w:pPr>
      <w:r>
        <w:rPr>
          <w:rFonts w:hint="eastAsia" w:ascii="宋体" w:hAnsi="宋体" w:cs="宋体"/>
          <w:b/>
          <w:bCs/>
          <w:color w:val="auto"/>
          <w:sz w:val="28"/>
          <w:szCs w:val="28"/>
          <w:highlight w:val="none"/>
          <w:lang w:val="en-US" w:eastAsia="zh-CN"/>
        </w:rPr>
        <w:t>16</w:t>
      </w:r>
      <w:r>
        <w:rPr>
          <w:rFonts w:hint="eastAsia" w:ascii="宋体" w:hAnsi="宋体" w:eastAsia="宋体" w:cs="宋体"/>
          <w:b/>
          <w:bCs/>
          <w:color w:val="auto"/>
          <w:sz w:val="28"/>
          <w:szCs w:val="28"/>
          <w:highlight w:val="none"/>
          <w:lang w:val="en-US" w:eastAsia="zh-CN"/>
        </w:rPr>
        <w:t>、投标人的业绩</w:t>
      </w:r>
    </w:p>
    <w:p w14:paraId="63550227">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08F2AF0B">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highlight w:val="none"/>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r>
        <w:rPr>
          <w:rFonts w:hint="eastAsia" w:ascii="宋体" w:hAnsi="宋体" w:eastAsia="宋体" w:cs="宋体"/>
          <w:color w:val="auto"/>
          <w:highlight w:val="none"/>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069"/>
        <w:gridCol w:w="2437"/>
        <w:gridCol w:w="1737"/>
        <w:gridCol w:w="1737"/>
        <w:gridCol w:w="926"/>
      </w:tblGrid>
      <w:tr w14:paraId="2A0C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2C9CFD4D">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序号</w:t>
            </w:r>
          </w:p>
        </w:tc>
        <w:tc>
          <w:tcPr>
            <w:tcW w:w="2069" w:type="dxa"/>
            <w:noWrap w:val="0"/>
            <w:vAlign w:val="center"/>
          </w:tcPr>
          <w:p w14:paraId="62B4E880">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用户名称</w:t>
            </w:r>
          </w:p>
        </w:tc>
        <w:tc>
          <w:tcPr>
            <w:tcW w:w="2437" w:type="dxa"/>
            <w:noWrap w:val="0"/>
            <w:vAlign w:val="center"/>
          </w:tcPr>
          <w:p w14:paraId="4CFA1669">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项目名称</w:t>
            </w:r>
          </w:p>
        </w:tc>
        <w:tc>
          <w:tcPr>
            <w:tcW w:w="1737" w:type="dxa"/>
            <w:noWrap w:val="0"/>
            <w:vAlign w:val="center"/>
          </w:tcPr>
          <w:p w14:paraId="3927725D">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合同金额</w:t>
            </w:r>
          </w:p>
        </w:tc>
        <w:tc>
          <w:tcPr>
            <w:tcW w:w="1737" w:type="dxa"/>
            <w:noWrap w:val="0"/>
            <w:vAlign w:val="center"/>
          </w:tcPr>
          <w:p w14:paraId="1309E7D3">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联系方式</w:t>
            </w:r>
          </w:p>
        </w:tc>
        <w:tc>
          <w:tcPr>
            <w:tcW w:w="926" w:type="dxa"/>
            <w:noWrap w:val="0"/>
            <w:vAlign w:val="center"/>
          </w:tcPr>
          <w:p w14:paraId="4BC75A6F">
            <w:pPr>
              <w:spacing w:line="380" w:lineRule="exact"/>
              <w:ind w:left="442" w:hanging="442" w:hangingChars="20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备注</w:t>
            </w:r>
          </w:p>
        </w:tc>
      </w:tr>
      <w:tr w14:paraId="3C28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2CFBAE2B">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4BBAEB51">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7B42238C">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69652397">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5235BF35">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47753B10">
            <w:pPr>
              <w:spacing w:line="380" w:lineRule="exact"/>
              <w:ind w:left="442" w:hanging="442" w:hangingChars="200"/>
              <w:jc w:val="center"/>
              <w:rPr>
                <w:rFonts w:hint="eastAsia" w:ascii="宋体" w:hAnsi="宋体" w:eastAsia="宋体" w:cs="宋体"/>
                <w:b/>
                <w:bCs/>
                <w:color w:val="auto"/>
                <w:sz w:val="22"/>
                <w:szCs w:val="22"/>
                <w:highlight w:val="none"/>
              </w:rPr>
            </w:pPr>
          </w:p>
        </w:tc>
      </w:tr>
      <w:tr w14:paraId="5CFA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6476C7D5">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673F2C19">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1A42B0F2">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0063D692">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2CD51302">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329F747C">
            <w:pPr>
              <w:spacing w:line="380" w:lineRule="exact"/>
              <w:ind w:left="442" w:hanging="442" w:hangingChars="200"/>
              <w:jc w:val="center"/>
              <w:rPr>
                <w:rFonts w:hint="eastAsia" w:ascii="宋体" w:hAnsi="宋体" w:eastAsia="宋体" w:cs="宋体"/>
                <w:b/>
                <w:bCs/>
                <w:color w:val="auto"/>
                <w:sz w:val="22"/>
                <w:szCs w:val="22"/>
                <w:highlight w:val="none"/>
              </w:rPr>
            </w:pPr>
          </w:p>
        </w:tc>
      </w:tr>
      <w:tr w14:paraId="2050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7685136F">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1DF8DAE6">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5E02B11B">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054C4A87">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446A1FBE">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5DF77B91">
            <w:pPr>
              <w:spacing w:line="380" w:lineRule="exact"/>
              <w:ind w:left="442" w:hanging="442" w:hangingChars="200"/>
              <w:jc w:val="center"/>
              <w:rPr>
                <w:rFonts w:hint="eastAsia" w:ascii="宋体" w:hAnsi="宋体" w:eastAsia="宋体" w:cs="宋体"/>
                <w:b/>
                <w:bCs/>
                <w:color w:val="auto"/>
                <w:sz w:val="22"/>
                <w:szCs w:val="22"/>
                <w:highlight w:val="none"/>
              </w:rPr>
            </w:pPr>
          </w:p>
        </w:tc>
      </w:tr>
      <w:tr w14:paraId="4153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3DA296C2">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586A76E9">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70E80DF0">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65327242">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3C979C67">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0A079258">
            <w:pPr>
              <w:spacing w:line="380" w:lineRule="exact"/>
              <w:ind w:left="442" w:hanging="442" w:hangingChars="200"/>
              <w:jc w:val="center"/>
              <w:rPr>
                <w:rFonts w:hint="eastAsia" w:ascii="宋体" w:hAnsi="宋体" w:eastAsia="宋体" w:cs="宋体"/>
                <w:b/>
                <w:bCs/>
                <w:color w:val="auto"/>
                <w:sz w:val="22"/>
                <w:szCs w:val="22"/>
                <w:highlight w:val="none"/>
              </w:rPr>
            </w:pPr>
          </w:p>
        </w:tc>
      </w:tr>
      <w:tr w14:paraId="0099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00ACFB4A">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22BFF534">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6B49B3F7">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62958562">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1075C964">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618F1BC6">
            <w:pPr>
              <w:spacing w:line="380" w:lineRule="exact"/>
              <w:ind w:left="442" w:hanging="442" w:hangingChars="200"/>
              <w:jc w:val="center"/>
              <w:rPr>
                <w:rFonts w:hint="eastAsia" w:ascii="宋体" w:hAnsi="宋体" w:eastAsia="宋体" w:cs="宋体"/>
                <w:b/>
                <w:bCs/>
                <w:color w:val="auto"/>
                <w:sz w:val="22"/>
                <w:szCs w:val="22"/>
                <w:highlight w:val="none"/>
              </w:rPr>
            </w:pPr>
          </w:p>
        </w:tc>
      </w:tr>
      <w:tr w14:paraId="736F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1217E655">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2648AE5B">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00FE9E73">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6DB93D25">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681395F9">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65413A83">
            <w:pPr>
              <w:spacing w:line="380" w:lineRule="exact"/>
              <w:ind w:left="442" w:hanging="442" w:hangingChars="200"/>
              <w:jc w:val="center"/>
              <w:rPr>
                <w:rFonts w:hint="eastAsia" w:ascii="宋体" w:hAnsi="宋体" w:eastAsia="宋体" w:cs="宋体"/>
                <w:b/>
                <w:bCs/>
                <w:color w:val="auto"/>
                <w:sz w:val="22"/>
                <w:szCs w:val="22"/>
                <w:highlight w:val="none"/>
              </w:rPr>
            </w:pPr>
          </w:p>
        </w:tc>
      </w:tr>
      <w:tr w14:paraId="421E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39CCC672">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45F19956">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6A9ADC16">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6428433B">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7322E40C">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5702BF15">
            <w:pPr>
              <w:spacing w:line="380" w:lineRule="exact"/>
              <w:ind w:left="442" w:hanging="442" w:hangingChars="200"/>
              <w:jc w:val="center"/>
              <w:rPr>
                <w:rFonts w:hint="eastAsia" w:ascii="宋体" w:hAnsi="宋体" w:eastAsia="宋体" w:cs="宋体"/>
                <w:b/>
                <w:bCs/>
                <w:color w:val="auto"/>
                <w:sz w:val="22"/>
                <w:szCs w:val="22"/>
                <w:highlight w:val="none"/>
              </w:rPr>
            </w:pPr>
          </w:p>
        </w:tc>
      </w:tr>
      <w:tr w14:paraId="0E5D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617E57AE">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23FAD818">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26C3AE42">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21232811">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2BBBB533">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6A96A9F1">
            <w:pPr>
              <w:spacing w:line="380" w:lineRule="exact"/>
              <w:ind w:left="442" w:hanging="442" w:hangingChars="200"/>
              <w:jc w:val="center"/>
              <w:rPr>
                <w:rFonts w:hint="eastAsia" w:ascii="宋体" w:hAnsi="宋体" w:eastAsia="宋体" w:cs="宋体"/>
                <w:b/>
                <w:bCs/>
                <w:color w:val="auto"/>
                <w:sz w:val="22"/>
                <w:szCs w:val="22"/>
                <w:highlight w:val="none"/>
              </w:rPr>
            </w:pPr>
          </w:p>
        </w:tc>
      </w:tr>
      <w:tr w14:paraId="3564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034A5195">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539D43DB">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367346EE">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1A075ADF">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4EBF3D67">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6207E0D9">
            <w:pPr>
              <w:spacing w:line="380" w:lineRule="exact"/>
              <w:ind w:left="442" w:hanging="442" w:hangingChars="200"/>
              <w:jc w:val="center"/>
              <w:rPr>
                <w:rFonts w:hint="eastAsia" w:ascii="宋体" w:hAnsi="宋体" w:eastAsia="宋体" w:cs="宋体"/>
                <w:b/>
                <w:bCs/>
                <w:color w:val="auto"/>
                <w:sz w:val="22"/>
                <w:szCs w:val="22"/>
                <w:highlight w:val="none"/>
              </w:rPr>
            </w:pPr>
          </w:p>
        </w:tc>
      </w:tr>
      <w:tr w14:paraId="2F27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2A975EFE">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5128C21B">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59867848">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3279B826">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04D19919">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50A86A02">
            <w:pPr>
              <w:spacing w:line="380" w:lineRule="exact"/>
              <w:ind w:left="442" w:hanging="442" w:hangingChars="200"/>
              <w:jc w:val="center"/>
              <w:rPr>
                <w:rFonts w:hint="eastAsia" w:ascii="宋体" w:hAnsi="宋体" w:eastAsia="宋体" w:cs="宋体"/>
                <w:b/>
                <w:bCs/>
                <w:color w:val="auto"/>
                <w:sz w:val="22"/>
                <w:szCs w:val="22"/>
                <w:highlight w:val="none"/>
              </w:rPr>
            </w:pPr>
          </w:p>
        </w:tc>
      </w:tr>
      <w:tr w14:paraId="3B51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07F6FD81">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6E239ADE">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2BC202CE">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158B85DC">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12AC6030">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32F02064">
            <w:pPr>
              <w:spacing w:line="380" w:lineRule="exact"/>
              <w:ind w:left="442" w:hanging="442" w:hangingChars="200"/>
              <w:jc w:val="center"/>
              <w:rPr>
                <w:rFonts w:hint="eastAsia" w:ascii="宋体" w:hAnsi="宋体" w:eastAsia="宋体" w:cs="宋体"/>
                <w:b/>
                <w:bCs/>
                <w:color w:val="auto"/>
                <w:sz w:val="22"/>
                <w:szCs w:val="22"/>
                <w:highlight w:val="none"/>
              </w:rPr>
            </w:pPr>
          </w:p>
        </w:tc>
      </w:tr>
      <w:tr w14:paraId="4AEC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6B374D7E">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70D12FE9">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4C99CC89">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72438069">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15845F00">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01851D92">
            <w:pPr>
              <w:spacing w:line="380" w:lineRule="exact"/>
              <w:ind w:left="442" w:hanging="442" w:hangingChars="200"/>
              <w:jc w:val="center"/>
              <w:rPr>
                <w:rFonts w:hint="eastAsia" w:ascii="宋体" w:hAnsi="宋体" w:eastAsia="宋体" w:cs="宋体"/>
                <w:b/>
                <w:bCs/>
                <w:color w:val="auto"/>
                <w:sz w:val="22"/>
                <w:szCs w:val="22"/>
                <w:highlight w:val="none"/>
              </w:rPr>
            </w:pPr>
          </w:p>
        </w:tc>
      </w:tr>
      <w:tr w14:paraId="1876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3C36EB50">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509C02DA">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5940F9D0">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2646BEE5">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391CE671">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03466CBE">
            <w:pPr>
              <w:spacing w:line="380" w:lineRule="exact"/>
              <w:ind w:left="442" w:hanging="442" w:hangingChars="200"/>
              <w:jc w:val="center"/>
              <w:rPr>
                <w:rFonts w:hint="eastAsia" w:ascii="宋体" w:hAnsi="宋体" w:eastAsia="宋体" w:cs="宋体"/>
                <w:b/>
                <w:bCs/>
                <w:color w:val="auto"/>
                <w:sz w:val="22"/>
                <w:szCs w:val="22"/>
                <w:highlight w:val="none"/>
              </w:rPr>
            </w:pPr>
          </w:p>
        </w:tc>
      </w:tr>
      <w:tr w14:paraId="6523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2" w:type="dxa"/>
            <w:noWrap w:val="0"/>
            <w:vAlign w:val="center"/>
          </w:tcPr>
          <w:p w14:paraId="3FC5CACC">
            <w:pPr>
              <w:spacing w:line="380" w:lineRule="exact"/>
              <w:ind w:left="442" w:hanging="442" w:hangingChars="200"/>
              <w:jc w:val="center"/>
              <w:rPr>
                <w:rFonts w:hint="eastAsia" w:ascii="宋体" w:hAnsi="宋体" w:eastAsia="宋体" w:cs="宋体"/>
                <w:b/>
                <w:bCs/>
                <w:color w:val="auto"/>
                <w:sz w:val="22"/>
                <w:szCs w:val="22"/>
                <w:highlight w:val="none"/>
              </w:rPr>
            </w:pPr>
          </w:p>
        </w:tc>
        <w:tc>
          <w:tcPr>
            <w:tcW w:w="2069" w:type="dxa"/>
            <w:noWrap w:val="0"/>
            <w:vAlign w:val="center"/>
          </w:tcPr>
          <w:p w14:paraId="707E8027">
            <w:pPr>
              <w:spacing w:line="380" w:lineRule="exact"/>
              <w:ind w:left="442" w:hanging="442" w:hangingChars="200"/>
              <w:jc w:val="center"/>
              <w:rPr>
                <w:rFonts w:hint="eastAsia" w:ascii="宋体" w:hAnsi="宋体" w:eastAsia="宋体" w:cs="宋体"/>
                <w:b/>
                <w:bCs/>
                <w:color w:val="auto"/>
                <w:sz w:val="22"/>
                <w:szCs w:val="22"/>
                <w:highlight w:val="none"/>
              </w:rPr>
            </w:pPr>
          </w:p>
        </w:tc>
        <w:tc>
          <w:tcPr>
            <w:tcW w:w="2437" w:type="dxa"/>
            <w:noWrap w:val="0"/>
            <w:vAlign w:val="center"/>
          </w:tcPr>
          <w:p w14:paraId="352A3059">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21A0CB1F">
            <w:pPr>
              <w:spacing w:line="380" w:lineRule="exact"/>
              <w:ind w:left="442" w:hanging="442" w:hangingChars="200"/>
              <w:jc w:val="center"/>
              <w:rPr>
                <w:rFonts w:hint="eastAsia" w:ascii="宋体" w:hAnsi="宋体" w:eastAsia="宋体" w:cs="宋体"/>
                <w:b/>
                <w:bCs/>
                <w:color w:val="auto"/>
                <w:sz w:val="22"/>
                <w:szCs w:val="22"/>
                <w:highlight w:val="none"/>
              </w:rPr>
            </w:pPr>
          </w:p>
        </w:tc>
        <w:tc>
          <w:tcPr>
            <w:tcW w:w="1737" w:type="dxa"/>
            <w:noWrap w:val="0"/>
            <w:vAlign w:val="center"/>
          </w:tcPr>
          <w:p w14:paraId="16182441">
            <w:pPr>
              <w:spacing w:line="380" w:lineRule="exact"/>
              <w:ind w:left="442" w:hanging="442" w:hangingChars="200"/>
              <w:jc w:val="center"/>
              <w:rPr>
                <w:rFonts w:hint="eastAsia" w:ascii="宋体" w:hAnsi="宋体" w:eastAsia="宋体" w:cs="宋体"/>
                <w:b/>
                <w:bCs/>
                <w:color w:val="auto"/>
                <w:sz w:val="22"/>
                <w:szCs w:val="22"/>
                <w:highlight w:val="none"/>
              </w:rPr>
            </w:pPr>
          </w:p>
        </w:tc>
        <w:tc>
          <w:tcPr>
            <w:tcW w:w="926" w:type="dxa"/>
            <w:noWrap w:val="0"/>
            <w:vAlign w:val="center"/>
          </w:tcPr>
          <w:p w14:paraId="2C5DBBB3">
            <w:pPr>
              <w:spacing w:line="380" w:lineRule="exact"/>
              <w:ind w:left="442" w:hanging="442" w:hangingChars="200"/>
              <w:jc w:val="center"/>
              <w:rPr>
                <w:rFonts w:hint="eastAsia" w:ascii="宋体" w:hAnsi="宋体" w:eastAsia="宋体" w:cs="宋体"/>
                <w:b/>
                <w:bCs/>
                <w:color w:val="auto"/>
                <w:sz w:val="22"/>
                <w:szCs w:val="22"/>
                <w:highlight w:val="none"/>
              </w:rPr>
            </w:pPr>
          </w:p>
        </w:tc>
      </w:tr>
    </w:tbl>
    <w:p w14:paraId="123C35FB">
      <w:pPr>
        <w:pStyle w:val="28"/>
        <w:spacing w:line="400" w:lineRule="atLeast"/>
        <w:ind w:left="5360" w:leftChars="2500" w:hanging="110" w:hangingChars="50"/>
        <w:rPr>
          <w:rFonts w:hint="eastAsia" w:ascii="宋体" w:hAnsi="宋体" w:eastAsia="宋体" w:cs="宋体"/>
          <w:color w:val="auto"/>
          <w:sz w:val="22"/>
          <w:szCs w:val="22"/>
          <w:highlight w:val="none"/>
        </w:rPr>
      </w:pPr>
    </w:p>
    <w:p w14:paraId="3B559A51">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1174B5BB">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20C5ED00">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日    期：</w:t>
      </w:r>
    </w:p>
    <w:p w14:paraId="1D0AA7C6">
      <w:pPr>
        <w:pStyle w:val="28"/>
        <w:spacing w:line="460" w:lineRule="exact"/>
        <w:ind w:left="663" w:hanging="663" w:hangingChars="300"/>
        <w:rPr>
          <w:rFonts w:hint="eastAsia" w:ascii="宋体" w:hAnsi="宋体" w:eastAsia="宋体" w:cs="宋体"/>
          <w:color w:val="auto"/>
          <w:sz w:val="22"/>
          <w:highlight w:val="none"/>
        </w:rPr>
      </w:pPr>
    </w:p>
    <w:p w14:paraId="5E359C99">
      <w:pPr>
        <w:pStyle w:val="28"/>
        <w:spacing w:line="460" w:lineRule="exact"/>
        <w:ind w:left="663" w:hanging="663" w:hangingChars="300"/>
        <w:rPr>
          <w:rFonts w:hint="eastAsia" w:ascii="宋体" w:hAnsi="宋体" w:eastAsia="宋体" w:cs="宋体"/>
          <w:color w:val="auto"/>
          <w:sz w:val="22"/>
          <w:highlight w:val="none"/>
        </w:rPr>
      </w:pPr>
    </w:p>
    <w:p w14:paraId="05A8F502">
      <w:pPr>
        <w:spacing w:line="400" w:lineRule="exact"/>
        <w:jc w:val="center"/>
        <w:outlineLvl w:val="3"/>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w:t>
      </w:r>
      <w:r>
        <w:rPr>
          <w:rFonts w:hint="eastAsia" w:ascii="宋体" w:hAnsi="宋体" w:cs="宋体"/>
          <w:b/>
          <w:bCs/>
          <w:color w:val="auto"/>
          <w:sz w:val="28"/>
          <w:szCs w:val="28"/>
          <w:highlight w:val="none"/>
          <w:lang w:val="en-US" w:eastAsia="zh-CN"/>
        </w:rPr>
        <w:t>8</w:t>
      </w:r>
      <w:r>
        <w:rPr>
          <w:rFonts w:hint="eastAsia" w:ascii="宋体" w:hAnsi="宋体" w:eastAsia="宋体" w:cs="宋体"/>
          <w:b/>
          <w:bCs/>
          <w:color w:val="auto"/>
          <w:sz w:val="28"/>
          <w:szCs w:val="28"/>
          <w:highlight w:val="none"/>
        </w:rPr>
        <w:t>、其他必要提供的资料</w:t>
      </w:r>
    </w:p>
    <w:p w14:paraId="2BC724A8">
      <w:pPr>
        <w:spacing w:line="360" w:lineRule="auto"/>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rPr>
        <w:t>项目编号：</w:t>
      </w:r>
      <w:r>
        <w:rPr>
          <w:rFonts w:hint="eastAsia" w:ascii="宋体" w:hAnsi="宋体" w:cs="宋体"/>
          <w:b w:val="0"/>
          <w:bCs w:val="0"/>
          <w:color w:val="auto"/>
          <w:sz w:val="22"/>
          <w:szCs w:val="22"/>
          <w:highlight w:val="none"/>
          <w:lang w:eastAsia="zh-CN"/>
        </w:rPr>
        <w:t>WZLCZB（Z）-2025-01034</w:t>
      </w:r>
    </w:p>
    <w:p w14:paraId="439C1E17">
      <w:pPr>
        <w:keepNext/>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2"/>
          <w:szCs w:val="22"/>
          <w:highlight w:val="none"/>
          <w:lang w:eastAsia="zh-CN"/>
        </w:rPr>
      </w:pPr>
      <w:r>
        <w:rPr>
          <w:rFonts w:hint="eastAsia" w:ascii="宋体" w:hAnsi="宋体" w:eastAsia="宋体" w:cs="宋体"/>
          <w:b w:val="0"/>
          <w:bCs w:val="0"/>
          <w:color w:val="auto"/>
          <w:sz w:val="22"/>
          <w:szCs w:val="22"/>
          <w:highlight w:val="none"/>
        </w:rPr>
        <w:t>项目名称：</w:t>
      </w:r>
      <w:r>
        <w:rPr>
          <w:rFonts w:hint="eastAsia" w:ascii="宋体" w:hAnsi="宋体" w:cs="宋体"/>
          <w:b w:val="0"/>
          <w:bCs w:val="0"/>
          <w:color w:val="auto"/>
          <w:sz w:val="22"/>
          <w:szCs w:val="22"/>
          <w:highlight w:val="none"/>
          <w:lang w:eastAsia="zh-CN"/>
        </w:rPr>
        <w:t>2024-2025年市区道路交通安全设施维护项目(第一期)</w:t>
      </w:r>
    </w:p>
    <w:tbl>
      <w:tblPr>
        <w:tblStyle w:val="52"/>
        <w:tblW w:w="9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14:paraId="3DA0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8" w:hRule="atLeast"/>
          <w:jc w:val="center"/>
        </w:trPr>
        <w:tc>
          <w:tcPr>
            <w:tcW w:w="9801" w:type="dxa"/>
            <w:vAlign w:val="center"/>
          </w:tcPr>
          <w:p w14:paraId="3AB79ADD">
            <w:pPr>
              <w:spacing w:line="360" w:lineRule="auto"/>
              <w:rPr>
                <w:rFonts w:hint="eastAsia" w:ascii="宋体" w:hAnsi="宋体" w:eastAsia="宋体" w:cs="宋体"/>
                <w:color w:val="auto"/>
                <w:sz w:val="22"/>
                <w:szCs w:val="22"/>
                <w:highlight w:val="none"/>
              </w:rPr>
            </w:pPr>
          </w:p>
        </w:tc>
      </w:tr>
    </w:tbl>
    <w:p w14:paraId="55F12527">
      <w:pPr>
        <w:spacing w:line="460" w:lineRule="exact"/>
        <w:ind w:firstLine="5060" w:firstLineChars="2300"/>
        <w:rPr>
          <w:rFonts w:hint="eastAsia" w:ascii="宋体" w:hAnsi="宋体" w:eastAsia="宋体" w:cs="宋体"/>
          <w:color w:val="auto"/>
          <w:sz w:val="22"/>
          <w:szCs w:val="22"/>
          <w:highlight w:val="none"/>
        </w:rPr>
      </w:pPr>
    </w:p>
    <w:p w14:paraId="406D4174">
      <w:pPr>
        <w:pStyle w:val="28"/>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投标人全称（</w:t>
      </w:r>
      <w:r>
        <w:rPr>
          <w:rFonts w:hint="eastAsia" w:hAnsi="宋体" w:cs="宋体"/>
          <w:b w:val="0"/>
          <w:bCs/>
          <w:color w:val="auto"/>
          <w:sz w:val="22"/>
          <w:szCs w:val="22"/>
          <w:highlight w:val="none"/>
          <w:lang w:eastAsia="zh-CN"/>
        </w:rPr>
        <w:t>盖章或电子盖章</w:t>
      </w:r>
      <w:r>
        <w:rPr>
          <w:rFonts w:hint="eastAsia" w:ascii="宋体" w:hAnsi="宋体" w:eastAsia="宋体" w:cs="宋体"/>
          <w:b w:val="0"/>
          <w:bCs/>
          <w:color w:val="auto"/>
          <w:sz w:val="22"/>
          <w:szCs w:val="22"/>
          <w:highlight w:val="none"/>
        </w:rPr>
        <w:t>）：</w:t>
      </w:r>
    </w:p>
    <w:p w14:paraId="13219F77">
      <w:pPr>
        <w:spacing w:line="360" w:lineRule="auto"/>
        <w:ind w:left="2520" w:leftChars="0" w:firstLine="420" w:firstLineChars="0"/>
        <w:rPr>
          <w:rFonts w:hint="eastAsia" w:ascii="宋体" w:hAnsi="宋体" w:eastAsia="宋体" w:cs="宋体"/>
          <w:b w:val="0"/>
          <w:bCs/>
          <w:color w:val="auto"/>
          <w:sz w:val="22"/>
          <w:szCs w:val="22"/>
          <w:highlight w:val="none"/>
        </w:rPr>
      </w:pPr>
      <w:r>
        <w:rPr>
          <w:rFonts w:hint="eastAsia" w:ascii="宋体" w:hAnsi="宋体" w:eastAsia="宋体" w:cs="宋体"/>
          <w:color w:val="auto"/>
          <w:kern w:val="0"/>
          <w:sz w:val="22"/>
          <w:szCs w:val="22"/>
          <w:highlight w:val="none"/>
        </w:rPr>
        <w:t>法定代表人或其授权代表（签字或</w:t>
      </w:r>
      <w:r>
        <w:rPr>
          <w:rFonts w:hint="eastAsia" w:ascii="宋体" w:hAnsi="宋体" w:cs="宋体"/>
          <w:color w:val="auto"/>
          <w:kern w:val="0"/>
          <w:sz w:val="22"/>
          <w:szCs w:val="22"/>
          <w:highlight w:val="none"/>
          <w:lang w:eastAsia="zh-CN"/>
        </w:rPr>
        <w:t>盖章或电子盖章</w:t>
      </w:r>
      <w:r>
        <w:rPr>
          <w:rFonts w:hint="eastAsia" w:ascii="宋体" w:hAnsi="宋体" w:eastAsia="宋体" w:cs="宋体"/>
          <w:color w:val="auto"/>
          <w:kern w:val="0"/>
          <w:sz w:val="22"/>
          <w:szCs w:val="22"/>
          <w:highlight w:val="none"/>
        </w:rPr>
        <w:t>）</w:t>
      </w:r>
      <w:r>
        <w:rPr>
          <w:rFonts w:hint="eastAsia" w:ascii="宋体" w:hAnsi="宋体" w:eastAsia="宋体" w:cs="宋体"/>
          <w:b w:val="0"/>
          <w:bCs/>
          <w:color w:val="auto"/>
          <w:sz w:val="22"/>
          <w:szCs w:val="22"/>
          <w:highlight w:val="none"/>
        </w:rPr>
        <w:t>：</w:t>
      </w:r>
    </w:p>
    <w:p w14:paraId="6DBE873C">
      <w:pPr>
        <w:spacing w:line="360" w:lineRule="auto"/>
        <w:ind w:left="2520" w:leftChars="0" w:firstLine="420" w:firstLineChars="0"/>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日    期：</w:t>
      </w:r>
      <w:r>
        <w:rPr>
          <w:rFonts w:hint="eastAsia" w:ascii="宋体" w:hAnsi="宋体" w:eastAsia="宋体" w:cs="宋体"/>
          <w:color w:val="auto"/>
          <w:sz w:val="22"/>
          <w:szCs w:val="22"/>
          <w:highlight w:val="none"/>
        </w:rPr>
        <w:t xml:space="preserve"> </w:t>
      </w:r>
    </w:p>
    <w:p w14:paraId="4ACC91E1">
      <w:pPr>
        <w:spacing w:line="380" w:lineRule="exact"/>
        <w:ind w:firstLine="4400" w:firstLineChars="2000"/>
        <w:rPr>
          <w:rFonts w:hint="eastAsia" w:ascii="宋体" w:hAnsi="宋体" w:eastAsia="宋体" w:cs="宋体"/>
          <w:color w:val="auto"/>
          <w:sz w:val="22"/>
          <w:szCs w:val="22"/>
          <w:highlight w:val="none"/>
        </w:rPr>
      </w:pPr>
    </w:p>
    <w:p w14:paraId="6B1E3ABF">
      <w:pPr>
        <w:spacing w:line="460" w:lineRule="exact"/>
        <w:ind w:firstLine="4400" w:firstLineChars="2000"/>
        <w:rPr>
          <w:rFonts w:hint="eastAsia" w:ascii="宋体" w:hAnsi="宋体" w:eastAsia="宋体" w:cs="宋体"/>
          <w:color w:val="auto"/>
          <w:sz w:val="22"/>
          <w:szCs w:val="22"/>
          <w:highlight w:val="none"/>
        </w:rPr>
      </w:pPr>
    </w:p>
    <w:p w14:paraId="211F0DF9">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br w:type="page"/>
      </w:r>
    </w:p>
    <w:p w14:paraId="42122BC1">
      <w:pPr>
        <w:pStyle w:val="2"/>
        <w:numPr>
          <w:ilvl w:val="0"/>
          <w:numId w:val="0"/>
        </w:numPr>
        <w:bidi w:val="0"/>
        <w:rPr>
          <w:rFonts w:hint="eastAsia" w:ascii="宋体" w:hAnsi="宋体" w:eastAsia="宋体" w:cs="宋体"/>
          <w:b/>
          <w:color w:val="auto"/>
          <w:highlight w:val="none"/>
        </w:rPr>
      </w:pPr>
      <w:bookmarkStart w:id="34" w:name="_Toc18561"/>
      <w:r>
        <w:rPr>
          <w:rFonts w:hint="eastAsia" w:ascii="宋体" w:hAnsi="宋体" w:eastAsia="宋体" w:cs="宋体"/>
          <w:b/>
          <w:color w:val="auto"/>
          <w:kern w:val="2"/>
          <w:sz w:val="32"/>
          <w:szCs w:val="20"/>
          <w:highlight w:val="none"/>
          <w:lang w:val="en-US" w:eastAsia="zh-CN" w:bidi="ar-SA"/>
        </w:rPr>
        <w:t>第四部分</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项目技术规范和服务要求</w:t>
      </w:r>
      <w:bookmarkEnd w:id="34"/>
    </w:p>
    <w:p w14:paraId="2EB02312">
      <w:pPr>
        <w:spacing w:line="360" w:lineRule="auto"/>
        <w:jc w:val="center"/>
        <w:outlineLvl w:val="0"/>
        <w:rPr>
          <w:rFonts w:ascii="新宋体" w:hAnsi="新宋体" w:eastAsia="新宋体" w:cs="新宋体"/>
          <w:b/>
          <w:bCs/>
          <w:color w:val="auto"/>
          <w:sz w:val="22"/>
          <w:szCs w:val="22"/>
          <w:highlight w:val="none"/>
        </w:rPr>
      </w:pPr>
      <w:bookmarkStart w:id="35" w:name="_Toc1674"/>
      <w:r>
        <w:rPr>
          <w:rFonts w:hint="eastAsia" w:ascii="新宋体" w:hAnsi="新宋体" w:eastAsia="新宋体" w:cs="新宋体"/>
          <w:b/>
          <w:bCs/>
          <w:color w:val="auto"/>
          <w:sz w:val="22"/>
          <w:szCs w:val="22"/>
          <w:highlight w:val="none"/>
        </w:rPr>
        <w:t>一、总则</w:t>
      </w:r>
      <w:bookmarkEnd w:id="35"/>
    </w:p>
    <w:p w14:paraId="75CA8226">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1、采购的服务所涉及的产品标准、规范，验收标准、规范，应符合国家有关条例及规范，如有新的标准应采纳新标准，如是国外相应标准应征得采购人认可。</w:t>
      </w:r>
    </w:p>
    <w:p w14:paraId="5E278A4F">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本次招标采购为</w:t>
      </w:r>
      <w:r>
        <w:rPr>
          <w:rFonts w:hint="eastAsia" w:ascii="新宋体" w:hAnsi="新宋体" w:eastAsia="新宋体" w:cs="新宋体"/>
          <w:color w:val="auto"/>
          <w:sz w:val="22"/>
          <w:szCs w:val="22"/>
          <w:highlight w:val="none"/>
          <w:lang w:eastAsia="zh-CN"/>
        </w:rPr>
        <w:t>2024-2025年市区道路交通安全设施维护项目(第一期)</w:t>
      </w:r>
      <w:r>
        <w:rPr>
          <w:rFonts w:hint="eastAsia" w:ascii="新宋体" w:hAnsi="新宋体" w:eastAsia="新宋体" w:cs="新宋体"/>
          <w:color w:val="auto"/>
          <w:sz w:val="22"/>
          <w:szCs w:val="22"/>
          <w:highlight w:val="none"/>
        </w:rPr>
        <w:t>，投标人应根据招标文件所提出的技术规格和服务要求，综合考虑，选择具有最佳性能价格比的服务前来投标。希望投标人以精良的设备、优良的服务和优惠的价格，充分显示你们的竞争实力。</w:t>
      </w:r>
    </w:p>
    <w:p w14:paraId="0DD2CF18">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u w:val="single"/>
        </w:rPr>
        <w:t>▲投标人必须根据自己的技术及商务和报价优势对全部内容进行投标，不得只投部分内容。</w:t>
      </w:r>
    </w:p>
    <w:p w14:paraId="20A8A32D">
      <w:pPr>
        <w:spacing w:line="360" w:lineRule="auto"/>
        <w:ind w:firstLine="442" w:firstLineChars="200"/>
        <w:rPr>
          <w:rFonts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rPr>
        <w:t>本次服务期限为：</w:t>
      </w:r>
      <w:r>
        <w:rPr>
          <w:rFonts w:hint="eastAsia" w:ascii="新宋体" w:hAnsi="新宋体" w:eastAsia="新宋体" w:cs="新宋体"/>
          <w:color w:val="auto"/>
          <w:sz w:val="22"/>
          <w:szCs w:val="22"/>
          <w:highlight w:val="none"/>
          <w:lang w:val="en-US" w:eastAsia="zh-CN"/>
        </w:rPr>
        <w:t>2024年12月1日起8个月或采购金额达到预算金额（二者以先到为准）为止</w:t>
      </w:r>
      <w:r>
        <w:rPr>
          <w:rFonts w:hint="eastAsia" w:ascii="新宋体" w:hAnsi="新宋体" w:eastAsia="新宋体" w:cs="新宋体"/>
          <w:color w:val="auto"/>
          <w:sz w:val="22"/>
          <w:szCs w:val="22"/>
          <w:highlight w:val="none"/>
        </w:rPr>
        <w:t>。</w:t>
      </w:r>
    </w:p>
    <w:p w14:paraId="7EF31F9C">
      <w:pPr>
        <w:spacing w:line="360" w:lineRule="auto"/>
        <w:jc w:val="center"/>
        <w:outlineLvl w:val="0"/>
        <w:rPr>
          <w:rFonts w:ascii="新宋体" w:hAnsi="新宋体" w:eastAsia="新宋体" w:cs="新宋体"/>
          <w:b/>
          <w:bCs/>
          <w:color w:val="auto"/>
          <w:sz w:val="22"/>
          <w:szCs w:val="22"/>
          <w:highlight w:val="none"/>
        </w:rPr>
      </w:pPr>
      <w:bookmarkStart w:id="36" w:name="_Toc14917"/>
      <w:r>
        <w:rPr>
          <w:rFonts w:hint="eastAsia" w:ascii="新宋体" w:hAnsi="新宋体" w:eastAsia="新宋体" w:cs="新宋体"/>
          <w:b/>
          <w:bCs/>
          <w:color w:val="auto"/>
          <w:sz w:val="22"/>
          <w:szCs w:val="22"/>
          <w:highlight w:val="none"/>
        </w:rPr>
        <w:t>二、项目基本情况及要求</w:t>
      </w:r>
      <w:bookmarkEnd w:id="36"/>
    </w:p>
    <w:p w14:paraId="6312318B">
      <w:pPr>
        <w:spacing w:line="360" w:lineRule="auto"/>
        <w:outlineLvl w:val="1"/>
        <w:rPr>
          <w:rFonts w:ascii="新宋体" w:hAnsi="新宋体" w:eastAsia="新宋体" w:cs="新宋体"/>
          <w:color w:val="auto"/>
          <w:sz w:val="22"/>
          <w:szCs w:val="22"/>
          <w:highlight w:val="none"/>
        </w:rPr>
      </w:pPr>
      <w:bookmarkStart w:id="37" w:name="_Toc963"/>
      <w:r>
        <w:rPr>
          <w:rFonts w:hint="eastAsia" w:ascii="新宋体" w:hAnsi="新宋体" w:eastAsia="新宋体" w:cs="新宋体"/>
          <w:color w:val="auto"/>
          <w:sz w:val="22"/>
          <w:szCs w:val="22"/>
          <w:highlight w:val="none"/>
        </w:rPr>
        <w:t>（一）基本情况</w:t>
      </w:r>
      <w:bookmarkEnd w:id="37"/>
    </w:p>
    <w:p w14:paraId="74F37E21">
      <w:pPr>
        <w:spacing w:line="360" w:lineRule="auto"/>
        <w:ind w:firstLine="440" w:firstLineChars="200"/>
        <w:rPr>
          <w:rFonts w:ascii="新宋体" w:hAnsi="新宋体" w:eastAsia="新宋体" w:cs="新宋体"/>
          <w:b/>
          <w:bCs/>
          <w:color w:val="auto"/>
          <w:sz w:val="22"/>
          <w:szCs w:val="22"/>
          <w:highlight w:val="none"/>
        </w:rPr>
      </w:pPr>
      <w:r>
        <w:rPr>
          <w:rFonts w:hint="eastAsia" w:ascii="新宋体" w:hAnsi="新宋体" w:eastAsia="新宋体" w:cs="新宋体"/>
          <w:color w:val="auto"/>
          <w:sz w:val="22"/>
          <w:szCs w:val="22"/>
          <w:highlight w:val="none"/>
        </w:rPr>
        <w:t>温州市交通设施维护工作分为四个</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一为</w:t>
      </w:r>
      <w:r>
        <w:rPr>
          <w:rFonts w:hint="eastAsia" w:ascii="新宋体" w:hAnsi="新宋体" w:eastAsia="新宋体" w:cs="新宋体"/>
          <w:color w:val="auto"/>
          <w:sz w:val="22"/>
          <w:szCs w:val="22"/>
          <w:highlight w:val="none"/>
          <w:lang w:eastAsia="zh-CN"/>
        </w:rPr>
        <w:t>温州市区（市本级）道路标志、标线、隔离护栏及其他设施建设维护项目</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二为</w:t>
      </w:r>
      <w:r>
        <w:rPr>
          <w:rFonts w:hint="eastAsia" w:ascii="新宋体" w:hAnsi="新宋体" w:eastAsia="新宋体" w:cs="新宋体"/>
          <w:color w:val="auto"/>
          <w:sz w:val="22"/>
          <w:szCs w:val="22"/>
          <w:highlight w:val="none"/>
          <w:lang w:eastAsia="zh-CN"/>
        </w:rPr>
        <w:t>温州市区（鹿城区）道路标志、标线、隔离护栏及其他设施建设维护项目</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三为</w:t>
      </w:r>
      <w:r>
        <w:rPr>
          <w:rFonts w:hint="eastAsia" w:ascii="新宋体" w:hAnsi="新宋体" w:eastAsia="新宋体" w:cs="新宋体"/>
          <w:color w:val="auto"/>
          <w:sz w:val="22"/>
          <w:szCs w:val="22"/>
          <w:highlight w:val="none"/>
          <w:lang w:eastAsia="zh-CN"/>
        </w:rPr>
        <w:t>温州市区（瓯海区）道路标志、标线、隔离护栏及其他设施建设维护项目</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四为</w:t>
      </w:r>
      <w:r>
        <w:rPr>
          <w:rFonts w:hint="eastAsia" w:ascii="新宋体" w:hAnsi="新宋体" w:eastAsia="新宋体" w:cs="新宋体"/>
          <w:color w:val="auto"/>
          <w:sz w:val="22"/>
          <w:szCs w:val="22"/>
          <w:highlight w:val="none"/>
          <w:lang w:eastAsia="zh-CN"/>
        </w:rPr>
        <w:t>温州市区（龙湾区）道路标志、标线、隔离护栏及其他设施建设维护项目</w:t>
      </w:r>
      <w:r>
        <w:rPr>
          <w:rFonts w:hint="eastAsia" w:ascii="新宋体" w:hAnsi="新宋体" w:eastAsia="新宋体" w:cs="新宋体"/>
          <w:color w:val="auto"/>
          <w:sz w:val="22"/>
          <w:szCs w:val="22"/>
          <w:highlight w:val="none"/>
        </w:rPr>
        <w:t>。采用固定投标单价，最终按实际数量与合同单价进行结算，但不超项目总报价。《开标一览表》是报价的唯一载体。</w:t>
      </w:r>
      <w:r>
        <w:rPr>
          <w:rFonts w:hint="eastAsia" w:ascii="新宋体" w:hAnsi="新宋体" w:eastAsia="新宋体" w:cs="新宋体"/>
          <w:b/>
          <w:bCs/>
          <w:color w:val="auto"/>
          <w:sz w:val="22"/>
          <w:szCs w:val="22"/>
          <w:highlight w:val="none"/>
        </w:rPr>
        <w:t>供应商可以同时参与多个</w:t>
      </w:r>
      <w:r>
        <w:rPr>
          <w:rFonts w:hint="eastAsia" w:ascii="新宋体" w:hAnsi="新宋体" w:eastAsia="新宋体" w:cs="新宋体"/>
          <w:b/>
          <w:bCs/>
          <w:color w:val="auto"/>
          <w:sz w:val="22"/>
          <w:szCs w:val="22"/>
          <w:highlight w:val="none"/>
          <w:lang w:eastAsia="zh-CN"/>
        </w:rPr>
        <w:t>标项</w:t>
      </w:r>
      <w:r>
        <w:rPr>
          <w:rFonts w:hint="eastAsia" w:ascii="新宋体" w:hAnsi="新宋体" w:eastAsia="新宋体" w:cs="新宋体"/>
          <w:b/>
          <w:bCs/>
          <w:color w:val="auto"/>
          <w:sz w:val="22"/>
          <w:szCs w:val="22"/>
          <w:highlight w:val="none"/>
        </w:rPr>
        <w:t>的投标，但应分开制作投标文件。</w:t>
      </w:r>
    </w:p>
    <w:p w14:paraId="5D2FD2E1">
      <w:pPr>
        <w:spacing w:line="360" w:lineRule="auto"/>
        <w:outlineLvl w:val="1"/>
        <w:rPr>
          <w:rFonts w:ascii="新宋体" w:hAnsi="新宋体" w:eastAsia="新宋体" w:cs="新宋体"/>
          <w:color w:val="auto"/>
          <w:sz w:val="22"/>
          <w:szCs w:val="22"/>
          <w:highlight w:val="none"/>
        </w:rPr>
      </w:pPr>
      <w:bookmarkStart w:id="38" w:name="_Toc11948"/>
      <w:r>
        <w:rPr>
          <w:rFonts w:hint="eastAsia" w:ascii="新宋体" w:hAnsi="新宋体" w:eastAsia="新宋体" w:cs="新宋体"/>
          <w:color w:val="auto"/>
          <w:sz w:val="22"/>
          <w:szCs w:val="22"/>
          <w:highlight w:val="none"/>
        </w:rPr>
        <w:t>（二）预算金额（元）</w:t>
      </w:r>
      <w:bookmarkEnd w:id="38"/>
    </w:p>
    <w:p w14:paraId="0E62E0C9">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总预算为人民币</w:t>
      </w:r>
      <w:r>
        <w:rPr>
          <w:rFonts w:hint="eastAsia" w:ascii="新宋体" w:hAnsi="新宋体" w:eastAsia="新宋体" w:cs="新宋体"/>
          <w:color w:val="auto"/>
          <w:sz w:val="22"/>
          <w:szCs w:val="22"/>
          <w:highlight w:val="none"/>
          <w:lang w:val="en-US" w:eastAsia="zh-CN"/>
        </w:rPr>
        <w:t>2000</w:t>
      </w:r>
      <w:r>
        <w:rPr>
          <w:rFonts w:hint="eastAsia" w:ascii="新宋体" w:hAnsi="新宋体" w:eastAsia="新宋体" w:cs="新宋体"/>
          <w:color w:val="auto"/>
          <w:sz w:val="22"/>
          <w:szCs w:val="22"/>
          <w:highlight w:val="none"/>
        </w:rPr>
        <w:t>万元，其中</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一</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市本级</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15</w:t>
      </w:r>
      <w:r>
        <w:rPr>
          <w:rFonts w:hint="eastAsia" w:ascii="新宋体" w:hAnsi="新宋体" w:eastAsia="新宋体" w:cs="新宋体"/>
          <w:color w:val="auto"/>
          <w:sz w:val="22"/>
          <w:szCs w:val="22"/>
          <w:highlight w:val="none"/>
        </w:rPr>
        <w:t>0万元，</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二</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鹿城区</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60</w:t>
      </w:r>
      <w:r>
        <w:rPr>
          <w:rFonts w:hint="eastAsia" w:ascii="新宋体" w:hAnsi="新宋体" w:eastAsia="新宋体" w:cs="新宋体"/>
          <w:color w:val="auto"/>
          <w:sz w:val="22"/>
          <w:szCs w:val="22"/>
          <w:highlight w:val="none"/>
        </w:rPr>
        <w:t>0万元，</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三</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瓯海区</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53</w:t>
      </w:r>
      <w:r>
        <w:rPr>
          <w:rFonts w:hint="eastAsia" w:ascii="新宋体" w:hAnsi="新宋体" w:eastAsia="新宋体" w:cs="新宋体"/>
          <w:color w:val="auto"/>
          <w:sz w:val="22"/>
          <w:szCs w:val="22"/>
          <w:highlight w:val="none"/>
        </w:rPr>
        <w:t>0万元，</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四</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龙湾区</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72</w:t>
      </w:r>
      <w:r>
        <w:rPr>
          <w:rFonts w:hint="eastAsia" w:ascii="新宋体" w:hAnsi="新宋体" w:eastAsia="新宋体" w:cs="新宋体"/>
          <w:color w:val="auto"/>
          <w:sz w:val="22"/>
          <w:szCs w:val="22"/>
          <w:highlight w:val="none"/>
        </w:rPr>
        <w:t>0万元。</w:t>
      </w:r>
    </w:p>
    <w:p w14:paraId="007A3DD8">
      <w:pPr>
        <w:spacing w:line="360" w:lineRule="auto"/>
        <w:jc w:val="left"/>
        <w:outlineLvl w:val="1"/>
        <w:rPr>
          <w:rFonts w:ascii="新宋体" w:hAnsi="新宋体" w:eastAsia="新宋体" w:cs="新宋体"/>
          <w:color w:val="auto"/>
          <w:sz w:val="22"/>
          <w:szCs w:val="22"/>
          <w:highlight w:val="none"/>
        </w:rPr>
      </w:pPr>
      <w:bookmarkStart w:id="39" w:name="_Toc14196"/>
      <w:r>
        <w:rPr>
          <w:rFonts w:hint="eastAsia" w:ascii="新宋体" w:hAnsi="新宋体" w:eastAsia="新宋体" w:cs="新宋体"/>
          <w:color w:val="auto"/>
          <w:sz w:val="22"/>
          <w:szCs w:val="22"/>
          <w:highlight w:val="none"/>
        </w:rPr>
        <w:t>（三）项目技术规范和服务要求</w:t>
      </w:r>
      <w:bookmarkEnd w:id="39"/>
    </w:p>
    <w:p w14:paraId="2D02A74F">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3.1主要技术规范</w:t>
      </w:r>
    </w:p>
    <w:p w14:paraId="3FEA7B7C">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GB5768.2-2022道路交通标志和标线第2部分：道路交通标志。</w:t>
      </w:r>
    </w:p>
    <w:p w14:paraId="3DCE501D">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JT/T280-2022路面标线涂料；</w:t>
      </w:r>
    </w:p>
    <w:p w14:paraId="19D1A570">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GB5768—2009《道路交通标志和标线》国家标准：除总则和标线。</w:t>
      </w:r>
    </w:p>
    <w:p w14:paraId="6DB235C4">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GB51038—2015《城市道路交通标志和标线设置规范》国家标准。</w:t>
      </w:r>
    </w:p>
    <w:p w14:paraId="51F8DA3E">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DB33/T818—2010《城市道路交通标志和标线设置规范》省标。</w:t>
      </w:r>
    </w:p>
    <w:p w14:paraId="7D4404E8">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GB/T16311—2009《道路交通标线质量要求和检测方法》国家标准。</w:t>
      </w:r>
    </w:p>
    <w:p w14:paraId="2CB8D506">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GB/T23827—2021《道路交通标志板及支撑件》国家标准。</w:t>
      </w:r>
    </w:p>
    <w:p w14:paraId="03DAE7C0">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JTJ001—2014《公路工程技术标准》行业标准。</w:t>
      </w:r>
    </w:p>
    <w:p w14:paraId="13D4C982">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GB/T18833-2012《道路交通反光膜》行业标准。</w:t>
      </w:r>
    </w:p>
    <w:p w14:paraId="208BD15F">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JTGF80/1-2017《公路工程质量检验评定标准第一册土建工程》</w:t>
      </w:r>
    </w:p>
    <w:p w14:paraId="0B670FDA">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GB14887—2011《道路交通信号灯》国家标准。</w:t>
      </w:r>
    </w:p>
    <w:p w14:paraId="19AA3C26">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GAT652—2017《公安交通管理外场设备》行业标准。</w:t>
      </w:r>
    </w:p>
    <w:p w14:paraId="5A8F8B6C">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DBJ08-39-1994《道路交通管理设施设置技术规程》。</w:t>
      </w:r>
    </w:p>
    <w:p w14:paraId="4B0DCEE9">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GB50009-2012《建筑结构荷载规范》。</w:t>
      </w:r>
    </w:p>
    <w:p w14:paraId="045ED413">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GB50017-2017《钢结构设计标准》。</w:t>
      </w:r>
    </w:p>
    <w:p w14:paraId="18AACB6C">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DB3301/T0170-2018《道路交通指示标识英文译写规范》。</w:t>
      </w:r>
    </w:p>
    <w:p w14:paraId="7F2085D2">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GB50688-2011《城市道路交通设施设计规范》</w:t>
      </w:r>
    </w:p>
    <w:p w14:paraId="21A15F8E">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CJJ37-2012)(2016年版《城市道路工程设计规范》</w:t>
      </w:r>
    </w:p>
    <w:p w14:paraId="05CE0254">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GB55011-2021《城市道路交通工程项目规范》</w:t>
      </w:r>
    </w:p>
    <w:p w14:paraId="215186F3">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CJ129-2009《城市快速路设计规程》</w:t>
      </w:r>
    </w:p>
    <w:p w14:paraId="3BBA570E">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按现行的国家、省、市施工验收规范、质量评定标准及有关规定。合同期内的标准、规范，采购文件中的技术要求等。如有新版标准则按新发行的标准执行。</w:t>
      </w:r>
    </w:p>
    <w:p w14:paraId="48C3DF3C">
      <w:pPr>
        <w:adjustRightInd w:val="0"/>
        <w:spacing w:line="360" w:lineRule="auto"/>
        <w:jc w:val="center"/>
        <w:outlineLvl w:val="0"/>
        <w:rPr>
          <w:rFonts w:ascii="新宋体" w:hAnsi="新宋体" w:eastAsia="新宋体" w:cs="新宋体"/>
          <w:b/>
          <w:bCs/>
          <w:color w:val="auto"/>
          <w:sz w:val="22"/>
          <w:szCs w:val="22"/>
          <w:highlight w:val="none"/>
        </w:rPr>
      </w:pPr>
      <w:bookmarkStart w:id="40" w:name="_Toc24962"/>
      <w:r>
        <w:rPr>
          <w:rFonts w:hint="eastAsia" w:ascii="新宋体" w:hAnsi="新宋体" w:eastAsia="新宋体" w:cs="新宋体"/>
          <w:b/>
          <w:bCs/>
          <w:color w:val="auto"/>
          <w:sz w:val="22"/>
          <w:szCs w:val="22"/>
          <w:highlight w:val="none"/>
        </w:rPr>
        <w:t>三、产品参数</w:t>
      </w:r>
      <w:bookmarkEnd w:id="40"/>
    </w:p>
    <w:p w14:paraId="219C09DE">
      <w:pPr>
        <w:adjustRightInd w:val="0"/>
        <w:spacing w:line="360" w:lineRule="auto"/>
        <w:ind w:firstLine="442" w:firstLineChars="200"/>
        <w:jc w:val="left"/>
        <w:outlineLvl w:val="1"/>
        <w:rPr>
          <w:rFonts w:hint="default" w:ascii="新宋体" w:hAnsi="新宋体" w:eastAsia="新宋体" w:cs="新宋体"/>
          <w:b/>
          <w:bCs/>
          <w:color w:val="auto"/>
          <w:sz w:val="22"/>
          <w:szCs w:val="22"/>
          <w:highlight w:val="none"/>
          <w:lang w:val="en-US" w:eastAsia="zh-CN"/>
        </w:rPr>
      </w:pPr>
      <w:bookmarkStart w:id="41" w:name="_Toc13144"/>
      <w:r>
        <w:rPr>
          <w:rFonts w:hint="eastAsia" w:ascii="新宋体" w:hAnsi="新宋体" w:eastAsia="新宋体" w:cs="新宋体"/>
          <w:b/>
          <w:bCs/>
          <w:color w:val="auto"/>
          <w:sz w:val="22"/>
          <w:szCs w:val="22"/>
          <w:highlight w:val="none"/>
        </w:rPr>
        <w:t>1、</w:t>
      </w:r>
      <w:r>
        <w:rPr>
          <w:rFonts w:hint="eastAsia" w:ascii="新宋体" w:hAnsi="新宋体" w:eastAsia="新宋体" w:cs="新宋体"/>
          <w:b/>
          <w:bCs/>
          <w:color w:val="auto"/>
          <w:sz w:val="22"/>
          <w:szCs w:val="22"/>
          <w:highlight w:val="none"/>
          <w:lang w:val="en-US" w:eastAsia="zh-CN"/>
        </w:rPr>
        <w:t>标线类</w:t>
      </w:r>
      <w:bookmarkEnd w:id="41"/>
    </w:p>
    <w:p w14:paraId="73DA901E">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1.1标线分类及逆反射要求</w:t>
      </w:r>
    </w:p>
    <w:p w14:paraId="57689D77">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标线漆为常温型、普通热熔标线、Ⅱ级反光热熔标线、Ⅱ级反光振荡热熔标线、双组份反光型涂料。</w:t>
      </w:r>
    </w:p>
    <w:p w14:paraId="470141E7">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（1）常温型标线</w:t>
      </w:r>
    </w:p>
    <w:p w14:paraId="17C89BC2">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1）粘度（KU值）:≥60</w:t>
      </w:r>
    </w:p>
    <w:p w14:paraId="7AD3DE2D">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2）密度（g/cm3）:≥1.6</w:t>
      </w:r>
    </w:p>
    <w:p w14:paraId="1DB961CE">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3）标线涂层厚度0.3~0.5mm</w:t>
      </w:r>
    </w:p>
    <w:p w14:paraId="2A6A3571">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4）不粘胎干燥时间≤15min，开放交通干燥时间≤20min</w:t>
      </w:r>
    </w:p>
    <w:p w14:paraId="57FF124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5）耐磨性（mg）:200转/1000g后减重≤40</w:t>
      </w:r>
    </w:p>
    <w:p w14:paraId="2E2A1931">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6）固体含量（%）:≥60</w:t>
      </w:r>
    </w:p>
    <w:p w14:paraId="43CEA55D">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7）遮盖率（g/㎡）：白色≤190；黄色≤200</w:t>
      </w:r>
    </w:p>
    <w:p w14:paraId="3B089D14">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（2）普通热熔标线</w:t>
      </w:r>
    </w:p>
    <w:p w14:paraId="773C9CB9">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1）在规定的使用期限内，标线不应出现明显的变色。道路交通标线颜色的色度性能应符合现行国家标准《道路交通标线质量要求和检测方法》GB／T16311的规定。</w:t>
      </w:r>
    </w:p>
    <w:p w14:paraId="58AD5903">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城市快速路、主干路应采用反光标线，次干路、支路及其他城市道路可根据需要采用反光标线。白色反光标线的亮度因数应≥0．35，黄色反光标线的亮度因数应≥0．27。在多雨地区易积水路段和人机非混行路段，宜采用水下反光标线材料或附加突起路标。</w:t>
      </w:r>
    </w:p>
    <w:p w14:paraId="462463EC">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新施划标线的初始逆反射亮度系数应符合现行国家标准《新划路面标线初始逆反射亮度系数及测试方法》GB／T21383的规定，白色反光标线的逆反射亮度系数应≥150mcd·m-2·1x-1，黄色反光标线的逆反射亮度系数≥100mcd·m-2·1x-1。</w:t>
      </w:r>
    </w:p>
    <w:p w14:paraId="6C3C1ABF">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4）标线在正常使用期间，反射标线的逆反射系数应满足夜间水下视认要求，白色反光标线的逆反射亮度系数≥80mcd·m-2·1x-1，黄色反光标线的逆反射亮度系数≥50mcd·m-2·1x-1。</w:t>
      </w:r>
    </w:p>
    <w:p w14:paraId="5F76F714">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Ⅱ级反光热熔标线：涂膜厚度≥1.8mm，内混≥25%玻璃珠。新划标线的初始逆反射亮度系数≥250mcd•m-2•lx-1（黄色标线为≥250mcd•m-2•lx-1），持续使用一年内，标线的持续逆反射亮度系数＞150mcd•m-2•lx-1（黄色标线为100mcd•m-2•lx-1）。</w:t>
      </w:r>
    </w:p>
    <w:p w14:paraId="1EBA17C4">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Ⅱ级反光振荡热熔标线：基线涂膜厚度1.5mm以上，凸起部分高度5mm，突起部分每组3个，每个2.5cm*6.5cm，每组间距10cm~15cm；内混≥25%玻璃珠。新划标线的初始逆反射亮度系数≥250mcd•m-2•1x-1（黄色标线为250mcd•m-2•1x-1），持续使用一年内，标线的持续逆反射亮度系数≥150mcd•m-2•1x-1（黄色标线≥100mcd•m-2•1x-1）。</w:t>
      </w:r>
    </w:p>
    <w:p w14:paraId="60CEDCE0">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（5）双组份反光型涂料</w:t>
      </w:r>
    </w:p>
    <w:p w14:paraId="39264049">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①密度（g/cm3）:1.5~2.0</w:t>
      </w:r>
    </w:p>
    <w:p w14:paraId="26E7AC14">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②选用双组份反光涂料，内含反光微珠必须≥20%</w:t>
      </w:r>
    </w:p>
    <w:p w14:paraId="14A4F7DE">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③初始施划时逆反射系数：白色≥350，黄色≥200</w:t>
      </w:r>
    </w:p>
    <w:p w14:paraId="76FE0577">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④不粘胎干燥时间≤35min</w:t>
      </w:r>
    </w:p>
    <w:p w14:paraId="3D48EB2C">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⑤耐磨性（mg）:200转/1000g后减重≤30</w:t>
      </w:r>
    </w:p>
    <w:p w14:paraId="5326320E">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⑥喷涂标线厚度0.6~1mm；刮涂标线厚度≥1mm</w:t>
      </w:r>
    </w:p>
    <w:p w14:paraId="1A81CADC">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1.2雨夜标线材料</w:t>
      </w:r>
    </w:p>
    <w:p w14:paraId="5CAE03A4">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1）新划白色标线的初始逆反射亮度系数应满足，干燥状态下的平均值不低于500 mcd·m-2·lx-1,潮湿状态下的平均值不低于350 mcd·m-2·lx-1,连续降雨状态下的平均值不低于200 mcd·m-2·lx-1。标线使用寿命不低于一年，在正常使用年限内，逆反射系数不低于80 mcd·m-2·lx-1。</w:t>
      </w:r>
    </w:p>
    <w:p w14:paraId="3CCF0BFD">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2）标线施划表面撒播白色或黄色雨夜反光珠和玻璃珠，雨夜珠播量≥200g/m</w:t>
      </w:r>
      <w:r>
        <w:rPr>
          <w:rFonts w:hint="eastAsia" w:ascii="新宋体" w:hAnsi="新宋体" w:eastAsia="新宋体" w:cs="新宋体"/>
          <w:color w:val="auto"/>
          <w:sz w:val="22"/>
          <w:szCs w:val="22"/>
          <w:highlight w:val="none"/>
          <w:vertAlign w:val="superscript"/>
        </w:rPr>
        <w:t>2</w:t>
      </w:r>
      <w:r>
        <w:rPr>
          <w:rFonts w:hint="eastAsia" w:ascii="新宋体" w:hAnsi="新宋体" w:eastAsia="新宋体" w:cs="新宋体"/>
          <w:color w:val="auto"/>
          <w:sz w:val="22"/>
          <w:szCs w:val="22"/>
          <w:highlight w:val="none"/>
        </w:rPr>
        <w:t>，玻璃珠撒播量≥200g/m</w:t>
      </w:r>
      <w:r>
        <w:rPr>
          <w:rFonts w:hint="eastAsia" w:ascii="新宋体" w:hAnsi="新宋体" w:eastAsia="新宋体" w:cs="新宋体"/>
          <w:color w:val="auto"/>
          <w:sz w:val="22"/>
          <w:szCs w:val="22"/>
          <w:highlight w:val="none"/>
          <w:vertAlign w:val="superscript"/>
        </w:rPr>
        <w:t>2</w:t>
      </w:r>
      <w:r>
        <w:rPr>
          <w:rFonts w:hint="eastAsia" w:ascii="新宋体" w:hAnsi="新宋体" w:eastAsia="新宋体" w:cs="新宋体"/>
          <w:color w:val="auto"/>
          <w:sz w:val="22"/>
          <w:szCs w:val="22"/>
          <w:highlight w:val="none"/>
        </w:rPr>
        <w:t>。雨夜珠应为全天候高亮雨夜珠，外观为不规则形状，表层为微晶陶瓷珠涂层结构。标线施工前，应根据不同情况采用扫帚、板刷或煤气燃烧器彻底清除路面灰尘。</w:t>
      </w:r>
    </w:p>
    <w:p w14:paraId="13BBA8B0">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1.3地面标识：地面标识需预涂压敏胶，施工时涂刷粘结剂或底胶，标识厚度≥1.5mm，初始逆反射亮度系数白色≥250mcd•m-2•1x-1，其余颜色≥175mcd•m-2•1x-1）。</w:t>
      </w:r>
    </w:p>
    <w:p w14:paraId="722D87F8">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1.4高压水除线：超高压水磨清洗法，清除老标线，无明显痕迹。</w:t>
      </w:r>
    </w:p>
    <w:p w14:paraId="2F08395E">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标线性能与质量。①应具有良好的视认性，颜色均匀、边缘整齐、线型规则、线条流畅。②涂层厚度应均匀，无明显起泡、皱纹、斑点、开裂、发粘、脱落、泛花等缺陷。③面撒玻璃珠应均匀，其性能和粒径分布符合GB/T24722-2009的要求。④实际位置与设计位置的横向误差≤±30mm。⑤宽度误差≤5mm。⑥标线长度以及间断线纵向间距的允许误差不得超出GB/T16311-2009规定的值。⑦防滑值≥45BPN。⑧其他要求应符合GB/T16311-2009规定的要求。</w:t>
      </w:r>
    </w:p>
    <w:p w14:paraId="0DC9F8C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1.6所有标线施划均应先放样后漆划（除标线要求覆盖外）。</w:t>
      </w:r>
    </w:p>
    <w:p w14:paraId="02402A07">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1.7对需要铲除的旧线，要做到铲除后不会引起驾驶员的误解和投诉，施工后需要清理路面卫生，不引起投诉。</w:t>
      </w:r>
    </w:p>
    <w:p w14:paraId="3C6124F0">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1.8标线涂料需符合JT/T280-2022路面标线涂料标准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投标人需采购国内知名涂料品牌</w:t>
      </w:r>
      <w:r>
        <w:rPr>
          <w:rFonts w:hint="eastAsia" w:ascii="新宋体" w:hAnsi="新宋体" w:eastAsia="新宋体" w:cs="新宋体"/>
          <w:color w:val="auto"/>
          <w:sz w:val="22"/>
          <w:szCs w:val="22"/>
          <w:highlight w:val="none"/>
        </w:rPr>
        <w:t>。</w:t>
      </w:r>
    </w:p>
    <w:p w14:paraId="020B1E2D">
      <w:pPr>
        <w:spacing w:line="360" w:lineRule="auto"/>
        <w:ind w:firstLine="440" w:firstLineChars="200"/>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1.9针对区域类不规则图形的多种计算式，以梯形面积的计算式（示例）作为结算测量依据。</w:t>
      </w:r>
    </w:p>
    <w:p w14:paraId="3B423B32">
      <w:pPr>
        <w:spacing w:line="360" w:lineRule="auto"/>
        <w:ind w:firstLine="440" w:firstLineChars="200"/>
        <w:rPr>
          <w:rFonts w:hint="eastAsia" w:ascii="新宋体" w:hAnsi="新宋体" w:eastAsia="新宋体" w:cs="新宋体"/>
          <w:b w:val="0"/>
          <w:bCs w:val="0"/>
          <w:color w:val="auto"/>
          <w:sz w:val="22"/>
          <w:szCs w:val="22"/>
          <w:highlight w:val="none"/>
          <w:lang w:val="en-US" w:eastAsia="zh-CN"/>
        </w:rPr>
      </w:pPr>
      <w:r>
        <w:rPr>
          <w:rFonts w:hint="eastAsia" w:ascii="新宋体" w:hAnsi="新宋体" w:eastAsia="新宋体" w:cs="新宋体"/>
          <w:b w:val="0"/>
          <w:bCs w:val="0"/>
          <w:color w:val="auto"/>
          <w:sz w:val="22"/>
          <w:szCs w:val="22"/>
          <w:highlight w:val="none"/>
          <w:lang w:val="en-US" w:eastAsia="zh-CN"/>
        </w:rPr>
        <w:t>示例：</w:t>
      </w:r>
    </w:p>
    <w:p w14:paraId="6ECA6D16">
      <w:pPr>
        <w:spacing w:line="360" w:lineRule="auto"/>
        <w:ind w:firstLine="440" w:firstLineChars="200"/>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 xml:space="preserve">计算面积=（18.82+13.41）/2*5.06=81.54平方米。 </w:t>
      </w:r>
    </w:p>
    <w:p w14:paraId="271355CF">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计算方法说明：量取两条弧线长度，再量取弧线中线点，两点相连作为宽度。</w:t>
      </w:r>
    </w:p>
    <w:p w14:paraId="27285213">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114300" distR="114300">
            <wp:extent cx="1819275" cy="1583690"/>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tretch>
                      <a:fillRect/>
                    </a:stretch>
                  </pic:blipFill>
                  <pic:spPr>
                    <a:xfrm>
                      <a:off x="0" y="0"/>
                      <a:ext cx="1819275" cy="1583690"/>
                    </a:xfrm>
                    <a:prstGeom prst="rect">
                      <a:avLst/>
                    </a:prstGeom>
                    <a:noFill/>
                    <a:ln>
                      <a:noFill/>
                    </a:ln>
                  </pic:spPr>
                </pic:pic>
              </a:graphicData>
            </a:graphic>
          </wp:inline>
        </w:drawing>
      </w:r>
    </w:p>
    <w:p w14:paraId="5BEC0E67">
      <w:pPr>
        <w:spacing w:line="360" w:lineRule="auto"/>
        <w:ind w:firstLine="440" w:firstLineChars="200"/>
        <w:jc w:val="left"/>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该计算式避免了所取点的争议，在验收及审计过程中不会出现工程量偏差过大的情况。</w:t>
      </w:r>
    </w:p>
    <w:p w14:paraId="07B39DF8">
      <w:pPr>
        <w:spacing w:line="360" w:lineRule="auto"/>
        <w:ind w:firstLine="560" w:firstLineChars="200"/>
        <w:rPr>
          <w:rFonts w:hint="eastAsia" w:ascii="Times New Roman" w:hAnsi="Times New Roman" w:eastAsia="宋体" w:cs="Times New Roman"/>
          <w:color w:val="auto"/>
          <w:sz w:val="28"/>
          <w:szCs w:val="36"/>
          <w:highlight w:val="none"/>
          <w:lang w:val="en-US" w:eastAsia="zh-CN"/>
        </w:rPr>
      </w:pPr>
    </w:p>
    <w:p w14:paraId="019C7192">
      <w:pPr>
        <w:adjustRightInd w:val="0"/>
        <w:spacing w:line="360" w:lineRule="auto"/>
        <w:ind w:firstLine="442" w:firstLineChars="200"/>
        <w:outlineLvl w:val="1"/>
        <w:rPr>
          <w:rFonts w:ascii="新宋体" w:hAnsi="新宋体" w:eastAsia="新宋体" w:cs="新宋体"/>
          <w:b/>
          <w:bCs/>
          <w:color w:val="auto"/>
          <w:sz w:val="22"/>
          <w:szCs w:val="22"/>
          <w:highlight w:val="none"/>
        </w:rPr>
      </w:pPr>
      <w:bookmarkStart w:id="42" w:name="_Toc13896"/>
      <w:r>
        <w:rPr>
          <w:rFonts w:hint="eastAsia" w:ascii="新宋体" w:hAnsi="新宋体" w:eastAsia="新宋体" w:cs="新宋体"/>
          <w:b/>
          <w:bCs/>
          <w:color w:val="auto"/>
          <w:sz w:val="22"/>
          <w:szCs w:val="22"/>
          <w:highlight w:val="none"/>
        </w:rPr>
        <w:t>2、</w:t>
      </w:r>
      <w:r>
        <w:rPr>
          <w:rFonts w:hint="eastAsia" w:ascii="新宋体" w:hAnsi="新宋体" w:eastAsia="新宋体" w:cs="新宋体"/>
          <w:b/>
          <w:bCs/>
          <w:color w:val="auto"/>
          <w:sz w:val="22"/>
          <w:szCs w:val="22"/>
          <w:highlight w:val="none"/>
          <w:lang w:val="zh-CN"/>
        </w:rPr>
        <w:t>标志类</w:t>
      </w:r>
      <w:bookmarkEnd w:id="42"/>
    </w:p>
    <w:p w14:paraId="0F4C6937">
      <w:pPr>
        <w:spacing w:line="360" w:lineRule="auto"/>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交通标志牌的版面形式、交通标志杆的性能参数及安装位置应符合设计图纸的要求，现场实际情况与设计图纸有出入的，应及时通知招标人及设计单位进行现场确认，不得擅自施工。</w:t>
      </w:r>
    </w:p>
    <w:p w14:paraId="1996BA2D">
      <w:pPr>
        <w:spacing w:line="360" w:lineRule="auto"/>
        <w:ind w:left="640"/>
        <w:rPr>
          <w:rFonts w:ascii="新宋体" w:hAnsi="新宋体" w:eastAsia="新宋体" w:cs="新宋体"/>
          <w:b/>
          <w:bCs/>
          <w:color w:val="auto"/>
          <w:sz w:val="22"/>
          <w:szCs w:val="22"/>
          <w:highlight w:val="none"/>
          <w:lang w:val="zh-CN"/>
        </w:rPr>
      </w:pPr>
      <w:r>
        <w:rPr>
          <w:rFonts w:hint="eastAsia" w:ascii="新宋体" w:hAnsi="新宋体" w:eastAsia="新宋体" w:cs="新宋体"/>
          <w:color w:val="auto"/>
          <w:sz w:val="22"/>
          <w:szCs w:val="22"/>
          <w:highlight w:val="none"/>
        </w:rPr>
        <w:t>2.1、</w:t>
      </w:r>
      <w:r>
        <w:rPr>
          <w:rFonts w:hint="eastAsia" w:ascii="新宋体" w:hAnsi="新宋体" w:eastAsia="新宋体" w:cs="新宋体"/>
          <w:color w:val="auto"/>
          <w:sz w:val="22"/>
          <w:szCs w:val="22"/>
          <w:highlight w:val="none"/>
          <w:lang w:val="zh-CN"/>
        </w:rPr>
        <w:t>标志板</w:t>
      </w:r>
    </w:p>
    <w:p w14:paraId="41C9E986">
      <w:pPr>
        <w:spacing w:line="360" w:lineRule="auto"/>
        <w:ind w:left="640"/>
        <w:rPr>
          <w:rFonts w:hint="eastAsia"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（1）材质为铝合金板面,牌号为3004或3104。</w:t>
      </w:r>
    </w:p>
    <w:p w14:paraId="1601EB51">
      <w:pPr>
        <w:spacing w:line="360" w:lineRule="auto"/>
        <w:ind w:left="64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（2）铝合金板面厚度应符合下表：</w:t>
      </w:r>
    </w:p>
    <w:tbl>
      <w:tblPr>
        <w:tblStyle w:val="52"/>
        <w:tblW w:w="5000" w:type="pct"/>
        <w:jc w:val="center"/>
        <w:tblLayout w:type="autofit"/>
        <w:tblCellMar>
          <w:top w:w="0" w:type="dxa"/>
          <w:left w:w="0" w:type="dxa"/>
          <w:bottom w:w="0" w:type="dxa"/>
          <w:right w:w="0" w:type="dxa"/>
        </w:tblCellMar>
      </w:tblPr>
      <w:tblGrid>
        <w:gridCol w:w="5908"/>
        <w:gridCol w:w="3740"/>
      </w:tblGrid>
      <w:tr w14:paraId="51ECE4B2">
        <w:tblPrEx>
          <w:tblCellMar>
            <w:top w:w="0" w:type="dxa"/>
            <w:left w:w="0" w:type="dxa"/>
            <w:bottom w:w="0" w:type="dxa"/>
            <w:right w:w="0" w:type="dxa"/>
          </w:tblCellMar>
        </w:tblPrEx>
        <w:trPr>
          <w:jc w:val="center"/>
        </w:trPr>
        <w:tc>
          <w:tcPr>
            <w:tcW w:w="3062" w:type="pct"/>
            <w:tcBorders>
              <w:top w:val="single" w:color="000000" w:sz="4" w:space="0"/>
              <w:left w:val="single" w:color="000000" w:sz="4" w:space="0"/>
              <w:bottom w:val="single" w:color="000000" w:sz="4" w:space="0"/>
              <w:right w:val="single" w:color="000000" w:sz="4" w:space="0"/>
            </w:tcBorders>
            <w:noWrap/>
            <w:vAlign w:val="center"/>
          </w:tcPr>
          <w:p w14:paraId="0FF3A3AB">
            <w:pPr>
              <w:pStyle w:val="343"/>
              <w:kinsoku w:val="0"/>
              <w:overflowPunct w:val="0"/>
              <w:spacing w:before="152" w:line="360" w:lineRule="auto"/>
              <w:jc w:val="center"/>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pacing w:val="1"/>
                <w:sz w:val="22"/>
                <w:szCs w:val="22"/>
                <w:highlight w:val="none"/>
              </w:rPr>
              <w:t>标志板规格</w:t>
            </w:r>
            <w:r>
              <w:rPr>
                <w:rFonts w:hint="eastAsia" w:ascii="新宋体" w:hAnsi="新宋体" w:eastAsia="新宋体" w:cs="新宋体"/>
                <w:color w:val="auto"/>
                <w:spacing w:val="1"/>
                <w:sz w:val="22"/>
                <w:szCs w:val="22"/>
                <w:highlight w:val="none"/>
                <w:lang w:eastAsia="zh-CN"/>
              </w:rPr>
              <w:t>（含折边）</w:t>
            </w:r>
          </w:p>
        </w:tc>
        <w:tc>
          <w:tcPr>
            <w:tcW w:w="1938" w:type="pct"/>
            <w:tcBorders>
              <w:top w:val="single" w:color="000000" w:sz="4" w:space="0"/>
              <w:left w:val="single" w:color="000000" w:sz="4" w:space="0"/>
              <w:bottom w:val="single" w:color="000000" w:sz="4" w:space="0"/>
              <w:right w:val="single" w:color="000000" w:sz="4" w:space="0"/>
            </w:tcBorders>
            <w:noWrap/>
            <w:vAlign w:val="center"/>
          </w:tcPr>
          <w:p w14:paraId="5E8600D7">
            <w:pPr>
              <w:pStyle w:val="343"/>
              <w:kinsoku w:val="0"/>
              <w:overflowPunct w:val="0"/>
              <w:spacing w:before="152" w:line="360" w:lineRule="auto"/>
              <w:jc w:val="center"/>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pacing w:val="1"/>
                <w:sz w:val="22"/>
                <w:szCs w:val="22"/>
                <w:highlight w:val="none"/>
              </w:rPr>
              <w:t>标志板铝板厚度</w:t>
            </w:r>
            <w:r>
              <w:rPr>
                <w:rFonts w:hint="eastAsia" w:ascii="新宋体" w:hAnsi="新宋体" w:eastAsia="新宋体" w:cs="新宋体"/>
                <w:color w:val="auto"/>
                <w:spacing w:val="1"/>
                <w:sz w:val="22"/>
                <w:szCs w:val="22"/>
                <w:highlight w:val="none"/>
                <w:lang w:val="en-US" w:eastAsia="zh-CN"/>
              </w:rPr>
              <w:t>(覆膜后)</w:t>
            </w:r>
          </w:p>
        </w:tc>
      </w:tr>
      <w:tr w14:paraId="00FCDE95">
        <w:tblPrEx>
          <w:tblCellMar>
            <w:top w:w="0" w:type="dxa"/>
            <w:left w:w="0" w:type="dxa"/>
            <w:bottom w:w="0" w:type="dxa"/>
            <w:right w:w="0" w:type="dxa"/>
          </w:tblCellMar>
        </w:tblPrEx>
        <w:trPr>
          <w:trHeight w:val="768" w:hRule="atLeast"/>
          <w:jc w:val="center"/>
        </w:trPr>
        <w:tc>
          <w:tcPr>
            <w:tcW w:w="3062" w:type="pct"/>
            <w:tcBorders>
              <w:top w:val="single" w:color="000000" w:sz="4" w:space="0"/>
              <w:left w:val="single" w:color="000000" w:sz="4" w:space="0"/>
              <w:bottom w:val="single" w:color="000000" w:sz="4" w:space="0"/>
              <w:right w:val="single" w:color="000000" w:sz="4" w:space="0"/>
            </w:tcBorders>
            <w:noWrap/>
            <w:vAlign w:val="center"/>
          </w:tcPr>
          <w:p w14:paraId="0C3D9B11">
            <w:pPr>
              <w:pStyle w:val="343"/>
              <w:kinsoku w:val="0"/>
              <w:overflowPunct w:val="0"/>
              <w:spacing w:before="151"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标志面积≤2m</w:t>
            </w:r>
            <w:r>
              <w:rPr>
                <w:rFonts w:hint="eastAsia" w:ascii="新宋体" w:hAnsi="新宋体" w:eastAsia="新宋体" w:cs="新宋体"/>
                <w:color w:val="auto"/>
                <w:position w:val="14"/>
                <w:sz w:val="22"/>
                <w:szCs w:val="22"/>
                <w:highlight w:val="none"/>
              </w:rPr>
              <w:t>2</w:t>
            </w:r>
          </w:p>
        </w:tc>
        <w:tc>
          <w:tcPr>
            <w:tcW w:w="1938" w:type="pct"/>
            <w:tcBorders>
              <w:top w:val="single" w:color="000000" w:sz="4" w:space="0"/>
              <w:left w:val="single" w:color="000000" w:sz="4" w:space="0"/>
              <w:bottom w:val="single" w:color="000000" w:sz="4" w:space="0"/>
              <w:right w:val="single" w:color="000000" w:sz="4" w:space="0"/>
            </w:tcBorders>
            <w:noWrap/>
            <w:vAlign w:val="center"/>
          </w:tcPr>
          <w:p w14:paraId="3A5D6E0A">
            <w:pPr>
              <w:pStyle w:val="343"/>
              <w:kinsoku w:val="0"/>
              <w:overflowPunct w:val="0"/>
              <w:spacing w:before="151"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2mm</w:t>
            </w:r>
          </w:p>
        </w:tc>
      </w:tr>
      <w:tr w14:paraId="4938C565">
        <w:tblPrEx>
          <w:tblCellMar>
            <w:top w:w="0" w:type="dxa"/>
            <w:left w:w="0" w:type="dxa"/>
            <w:bottom w:w="0" w:type="dxa"/>
            <w:right w:w="0" w:type="dxa"/>
          </w:tblCellMar>
        </w:tblPrEx>
        <w:trPr>
          <w:jc w:val="center"/>
        </w:trPr>
        <w:tc>
          <w:tcPr>
            <w:tcW w:w="3062" w:type="pct"/>
            <w:tcBorders>
              <w:top w:val="single" w:color="000000" w:sz="4" w:space="0"/>
              <w:left w:val="single" w:color="000000" w:sz="4" w:space="0"/>
              <w:bottom w:val="single" w:color="000000" w:sz="4" w:space="0"/>
              <w:right w:val="single" w:color="000000" w:sz="4" w:space="0"/>
            </w:tcBorders>
            <w:noWrap/>
            <w:vAlign w:val="center"/>
          </w:tcPr>
          <w:p w14:paraId="51842D93">
            <w:pPr>
              <w:pStyle w:val="343"/>
              <w:kinsoku w:val="0"/>
              <w:overflowPunct w:val="0"/>
              <w:spacing w:before="151"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2m</w:t>
            </w:r>
            <w:r>
              <w:rPr>
                <w:rFonts w:hint="eastAsia" w:ascii="新宋体" w:hAnsi="新宋体" w:eastAsia="新宋体" w:cs="新宋体"/>
                <w:color w:val="auto"/>
                <w:position w:val="14"/>
                <w:sz w:val="22"/>
                <w:szCs w:val="22"/>
                <w:highlight w:val="none"/>
              </w:rPr>
              <w:t>2</w:t>
            </w:r>
            <w:r>
              <w:rPr>
                <w:rFonts w:hint="eastAsia" w:ascii="新宋体" w:hAnsi="新宋体" w:eastAsia="新宋体" w:cs="新宋体"/>
                <w:color w:val="auto"/>
                <w:sz w:val="22"/>
                <w:szCs w:val="22"/>
                <w:highlight w:val="none"/>
              </w:rPr>
              <w:t>＜标志面积≤4.5m</w:t>
            </w:r>
            <w:r>
              <w:rPr>
                <w:rFonts w:hint="eastAsia" w:ascii="新宋体" w:hAnsi="新宋体" w:eastAsia="新宋体" w:cs="新宋体"/>
                <w:color w:val="auto"/>
                <w:position w:val="14"/>
                <w:sz w:val="22"/>
                <w:szCs w:val="22"/>
                <w:highlight w:val="none"/>
              </w:rPr>
              <w:t>2</w:t>
            </w:r>
          </w:p>
        </w:tc>
        <w:tc>
          <w:tcPr>
            <w:tcW w:w="1938" w:type="pct"/>
            <w:tcBorders>
              <w:top w:val="single" w:color="000000" w:sz="4" w:space="0"/>
              <w:left w:val="single" w:color="000000" w:sz="4" w:space="0"/>
              <w:bottom w:val="single" w:color="000000" w:sz="4" w:space="0"/>
              <w:right w:val="single" w:color="000000" w:sz="4" w:space="0"/>
            </w:tcBorders>
            <w:noWrap/>
            <w:vAlign w:val="center"/>
          </w:tcPr>
          <w:p w14:paraId="0441F13C">
            <w:pPr>
              <w:pStyle w:val="343"/>
              <w:kinsoku w:val="0"/>
              <w:overflowPunct w:val="0"/>
              <w:spacing w:before="151"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2.5mm</w:t>
            </w:r>
          </w:p>
        </w:tc>
      </w:tr>
      <w:tr w14:paraId="139537C2">
        <w:tblPrEx>
          <w:tblCellMar>
            <w:top w:w="0" w:type="dxa"/>
            <w:left w:w="0" w:type="dxa"/>
            <w:bottom w:w="0" w:type="dxa"/>
            <w:right w:w="0" w:type="dxa"/>
          </w:tblCellMar>
        </w:tblPrEx>
        <w:trPr>
          <w:jc w:val="center"/>
        </w:trPr>
        <w:tc>
          <w:tcPr>
            <w:tcW w:w="3062" w:type="pct"/>
            <w:tcBorders>
              <w:top w:val="single" w:color="000000" w:sz="4" w:space="0"/>
              <w:left w:val="single" w:color="000000" w:sz="4" w:space="0"/>
              <w:bottom w:val="single" w:color="000000" w:sz="4" w:space="0"/>
              <w:right w:val="single" w:color="000000" w:sz="4" w:space="0"/>
            </w:tcBorders>
            <w:noWrap/>
            <w:vAlign w:val="center"/>
          </w:tcPr>
          <w:p w14:paraId="7EB8025B">
            <w:pPr>
              <w:pStyle w:val="343"/>
              <w:kinsoku w:val="0"/>
              <w:overflowPunct w:val="0"/>
              <w:spacing w:before="152"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标志面积≥4.5m</w:t>
            </w:r>
            <w:r>
              <w:rPr>
                <w:rFonts w:hint="eastAsia" w:ascii="新宋体" w:hAnsi="新宋体" w:eastAsia="新宋体" w:cs="新宋体"/>
                <w:color w:val="auto"/>
                <w:position w:val="14"/>
                <w:sz w:val="22"/>
                <w:szCs w:val="22"/>
                <w:highlight w:val="none"/>
              </w:rPr>
              <w:t>2</w:t>
            </w:r>
          </w:p>
        </w:tc>
        <w:tc>
          <w:tcPr>
            <w:tcW w:w="1938" w:type="pct"/>
            <w:tcBorders>
              <w:top w:val="single" w:color="000000" w:sz="4" w:space="0"/>
              <w:left w:val="single" w:color="000000" w:sz="4" w:space="0"/>
              <w:bottom w:val="single" w:color="000000" w:sz="4" w:space="0"/>
              <w:right w:val="single" w:color="000000" w:sz="4" w:space="0"/>
            </w:tcBorders>
            <w:noWrap/>
            <w:vAlign w:val="center"/>
          </w:tcPr>
          <w:p w14:paraId="2A7E975B">
            <w:pPr>
              <w:pStyle w:val="343"/>
              <w:kinsoku w:val="0"/>
              <w:overflowPunct w:val="0"/>
              <w:spacing w:before="152"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3mm</w:t>
            </w:r>
          </w:p>
        </w:tc>
      </w:tr>
    </w:tbl>
    <w:p w14:paraId="5C938FF2">
      <w:pPr>
        <w:spacing w:line="360" w:lineRule="auto"/>
        <w:ind w:firstLine="442" w:firstLineChars="200"/>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（1）主动发光标志</w:t>
      </w:r>
    </w:p>
    <w:p w14:paraId="4F4943C8">
      <w:pPr>
        <w:spacing w:line="360" w:lineRule="auto"/>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主动发光标志板材：半透标志面板采用2.5mm厚1060铝合金板，背面采用1.0mm厚1060铝合金板；全透标志面板采用2mm厚透明板材，背面采用1.0mm厚1060铝合金板；反光膜采用V类反光膜，采用1.2mm厚树脂材质线路板，贴片式LED间距28*28mm布珠，贴片式LED规格为3.5*2.8mm。光源板布设于标志箱体，向标志逆反射材料背面定向投射，显示高清晰信息内容</w:t>
      </w:r>
    </w:p>
    <w:p w14:paraId="515EFFDC">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2.2、反光膜</w:t>
      </w:r>
    </w:p>
    <w:p w14:paraId="0B0284C6">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zh-CN"/>
        </w:rPr>
        <w:t>反光膜的色度性能及逆反射系数值根据《道路交通反光膜》（GB/T18833-2012）的相应技术指标规定。</w:t>
      </w:r>
    </w:p>
    <w:p w14:paraId="0396ACC0">
      <w:pPr>
        <w:autoSpaceDE w:val="0"/>
        <w:autoSpaceDN w:val="0"/>
        <w:adjustRightInd w:val="0"/>
        <w:snapToGrid w:val="0"/>
        <w:spacing w:line="360" w:lineRule="auto"/>
        <w:ind w:firstLine="42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（1）Ⅳ类反光膜要求：</w:t>
      </w:r>
      <w:r>
        <w:rPr>
          <w:rFonts w:hint="eastAsia" w:ascii="新宋体" w:hAnsi="新宋体" w:eastAsia="新宋体" w:cs="新宋体"/>
          <w:color w:val="auto"/>
          <w:sz w:val="22"/>
          <w:szCs w:val="22"/>
          <w:highlight w:val="none"/>
          <w:lang w:val="zh-CN"/>
        </w:rPr>
        <w:t>标志反光膜应符合GB18833-2012《道路交通反光膜》的IV类要求并同时满足以下条件：</w:t>
      </w:r>
    </w:p>
    <w:p w14:paraId="439E86D5">
      <w:pPr>
        <w:autoSpaceDE w:val="0"/>
        <w:autoSpaceDN w:val="0"/>
        <w:adjustRightInd w:val="0"/>
        <w:snapToGrid w:val="0"/>
        <w:spacing w:line="360" w:lineRule="auto"/>
        <w:ind w:firstLine="42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1）采用微棱镜结构，不含金属镀层,表面具有明暗条纹；</w:t>
      </w:r>
    </w:p>
    <w:p w14:paraId="62F0F802">
      <w:pPr>
        <w:autoSpaceDE w:val="0"/>
        <w:autoSpaceDN w:val="0"/>
        <w:adjustRightInd w:val="0"/>
        <w:snapToGrid w:val="0"/>
        <w:spacing w:line="360" w:lineRule="auto"/>
        <w:ind w:firstLine="42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zh-CN"/>
        </w:rPr>
        <w:t>2）反光膜检测包括光度性能、色度性能、附着性能等十一项技术指标并符合《道路交通反光膜》GB/T18833-2012中IV类的技术要求；</w:t>
      </w:r>
    </w:p>
    <w:p w14:paraId="202135A6">
      <w:pPr>
        <w:autoSpaceDE w:val="0"/>
        <w:autoSpaceDN w:val="0"/>
        <w:adjustRightInd w:val="0"/>
        <w:snapToGrid w:val="0"/>
        <w:spacing w:line="360" w:lineRule="auto"/>
        <w:ind w:firstLine="42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3</w:t>
      </w:r>
      <w:r>
        <w:rPr>
          <w:rFonts w:hint="eastAsia" w:ascii="新宋体" w:hAnsi="新宋体" w:eastAsia="新宋体" w:cs="新宋体"/>
          <w:color w:val="auto"/>
          <w:sz w:val="22"/>
          <w:szCs w:val="22"/>
          <w:highlight w:val="none"/>
          <w:lang w:val="zh-CN"/>
        </w:rPr>
        <w:t>）反光膜应满足下表的技术要求：</w:t>
      </w:r>
    </w:p>
    <w:tbl>
      <w:tblPr>
        <w:tblStyle w:val="52"/>
        <w:tblW w:w="4998" w:type="pct"/>
        <w:jc w:val="center"/>
        <w:tblLayout w:type="autofit"/>
        <w:tblCellMar>
          <w:top w:w="0" w:type="dxa"/>
          <w:left w:w="108" w:type="dxa"/>
          <w:bottom w:w="0" w:type="dxa"/>
          <w:right w:w="108" w:type="dxa"/>
        </w:tblCellMar>
      </w:tblPr>
      <w:tblGrid>
        <w:gridCol w:w="1235"/>
        <w:gridCol w:w="1192"/>
        <w:gridCol w:w="1235"/>
        <w:gridCol w:w="1235"/>
        <w:gridCol w:w="1235"/>
        <w:gridCol w:w="1236"/>
        <w:gridCol w:w="1236"/>
        <w:gridCol w:w="1246"/>
      </w:tblGrid>
      <w:tr w14:paraId="3CA73D91">
        <w:tblPrEx>
          <w:tblCellMar>
            <w:top w:w="0" w:type="dxa"/>
            <w:left w:w="108" w:type="dxa"/>
            <w:bottom w:w="0" w:type="dxa"/>
            <w:right w:w="108" w:type="dxa"/>
          </w:tblCellMar>
        </w:tblPrEx>
        <w:trPr>
          <w:cantSplit/>
          <w:trHeight w:val="408" w:hRule="atLeast"/>
          <w:jc w:val="center"/>
        </w:trPr>
        <w:tc>
          <w:tcPr>
            <w:tcW w:w="627" w:type="pct"/>
            <w:vMerge w:val="restart"/>
            <w:tcBorders>
              <w:top w:val="single" w:color="auto" w:sz="4" w:space="0"/>
              <w:left w:val="single" w:color="auto" w:sz="4" w:space="0"/>
              <w:bottom w:val="single" w:color="auto" w:sz="4" w:space="0"/>
              <w:right w:val="single" w:color="auto" w:sz="4" w:space="0"/>
            </w:tcBorders>
            <w:noWrap/>
            <w:vAlign w:val="center"/>
          </w:tcPr>
          <w:p w14:paraId="5040E3E8">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观察角</w:t>
            </w:r>
          </w:p>
        </w:tc>
        <w:tc>
          <w:tcPr>
            <w:tcW w:w="605" w:type="pct"/>
            <w:vMerge w:val="restart"/>
            <w:tcBorders>
              <w:top w:val="single" w:color="auto" w:sz="4" w:space="0"/>
              <w:left w:val="nil"/>
              <w:bottom w:val="single" w:color="auto" w:sz="4" w:space="0"/>
              <w:right w:val="single" w:color="auto" w:sz="4" w:space="0"/>
            </w:tcBorders>
            <w:noWrap/>
            <w:vAlign w:val="center"/>
          </w:tcPr>
          <w:p w14:paraId="1D1E57F8">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入射角</w:t>
            </w:r>
          </w:p>
        </w:tc>
        <w:tc>
          <w:tcPr>
            <w:tcW w:w="3767" w:type="pct"/>
            <w:gridSpan w:val="6"/>
            <w:tcBorders>
              <w:top w:val="single" w:color="auto" w:sz="4" w:space="0"/>
              <w:left w:val="nil"/>
              <w:bottom w:val="single" w:color="auto" w:sz="4" w:space="0"/>
              <w:right w:val="single" w:color="auto" w:sz="4" w:space="0"/>
            </w:tcBorders>
            <w:noWrap/>
            <w:vAlign w:val="center"/>
          </w:tcPr>
          <w:p w14:paraId="384D8CE4">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最小逆反射系数cd·lx</w:t>
            </w:r>
            <w:r>
              <w:rPr>
                <w:rFonts w:hint="eastAsia" w:ascii="新宋体" w:hAnsi="新宋体" w:eastAsia="新宋体" w:cs="新宋体"/>
                <w:color w:val="auto"/>
                <w:sz w:val="22"/>
                <w:szCs w:val="22"/>
                <w:highlight w:val="none"/>
                <w:vertAlign w:val="superscript"/>
                <w:lang w:val="zh-CN"/>
              </w:rPr>
              <w:t>-1</w:t>
            </w:r>
            <w:r>
              <w:rPr>
                <w:rFonts w:hint="eastAsia" w:ascii="新宋体" w:hAnsi="新宋体" w:eastAsia="新宋体" w:cs="新宋体"/>
                <w:color w:val="auto"/>
                <w:sz w:val="22"/>
                <w:szCs w:val="22"/>
                <w:highlight w:val="none"/>
                <w:lang w:val="zh-CN"/>
              </w:rPr>
              <w:t>·m</w:t>
            </w:r>
            <w:r>
              <w:rPr>
                <w:rFonts w:hint="eastAsia" w:ascii="新宋体" w:hAnsi="新宋体" w:eastAsia="新宋体" w:cs="新宋体"/>
                <w:color w:val="auto"/>
                <w:sz w:val="22"/>
                <w:szCs w:val="22"/>
                <w:highlight w:val="none"/>
                <w:vertAlign w:val="superscript"/>
                <w:lang w:val="zh-CN"/>
              </w:rPr>
              <w:t>-2</w:t>
            </w:r>
          </w:p>
        </w:tc>
      </w:tr>
      <w:tr w14:paraId="2D21FC4D">
        <w:tblPrEx>
          <w:tblCellMar>
            <w:top w:w="0" w:type="dxa"/>
            <w:left w:w="108" w:type="dxa"/>
            <w:bottom w:w="0" w:type="dxa"/>
            <w:right w:w="108" w:type="dxa"/>
          </w:tblCellMar>
        </w:tblPrEx>
        <w:trPr>
          <w:cantSplit/>
          <w:trHeight w:val="157" w:hRule="atLeast"/>
          <w:jc w:val="center"/>
        </w:trPr>
        <w:tc>
          <w:tcPr>
            <w:tcW w:w="627" w:type="pct"/>
            <w:vMerge w:val="continue"/>
            <w:tcBorders>
              <w:top w:val="single" w:color="auto" w:sz="4" w:space="0"/>
              <w:left w:val="single" w:color="auto" w:sz="4" w:space="0"/>
              <w:bottom w:val="single" w:color="auto" w:sz="4" w:space="0"/>
              <w:right w:val="single" w:color="auto" w:sz="4" w:space="0"/>
            </w:tcBorders>
            <w:noWrap/>
            <w:vAlign w:val="center"/>
          </w:tcPr>
          <w:p w14:paraId="199A22E3">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vMerge w:val="continue"/>
            <w:tcBorders>
              <w:top w:val="single" w:color="auto" w:sz="4" w:space="0"/>
              <w:left w:val="nil"/>
              <w:bottom w:val="single" w:color="auto" w:sz="4" w:space="0"/>
              <w:right w:val="single" w:color="auto" w:sz="4" w:space="0"/>
            </w:tcBorders>
            <w:noWrap/>
            <w:vAlign w:val="center"/>
          </w:tcPr>
          <w:p w14:paraId="6ACB3097">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27" w:type="pct"/>
            <w:tcBorders>
              <w:top w:val="single" w:color="auto" w:sz="4" w:space="0"/>
              <w:left w:val="nil"/>
              <w:bottom w:val="single" w:color="auto" w:sz="4" w:space="0"/>
              <w:right w:val="single" w:color="auto" w:sz="4" w:space="0"/>
            </w:tcBorders>
            <w:noWrap/>
            <w:vAlign w:val="center"/>
          </w:tcPr>
          <w:p w14:paraId="747DF48E">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白色</w:t>
            </w:r>
          </w:p>
        </w:tc>
        <w:tc>
          <w:tcPr>
            <w:tcW w:w="627" w:type="pct"/>
            <w:tcBorders>
              <w:top w:val="single" w:color="auto" w:sz="4" w:space="0"/>
              <w:left w:val="nil"/>
              <w:bottom w:val="single" w:color="auto" w:sz="4" w:space="0"/>
              <w:right w:val="single" w:color="auto" w:sz="4" w:space="0"/>
            </w:tcBorders>
            <w:noWrap/>
            <w:vAlign w:val="center"/>
          </w:tcPr>
          <w:p w14:paraId="5EA067F1">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黄色</w:t>
            </w:r>
          </w:p>
        </w:tc>
        <w:tc>
          <w:tcPr>
            <w:tcW w:w="627" w:type="pct"/>
            <w:tcBorders>
              <w:top w:val="single" w:color="auto" w:sz="4" w:space="0"/>
              <w:left w:val="nil"/>
              <w:bottom w:val="single" w:color="auto" w:sz="4" w:space="0"/>
              <w:right w:val="single" w:color="auto" w:sz="4" w:space="0"/>
            </w:tcBorders>
            <w:noWrap/>
            <w:vAlign w:val="center"/>
          </w:tcPr>
          <w:p w14:paraId="2107835C">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红色</w:t>
            </w:r>
          </w:p>
        </w:tc>
        <w:tc>
          <w:tcPr>
            <w:tcW w:w="627" w:type="pct"/>
            <w:tcBorders>
              <w:top w:val="single" w:color="auto" w:sz="4" w:space="0"/>
              <w:left w:val="nil"/>
              <w:bottom w:val="single" w:color="auto" w:sz="4" w:space="0"/>
              <w:right w:val="single" w:color="auto" w:sz="4" w:space="0"/>
            </w:tcBorders>
            <w:noWrap/>
            <w:vAlign w:val="center"/>
          </w:tcPr>
          <w:p w14:paraId="6A8F7D13">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绿色</w:t>
            </w:r>
          </w:p>
        </w:tc>
        <w:tc>
          <w:tcPr>
            <w:tcW w:w="627" w:type="pct"/>
            <w:tcBorders>
              <w:top w:val="single" w:color="auto" w:sz="4" w:space="0"/>
              <w:left w:val="nil"/>
              <w:bottom w:val="single" w:color="auto" w:sz="4" w:space="0"/>
              <w:right w:val="single" w:color="auto" w:sz="4" w:space="0"/>
            </w:tcBorders>
            <w:noWrap/>
            <w:vAlign w:val="center"/>
          </w:tcPr>
          <w:p w14:paraId="0D27FB34">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蓝色</w:t>
            </w:r>
          </w:p>
        </w:tc>
        <w:tc>
          <w:tcPr>
            <w:tcW w:w="631" w:type="pct"/>
            <w:tcBorders>
              <w:top w:val="single" w:color="auto" w:sz="4" w:space="0"/>
              <w:left w:val="nil"/>
              <w:bottom w:val="single" w:color="auto" w:sz="4" w:space="0"/>
              <w:right w:val="single" w:color="auto" w:sz="4" w:space="0"/>
            </w:tcBorders>
            <w:noWrap/>
            <w:vAlign w:val="center"/>
          </w:tcPr>
          <w:p w14:paraId="7AA20662">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棕色</w:t>
            </w:r>
          </w:p>
        </w:tc>
      </w:tr>
      <w:tr w14:paraId="0665C2A0">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14:paraId="1EADAB15">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0.2º</w:t>
            </w:r>
          </w:p>
        </w:tc>
        <w:tc>
          <w:tcPr>
            <w:tcW w:w="605" w:type="pct"/>
            <w:tcBorders>
              <w:top w:val="single" w:color="auto" w:sz="4" w:space="0"/>
              <w:left w:val="nil"/>
              <w:bottom w:val="single" w:color="auto" w:sz="4" w:space="0"/>
              <w:right w:val="single" w:color="auto" w:sz="4" w:space="0"/>
            </w:tcBorders>
            <w:noWrap/>
          </w:tcPr>
          <w:p w14:paraId="693ED6AA">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-4º</w:t>
            </w:r>
          </w:p>
        </w:tc>
        <w:tc>
          <w:tcPr>
            <w:tcW w:w="627" w:type="pct"/>
            <w:tcBorders>
              <w:top w:val="single" w:color="auto" w:sz="4" w:space="0"/>
              <w:left w:val="nil"/>
              <w:bottom w:val="single" w:color="auto" w:sz="4" w:space="0"/>
              <w:right w:val="single" w:color="auto" w:sz="4" w:space="0"/>
            </w:tcBorders>
            <w:noWrap/>
            <w:vAlign w:val="center"/>
          </w:tcPr>
          <w:p w14:paraId="101B42F5">
            <w:pPr>
              <w:widowControl/>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580</w:t>
            </w:r>
          </w:p>
        </w:tc>
        <w:tc>
          <w:tcPr>
            <w:tcW w:w="627" w:type="pct"/>
            <w:tcBorders>
              <w:top w:val="single" w:color="auto" w:sz="4" w:space="0"/>
              <w:left w:val="nil"/>
              <w:bottom w:val="single" w:color="auto" w:sz="4" w:space="0"/>
              <w:right w:val="single" w:color="auto" w:sz="4" w:space="0"/>
            </w:tcBorders>
            <w:noWrap/>
            <w:vAlign w:val="center"/>
          </w:tcPr>
          <w:p w14:paraId="047B8F56">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480</w:t>
            </w:r>
          </w:p>
        </w:tc>
        <w:tc>
          <w:tcPr>
            <w:tcW w:w="627" w:type="pct"/>
            <w:tcBorders>
              <w:top w:val="single" w:color="auto" w:sz="4" w:space="0"/>
              <w:left w:val="nil"/>
              <w:bottom w:val="single" w:color="auto" w:sz="4" w:space="0"/>
              <w:right w:val="single" w:color="auto" w:sz="4" w:space="0"/>
            </w:tcBorders>
            <w:noWrap/>
            <w:vAlign w:val="center"/>
          </w:tcPr>
          <w:p w14:paraId="2E8FD84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93</w:t>
            </w:r>
          </w:p>
        </w:tc>
        <w:tc>
          <w:tcPr>
            <w:tcW w:w="627" w:type="pct"/>
            <w:tcBorders>
              <w:top w:val="single" w:color="auto" w:sz="4" w:space="0"/>
              <w:left w:val="nil"/>
              <w:bottom w:val="single" w:color="auto" w:sz="4" w:space="0"/>
              <w:right w:val="single" w:color="auto" w:sz="4" w:space="0"/>
            </w:tcBorders>
            <w:noWrap/>
            <w:vAlign w:val="center"/>
          </w:tcPr>
          <w:p w14:paraId="100EEFE6">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71</w:t>
            </w:r>
          </w:p>
        </w:tc>
        <w:tc>
          <w:tcPr>
            <w:tcW w:w="627" w:type="pct"/>
            <w:tcBorders>
              <w:top w:val="single" w:color="auto" w:sz="4" w:space="0"/>
              <w:left w:val="nil"/>
              <w:bottom w:val="single" w:color="auto" w:sz="4" w:space="0"/>
              <w:right w:val="single" w:color="auto" w:sz="4" w:space="0"/>
            </w:tcBorders>
            <w:noWrap/>
            <w:vAlign w:val="center"/>
          </w:tcPr>
          <w:p w14:paraId="1C30CD5F">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43</w:t>
            </w:r>
          </w:p>
        </w:tc>
        <w:tc>
          <w:tcPr>
            <w:tcW w:w="631" w:type="pct"/>
            <w:tcBorders>
              <w:top w:val="single" w:color="auto" w:sz="4" w:space="0"/>
              <w:left w:val="nil"/>
              <w:bottom w:val="single" w:color="auto" w:sz="4" w:space="0"/>
              <w:right w:val="single" w:color="auto" w:sz="4" w:space="0"/>
            </w:tcBorders>
            <w:noWrap/>
            <w:vAlign w:val="center"/>
          </w:tcPr>
          <w:p w14:paraId="654DDED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26</w:t>
            </w:r>
          </w:p>
        </w:tc>
      </w:tr>
      <w:tr w14:paraId="5224958D">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058814D6">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082DA8C1">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15º</w:t>
            </w:r>
          </w:p>
        </w:tc>
        <w:tc>
          <w:tcPr>
            <w:tcW w:w="627" w:type="pct"/>
            <w:tcBorders>
              <w:top w:val="single" w:color="auto" w:sz="4" w:space="0"/>
              <w:left w:val="nil"/>
              <w:bottom w:val="single" w:color="auto" w:sz="4" w:space="0"/>
              <w:right w:val="single" w:color="auto" w:sz="4" w:space="0"/>
            </w:tcBorders>
            <w:noWrap/>
            <w:vAlign w:val="center"/>
          </w:tcPr>
          <w:p w14:paraId="66066773">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480</w:t>
            </w:r>
          </w:p>
        </w:tc>
        <w:tc>
          <w:tcPr>
            <w:tcW w:w="627" w:type="pct"/>
            <w:tcBorders>
              <w:top w:val="single" w:color="auto" w:sz="4" w:space="0"/>
              <w:left w:val="nil"/>
              <w:bottom w:val="single" w:color="auto" w:sz="4" w:space="0"/>
              <w:right w:val="single" w:color="auto" w:sz="4" w:space="0"/>
            </w:tcBorders>
            <w:noWrap/>
            <w:vAlign w:val="center"/>
          </w:tcPr>
          <w:p w14:paraId="37F1204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380</w:t>
            </w:r>
          </w:p>
        </w:tc>
        <w:tc>
          <w:tcPr>
            <w:tcW w:w="627" w:type="pct"/>
            <w:tcBorders>
              <w:top w:val="single" w:color="auto" w:sz="4" w:space="0"/>
              <w:left w:val="nil"/>
              <w:bottom w:val="single" w:color="auto" w:sz="4" w:space="0"/>
              <w:right w:val="single" w:color="auto" w:sz="4" w:space="0"/>
            </w:tcBorders>
            <w:noWrap/>
            <w:vAlign w:val="center"/>
          </w:tcPr>
          <w:p w14:paraId="432F02B9">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69</w:t>
            </w:r>
          </w:p>
        </w:tc>
        <w:tc>
          <w:tcPr>
            <w:tcW w:w="627" w:type="pct"/>
            <w:tcBorders>
              <w:top w:val="single" w:color="auto" w:sz="4" w:space="0"/>
              <w:left w:val="nil"/>
              <w:bottom w:val="single" w:color="auto" w:sz="4" w:space="0"/>
              <w:right w:val="single" w:color="auto" w:sz="4" w:space="0"/>
            </w:tcBorders>
            <w:noWrap/>
            <w:vAlign w:val="center"/>
          </w:tcPr>
          <w:p w14:paraId="65130060">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54</w:t>
            </w:r>
          </w:p>
        </w:tc>
        <w:tc>
          <w:tcPr>
            <w:tcW w:w="627" w:type="pct"/>
            <w:tcBorders>
              <w:top w:val="single" w:color="auto" w:sz="4" w:space="0"/>
              <w:left w:val="nil"/>
              <w:bottom w:val="single" w:color="auto" w:sz="4" w:space="0"/>
              <w:right w:val="single" w:color="auto" w:sz="4" w:space="0"/>
            </w:tcBorders>
            <w:noWrap/>
            <w:vAlign w:val="center"/>
          </w:tcPr>
          <w:p w14:paraId="1DCF8748">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31</w:t>
            </w:r>
          </w:p>
        </w:tc>
        <w:tc>
          <w:tcPr>
            <w:tcW w:w="631" w:type="pct"/>
            <w:tcBorders>
              <w:top w:val="single" w:color="auto" w:sz="4" w:space="0"/>
              <w:left w:val="nil"/>
              <w:bottom w:val="single" w:color="auto" w:sz="4" w:space="0"/>
              <w:right w:val="single" w:color="auto" w:sz="4" w:space="0"/>
            </w:tcBorders>
            <w:noWrap/>
            <w:vAlign w:val="center"/>
          </w:tcPr>
          <w:p w14:paraId="7F3A0FA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19</w:t>
            </w:r>
          </w:p>
        </w:tc>
      </w:tr>
      <w:tr w14:paraId="59CCF9D4">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2D0405D9">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330E1B83">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30º</w:t>
            </w:r>
          </w:p>
        </w:tc>
        <w:tc>
          <w:tcPr>
            <w:tcW w:w="627" w:type="pct"/>
            <w:tcBorders>
              <w:top w:val="single" w:color="auto" w:sz="4" w:space="0"/>
              <w:left w:val="nil"/>
              <w:bottom w:val="single" w:color="auto" w:sz="4" w:space="0"/>
              <w:right w:val="single" w:color="auto" w:sz="4" w:space="0"/>
            </w:tcBorders>
            <w:noWrap/>
            <w:vAlign w:val="center"/>
          </w:tcPr>
          <w:p w14:paraId="2E2F4320">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350</w:t>
            </w:r>
          </w:p>
        </w:tc>
        <w:tc>
          <w:tcPr>
            <w:tcW w:w="627" w:type="pct"/>
            <w:tcBorders>
              <w:top w:val="single" w:color="auto" w:sz="4" w:space="0"/>
              <w:left w:val="nil"/>
              <w:bottom w:val="single" w:color="auto" w:sz="4" w:space="0"/>
              <w:right w:val="single" w:color="auto" w:sz="4" w:space="0"/>
            </w:tcBorders>
            <w:noWrap/>
            <w:vAlign w:val="center"/>
          </w:tcPr>
          <w:p w14:paraId="06C22ED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250</w:t>
            </w:r>
          </w:p>
        </w:tc>
        <w:tc>
          <w:tcPr>
            <w:tcW w:w="627" w:type="pct"/>
            <w:tcBorders>
              <w:top w:val="single" w:color="auto" w:sz="4" w:space="0"/>
              <w:left w:val="nil"/>
              <w:bottom w:val="single" w:color="auto" w:sz="4" w:space="0"/>
              <w:right w:val="single" w:color="auto" w:sz="4" w:space="0"/>
            </w:tcBorders>
            <w:noWrap/>
            <w:vAlign w:val="center"/>
          </w:tcPr>
          <w:p w14:paraId="788D65F8">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43</w:t>
            </w:r>
          </w:p>
        </w:tc>
        <w:tc>
          <w:tcPr>
            <w:tcW w:w="627" w:type="pct"/>
            <w:tcBorders>
              <w:top w:val="single" w:color="auto" w:sz="4" w:space="0"/>
              <w:left w:val="nil"/>
              <w:bottom w:val="single" w:color="auto" w:sz="4" w:space="0"/>
              <w:right w:val="single" w:color="auto" w:sz="4" w:space="0"/>
            </w:tcBorders>
            <w:noWrap/>
            <w:vAlign w:val="center"/>
          </w:tcPr>
          <w:p w14:paraId="4AC9231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36</w:t>
            </w:r>
          </w:p>
        </w:tc>
        <w:tc>
          <w:tcPr>
            <w:tcW w:w="627" w:type="pct"/>
            <w:tcBorders>
              <w:top w:val="single" w:color="auto" w:sz="4" w:space="0"/>
              <w:left w:val="nil"/>
              <w:bottom w:val="single" w:color="auto" w:sz="4" w:space="0"/>
              <w:right w:val="single" w:color="auto" w:sz="4" w:space="0"/>
            </w:tcBorders>
            <w:noWrap/>
            <w:vAlign w:val="center"/>
          </w:tcPr>
          <w:p w14:paraId="2C572D88">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20</w:t>
            </w:r>
          </w:p>
        </w:tc>
        <w:tc>
          <w:tcPr>
            <w:tcW w:w="631" w:type="pct"/>
            <w:tcBorders>
              <w:top w:val="single" w:color="auto" w:sz="4" w:space="0"/>
              <w:left w:val="nil"/>
              <w:bottom w:val="single" w:color="auto" w:sz="4" w:space="0"/>
              <w:right w:val="single" w:color="auto" w:sz="4" w:space="0"/>
            </w:tcBorders>
            <w:noWrap/>
            <w:vAlign w:val="center"/>
          </w:tcPr>
          <w:p w14:paraId="3FDC514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w:t>
            </w:r>
          </w:p>
        </w:tc>
      </w:tr>
      <w:tr w14:paraId="3A18B262">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14:paraId="65C82051">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0.5º</w:t>
            </w:r>
          </w:p>
        </w:tc>
        <w:tc>
          <w:tcPr>
            <w:tcW w:w="605" w:type="pct"/>
            <w:tcBorders>
              <w:top w:val="single" w:color="auto" w:sz="4" w:space="0"/>
              <w:left w:val="nil"/>
              <w:bottom w:val="single" w:color="auto" w:sz="4" w:space="0"/>
              <w:right w:val="single" w:color="auto" w:sz="4" w:space="0"/>
            </w:tcBorders>
            <w:noWrap/>
          </w:tcPr>
          <w:p w14:paraId="42C12F6C">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-4º</w:t>
            </w:r>
          </w:p>
        </w:tc>
        <w:tc>
          <w:tcPr>
            <w:tcW w:w="627" w:type="pct"/>
            <w:tcBorders>
              <w:top w:val="single" w:color="auto" w:sz="4" w:space="0"/>
              <w:left w:val="nil"/>
              <w:bottom w:val="single" w:color="auto" w:sz="4" w:space="0"/>
              <w:right w:val="single" w:color="auto" w:sz="4" w:space="0"/>
            </w:tcBorders>
            <w:noWrap/>
            <w:vAlign w:val="center"/>
          </w:tcPr>
          <w:p w14:paraId="142EE24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320</w:t>
            </w:r>
          </w:p>
        </w:tc>
        <w:tc>
          <w:tcPr>
            <w:tcW w:w="627" w:type="pct"/>
            <w:tcBorders>
              <w:top w:val="single" w:color="auto" w:sz="4" w:space="0"/>
              <w:left w:val="nil"/>
              <w:bottom w:val="single" w:color="auto" w:sz="4" w:space="0"/>
              <w:right w:val="single" w:color="auto" w:sz="4" w:space="0"/>
            </w:tcBorders>
            <w:noWrap/>
            <w:vAlign w:val="center"/>
          </w:tcPr>
          <w:p w14:paraId="773B7C4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220</w:t>
            </w:r>
          </w:p>
        </w:tc>
        <w:tc>
          <w:tcPr>
            <w:tcW w:w="627" w:type="pct"/>
            <w:tcBorders>
              <w:top w:val="single" w:color="auto" w:sz="4" w:space="0"/>
              <w:left w:val="nil"/>
              <w:bottom w:val="single" w:color="auto" w:sz="4" w:space="0"/>
              <w:right w:val="single" w:color="auto" w:sz="4" w:space="0"/>
            </w:tcBorders>
            <w:noWrap/>
            <w:vAlign w:val="center"/>
          </w:tcPr>
          <w:p w14:paraId="21783329">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39</w:t>
            </w:r>
          </w:p>
        </w:tc>
        <w:tc>
          <w:tcPr>
            <w:tcW w:w="627" w:type="pct"/>
            <w:tcBorders>
              <w:top w:val="single" w:color="auto" w:sz="4" w:space="0"/>
              <w:left w:val="nil"/>
              <w:bottom w:val="single" w:color="auto" w:sz="4" w:space="0"/>
              <w:right w:val="single" w:color="auto" w:sz="4" w:space="0"/>
            </w:tcBorders>
            <w:noWrap/>
            <w:vAlign w:val="center"/>
          </w:tcPr>
          <w:p w14:paraId="0ACA84E6">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30</w:t>
            </w:r>
          </w:p>
        </w:tc>
        <w:tc>
          <w:tcPr>
            <w:tcW w:w="627" w:type="pct"/>
            <w:tcBorders>
              <w:top w:val="single" w:color="auto" w:sz="4" w:space="0"/>
              <w:left w:val="nil"/>
              <w:bottom w:val="single" w:color="auto" w:sz="4" w:space="0"/>
              <w:right w:val="single" w:color="auto" w:sz="4" w:space="0"/>
            </w:tcBorders>
            <w:noWrap/>
            <w:vAlign w:val="center"/>
          </w:tcPr>
          <w:p w14:paraId="29D1557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19</w:t>
            </w:r>
          </w:p>
        </w:tc>
        <w:tc>
          <w:tcPr>
            <w:tcW w:w="631" w:type="pct"/>
            <w:tcBorders>
              <w:top w:val="single" w:color="auto" w:sz="4" w:space="0"/>
              <w:left w:val="nil"/>
              <w:bottom w:val="single" w:color="auto" w:sz="4" w:space="0"/>
              <w:right w:val="single" w:color="auto" w:sz="4" w:space="0"/>
            </w:tcBorders>
            <w:noWrap/>
            <w:vAlign w:val="center"/>
          </w:tcPr>
          <w:p w14:paraId="33231FB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w:t>
            </w:r>
          </w:p>
        </w:tc>
      </w:tr>
      <w:tr w14:paraId="70D9C901">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1EFFFEFD">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1948EED3">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15º</w:t>
            </w:r>
          </w:p>
        </w:tc>
        <w:tc>
          <w:tcPr>
            <w:tcW w:w="627" w:type="pct"/>
            <w:tcBorders>
              <w:top w:val="single" w:color="auto" w:sz="4" w:space="0"/>
              <w:left w:val="nil"/>
              <w:bottom w:val="single" w:color="auto" w:sz="4" w:space="0"/>
              <w:right w:val="single" w:color="auto" w:sz="4" w:space="0"/>
            </w:tcBorders>
            <w:noWrap/>
            <w:vAlign w:val="center"/>
          </w:tcPr>
          <w:p w14:paraId="68918BDC">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220</w:t>
            </w:r>
          </w:p>
        </w:tc>
        <w:tc>
          <w:tcPr>
            <w:tcW w:w="627" w:type="pct"/>
            <w:tcBorders>
              <w:top w:val="single" w:color="auto" w:sz="4" w:space="0"/>
              <w:left w:val="nil"/>
              <w:bottom w:val="single" w:color="auto" w:sz="4" w:space="0"/>
              <w:right w:val="single" w:color="auto" w:sz="4" w:space="0"/>
            </w:tcBorders>
            <w:noWrap/>
            <w:vAlign w:val="center"/>
          </w:tcPr>
          <w:p w14:paraId="5FC5421C">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120</w:t>
            </w:r>
          </w:p>
        </w:tc>
        <w:tc>
          <w:tcPr>
            <w:tcW w:w="627" w:type="pct"/>
            <w:tcBorders>
              <w:top w:val="single" w:color="auto" w:sz="4" w:space="0"/>
              <w:left w:val="nil"/>
              <w:bottom w:val="single" w:color="auto" w:sz="4" w:space="0"/>
              <w:right w:val="single" w:color="auto" w:sz="4" w:space="0"/>
            </w:tcBorders>
            <w:noWrap/>
            <w:vAlign w:val="center"/>
          </w:tcPr>
          <w:p w14:paraId="0A99F19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29</w:t>
            </w:r>
          </w:p>
        </w:tc>
        <w:tc>
          <w:tcPr>
            <w:tcW w:w="627" w:type="pct"/>
            <w:tcBorders>
              <w:top w:val="single" w:color="auto" w:sz="4" w:space="0"/>
              <w:left w:val="nil"/>
              <w:bottom w:val="single" w:color="auto" w:sz="4" w:space="0"/>
              <w:right w:val="single" w:color="auto" w:sz="4" w:space="0"/>
            </w:tcBorders>
            <w:noWrap/>
            <w:vAlign w:val="center"/>
          </w:tcPr>
          <w:p w14:paraId="0823FA4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w:t>
            </w:r>
          </w:p>
        </w:tc>
        <w:tc>
          <w:tcPr>
            <w:tcW w:w="627" w:type="pct"/>
            <w:tcBorders>
              <w:top w:val="single" w:color="auto" w:sz="4" w:space="0"/>
              <w:left w:val="nil"/>
              <w:bottom w:val="single" w:color="auto" w:sz="4" w:space="0"/>
              <w:right w:val="single" w:color="auto" w:sz="4" w:space="0"/>
            </w:tcBorders>
            <w:noWrap/>
            <w:vAlign w:val="center"/>
          </w:tcPr>
          <w:p w14:paraId="5D7086D8">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w:t>
            </w:r>
          </w:p>
        </w:tc>
        <w:tc>
          <w:tcPr>
            <w:tcW w:w="631" w:type="pct"/>
            <w:tcBorders>
              <w:top w:val="single" w:color="auto" w:sz="4" w:space="0"/>
              <w:left w:val="nil"/>
              <w:bottom w:val="single" w:color="auto" w:sz="4" w:space="0"/>
              <w:right w:val="single" w:color="auto" w:sz="4" w:space="0"/>
            </w:tcBorders>
            <w:noWrap/>
            <w:vAlign w:val="center"/>
          </w:tcPr>
          <w:p w14:paraId="2DBB84F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w:t>
            </w:r>
          </w:p>
        </w:tc>
      </w:tr>
      <w:tr w14:paraId="495D1D32">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6693B334">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4D1E19BF">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30º</w:t>
            </w:r>
          </w:p>
        </w:tc>
        <w:tc>
          <w:tcPr>
            <w:tcW w:w="627" w:type="pct"/>
            <w:tcBorders>
              <w:top w:val="single" w:color="auto" w:sz="4" w:space="0"/>
              <w:left w:val="nil"/>
              <w:bottom w:val="single" w:color="auto" w:sz="4" w:space="0"/>
              <w:right w:val="single" w:color="auto" w:sz="4" w:space="0"/>
            </w:tcBorders>
            <w:noWrap/>
            <w:vAlign w:val="center"/>
          </w:tcPr>
          <w:p w14:paraId="0AFC836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170</w:t>
            </w:r>
          </w:p>
        </w:tc>
        <w:tc>
          <w:tcPr>
            <w:tcW w:w="627" w:type="pct"/>
            <w:tcBorders>
              <w:top w:val="single" w:color="auto" w:sz="4" w:space="0"/>
              <w:left w:val="nil"/>
              <w:bottom w:val="single" w:color="auto" w:sz="4" w:space="0"/>
              <w:right w:val="single" w:color="auto" w:sz="4" w:space="0"/>
            </w:tcBorders>
            <w:noWrap/>
            <w:vAlign w:val="center"/>
          </w:tcPr>
          <w:p w14:paraId="2533675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70</w:t>
            </w:r>
          </w:p>
        </w:tc>
        <w:tc>
          <w:tcPr>
            <w:tcW w:w="627" w:type="pct"/>
            <w:tcBorders>
              <w:top w:val="single" w:color="auto" w:sz="4" w:space="0"/>
              <w:left w:val="nil"/>
              <w:bottom w:val="single" w:color="auto" w:sz="4" w:space="0"/>
              <w:right w:val="single" w:color="auto" w:sz="4" w:space="0"/>
            </w:tcBorders>
            <w:noWrap/>
            <w:vAlign w:val="center"/>
          </w:tcPr>
          <w:p w14:paraId="69AE20DA">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19</w:t>
            </w:r>
          </w:p>
        </w:tc>
        <w:tc>
          <w:tcPr>
            <w:tcW w:w="627" w:type="pct"/>
            <w:tcBorders>
              <w:top w:val="single" w:color="auto" w:sz="4" w:space="0"/>
              <w:left w:val="nil"/>
              <w:bottom w:val="single" w:color="auto" w:sz="4" w:space="0"/>
              <w:right w:val="single" w:color="auto" w:sz="4" w:space="0"/>
            </w:tcBorders>
            <w:noWrap/>
            <w:vAlign w:val="center"/>
          </w:tcPr>
          <w:p w14:paraId="4DF0DB7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w:t>
            </w:r>
          </w:p>
        </w:tc>
        <w:tc>
          <w:tcPr>
            <w:tcW w:w="627" w:type="pct"/>
            <w:tcBorders>
              <w:top w:val="single" w:color="auto" w:sz="4" w:space="0"/>
              <w:left w:val="nil"/>
              <w:bottom w:val="single" w:color="auto" w:sz="4" w:space="0"/>
              <w:right w:val="single" w:color="auto" w:sz="4" w:space="0"/>
            </w:tcBorders>
            <w:noWrap/>
            <w:vAlign w:val="center"/>
          </w:tcPr>
          <w:p w14:paraId="6FC88C4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w:t>
            </w:r>
          </w:p>
        </w:tc>
        <w:tc>
          <w:tcPr>
            <w:tcW w:w="631" w:type="pct"/>
            <w:tcBorders>
              <w:top w:val="single" w:color="auto" w:sz="4" w:space="0"/>
              <w:left w:val="nil"/>
              <w:bottom w:val="single" w:color="auto" w:sz="4" w:space="0"/>
              <w:right w:val="single" w:color="auto" w:sz="4" w:space="0"/>
            </w:tcBorders>
            <w:noWrap/>
            <w:vAlign w:val="center"/>
          </w:tcPr>
          <w:p w14:paraId="34B5DDD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p>
        </w:tc>
      </w:tr>
      <w:tr w14:paraId="07F24F2B">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14:paraId="71BB38EC">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1º</w:t>
            </w:r>
          </w:p>
        </w:tc>
        <w:tc>
          <w:tcPr>
            <w:tcW w:w="605" w:type="pct"/>
            <w:tcBorders>
              <w:top w:val="single" w:color="auto" w:sz="4" w:space="0"/>
              <w:left w:val="nil"/>
              <w:bottom w:val="single" w:color="auto" w:sz="4" w:space="0"/>
              <w:right w:val="single" w:color="auto" w:sz="4" w:space="0"/>
            </w:tcBorders>
            <w:noWrap/>
          </w:tcPr>
          <w:p w14:paraId="01F3D1BA">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-4º</w:t>
            </w:r>
          </w:p>
        </w:tc>
        <w:tc>
          <w:tcPr>
            <w:tcW w:w="627" w:type="pct"/>
            <w:tcBorders>
              <w:top w:val="single" w:color="auto" w:sz="4" w:space="0"/>
              <w:left w:val="nil"/>
              <w:bottom w:val="single" w:color="auto" w:sz="4" w:space="0"/>
              <w:right w:val="single" w:color="auto" w:sz="4" w:space="0"/>
            </w:tcBorders>
            <w:noWrap/>
            <w:vAlign w:val="center"/>
          </w:tcPr>
          <w:p w14:paraId="581FF4C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35</w:t>
            </w:r>
          </w:p>
        </w:tc>
        <w:tc>
          <w:tcPr>
            <w:tcW w:w="627" w:type="pct"/>
            <w:tcBorders>
              <w:top w:val="single" w:color="auto" w:sz="4" w:space="0"/>
              <w:left w:val="nil"/>
              <w:bottom w:val="single" w:color="auto" w:sz="4" w:space="0"/>
              <w:right w:val="single" w:color="auto" w:sz="4" w:space="0"/>
            </w:tcBorders>
            <w:noWrap/>
            <w:vAlign w:val="center"/>
          </w:tcPr>
          <w:p w14:paraId="681DDB5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26</w:t>
            </w:r>
          </w:p>
        </w:tc>
        <w:tc>
          <w:tcPr>
            <w:tcW w:w="627" w:type="pct"/>
            <w:tcBorders>
              <w:top w:val="single" w:color="auto" w:sz="4" w:space="0"/>
              <w:left w:val="nil"/>
              <w:bottom w:val="single" w:color="auto" w:sz="4" w:space="0"/>
              <w:right w:val="single" w:color="auto" w:sz="4" w:space="0"/>
            </w:tcBorders>
            <w:noWrap/>
            <w:vAlign w:val="center"/>
          </w:tcPr>
          <w:p w14:paraId="197AED7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p>
        </w:tc>
        <w:tc>
          <w:tcPr>
            <w:tcW w:w="627" w:type="pct"/>
            <w:tcBorders>
              <w:top w:val="single" w:color="auto" w:sz="4" w:space="0"/>
              <w:left w:val="nil"/>
              <w:bottom w:val="single" w:color="auto" w:sz="4" w:space="0"/>
              <w:right w:val="single" w:color="auto" w:sz="4" w:space="0"/>
            </w:tcBorders>
            <w:noWrap/>
            <w:vAlign w:val="center"/>
          </w:tcPr>
          <w:p w14:paraId="7ED31CF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p>
        </w:tc>
        <w:tc>
          <w:tcPr>
            <w:tcW w:w="627" w:type="pct"/>
            <w:tcBorders>
              <w:top w:val="single" w:color="auto" w:sz="4" w:space="0"/>
              <w:left w:val="nil"/>
              <w:bottom w:val="single" w:color="auto" w:sz="4" w:space="0"/>
              <w:right w:val="single" w:color="auto" w:sz="4" w:space="0"/>
            </w:tcBorders>
            <w:noWrap/>
            <w:vAlign w:val="center"/>
          </w:tcPr>
          <w:p w14:paraId="06FBACA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631" w:type="pct"/>
            <w:tcBorders>
              <w:top w:val="single" w:color="auto" w:sz="4" w:space="0"/>
              <w:left w:val="nil"/>
              <w:bottom w:val="single" w:color="auto" w:sz="4" w:space="0"/>
              <w:right w:val="single" w:color="auto" w:sz="4" w:space="0"/>
            </w:tcBorders>
            <w:noWrap/>
            <w:vAlign w:val="center"/>
          </w:tcPr>
          <w:p w14:paraId="6D3D193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r>
      <w:tr w14:paraId="7BBB8260">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4D1E9D1B">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09990E2F">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15º</w:t>
            </w:r>
          </w:p>
        </w:tc>
        <w:tc>
          <w:tcPr>
            <w:tcW w:w="627" w:type="pct"/>
            <w:tcBorders>
              <w:top w:val="single" w:color="auto" w:sz="4" w:space="0"/>
              <w:left w:val="nil"/>
              <w:bottom w:val="single" w:color="auto" w:sz="4" w:space="0"/>
              <w:right w:val="single" w:color="auto" w:sz="4" w:space="0"/>
            </w:tcBorders>
            <w:noWrap/>
            <w:vAlign w:val="center"/>
          </w:tcPr>
          <w:p w14:paraId="2876B99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28</w:t>
            </w:r>
          </w:p>
        </w:tc>
        <w:tc>
          <w:tcPr>
            <w:tcW w:w="627" w:type="pct"/>
            <w:tcBorders>
              <w:top w:val="single" w:color="auto" w:sz="4" w:space="0"/>
              <w:left w:val="nil"/>
              <w:bottom w:val="single" w:color="auto" w:sz="4" w:space="0"/>
              <w:right w:val="single" w:color="auto" w:sz="4" w:space="0"/>
            </w:tcBorders>
            <w:noWrap/>
            <w:vAlign w:val="center"/>
          </w:tcPr>
          <w:p w14:paraId="2105A188">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20</w:t>
            </w:r>
          </w:p>
        </w:tc>
        <w:tc>
          <w:tcPr>
            <w:tcW w:w="627" w:type="pct"/>
            <w:tcBorders>
              <w:top w:val="single" w:color="auto" w:sz="4" w:space="0"/>
              <w:left w:val="nil"/>
              <w:bottom w:val="single" w:color="auto" w:sz="4" w:space="0"/>
              <w:right w:val="single" w:color="auto" w:sz="4" w:space="0"/>
            </w:tcBorders>
            <w:noWrap/>
            <w:vAlign w:val="center"/>
          </w:tcPr>
          <w:p w14:paraId="078B9C1A">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p>
        </w:tc>
        <w:tc>
          <w:tcPr>
            <w:tcW w:w="627" w:type="pct"/>
            <w:tcBorders>
              <w:top w:val="single" w:color="auto" w:sz="4" w:space="0"/>
              <w:left w:val="nil"/>
              <w:bottom w:val="single" w:color="auto" w:sz="4" w:space="0"/>
              <w:right w:val="single" w:color="auto" w:sz="4" w:space="0"/>
            </w:tcBorders>
            <w:noWrap/>
            <w:vAlign w:val="center"/>
          </w:tcPr>
          <w:p w14:paraId="056A59A6">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627" w:type="pct"/>
            <w:tcBorders>
              <w:top w:val="single" w:color="auto" w:sz="4" w:space="0"/>
              <w:left w:val="nil"/>
              <w:bottom w:val="single" w:color="auto" w:sz="4" w:space="0"/>
              <w:right w:val="single" w:color="auto" w:sz="4" w:space="0"/>
            </w:tcBorders>
            <w:noWrap/>
            <w:vAlign w:val="center"/>
          </w:tcPr>
          <w:p w14:paraId="564EE95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631" w:type="pct"/>
            <w:tcBorders>
              <w:top w:val="single" w:color="auto" w:sz="4" w:space="0"/>
              <w:left w:val="nil"/>
              <w:bottom w:val="single" w:color="auto" w:sz="4" w:space="0"/>
              <w:right w:val="single" w:color="auto" w:sz="4" w:space="0"/>
            </w:tcBorders>
            <w:noWrap/>
            <w:vAlign w:val="center"/>
          </w:tcPr>
          <w:p w14:paraId="36E80E7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r>
      <w:tr w14:paraId="79FBA689">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4BA60800">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09C81692">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30º</w:t>
            </w:r>
          </w:p>
        </w:tc>
        <w:tc>
          <w:tcPr>
            <w:tcW w:w="627" w:type="pct"/>
            <w:tcBorders>
              <w:top w:val="single" w:color="auto" w:sz="4" w:space="0"/>
              <w:left w:val="nil"/>
              <w:bottom w:val="single" w:color="auto" w:sz="4" w:space="0"/>
              <w:right w:val="single" w:color="auto" w:sz="4" w:space="0"/>
            </w:tcBorders>
            <w:noWrap/>
            <w:vAlign w:val="center"/>
          </w:tcPr>
          <w:p w14:paraId="101D6E5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20</w:t>
            </w:r>
          </w:p>
        </w:tc>
        <w:tc>
          <w:tcPr>
            <w:tcW w:w="627" w:type="pct"/>
            <w:tcBorders>
              <w:top w:val="single" w:color="auto" w:sz="4" w:space="0"/>
              <w:left w:val="nil"/>
              <w:bottom w:val="single" w:color="auto" w:sz="4" w:space="0"/>
              <w:right w:val="single" w:color="auto" w:sz="4" w:space="0"/>
            </w:tcBorders>
            <w:noWrap/>
            <w:vAlign w:val="center"/>
          </w:tcPr>
          <w:p w14:paraId="2FFE7489">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w:t>
            </w:r>
          </w:p>
        </w:tc>
        <w:tc>
          <w:tcPr>
            <w:tcW w:w="627" w:type="pct"/>
            <w:tcBorders>
              <w:top w:val="single" w:color="auto" w:sz="4" w:space="0"/>
              <w:left w:val="nil"/>
              <w:bottom w:val="single" w:color="auto" w:sz="4" w:space="0"/>
              <w:right w:val="single" w:color="auto" w:sz="4" w:space="0"/>
            </w:tcBorders>
            <w:noWrap/>
            <w:vAlign w:val="center"/>
          </w:tcPr>
          <w:p w14:paraId="7008FDD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627" w:type="pct"/>
            <w:tcBorders>
              <w:top w:val="single" w:color="auto" w:sz="4" w:space="0"/>
              <w:left w:val="nil"/>
              <w:bottom w:val="single" w:color="auto" w:sz="4" w:space="0"/>
              <w:right w:val="single" w:color="auto" w:sz="4" w:space="0"/>
            </w:tcBorders>
            <w:noWrap/>
            <w:vAlign w:val="center"/>
          </w:tcPr>
          <w:p w14:paraId="7AE72A8A">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627" w:type="pct"/>
            <w:tcBorders>
              <w:top w:val="single" w:color="auto" w:sz="4" w:space="0"/>
              <w:left w:val="nil"/>
              <w:bottom w:val="single" w:color="auto" w:sz="4" w:space="0"/>
              <w:right w:val="single" w:color="auto" w:sz="4" w:space="0"/>
            </w:tcBorders>
            <w:noWrap/>
            <w:vAlign w:val="center"/>
          </w:tcPr>
          <w:p w14:paraId="1C1F37F3">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631" w:type="pct"/>
            <w:tcBorders>
              <w:top w:val="single" w:color="auto" w:sz="4" w:space="0"/>
              <w:left w:val="nil"/>
              <w:bottom w:val="single" w:color="auto" w:sz="4" w:space="0"/>
              <w:right w:val="single" w:color="auto" w:sz="4" w:space="0"/>
            </w:tcBorders>
            <w:noWrap/>
            <w:vAlign w:val="center"/>
          </w:tcPr>
          <w:p w14:paraId="3835F3F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r>
    </w:tbl>
    <w:p w14:paraId="78F3BE09">
      <w:pPr>
        <w:autoSpaceDE w:val="0"/>
        <w:autoSpaceDN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val="zh-CN"/>
        </w:rPr>
        <w:t>V类反光膜要求：</w:t>
      </w:r>
    </w:p>
    <w:p w14:paraId="3B4ACE46">
      <w:pPr>
        <w:autoSpaceDE w:val="0"/>
        <w:autoSpaceDN w:val="0"/>
        <w:adjustRightInd w:val="0"/>
        <w:snapToGrid w:val="0"/>
        <w:spacing w:line="360" w:lineRule="auto"/>
        <w:ind w:firstLine="42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zh-CN"/>
        </w:rPr>
        <w:t>标志反光膜应符合GB18833-2012&lt;&lt;道路交通反光膜&gt;&gt;的V类要求。</w:t>
      </w:r>
    </w:p>
    <w:p w14:paraId="0D0ED7F6">
      <w:pPr>
        <w:autoSpaceDE w:val="0"/>
        <w:autoSpaceDN w:val="0"/>
        <w:adjustRightInd w:val="0"/>
        <w:snapToGrid w:val="0"/>
        <w:spacing w:line="360" w:lineRule="auto"/>
        <w:ind w:firstLine="42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val="zh-CN"/>
        </w:rPr>
        <w:t>）采用全棱镜结构，不含金属镀层；</w:t>
      </w:r>
    </w:p>
    <w:p w14:paraId="1DFB5F1E">
      <w:pPr>
        <w:autoSpaceDE w:val="0"/>
        <w:autoSpaceDN w:val="0"/>
        <w:adjustRightInd w:val="0"/>
        <w:snapToGrid w:val="0"/>
        <w:spacing w:line="360" w:lineRule="auto"/>
        <w:ind w:firstLine="42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3</w:t>
      </w:r>
      <w:r>
        <w:rPr>
          <w:rFonts w:hint="eastAsia" w:ascii="新宋体" w:hAnsi="新宋体" w:eastAsia="新宋体" w:cs="新宋体"/>
          <w:color w:val="auto"/>
          <w:sz w:val="22"/>
          <w:szCs w:val="22"/>
          <w:highlight w:val="none"/>
          <w:lang w:val="zh-CN"/>
        </w:rPr>
        <w:t>）反光膜检测包括光度性能、色度性能、附着性能等十一项技术指标，</w:t>
      </w:r>
      <w:r>
        <w:rPr>
          <w:rFonts w:hint="eastAsia" w:ascii="新宋体" w:hAnsi="新宋体" w:eastAsia="新宋体" w:cs="新宋体"/>
          <w:color w:val="auto"/>
          <w:sz w:val="22"/>
          <w:szCs w:val="22"/>
          <w:highlight w:val="none"/>
        </w:rPr>
        <w:t>需</w:t>
      </w:r>
      <w:r>
        <w:rPr>
          <w:rFonts w:hint="eastAsia" w:ascii="新宋体" w:hAnsi="新宋体" w:eastAsia="新宋体" w:cs="新宋体"/>
          <w:color w:val="auto"/>
          <w:sz w:val="22"/>
          <w:szCs w:val="22"/>
          <w:highlight w:val="none"/>
          <w:lang w:val="zh-CN"/>
        </w:rPr>
        <w:t>符合《道路交通反光膜》GB/T18833-2012中V类的技术要求；</w:t>
      </w:r>
    </w:p>
    <w:p w14:paraId="3E8185FA">
      <w:pPr>
        <w:autoSpaceDE w:val="0"/>
        <w:autoSpaceDN w:val="0"/>
        <w:adjustRightInd w:val="0"/>
        <w:snapToGrid w:val="0"/>
        <w:spacing w:line="360" w:lineRule="auto"/>
        <w:ind w:firstLine="42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4</w:t>
      </w:r>
      <w:r>
        <w:rPr>
          <w:rFonts w:hint="eastAsia" w:ascii="新宋体" w:hAnsi="新宋体" w:eastAsia="新宋体" w:cs="新宋体"/>
          <w:color w:val="auto"/>
          <w:sz w:val="22"/>
          <w:szCs w:val="22"/>
          <w:highlight w:val="none"/>
          <w:lang w:val="zh-CN"/>
        </w:rPr>
        <w:t>）反光膜应满足下表的技术要求：</w:t>
      </w:r>
    </w:p>
    <w:tbl>
      <w:tblPr>
        <w:tblStyle w:val="52"/>
        <w:tblW w:w="4998" w:type="pct"/>
        <w:jc w:val="center"/>
        <w:tblLayout w:type="autofit"/>
        <w:tblCellMar>
          <w:top w:w="0" w:type="dxa"/>
          <w:left w:w="108" w:type="dxa"/>
          <w:bottom w:w="0" w:type="dxa"/>
          <w:right w:w="108" w:type="dxa"/>
        </w:tblCellMar>
      </w:tblPr>
      <w:tblGrid>
        <w:gridCol w:w="1235"/>
        <w:gridCol w:w="1192"/>
        <w:gridCol w:w="1235"/>
        <w:gridCol w:w="1235"/>
        <w:gridCol w:w="1235"/>
        <w:gridCol w:w="1236"/>
        <w:gridCol w:w="1236"/>
        <w:gridCol w:w="1246"/>
      </w:tblGrid>
      <w:tr w14:paraId="78FD3EB5">
        <w:tblPrEx>
          <w:tblCellMar>
            <w:top w:w="0" w:type="dxa"/>
            <w:left w:w="108" w:type="dxa"/>
            <w:bottom w:w="0" w:type="dxa"/>
            <w:right w:w="108" w:type="dxa"/>
          </w:tblCellMar>
        </w:tblPrEx>
        <w:trPr>
          <w:cantSplit/>
          <w:trHeight w:val="408" w:hRule="atLeast"/>
          <w:jc w:val="center"/>
        </w:trPr>
        <w:tc>
          <w:tcPr>
            <w:tcW w:w="627" w:type="pct"/>
            <w:vMerge w:val="restart"/>
            <w:tcBorders>
              <w:top w:val="single" w:color="auto" w:sz="4" w:space="0"/>
              <w:left w:val="single" w:color="auto" w:sz="4" w:space="0"/>
              <w:bottom w:val="single" w:color="auto" w:sz="4" w:space="0"/>
              <w:right w:val="single" w:color="auto" w:sz="4" w:space="0"/>
            </w:tcBorders>
            <w:noWrap/>
            <w:vAlign w:val="center"/>
          </w:tcPr>
          <w:p w14:paraId="48F61B71">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观察角</w:t>
            </w:r>
          </w:p>
        </w:tc>
        <w:tc>
          <w:tcPr>
            <w:tcW w:w="605" w:type="pct"/>
            <w:vMerge w:val="restart"/>
            <w:tcBorders>
              <w:top w:val="single" w:color="auto" w:sz="4" w:space="0"/>
              <w:left w:val="nil"/>
              <w:bottom w:val="single" w:color="auto" w:sz="4" w:space="0"/>
              <w:right w:val="single" w:color="auto" w:sz="4" w:space="0"/>
            </w:tcBorders>
            <w:noWrap/>
            <w:vAlign w:val="center"/>
          </w:tcPr>
          <w:p w14:paraId="06F79ADA">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入射角</w:t>
            </w:r>
          </w:p>
        </w:tc>
        <w:tc>
          <w:tcPr>
            <w:tcW w:w="3767" w:type="pct"/>
            <w:gridSpan w:val="6"/>
            <w:tcBorders>
              <w:top w:val="single" w:color="auto" w:sz="4" w:space="0"/>
              <w:left w:val="nil"/>
              <w:bottom w:val="single" w:color="auto" w:sz="4" w:space="0"/>
              <w:right w:val="single" w:color="auto" w:sz="4" w:space="0"/>
            </w:tcBorders>
            <w:noWrap/>
            <w:vAlign w:val="center"/>
          </w:tcPr>
          <w:p w14:paraId="567A8700">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最小逆反射系数cd·lx</w:t>
            </w:r>
            <w:r>
              <w:rPr>
                <w:rFonts w:hint="eastAsia" w:ascii="新宋体" w:hAnsi="新宋体" w:eastAsia="新宋体" w:cs="新宋体"/>
                <w:color w:val="auto"/>
                <w:sz w:val="22"/>
                <w:szCs w:val="22"/>
                <w:highlight w:val="none"/>
                <w:vertAlign w:val="superscript"/>
                <w:lang w:val="zh-CN"/>
              </w:rPr>
              <w:t>-1</w:t>
            </w:r>
            <w:r>
              <w:rPr>
                <w:rFonts w:hint="eastAsia" w:ascii="新宋体" w:hAnsi="新宋体" w:eastAsia="新宋体" w:cs="新宋体"/>
                <w:color w:val="auto"/>
                <w:sz w:val="22"/>
                <w:szCs w:val="22"/>
                <w:highlight w:val="none"/>
                <w:lang w:val="zh-CN"/>
              </w:rPr>
              <w:t>·m</w:t>
            </w:r>
            <w:r>
              <w:rPr>
                <w:rFonts w:hint="eastAsia" w:ascii="新宋体" w:hAnsi="新宋体" w:eastAsia="新宋体" w:cs="新宋体"/>
                <w:color w:val="auto"/>
                <w:sz w:val="22"/>
                <w:szCs w:val="22"/>
                <w:highlight w:val="none"/>
                <w:vertAlign w:val="superscript"/>
                <w:lang w:val="zh-CN"/>
              </w:rPr>
              <w:t>-2</w:t>
            </w:r>
          </w:p>
        </w:tc>
      </w:tr>
      <w:tr w14:paraId="0ECD6212">
        <w:tblPrEx>
          <w:tblCellMar>
            <w:top w:w="0" w:type="dxa"/>
            <w:left w:w="108" w:type="dxa"/>
            <w:bottom w:w="0" w:type="dxa"/>
            <w:right w:w="108" w:type="dxa"/>
          </w:tblCellMar>
        </w:tblPrEx>
        <w:trPr>
          <w:cantSplit/>
          <w:trHeight w:val="157" w:hRule="atLeast"/>
          <w:jc w:val="center"/>
        </w:trPr>
        <w:tc>
          <w:tcPr>
            <w:tcW w:w="627" w:type="pct"/>
            <w:vMerge w:val="continue"/>
            <w:tcBorders>
              <w:top w:val="single" w:color="auto" w:sz="4" w:space="0"/>
              <w:left w:val="single" w:color="auto" w:sz="4" w:space="0"/>
              <w:bottom w:val="single" w:color="auto" w:sz="4" w:space="0"/>
              <w:right w:val="single" w:color="auto" w:sz="4" w:space="0"/>
            </w:tcBorders>
            <w:noWrap/>
            <w:vAlign w:val="center"/>
          </w:tcPr>
          <w:p w14:paraId="33E8213F">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vMerge w:val="continue"/>
            <w:tcBorders>
              <w:top w:val="single" w:color="auto" w:sz="4" w:space="0"/>
              <w:left w:val="nil"/>
              <w:bottom w:val="single" w:color="auto" w:sz="4" w:space="0"/>
              <w:right w:val="single" w:color="auto" w:sz="4" w:space="0"/>
            </w:tcBorders>
            <w:noWrap/>
            <w:vAlign w:val="center"/>
          </w:tcPr>
          <w:p w14:paraId="66E47810">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27" w:type="pct"/>
            <w:tcBorders>
              <w:top w:val="single" w:color="auto" w:sz="4" w:space="0"/>
              <w:left w:val="nil"/>
              <w:bottom w:val="single" w:color="auto" w:sz="4" w:space="0"/>
              <w:right w:val="single" w:color="auto" w:sz="4" w:space="0"/>
            </w:tcBorders>
            <w:noWrap/>
            <w:vAlign w:val="center"/>
          </w:tcPr>
          <w:p w14:paraId="2D59F2D3">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白色</w:t>
            </w:r>
          </w:p>
        </w:tc>
        <w:tc>
          <w:tcPr>
            <w:tcW w:w="627" w:type="pct"/>
            <w:tcBorders>
              <w:top w:val="single" w:color="auto" w:sz="4" w:space="0"/>
              <w:left w:val="nil"/>
              <w:bottom w:val="single" w:color="auto" w:sz="4" w:space="0"/>
              <w:right w:val="single" w:color="auto" w:sz="4" w:space="0"/>
            </w:tcBorders>
            <w:noWrap/>
            <w:vAlign w:val="center"/>
          </w:tcPr>
          <w:p w14:paraId="5434CE91">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黄色</w:t>
            </w:r>
          </w:p>
        </w:tc>
        <w:tc>
          <w:tcPr>
            <w:tcW w:w="627" w:type="pct"/>
            <w:tcBorders>
              <w:top w:val="single" w:color="auto" w:sz="4" w:space="0"/>
              <w:left w:val="nil"/>
              <w:bottom w:val="single" w:color="auto" w:sz="4" w:space="0"/>
              <w:right w:val="single" w:color="auto" w:sz="4" w:space="0"/>
            </w:tcBorders>
            <w:noWrap/>
            <w:vAlign w:val="center"/>
          </w:tcPr>
          <w:p w14:paraId="383101D4">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红色</w:t>
            </w:r>
          </w:p>
        </w:tc>
        <w:tc>
          <w:tcPr>
            <w:tcW w:w="627" w:type="pct"/>
            <w:tcBorders>
              <w:top w:val="single" w:color="auto" w:sz="4" w:space="0"/>
              <w:left w:val="nil"/>
              <w:bottom w:val="single" w:color="auto" w:sz="4" w:space="0"/>
              <w:right w:val="single" w:color="auto" w:sz="4" w:space="0"/>
            </w:tcBorders>
            <w:noWrap/>
            <w:vAlign w:val="center"/>
          </w:tcPr>
          <w:p w14:paraId="4D88C44D">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绿色</w:t>
            </w:r>
          </w:p>
        </w:tc>
        <w:tc>
          <w:tcPr>
            <w:tcW w:w="627" w:type="pct"/>
            <w:tcBorders>
              <w:top w:val="single" w:color="auto" w:sz="4" w:space="0"/>
              <w:left w:val="nil"/>
              <w:bottom w:val="single" w:color="auto" w:sz="4" w:space="0"/>
              <w:right w:val="single" w:color="auto" w:sz="4" w:space="0"/>
            </w:tcBorders>
            <w:noWrap/>
            <w:vAlign w:val="center"/>
          </w:tcPr>
          <w:p w14:paraId="0EF4F299">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蓝色</w:t>
            </w:r>
          </w:p>
        </w:tc>
        <w:tc>
          <w:tcPr>
            <w:tcW w:w="631" w:type="pct"/>
            <w:tcBorders>
              <w:top w:val="single" w:color="auto" w:sz="4" w:space="0"/>
              <w:left w:val="nil"/>
              <w:bottom w:val="single" w:color="auto" w:sz="4" w:space="0"/>
              <w:right w:val="single" w:color="auto" w:sz="4" w:space="0"/>
            </w:tcBorders>
            <w:noWrap/>
            <w:vAlign w:val="center"/>
          </w:tcPr>
          <w:p w14:paraId="6094BB3C">
            <w:pPr>
              <w:autoSpaceDE w:val="0"/>
              <w:autoSpaceDN w:val="0"/>
              <w:adjustRightInd w:val="0"/>
              <w:snapToGrid w:val="0"/>
              <w:spacing w:line="360" w:lineRule="auto"/>
              <w:jc w:val="center"/>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棕色</w:t>
            </w:r>
          </w:p>
        </w:tc>
      </w:tr>
      <w:tr w14:paraId="02836947">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14:paraId="09C33CE7">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0.2º</w:t>
            </w:r>
          </w:p>
        </w:tc>
        <w:tc>
          <w:tcPr>
            <w:tcW w:w="605" w:type="pct"/>
            <w:tcBorders>
              <w:top w:val="single" w:color="auto" w:sz="4" w:space="0"/>
              <w:left w:val="nil"/>
              <w:bottom w:val="single" w:color="auto" w:sz="4" w:space="0"/>
              <w:right w:val="single" w:color="auto" w:sz="4" w:space="0"/>
            </w:tcBorders>
            <w:noWrap/>
          </w:tcPr>
          <w:p w14:paraId="2643CC9D">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-4º</w:t>
            </w:r>
          </w:p>
        </w:tc>
        <w:tc>
          <w:tcPr>
            <w:tcW w:w="627" w:type="pct"/>
            <w:tcBorders>
              <w:top w:val="single" w:color="auto" w:sz="4" w:space="0"/>
              <w:left w:val="nil"/>
              <w:bottom w:val="single" w:color="auto" w:sz="4" w:space="0"/>
              <w:right w:val="single" w:color="auto" w:sz="4" w:space="0"/>
            </w:tcBorders>
            <w:noWrap/>
            <w:vAlign w:val="center"/>
          </w:tcPr>
          <w:p w14:paraId="7F0CBF09">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829</w:t>
            </w:r>
          </w:p>
        </w:tc>
        <w:tc>
          <w:tcPr>
            <w:tcW w:w="627" w:type="pct"/>
            <w:tcBorders>
              <w:top w:val="single" w:color="auto" w:sz="4" w:space="0"/>
              <w:left w:val="nil"/>
              <w:bottom w:val="single" w:color="auto" w:sz="4" w:space="0"/>
              <w:right w:val="single" w:color="auto" w:sz="4" w:space="0"/>
            </w:tcBorders>
            <w:noWrap/>
            <w:vAlign w:val="center"/>
          </w:tcPr>
          <w:p w14:paraId="1A38A341">
            <w:pPr>
              <w:widowControl/>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621</w:t>
            </w:r>
          </w:p>
        </w:tc>
        <w:tc>
          <w:tcPr>
            <w:tcW w:w="627" w:type="pct"/>
            <w:tcBorders>
              <w:top w:val="single" w:color="auto" w:sz="4" w:space="0"/>
              <w:left w:val="nil"/>
              <w:bottom w:val="single" w:color="auto" w:sz="4" w:space="0"/>
              <w:right w:val="single" w:color="auto" w:sz="4" w:space="0"/>
            </w:tcBorders>
            <w:noWrap/>
            <w:vAlign w:val="center"/>
          </w:tcPr>
          <w:p w14:paraId="6AD057FD">
            <w:pPr>
              <w:widowControl/>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124</w:t>
            </w:r>
          </w:p>
        </w:tc>
        <w:tc>
          <w:tcPr>
            <w:tcW w:w="627" w:type="pct"/>
            <w:tcBorders>
              <w:top w:val="single" w:color="auto" w:sz="4" w:space="0"/>
              <w:left w:val="nil"/>
              <w:bottom w:val="single" w:color="auto" w:sz="4" w:space="0"/>
              <w:right w:val="single" w:color="auto" w:sz="4" w:space="0"/>
            </w:tcBorders>
            <w:noWrap/>
            <w:vAlign w:val="center"/>
          </w:tcPr>
          <w:p w14:paraId="51220DBC">
            <w:pPr>
              <w:widowControl/>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83</w:t>
            </w:r>
          </w:p>
        </w:tc>
        <w:tc>
          <w:tcPr>
            <w:tcW w:w="627" w:type="pct"/>
            <w:tcBorders>
              <w:top w:val="single" w:color="auto" w:sz="4" w:space="0"/>
              <w:left w:val="nil"/>
              <w:bottom w:val="single" w:color="auto" w:sz="4" w:space="0"/>
              <w:right w:val="single" w:color="auto" w:sz="4" w:space="0"/>
            </w:tcBorders>
            <w:noWrap/>
            <w:vAlign w:val="center"/>
          </w:tcPr>
          <w:p w14:paraId="62BFD873">
            <w:pPr>
              <w:widowControl/>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37</w:t>
            </w:r>
          </w:p>
        </w:tc>
        <w:tc>
          <w:tcPr>
            <w:tcW w:w="631" w:type="pct"/>
            <w:tcBorders>
              <w:top w:val="single" w:color="auto" w:sz="4" w:space="0"/>
              <w:left w:val="nil"/>
              <w:bottom w:val="single" w:color="auto" w:sz="4" w:space="0"/>
              <w:right w:val="single" w:color="auto" w:sz="4" w:space="0"/>
            </w:tcBorders>
            <w:noWrap/>
            <w:vAlign w:val="center"/>
          </w:tcPr>
          <w:p w14:paraId="37B5AEF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24</w:t>
            </w:r>
          </w:p>
        </w:tc>
      </w:tr>
      <w:tr w14:paraId="1330C79E">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49433CD2">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450B6F63">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15º</w:t>
            </w:r>
          </w:p>
        </w:tc>
        <w:tc>
          <w:tcPr>
            <w:tcW w:w="627" w:type="pct"/>
            <w:tcBorders>
              <w:top w:val="single" w:color="auto" w:sz="4" w:space="0"/>
              <w:left w:val="nil"/>
              <w:bottom w:val="single" w:color="auto" w:sz="4" w:space="0"/>
              <w:right w:val="single" w:color="auto" w:sz="4" w:space="0"/>
            </w:tcBorders>
            <w:noWrap/>
            <w:vAlign w:val="center"/>
          </w:tcPr>
          <w:p w14:paraId="1BB32B9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497</w:t>
            </w:r>
          </w:p>
        </w:tc>
        <w:tc>
          <w:tcPr>
            <w:tcW w:w="627" w:type="pct"/>
            <w:tcBorders>
              <w:top w:val="single" w:color="auto" w:sz="4" w:space="0"/>
              <w:left w:val="nil"/>
              <w:bottom w:val="single" w:color="auto" w:sz="4" w:space="0"/>
              <w:right w:val="single" w:color="auto" w:sz="4" w:space="0"/>
            </w:tcBorders>
            <w:noWrap/>
            <w:vAlign w:val="center"/>
          </w:tcPr>
          <w:p w14:paraId="332C72D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373</w:t>
            </w:r>
          </w:p>
        </w:tc>
        <w:tc>
          <w:tcPr>
            <w:tcW w:w="627" w:type="pct"/>
            <w:tcBorders>
              <w:top w:val="single" w:color="auto" w:sz="4" w:space="0"/>
              <w:left w:val="nil"/>
              <w:bottom w:val="single" w:color="auto" w:sz="4" w:space="0"/>
              <w:right w:val="single" w:color="auto" w:sz="4" w:space="0"/>
            </w:tcBorders>
            <w:noWrap/>
            <w:vAlign w:val="center"/>
          </w:tcPr>
          <w:p w14:paraId="49762F1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74</w:t>
            </w:r>
          </w:p>
        </w:tc>
        <w:tc>
          <w:tcPr>
            <w:tcW w:w="627" w:type="pct"/>
            <w:tcBorders>
              <w:top w:val="single" w:color="auto" w:sz="4" w:space="0"/>
              <w:left w:val="nil"/>
              <w:bottom w:val="single" w:color="auto" w:sz="4" w:space="0"/>
              <w:right w:val="single" w:color="auto" w:sz="4" w:space="0"/>
            </w:tcBorders>
            <w:noWrap/>
            <w:vAlign w:val="center"/>
          </w:tcPr>
          <w:p w14:paraId="4901A85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50</w:t>
            </w:r>
          </w:p>
        </w:tc>
        <w:tc>
          <w:tcPr>
            <w:tcW w:w="627" w:type="pct"/>
            <w:tcBorders>
              <w:top w:val="single" w:color="auto" w:sz="4" w:space="0"/>
              <w:left w:val="nil"/>
              <w:bottom w:val="single" w:color="auto" w:sz="4" w:space="0"/>
              <w:right w:val="single" w:color="auto" w:sz="4" w:space="0"/>
            </w:tcBorders>
            <w:noWrap/>
            <w:vAlign w:val="center"/>
          </w:tcPr>
          <w:p w14:paraId="59AEE6A6">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w:t>
            </w:r>
          </w:p>
        </w:tc>
        <w:tc>
          <w:tcPr>
            <w:tcW w:w="631" w:type="pct"/>
            <w:tcBorders>
              <w:top w:val="single" w:color="auto" w:sz="4" w:space="0"/>
              <w:left w:val="nil"/>
              <w:bottom w:val="single" w:color="auto" w:sz="4" w:space="0"/>
              <w:right w:val="single" w:color="auto" w:sz="4" w:space="0"/>
            </w:tcBorders>
            <w:noWrap/>
            <w:vAlign w:val="center"/>
          </w:tcPr>
          <w:p w14:paraId="07A3EE18">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w:t>
            </w:r>
          </w:p>
        </w:tc>
      </w:tr>
      <w:tr w14:paraId="5D6BBDF2">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21C5EB79">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496A326F">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30º</w:t>
            </w:r>
          </w:p>
        </w:tc>
        <w:tc>
          <w:tcPr>
            <w:tcW w:w="627" w:type="pct"/>
            <w:tcBorders>
              <w:top w:val="single" w:color="auto" w:sz="4" w:space="0"/>
              <w:left w:val="nil"/>
              <w:bottom w:val="single" w:color="auto" w:sz="4" w:space="0"/>
              <w:right w:val="single" w:color="auto" w:sz="4" w:space="0"/>
            </w:tcBorders>
            <w:noWrap/>
            <w:vAlign w:val="center"/>
          </w:tcPr>
          <w:p w14:paraId="3FB21C16">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329</w:t>
            </w:r>
          </w:p>
        </w:tc>
        <w:tc>
          <w:tcPr>
            <w:tcW w:w="627" w:type="pct"/>
            <w:tcBorders>
              <w:top w:val="single" w:color="auto" w:sz="4" w:space="0"/>
              <w:left w:val="nil"/>
              <w:bottom w:val="single" w:color="auto" w:sz="4" w:space="0"/>
              <w:right w:val="single" w:color="auto" w:sz="4" w:space="0"/>
            </w:tcBorders>
            <w:noWrap/>
            <w:vAlign w:val="center"/>
          </w:tcPr>
          <w:p w14:paraId="4ADF6C1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236</w:t>
            </w:r>
          </w:p>
        </w:tc>
        <w:tc>
          <w:tcPr>
            <w:tcW w:w="627" w:type="pct"/>
            <w:tcBorders>
              <w:top w:val="single" w:color="auto" w:sz="4" w:space="0"/>
              <w:left w:val="nil"/>
              <w:bottom w:val="single" w:color="auto" w:sz="4" w:space="0"/>
              <w:right w:val="single" w:color="auto" w:sz="4" w:space="0"/>
            </w:tcBorders>
            <w:noWrap/>
            <w:vAlign w:val="center"/>
          </w:tcPr>
          <w:p w14:paraId="00FCF74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47</w:t>
            </w:r>
          </w:p>
        </w:tc>
        <w:tc>
          <w:tcPr>
            <w:tcW w:w="627" w:type="pct"/>
            <w:tcBorders>
              <w:top w:val="single" w:color="auto" w:sz="4" w:space="0"/>
              <w:left w:val="nil"/>
              <w:bottom w:val="single" w:color="auto" w:sz="4" w:space="0"/>
              <w:right w:val="single" w:color="auto" w:sz="4" w:space="0"/>
            </w:tcBorders>
            <w:noWrap/>
            <w:vAlign w:val="center"/>
          </w:tcPr>
          <w:p w14:paraId="0F4A179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31</w:t>
            </w:r>
          </w:p>
        </w:tc>
        <w:tc>
          <w:tcPr>
            <w:tcW w:w="627" w:type="pct"/>
            <w:tcBorders>
              <w:top w:val="single" w:color="auto" w:sz="4" w:space="0"/>
              <w:left w:val="nil"/>
              <w:bottom w:val="single" w:color="auto" w:sz="4" w:space="0"/>
              <w:right w:val="single" w:color="auto" w:sz="4" w:space="0"/>
            </w:tcBorders>
            <w:noWrap/>
            <w:vAlign w:val="center"/>
          </w:tcPr>
          <w:p w14:paraId="0EFA788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w:t>
            </w:r>
          </w:p>
        </w:tc>
        <w:tc>
          <w:tcPr>
            <w:tcW w:w="631" w:type="pct"/>
            <w:tcBorders>
              <w:top w:val="single" w:color="auto" w:sz="4" w:space="0"/>
              <w:left w:val="nil"/>
              <w:bottom w:val="single" w:color="auto" w:sz="4" w:space="0"/>
              <w:right w:val="single" w:color="auto" w:sz="4" w:space="0"/>
            </w:tcBorders>
            <w:noWrap/>
            <w:vAlign w:val="center"/>
          </w:tcPr>
          <w:p w14:paraId="52CB3FD3">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w:t>
            </w:r>
          </w:p>
        </w:tc>
      </w:tr>
      <w:tr w14:paraId="5473080B">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14:paraId="4B595AB8">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0.5º</w:t>
            </w:r>
          </w:p>
        </w:tc>
        <w:tc>
          <w:tcPr>
            <w:tcW w:w="605" w:type="pct"/>
            <w:tcBorders>
              <w:top w:val="single" w:color="auto" w:sz="4" w:space="0"/>
              <w:left w:val="nil"/>
              <w:bottom w:val="single" w:color="auto" w:sz="4" w:space="0"/>
              <w:right w:val="single" w:color="auto" w:sz="4" w:space="0"/>
            </w:tcBorders>
            <w:noWrap/>
          </w:tcPr>
          <w:p w14:paraId="52D964F5">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-4º</w:t>
            </w:r>
          </w:p>
        </w:tc>
        <w:tc>
          <w:tcPr>
            <w:tcW w:w="627" w:type="pct"/>
            <w:tcBorders>
              <w:top w:val="single" w:color="auto" w:sz="4" w:space="0"/>
              <w:left w:val="nil"/>
              <w:bottom w:val="single" w:color="auto" w:sz="4" w:space="0"/>
              <w:right w:val="single" w:color="auto" w:sz="4" w:space="0"/>
            </w:tcBorders>
            <w:noWrap/>
            <w:vAlign w:val="center"/>
          </w:tcPr>
          <w:p w14:paraId="6EDF2F5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525</w:t>
            </w:r>
          </w:p>
        </w:tc>
        <w:tc>
          <w:tcPr>
            <w:tcW w:w="627" w:type="pct"/>
            <w:tcBorders>
              <w:top w:val="single" w:color="auto" w:sz="4" w:space="0"/>
              <w:left w:val="nil"/>
              <w:bottom w:val="single" w:color="auto" w:sz="4" w:space="0"/>
              <w:right w:val="single" w:color="auto" w:sz="4" w:space="0"/>
            </w:tcBorders>
            <w:noWrap/>
            <w:vAlign w:val="center"/>
          </w:tcPr>
          <w:p w14:paraId="2BEC4BD9">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394</w:t>
            </w:r>
          </w:p>
        </w:tc>
        <w:tc>
          <w:tcPr>
            <w:tcW w:w="627" w:type="pct"/>
            <w:tcBorders>
              <w:top w:val="single" w:color="auto" w:sz="4" w:space="0"/>
              <w:left w:val="nil"/>
              <w:bottom w:val="single" w:color="auto" w:sz="4" w:space="0"/>
              <w:right w:val="single" w:color="auto" w:sz="4" w:space="0"/>
            </w:tcBorders>
            <w:noWrap/>
            <w:vAlign w:val="center"/>
          </w:tcPr>
          <w:p w14:paraId="5000E53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85</w:t>
            </w:r>
          </w:p>
        </w:tc>
        <w:tc>
          <w:tcPr>
            <w:tcW w:w="627" w:type="pct"/>
            <w:tcBorders>
              <w:top w:val="single" w:color="auto" w:sz="4" w:space="0"/>
              <w:left w:val="nil"/>
              <w:bottom w:val="single" w:color="auto" w:sz="4" w:space="0"/>
              <w:right w:val="single" w:color="auto" w:sz="4" w:space="0"/>
            </w:tcBorders>
            <w:noWrap/>
            <w:vAlign w:val="center"/>
          </w:tcPr>
          <w:p w14:paraId="139EB6D5">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60</w:t>
            </w:r>
          </w:p>
        </w:tc>
        <w:tc>
          <w:tcPr>
            <w:tcW w:w="627" w:type="pct"/>
            <w:tcBorders>
              <w:top w:val="single" w:color="auto" w:sz="4" w:space="0"/>
              <w:left w:val="nil"/>
              <w:bottom w:val="single" w:color="auto" w:sz="4" w:space="0"/>
              <w:right w:val="single" w:color="auto" w:sz="4" w:space="0"/>
            </w:tcBorders>
            <w:noWrap/>
            <w:vAlign w:val="center"/>
          </w:tcPr>
          <w:p w14:paraId="01F074A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27</w:t>
            </w:r>
          </w:p>
        </w:tc>
        <w:tc>
          <w:tcPr>
            <w:tcW w:w="631" w:type="pct"/>
            <w:tcBorders>
              <w:top w:val="single" w:color="auto" w:sz="4" w:space="0"/>
              <w:left w:val="nil"/>
              <w:bottom w:val="single" w:color="auto" w:sz="4" w:space="0"/>
              <w:right w:val="single" w:color="auto" w:sz="4" w:space="0"/>
            </w:tcBorders>
            <w:noWrap/>
            <w:vAlign w:val="center"/>
          </w:tcPr>
          <w:p w14:paraId="24657F6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18</w:t>
            </w:r>
          </w:p>
        </w:tc>
      </w:tr>
      <w:tr w14:paraId="1DF5A2EB">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0995E46D">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59F86D37">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15º</w:t>
            </w:r>
          </w:p>
        </w:tc>
        <w:tc>
          <w:tcPr>
            <w:tcW w:w="627" w:type="pct"/>
            <w:tcBorders>
              <w:top w:val="single" w:color="auto" w:sz="4" w:space="0"/>
              <w:left w:val="nil"/>
              <w:bottom w:val="single" w:color="auto" w:sz="4" w:space="0"/>
              <w:right w:val="single" w:color="auto" w:sz="4" w:space="0"/>
            </w:tcBorders>
            <w:noWrap/>
            <w:vAlign w:val="center"/>
          </w:tcPr>
          <w:p w14:paraId="790C09B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315</w:t>
            </w:r>
          </w:p>
        </w:tc>
        <w:tc>
          <w:tcPr>
            <w:tcW w:w="627" w:type="pct"/>
            <w:tcBorders>
              <w:top w:val="single" w:color="auto" w:sz="4" w:space="0"/>
              <w:left w:val="nil"/>
              <w:bottom w:val="single" w:color="auto" w:sz="4" w:space="0"/>
              <w:right w:val="single" w:color="auto" w:sz="4" w:space="0"/>
            </w:tcBorders>
            <w:noWrap/>
            <w:vAlign w:val="center"/>
          </w:tcPr>
          <w:p w14:paraId="360464F8">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236</w:t>
            </w:r>
          </w:p>
        </w:tc>
        <w:tc>
          <w:tcPr>
            <w:tcW w:w="627" w:type="pct"/>
            <w:tcBorders>
              <w:top w:val="single" w:color="auto" w:sz="4" w:space="0"/>
              <w:left w:val="nil"/>
              <w:bottom w:val="single" w:color="auto" w:sz="4" w:space="0"/>
              <w:right w:val="single" w:color="auto" w:sz="4" w:space="0"/>
            </w:tcBorders>
            <w:noWrap/>
            <w:vAlign w:val="center"/>
          </w:tcPr>
          <w:p w14:paraId="1FDD3AD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48</w:t>
            </w:r>
          </w:p>
        </w:tc>
        <w:tc>
          <w:tcPr>
            <w:tcW w:w="627" w:type="pct"/>
            <w:tcBorders>
              <w:top w:val="single" w:color="auto" w:sz="4" w:space="0"/>
              <w:left w:val="nil"/>
              <w:bottom w:val="single" w:color="auto" w:sz="4" w:space="0"/>
              <w:right w:val="single" w:color="auto" w:sz="4" w:space="0"/>
            </w:tcBorders>
            <w:noWrap/>
            <w:vAlign w:val="center"/>
          </w:tcPr>
          <w:p w14:paraId="73B4CF9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36</w:t>
            </w:r>
          </w:p>
        </w:tc>
        <w:tc>
          <w:tcPr>
            <w:tcW w:w="627" w:type="pct"/>
            <w:tcBorders>
              <w:top w:val="single" w:color="auto" w:sz="4" w:space="0"/>
              <w:left w:val="nil"/>
              <w:bottom w:val="single" w:color="auto" w:sz="4" w:space="0"/>
              <w:right w:val="single" w:color="auto" w:sz="4" w:space="0"/>
            </w:tcBorders>
            <w:noWrap/>
            <w:vAlign w:val="center"/>
          </w:tcPr>
          <w:p w14:paraId="0B70F4C6">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w:t>
            </w:r>
          </w:p>
        </w:tc>
        <w:tc>
          <w:tcPr>
            <w:tcW w:w="631" w:type="pct"/>
            <w:tcBorders>
              <w:top w:val="single" w:color="auto" w:sz="4" w:space="0"/>
              <w:left w:val="nil"/>
              <w:bottom w:val="single" w:color="auto" w:sz="4" w:space="0"/>
              <w:right w:val="single" w:color="auto" w:sz="4" w:space="0"/>
            </w:tcBorders>
            <w:noWrap/>
            <w:vAlign w:val="center"/>
          </w:tcPr>
          <w:p w14:paraId="32FBB6DC">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w:t>
            </w:r>
          </w:p>
        </w:tc>
      </w:tr>
      <w:tr w14:paraId="4A229CB4">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76C685C0">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2B547CCC">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30º</w:t>
            </w:r>
          </w:p>
        </w:tc>
        <w:tc>
          <w:tcPr>
            <w:tcW w:w="627" w:type="pct"/>
            <w:tcBorders>
              <w:top w:val="single" w:color="auto" w:sz="4" w:space="0"/>
              <w:left w:val="nil"/>
              <w:bottom w:val="single" w:color="auto" w:sz="4" w:space="0"/>
              <w:right w:val="single" w:color="auto" w:sz="4" w:space="0"/>
            </w:tcBorders>
            <w:noWrap/>
            <w:vAlign w:val="center"/>
          </w:tcPr>
          <w:p w14:paraId="4D30117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188</w:t>
            </w:r>
          </w:p>
        </w:tc>
        <w:tc>
          <w:tcPr>
            <w:tcW w:w="627" w:type="pct"/>
            <w:tcBorders>
              <w:top w:val="single" w:color="auto" w:sz="4" w:space="0"/>
              <w:left w:val="nil"/>
              <w:bottom w:val="single" w:color="auto" w:sz="4" w:space="0"/>
              <w:right w:val="single" w:color="auto" w:sz="4" w:space="0"/>
            </w:tcBorders>
            <w:noWrap/>
            <w:vAlign w:val="center"/>
          </w:tcPr>
          <w:p w14:paraId="03E0F10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138</w:t>
            </w:r>
          </w:p>
        </w:tc>
        <w:tc>
          <w:tcPr>
            <w:tcW w:w="627" w:type="pct"/>
            <w:tcBorders>
              <w:top w:val="single" w:color="auto" w:sz="4" w:space="0"/>
              <w:left w:val="nil"/>
              <w:bottom w:val="single" w:color="auto" w:sz="4" w:space="0"/>
              <w:right w:val="single" w:color="auto" w:sz="4" w:space="0"/>
            </w:tcBorders>
            <w:noWrap/>
            <w:vAlign w:val="center"/>
          </w:tcPr>
          <w:p w14:paraId="68FC009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29</w:t>
            </w:r>
          </w:p>
        </w:tc>
        <w:tc>
          <w:tcPr>
            <w:tcW w:w="627" w:type="pct"/>
            <w:tcBorders>
              <w:top w:val="single" w:color="auto" w:sz="4" w:space="0"/>
              <w:left w:val="nil"/>
              <w:bottom w:val="single" w:color="auto" w:sz="4" w:space="0"/>
              <w:right w:val="single" w:color="auto" w:sz="4" w:space="0"/>
            </w:tcBorders>
            <w:noWrap/>
            <w:vAlign w:val="center"/>
          </w:tcPr>
          <w:p w14:paraId="38DFEE3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w:t>
            </w:r>
          </w:p>
        </w:tc>
        <w:tc>
          <w:tcPr>
            <w:tcW w:w="627" w:type="pct"/>
            <w:tcBorders>
              <w:top w:val="single" w:color="auto" w:sz="4" w:space="0"/>
              <w:left w:val="nil"/>
              <w:bottom w:val="single" w:color="auto" w:sz="4" w:space="0"/>
              <w:right w:val="single" w:color="auto" w:sz="4" w:space="0"/>
            </w:tcBorders>
            <w:noWrap/>
            <w:vAlign w:val="center"/>
          </w:tcPr>
          <w:p w14:paraId="77CFA555">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w:t>
            </w:r>
          </w:p>
        </w:tc>
        <w:tc>
          <w:tcPr>
            <w:tcW w:w="631" w:type="pct"/>
            <w:tcBorders>
              <w:top w:val="single" w:color="auto" w:sz="4" w:space="0"/>
              <w:left w:val="nil"/>
              <w:bottom w:val="single" w:color="auto" w:sz="4" w:space="0"/>
              <w:right w:val="single" w:color="auto" w:sz="4" w:space="0"/>
            </w:tcBorders>
            <w:noWrap/>
            <w:vAlign w:val="center"/>
          </w:tcPr>
          <w:p w14:paraId="68CDD2F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p>
        </w:tc>
      </w:tr>
      <w:tr w14:paraId="4CD4BA62">
        <w:tblPrEx>
          <w:tblCellMar>
            <w:top w:w="0" w:type="dxa"/>
            <w:left w:w="108" w:type="dxa"/>
            <w:bottom w:w="0" w:type="dxa"/>
            <w:right w:w="108" w:type="dxa"/>
          </w:tblCellMar>
        </w:tblPrEx>
        <w:trPr>
          <w:cantSplit/>
          <w:trHeight w:val="408" w:hRule="atLeast"/>
          <w:jc w:val="center"/>
        </w:trPr>
        <w:tc>
          <w:tcPr>
            <w:tcW w:w="627" w:type="pct"/>
            <w:vMerge w:val="restart"/>
            <w:tcBorders>
              <w:top w:val="nil"/>
              <w:left w:val="single" w:color="auto" w:sz="4" w:space="0"/>
              <w:bottom w:val="single" w:color="auto" w:sz="4" w:space="0"/>
              <w:right w:val="single" w:color="auto" w:sz="4" w:space="0"/>
            </w:tcBorders>
            <w:noWrap/>
            <w:vAlign w:val="center"/>
          </w:tcPr>
          <w:p w14:paraId="3BE48912">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1º</w:t>
            </w:r>
          </w:p>
        </w:tc>
        <w:tc>
          <w:tcPr>
            <w:tcW w:w="605" w:type="pct"/>
            <w:tcBorders>
              <w:top w:val="single" w:color="auto" w:sz="4" w:space="0"/>
              <w:left w:val="nil"/>
              <w:bottom w:val="single" w:color="auto" w:sz="4" w:space="0"/>
              <w:right w:val="single" w:color="auto" w:sz="4" w:space="0"/>
            </w:tcBorders>
            <w:noWrap/>
          </w:tcPr>
          <w:p w14:paraId="38479AF4">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-4º</w:t>
            </w:r>
          </w:p>
        </w:tc>
        <w:tc>
          <w:tcPr>
            <w:tcW w:w="627" w:type="pct"/>
            <w:tcBorders>
              <w:top w:val="single" w:color="auto" w:sz="4" w:space="0"/>
              <w:left w:val="nil"/>
              <w:bottom w:val="single" w:color="auto" w:sz="4" w:space="0"/>
              <w:right w:val="single" w:color="auto" w:sz="4" w:space="0"/>
            </w:tcBorders>
            <w:noWrap/>
            <w:vAlign w:val="center"/>
          </w:tcPr>
          <w:p w14:paraId="3FFC010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150</w:t>
            </w:r>
          </w:p>
        </w:tc>
        <w:tc>
          <w:tcPr>
            <w:tcW w:w="627" w:type="pct"/>
            <w:tcBorders>
              <w:top w:val="single" w:color="auto" w:sz="4" w:space="0"/>
              <w:left w:val="nil"/>
              <w:bottom w:val="single" w:color="auto" w:sz="4" w:space="0"/>
              <w:right w:val="single" w:color="auto" w:sz="4" w:space="0"/>
            </w:tcBorders>
            <w:noWrap/>
            <w:vAlign w:val="center"/>
          </w:tcPr>
          <w:p w14:paraId="6829CE4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113</w:t>
            </w:r>
          </w:p>
        </w:tc>
        <w:tc>
          <w:tcPr>
            <w:tcW w:w="627" w:type="pct"/>
            <w:tcBorders>
              <w:top w:val="single" w:color="auto" w:sz="4" w:space="0"/>
              <w:left w:val="nil"/>
              <w:bottom w:val="single" w:color="auto" w:sz="4" w:space="0"/>
              <w:right w:val="single" w:color="auto" w:sz="4" w:space="0"/>
            </w:tcBorders>
            <w:noWrap/>
            <w:vAlign w:val="center"/>
          </w:tcPr>
          <w:p w14:paraId="69DED55F">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w:t>
            </w:r>
          </w:p>
        </w:tc>
        <w:tc>
          <w:tcPr>
            <w:tcW w:w="627" w:type="pct"/>
            <w:tcBorders>
              <w:top w:val="single" w:color="auto" w:sz="4" w:space="0"/>
              <w:left w:val="nil"/>
              <w:bottom w:val="single" w:color="auto" w:sz="4" w:space="0"/>
              <w:right w:val="single" w:color="auto" w:sz="4" w:space="0"/>
            </w:tcBorders>
            <w:noWrap/>
            <w:vAlign w:val="center"/>
          </w:tcPr>
          <w:p w14:paraId="3FA38322">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17</w:t>
            </w:r>
          </w:p>
        </w:tc>
        <w:tc>
          <w:tcPr>
            <w:tcW w:w="627" w:type="pct"/>
            <w:tcBorders>
              <w:top w:val="single" w:color="auto" w:sz="4" w:space="0"/>
              <w:left w:val="nil"/>
              <w:bottom w:val="single" w:color="auto" w:sz="4" w:space="0"/>
              <w:right w:val="single" w:color="auto" w:sz="4" w:space="0"/>
            </w:tcBorders>
            <w:noWrap/>
            <w:vAlign w:val="center"/>
          </w:tcPr>
          <w:p w14:paraId="3514E06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p>
        </w:tc>
        <w:tc>
          <w:tcPr>
            <w:tcW w:w="631" w:type="pct"/>
            <w:tcBorders>
              <w:top w:val="single" w:color="auto" w:sz="4" w:space="0"/>
              <w:left w:val="nil"/>
              <w:bottom w:val="single" w:color="auto" w:sz="4" w:space="0"/>
              <w:right w:val="single" w:color="auto" w:sz="4" w:space="0"/>
            </w:tcBorders>
            <w:noWrap/>
            <w:vAlign w:val="center"/>
          </w:tcPr>
          <w:p w14:paraId="161C7E0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p>
        </w:tc>
      </w:tr>
      <w:tr w14:paraId="16BF737A">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453671B4">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6C1360FE">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15º</w:t>
            </w:r>
          </w:p>
        </w:tc>
        <w:tc>
          <w:tcPr>
            <w:tcW w:w="627" w:type="pct"/>
            <w:tcBorders>
              <w:top w:val="single" w:color="auto" w:sz="4" w:space="0"/>
              <w:left w:val="nil"/>
              <w:bottom w:val="single" w:color="auto" w:sz="4" w:space="0"/>
              <w:right w:val="single" w:color="auto" w:sz="4" w:space="0"/>
            </w:tcBorders>
            <w:noWrap/>
            <w:vAlign w:val="center"/>
          </w:tcPr>
          <w:p w14:paraId="7C142EB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90</w:t>
            </w:r>
          </w:p>
        </w:tc>
        <w:tc>
          <w:tcPr>
            <w:tcW w:w="627" w:type="pct"/>
            <w:tcBorders>
              <w:top w:val="single" w:color="auto" w:sz="4" w:space="0"/>
              <w:left w:val="nil"/>
              <w:bottom w:val="single" w:color="auto" w:sz="4" w:space="0"/>
              <w:right w:val="single" w:color="auto" w:sz="4" w:space="0"/>
            </w:tcBorders>
            <w:noWrap/>
            <w:vAlign w:val="center"/>
          </w:tcPr>
          <w:p w14:paraId="281463B5">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68</w:t>
            </w:r>
          </w:p>
        </w:tc>
        <w:tc>
          <w:tcPr>
            <w:tcW w:w="627" w:type="pct"/>
            <w:tcBorders>
              <w:top w:val="single" w:color="auto" w:sz="4" w:space="0"/>
              <w:left w:val="nil"/>
              <w:bottom w:val="single" w:color="auto" w:sz="4" w:space="0"/>
              <w:right w:val="single" w:color="auto" w:sz="4" w:space="0"/>
            </w:tcBorders>
            <w:noWrap/>
            <w:vAlign w:val="center"/>
          </w:tcPr>
          <w:p w14:paraId="6BFAE88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w:t>
            </w:r>
          </w:p>
        </w:tc>
        <w:tc>
          <w:tcPr>
            <w:tcW w:w="627" w:type="pct"/>
            <w:tcBorders>
              <w:top w:val="single" w:color="auto" w:sz="4" w:space="0"/>
              <w:left w:val="nil"/>
              <w:bottom w:val="single" w:color="auto" w:sz="4" w:space="0"/>
              <w:right w:val="single" w:color="auto" w:sz="4" w:space="0"/>
            </w:tcBorders>
            <w:noWrap/>
            <w:vAlign w:val="center"/>
          </w:tcPr>
          <w:p w14:paraId="77FEC5D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w:t>
            </w:r>
          </w:p>
        </w:tc>
        <w:tc>
          <w:tcPr>
            <w:tcW w:w="627" w:type="pct"/>
            <w:tcBorders>
              <w:top w:val="single" w:color="auto" w:sz="4" w:space="0"/>
              <w:left w:val="nil"/>
              <w:bottom w:val="single" w:color="auto" w:sz="4" w:space="0"/>
              <w:right w:val="single" w:color="auto" w:sz="4" w:space="0"/>
            </w:tcBorders>
            <w:noWrap/>
            <w:vAlign w:val="center"/>
          </w:tcPr>
          <w:p w14:paraId="264E2B75">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631" w:type="pct"/>
            <w:tcBorders>
              <w:top w:val="single" w:color="auto" w:sz="4" w:space="0"/>
              <w:left w:val="nil"/>
              <w:bottom w:val="single" w:color="auto" w:sz="4" w:space="0"/>
              <w:right w:val="single" w:color="auto" w:sz="4" w:space="0"/>
            </w:tcBorders>
            <w:noWrap/>
            <w:vAlign w:val="center"/>
          </w:tcPr>
          <w:p w14:paraId="382A474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r>
      <w:tr w14:paraId="6EB027C6">
        <w:tblPrEx>
          <w:tblCellMar>
            <w:top w:w="0" w:type="dxa"/>
            <w:left w:w="108" w:type="dxa"/>
            <w:bottom w:w="0" w:type="dxa"/>
            <w:right w:w="108" w:type="dxa"/>
          </w:tblCellMar>
        </w:tblPrEx>
        <w:trPr>
          <w:cantSplit/>
          <w:trHeight w:val="157" w:hRule="atLeast"/>
          <w:jc w:val="center"/>
        </w:trPr>
        <w:tc>
          <w:tcPr>
            <w:tcW w:w="627" w:type="pct"/>
            <w:vMerge w:val="continue"/>
            <w:tcBorders>
              <w:top w:val="nil"/>
              <w:left w:val="single" w:color="auto" w:sz="4" w:space="0"/>
              <w:bottom w:val="single" w:color="auto" w:sz="4" w:space="0"/>
              <w:right w:val="single" w:color="auto" w:sz="4" w:space="0"/>
            </w:tcBorders>
            <w:noWrap/>
            <w:vAlign w:val="center"/>
          </w:tcPr>
          <w:p w14:paraId="3A5B4A20">
            <w:pPr>
              <w:autoSpaceDE w:val="0"/>
              <w:autoSpaceDN w:val="0"/>
              <w:adjustRightInd w:val="0"/>
              <w:snapToGrid w:val="0"/>
              <w:spacing w:line="360" w:lineRule="auto"/>
              <w:rPr>
                <w:rFonts w:ascii="新宋体" w:hAnsi="新宋体" w:eastAsia="新宋体" w:cs="新宋体"/>
                <w:color w:val="auto"/>
                <w:sz w:val="22"/>
                <w:szCs w:val="22"/>
                <w:highlight w:val="none"/>
                <w:lang w:val="zh-CN"/>
              </w:rPr>
            </w:pPr>
          </w:p>
        </w:tc>
        <w:tc>
          <w:tcPr>
            <w:tcW w:w="605" w:type="pct"/>
            <w:tcBorders>
              <w:top w:val="single" w:color="auto" w:sz="4" w:space="0"/>
              <w:left w:val="nil"/>
              <w:bottom w:val="single" w:color="auto" w:sz="4" w:space="0"/>
              <w:right w:val="single" w:color="auto" w:sz="4" w:space="0"/>
            </w:tcBorders>
            <w:noWrap/>
          </w:tcPr>
          <w:p w14:paraId="48205949">
            <w:pPr>
              <w:autoSpaceDE w:val="0"/>
              <w:autoSpaceDN w:val="0"/>
              <w:adjustRightInd w:val="0"/>
              <w:snapToGrid w:val="0"/>
              <w:spacing w:line="360" w:lineRule="auto"/>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30º</w:t>
            </w:r>
          </w:p>
        </w:tc>
        <w:tc>
          <w:tcPr>
            <w:tcW w:w="627" w:type="pct"/>
            <w:tcBorders>
              <w:top w:val="single" w:color="auto" w:sz="4" w:space="0"/>
              <w:left w:val="nil"/>
              <w:bottom w:val="single" w:color="auto" w:sz="4" w:space="0"/>
              <w:right w:val="single" w:color="auto" w:sz="4" w:space="0"/>
            </w:tcBorders>
            <w:noWrap/>
            <w:vAlign w:val="center"/>
          </w:tcPr>
          <w:p w14:paraId="5731273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56</w:t>
            </w:r>
          </w:p>
        </w:tc>
        <w:tc>
          <w:tcPr>
            <w:tcW w:w="627" w:type="pct"/>
            <w:tcBorders>
              <w:top w:val="single" w:color="auto" w:sz="4" w:space="0"/>
              <w:left w:val="nil"/>
              <w:bottom w:val="single" w:color="auto" w:sz="4" w:space="0"/>
              <w:right w:val="single" w:color="auto" w:sz="4" w:space="0"/>
            </w:tcBorders>
            <w:noWrap/>
            <w:vAlign w:val="center"/>
          </w:tcPr>
          <w:p w14:paraId="31D87F8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43</w:t>
            </w:r>
          </w:p>
        </w:tc>
        <w:tc>
          <w:tcPr>
            <w:tcW w:w="627" w:type="pct"/>
            <w:tcBorders>
              <w:top w:val="single" w:color="auto" w:sz="4" w:space="0"/>
              <w:left w:val="nil"/>
              <w:bottom w:val="single" w:color="auto" w:sz="4" w:space="0"/>
              <w:right w:val="single" w:color="auto" w:sz="4" w:space="0"/>
            </w:tcBorders>
            <w:noWrap/>
            <w:vAlign w:val="center"/>
          </w:tcPr>
          <w:p w14:paraId="2F79635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w:t>
            </w:r>
          </w:p>
        </w:tc>
        <w:tc>
          <w:tcPr>
            <w:tcW w:w="627" w:type="pct"/>
            <w:tcBorders>
              <w:top w:val="single" w:color="auto" w:sz="4" w:space="0"/>
              <w:left w:val="nil"/>
              <w:bottom w:val="single" w:color="auto" w:sz="4" w:space="0"/>
              <w:right w:val="single" w:color="auto" w:sz="4" w:space="0"/>
            </w:tcBorders>
            <w:noWrap/>
            <w:vAlign w:val="center"/>
          </w:tcPr>
          <w:p w14:paraId="4CC79A98">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p>
        </w:tc>
        <w:tc>
          <w:tcPr>
            <w:tcW w:w="627" w:type="pct"/>
            <w:tcBorders>
              <w:top w:val="single" w:color="auto" w:sz="4" w:space="0"/>
              <w:left w:val="nil"/>
              <w:bottom w:val="single" w:color="auto" w:sz="4" w:space="0"/>
              <w:right w:val="single" w:color="auto" w:sz="4" w:space="0"/>
            </w:tcBorders>
            <w:noWrap/>
            <w:vAlign w:val="center"/>
          </w:tcPr>
          <w:p w14:paraId="5D8F6EB3">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631" w:type="pct"/>
            <w:tcBorders>
              <w:top w:val="single" w:color="auto" w:sz="4" w:space="0"/>
              <w:left w:val="nil"/>
              <w:bottom w:val="single" w:color="auto" w:sz="4" w:space="0"/>
              <w:right w:val="single" w:color="auto" w:sz="4" w:space="0"/>
            </w:tcBorders>
            <w:noWrap/>
            <w:vAlign w:val="center"/>
          </w:tcPr>
          <w:p w14:paraId="5609CB4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r>
    </w:tbl>
    <w:p w14:paraId="05A8E04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w:t>
      </w:r>
      <w:r>
        <w:rPr>
          <w:rFonts w:hint="eastAsia" w:ascii="新宋体" w:hAnsi="新宋体" w:eastAsia="新宋体" w:cs="新宋体"/>
          <w:color w:val="auto"/>
          <w:sz w:val="22"/>
          <w:szCs w:val="22"/>
          <w:highlight w:val="none"/>
          <w:lang w:val="zh-CN"/>
        </w:rPr>
        <w:t>字体要求：</w:t>
      </w:r>
      <w:r>
        <w:rPr>
          <w:rFonts w:hint="eastAsia" w:ascii="新宋体" w:hAnsi="新宋体" w:eastAsia="新宋体" w:cs="新宋体"/>
          <w:color w:val="auto"/>
          <w:sz w:val="22"/>
          <w:szCs w:val="22"/>
          <w:highlight w:val="none"/>
        </w:rPr>
        <w:t>符合</w:t>
      </w:r>
      <w:r>
        <w:rPr>
          <w:rFonts w:hint="eastAsia" w:ascii="新宋体" w:hAnsi="新宋体" w:eastAsia="新宋体" w:cs="新宋体"/>
          <w:color w:val="auto"/>
          <w:sz w:val="22"/>
          <w:szCs w:val="22"/>
          <w:highlight w:val="none"/>
          <w:lang w:val="zh-CN"/>
        </w:rPr>
        <w:t>GB5768.2-2022</w:t>
      </w:r>
      <w:r>
        <w:rPr>
          <w:rFonts w:hint="eastAsia" w:ascii="新宋体" w:hAnsi="新宋体" w:eastAsia="新宋体" w:cs="新宋体"/>
          <w:color w:val="auto"/>
          <w:sz w:val="22"/>
          <w:szCs w:val="22"/>
          <w:highlight w:val="none"/>
        </w:rPr>
        <w:t>标准。</w:t>
      </w:r>
    </w:p>
    <w:p w14:paraId="37716B9A">
      <w:pPr>
        <w:spacing w:line="360" w:lineRule="auto"/>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2.4、</w:t>
      </w:r>
      <w:r>
        <w:rPr>
          <w:rFonts w:hint="eastAsia" w:ascii="新宋体" w:hAnsi="新宋体" w:eastAsia="新宋体" w:cs="新宋体"/>
          <w:color w:val="auto"/>
          <w:sz w:val="22"/>
          <w:szCs w:val="22"/>
          <w:highlight w:val="none"/>
          <w:lang w:val="zh-CN"/>
        </w:rPr>
        <w:t>安装要求：除另有规定外标志安装时板面垂直于行车方向，视实际情况调整其水平或俯仰角度:</w:t>
      </w:r>
    </w:p>
    <w:p w14:paraId="0462346C">
      <w:pPr>
        <w:spacing w:line="360" w:lineRule="auto"/>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 xml:space="preserve">a) 标志安装应避免标志板面对驾驶人造成的眩光; </w:t>
      </w:r>
    </w:p>
    <w:p w14:paraId="7573B48B">
      <w:pPr>
        <w:spacing w:line="360" w:lineRule="auto"/>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b) 路侧标志应与道路中线垂直，或与垂直方向成一定角度。其中，禁令标志、指示标志为0°~10°或30°~45°，其他标志为0°~10°;</w:t>
      </w:r>
    </w:p>
    <w:p w14:paraId="4090672F">
      <w:pPr>
        <w:spacing w:line="360" w:lineRule="auto"/>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c) 路上方标志的板面宜面向来车俯仰0°~15°。</w:t>
      </w:r>
    </w:p>
    <w:p w14:paraId="15C53F89">
      <w:pPr>
        <w:spacing w:line="360" w:lineRule="auto"/>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2.5、</w:t>
      </w:r>
      <w:r>
        <w:rPr>
          <w:rFonts w:hint="eastAsia" w:ascii="新宋体" w:hAnsi="新宋体" w:eastAsia="新宋体" w:cs="新宋体"/>
          <w:color w:val="auto"/>
          <w:sz w:val="22"/>
          <w:szCs w:val="22"/>
          <w:highlight w:val="none"/>
          <w:lang w:val="zh-CN"/>
        </w:rPr>
        <w:t>标志版面最短边长度或直径≤1.2m时，反光膜不得有拼接缝。标志版面最短边长度或直径</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zh-CN"/>
        </w:rPr>
        <w:t>1.2m时，应使用反光膜产品的最大宽度进行搭接，重叠部分不应≤5mm。距标志板边缘≤50mm，不得有拼接。标志版面应无裂缝、撕破或其它表面缺陷。</w:t>
      </w:r>
    </w:p>
    <w:p w14:paraId="29FE28E8">
      <w:pPr>
        <w:adjustRightInd w:val="0"/>
        <w:spacing w:line="360" w:lineRule="auto"/>
        <w:jc w:val="left"/>
        <w:outlineLvl w:val="1"/>
        <w:rPr>
          <w:rFonts w:ascii="新宋体" w:hAnsi="新宋体" w:eastAsia="新宋体" w:cs="新宋体"/>
          <w:color w:val="auto"/>
          <w:sz w:val="22"/>
          <w:szCs w:val="22"/>
          <w:highlight w:val="none"/>
        </w:rPr>
      </w:pPr>
      <w:bookmarkStart w:id="43" w:name="_Toc19152"/>
      <w:r>
        <w:rPr>
          <w:rFonts w:hint="eastAsia" w:ascii="新宋体" w:hAnsi="新宋体" w:eastAsia="新宋体" w:cs="新宋体"/>
          <w:color w:val="auto"/>
          <w:sz w:val="22"/>
          <w:szCs w:val="22"/>
          <w:highlight w:val="none"/>
        </w:rPr>
        <w:t>3、立杆</w:t>
      </w:r>
      <w:bookmarkEnd w:id="43"/>
    </w:p>
    <w:p w14:paraId="0C5C067F">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3.1标志杆及连接件：</w:t>
      </w:r>
    </w:p>
    <w:p w14:paraId="428FA12A">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杆件形式要求：长臂杆、F型杆、直立杆、门架4类。</w:t>
      </w:r>
    </w:p>
    <w:p w14:paraId="64B3608C">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杆件加工要求：F型杆、直立杆结构中的圆形钢管须采用整根无缝钢管，不允许焊接加长。长臂杆结构中的八角管采用整块钢板一次性弯折成型，不允许焊接加长。</w:t>
      </w:r>
    </w:p>
    <w:p w14:paraId="5B41D9EC">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3.2镀锌要求：标志杆立柱、横杆结构件及其它金属钢件应热镀锌处理，镀锌后涂漆，颜色为RAL7042（交通灰A），表面涂层光滑、均匀，不允许有流挂、滴瘤或多余结块，且无漏镀等缺陷。安装过程中有磕碰掉漆的，应在安装后补漆。</w:t>
      </w:r>
    </w:p>
    <w:p w14:paraId="12E89C24">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3.3安装要求：</w:t>
      </w:r>
    </w:p>
    <w:p w14:paraId="4CCEF29E">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交通标志杆安装时，横杆需保持1.5°～2°的预拱度水平向上，立杆应保证杆体垂直，倾斜度≤±0.5%。</w:t>
      </w:r>
    </w:p>
    <w:p w14:paraId="01540C94">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采用直立杆安装于人行道或隔离栏端头时，路侧有行人时，应不小于2.1m；有非机动车时，应不小于2.3m，标志板下缘距路面的高度为1.8m～2.5m；安装在绿化隔离带时，标志板下缘距路面的高度为1.5m～2.5m；采用长臂杆、F型杆安装的交通标志净空需在5.5m～5.7m。同一道路中标志板的安装高度、安装净空应保持一致，误差在±0.2m内。</w:t>
      </w:r>
    </w:p>
    <w:p w14:paraId="09FC5E5F">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3.4连接件要求：</w:t>
      </w:r>
    </w:p>
    <w:p w14:paraId="2A7A9F8F">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加劲肋：加劲肋的厚度需满足交通标志结构图的要求，厚度误差控制在±0.5mm内，加劲肋与杆件、基础之间应满焊，无气孔夹渣。</w:t>
      </w:r>
    </w:p>
    <w:p w14:paraId="23459BD6">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螺母与螺栓：采用DN168杆及以上的杆件、悬臂杆、门架连接基础法兰的要求为2枚螺母加1个垫片；采用DN168杆以下的杆件连接基础法兰、横杆连接立柱法兰要求为1枚螺母加1个垫片，所有螺母及垫片出厂时应热镀锌，安装完成后进行防锈补锌处理。</w:t>
      </w:r>
    </w:p>
    <w:p w14:paraId="1605D272">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扎带：扎带边缘应平滑，以防损坏支撑件的渡层；扎扣和夹座上应分别有四个尖锐触角，在紧固时能切入构件中防止标志版松动。</w:t>
      </w:r>
    </w:p>
    <w:p w14:paraId="5935EBED">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杆件基础要求：</w:t>
      </w:r>
    </w:p>
    <w:p w14:paraId="3F12EC6A">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（1）施工前必须先开挖样洞，在确保其他管线安全运行的前提下，方可施工标志基础。</w:t>
      </w:r>
    </w:p>
    <w:p w14:paraId="78FB44EF">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基础一般采用现浇制作。基础顶面应预埋钢制底座法兰盘及地脚螺栓。在浇筑混凝土时，应注意使底座法兰盘与基础对中，并将其嵌进基础（其上表面与基础齐平），同时保持其顶面水平；设在人行道上的基础的顶面标高应与人行道或绿化带标高一致，基础周围的填土应夯实，表面应平整。基底法兰的边线应与侧石线（或车道边线）平行，地脚下部为标准弯钩，地脚螺栓宜事先进行热浸镀锌处理，预埋时其方向应与底座法兰盘保持垂直。</w:t>
      </w:r>
    </w:p>
    <w:p w14:paraId="4D2C468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施工时如果遇到平曲线路段，应注意调整预埋法兰盘的方向，使其纵向中心线与行车方向保持一致。标志安装时基础需经养护达到设计强度后，方可安装标志立柱。立柱通过法兰盘与基础连接。在拧紧螺栓前应调整好方向和垂直度。立柱安装好后，即可通过抱箍或不锈钢万能夹把标志固定在立柱上。标志板安装后应进行板面平整度调整和安装角度的调整。</w:t>
      </w:r>
    </w:p>
    <w:p w14:paraId="2AA007F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（4）标杆安装完后要求：</w:t>
      </w:r>
    </w:p>
    <w:p w14:paraId="5CE598C1">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①除立杆外露外，其余均应恢复原来铺装或植被,清理余土。</w:t>
      </w:r>
    </w:p>
    <w:p w14:paraId="65ED246F">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②外露的地脚螺栓须作防锈处理，一般采用刷漆或用素砼包封。</w:t>
      </w:r>
    </w:p>
    <w:p w14:paraId="5A946C09">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③基础混凝土采用标号为C25的预拌混凝土。</w:t>
      </w:r>
    </w:p>
    <w:p w14:paraId="74A37EA0">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④安装有监控、信号灯等用电设施的杆件基础预埋件需做接地处理，接地电阻接地电阻＜4欧，接地线不得外露。</w:t>
      </w:r>
    </w:p>
    <w:p w14:paraId="04E55899">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3.5钢材（钢管、钢板、型钢）材质为Q235，《低压流体输送用焊接钢管</w:t>
      </w:r>
      <w:r>
        <w:rPr>
          <w:rFonts w:hint="eastAsia" w:ascii="新宋体" w:hAnsi="新宋体" w:eastAsia="新宋体" w:cs="新宋体"/>
          <w:color w:val="auto"/>
          <w:sz w:val="22"/>
          <w:szCs w:val="22"/>
          <w:highlight w:val="none"/>
          <w:lang w:eastAsia="zh-CN"/>
        </w:rPr>
        <w:t>－－热浸镀锌</w:t>
      </w:r>
      <w:r>
        <w:rPr>
          <w:rFonts w:hint="eastAsia" w:ascii="新宋体" w:hAnsi="新宋体" w:eastAsia="新宋体" w:cs="新宋体"/>
          <w:color w:val="auto"/>
          <w:sz w:val="22"/>
          <w:szCs w:val="22"/>
          <w:highlight w:val="none"/>
        </w:rPr>
        <w:t>》质量符合国家标准 GB/T 3091-2015的规定。所有标杆标志牌结构、基础、尺寸等均见附件。</w:t>
      </w:r>
    </w:p>
    <w:p w14:paraId="5ED5BEF6">
      <w:pPr>
        <w:adjustRightInd w:val="0"/>
        <w:spacing w:line="360" w:lineRule="auto"/>
        <w:outlineLvl w:val="1"/>
        <w:rPr>
          <w:rFonts w:ascii="新宋体" w:hAnsi="新宋体" w:eastAsia="新宋体" w:cs="新宋体"/>
          <w:color w:val="auto"/>
          <w:sz w:val="22"/>
          <w:szCs w:val="22"/>
          <w:highlight w:val="none"/>
        </w:rPr>
      </w:pPr>
      <w:bookmarkStart w:id="44" w:name="_Toc24858"/>
      <w:r>
        <w:rPr>
          <w:rFonts w:hint="eastAsia" w:ascii="新宋体" w:hAnsi="新宋体" w:eastAsia="新宋体" w:cs="新宋体"/>
          <w:color w:val="auto"/>
          <w:sz w:val="22"/>
          <w:szCs w:val="22"/>
          <w:highlight w:val="none"/>
        </w:rPr>
        <w:t>4、护栏（详见附件：图纸）</w:t>
      </w:r>
      <w:bookmarkEnd w:id="44"/>
    </w:p>
    <w:p w14:paraId="61D7CD21">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4.1立柱高850mm、墩子高150mm</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长410mm</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宽320mm，护栏2500mm</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长上下距离542mm/427mm，</w:t>
      </w:r>
    </w:p>
    <w:p w14:paraId="44EC03AC">
      <w:pPr>
        <w:spacing w:line="360" w:lineRule="auto"/>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4.</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护栏含立柱（总长2927mm、护栏+立柱长2600mm，立柱高850mm，墩子高150mm）</w:t>
      </w:r>
      <w:r>
        <w:rPr>
          <w:rFonts w:hint="eastAsia" w:ascii="新宋体" w:hAnsi="新宋体" w:eastAsia="新宋体" w:cs="新宋体"/>
          <w:color w:val="auto"/>
          <w:sz w:val="22"/>
          <w:szCs w:val="22"/>
          <w:highlight w:val="none"/>
          <w:lang w:eastAsia="zh-CN"/>
        </w:rPr>
        <w:t>。</w:t>
      </w:r>
    </w:p>
    <w:p w14:paraId="27DB915F">
      <w:pPr>
        <w:spacing w:line="360" w:lineRule="auto"/>
        <w:ind w:firstLine="440" w:firstLineChars="200"/>
        <w:rPr>
          <w:rFonts w:hint="eastAsia" w:ascii="新宋体" w:hAnsi="新宋体" w:eastAsia="新宋体" w:cs="新宋体"/>
          <w:color w:val="auto"/>
          <w:sz w:val="22"/>
          <w:szCs w:val="22"/>
          <w:highlight w:val="none"/>
        </w:rPr>
      </w:pPr>
    </w:p>
    <w:p w14:paraId="243E410A">
      <w:pPr>
        <w:spacing w:line="360" w:lineRule="auto"/>
        <w:outlineLvl w:val="1"/>
        <w:rPr>
          <w:rFonts w:ascii="新宋体" w:hAnsi="新宋体" w:eastAsia="新宋体" w:cs="新宋体"/>
          <w:color w:val="auto"/>
          <w:sz w:val="22"/>
          <w:szCs w:val="22"/>
          <w:highlight w:val="none"/>
        </w:rPr>
      </w:pPr>
      <w:bookmarkStart w:id="45" w:name="_Toc24266"/>
      <w:r>
        <w:rPr>
          <w:rFonts w:hint="eastAsia" w:ascii="新宋体" w:hAnsi="新宋体" w:eastAsia="新宋体" w:cs="新宋体"/>
          <w:color w:val="auto"/>
          <w:sz w:val="22"/>
          <w:szCs w:val="22"/>
          <w:highlight w:val="none"/>
        </w:rPr>
        <w:t>5</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其他要求：</w:t>
      </w:r>
      <w:bookmarkEnd w:id="45"/>
    </w:p>
    <w:p w14:paraId="465FEA07">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5.1、投标人需有设备材料制作车间，用于原材料制作标志牌，基础预埋件，钢支架等，投标时需提供</w:t>
      </w:r>
      <w:r>
        <w:rPr>
          <w:rFonts w:hint="eastAsia" w:ascii="新宋体" w:hAnsi="新宋体" w:eastAsia="新宋体" w:cs="新宋体"/>
          <w:color w:val="auto"/>
          <w:sz w:val="22"/>
          <w:szCs w:val="22"/>
          <w:highlight w:val="none"/>
          <w:lang w:val="zh-CN"/>
        </w:rPr>
        <w:t>提供车间制作场景资料。</w:t>
      </w:r>
      <w:r>
        <w:rPr>
          <w:rFonts w:hint="eastAsia" w:ascii="新宋体" w:hAnsi="新宋体" w:eastAsia="新宋体" w:cs="新宋体"/>
          <w:b/>
          <w:bCs/>
          <w:color w:val="auto"/>
          <w:sz w:val="22"/>
          <w:szCs w:val="22"/>
          <w:highlight w:val="none"/>
          <w:lang w:val="zh-CN"/>
        </w:rPr>
        <w:t>车间面积</w:t>
      </w:r>
      <w:r>
        <w:rPr>
          <w:rFonts w:hint="eastAsia" w:ascii="新宋体" w:hAnsi="新宋体" w:eastAsia="新宋体" w:cs="新宋体"/>
          <w:b/>
          <w:bCs/>
          <w:color w:val="auto"/>
          <w:sz w:val="22"/>
          <w:szCs w:val="22"/>
          <w:highlight w:val="none"/>
        </w:rPr>
        <w:t>需满足本项目要求</w:t>
      </w:r>
      <w:r>
        <w:rPr>
          <w:rFonts w:hint="eastAsia" w:ascii="新宋体" w:hAnsi="新宋体" w:eastAsia="新宋体" w:cs="新宋体"/>
          <w:color w:val="auto"/>
          <w:sz w:val="22"/>
          <w:szCs w:val="22"/>
          <w:highlight w:val="none"/>
        </w:rPr>
        <w:t>，保证项目完成。</w:t>
      </w:r>
    </w:p>
    <w:p w14:paraId="7FB2D4A9">
      <w:pPr>
        <w:spacing w:line="360" w:lineRule="auto"/>
        <w:ind w:firstLine="440" w:firstLineChars="200"/>
        <w:rPr>
          <w:rFonts w:hint="eastAsia"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5.2、</w:t>
      </w:r>
      <w:r>
        <w:rPr>
          <w:rFonts w:hint="eastAsia" w:ascii="新宋体" w:hAnsi="新宋体" w:eastAsia="新宋体" w:cs="新宋体"/>
          <w:color w:val="auto"/>
          <w:sz w:val="22"/>
          <w:szCs w:val="22"/>
          <w:highlight w:val="none"/>
          <w:lang w:val="zh-CN"/>
        </w:rPr>
        <w:t>投标人所用</w:t>
      </w:r>
      <w:r>
        <w:rPr>
          <w:rFonts w:hint="eastAsia" w:ascii="新宋体" w:hAnsi="新宋体" w:eastAsia="新宋体" w:cs="新宋体"/>
          <w:b/>
          <w:bCs/>
          <w:color w:val="auto"/>
          <w:sz w:val="22"/>
          <w:szCs w:val="22"/>
          <w:highlight w:val="none"/>
          <w:lang w:val="zh-CN"/>
        </w:rPr>
        <w:t>主要材料</w:t>
      </w:r>
      <w:r>
        <w:rPr>
          <w:rFonts w:hint="eastAsia" w:ascii="新宋体" w:hAnsi="新宋体" w:eastAsia="新宋体" w:cs="新宋体"/>
          <w:color w:val="auto"/>
          <w:sz w:val="22"/>
          <w:szCs w:val="22"/>
          <w:highlight w:val="none"/>
          <w:lang w:val="zh-CN"/>
        </w:rPr>
        <w:t>，包括反光膜、涂料等材料必须提供出厂合格证及</w:t>
      </w:r>
      <w:r>
        <w:rPr>
          <w:rFonts w:hint="eastAsia" w:ascii="新宋体" w:hAnsi="新宋体" w:eastAsia="新宋体" w:cs="新宋体"/>
          <w:color w:val="auto"/>
          <w:sz w:val="22"/>
          <w:szCs w:val="22"/>
          <w:highlight w:val="none"/>
        </w:rPr>
        <w:t>提供具有CMA检测资质的第三方检测机构出具的CMA检测报告复印件</w:t>
      </w:r>
      <w:r>
        <w:rPr>
          <w:rFonts w:hint="eastAsia" w:ascii="新宋体" w:hAnsi="新宋体" w:eastAsia="新宋体" w:cs="新宋体"/>
          <w:color w:val="auto"/>
          <w:sz w:val="22"/>
          <w:szCs w:val="22"/>
          <w:highlight w:val="none"/>
          <w:lang w:val="zh-CN"/>
        </w:rPr>
        <w:t>（其中反光膜</w:t>
      </w:r>
      <w:r>
        <w:rPr>
          <w:rFonts w:hint="eastAsia" w:ascii="新宋体" w:hAnsi="新宋体" w:eastAsia="新宋体" w:cs="新宋体"/>
          <w:color w:val="auto"/>
          <w:sz w:val="22"/>
          <w:szCs w:val="22"/>
          <w:highlight w:val="none"/>
          <w:lang w:val="en-US" w:eastAsia="zh-CN"/>
        </w:rPr>
        <w:t>建议提供3M、</w:t>
      </w:r>
      <w:r>
        <w:rPr>
          <w:rStyle w:val="54"/>
          <w:rFonts w:hint="eastAsia" w:ascii="新宋体" w:hAnsi="新宋体" w:eastAsia="新宋体" w:cs="新宋体"/>
          <w:b w:val="0"/>
          <w:bCs w:val="0"/>
          <w:i w:val="0"/>
          <w:iCs w:val="0"/>
          <w:caps w:val="0"/>
          <w:color w:val="auto"/>
          <w:spacing w:val="0"/>
          <w:sz w:val="22"/>
          <w:szCs w:val="22"/>
          <w:highlight w:val="none"/>
          <w:shd w:val="clear" w:fill="FDFDFE"/>
        </w:rPr>
        <w:t>道明光学DM</w:t>
      </w:r>
      <w:r>
        <w:rPr>
          <w:rFonts w:hint="eastAsia" w:ascii="新宋体" w:hAnsi="新宋体" w:eastAsia="新宋体" w:cs="新宋体"/>
          <w:color w:val="auto"/>
          <w:sz w:val="22"/>
          <w:szCs w:val="22"/>
          <w:highlight w:val="none"/>
          <w:lang w:val="zh-CN"/>
        </w:rPr>
        <w:t>、</w:t>
      </w:r>
      <w:r>
        <w:rPr>
          <w:rStyle w:val="54"/>
          <w:rFonts w:hint="eastAsia" w:ascii="新宋体" w:hAnsi="新宋体" w:eastAsia="新宋体" w:cs="新宋体"/>
          <w:b w:val="0"/>
          <w:bCs w:val="0"/>
          <w:i w:val="0"/>
          <w:iCs w:val="0"/>
          <w:caps w:val="0"/>
          <w:color w:val="auto"/>
          <w:spacing w:val="0"/>
          <w:sz w:val="22"/>
          <w:szCs w:val="22"/>
          <w:highlight w:val="none"/>
          <w:shd w:val="clear" w:fill="FDFDFE"/>
        </w:rPr>
        <w:t>恩希爱Nikkalite</w:t>
      </w:r>
      <w:r>
        <w:rPr>
          <w:rFonts w:hint="eastAsia" w:ascii="新宋体" w:hAnsi="新宋体" w:eastAsia="新宋体" w:cs="新宋体"/>
          <w:b w:val="0"/>
          <w:bCs w:val="0"/>
          <w:i w:val="0"/>
          <w:iCs w:val="0"/>
          <w:caps w:val="0"/>
          <w:color w:val="auto"/>
          <w:spacing w:val="0"/>
          <w:sz w:val="22"/>
          <w:szCs w:val="22"/>
          <w:highlight w:val="none"/>
          <w:shd w:val="clear"/>
          <w:lang w:eastAsia="zh-CN"/>
        </w:rPr>
        <w:t>；</w:t>
      </w:r>
      <w:r>
        <w:rPr>
          <w:rFonts w:hint="eastAsia" w:ascii="新宋体" w:hAnsi="新宋体" w:eastAsia="新宋体" w:cs="新宋体"/>
          <w:color w:val="auto"/>
          <w:sz w:val="22"/>
          <w:szCs w:val="22"/>
          <w:highlight w:val="none"/>
          <w:lang w:val="zh-CN"/>
        </w:rPr>
        <w:t>涂料</w:t>
      </w:r>
      <w:r>
        <w:rPr>
          <w:rFonts w:hint="eastAsia" w:ascii="新宋体" w:hAnsi="新宋体" w:eastAsia="新宋体" w:cs="新宋体"/>
          <w:color w:val="auto"/>
          <w:sz w:val="22"/>
          <w:szCs w:val="22"/>
          <w:highlight w:val="none"/>
          <w:lang w:val="en-US" w:eastAsia="zh-CN"/>
        </w:rPr>
        <w:t>建议</w:t>
      </w:r>
      <w:r>
        <w:rPr>
          <w:rFonts w:hint="eastAsia" w:ascii="新宋体" w:hAnsi="新宋体" w:eastAsia="新宋体" w:cs="新宋体"/>
          <w:color w:val="auto"/>
          <w:sz w:val="22"/>
          <w:szCs w:val="22"/>
          <w:highlight w:val="none"/>
          <w:lang w:val="zh-CN"/>
        </w:rPr>
        <w:t>提供</w:t>
      </w:r>
      <w:r>
        <w:rPr>
          <w:rFonts w:hint="eastAsia" w:ascii="新宋体" w:hAnsi="新宋体" w:eastAsia="新宋体" w:cs="新宋体"/>
          <w:b w:val="0"/>
          <w:bCs w:val="0"/>
          <w:strike w:val="0"/>
          <w:color w:val="auto"/>
          <w:sz w:val="22"/>
          <w:szCs w:val="22"/>
          <w:highlight w:val="none"/>
          <w:lang w:val="en-US" w:eastAsia="zh-CN"/>
        </w:rPr>
        <w:t>兄弟涂料、</w:t>
      </w:r>
      <w:r>
        <w:rPr>
          <w:rStyle w:val="54"/>
          <w:rFonts w:hint="eastAsia" w:ascii="新宋体" w:hAnsi="新宋体" w:eastAsia="新宋体" w:cs="新宋体"/>
          <w:b w:val="0"/>
          <w:bCs w:val="0"/>
          <w:i w:val="0"/>
          <w:iCs w:val="0"/>
          <w:caps w:val="0"/>
          <w:color w:val="auto"/>
          <w:spacing w:val="0"/>
          <w:sz w:val="22"/>
          <w:szCs w:val="22"/>
          <w:highlight w:val="none"/>
          <w:shd w:val="clear" w:fill="FDFDFE"/>
        </w:rPr>
        <w:t>中涂交通</w:t>
      </w:r>
      <w:r>
        <w:rPr>
          <w:rStyle w:val="54"/>
          <w:rFonts w:hint="eastAsia" w:ascii="新宋体" w:hAnsi="新宋体" w:eastAsia="新宋体" w:cs="新宋体"/>
          <w:b w:val="0"/>
          <w:bCs w:val="0"/>
          <w:i w:val="0"/>
          <w:iCs w:val="0"/>
          <w:caps w:val="0"/>
          <w:color w:val="auto"/>
          <w:spacing w:val="0"/>
          <w:sz w:val="22"/>
          <w:szCs w:val="22"/>
          <w:highlight w:val="none"/>
          <w:shd w:val="clear" w:fill="FDFDFE"/>
          <w:lang w:eastAsia="zh-CN"/>
        </w:rPr>
        <w:t>、</w:t>
      </w:r>
      <w:r>
        <w:rPr>
          <w:rStyle w:val="54"/>
          <w:rFonts w:hint="eastAsia" w:ascii="新宋体" w:hAnsi="新宋体" w:eastAsia="新宋体" w:cs="新宋体"/>
          <w:b w:val="0"/>
          <w:bCs w:val="0"/>
          <w:i w:val="0"/>
          <w:iCs w:val="0"/>
          <w:caps w:val="0"/>
          <w:color w:val="auto"/>
          <w:spacing w:val="0"/>
          <w:sz w:val="22"/>
          <w:szCs w:val="22"/>
          <w:highlight w:val="none"/>
          <w:shd w:val="clear" w:fill="FDFDFE"/>
        </w:rPr>
        <w:t>路美交通</w:t>
      </w:r>
      <w:r>
        <w:rPr>
          <w:rFonts w:hint="eastAsia" w:ascii="新宋体" w:hAnsi="新宋体" w:eastAsia="新宋体" w:cs="新宋体"/>
          <w:color w:val="auto"/>
          <w:sz w:val="22"/>
          <w:szCs w:val="22"/>
          <w:highlight w:val="none"/>
          <w:lang w:val="zh-CN"/>
        </w:rPr>
        <w:t>厂家品牌），产品质量合格。</w:t>
      </w:r>
    </w:p>
    <w:p w14:paraId="317D01B7">
      <w:pPr>
        <w:spacing w:line="360" w:lineRule="auto"/>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5.3、所投产品需提供产品说</w:t>
      </w:r>
      <w:r>
        <w:rPr>
          <w:rFonts w:hint="eastAsia" w:ascii="新宋体" w:hAnsi="新宋体" w:eastAsia="新宋体" w:cs="新宋体"/>
          <w:color w:val="auto"/>
          <w:sz w:val="22"/>
          <w:szCs w:val="22"/>
          <w:highlight w:val="none"/>
          <w:lang w:val="zh-CN"/>
        </w:rPr>
        <w:t>明书、产品合格证、原厂质保承诺函、质量保证书原件、三包凭证、原配的附件（如有）、产品生产日期凭证等。</w:t>
      </w:r>
    </w:p>
    <w:p w14:paraId="1ACC0030">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r>
        <w:rPr>
          <w:rFonts w:hint="eastAsia" w:ascii="新宋体" w:hAnsi="新宋体" w:eastAsia="新宋体" w:cs="新宋体"/>
          <w:color w:val="auto"/>
          <w:sz w:val="22"/>
          <w:szCs w:val="22"/>
          <w:highlight w:val="none"/>
          <w:lang w:val="zh-CN"/>
        </w:rPr>
        <w:t>4、</w:t>
      </w:r>
      <w:r>
        <w:rPr>
          <w:rFonts w:hint="eastAsia" w:ascii="新宋体" w:hAnsi="新宋体" w:eastAsia="新宋体" w:cs="新宋体"/>
          <w:color w:val="auto"/>
          <w:sz w:val="22"/>
          <w:szCs w:val="22"/>
          <w:highlight w:val="none"/>
        </w:rPr>
        <w:t>本项目采用固定单价采购，</w:t>
      </w:r>
      <w:r>
        <w:rPr>
          <w:rFonts w:hint="eastAsia" w:ascii="新宋体" w:hAnsi="新宋体" w:eastAsia="新宋体" w:cs="新宋体"/>
          <w:color w:val="auto"/>
          <w:sz w:val="22"/>
          <w:szCs w:val="22"/>
          <w:highlight w:val="none"/>
          <w:lang w:val="zh-CN"/>
        </w:rPr>
        <w:t>最终付款按实际施工使用的产品数量*投标报价单价进行结算</w:t>
      </w:r>
      <w:r>
        <w:rPr>
          <w:rFonts w:hint="eastAsia" w:ascii="新宋体" w:hAnsi="新宋体" w:eastAsia="新宋体" w:cs="新宋体"/>
          <w:color w:val="auto"/>
          <w:sz w:val="22"/>
          <w:szCs w:val="22"/>
          <w:highlight w:val="none"/>
        </w:rPr>
        <w:t>，采购人不保证中标人的最低采购数量，最终</w:t>
      </w:r>
      <w:r>
        <w:rPr>
          <w:rFonts w:hint="eastAsia" w:ascii="新宋体" w:hAnsi="新宋体" w:eastAsia="新宋体" w:cs="新宋体"/>
          <w:color w:val="auto"/>
          <w:sz w:val="22"/>
          <w:szCs w:val="22"/>
          <w:highlight w:val="none"/>
          <w:lang w:val="zh-CN"/>
        </w:rPr>
        <w:t>产品数量</w:t>
      </w:r>
      <w:r>
        <w:rPr>
          <w:rFonts w:hint="eastAsia" w:ascii="新宋体" w:hAnsi="新宋体" w:eastAsia="新宋体" w:cs="新宋体"/>
          <w:color w:val="auto"/>
          <w:sz w:val="22"/>
          <w:szCs w:val="22"/>
          <w:highlight w:val="none"/>
        </w:rPr>
        <w:t>以采购人实际需要采购清单为准，直至合同金额使用完为止。</w:t>
      </w:r>
    </w:p>
    <w:p w14:paraId="630275A7">
      <w:pPr>
        <w:spacing w:line="360" w:lineRule="auto"/>
        <w:ind w:firstLine="440" w:firstLineChars="200"/>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rPr>
        <w:t>5.5</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投标人各项投标报价单价不得超过</w:t>
      </w:r>
      <w:r>
        <w:rPr>
          <w:rFonts w:hint="eastAsia" w:ascii="新宋体" w:hAnsi="新宋体" w:eastAsia="新宋体" w:cs="新宋体"/>
          <w:color w:val="auto"/>
          <w:sz w:val="22"/>
          <w:szCs w:val="22"/>
          <w:highlight w:val="none"/>
          <w:lang w:val="zh-CN"/>
        </w:rPr>
        <w:t>最高限价单价</w:t>
      </w:r>
      <w:r>
        <w:rPr>
          <w:rFonts w:hint="eastAsia" w:ascii="新宋体" w:hAnsi="新宋体" w:eastAsia="新宋体" w:cs="新宋体"/>
          <w:color w:val="auto"/>
          <w:sz w:val="22"/>
          <w:szCs w:val="22"/>
          <w:highlight w:val="none"/>
        </w:rPr>
        <w:t>，若超过</w:t>
      </w:r>
      <w:r>
        <w:rPr>
          <w:rFonts w:hint="eastAsia" w:ascii="新宋体" w:hAnsi="新宋体" w:eastAsia="新宋体" w:cs="新宋体"/>
          <w:color w:val="auto"/>
          <w:sz w:val="22"/>
          <w:szCs w:val="22"/>
          <w:highlight w:val="none"/>
          <w:lang w:val="zh-CN"/>
        </w:rPr>
        <w:t>最高限价单价</w:t>
      </w:r>
      <w:r>
        <w:rPr>
          <w:rFonts w:hint="eastAsia" w:ascii="新宋体" w:hAnsi="新宋体" w:eastAsia="新宋体" w:cs="新宋体"/>
          <w:color w:val="auto"/>
          <w:sz w:val="22"/>
          <w:szCs w:val="22"/>
          <w:highlight w:val="none"/>
        </w:rPr>
        <w:t>，其报价无效。</w:t>
      </w:r>
    </w:p>
    <w:p w14:paraId="63A489F5">
      <w:pPr>
        <w:rPr>
          <w:rFonts w:ascii="新宋体" w:hAnsi="新宋体" w:eastAsia="新宋体"/>
          <w:color w:val="auto"/>
          <w:sz w:val="22"/>
          <w:szCs w:val="22"/>
          <w:highlight w:val="none"/>
        </w:rPr>
        <w:sectPr>
          <w:pgSz w:w="11906" w:h="16838"/>
          <w:pgMar w:top="1134" w:right="1134" w:bottom="1134" w:left="1134" w:header="850" w:footer="992" w:gutter="0"/>
          <w:cols w:space="720" w:num="1"/>
          <w:docGrid w:type="lines" w:linePitch="321" w:charSpace="0"/>
        </w:sectPr>
      </w:pPr>
      <w:r>
        <w:rPr>
          <w:rFonts w:hint="eastAsia" w:ascii="新宋体" w:hAnsi="新宋体" w:eastAsia="新宋体" w:cs="新宋体"/>
          <w:color w:val="auto"/>
          <w:sz w:val="22"/>
          <w:szCs w:val="22"/>
          <w:highlight w:val="none"/>
        </w:rPr>
        <w:t>5.6、</w:t>
      </w:r>
      <w:r>
        <w:rPr>
          <w:rFonts w:hint="eastAsia" w:ascii="新宋体" w:hAnsi="新宋体" w:eastAsia="新宋体" w:cs="新宋体"/>
          <w:color w:val="auto"/>
          <w:sz w:val="22"/>
          <w:szCs w:val="22"/>
          <w:highlight w:val="none"/>
          <w:lang w:val="zh-CN"/>
        </w:rPr>
        <w:t>本项目</w:t>
      </w:r>
      <w:r>
        <w:rPr>
          <w:rFonts w:hint="eastAsia" w:ascii="新宋体" w:hAnsi="新宋体" w:eastAsia="新宋体" w:cs="新宋体"/>
          <w:color w:val="auto"/>
          <w:sz w:val="22"/>
          <w:szCs w:val="22"/>
          <w:highlight w:val="none"/>
        </w:rPr>
        <w:t>采购清单的各项投标报价单价，包含产品费用、人工、安装调试及维护所需的费用</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车辆费用按交安“e”智治平台案卷数量*出车费（投标报价单价）进行结算。</w:t>
      </w:r>
    </w:p>
    <w:p w14:paraId="188B9E96">
      <w:pPr>
        <w:spacing w:line="360" w:lineRule="auto"/>
        <w:ind w:firstLine="440" w:firstLineChars="200"/>
        <w:rPr>
          <w:rFonts w:hint="default" w:ascii="新宋体" w:hAnsi="新宋体" w:eastAsia="新宋体" w:cs="新宋体"/>
          <w:color w:val="auto"/>
          <w:sz w:val="22"/>
          <w:szCs w:val="22"/>
          <w:highlight w:val="none"/>
          <w:lang w:val="en-US" w:eastAsia="zh-CN"/>
        </w:rPr>
      </w:pPr>
      <w:bookmarkStart w:id="46" w:name="_Toc23050423"/>
      <w:bookmarkStart w:id="47" w:name="_Toc23050833"/>
      <w:bookmarkStart w:id="48" w:name="_Toc40266002"/>
      <w:bookmarkStart w:id="49" w:name="_Toc496101575"/>
      <w:bookmarkStart w:id="50" w:name="_Toc51996430"/>
      <w:bookmarkStart w:id="51" w:name="_Toc497307615"/>
      <w:bookmarkStart w:id="52" w:name="_Toc498186820"/>
      <w:bookmarkStart w:id="53" w:name="_Toc441051461"/>
      <w:bookmarkStart w:id="54" w:name="_Toc497300664"/>
      <w:bookmarkStart w:id="55" w:name="_Toc496256263"/>
      <w:bookmarkStart w:id="56" w:name="_Toc282690445"/>
      <w:bookmarkStart w:id="57" w:name="_Toc496257825"/>
      <w:bookmarkStart w:id="58" w:name="_Toc201920298"/>
      <w:bookmarkStart w:id="59" w:name="_Toc495651839"/>
      <w:bookmarkStart w:id="60" w:name="_Toc498186719"/>
      <w:bookmarkStart w:id="61" w:name="_Toc23050562"/>
      <w:bookmarkStart w:id="62" w:name="_Toc40594931"/>
      <w:bookmarkStart w:id="63" w:name="_Toc497300733"/>
      <w:bookmarkStart w:id="64" w:name="_Toc495660084"/>
      <w:bookmarkStart w:id="65" w:name="_Toc496101312"/>
      <w:bookmarkStart w:id="66" w:name="_Toc23050625"/>
      <w:bookmarkStart w:id="67" w:name="_Toc498199476"/>
      <w:r>
        <w:rPr>
          <w:rFonts w:hint="eastAsia" w:ascii="新宋体" w:hAnsi="新宋体" w:eastAsia="新宋体" w:cs="新宋体"/>
          <w:color w:val="auto"/>
          <w:sz w:val="22"/>
          <w:szCs w:val="22"/>
          <w:highlight w:val="none"/>
          <w:lang w:val="en-US" w:eastAsia="zh-CN"/>
        </w:rPr>
        <w:t>5.7、采购人提供温州数字城管维护账号，中标人指派专人负责温州市数字城管信息中心推送的交安设施维护案卷并同步到交管局交安“e”智治平台进行流转处置。</w:t>
      </w:r>
    </w:p>
    <w:p w14:paraId="4B3B58A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r>
        <w:rPr>
          <w:rFonts w:hint="eastAsia" w:ascii="新宋体" w:hAnsi="新宋体" w:eastAsia="新宋体" w:cs="新宋体"/>
          <w:color w:val="auto"/>
          <w:sz w:val="22"/>
          <w:szCs w:val="22"/>
          <w:highlight w:val="none"/>
          <w:lang w:val="en-US" w:eastAsia="zh-CN"/>
        </w:rPr>
        <w:t>8</w:t>
      </w:r>
      <w:r>
        <w:rPr>
          <w:rFonts w:hint="eastAsia" w:ascii="新宋体" w:hAnsi="新宋体" w:eastAsia="新宋体" w:cs="新宋体"/>
          <w:color w:val="auto"/>
          <w:sz w:val="22"/>
          <w:szCs w:val="22"/>
          <w:highlight w:val="none"/>
        </w:rPr>
        <w:t>、本项目施工所需的材料在需求中未列明的，投标人也需提供，涉及费用包含在投标报价中。</w:t>
      </w:r>
    </w:p>
    <w:p w14:paraId="197BFFED">
      <w:pPr>
        <w:keepNext w:val="0"/>
        <w:keepLines w:val="0"/>
        <w:pageBreakBefore w:val="0"/>
        <w:kinsoku/>
        <w:wordWrap/>
        <w:overflowPunct/>
        <w:topLinePunct w:val="0"/>
        <w:autoSpaceDE/>
        <w:autoSpaceDN/>
        <w:bidi w:val="0"/>
        <w:adjustRightInd/>
        <w:snapToGrid/>
        <w:spacing w:line="460" w:lineRule="exact"/>
        <w:ind w:firstLine="440" w:firstLineChars="200"/>
        <w:outlineLvl w:val="2"/>
        <w:rPr>
          <w:rFonts w:hint="eastAsia" w:ascii="新宋体" w:hAnsi="新宋体" w:eastAsia="新宋体" w:cs="新宋体"/>
          <w:color w:val="auto"/>
          <w:sz w:val="22"/>
          <w:szCs w:val="22"/>
          <w:highlight w:val="none"/>
        </w:rPr>
      </w:pPr>
      <w:bookmarkStart w:id="68" w:name="_Toc12164"/>
      <w:r>
        <w:rPr>
          <w:rFonts w:hint="eastAsia" w:ascii="新宋体" w:hAnsi="新宋体" w:eastAsia="新宋体" w:cs="新宋体"/>
          <w:color w:val="auto"/>
          <w:sz w:val="22"/>
          <w:szCs w:val="22"/>
          <w:highlight w:val="none"/>
        </w:rPr>
        <w:t>5.</w:t>
      </w:r>
      <w:r>
        <w:rPr>
          <w:rFonts w:hint="eastAsia" w:ascii="新宋体" w:hAnsi="新宋体" w:eastAsia="新宋体" w:cs="新宋体"/>
          <w:color w:val="auto"/>
          <w:sz w:val="22"/>
          <w:szCs w:val="22"/>
          <w:highlight w:val="none"/>
          <w:lang w:val="en-US" w:eastAsia="zh-CN"/>
        </w:rPr>
        <w:t>9</w:t>
      </w:r>
      <w:r>
        <w:rPr>
          <w:rFonts w:hint="eastAsia" w:ascii="新宋体" w:hAnsi="新宋体" w:eastAsia="新宋体" w:cs="新宋体"/>
          <w:color w:val="auto"/>
          <w:sz w:val="22"/>
          <w:szCs w:val="22"/>
          <w:highlight w:val="none"/>
        </w:rPr>
        <w:t>、采购清单</w:t>
      </w:r>
      <w:bookmarkEnd w:id="68"/>
    </w:p>
    <w:p w14:paraId="4A0FE41D">
      <w:pPr>
        <w:keepNext w:val="0"/>
        <w:keepLines w:val="0"/>
        <w:pageBreakBefore w:val="0"/>
        <w:kinsoku/>
        <w:wordWrap/>
        <w:overflowPunct/>
        <w:topLinePunct w:val="0"/>
        <w:autoSpaceDE/>
        <w:autoSpaceDN/>
        <w:bidi w:val="0"/>
        <w:adjustRightInd/>
        <w:snapToGrid/>
        <w:spacing w:line="460" w:lineRule="exact"/>
        <w:outlineLvl w:val="3"/>
        <w:rPr>
          <w:rFonts w:hint="eastAsia" w:ascii="新宋体" w:hAnsi="新宋体" w:eastAsia="新宋体" w:cs="新宋体"/>
          <w:b/>
          <w:bCs/>
          <w:color w:val="auto"/>
          <w:sz w:val="22"/>
          <w:szCs w:val="22"/>
          <w:highlight w:val="none"/>
          <w:lang w:val="en-US" w:eastAsia="zh-CN"/>
        </w:rPr>
      </w:pPr>
      <w:r>
        <w:rPr>
          <w:rFonts w:hint="eastAsia" w:ascii="新宋体" w:hAnsi="新宋体" w:eastAsia="新宋体" w:cs="新宋体"/>
          <w:b/>
          <w:bCs/>
          <w:color w:val="auto"/>
          <w:sz w:val="22"/>
          <w:szCs w:val="22"/>
          <w:highlight w:val="none"/>
          <w:lang w:val="en-US" w:eastAsia="zh-CN"/>
        </w:rPr>
        <w:t>（1）标线类</w:t>
      </w:r>
    </w:p>
    <w:tbl>
      <w:tblPr>
        <w:tblStyle w:val="52"/>
        <w:tblW w:w="14753"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4"/>
        <w:gridCol w:w="1316"/>
        <w:gridCol w:w="9114"/>
        <w:gridCol w:w="832"/>
        <w:gridCol w:w="1091"/>
        <w:gridCol w:w="1616"/>
      </w:tblGrid>
      <w:tr w14:paraId="6830E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FFF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序号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BF7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名称</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0D5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规格配置</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086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B74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b/>
                <w:bCs/>
                <w:i w:val="0"/>
                <w:iCs w:val="0"/>
                <w:color w:val="auto"/>
                <w:sz w:val="22"/>
                <w:szCs w:val="22"/>
                <w:highlight w:val="none"/>
                <w:u w:val="none"/>
                <w:lang w:val="en-US"/>
              </w:rPr>
            </w:pPr>
            <w:r>
              <w:rPr>
                <w:rFonts w:hint="eastAsia" w:ascii="新宋体" w:hAnsi="新宋体" w:eastAsia="新宋体" w:cs="新宋体"/>
                <w:b/>
                <w:bCs/>
                <w:i w:val="0"/>
                <w:iCs w:val="0"/>
                <w:color w:val="auto"/>
                <w:kern w:val="0"/>
                <w:sz w:val="22"/>
                <w:szCs w:val="22"/>
                <w:highlight w:val="none"/>
                <w:u w:val="none"/>
                <w:lang w:val="en-US" w:eastAsia="zh-CN" w:bidi="ar"/>
              </w:rPr>
              <w:t>单价</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C6B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参考品牌（涂料）</w:t>
            </w:r>
          </w:p>
        </w:tc>
      </w:tr>
      <w:tr w14:paraId="3BF7A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EC4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AAB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预成型反光标带</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7F5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 产品外观</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耐洁标线贴应柔韧、清洁，边缘清晰，无裂纹，表面有反光介质和抗滑颗粒，背面无背胶，使用时应配套专用的底涂胶水，标线带厚度为1.0-1.5mm，表面具有防滑性能和逆反射性能。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2.逆反射性能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耐洁贴的初始逆反射性能应满足不低于250 mcd.m-2.lx-1.，在正常使用期间，逆反射亮度系数不低于80 mcd.m-2.lx-1.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F7D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AC00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223.05</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C86C">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6006B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4F8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D82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雨夜预成型反光标带</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485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雨夜预成型反光标带</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 产品外观</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标线带应柔韧、清洁，边缘清晰，无裂纹。标线带应具备自粘式的黑色背胶。标线带表面具有防滑性能和逆反射性能，表面应为规则方型的凸起结构，凸起结构的边长A应为6-8毫米，凸起结构的高度B应为2-2.5毫米，凸起结构的分布密度C不低于5个/平方英寸。</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2.逆反射性能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在正常使用期间，白色预成型标线带的逆反射亮度系数不低于250 mcd.m-2.lx-1，黄色预成型标线带的逆反射亮度系数不低于200 mcd.m-2.lx-1的技术要求.</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55C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BF6E">
            <w:pPr>
              <w:keepNext w:val="0"/>
              <w:keepLines w:val="0"/>
              <w:widowControl/>
              <w:suppressLineNumbers w:val="0"/>
              <w:jc w:val="center"/>
              <w:textAlignment w:val="center"/>
              <w:rPr>
                <w:rFonts w:hint="default" w:ascii="新宋体" w:hAnsi="新宋体" w:eastAsia="新宋体" w:cs="新宋体"/>
                <w:i w:val="0"/>
                <w:iCs w:val="0"/>
                <w:color w:val="auto"/>
                <w:sz w:val="22"/>
                <w:szCs w:val="22"/>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520.00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409E">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参考品牌：3M</w:t>
            </w:r>
          </w:p>
        </w:tc>
      </w:tr>
      <w:tr w14:paraId="2F275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FEC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393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彩色防滑路面标线</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8CC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厚度≥3.0mm,含地面、夯平、图形制作、底胶浸倒、陶珠散布、余珠清除</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7F1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1E2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135.00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B45C">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31CD1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16F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977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常温标线</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35A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1）粘度（KU值）:≥60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2）密度（g/cm3）:≥1.6</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3）标线涂层厚度0.3~0.5mm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4）不粘胎干燥时间≤15min，开放交通干燥时间≤20min</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5）耐磨性（mg）:200转/1000g后减重≤40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6）固体含量（%）:≥60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7）遮盖率（g/㎡）：白色≤190；黄色≤200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239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604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15.20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E317A">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50F39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04C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F72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普通热熔标线</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335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底层为普通反光热熔型涂料 涂膜厚度1.8mm以上 预混20%以上玻璃珠 面撒玻璃珠均匀</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8FB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E415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47.15</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A4F79">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26706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2C2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4F3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Ⅱ级反光热熔标线</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118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 厚度1.8mm以上，均匀撒布反光珠</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378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E6A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59.91</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1C321">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453AA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A71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ABC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普通热熔振荡标线</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5E8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底层为普通反光振荡热熔型涂料 基线厚度1.5mm以上，突起部分高度5mm以上 预混20%以上玻璃珠 面撒玻璃珠均匀</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C21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5A3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78.20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57E4">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044CC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9"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876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246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Ⅱ级振荡反光热熔标线</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779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基线厚度达到1.5mm，突起部分高度达到5mm，均匀撒布反光珠</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E4F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D1E0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103.60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A3BD">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3B88F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DCB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9</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CE9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雨夜标线</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27B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厚度3～7mm，若有基线，基线厚度为3～7mm，撒布量≥350 g/cm3，嵌入度(玻璃珠嵌入标准表面深度与其粒径之比)为50%-60%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EEF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44B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173.25</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D2F7">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14895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C91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44D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双组份结构型反光标线</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050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1、MMA材质；2、不粘胎干结时间：≤15 分钟；3、耐磨性：≤40mg；</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EBB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9CCC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135.00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FF9C">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4F0CC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F6A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2AA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双组份标线（甩涂型）</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7DB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含地面、夯平、图形制作、底胶浸倒、陶珠散布、余珠清除</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5C1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296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82.50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6112">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54AB1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0D1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4C7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双组份标线（喷涂型）</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0DE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含地面、夯平、图形制作、底胶浸倒、陶珠散布、余珠清除</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573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DFDB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59.95</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C21B3">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23767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961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25D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高亮反光热熔标线（刮涂型）</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83B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厚度0.7mm以上，内含30%珠，钛白粉≥6%，有机物≥19%，</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60℃抗压≥2MPa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99C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356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96.80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00B4">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0B6D8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661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F123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高亮反光热熔标线（喷涂型）</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B40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厚度0.7mm以上，内含30%珠，钛白粉≥6%，有机物≥19%，</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60℃抗压≥2MPa</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819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F90D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106.13</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81EC2">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r w14:paraId="186A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94E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01F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高压水除线（带回收）</w:t>
            </w:r>
          </w:p>
        </w:tc>
        <w:tc>
          <w:tcPr>
            <w:tcW w:w="9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19E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超高压水磨清洗法，清除老标线，无明显痕迹（回收残渣）</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3A1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2B87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49.60</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9956">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参考品牌：兄弟</w:t>
            </w:r>
          </w:p>
        </w:tc>
      </w:tr>
    </w:tbl>
    <w:p w14:paraId="55E952F6">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0" w:firstLineChars="0"/>
        <w:outlineLvl w:val="3"/>
        <w:rPr>
          <w:rFonts w:hint="eastAsia" w:ascii="新宋体" w:hAnsi="新宋体" w:eastAsia="新宋体" w:cs="新宋体"/>
          <w:b/>
          <w:bCs/>
          <w:color w:val="auto"/>
          <w:sz w:val="22"/>
          <w:szCs w:val="22"/>
          <w:highlight w:val="none"/>
          <w:lang w:val="en-US" w:eastAsia="zh-CN"/>
        </w:rPr>
      </w:pPr>
      <w:r>
        <w:rPr>
          <w:rFonts w:hint="eastAsia" w:ascii="新宋体" w:hAnsi="新宋体" w:eastAsia="新宋体" w:cs="新宋体"/>
          <w:b/>
          <w:bCs/>
          <w:color w:val="auto"/>
          <w:kern w:val="2"/>
          <w:sz w:val="22"/>
          <w:szCs w:val="22"/>
          <w:highlight w:val="none"/>
          <w:lang w:val="en-US" w:eastAsia="zh-CN" w:bidi="ar-SA"/>
        </w:rPr>
        <w:t>（2）</w:t>
      </w:r>
      <w:r>
        <w:rPr>
          <w:rFonts w:hint="eastAsia" w:ascii="新宋体" w:hAnsi="新宋体" w:eastAsia="新宋体" w:cs="新宋体"/>
          <w:b/>
          <w:bCs/>
          <w:color w:val="auto"/>
          <w:sz w:val="22"/>
          <w:szCs w:val="22"/>
          <w:highlight w:val="none"/>
          <w:lang w:val="en-US" w:eastAsia="zh-CN"/>
        </w:rPr>
        <w:t>标志类</w:t>
      </w:r>
    </w:p>
    <w:tbl>
      <w:tblPr>
        <w:tblStyle w:val="52"/>
        <w:tblW w:w="148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6"/>
        <w:gridCol w:w="2307"/>
        <w:gridCol w:w="8058"/>
        <w:gridCol w:w="954"/>
        <w:gridCol w:w="1064"/>
        <w:gridCol w:w="1718"/>
      </w:tblGrid>
      <w:tr w14:paraId="2B18C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4D4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序号</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656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名称</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33E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规格配置</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63E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单位</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166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b/>
                <w:bCs/>
                <w:i w:val="0"/>
                <w:iCs w:val="0"/>
                <w:color w:val="auto"/>
                <w:sz w:val="22"/>
                <w:szCs w:val="22"/>
                <w:highlight w:val="none"/>
                <w:u w:val="none"/>
                <w:lang w:val="en-US"/>
              </w:rPr>
            </w:pPr>
            <w:r>
              <w:rPr>
                <w:rFonts w:hint="eastAsia" w:ascii="新宋体" w:hAnsi="新宋体" w:eastAsia="新宋体" w:cs="新宋体"/>
                <w:b/>
                <w:bCs/>
                <w:i w:val="0"/>
                <w:iCs w:val="0"/>
                <w:color w:val="auto"/>
                <w:kern w:val="0"/>
                <w:sz w:val="22"/>
                <w:szCs w:val="22"/>
                <w:highlight w:val="none"/>
                <w:u w:val="none"/>
                <w:lang w:val="en-US" w:eastAsia="zh-CN" w:bidi="ar"/>
              </w:rPr>
              <w:t>单价限价</w:t>
            </w:r>
          </w:p>
        </w:tc>
        <w:tc>
          <w:tcPr>
            <w:tcW w:w="1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FE5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品牌参考</w:t>
            </w:r>
            <w:r>
              <w:rPr>
                <w:rFonts w:hint="eastAsia" w:ascii="新宋体" w:hAnsi="新宋体" w:eastAsia="新宋体" w:cs="新宋体"/>
                <w:b/>
                <w:bCs/>
                <w:i w:val="0"/>
                <w:iCs w:val="0"/>
                <w:color w:val="auto"/>
                <w:kern w:val="0"/>
                <w:sz w:val="22"/>
                <w:szCs w:val="22"/>
                <w:highlight w:val="none"/>
                <w:u w:val="none"/>
                <w:lang w:val="en-US" w:eastAsia="zh-CN" w:bidi="ar"/>
              </w:rPr>
              <w:br w:type="textWrapping"/>
            </w:r>
            <w:r>
              <w:rPr>
                <w:rFonts w:hint="eastAsia" w:ascii="新宋体" w:hAnsi="新宋体" w:eastAsia="新宋体" w:cs="新宋体"/>
                <w:b/>
                <w:bCs/>
                <w:i w:val="0"/>
                <w:iCs w:val="0"/>
                <w:color w:val="auto"/>
                <w:kern w:val="0"/>
                <w:sz w:val="22"/>
                <w:szCs w:val="22"/>
                <w:highlight w:val="none"/>
                <w:u w:val="none"/>
                <w:lang w:val="en-US" w:eastAsia="zh-CN" w:bidi="ar"/>
              </w:rPr>
              <w:t>（反光膜）：3M</w:t>
            </w:r>
          </w:p>
        </w:tc>
      </w:tr>
      <w:tr w14:paraId="44641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918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65E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道路标志牌三角形（单位：cm) △70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44A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53C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0AB7">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274.68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76E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EC2E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407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77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道路标志牌三角形（单位：cm) △90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96D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9B9E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7C5E3">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384.00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8EFE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46B50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476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25B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道路标志牌三角形（单位：cm)△110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92D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146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3A774">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534.00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8815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B19D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719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750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道路标志牌圆形（单位：cm）Φ50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471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37D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4FA39">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269.40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798A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DA8C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A0A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04C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道路标志牌圆形（单位：cm）Φ60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9A0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F39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3A5C6">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298.68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2825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1032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A2B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D12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道路标志牌圆形（单位：cm）Φ80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86B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589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49A17">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456.00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37D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2B05D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8EF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185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道路标志牌圆形（单位：cm）Φ100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883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2B3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4E31">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634.80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E98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4A1E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986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CD0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道路标志牌八角（单位：cm）Φ80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14E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1FA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23571">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456.06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41ED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49C21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87C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9</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70D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道路标志牌长方形（单位：cm）30*60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4D4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60E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7E91">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212.16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D69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010D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84D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EF4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道路标志牌正方形（单位:cm）60×60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D7C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3BC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7DC4">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327.84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FA58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EB3A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717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11</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54E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道路标志牌正方形（单位:cm）20*70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8E7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CAE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71EF0">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190.80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FAB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49205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1AE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7E9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道路标志牌正方形（单位:cm）30*70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FCD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B26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E6BD">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219.12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64A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73CB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1EB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13</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F7B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道路标志牌正方形（单位:cm）40*70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3A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1E8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17336">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265.20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162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22890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EB1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14</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C7E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道路标志牌正方形（单位:cm）20*80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F52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982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40EB">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214.80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8596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28BA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AB8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7A3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道路标志牌长方形（单位：cm）40*80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A7C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D37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4B9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295.20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05EA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A782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C7A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16</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469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道路标志牌正方形（单位:cm）60*80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A96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6D3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129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379.20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6EC0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F52A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674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17</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012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道路标志牌正方形（单位:cm）80×80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2A4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BD7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8061">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442.80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596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E698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08F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18</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A34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道路标志牌正方形（单位:cm）80×100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50E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C1C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054B5">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572.45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5F4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41D0D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14E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19</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541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道路标志牌正方形（单位:cm）30*90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D78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B3F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2849D">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276.74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D59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F4B9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6C9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810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道路标志牌正方形（单位:cm）40*90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06C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8A7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AA8A">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305.76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31B4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5C01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AF7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21</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F84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道路标志牌正方形（单位:cm）50*90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A66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734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A21BD">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358.08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B57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D896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CDE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22</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FF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道路标志牌长方形（单位：cm）50*100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0C9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FFD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7F333">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386.40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775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EBBE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C63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23</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DE7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道路标志牌正方形（单位:cm）60*100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38A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3EE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77EA">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427.20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320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5994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846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24</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099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道路标志牌正方形（单位:cm）50*120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802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05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130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481.39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6E8E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F246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23A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23A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道路标志牌长方形（单位：cm）60*120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AF8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0BD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4E03">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549.38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5BB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4E2CE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9FA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26</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F82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道路标志牌长方形（单位：cm）60*120（带支架）</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C9D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005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5FF46">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744.86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EB4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5113C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608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CFB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道路标志牌正方形（单位:cm）75*175</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D27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DEE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69047">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711.85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F14D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9259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8BA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28</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DF8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道路标志牌正方形（单位:cm）75*200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8CB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9F9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7E3A">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900.00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B988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5E240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D4F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29</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CDA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道路标志牌正方形（单位:cm）80*120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8EB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069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3BA8A">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655.08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E223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4EE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C7F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259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道路标志牌正方形（单位:cm）80*120（带支架）</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B93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A88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12C61">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948.83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3D3C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53D10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515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31</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4A8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道路标志牌正方形（单位:cm）100×100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DB8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3AF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FBCA6">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660.00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526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6FDE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C5A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32</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633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道路标志牌正方形（单位:cm）100*120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BCD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B4B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0E4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798.54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7AAA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2C30A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CA0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33</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5DD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道路标志牌正方形（单位:cm）100*150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5C9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E3E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1ACA">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863.55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98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EF39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0B1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34</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26E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道路标志牌正方形（单位:cm）100*200（带支架）</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64B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106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E25D">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1,687.51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103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0A3B3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200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35</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0AE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道路标志牌正方形（单位:cm）100*200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211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BB8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DBCAD">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1,106.40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F89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53AC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71B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36</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C64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道路标志牌正方形（单位:cm）120×160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C32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0F2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7746">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1,320.00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2FB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1864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687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37</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AC4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道路标志牌正方形（单位:cm）120*200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40F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C18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4F6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1,540.00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6F1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0EBC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EC6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38</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894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道路标志牌正方形（单位:cm）130*160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E1F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并安装于指定位置，采用2.0mm厚度铝合金。详见项目技术规范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A30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BF61D">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1,460.00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FD3B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5E38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63F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39</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243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道路标志牌正方形（单位:cm）150*300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3D8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C13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D44FD">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2,480.00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762D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53D0D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B64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265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道路标志牌正方形（单位:cm）180*300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E7A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A8B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BE70">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3,150.00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27BF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885A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EA0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41</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834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道路标志牌正方形（单位:cm）240*120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DA2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495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DCC4">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CBF5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5744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61C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42</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7D8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道路标志牌正方形（单位:cm）240*350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84E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720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66AA">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5,500.00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4F8E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E7A9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70C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43</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9CA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道路标志牌正方形（单位:cm）240*400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779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8AA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F2044">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6,250.00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86F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279C5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B683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44</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047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道路标志牌正方形（单位:cm）200*300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392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1D9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2C82">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4,080.00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8C2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9A1A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25C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45</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762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道路标志牌正方形（单位:cm）200*400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8E4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1DD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9207">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5,800.00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20BB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6272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E8B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46</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A6E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道路标志牌正方形（单位:cm）300*400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7E4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AE9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37CC">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7,800.00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C29B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51B8E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09C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47</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D1E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道路标志牌1.2至3m²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A61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762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9A32">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1,820.00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34C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2D615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841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48</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C24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道路标志牌3至5m²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D87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F8A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4A6F0">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2,780.00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227E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6DA6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1A3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49</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748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道路标志牌5至7m²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90DD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58C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BB974">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3,740.00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5882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073D4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8CE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5D7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道路标志牌7至9m²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58D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33B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073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5,420.00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7B9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0B055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3E7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51</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8A2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道路标志牌9至12m²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A5B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4C1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3522">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6,740.00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F14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2ACA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69D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52</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CAB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道路标志牌12至15m²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030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85D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21D7">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8,780.00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280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3234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79D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53</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892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道路标志牌15m²以上</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86B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标志膜采用第IV类反光膜（进口）,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1C4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E2F5">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11,300.00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EC16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0CD30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029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54</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0F7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道路标志牌正方形（单位:cm）150*300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BEC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D2C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9A08">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4,407.82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2BA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C9DD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3B7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55</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D39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道路标志牌正方形（单位:cm）180*300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071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FF2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974E">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5,324.71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79B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1808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C20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56</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C56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道路标志牌正方形（单位:cm）240*350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FA6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C84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BC3B">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8,229.07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617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2B77F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632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57</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762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道路标志牌正方形（单位:cm）240*400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F5D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B58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5C0A">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9,410.00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3901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54547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34C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58</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949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道路标志牌正方形（单位:cm）200*300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DE7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C8C6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5EDD6">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5,773.76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AA6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8DEC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E2E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59</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C8B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道路标志牌正方形（单位:cm）200*400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93F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00E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02089">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7,910.65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4E6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56E2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036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B29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道路标志牌正方形（单位:cm）300*400</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26A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761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7F6A">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9,801.87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0B59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3FA0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4E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61</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8F6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道路标志牌1.2至3m²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85F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1A8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2E3E">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2,204.00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176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584B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0C5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62</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F53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道路标志牌3至5m²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D73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F8B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889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3,956.00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D97D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7100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487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63</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6E9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道路标志牌5至7m²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9E2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71F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43FF6">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5,612.00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F31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5FA3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0C6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64</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946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道路标志牌7至9m²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9ED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201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CDB3">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7,580.00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1DAA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9264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2B9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65</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319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道路标志牌9至12m²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4BF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14B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C2B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9,860.00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F22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2930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B37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66</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913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道路标志牌12至15m²</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9DB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06A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EE82">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12,140.00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FF3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F4C1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70B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67</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4BD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道路标志牌15m²以上</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02F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标志膜采用第V类反光膜（进口）, 并安装于指定位置，采用3.0mm厚度铝合金。详见项目技术规范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7BB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8953">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15,380.00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4AB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1BB9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FAC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68</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240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标志牌去膜改版（字按热熔字考虑，字体面积按版面的1/3计算）</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2C9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贴第IV类反光膜(单块标牌面积1m²起算)（进口）详见项目技术规范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2C8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3AE8">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725.22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1DD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3756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849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69</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F6C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标志牌去膜改版（字按热熔字考虑，字体面积按版面的1/3计算）</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321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贴第V类反光膜（进口）(单块标牌面积1m²起算)详见项目技术规范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7BA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FCF9">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996.52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1745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02F86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73C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70</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A23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贴膜</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1A1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杆件、警示桩、护栏边柱、岗亭等设施贴第IV类反光膜（进口），详见项目技术规范。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457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AA098">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126.70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ADA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22ED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47F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71</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661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贴膜</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43B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安全岛、侧边石等设施贴第黄黑铝基反光膜，详见项目技术规范。</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C48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3D95">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218.80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9422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5FE1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3CF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72</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7D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标志牌清洗</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155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仅限大于5m²的，小于等于5m²的包含于年度维护费中</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A7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3D9FB">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5187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742F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E7C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73</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ECB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钢支架</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A2F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钢制活动支架，用以直接设置在路上，并安装于指定位置</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40C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A2114">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6,500.00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DD8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C8DD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12B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74</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152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29E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 每组重量0.2t以内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DB3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A864">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7,702.61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4B41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79619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3C7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75</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DA9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F74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 每组重量0.2-0.5t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852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479CD">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7,562.76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60D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36885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FE8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76</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D6D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127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 每组重量0.5-1t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DF0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13D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7,280.02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19C6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4084A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9EA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77</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7AC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DF4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 每组重量1-3t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6C9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CB5F">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6,987.20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324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6E48C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C23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78</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24A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EFD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设备支架制作安装 每组重量3-5t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C7C4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t</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805B9">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6,716.74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8F9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16BA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937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79</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F6B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KT板（广告牌）</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382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按亚克力板计算</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1AB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m²</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3E59">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182.02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DA00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r w14:paraId="06B91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0CA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80</w:t>
            </w:r>
          </w:p>
        </w:tc>
        <w:tc>
          <w:tcPr>
            <w:tcW w:w="2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BD2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发光标志</w:t>
            </w:r>
          </w:p>
        </w:tc>
        <w:tc>
          <w:tcPr>
            <w:tcW w:w="8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618B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标志板面发光设计，全（半）透型面板显示</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368C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m²</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3D24">
            <w:pPr>
              <w:keepNext w:val="0"/>
              <w:keepLines w:val="0"/>
              <w:widowControl/>
              <w:suppressLineNumbers w:val="0"/>
              <w:jc w:val="right"/>
              <w:textAlignment w:val="center"/>
              <w:rPr>
                <w:rFonts w:hint="eastAsia" w:ascii="新宋体" w:hAnsi="新宋体" w:eastAsia="新宋体" w:cs="新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5,450.00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FD2F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品牌参考（反光膜）：3M</w:t>
            </w:r>
          </w:p>
        </w:tc>
      </w:tr>
    </w:tbl>
    <w:p w14:paraId="6B08B99E">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0" w:firstLineChars="0"/>
        <w:outlineLvl w:val="3"/>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kern w:val="2"/>
          <w:sz w:val="22"/>
          <w:szCs w:val="22"/>
          <w:highlight w:val="none"/>
          <w:lang w:val="en-US" w:eastAsia="zh-CN" w:bidi="ar-SA"/>
        </w:rPr>
        <w:t>（3）立杆类</w:t>
      </w:r>
    </w:p>
    <w:tbl>
      <w:tblPr>
        <w:tblStyle w:val="52"/>
        <w:tblW w:w="147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4087"/>
        <w:gridCol w:w="4605"/>
        <w:gridCol w:w="2555"/>
        <w:gridCol w:w="2850"/>
      </w:tblGrid>
      <w:tr w14:paraId="49B3F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B65C">
            <w:pPr>
              <w:keepNext w:val="0"/>
              <w:keepLines w:val="0"/>
              <w:widowControl/>
              <w:suppressLineNumbers w:val="0"/>
              <w:jc w:val="center"/>
              <w:textAlignment w:val="center"/>
              <w:rPr>
                <w:rFonts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序号</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11CA">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名称</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7CCB">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规格配置</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5125">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单位</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8BD7">
            <w:pPr>
              <w:keepNext w:val="0"/>
              <w:keepLines w:val="0"/>
              <w:widowControl/>
              <w:suppressLineNumbers w:val="0"/>
              <w:jc w:val="center"/>
              <w:textAlignment w:val="center"/>
              <w:rPr>
                <w:rFonts w:hint="default" w:ascii="新宋体" w:hAnsi="新宋体" w:eastAsia="新宋体" w:cs="新宋体"/>
                <w:b/>
                <w:bCs/>
                <w:i w:val="0"/>
                <w:iCs w:val="0"/>
                <w:color w:val="auto"/>
                <w:sz w:val="20"/>
                <w:szCs w:val="20"/>
                <w:highlight w:val="none"/>
                <w:u w:val="none"/>
                <w:lang w:val="en-US"/>
              </w:rPr>
            </w:pPr>
            <w:r>
              <w:rPr>
                <w:rFonts w:hint="eastAsia" w:ascii="新宋体" w:hAnsi="新宋体" w:eastAsia="新宋体" w:cs="新宋体"/>
                <w:b/>
                <w:bCs/>
                <w:i w:val="0"/>
                <w:iCs w:val="0"/>
                <w:color w:val="auto"/>
                <w:kern w:val="0"/>
                <w:sz w:val="20"/>
                <w:szCs w:val="20"/>
                <w:highlight w:val="none"/>
                <w:u w:val="none"/>
                <w:lang w:val="en-US" w:eastAsia="zh-CN" w:bidi="ar"/>
              </w:rPr>
              <w:t>单价限价</w:t>
            </w:r>
          </w:p>
        </w:tc>
      </w:tr>
      <w:tr w14:paraId="300BF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063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A0B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Ф60 H3米立杆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71A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B14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D2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233.88</w:t>
            </w:r>
          </w:p>
        </w:tc>
      </w:tr>
      <w:tr w14:paraId="13E3D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405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53C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Ф75 H3米立杆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FD0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31D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F5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286.73</w:t>
            </w:r>
          </w:p>
        </w:tc>
      </w:tr>
      <w:tr w14:paraId="51E94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3BED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CDF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Ф89 H1米立杆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02F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887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FEA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178.26</w:t>
            </w:r>
          </w:p>
        </w:tc>
      </w:tr>
      <w:tr w14:paraId="0E186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7D1E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DDB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Ф89 H1米带底盘立杆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D50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384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50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230.58</w:t>
            </w:r>
          </w:p>
        </w:tc>
      </w:tr>
      <w:tr w14:paraId="3164E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2EC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8B3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Ф89 H2米立杆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D9B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649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4B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245.65</w:t>
            </w:r>
          </w:p>
        </w:tc>
      </w:tr>
      <w:tr w14:paraId="74EEB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F26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2C0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Ф89 H3米立杆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8F7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D3A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23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313.06</w:t>
            </w:r>
          </w:p>
        </w:tc>
      </w:tr>
      <w:tr w14:paraId="6BCAA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302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543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Ф89 H3.5米立杆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123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6AA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D8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346.76</w:t>
            </w:r>
          </w:p>
        </w:tc>
      </w:tr>
      <w:tr w14:paraId="3AB82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4A4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149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Ф89 H4米立杆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DD8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8F8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789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380.46</w:t>
            </w:r>
          </w:p>
        </w:tc>
      </w:tr>
      <w:tr w14:paraId="6B243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BF8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9</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DAB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H0.85米反光柱</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AB1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F18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D40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298.38</w:t>
            </w:r>
          </w:p>
        </w:tc>
      </w:tr>
      <w:tr w14:paraId="24D52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B59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1CC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H0.85米带底盘反光柱</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920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805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C9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350.70</w:t>
            </w:r>
          </w:p>
        </w:tc>
      </w:tr>
      <w:tr w14:paraId="0DE5B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DB21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11</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6DC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H1米反光柱</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D7B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06C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17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313.34</w:t>
            </w:r>
          </w:p>
        </w:tc>
      </w:tr>
      <w:tr w14:paraId="06CB9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F6B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w:t>
            </w:r>
          </w:p>
        </w:tc>
        <w:tc>
          <w:tcPr>
            <w:tcW w:w="4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6D23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H1米带底盘立杆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AE4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8BF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DE9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291.53</w:t>
            </w:r>
          </w:p>
        </w:tc>
      </w:tr>
      <w:tr w14:paraId="5136A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D68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13</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E0F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H3米立杆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862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880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49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413.24</w:t>
            </w:r>
          </w:p>
        </w:tc>
      </w:tr>
      <w:tr w14:paraId="6AA5A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A9A3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14</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E57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H3.3米立杆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CBA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863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CEC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475.14</w:t>
            </w:r>
          </w:p>
        </w:tc>
      </w:tr>
      <w:tr w14:paraId="6E304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BF4F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D59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H3米带底盘立杆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985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EB1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523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465.56</w:t>
            </w:r>
          </w:p>
        </w:tc>
      </w:tr>
      <w:tr w14:paraId="3B90C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810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16</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F21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H3.3米带底盘立杆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781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7FD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C6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527.46</w:t>
            </w:r>
          </w:p>
        </w:tc>
      </w:tr>
      <w:tr w14:paraId="4751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4A5D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17</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43A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H3.5米立杆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5C7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73C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5D5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456.77</w:t>
            </w:r>
          </w:p>
        </w:tc>
      </w:tr>
      <w:tr w14:paraId="094B1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4AC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18</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8C4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H3.5米带底盘立杆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C37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A0B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9C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509.09</w:t>
            </w:r>
          </w:p>
        </w:tc>
      </w:tr>
      <w:tr w14:paraId="423BB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64B6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19</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B02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H4米立杆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159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8D0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879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500.27</w:t>
            </w:r>
          </w:p>
        </w:tc>
      </w:tr>
      <w:tr w14:paraId="609F8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13A6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F7E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H4米带底盘人行灯杆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C71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9B6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22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552.59</w:t>
            </w:r>
          </w:p>
        </w:tc>
      </w:tr>
      <w:tr w14:paraId="60FA6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A76D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21</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B83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H4.5米立杆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67E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456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60C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543.79</w:t>
            </w:r>
          </w:p>
        </w:tc>
      </w:tr>
      <w:tr w14:paraId="15362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5ED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22</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972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H4.5米带底盘人行灯杆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38B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863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67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596.11</w:t>
            </w:r>
          </w:p>
        </w:tc>
      </w:tr>
      <w:tr w14:paraId="3D73D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61C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23</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3B3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H4.7米立杆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D47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95F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6C5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612.14</w:t>
            </w:r>
          </w:p>
        </w:tc>
      </w:tr>
      <w:tr w14:paraId="6FF25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9A3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24</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B8D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H4.8米立杆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A97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C12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C2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621.94</w:t>
            </w:r>
          </w:p>
        </w:tc>
      </w:tr>
      <w:tr w14:paraId="6049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044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6D0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H5米立杆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F1B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626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4C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587.33</w:t>
            </w:r>
          </w:p>
        </w:tc>
      </w:tr>
      <w:tr w14:paraId="4D958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1EB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26</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77E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H5.5米立杆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A1A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7FF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4D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630.80</w:t>
            </w:r>
          </w:p>
        </w:tc>
      </w:tr>
      <w:tr w14:paraId="4C382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63E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3CB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H6米立杆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04D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B63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970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674.32</w:t>
            </w:r>
          </w:p>
        </w:tc>
      </w:tr>
      <w:tr w14:paraId="181AE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B54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28</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8A6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Ф114 H6米带底盘立杆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D38D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A37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4F5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726.64</w:t>
            </w:r>
          </w:p>
        </w:tc>
      </w:tr>
      <w:tr w14:paraId="457B6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D31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29</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292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165*5.5米F杆</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60F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2DF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B0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11,255.60</w:t>
            </w:r>
          </w:p>
        </w:tc>
      </w:tr>
      <w:tr w14:paraId="151C6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643D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56A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165*4.5米F杆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8B0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BD6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8B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10,368.45</w:t>
            </w:r>
          </w:p>
        </w:tc>
      </w:tr>
      <w:tr w14:paraId="06A6F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BF93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31</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C3F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6.8*5米悬臂八棱杆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ED5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609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D6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24,408.27</w:t>
            </w:r>
          </w:p>
        </w:tc>
      </w:tr>
      <w:tr w14:paraId="03B1B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921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32</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924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6.8*6米悬臂八棱杆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944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CDE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8C1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25,616.48</w:t>
            </w:r>
          </w:p>
        </w:tc>
      </w:tr>
      <w:tr w14:paraId="2B5C2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558B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33</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E8B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6.8*7米悬臂八棱杆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EAB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C6C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AD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26,824.72</w:t>
            </w:r>
          </w:p>
        </w:tc>
      </w:tr>
      <w:tr w14:paraId="1D0D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590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34</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AFD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6.8*8米悬臂八棱杆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FA3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C6B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11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28,032.91</w:t>
            </w:r>
          </w:p>
        </w:tc>
      </w:tr>
      <w:tr w14:paraId="5141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5F8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35</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C41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6.8*9米悬臂八棱杆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462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B2C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97A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29,241.17</w:t>
            </w:r>
          </w:p>
        </w:tc>
      </w:tr>
      <w:tr w14:paraId="428B0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D7C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36</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858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6.8*9米*7米双挑悬臂八棱杆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A10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D19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79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30,526.68</w:t>
            </w:r>
          </w:p>
        </w:tc>
      </w:tr>
      <w:tr w14:paraId="31C4D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8AF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37</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BE3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6.8*9米双挑悬臂八棱杆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FA5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64F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B9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32,046.60</w:t>
            </w:r>
          </w:p>
        </w:tc>
      </w:tr>
      <w:tr w14:paraId="0917B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3FE3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38</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1AB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6.8*11米悬臂八棱杆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FF1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E5A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AF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31,657.58</w:t>
            </w:r>
          </w:p>
        </w:tc>
      </w:tr>
      <w:tr w14:paraId="03AB4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1146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39</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0CF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6.8*15米悬臂八棱杆 </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53D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676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AB9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36,490.44</w:t>
            </w:r>
          </w:p>
        </w:tc>
      </w:tr>
      <w:tr w14:paraId="2314A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F9D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6F4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219杆4.5*5.5悬臂杆</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219杆主柱Φ219*7300mm*6mm、横臂Φ121*6015mm*4.5mm*2</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809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详见项目技术规范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CD9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CD2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10,456.19</w:t>
            </w:r>
          </w:p>
        </w:tc>
      </w:tr>
      <w:tr w14:paraId="19101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D271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41</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697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219杆×121×4.5m</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93B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8B6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C24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9,182.36</w:t>
            </w:r>
          </w:p>
        </w:tc>
      </w:tr>
      <w:tr w14:paraId="5A85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74E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42</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4E9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273型×4.5"×5.5m(Ф800)</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8B8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19F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08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13,815.51</w:t>
            </w:r>
          </w:p>
        </w:tc>
      </w:tr>
      <w:tr w14:paraId="7021A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469F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43</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A352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273型*5"*5米悬臂杆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96D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E88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0E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14,485.00</w:t>
            </w:r>
          </w:p>
        </w:tc>
      </w:tr>
      <w:tr w14:paraId="5D72F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5EE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44</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CFE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273型*5"*5.5米悬臂杆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A76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3CF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E0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14,840.32</w:t>
            </w:r>
          </w:p>
        </w:tc>
      </w:tr>
      <w:tr w14:paraId="2B529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469A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45</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424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273型×6"×5.5m悬臂杆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8C6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5AA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EB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15,608.33</w:t>
            </w:r>
          </w:p>
        </w:tc>
      </w:tr>
      <w:tr w14:paraId="79312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5557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46</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2AB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273型×6"×7m悬臂杆</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459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F5E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1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18,777.89</w:t>
            </w:r>
          </w:p>
        </w:tc>
      </w:tr>
      <w:tr w14:paraId="33FB8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9927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47</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F93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273型*6"*7.9m悬臂杆(横臂159)</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9F8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AC1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A4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25,237.56</w:t>
            </w:r>
          </w:p>
        </w:tc>
      </w:tr>
      <w:tr w14:paraId="7EE04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6319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48</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920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273型*7*7双挑悬臂杆（厚10cm）</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39A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详见项目技术规范</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8FA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69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24,220.99</w:t>
            </w:r>
          </w:p>
        </w:tc>
      </w:tr>
      <w:tr w14:paraId="1876B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965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49</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CC6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龙门架杆件 （单排）</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1EB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立柱(mm)：Ф377×12×8000,横梁(mm)：Ф159×8×13220</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EEF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BBB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50,798.79</w:t>
            </w:r>
          </w:p>
        </w:tc>
      </w:tr>
      <w:tr w14:paraId="3EF8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A7E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B44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龙门架杆件 （单排）</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57A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立柱(mm)：Ф426×12×8000,横梁(mm)：Ф219×12×17170</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D41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7D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70,625.29</w:t>
            </w:r>
          </w:p>
        </w:tc>
      </w:tr>
      <w:tr w14:paraId="219C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0E90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51</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6AA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龙门架杆件 （单排）</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B22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杆(mm)：Ф273×10×7400，臂(mm)：Ф152×8×（≥17米）</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DBF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2A6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33,463.83</w:t>
            </w:r>
          </w:p>
        </w:tc>
      </w:tr>
      <w:tr w14:paraId="3F778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A651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52</w:t>
            </w:r>
          </w:p>
        </w:tc>
        <w:tc>
          <w:tcPr>
            <w:tcW w:w="4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F81F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镀锌管接头</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70E5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4寸×1m</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C66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只</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5CF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117.43</w:t>
            </w:r>
          </w:p>
        </w:tc>
      </w:tr>
      <w:tr w14:paraId="63255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DFD6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53</w:t>
            </w:r>
          </w:p>
        </w:tc>
        <w:tc>
          <w:tcPr>
            <w:tcW w:w="4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24B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镀锌管接头</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6D11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4寸×30cm</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D837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只</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2E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35.23</w:t>
            </w:r>
          </w:p>
        </w:tc>
      </w:tr>
      <w:tr w14:paraId="0CF7F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3E86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54</w:t>
            </w:r>
          </w:p>
        </w:tc>
        <w:tc>
          <w:tcPr>
            <w:tcW w:w="4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08A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镀锌管接头</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E97C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3寸×25cm</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6281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只</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483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22.85</w:t>
            </w:r>
          </w:p>
        </w:tc>
      </w:tr>
      <w:tr w14:paraId="25C72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1454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55</w:t>
            </w:r>
          </w:p>
        </w:tc>
        <w:tc>
          <w:tcPr>
            <w:tcW w:w="4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25EB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抱箍</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A166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抱箍(40*3扁铁）</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71C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只</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F4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17.82</w:t>
            </w:r>
          </w:p>
        </w:tc>
      </w:tr>
      <w:tr w14:paraId="1B75D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2100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56</w:t>
            </w:r>
          </w:p>
        </w:tc>
        <w:tc>
          <w:tcPr>
            <w:tcW w:w="4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1AAE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219杆抱箍</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7D77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自制</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6AF1">
            <w:pPr>
              <w:jc w:val="center"/>
              <w:rPr>
                <w:rFonts w:hint="eastAsia" w:ascii="新宋体" w:hAnsi="新宋体" w:eastAsia="新宋体" w:cs="新宋体"/>
                <w:i w:val="0"/>
                <w:iCs w:val="0"/>
                <w:color w:val="auto"/>
                <w:sz w:val="22"/>
                <w:szCs w:val="22"/>
                <w:highlight w:val="none"/>
                <w:u w:val="none"/>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4A9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16.93</w:t>
            </w:r>
          </w:p>
        </w:tc>
      </w:tr>
      <w:tr w14:paraId="493A6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5AEE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57</w:t>
            </w:r>
          </w:p>
        </w:tc>
        <w:tc>
          <w:tcPr>
            <w:tcW w:w="4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14E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273杆抱箍</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50D1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自制</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3B39">
            <w:pPr>
              <w:jc w:val="center"/>
              <w:rPr>
                <w:rFonts w:hint="eastAsia" w:ascii="新宋体" w:hAnsi="新宋体" w:eastAsia="新宋体" w:cs="新宋体"/>
                <w:i w:val="0"/>
                <w:iCs w:val="0"/>
                <w:color w:val="auto"/>
                <w:sz w:val="22"/>
                <w:szCs w:val="22"/>
                <w:highlight w:val="none"/>
                <w:u w:val="none"/>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C43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24.95</w:t>
            </w:r>
          </w:p>
        </w:tc>
      </w:tr>
      <w:tr w14:paraId="3D359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896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58</w:t>
            </w:r>
          </w:p>
        </w:tc>
        <w:tc>
          <w:tcPr>
            <w:tcW w:w="4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6B7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八棱杆抱箍</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99C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自制</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EA35F">
            <w:pPr>
              <w:jc w:val="center"/>
              <w:rPr>
                <w:rFonts w:hint="eastAsia" w:ascii="新宋体" w:hAnsi="新宋体" w:eastAsia="新宋体" w:cs="新宋体"/>
                <w:i w:val="0"/>
                <w:iCs w:val="0"/>
                <w:color w:val="auto"/>
                <w:sz w:val="22"/>
                <w:szCs w:val="22"/>
                <w:highlight w:val="none"/>
                <w:u w:val="none"/>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14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26.74</w:t>
            </w:r>
          </w:p>
        </w:tc>
      </w:tr>
      <w:tr w14:paraId="607B3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61E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59</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08C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基础</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751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C25砼，含挖土方、运土、基础笼、清理现场等</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89C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m³</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F5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1,440.31</w:t>
            </w:r>
          </w:p>
        </w:tc>
      </w:tr>
      <w:tr w14:paraId="4E4C2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A164">
            <w:pPr>
              <w:keepNext w:val="0"/>
              <w:keepLines w:val="0"/>
              <w:widowControl/>
              <w:suppressLineNumbers w:val="0"/>
              <w:jc w:val="center"/>
              <w:textAlignment w:val="center"/>
              <w:rPr>
                <w:rFonts w:hint="default" w:ascii="新宋体" w:hAnsi="新宋体" w:eastAsia="新宋体" w:cs="新宋体"/>
                <w:i w:val="0"/>
                <w:iCs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4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6836">
            <w:pPr>
              <w:keepNext w:val="0"/>
              <w:keepLines w:val="0"/>
              <w:widowControl/>
              <w:suppressLineNumbers w:val="0"/>
              <w:jc w:val="center"/>
              <w:textAlignment w:val="center"/>
              <w:rPr>
                <w:rFonts w:hint="eastAsia" w:ascii="新宋体" w:hAnsi="新宋体" w:eastAsia="新宋体" w:cs="新宋体"/>
                <w:i w:val="0"/>
                <w:iCs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2"/>
                <w:szCs w:val="22"/>
                <w:highlight w:val="none"/>
                <w:u w:val="none"/>
                <w:lang w:val="en-US" w:eastAsia="zh-CN" w:bidi="ar"/>
              </w:rPr>
              <w:t>护栏拆除及安装</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2900">
            <w:pPr>
              <w:keepNext w:val="0"/>
              <w:keepLines w:val="0"/>
              <w:widowControl/>
              <w:suppressLineNumbers w:val="0"/>
              <w:jc w:val="center"/>
              <w:textAlignment w:val="center"/>
              <w:rPr>
                <w:rFonts w:hint="eastAsia" w:ascii="新宋体" w:hAnsi="新宋体" w:eastAsia="新宋体" w:cs="新宋体"/>
                <w:i w:val="0"/>
                <w:iCs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2"/>
                <w:szCs w:val="22"/>
                <w:highlight w:val="none"/>
                <w:u w:val="none"/>
                <w:lang w:val="en-US" w:eastAsia="zh-CN" w:bidi="ar"/>
              </w:rPr>
              <w:t>护栏拆除及安装</w:t>
            </w:r>
          </w:p>
          <w:p w14:paraId="30DAC15B">
            <w:pPr>
              <w:keepNext w:val="0"/>
              <w:keepLines w:val="0"/>
              <w:widowControl/>
              <w:suppressLineNumbers w:val="0"/>
              <w:jc w:val="center"/>
              <w:textAlignment w:val="center"/>
              <w:rPr>
                <w:rFonts w:hint="eastAsia"/>
                <w:color w:val="auto"/>
                <w:highlight w:val="none"/>
                <w:lang w:val="en-US" w:eastAsia="zh-CN"/>
              </w:rPr>
            </w:pPr>
            <w:r>
              <w:rPr>
                <w:rFonts w:hint="eastAsia" w:ascii="新宋体" w:hAnsi="新宋体" w:eastAsia="新宋体" w:cs="新宋体"/>
                <w:i w:val="0"/>
                <w:iCs w:val="0"/>
                <w:color w:val="auto"/>
                <w:kern w:val="0"/>
                <w:sz w:val="22"/>
                <w:szCs w:val="22"/>
                <w:highlight w:val="none"/>
                <w:u w:val="none"/>
                <w:lang w:val="en-US" w:eastAsia="zh-CN" w:bidi="ar"/>
              </w:rPr>
              <w:t>1、A、B型护栏拆除及安装（含立柱）；</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07FE">
            <w:pPr>
              <w:keepNext w:val="0"/>
              <w:keepLines w:val="0"/>
              <w:widowControl/>
              <w:suppressLineNumbers w:val="0"/>
              <w:jc w:val="center"/>
              <w:textAlignment w:val="center"/>
              <w:rPr>
                <w:rFonts w:hint="eastAsia" w:ascii="新宋体" w:hAnsi="新宋体" w:eastAsia="新宋体" w:cs="新宋体"/>
                <w:i w:val="0"/>
                <w:iCs w:val="0"/>
                <w:color w:val="auto"/>
                <w:kern w:val="0"/>
                <w:sz w:val="22"/>
                <w:szCs w:val="22"/>
                <w:highlight w:val="none"/>
                <w:u w:val="none"/>
                <w:lang w:val="en-US" w:eastAsia="zh-CN" w:bidi="ar"/>
              </w:rPr>
            </w:pPr>
            <w:r>
              <w:rPr>
                <w:rFonts w:hint="eastAsia" w:ascii="新宋体" w:hAnsi="新宋体" w:eastAsia="新宋体" w:cs="新宋体"/>
                <w:i w:val="0"/>
                <w:iCs w:val="0"/>
                <w:color w:val="auto"/>
                <w:kern w:val="0"/>
                <w:sz w:val="22"/>
                <w:szCs w:val="22"/>
                <w:highlight w:val="none"/>
                <w:u w:val="none"/>
                <w:lang w:val="en-US" w:eastAsia="zh-CN" w:bidi="ar"/>
              </w:rPr>
              <w:t>m</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563D">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34.8</w:t>
            </w:r>
          </w:p>
        </w:tc>
      </w:tr>
    </w:tbl>
    <w:p w14:paraId="4757F397">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0" w:firstLineChars="0"/>
        <w:outlineLvl w:val="3"/>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kern w:val="2"/>
          <w:sz w:val="22"/>
          <w:szCs w:val="22"/>
          <w:highlight w:val="none"/>
          <w:lang w:val="en-US" w:eastAsia="zh-CN" w:bidi="ar-SA"/>
        </w:rPr>
        <w:t>（4）信号灯</w:t>
      </w:r>
    </w:p>
    <w:tbl>
      <w:tblPr>
        <w:tblStyle w:val="52"/>
        <w:tblW w:w="1504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2576"/>
        <w:gridCol w:w="6886"/>
        <w:gridCol w:w="930"/>
        <w:gridCol w:w="1320"/>
        <w:gridCol w:w="2796"/>
      </w:tblGrid>
      <w:tr w14:paraId="224FF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C38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序号</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B6C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名称</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2FC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规格配置</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657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单位</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58E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default" w:ascii="新宋体" w:hAnsi="新宋体" w:eastAsia="新宋体" w:cs="新宋体"/>
                <w:b/>
                <w:bCs/>
                <w:i w:val="0"/>
                <w:iCs w:val="0"/>
                <w:color w:val="auto"/>
                <w:sz w:val="20"/>
                <w:szCs w:val="20"/>
                <w:highlight w:val="none"/>
                <w:u w:val="none"/>
                <w:lang w:val="en-US"/>
              </w:rPr>
            </w:pPr>
            <w:r>
              <w:rPr>
                <w:rFonts w:hint="eastAsia" w:ascii="新宋体" w:hAnsi="新宋体" w:eastAsia="新宋体" w:cs="新宋体"/>
                <w:b/>
                <w:bCs/>
                <w:i w:val="0"/>
                <w:iCs w:val="0"/>
                <w:color w:val="auto"/>
                <w:kern w:val="0"/>
                <w:sz w:val="20"/>
                <w:szCs w:val="20"/>
                <w:highlight w:val="none"/>
                <w:u w:val="none"/>
                <w:lang w:val="en-US" w:eastAsia="zh-CN" w:bidi="ar"/>
              </w:rPr>
              <w:t>单价限价</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FFC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b/>
                <w:bCs/>
                <w:i w:val="0"/>
                <w:iCs w:val="0"/>
                <w:color w:val="auto"/>
                <w:sz w:val="20"/>
                <w:szCs w:val="20"/>
                <w:highlight w:val="none"/>
                <w:u w:val="none"/>
              </w:rPr>
            </w:pPr>
            <w:r>
              <w:rPr>
                <w:rFonts w:hint="eastAsia" w:ascii="新宋体" w:hAnsi="新宋体" w:eastAsia="新宋体" w:cs="新宋体"/>
                <w:b/>
                <w:bCs/>
                <w:i w:val="0"/>
                <w:iCs w:val="0"/>
                <w:color w:val="auto"/>
                <w:kern w:val="0"/>
                <w:sz w:val="20"/>
                <w:szCs w:val="20"/>
                <w:highlight w:val="none"/>
                <w:u w:val="none"/>
                <w:lang w:val="en-US" w:eastAsia="zh-CN" w:bidi="ar"/>
              </w:rPr>
              <w:t>图片</w:t>
            </w:r>
          </w:p>
        </w:tc>
      </w:tr>
      <w:tr w14:paraId="3E9BD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F28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FA34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DF9806D交通信号控制机</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FFA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1.控制信号：四向控制信号独立，东西南北每向各有11路信号输出（9路车道灯信号，2路人行横道灯信号）</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2.单路负载功能：800W</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3.通信接口：HS485,RS232</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4.通信速率：4800BPS</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5.整机尺寸：360*220*150mm</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ADB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938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5,281.23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907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631315" cy="1017905"/>
                  <wp:effectExtent l="0" t="0" r="6985" b="10795"/>
                  <wp:docPr id="45" name="图片_1"/>
                  <wp:cNvGraphicFramePr/>
                  <a:graphic xmlns:a="http://schemas.openxmlformats.org/drawingml/2006/main">
                    <a:graphicData uri="http://schemas.openxmlformats.org/drawingml/2006/picture">
                      <pic:pic xmlns:pic="http://schemas.openxmlformats.org/drawingml/2006/picture">
                        <pic:nvPicPr>
                          <pic:cNvPr id="45" name="图片_1"/>
                          <pic:cNvPicPr/>
                        </pic:nvPicPr>
                        <pic:blipFill>
                          <a:blip r:embed="rId11"/>
                          <a:stretch>
                            <a:fillRect/>
                          </a:stretch>
                        </pic:blipFill>
                        <pic:spPr>
                          <a:xfrm>
                            <a:off x="0" y="0"/>
                            <a:ext cx="1631315" cy="1017905"/>
                          </a:xfrm>
                          <a:prstGeom prst="rect">
                            <a:avLst/>
                          </a:prstGeom>
                          <a:noFill/>
                          <a:ln>
                            <a:noFill/>
                          </a:ln>
                        </pic:spPr>
                      </pic:pic>
                    </a:graphicData>
                  </a:graphic>
                </wp:inline>
              </w:drawing>
            </w:r>
          </w:p>
        </w:tc>
      </w:tr>
      <w:tr w14:paraId="6BB54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DB5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8A7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44路远程控制器</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319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联网式信号机，可实现后台远程控制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F826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652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24,417.16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49CC5">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C44E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14E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71E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沥青混凝土路面管线开挖及修复</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23E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含路面拆除修复及沟槽开挖回填</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BE0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E93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387.96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ACBB2">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74493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48E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269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水泥混凝土路面管线开挖及修复</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845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含路面拆除修复及沟槽开挖回填</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6F9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9CB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338.41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C6486">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B00F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BFD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8FA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人行道路面管线开挖及修复</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F7F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3cm厚人行道路面管线开挖及修复，含路面拆除修复及沟槽开挖回填</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E82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06A6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330.79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91C3E">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E67A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B30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1FB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人行道路面管线开挖及修复</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326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5cm厚人行道路面管线开挖及修复，含路面拆除修复及沟槽开挖回填</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08E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CC8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241.37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9A73B">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B356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054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322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人行道路面管线开挖及修复</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892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6cm厚人行道路面管线开挖及修复，含路面拆除修复及沟槽开挖回填</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50D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2C6A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255.44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C85B">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A3C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565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E76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绿化带管线开挖及修复</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118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含绿化苗木起挖、种回及沟槽开挖回填</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6E5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m2</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40A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155.56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7EE19">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BB93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6BB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9</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EC6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接线铜鼻子</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576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匹配现有运行产品参数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CEC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787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14.17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0718F">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284D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F86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F0B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接线铝鼻子</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8A0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匹配现有运行产品参数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351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170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16.35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858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C86B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8F4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11</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356A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外挂自发电箱整套</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480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匹配现有运行产品参数</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尺寸300*400*170mm，不锈钢材质，开关电源：型号根据实际功率大小预留30%余量，工作电压110-270V，根据不同版面需求不一样型号；光控开关AS-23， 电流能负载15A-20A，24V工作范围正负3V，220V工作范围110-270V；空开：NX-63（2P，20A）；接线端子：TB1506；控制卡、物联网卡、绝缘线（BV1mm2红、单芯单股2.5黑mm2、单芯单股2.5红mm2，状态检测卡，SPD,双电箱配置）</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F6F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00BA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2,298.06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3BB65">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09AD7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E34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E3A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一组信号灯外壳</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0D4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303一体式单面人行灯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279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630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2,184.00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07591">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739DF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FD9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13</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C27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一组信号灯外壳</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7AB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303一体式双面人行灯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175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4C8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3,168.00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578F">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3901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916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14</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2CB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一组信号灯外壳</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17A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305一体式单面人行非机动灯（300型）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56E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A32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2,184.00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AF5EC">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7771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A29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268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一组信号灯外壳</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28C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305一体式双面人行非机动灯（300型）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49A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227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3,168.00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F5A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4428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11C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16</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9E1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拆除老机箱及监控机箱</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100B">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iCs w:val="0"/>
                <w:color w:val="auto"/>
                <w:sz w:val="22"/>
                <w:szCs w:val="22"/>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337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20F8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880.00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18A6C">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44E9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D20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17</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043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红绿灯灯芯（红黄绿）更换</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803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配403满盘灯，403箭头灯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804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ECC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260.00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7DAE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0301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370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18</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1DF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灯罩</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BD3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适配现有信号灯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344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2C49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65.00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28AD">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9392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5E5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19</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966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403箭头灯</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（400mm红黄绿箭头LED交通信号灯三单元）</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B7F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光源：进口超高亮度LED</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灯壳：一次性铝压铸，黑色喷塑</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帽沿、围边：1.2mm铝板，黑色喷塑</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面罩：钢化玻璃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防水后罩：优质ABS塑料</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外露螺丝：304不锈钢材质</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防护等级：IP53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灯面直径：Φ400mm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LED直径：Φ5mm 单管     电流 &lt; 18mA</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色度：红色（620-625）、绿色（504-508）、黄色（590-595）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波长：红色625nm、黄色590nm、绿色505nm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光源使用寿命：≥50000小时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工作电源：90VAC～260VAC（额定值：220VAC）  50HZ</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额定功率：&lt;20W</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绝缘电阻：≥500MΩ</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接地电阻：≤0.5Ω</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工作温度：-40ºC～+80ºC</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环境湿度：10%～95%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安装方向：横或竖</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整灯尺寸：1400*500*145mm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生产执行标准：《道路交通信号灯》GB14887-2011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1B9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4323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2,080.00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DE21">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701FA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C57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FE4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403掉头灯</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E9B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•产品尺寸  1392mm×462mm×130mm（铝壳灯体）1353mm×455mm×135mm（塑壳灯体）</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•面罩规格  Φ400mm 面罩材质 玻璃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•外壳材质  铝压铸  表面处理 黑色喷塑哑光 / PC工程塑料</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•遮沿帽檐  400帽檐长度40cm，0.45镀锌板黑色喷塑，接受下单时定制；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•工作电压  176～264VAC，50HZ   功率≤20W</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•绝缘电阻  ≥500MΩ  介电强度  ≥1440V</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•中心亮度  5000 ~15000 cd/m²</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•LED数量  信号灯：红90，黄90，绿90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•LED直径  Φ5mm 单管电流 &lt; 18mA</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•LED寿命  ≥70000小时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•LED波长  红：625 nm黄：590 nm绿：505 nm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•可视距离  &gt;450m 可视角度 &gt;30°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•工作温度  -40~+85℃ 相对湿度 ≤93%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•保存环境  0~50℃，40~60%RH</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•防护等级  IP53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•灯体重量  铝壳≤20KG塑壳≤13KG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•毛重   竖装≤32KG横装≤29KG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•执行标准  信号灯GB14887-2011</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•非RoHS</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EF8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12B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2,080.00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D29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41B4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24B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21</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21A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403满盘灯</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（400mm红黄绿满盘LED交通信号灯三单元）</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54D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光源:进口超高亮度LED</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灯壳：一次性铝压铸灯壳，黑色喷塑</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帽沿、围边：1.2mm铝板，黑色喷塑</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面罩：钢化玻璃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防水后罩：优质ABS塑料</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外露螺丝：304不锈钢材质</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防护等级：IP53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灯面直径：Φ400mm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LED直径：Φ5mm 单管    电流 &lt; 18mA</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色度 红色（620-625）、绿色（504-508）、</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黄色（590-595）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波长：红色625nm、黄色590nm、绿色505nm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光源使用寿命：≥50000小时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工作电源90VAC～260VAC（额定值：220VAC）  50HZ</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额定功率：&lt;20W</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绝缘电阻：≥500MΩ：</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接地电阻：≤0.5Ω</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工作温度：-40ºC～+80ºC</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环境湿度：10%～95%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安装方向：横或竖</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整灯尺寸：1400*500*145mm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生产执行标准：《道路交通信号灯》GB14887-2011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33E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E5FF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2,080.00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0A22">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6EB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4C52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22</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530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403左转非机动车信号灯（新国标）</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0917">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•产品尺寸  1380mm×455mm×130mm（灯体部分）1358mm×452mm×123mm（塑壳灯体）</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•面罩规格  Φ400mm 面罩材质 玻璃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•外壳材质  铝压铸  表面处理 黑色喷塑哑光/ PC工程塑料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•遮沿帽檐  400帽檐长度40cm，0.45镀锌板黑色喷塑，接受下单时定制；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•工作电压  AC176～264V，50HZ   功率≤15W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•绝缘电阻  ≥500MΩ  介电强度  ≥1440V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•中心光强  150cd ~ 400cd</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•LED数量  信号灯：红128，黄128，绿128</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•LED直径  Φ5mm 单管电流 &lt; 18mA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•LED寿命  ≥70000小时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•LED波长  红：625 nm黄：590 nm绿：505 nm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•可视距离  &gt;450m 可视角度 &gt;30°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•工作温度  -40 ~ +85℃ 相对湿度 ≤93%</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•保存环境  0~50℃，40~60%RH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•防护等级  IP53</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•灯体重量  铝壳≤20KG塑壳≤13KG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•毛重   竖装≤32KG横装≤29KG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•执行标准  信号灯GB14887-2011</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•非RoHS</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3DE0B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bottom"/>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351E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2,080.00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96D3">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D730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A00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23</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47E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403直行非机动车信号灯（新国标）</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6C5E">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•产品尺寸  1380mm×455mm×130mm（铝壳灯体）1358mm×452mm×123mm（塑壳灯体）</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•面罩规格  Φ400mm 面罩材质 玻璃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•外壳材质  铝压铸  表面处理 黑色喷塑哑光/ PC工程塑料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•遮沿帽檐  400帽檐长度40cm，0.45镀锌板黑色喷塑，接受下单时定制；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•工作电压  AC176～264V，50HZ   功率≤15W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•绝缘电阻  ≥500MΩ  介电强度  ≥1440V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•中心光强  150cd ~ 400cd</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•LED数量  信号灯：红90，黄90，绿90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•LED直径  Φ5mm 单管电流 &lt; 18mA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•LED寿命  ≥70000小时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•LED波长  红：625 nm黄：590 nm绿：505 nm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•可视距离  &gt;450m 可视角度 &gt;30°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•工作温度  -40 ~ +85℃ 相对湿度 ≤93%</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•保存环境  0~50℃，40~60%RH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•防护等级  IP53</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•灯体重量  铝壳≤20KG塑壳≤13KG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•毛重   竖装≤32KG横装≤29KG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•执行标准  信号灯GB14887-2011</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•非RoHS</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0E2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5BF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2,080.00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64E3B">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BA8D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F07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24</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521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403左转兼掉头灯</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0B8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•产品尺寸  1392mm×462mm×130mm（铝壳灯体）1353mm×455mm×135mm（塑壳灯体）</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•面罩规格  Φ400mm 面罩材质 玻璃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•外壳材质  铝压铸  表面处理 黑色喷塑哑光/ PC工程塑料</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•遮沿帽檐  400帽檐长度40cm，0.45镀锌板黑色喷塑，接受下单时定制；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•工作电压  176～264VAC，50HZ   功率≤15W</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•绝缘电阻  ≥500MΩ  介电强度  ≥1440V</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•中心光强  150cd~400cd</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•LED数量  信号灯：红90，黄90，绿90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•LED直径  Φ5mm 单管电流 &lt; 18mA</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•LED寿命  ≥70000小时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•LED波长  红：625 nm黄：590 nm绿：505 nm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•可视距离  &gt;450m 可视角度 &gt;30°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•工作温度  -40~+85℃ 相对湿度 ≤93%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•保存环境  0~50℃，40~60%RH</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•防护等级  IP53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•灯体重量  铝壳≤20KG塑壳≤13KG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•毛重   竖装≤32KG横装≤29KG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•执行标准  信号灯GB14887-2011</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•非RoHS</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455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FC9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2,080.00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2CE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F782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753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D29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左转待行区显示屏</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9DD2">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•产品尺寸   2500mm×400mm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•外壳材质   铝材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•外壳颜色   黑色</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•内容   直行/左转进入待行区+小车+直行/左转动态箭头；路口遇堵不得进入；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•连接方式   4G无线联网</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•发光颜色   绿色，黄色</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•工作电压   220±20%VAC（176～264VAC）</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•功率    ≤20W</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•中心光强   400cd&lt;绿&lt;1000cd；400cd&lt;黄&lt;1000cd</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•LED直径   Φ5 方阵排列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•单管电流   &lt; 18mA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•LED寿命   70000小时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•波长    绿：505nm，黄：590nm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•可视距离   &gt;450m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•可视角度   &gt;30°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•工作温度   -40~+85℃</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•相对湿度   ≤93%</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•保存环境   0~50℃，40~60%RH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•防护等级   IP53</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•重量    ≤21KG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•毛重    ≤26KG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•非RoHS</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46F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5AF5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3,765.00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8B69">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43D0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7AF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26</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5F8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730倒计时（半程式）</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4E5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0"/>
                <w:szCs w:val="20"/>
                <w:highlight w:val="none"/>
                <w:u w:val="none"/>
              </w:rPr>
            </w:pPr>
            <w:r>
              <w:rPr>
                <w:rFonts w:hint="eastAsia" w:ascii="新宋体" w:hAnsi="新宋体" w:eastAsia="新宋体" w:cs="新宋体"/>
                <w:i w:val="0"/>
                <w:iCs w:val="0"/>
                <w:color w:val="auto"/>
                <w:kern w:val="0"/>
                <w:sz w:val="20"/>
                <w:szCs w:val="20"/>
                <w:highlight w:val="none"/>
                <w:u w:val="none"/>
                <w:lang w:val="en-US" w:eastAsia="zh-CN" w:bidi="ar"/>
              </w:rPr>
              <w:t>光源:进口超高亮度LED</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灯壳:一次性铝压铸，黑色喷塑</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帽沿:1.2mm铝板，黑色喷塑</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外露螺丝:304不锈钢材质</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防护等级:IP53</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LED直径:Φ5mm 单管电流 &lt; 18mA</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色度:红色（620-625）、绿色（504-508）、黄色（590-595）</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波长:红色625nm、黄色590nm、绿色505nm</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光源使用寿命:≥50000小时</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工作电源:170VAC～270VAC（额定值：220VAC） 50HZ</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额定功率:&lt;20W</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绝缘电阻:≥500MΩ</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接地电阻:≤0.5Ω</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工作温度:-40ºC～+80ºC</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环境湿度:10%～95%</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倒计时采样模式:双8倒计时，计数范围99～1</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智能跟踪采样模式或脉冲采样模式</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整灯尺寸:730*550*450mm</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生产执行标准:《道路交通信号倒计时显示器》GA/T508-2014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C20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9AE18">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4D77D">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B4C1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CF3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33F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灯罩</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51C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匹配730倒计时（半程式）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306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744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65.00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82A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2DAE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FC5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28</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5EA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半程式芯片</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ADF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STC11F01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DEF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699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1,180.00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BEC7">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4BDD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0F1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29</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BF4B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信号灯挂件（大号）</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8E5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方管长142cm  U型长30（中心螺栓位置26）</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571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2558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130.80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AB06">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10D7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D52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5A4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信号灯挂件（中号）</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271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方管长142cm  U型长25（中心螺栓位置20）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DAE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6A30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104.64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19B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73769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1FD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31</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D81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信号灯挂件（小号）</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183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方管长142cm  U型长22（中心螺栓位置18）</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CDB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3A1C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65.40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637B2">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A540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5CE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32</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99B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移动式太阳能四面满盘灯</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652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•产品尺寸  长宽高780mm×530mm×2010mm 升高后~2540mm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•信号灯   圆盘左转双灯盘，红黄绿合一； 带手动升降</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•控制器   多相位定周期控制器</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•面罩规格  Φ250mm 面罩材质 玻璃</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•遮沿帽檐  250帽檐长度12cm，0.45镀锌板黑色喷塑，接受下单时定制；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•灯体材料  喷塑钢材</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•工作电压  DC12V   功率≤10W  太阳能40W</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•蓄电池   12V17Ah×3   持续阴雨天：满电&gt;3天</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•外部充电  配置交流220V充电器，注意电压低于12V请及时外接充电；</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•中心光强  200cd</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•LED直径  Φ5mm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•单管电流  &lt; 18mA</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•LED寿命  ≥70000小时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•LED波长  红：625 nm绿：505 nm黄：595nm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•可视距离   &gt;300m 可视角度 &gt;30°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•工作温度  -40~+85℃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•相对湿度  ≤93%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•保存环境  0~50℃，40~60%RH</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•防护等级  IP53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•重量   ≤90KG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•毛重   ≤105KG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•非RoHS</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•注意   蓄电池不可长期闲置，即使不使用也必须半月检查及时补充电到13.5V；</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838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9409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12,818.77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CC056">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29D2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B28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33</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1AE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移动式太阳能四面新国标组合灯</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EC6F">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iCs w:val="0"/>
                <w:color w:val="auto"/>
                <w:sz w:val="22"/>
                <w:szCs w:val="22"/>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187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3E25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20,012.77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26B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5A54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13D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34</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B6A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灯外壳</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518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与临时信号机品牌一致</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AD3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5BC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65.00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A0D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A328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DB8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35</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350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太阳能板45W</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9AB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与临时信号机品牌一致</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1AC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3D0B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719.77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9FC1">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34E3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8D9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36</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284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电池组 原配；12V/100AH</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C54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12V/100AH，适配移动信号灯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BA6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F54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1,590.19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B7FC">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585A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940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37</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51E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302动态数显人行灯（半程式）</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（300mm双色倒计时+静红动绿人信号灯二单元）</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7B2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0"/>
                <w:szCs w:val="20"/>
                <w:highlight w:val="none"/>
                <w:u w:val="none"/>
              </w:rPr>
            </w:pPr>
            <w:r>
              <w:rPr>
                <w:rFonts w:hint="eastAsia" w:ascii="新宋体" w:hAnsi="新宋体" w:eastAsia="新宋体" w:cs="新宋体"/>
                <w:i w:val="0"/>
                <w:iCs w:val="0"/>
                <w:color w:val="auto"/>
                <w:kern w:val="0"/>
                <w:sz w:val="20"/>
                <w:szCs w:val="20"/>
                <w:highlight w:val="none"/>
                <w:u w:val="none"/>
                <w:lang w:val="en-US" w:eastAsia="zh-CN" w:bidi="ar"/>
              </w:rPr>
              <w:t>•产品尺寸  712mm×359mm×125mm（灯体部分）</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•面罩规格  Φ300mm 面罩材质 玻璃</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•外壳材质  铝压铸  表面处理 黑色喷塑哑光</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•遮沿帽檐  300帽檐长度33.3cm，0.45镀锌板黑色喷塑，接受下单时定制；</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•工作电压  176～264VAC，50HZ   功率≤15W</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•绝缘电阻  ≥500MΩ  介电强度  ≥1440V</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•中心光强  150cd~400cd</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•LED数量  红人60，绿人65；倒计时红140，绿140；</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•LED直径  Φ5mm 单管电流 &lt; 18mA</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•LED寿命  ≥70000小时</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•LED波长  红：625 nm绿：505 nm</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•可视距离  &gt;300m 可视角度 &gt;30°</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•倒计时  双8倒计时，全程或半程计时，最大99～1；</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•设置方式  上部红人+绿双8，下部动态绿人+红双8</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•计时方式  跟随/触发/通讯</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•工作温度  -40~+85℃ 相对湿度 ≤93%</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•保存环境  0~50℃，40~60%RH</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•防护等级  IP53</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•灯体重量  铝壳≤10KG</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•毛重   竖装≤12KG</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•参考标准  信号灯GB14887-2011  倒计时GAT508-2014</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•非RoHS</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351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7D01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5,444.00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C0E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E851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7FC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38</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66E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303单面带文字屏一体化人行灯</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DDA4">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尺寸640*360*3309mm；人行灯模块：红人+绿人+红绿双8倒计时器+文字屏幕）；灯体材质：镀锌铁喷塑；面罩发光直径：300mm；LED颜色：红/绿/；LED类别/寿命：台湾晶源芯片灯珠≥100000h；LED波长：红620～625NM、绿500～505NM；工作电压：AC176～264V,50Hz；功率：≤40W；绝缘电阻：≥500MΩ；介电强度：≥1440V；倒计时：双8倒计时；计时模式：学习/脉冲；工作温度：-45℃～65℃；防护等级：IP53；重量：＜85kg；功能性：语音提示：行人禁止通行、行人安全通行；工作模式：定周期模式；文字屏尺寸1505*263；文字内容：红色：行人禁止通行、绿色：行人安全通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073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34F2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13,048.91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36EAE">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C89B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582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39</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A37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文字板</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D96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匹配303单面带文字屏一体化人行灯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707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472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170.04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B0A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566C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D19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7F7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控制盒</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B39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匹配303单面带文字屏一体化人行灯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871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2F8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C252">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6D7B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C8B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41</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E72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按钮</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093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匹配303单面带文字屏一体化人行灯</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866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27CE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196.20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39481">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C7C5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CD6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42</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915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303双面带文字屏一体化人行灯（半程式）</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7726">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尺寸619*619*3309mm；人行灯模块：红人+绿人+红绿双8倒计时器+文字屏幕）；灯体材质：镀锌铁喷塑；面罩发光直径：300mm；LED颜色：红/绿/；LED类别/寿命：台湾晶源芯片灯珠≥100000小时；LED波长：红620～625NM、绿500～505NM；工作电压：AC176～264V,50Hz；功率：≤65W；绝缘电阻：≥500MΩ；介电强度：≥1440V；倒计时：双8倒计时；计时模式：学习/脉冲；工作温度：-45℃～65℃；防护等级：IP53；功能性：语音提示：行人禁止通行、行人安全通行；文字屏尺寸1505*263；文字内容：红色：行人禁止通行、绿色：行人安全通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D9CD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AF84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13,270.00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9E99D">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DB6E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D74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43</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EDB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303单面带文字屏一体化人行灯（半程式、带按钮）</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40A6">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尺寸640*360*3309mm；人行灯模块：红人+绿人+红绿双8倒计时器+文字屏幕）；灯体材质：镀锌铁喷塑；面罩发光直径：300mm；LED颜色：红/绿/；LED类别/寿命：台湾晶源芯片灯珠≥100000h；LED波长：红620～625NM、绿500～505NM；工作电压：AC176～264V,50Hz；功率：≤40W；绝缘电阻：≥500MΩ；介电强度：≥1440V；倒计时：双8倒计时；计时模式：学习/脉冲；工作温度：-45℃～65℃；防护等级：IP53；重量：＜85kg；功能性：语音提示：行人禁止通行、行人安全通行；工作模式：定周期模式；文字屏尺寸1505*263；文字内容：红色：行人禁止通行、绿色：行人安全通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9F4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C9B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11,640.00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63216">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7076A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377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44</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74C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303双面带文字屏一体化人行灯（半程式、带按钮）</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41F8">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尺寸619*619*3309mm；人行灯模块：红人+绿人+红绿双8倒计时器+文字屏幕）；灯体材质：镀锌铁喷塑；面罩发光直径：300mm；LED颜色：红/绿/；LED类别/寿命：台湾晶源芯片灯珠≥100000小时；LED波长：红620～625NM、绿500～505NM；工作电压：AC176～264V,50Hz；功率：≤65W；绝缘电阻：≥500MΩ；介电强度：≥1440V；倒计时：双8倒计时；计时模式：学习/脉冲；工作温度：-45℃～65℃；防护等级：IP53；功能性：语音提示：行人禁止通行、行人安全通行；文字屏尺寸1505*263；文字内容：红色：行人禁止通行、绿色：行人安全通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E9A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678C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14,285.00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1DA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8D87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D56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45</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CDE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罗马柱人行灯</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B77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尺寸614*900*3485mm；人行灯模块：红绿人一体灯+红绿双8倒计时；机动车灯模块：单色满盘红灯+黄绿一体满盘灯；灯体材料：塑钢结合；面罩发光直径：200mm；LED颜色：红/绿/黄；LED寿命：≥100000小时；LED类别：台湾晶源芯片灯珠；LED波长：红620～625NM、绿500～505NM、黄590～595NM；工作电压：AC176～264V,50Hz；功率：≤40W；绝缘电阻：≥500MΩ；介电强度：≥1440V；倒计时：双8倒计时；计时模式：学习/脉冲/RS485通讯；功能性：语音提示、申请式人过街按钮、跳梁长度可定制；工作温度：-45℃～65℃；防护等级：IP53；重量：＜85kg；工作模式：申请模式、黄闪模式、定周模式、外控模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B4B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F9D3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960.00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A694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E25B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A11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46</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A5B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罗马柱人行车行二合一灯</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B92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尺寸505*900*3485mm；人行灯模块：红绿人一体灯+红绿双8倒计时；灯体材质：塑钢结合；面罩发光直径：200mm；LED颜色：红/绿；LED类别/寿命：台湾晶源芯片灯珠/≥100000h；LED波长：红520～625、绿500～505；工作电压：AC176～265V,50Hz；功率：≤40W；绝缘电阻：≥500MΩ；介电强度：≥1440V；倒计时：双8倒计时；计时模式：学习/脉冲/RS485通讯；功能性：1.语音提示2.申请式行人过街3.跳梁长度可定制；工作温度：-45℃～65℃；防护等级：IP53；重量：＜85kg；工作模式：1.申请模式2.定周期模式、外控模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EF0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286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2,160.00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C7223">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6155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2C6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47</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FF2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单面人行非机二合一灯</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519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尺寸640*360*4000mm；人行灯模块：非机动车（红+黄+绿+红人+绿人）；灯体材质：铁壳喷塑；面罩发光直径：300mm；文字屏尺寸：1300*263mm；文字内容:红色：禁止通行、绿色：安全通行；LED颜色：红/绿/黄；LED寿命：≥100000小时；LED类别：台湾晶源芯片灯珠；LED波长：红620～625NM、绿500～505NM、黄590～595NM；工作电压：AC176～264V,50Hz；功率：≤40W；绝缘电阻：≥500MΩ；介电强度：≥1440V；倒计时：/；计时模式：学习/脉冲；功能性：语音提示；工作温度：-45℃～65℃；防护等级：IP53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4E3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FAA6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7,200.00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864C3">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06ED0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537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48</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FC78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双面面人行非机二合一灯</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5FE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尺寸640*640*4000mm；人行灯模块：非机动车（红+黄+绿+红人+绿人）；灯体材质：铁壳喷塑；面罩发光直径：300mm；文字屏尺寸：1300*263mm；文字内容:红色：禁止通行、绿色：安全通行；LED颜色：红/绿/黄；LED寿命：≥100000小时；LED类别：台湾晶源芯片灯珠；LED波长：红620～625NM、绿500～505NM、黄590～595NM；工作电压：AC176～264V,50Hz；功率：≤80W；绝缘电阻：≥500MΩ；介电强度：≥1440V；倒计时：/；计时模式：学习/脉冲；功能性：语音提示；工作温度：-45℃～65℃；防护等级：IP53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8D0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80E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12,240.00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0C2E">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5122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E2E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49</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809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304不锈钢机箱</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70B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高1265mm*长700mm*宽530mm（含贴膜）</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91D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7A7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1,920.00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DEA6">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9B9A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D66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AB8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机箱锁</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757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通用锁</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CC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8B7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42.00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F79FB">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5D44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3D4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51</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FC8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机箱门</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BD3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600mm*1100mm</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1EC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ABA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120.00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AF0B">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A3AE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2CE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52</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83B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机箱合叶</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75D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约长3.8cm，宽1.5cm </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187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6ED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120.00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E5C2E">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4668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2C0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53</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55C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插座</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46F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RA/418B泰力插板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D18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533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A0557">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1037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E62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54</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BA1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空气开关</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1AF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NXB-63/2P20A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45A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BAF5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120.00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4335">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7BB7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D66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55</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2C5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接线端子</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223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匹配现有运行产品参数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1C3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8E5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12.00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5C98">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3C39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9DC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56</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E29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外挂式小配电箱</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B85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匹配现有运行产品参数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05C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B654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0BEF">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AF90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A54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57</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9AA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可变车道诱导屏（文字屏）</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42C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1、像素间距/像素密度：10mm/10000 点/M2</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2、亮度：≥4000 cd/M2</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3、视角(水平/垂直)：水平:≥110°垂直&gt;110°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4、最佳可视距离：5M~30MM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5、灰度等级/显示颜色：65536 级灰度</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6、换帧速度：≥60(帧)/秒</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7、刷新频率：≥1000Hz/S</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8、输入信号/控制方式：APP 或者GPRS 控制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9、连续工作时间：&gt;72(Hrs)</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10、屏幕寿命：&gt;50000(H)</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12、屏幕 WTBF(平均无故障时间)：&gt;8000(H)</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13、盲点率：≤0.0001</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14、控制距离：APP:5 米/GPRS:全国范围</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15、表面平整度：&lt;1mm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16、系统工作环境温度：-40℃~+80℃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17、系统工作环境湿度：10%~98%RH</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18、防护等级：IP65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19、发光器件驱动方式：1/2 扫描 恒流驱动</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20、软件接口：标准计算机接口，兼容mdows、Unix、Hove1</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21、防护系统：超温/过载掉电/图像补偿非线性校正</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22、工作电压：AC220V+15%;50Hz;</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23、功耗：全屏亮70W</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24、保护技术：防潮、防尘、防腐、防静电、同时具有过流</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25、产品重量：35Kg(净重)</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26、显示尺寸：1330*690*130mm</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889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52F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16,553.81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BC4B">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B2BE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B0A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58</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6F5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可变车道屏</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1BE9">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1、工作电压:  AC220V±15% 50Hz；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2、功耗:全屏亮&gt;600W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3、扫描方式：1/2扫</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4、显示面积:  0.5120 M²</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5、屏体分辨率:  96列×160行＝15360点/屏</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6、像素间距/像素密度:10mm/10000点/M²</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7、亮度: ≥4000cd/M²</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8、视角（水平/垂直）:  水平：≥110°垂直≥110°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9、最佳可视距离:  5M～30M；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10、发光点颜色：1R1G1B（全彩）</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11、灰度等级/显示颜色: 65536级灰度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12、换帧速度:≥60（帧）/秒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13、刷新频率:≥1000Hz/S</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14、输入信号/控制方式:  文字、图像、异步控制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15、连续工作时间:&gt;72（Hrs）</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16、屏幕寿命:&gt;50,000（H）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17、屏幕MTBF:（平均无故障时间）&gt;8.000（H）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18、盲点率  ≤0.0001</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19、控制方式: 10Mbps以太网控制调试（标配）； 显卡可选RS485或RS232、10Mbps以太网上位机远程控制端口（选配）</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20、表面平整度:  &lt; 1mm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21、系统工作环境温度：-40℃～+80℃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22、系统工作环境湿度:10%～98%RH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23、防护等级:  IP54</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24、发光器件驱动方式 :恒流驱动</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25、软件接口:  标准计算机接口，兼容Windows、Unix、Novel</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26、防护系统:  超温/过载/掉电/图像补偿/非线性校正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27、保护技术:  防潮、防尘、防腐、防静电、同时具有过流、短路、过压、欠压保护功能。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28、显示尺寸：1600*1225(mm)</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447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936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13,340.00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568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C74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B05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59</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339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控制仪器</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（可变车道控制箱）</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DFC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匹配现有运行产品参数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BF0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D082A">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1EF4">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7DE6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CC8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C30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无线模块</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46D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匹配现有运行产品参数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FE0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E5FF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52EB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1ED5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01C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61</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843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变压器（可变车道）</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229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匹配现有运行产品参数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62F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3FF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016AB">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07DCE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294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62</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6C3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led显示屏（多彩）</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2AB8">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1、P10户外全彩LED显示屏全户外双层防水交通诱导屏箱体；</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2、支持y校正曲线≧20条；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3、LED显示屏的发光模块面色一致，并且是哑光的，反光有效系数是在5%以内。显示屏的杂点&lt;1/200000；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4、采用完全静音设计，屏体风扇自然散热；</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5、LED显示屏在35℃/5%浓度环境下连续96H表面无锈蚀，无气泡。裂纹，符合盐雾10级要求；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6、LED显示屏正常使用达到热平衡后，屏体结构金属部分升温不超过45K，绝缘材料温升不超过70K；</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7、LED显示屏支持消除开路十字架功能；支持模组间亮暗线修复功能;支持单点检测逐点校正功能，单点亮度校正，单点颜色校正</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8、超五类双绞网线，超过100米使用光纤传输；</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9、控制系统的信号发送/转接/接收卡支持环路冗余备份，信号支持双回路热备份自动转换，支持供电电源双备份；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10、运行稳定，不受电源端子传导干扰，不受射频电磁场辐射干扰，不受射频场感应传导干扰；</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11、泄露电流≦1.5mA(AC峰值)；</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12、支持7*24小时无间断工作；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13、防护等级:IP68；</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14、防风等级≧1000Pa；</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15、工作5%-90%无凝露，存储5%-95%无疑露；</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16、LED显示屏支持N+1、N+2电源冗余备份，在某一电源出现故障后，冗余电源可自动切换，使屏体可以继续正常工作；</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553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平方米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EDC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2,400.00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127F">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7C0D3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D73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63</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A86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太阳能机非分道标志警示柱</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0D4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1.太阳能板 18V10W</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2.蓄电池 12V9AH</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3.LED 灯珠 超高LED，可视距离&gt;800米</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4.控制器 光控，可控制全天闪烁，晚上闪烁</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5.工作时间 太阳下充电.8小时可以工作72小时,连续放电200H以上</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6.工作环境 在-25-+65摄氏度可正常工作，防护等级IP53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7.组装配件 螺丝、弯头(太阳能板支架)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8.产品重里 20KG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9.产品尺寸 2.1m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 10.产品材质 钣金材料+高诱光性聚碳酸酯 PO+ 警示柱专用反光膜</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11.高度 2.1m</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832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798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3,761.10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B48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392430" cy="2105025"/>
                  <wp:effectExtent l="0" t="0" r="7620" b="9525"/>
                  <wp:docPr id="59" name="图片_13"/>
                  <wp:cNvGraphicFramePr/>
                  <a:graphic xmlns:a="http://schemas.openxmlformats.org/drawingml/2006/main">
                    <a:graphicData uri="http://schemas.openxmlformats.org/drawingml/2006/picture">
                      <pic:pic xmlns:pic="http://schemas.openxmlformats.org/drawingml/2006/picture">
                        <pic:nvPicPr>
                          <pic:cNvPr id="59" name="图片_13"/>
                          <pic:cNvPicPr/>
                        </pic:nvPicPr>
                        <pic:blipFill>
                          <a:blip r:embed="rId12"/>
                          <a:stretch>
                            <a:fillRect/>
                          </a:stretch>
                        </pic:blipFill>
                        <pic:spPr>
                          <a:xfrm>
                            <a:off x="0" y="0"/>
                            <a:ext cx="392430" cy="2105025"/>
                          </a:xfrm>
                          <a:prstGeom prst="rect">
                            <a:avLst/>
                          </a:prstGeom>
                          <a:noFill/>
                          <a:ln>
                            <a:noFill/>
                          </a:ln>
                        </pic:spPr>
                      </pic:pic>
                    </a:graphicData>
                  </a:graphic>
                </wp:inline>
              </w:drawing>
            </w:r>
          </w:p>
        </w:tc>
      </w:tr>
      <w:tr w14:paraId="03F21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868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64</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D8C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太阳能板</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031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125*125mm</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E8C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71B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218.19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30B3">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E57C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A48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65</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578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智能红外语音警示柱</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523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尺寸规格：275*230*1100mm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LED颜色:红/绿</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灯体材质:铁壳喷塑</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面罩发光直径:侧发光35*480mm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感应方式:红外感应</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功能性:语音提示</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LED类别:台湾晶源芯片灯珠</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LED波长:红620-625NM;绿500-505NM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产品重量:15KG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工作电压:AC176-264V.50Hz</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功率:≤20W</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绝缘电阻:≥500MΩ</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介电强度:≥144GV</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工作温度:-45℃~65℃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防护等级:IP53</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安装方式:地面式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6D8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对</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90F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4,800.00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07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501140" cy="1494790"/>
                  <wp:effectExtent l="0" t="0" r="3810" b="10160"/>
                  <wp:docPr id="44" name="图片_2"/>
                  <wp:cNvGraphicFramePr/>
                  <a:graphic xmlns:a="http://schemas.openxmlformats.org/drawingml/2006/main">
                    <a:graphicData uri="http://schemas.openxmlformats.org/drawingml/2006/picture">
                      <pic:pic xmlns:pic="http://schemas.openxmlformats.org/drawingml/2006/picture">
                        <pic:nvPicPr>
                          <pic:cNvPr id="44" name="图片_2"/>
                          <pic:cNvPicPr/>
                        </pic:nvPicPr>
                        <pic:blipFill>
                          <a:blip r:embed="rId13"/>
                          <a:stretch>
                            <a:fillRect/>
                          </a:stretch>
                        </pic:blipFill>
                        <pic:spPr>
                          <a:xfrm>
                            <a:off x="0" y="0"/>
                            <a:ext cx="1501140" cy="1494790"/>
                          </a:xfrm>
                          <a:prstGeom prst="rect">
                            <a:avLst/>
                          </a:prstGeom>
                          <a:noFill/>
                          <a:ln>
                            <a:noFill/>
                          </a:ln>
                        </pic:spPr>
                      </pic:pic>
                    </a:graphicData>
                  </a:graphic>
                </wp:inline>
              </w:drawing>
            </w:r>
          </w:p>
        </w:tc>
      </w:tr>
      <w:tr w14:paraId="3DEA0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554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66</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D96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信号灯同步均光道钉</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D30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18"/>
                <w:szCs w:val="18"/>
                <w:highlight w:val="none"/>
                <w:u w:val="none"/>
              </w:rPr>
            </w:pPr>
            <w:r>
              <w:rPr>
                <w:rFonts w:hint="eastAsia" w:ascii="新宋体" w:hAnsi="新宋体" w:eastAsia="新宋体" w:cs="新宋体"/>
                <w:i w:val="0"/>
                <w:iCs w:val="0"/>
                <w:color w:val="auto"/>
                <w:kern w:val="0"/>
                <w:sz w:val="18"/>
                <w:szCs w:val="18"/>
                <w:highlight w:val="none"/>
                <w:u w:val="none"/>
                <w:lang w:val="en-US" w:eastAsia="zh-CN" w:bidi="ar"/>
              </w:rPr>
              <w:t>1.尺寸规格：152*50mm</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2.红、绿二色，不通电白色</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3.控制方式：通讯控制、颜色亮度、闪烁模式可程序调节</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4.工作电压：DC:24±100%V</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5.额定功率：≤5W</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6.平均发光强度：50cds≤红≤200cd，50cds≤绿≤200cd</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6.LED寿命：≥70000小时</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7.可视距离：≥50m</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8.可视角度：≥120°</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9.工作温度：-40~+85℃</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10.相对湿度：≤93％</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11.扛压：≥30吨</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12.防护等级：≥lp65</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13.材质：LED铝基板光源，铝压铸外壳，PC</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8CD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C296B">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520.00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827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296670" cy="881380"/>
                  <wp:effectExtent l="0" t="0" r="17780" b="13970"/>
                  <wp:docPr id="90" name="图片_3"/>
                  <wp:cNvGraphicFramePr/>
                  <a:graphic xmlns:a="http://schemas.openxmlformats.org/drawingml/2006/main">
                    <a:graphicData uri="http://schemas.openxmlformats.org/drawingml/2006/picture">
                      <pic:pic xmlns:pic="http://schemas.openxmlformats.org/drawingml/2006/picture">
                        <pic:nvPicPr>
                          <pic:cNvPr id="90" name="图片_3"/>
                          <pic:cNvPicPr/>
                        </pic:nvPicPr>
                        <pic:blipFill>
                          <a:blip r:embed="rId14"/>
                          <a:stretch>
                            <a:fillRect/>
                          </a:stretch>
                        </pic:blipFill>
                        <pic:spPr>
                          <a:xfrm>
                            <a:off x="0" y="0"/>
                            <a:ext cx="1296670" cy="881380"/>
                          </a:xfrm>
                          <a:prstGeom prst="rect">
                            <a:avLst/>
                          </a:prstGeom>
                          <a:noFill/>
                          <a:ln>
                            <a:noFill/>
                          </a:ln>
                        </pic:spPr>
                      </pic:pic>
                    </a:graphicData>
                  </a:graphic>
                </wp:inline>
              </w:drawing>
            </w:r>
          </w:p>
        </w:tc>
      </w:tr>
      <w:tr w14:paraId="07F17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3DA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67</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FA2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智能红外语音警示柱</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C7E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18"/>
                <w:szCs w:val="18"/>
                <w:highlight w:val="none"/>
                <w:u w:val="none"/>
              </w:rPr>
            </w:pPr>
            <w:r>
              <w:rPr>
                <w:rFonts w:hint="eastAsia" w:ascii="新宋体" w:hAnsi="新宋体" w:eastAsia="新宋体" w:cs="新宋体"/>
                <w:i w:val="0"/>
                <w:iCs w:val="0"/>
                <w:color w:val="auto"/>
                <w:kern w:val="0"/>
                <w:sz w:val="18"/>
                <w:szCs w:val="18"/>
                <w:highlight w:val="none"/>
                <w:u w:val="none"/>
                <w:lang w:val="en-US" w:eastAsia="zh-CN" w:bidi="ar"/>
              </w:rPr>
              <w:t>尺寸规格：1.1200*160*1400mm</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2.电源：ACIN:176-264V DCOUT:12V4.2A</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3.空开：2P断路器，电压：230V，接线方式：火线零线双进双出</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4.防雷器：额定持续电压：385V，标称放电电流：20KA、40KA、65KA</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5.警烁源主控板：可远程操控无线输出1000米内，可检测日，人流量数据传输到后台服务器</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6.准确度：±10cm（10cm内），1%（1cm以外）</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7.距离分辨率：1cm</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8.帧率：1HZ-1000HZ可调（默认100HZ）高频率（Max10KHZ）</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9.抗环境光能力：10K1ux</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10.工作温度：-25~60℃</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11.光源：LD</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12.中心波长：905nm</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13.人眼安全：Class1（EN60825）</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14.小体积</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15.多种接口（TTL、CAN、RS485、RS23）</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16.雨雪雾环境泛指中雨、中雪及以下，中雨降雨量&lt;25mm/24h或&lt;7.9mm/h</w:t>
            </w:r>
            <w:r>
              <w:rPr>
                <w:rFonts w:hint="eastAsia" w:ascii="新宋体" w:hAnsi="新宋体" w:eastAsia="新宋体" w:cs="新宋体"/>
                <w:i w:val="0"/>
                <w:iCs w:val="0"/>
                <w:color w:val="auto"/>
                <w:kern w:val="0"/>
                <w:sz w:val="18"/>
                <w:szCs w:val="18"/>
                <w:highlight w:val="none"/>
                <w:u w:val="none"/>
                <w:lang w:val="en-US" w:eastAsia="zh-CN" w:bidi="ar"/>
              </w:rPr>
              <w:br w:type="textWrapping"/>
            </w:r>
            <w:r>
              <w:rPr>
                <w:rFonts w:hint="eastAsia" w:ascii="新宋体" w:hAnsi="新宋体" w:eastAsia="新宋体" w:cs="新宋体"/>
                <w:i w:val="0"/>
                <w:iCs w:val="0"/>
                <w:color w:val="auto"/>
                <w:kern w:val="0"/>
                <w:sz w:val="18"/>
                <w:szCs w:val="18"/>
                <w:highlight w:val="none"/>
                <w:u w:val="none"/>
                <w:lang w:val="en-US" w:eastAsia="zh-CN" w:bidi="ar"/>
              </w:rPr>
              <w:t>17.防护等级：IP67</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6EA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对</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3B16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4,800.00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49E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238885" cy="2096135"/>
                  <wp:effectExtent l="0" t="0" r="18415" b="18415"/>
                  <wp:docPr id="92" name="图片_4"/>
                  <wp:cNvGraphicFramePr/>
                  <a:graphic xmlns:a="http://schemas.openxmlformats.org/drawingml/2006/main">
                    <a:graphicData uri="http://schemas.openxmlformats.org/drawingml/2006/picture">
                      <pic:pic xmlns:pic="http://schemas.openxmlformats.org/drawingml/2006/picture">
                        <pic:nvPicPr>
                          <pic:cNvPr id="92" name="图片_4"/>
                          <pic:cNvPicPr/>
                        </pic:nvPicPr>
                        <pic:blipFill>
                          <a:blip r:embed="rId15"/>
                          <a:stretch>
                            <a:fillRect/>
                          </a:stretch>
                        </pic:blipFill>
                        <pic:spPr>
                          <a:xfrm>
                            <a:off x="0" y="0"/>
                            <a:ext cx="1238885" cy="2096135"/>
                          </a:xfrm>
                          <a:prstGeom prst="rect">
                            <a:avLst/>
                          </a:prstGeom>
                          <a:noFill/>
                          <a:ln>
                            <a:noFill/>
                          </a:ln>
                        </pic:spPr>
                      </pic:pic>
                    </a:graphicData>
                  </a:graphic>
                </wp:inline>
              </w:drawing>
            </w:r>
          </w:p>
        </w:tc>
      </w:tr>
      <w:tr w14:paraId="43FFA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898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68</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53D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警行灯——非灯控路口行人过街预警</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B32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18"/>
                <w:szCs w:val="18"/>
                <w:highlight w:val="none"/>
                <w:u w:val="none"/>
              </w:rPr>
            </w:pPr>
            <w:r>
              <w:rPr>
                <w:rFonts w:hint="eastAsia" w:ascii="新宋体" w:hAnsi="新宋体" w:eastAsia="新宋体" w:cs="新宋体"/>
                <w:i w:val="0"/>
                <w:iCs w:val="0"/>
                <w:color w:val="auto"/>
                <w:kern w:val="0"/>
                <w:sz w:val="18"/>
                <w:szCs w:val="18"/>
                <w:highlight w:val="none"/>
                <w:u w:val="none"/>
                <w:lang w:val="en-US" w:eastAsia="zh-CN" w:bidi="ar"/>
              </w:rPr>
              <w:t>工作电压：AC220V，外观尺寸：800*230*149，感应距离：5米-10米，设备工作环境温度：-20°～55°，控制方式：红外智能感应，红光功率120瓦,灯光照射面积：5米*12米, 警示提醒时间：15秒-60秒,语音播报：入口行人提示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7DC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ACA9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4,500.00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DC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50875" cy="1693545"/>
                  <wp:effectExtent l="0" t="0" r="15875" b="1905"/>
                  <wp:docPr id="99" name="图片_11"/>
                  <wp:cNvGraphicFramePr/>
                  <a:graphic xmlns:a="http://schemas.openxmlformats.org/drawingml/2006/main">
                    <a:graphicData uri="http://schemas.openxmlformats.org/drawingml/2006/picture">
                      <pic:pic xmlns:pic="http://schemas.openxmlformats.org/drawingml/2006/picture">
                        <pic:nvPicPr>
                          <pic:cNvPr id="99" name="图片_11"/>
                          <pic:cNvPicPr/>
                        </pic:nvPicPr>
                        <pic:blipFill>
                          <a:blip r:embed="rId16"/>
                          <a:stretch>
                            <a:fillRect/>
                          </a:stretch>
                        </pic:blipFill>
                        <pic:spPr>
                          <a:xfrm>
                            <a:off x="0" y="0"/>
                            <a:ext cx="650875" cy="1693545"/>
                          </a:xfrm>
                          <a:prstGeom prst="rect">
                            <a:avLst/>
                          </a:prstGeom>
                          <a:noFill/>
                          <a:ln>
                            <a:noFill/>
                          </a:ln>
                        </pic:spPr>
                      </pic:pic>
                    </a:graphicData>
                  </a:graphic>
                </wp:inline>
              </w:drawing>
            </w:r>
          </w:p>
        </w:tc>
      </w:tr>
      <w:tr w14:paraId="1D5A8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190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69</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433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新型面光源机非分道标志警示柱</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65F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1.尺寸：2560*435*95mm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2.产品的外壳主体采用钣金喷塑，应具有良好的抗氧化性，使用期内产品不退色，外壳本要有良好的刚性和耐冲击性，内部结构有良好的稳固性和密封性</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3.在连续阴雨条件下，产品满载工作时间不小于96小时，半载工作时候不小于36小时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4.可视距离：夜间动态距离≥250米，静态距离≥210米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E77B">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569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C7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96315" cy="1773555"/>
                  <wp:effectExtent l="0" t="0" r="13335" b="17145"/>
                  <wp:docPr id="93" name="图片_5"/>
                  <wp:cNvGraphicFramePr/>
                  <a:graphic xmlns:a="http://schemas.openxmlformats.org/drawingml/2006/main">
                    <a:graphicData uri="http://schemas.openxmlformats.org/drawingml/2006/picture">
                      <pic:pic xmlns:pic="http://schemas.openxmlformats.org/drawingml/2006/picture">
                        <pic:nvPicPr>
                          <pic:cNvPr id="93" name="图片_5"/>
                          <pic:cNvPicPr/>
                        </pic:nvPicPr>
                        <pic:blipFill>
                          <a:blip r:embed="rId17"/>
                          <a:stretch>
                            <a:fillRect/>
                          </a:stretch>
                        </pic:blipFill>
                        <pic:spPr>
                          <a:xfrm>
                            <a:off x="0" y="0"/>
                            <a:ext cx="996315" cy="1773555"/>
                          </a:xfrm>
                          <a:prstGeom prst="rect">
                            <a:avLst/>
                          </a:prstGeom>
                          <a:noFill/>
                          <a:ln>
                            <a:noFill/>
                          </a:ln>
                        </pic:spPr>
                      </pic:pic>
                    </a:graphicData>
                  </a:graphic>
                </wp:inline>
              </w:drawing>
            </w:r>
          </w:p>
        </w:tc>
      </w:tr>
      <w:tr w14:paraId="07E66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051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70</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B4C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4G广播喇叭</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328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100W号角喇叭，材质：ABS，防水：IPX6，灵敏度：109DB(1M/1W),频响：250HZ-6KHZ 额定功率：50W，口径：280MM，无障碍传输200米-400米左右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03E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3AFD1">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2,160.00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CC73">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6BC5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F62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71</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905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4G广播喇叭</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2A1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50W号角喇叭，材质：ABS，防水：IPX6，灵敏度：96DB,频响：400HZ-5KHZ 额定功率：30W，口径：205MM，无障碍传输200米-300米左右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1E9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515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2,160.00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AF6D4">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450A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28D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72</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678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设备控制箱</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5EE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适配 4G 广播喇叭</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B39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2396">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1,800.00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36AD9">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BA6F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E69D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73</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36E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4G卡（旭视）</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4EE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物流联网卡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780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张</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21D3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327.00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DFE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008F4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07D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74</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A24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辅材</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AC8E">
            <w:pPr>
              <w:keepNext w:val="0"/>
              <w:keepLines w:val="0"/>
              <w:pageBreakBefore w:val="0"/>
              <w:widowControl/>
              <w:kinsoku/>
              <w:wordWrap/>
              <w:overflowPunct/>
              <w:topLinePunct w:val="0"/>
              <w:autoSpaceDE/>
              <w:autoSpaceDN/>
              <w:bidi w:val="0"/>
              <w:adjustRightInd/>
              <w:snapToGrid/>
              <w:spacing w:line="460" w:lineRule="exact"/>
              <w:jc w:val="center"/>
              <w:rPr>
                <w:rFonts w:hint="eastAsia" w:ascii="新宋体" w:hAnsi="新宋体" w:eastAsia="新宋体" w:cs="新宋体"/>
                <w:i w:val="0"/>
                <w:iCs w:val="0"/>
                <w:color w:val="auto"/>
                <w:sz w:val="22"/>
                <w:szCs w:val="22"/>
                <w:highlight w:val="none"/>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EC6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项</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06FDF">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356.43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EFC15">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0984D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B69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75</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DAD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KVV22电缆线3*1.5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665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1.规格KVV22-3*1.5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698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1952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8.34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467B1">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0342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925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76</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2A6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KVV22电缆线4*1.5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413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1.规格KVV22-4*1.5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3D4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790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10.66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A03B">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90F2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A44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77</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9EB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KVV22电缆线7*1.5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CE2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1.规格KVV22-7*1.5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F16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E80C">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17.78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478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7DA30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4D6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78</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D9B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RVV电缆线2*2.5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BDC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1.规格RVV22-2*2.5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31C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A433D">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9.33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E0B02">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9B57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F92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79</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B4D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KVV22电缆线10*1.5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FC1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1.规格KVV22-10*1.5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C42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34E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24.97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DB5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E268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38D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80</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9B3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KVV22电缆线12*1.5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67F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1.规格KVV22-12*1.5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117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5A6C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29.38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71DF">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51716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4DC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81</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AA2F">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KVV22电缆线16*1.5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4E3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1.规格KVV22-16*1.5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039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F84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39.99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CE26">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2E42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580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82</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9F2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KVV22电缆线25*1.5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A725">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1.规格KVV22-25*1.5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259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F402">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59.39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C16A9">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5618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0CA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83</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A87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KVV22电缆线32*1.5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DCF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1.规格KVV22-32*1.5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3.敷设方式：埋地敷设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5CEA">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269E">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53.69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09A5">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4142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1B9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84</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5F6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KVV22电缆线3*6</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4FD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1.规格KVV22-3*6</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3.敷设方式：埋地敷设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BCE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8B999">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26.57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071DE">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2548A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2674">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85</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FE3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KVV22电缆线3*4</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6E1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1.规格KVV22-3*4</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3.敷设方式：埋地敷设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440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6D644">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18.28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D7EF2">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1DBC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69A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86</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3B3E">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RVV  4×0.5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5B8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1.规格RVV-4×0.5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306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30D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3.77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F09D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302B5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8D1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87</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8AB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RVV  7×0.5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AE0">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1.规格RVV-7×0.5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55BB">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54FE0">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5.59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7B3DC">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1EF9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70D1">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88</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0AD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RVV  10×0.5</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7F8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1.规格RVV-10×0.5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EC69">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6AA7">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7.92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E02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64A49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D23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89</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EEB7">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KVV22电缆线4*6</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0813">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1.规格KVV22-4×6</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F7F2">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CB0C5">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35.68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8D60">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r w14:paraId="4F69F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308C">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90</w:t>
            </w:r>
          </w:p>
        </w:tc>
        <w:tc>
          <w:tcPr>
            <w:tcW w:w="2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95FD">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KVV22电缆线6*6</w:t>
            </w:r>
          </w:p>
        </w:tc>
        <w:tc>
          <w:tcPr>
            <w:tcW w:w="6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76E6">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1.规格KVV22-6*6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2.配线形式：管内穿线</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3.敷设方式：埋地敷设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7988">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1E323">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44.80 </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C152A">
            <w:pPr>
              <w:keepNext w:val="0"/>
              <w:keepLines w:val="0"/>
              <w:pageBreakBefore w:val="0"/>
              <w:widowControl/>
              <w:kinsoku/>
              <w:wordWrap/>
              <w:overflowPunct/>
              <w:topLinePunct w:val="0"/>
              <w:autoSpaceDE/>
              <w:autoSpaceDN/>
              <w:bidi w:val="0"/>
              <w:adjustRightInd/>
              <w:snapToGrid/>
              <w:spacing w:line="460" w:lineRule="exact"/>
              <w:jc w:val="center"/>
              <w:rPr>
                <w:rFonts w:hint="eastAsia" w:ascii="宋体" w:hAnsi="宋体" w:eastAsia="宋体" w:cs="宋体"/>
                <w:i w:val="0"/>
                <w:iCs w:val="0"/>
                <w:color w:val="auto"/>
                <w:sz w:val="22"/>
                <w:szCs w:val="22"/>
                <w:highlight w:val="none"/>
                <w:u w:val="none"/>
              </w:rPr>
            </w:pPr>
          </w:p>
        </w:tc>
      </w:tr>
    </w:tbl>
    <w:p w14:paraId="2B936CED">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0" w:firstLineChars="0"/>
        <w:outlineLvl w:val="3"/>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kern w:val="2"/>
          <w:sz w:val="22"/>
          <w:szCs w:val="22"/>
          <w:highlight w:val="none"/>
          <w:lang w:val="en-US" w:eastAsia="zh-CN" w:bidi="ar-SA"/>
        </w:rPr>
        <w:t>（5）护栏类</w:t>
      </w:r>
    </w:p>
    <w:tbl>
      <w:tblPr>
        <w:tblStyle w:val="52"/>
        <w:tblW w:w="146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1"/>
        <w:gridCol w:w="2725"/>
        <w:gridCol w:w="4745"/>
        <w:gridCol w:w="859"/>
        <w:gridCol w:w="1091"/>
        <w:gridCol w:w="4459"/>
      </w:tblGrid>
      <w:tr w14:paraId="77FF3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16FD">
            <w:pPr>
              <w:keepNext w:val="0"/>
              <w:keepLines w:val="0"/>
              <w:widowControl/>
              <w:suppressLineNumbers w:val="0"/>
              <w:jc w:val="center"/>
              <w:textAlignment w:val="center"/>
              <w:rPr>
                <w:rFonts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序号</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77DA">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名称</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8B99">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规格配置</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89D0">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单位</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BC65">
            <w:pPr>
              <w:keepNext w:val="0"/>
              <w:keepLines w:val="0"/>
              <w:widowControl/>
              <w:suppressLineNumbers w:val="0"/>
              <w:jc w:val="center"/>
              <w:textAlignment w:val="center"/>
              <w:rPr>
                <w:rFonts w:hint="default" w:ascii="新宋体" w:hAnsi="新宋体" w:eastAsia="新宋体" w:cs="新宋体"/>
                <w:b/>
                <w:bCs/>
                <w:i w:val="0"/>
                <w:iCs w:val="0"/>
                <w:color w:val="auto"/>
                <w:sz w:val="22"/>
                <w:szCs w:val="22"/>
                <w:highlight w:val="none"/>
                <w:u w:val="none"/>
                <w:lang w:val="en-US"/>
              </w:rPr>
            </w:pPr>
            <w:r>
              <w:rPr>
                <w:rFonts w:hint="eastAsia" w:ascii="新宋体" w:hAnsi="新宋体" w:eastAsia="新宋体" w:cs="新宋体"/>
                <w:b/>
                <w:bCs/>
                <w:i w:val="0"/>
                <w:iCs w:val="0"/>
                <w:color w:val="auto"/>
                <w:kern w:val="0"/>
                <w:sz w:val="22"/>
                <w:szCs w:val="22"/>
                <w:highlight w:val="none"/>
                <w:u w:val="none"/>
                <w:lang w:val="en-US" w:eastAsia="zh-CN" w:bidi="ar"/>
              </w:rPr>
              <w:t>单价限价</w:t>
            </w: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D211">
            <w:pPr>
              <w:keepNext w:val="0"/>
              <w:keepLines w:val="0"/>
              <w:widowControl/>
              <w:suppressLineNumbers w:val="0"/>
              <w:jc w:val="center"/>
              <w:textAlignment w:val="center"/>
              <w:rPr>
                <w:rFonts w:hint="eastAsia" w:ascii="新宋体" w:hAnsi="新宋体" w:eastAsia="新宋体" w:cs="新宋体"/>
                <w:b/>
                <w:bCs/>
                <w:i w:val="0"/>
                <w:iCs w:val="0"/>
                <w:color w:val="auto"/>
                <w:sz w:val="20"/>
                <w:szCs w:val="20"/>
                <w:highlight w:val="none"/>
                <w:u w:val="none"/>
              </w:rPr>
            </w:pPr>
            <w:r>
              <w:rPr>
                <w:rFonts w:hint="eastAsia" w:ascii="新宋体" w:hAnsi="新宋体" w:eastAsia="新宋体" w:cs="新宋体"/>
                <w:b/>
                <w:bCs/>
                <w:i w:val="0"/>
                <w:iCs w:val="0"/>
                <w:color w:val="auto"/>
                <w:kern w:val="0"/>
                <w:sz w:val="20"/>
                <w:szCs w:val="20"/>
                <w:highlight w:val="none"/>
                <w:u w:val="none"/>
                <w:lang w:val="en-US" w:eastAsia="zh-CN" w:bidi="ar"/>
              </w:rPr>
              <w:t>图片</w:t>
            </w:r>
          </w:p>
        </w:tc>
      </w:tr>
      <w:tr w14:paraId="2C841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736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3CB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A型立柱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5A0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F84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nil"/>
              <w:right w:val="nil"/>
            </w:tcBorders>
            <w:shd w:val="clear" w:color="auto" w:fill="auto"/>
            <w:vAlign w:val="center"/>
          </w:tcPr>
          <w:p w14:paraId="578DD3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110.09</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017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247900" cy="1309370"/>
                  <wp:effectExtent l="0" t="0" r="0" b="5080"/>
                  <wp:docPr id="110" name="图片_1"/>
                  <wp:cNvGraphicFramePr/>
                  <a:graphic xmlns:a="http://schemas.openxmlformats.org/drawingml/2006/main">
                    <a:graphicData uri="http://schemas.openxmlformats.org/drawingml/2006/picture">
                      <pic:pic xmlns:pic="http://schemas.openxmlformats.org/drawingml/2006/picture">
                        <pic:nvPicPr>
                          <pic:cNvPr id="110" name="图片_1"/>
                          <pic:cNvPicPr/>
                        </pic:nvPicPr>
                        <pic:blipFill>
                          <a:blip r:embed="rId18"/>
                          <a:stretch>
                            <a:fillRect/>
                          </a:stretch>
                        </pic:blipFill>
                        <pic:spPr>
                          <a:xfrm>
                            <a:off x="0" y="0"/>
                            <a:ext cx="2247900" cy="130937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238885" cy="1369695"/>
                  <wp:effectExtent l="0" t="0" r="18415" b="1905"/>
                  <wp:docPr id="126" name="图片_2"/>
                  <wp:cNvGraphicFramePr/>
                  <a:graphic xmlns:a="http://schemas.openxmlformats.org/drawingml/2006/main">
                    <a:graphicData uri="http://schemas.openxmlformats.org/drawingml/2006/picture">
                      <pic:pic xmlns:pic="http://schemas.openxmlformats.org/drawingml/2006/picture">
                        <pic:nvPicPr>
                          <pic:cNvPr id="126" name="图片_2"/>
                          <pic:cNvPicPr/>
                        </pic:nvPicPr>
                        <pic:blipFill>
                          <a:blip r:embed="rId19"/>
                          <a:stretch>
                            <a:fillRect/>
                          </a:stretch>
                        </pic:blipFill>
                        <pic:spPr>
                          <a:xfrm>
                            <a:off x="0" y="0"/>
                            <a:ext cx="1238885" cy="1369695"/>
                          </a:xfrm>
                          <a:prstGeom prst="rect">
                            <a:avLst/>
                          </a:prstGeom>
                          <a:noFill/>
                          <a:ln>
                            <a:noFill/>
                          </a:ln>
                        </pic:spPr>
                      </pic:pic>
                    </a:graphicData>
                  </a:graphic>
                </wp:inline>
              </w:drawing>
            </w:r>
          </w:p>
        </w:tc>
      </w:tr>
      <w:tr w14:paraId="3C07F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B209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BAA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A型护栏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D6A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39E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nil"/>
              <w:right w:val="nil"/>
            </w:tcBorders>
            <w:shd w:val="clear" w:color="auto" w:fill="auto"/>
            <w:vAlign w:val="center"/>
          </w:tcPr>
          <w:p w14:paraId="59200F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99.08</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857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585720" cy="835025"/>
                  <wp:effectExtent l="0" t="0" r="5080" b="3175"/>
                  <wp:docPr id="120" name="图片_4"/>
                  <wp:cNvGraphicFramePr/>
                  <a:graphic xmlns:a="http://schemas.openxmlformats.org/drawingml/2006/main">
                    <a:graphicData uri="http://schemas.openxmlformats.org/drawingml/2006/picture">
                      <pic:pic xmlns:pic="http://schemas.openxmlformats.org/drawingml/2006/picture">
                        <pic:nvPicPr>
                          <pic:cNvPr id="120" name="图片_4"/>
                          <pic:cNvPicPr/>
                        </pic:nvPicPr>
                        <pic:blipFill>
                          <a:blip r:embed="rId20"/>
                          <a:stretch>
                            <a:fillRect/>
                          </a:stretch>
                        </pic:blipFill>
                        <pic:spPr>
                          <a:xfrm>
                            <a:off x="0" y="0"/>
                            <a:ext cx="2585720" cy="835025"/>
                          </a:xfrm>
                          <a:prstGeom prst="rect">
                            <a:avLst/>
                          </a:prstGeom>
                          <a:noFill/>
                          <a:ln>
                            <a:noFill/>
                          </a:ln>
                        </pic:spPr>
                      </pic:pic>
                    </a:graphicData>
                  </a:graphic>
                </wp:inline>
              </w:drawing>
            </w:r>
          </w:p>
        </w:tc>
      </w:tr>
      <w:tr w14:paraId="63405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5C07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783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A型护栏(含立柱)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449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484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FC7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159.64</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F7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383155" cy="883285"/>
                  <wp:effectExtent l="0" t="0" r="17145" b="12065"/>
                  <wp:docPr id="112" name="图片_5"/>
                  <wp:cNvGraphicFramePr/>
                  <a:graphic xmlns:a="http://schemas.openxmlformats.org/drawingml/2006/main">
                    <a:graphicData uri="http://schemas.openxmlformats.org/drawingml/2006/picture">
                      <pic:pic xmlns:pic="http://schemas.openxmlformats.org/drawingml/2006/picture">
                        <pic:nvPicPr>
                          <pic:cNvPr id="112" name="图片_5"/>
                          <pic:cNvPicPr/>
                        </pic:nvPicPr>
                        <pic:blipFill>
                          <a:blip r:embed="rId21"/>
                          <a:stretch>
                            <a:fillRect/>
                          </a:stretch>
                        </pic:blipFill>
                        <pic:spPr>
                          <a:xfrm>
                            <a:off x="0" y="0"/>
                            <a:ext cx="2383155" cy="883285"/>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300605" cy="563245"/>
                  <wp:effectExtent l="0" t="0" r="4445" b="8255"/>
                  <wp:docPr id="132" name="图片_6"/>
                  <wp:cNvGraphicFramePr/>
                  <a:graphic xmlns:a="http://schemas.openxmlformats.org/drawingml/2006/main">
                    <a:graphicData uri="http://schemas.openxmlformats.org/drawingml/2006/picture">
                      <pic:pic xmlns:pic="http://schemas.openxmlformats.org/drawingml/2006/picture">
                        <pic:nvPicPr>
                          <pic:cNvPr id="132" name="图片_6"/>
                          <pic:cNvPicPr/>
                        </pic:nvPicPr>
                        <pic:blipFill>
                          <a:blip r:embed="rId22"/>
                          <a:stretch>
                            <a:fillRect/>
                          </a:stretch>
                        </pic:blipFill>
                        <pic:spPr>
                          <a:xfrm>
                            <a:off x="0" y="0"/>
                            <a:ext cx="2300605" cy="563245"/>
                          </a:xfrm>
                          <a:prstGeom prst="rect">
                            <a:avLst/>
                          </a:prstGeom>
                          <a:noFill/>
                          <a:ln>
                            <a:noFill/>
                          </a:ln>
                        </pic:spPr>
                      </pic:pic>
                    </a:graphicData>
                  </a:graphic>
                </wp:inline>
              </w:drawing>
            </w:r>
          </w:p>
        </w:tc>
      </w:tr>
      <w:tr w14:paraId="6B5E9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F9E7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1158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A型护栏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AE7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441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F7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105.97</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12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328545" cy="1583690"/>
                  <wp:effectExtent l="0" t="0" r="14605" b="16510"/>
                  <wp:docPr id="113" name="图片_20"/>
                  <wp:cNvGraphicFramePr/>
                  <a:graphic xmlns:a="http://schemas.openxmlformats.org/drawingml/2006/main">
                    <a:graphicData uri="http://schemas.openxmlformats.org/drawingml/2006/picture">
                      <pic:pic xmlns:pic="http://schemas.openxmlformats.org/drawingml/2006/picture">
                        <pic:nvPicPr>
                          <pic:cNvPr id="113" name="图片_20"/>
                          <pic:cNvPicPr/>
                        </pic:nvPicPr>
                        <pic:blipFill>
                          <a:blip r:embed="rId23"/>
                          <a:stretch>
                            <a:fillRect/>
                          </a:stretch>
                        </pic:blipFill>
                        <pic:spPr>
                          <a:xfrm>
                            <a:off x="0" y="0"/>
                            <a:ext cx="2328545" cy="1583690"/>
                          </a:xfrm>
                          <a:prstGeom prst="rect">
                            <a:avLst/>
                          </a:prstGeom>
                          <a:noFill/>
                          <a:ln>
                            <a:noFill/>
                          </a:ln>
                        </pic:spPr>
                      </pic:pic>
                    </a:graphicData>
                  </a:graphic>
                </wp:inline>
              </w:drawing>
            </w:r>
          </w:p>
        </w:tc>
      </w:tr>
      <w:tr w14:paraId="3CAFA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EDC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2DCA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B型立柱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40F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69D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7ED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121.10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2D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62150" cy="1398905"/>
                  <wp:effectExtent l="0" t="0" r="0" b="10795"/>
                  <wp:docPr id="131" name="图片_7"/>
                  <wp:cNvGraphicFramePr/>
                  <a:graphic xmlns:a="http://schemas.openxmlformats.org/drawingml/2006/main">
                    <a:graphicData uri="http://schemas.openxmlformats.org/drawingml/2006/picture">
                      <pic:pic xmlns:pic="http://schemas.openxmlformats.org/drawingml/2006/picture">
                        <pic:nvPicPr>
                          <pic:cNvPr id="131" name="图片_7"/>
                          <pic:cNvPicPr/>
                        </pic:nvPicPr>
                        <pic:blipFill>
                          <a:blip r:embed="rId24"/>
                          <a:stretch>
                            <a:fillRect/>
                          </a:stretch>
                        </pic:blipFill>
                        <pic:spPr>
                          <a:xfrm>
                            <a:off x="0" y="0"/>
                            <a:ext cx="1962150" cy="1398905"/>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70915" cy="1086485"/>
                  <wp:effectExtent l="0" t="0" r="635" b="18415"/>
                  <wp:docPr id="118" name="图片_8"/>
                  <wp:cNvGraphicFramePr/>
                  <a:graphic xmlns:a="http://schemas.openxmlformats.org/drawingml/2006/main">
                    <a:graphicData uri="http://schemas.openxmlformats.org/drawingml/2006/picture">
                      <pic:pic xmlns:pic="http://schemas.openxmlformats.org/drawingml/2006/picture">
                        <pic:nvPicPr>
                          <pic:cNvPr id="118" name="图片_8"/>
                          <pic:cNvPicPr/>
                        </pic:nvPicPr>
                        <pic:blipFill>
                          <a:blip r:embed="rId25"/>
                          <a:stretch>
                            <a:fillRect/>
                          </a:stretch>
                        </pic:blipFill>
                        <pic:spPr>
                          <a:xfrm>
                            <a:off x="0" y="0"/>
                            <a:ext cx="970915" cy="1086485"/>
                          </a:xfrm>
                          <a:prstGeom prst="rect">
                            <a:avLst/>
                          </a:prstGeom>
                          <a:noFill/>
                          <a:ln>
                            <a:noFill/>
                          </a:ln>
                        </pic:spPr>
                      </pic:pic>
                    </a:graphicData>
                  </a:graphic>
                </wp:inline>
              </w:drawing>
            </w:r>
          </w:p>
        </w:tc>
      </w:tr>
      <w:tr w14:paraId="024E8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ACB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48B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B型护栏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CA2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2D4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47B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110.09</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6E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363470" cy="935355"/>
                  <wp:effectExtent l="0" t="0" r="17780" b="17145"/>
                  <wp:docPr id="102" name="图片_9"/>
                  <wp:cNvGraphicFramePr/>
                  <a:graphic xmlns:a="http://schemas.openxmlformats.org/drawingml/2006/main">
                    <a:graphicData uri="http://schemas.openxmlformats.org/drawingml/2006/picture">
                      <pic:pic xmlns:pic="http://schemas.openxmlformats.org/drawingml/2006/picture">
                        <pic:nvPicPr>
                          <pic:cNvPr id="102" name="图片_9"/>
                          <pic:cNvPicPr/>
                        </pic:nvPicPr>
                        <pic:blipFill>
                          <a:blip r:embed="rId26"/>
                          <a:stretch>
                            <a:fillRect/>
                          </a:stretch>
                        </pic:blipFill>
                        <pic:spPr>
                          <a:xfrm>
                            <a:off x="0" y="0"/>
                            <a:ext cx="2363470" cy="935355"/>
                          </a:xfrm>
                          <a:prstGeom prst="rect">
                            <a:avLst/>
                          </a:prstGeom>
                          <a:noFill/>
                          <a:ln>
                            <a:noFill/>
                          </a:ln>
                        </pic:spPr>
                      </pic:pic>
                    </a:graphicData>
                  </a:graphic>
                </wp:inline>
              </w:drawing>
            </w:r>
          </w:p>
        </w:tc>
      </w:tr>
      <w:tr w14:paraId="2FB17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A93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98BA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B型护栏(含立柱)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7AB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677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7B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170.64</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D80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409825" cy="993775"/>
                  <wp:effectExtent l="0" t="0" r="9525" b="15875"/>
                  <wp:docPr id="103" name="图片_10"/>
                  <wp:cNvGraphicFramePr/>
                  <a:graphic xmlns:a="http://schemas.openxmlformats.org/drawingml/2006/main">
                    <a:graphicData uri="http://schemas.openxmlformats.org/drawingml/2006/picture">
                      <pic:pic xmlns:pic="http://schemas.openxmlformats.org/drawingml/2006/picture">
                        <pic:nvPicPr>
                          <pic:cNvPr id="103" name="图片_10"/>
                          <pic:cNvPicPr/>
                        </pic:nvPicPr>
                        <pic:blipFill>
                          <a:blip r:embed="rId27"/>
                          <a:stretch>
                            <a:fillRect/>
                          </a:stretch>
                        </pic:blipFill>
                        <pic:spPr>
                          <a:xfrm>
                            <a:off x="0" y="0"/>
                            <a:ext cx="2409825" cy="993775"/>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306320" cy="680085"/>
                  <wp:effectExtent l="0" t="0" r="17780" b="5715"/>
                  <wp:docPr id="101" name="图片_11"/>
                  <wp:cNvGraphicFramePr/>
                  <a:graphic xmlns:a="http://schemas.openxmlformats.org/drawingml/2006/main">
                    <a:graphicData uri="http://schemas.openxmlformats.org/drawingml/2006/picture">
                      <pic:pic xmlns:pic="http://schemas.openxmlformats.org/drawingml/2006/picture">
                        <pic:nvPicPr>
                          <pic:cNvPr id="101" name="图片_11"/>
                          <pic:cNvPicPr/>
                        </pic:nvPicPr>
                        <pic:blipFill>
                          <a:blip r:embed="rId28"/>
                          <a:stretch>
                            <a:fillRect/>
                          </a:stretch>
                        </pic:blipFill>
                        <pic:spPr>
                          <a:xfrm>
                            <a:off x="0" y="0"/>
                            <a:ext cx="2306320" cy="680085"/>
                          </a:xfrm>
                          <a:prstGeom prst="rect">
                            <a:avLst/>
                          </a:prstGeom>
                          <a:noFill/>
                          <a:ln>
                            <a:noFill/>
                          </a:ln>
                        </pic:spPr>
                      </pic:pic>
                    </a:graphicData>
                  </a:graphic>
                </wp:inline>
              </w:drawing>
            </w:r>
          </w:p>
        </w:tc>
      </w:tr>
      <w:tr w14:paraId="7502A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2"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285F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43F5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新款塑钢立柱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B18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C0D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F34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110.09</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A4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751965" cy="1152525"/>
                  <wp:effectExtent l="0" t="0" r="635" b="9525"/>
                  <wp:docPr id="114" name="图片_12"/>
                  <wp:cNvGraphicFramePr/>
                  <a:graphic xmlns:a="http://schemas.openxmlformats.org/drawingml/2006/main">
                    <a:graphicData uri="http://schemas.openxmlformats.org/drawingml/2006/picture">
                      <pic:pic xmlns:pic="http://schemas.openxmlformats.org/drawingml/2006/picture">
                        <pic:nvPicPr>
                          <pic:cNvPr id="114" name="图片_12"/>
                          <pic:cNvPicPr/>
                        </pic:nvPicPr>
                        <pic:blipFill>
                          <a:blip r:embed="rId29"/>
                          <a:stretch>
                            <a:fillRect/>
                          </a:stretch>
                        </pic:blipFill>
                        <pic:spPr>
                          <a:xfrm>
                            <a:off x="0" y="0"/>
                            <a:ext cx="1751965" cy="1152525"/>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073785" cy="1203960"/>
                  <wp:effectExtent l="0" t="0" r="12065" b="15240"/>
                  <wp:docPr id="115" name="图片_13"/>
                  <wp:cNvGraphicFramePr/>
                  <a:graphic xmlns:a="http://schemas.openxmlformats.org/drawingml/2006/main">
                    <a:graphicData uri="http://schemas.openxmlformats.org/drawingml/2006/picture">
                      <pic:pic xmlns:pic="http://schemas.openxmlformats.org/drawingml/2006/picture">
                        <pic:nvPicPr>
                          <pic:cNvPr id="115" name="图片_13"/>
                          <pic:cNvPicPr/>
                        </pic:nvPicPr>
                        <pic:blipFill>
                          <a:blip r:embed="rId30"/>
                          <a:stretch>
                            <a:fillRect/>
                          </a:stretch>
                        </pic:blipFill>
                        <pic:spPr>
                          <a:xfrm>
                            <a:off x="0" y="0"/>
                            <a:ext cx="1073785" cy="1203960"/>
                          </a:xfrm>
                          <a:prstGeom prst="rect">
                            <a:avLst/>
                          </a:prstGeom>
                          <a:noFill/>
                          <a:ln>
                            <a:noFill/>
                          </a:ln>
                        </pic:spPr>
                      </pic:pic>
                    </a:graphicData>
                  </a:graphic>
                </wp:inline>
              </w:drawing>
            </w:r>
          </w:p>
        </w:tc>
      </w:tr>
      <w:tr w14:paraId="0FE14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2"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6EF3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9</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6FF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新款塑钢护栏（导向牌）</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E70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87A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39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99.08</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49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134870" cy="999490"/>
                  <wp:effectExtent l="0" t="0" r="17780" b="10160"/>
                  <wp:docPr id="105" name="图片_14"/>
                  <wp:cNvGraphicFramePr/>
                  <a:graphic xmlns:a="http://schemas.openxmlformats.org/drawingml/2006/main">
                    <a:graphicData uri="http://schemas.openxmlformats.org/drawingml/2006/picture">
                      <pic:pic xmlns:pic="http://schemas.openxmlformats.org/drawingml/2006/picture">
                        <pic:nvPicPr>
                          <pic:cNvPr id="105" name="图片_14"/>
                          <pic:cNvPicPr/>
                        </pic:nvPicPr>
                        <pic:blipFill>
                          <a:blip r:embed="rId31"/>
                          <a:stretch>
                            <a:fillRect/>
                          </a:stretch>
                        </pic:blipFill>
                        <pic:spPr>
                          <a:xfrm>
                            <a:off x="0" y="0"/>
                            <a:ext cx="2134870" cy="999490"/>
                          </a:xfrm>
                          <a:prstGeom prst="rect">
                            <a:avLst/>
                          </a:prstGeom>
                          <a:noFill/>
                          <a:ln>
                            <a:noFill/>
                          </a:ln>
                        </pic:spPr>
                      </pic:pic>
                    </a:graphicData>
                  </a:graphic>
                </wp:inline>
              </w:drawing>
            </w:r>
          </w:p>
        </w:tc>
      </w:tr>
      <w:tr w14:paraId="1C718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2"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4A78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26D9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导向牌面板</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884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21A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58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170.64</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F9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029460" cy="960755"/>
                  <wp:effectExtent l="0" t="0" r="8890" b="10795"/>
                  <wp:docPr id="121" name="图片_15"/>
                  <wp:cNvGraphicFramePr/>
                  <a:graphic xmlns:a="http://schemas.openxmlformats.org/drawingml/2006/main">
                    <a:graphicData uri="http://schemas.openxmlformats.org/drawingml/2006/picture">
                      <pic:pic xmlns:pic="http://schemas.openxmlformats.org/drawingml/2006/picture">
                        <pic:nvPicPr>
                          <pic:cNvPr id="121" name="图片_15"/>
                          <pic:cNvPicPr/>
                        </pic:nvPicPr>
                        <pic:blipFill>
                          <a:blip r:embed="rId32"/>
                          <a:stretch>
                            <a:fillRect/>
                          </a:stretch>
                        </pic:blipFill>
                        <pic:spPr>
                          <a:xfrm>
                            <a:off x="0" y="0"/>
                            <a:ext cx="2029460" cy="960755"/>
                          </a:xfrm>
                          <a:prstGeom prst="rect">
                            <a:avLst/>
                          </a:prstGeom>
                          <a:noFill/>
                          <a:ln>
                            <a:noFill/>
                          </a:ln>
                        </pic:spPr>
                      </pic:pic>
                    </a:graphicData>
                  </a:graphic>
                </wp:inline>
              </w:drawing>
            </w:r>
          </w:p>
        </w:tc>
      </w:tr>
      <w:tr w14:paraId="06AA0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3C7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11</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42B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新款塑钢立柱顶帽</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6AE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863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BC7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44.04</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3F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153285" cy="895350"/>
                  <wp:effectExtent l="0" t="0" r="18415" b="0"/>
                  <wp:docPr id="116" name="图片_16"/>
                  <wp:cNvGraphicFramePr/>
                  <a:graphic xmlns:a="http://schemas.openxmlformats.org/drawingml/2006/main">
                    <a:graphicData uri="http://schemas.openxmlformats.org/drawingml/2006/picture">
                      <pic:pic xmlns:pic="http://schemas.openxmlformats.org/drawingml/2006/picture">
                        <pic:nvPicPr>
                          <pic:cNvPr id="116" name="图片_16"/>
                          <pic:cNvPicPr/>
                        </pic:nvPicPr>
                        <pic:blipFill>
                          <a:blip r:embed="rId33"/>
                          <a:stretch>
                            <a:fillRect/>
                          </a:stretch>
                        </pic:blipFill>
                        <pic:spPr>
                          <a:xfrm>
                            <a:off x="0" y="0"/>
                            <a:ext cx="2153285" cy="89535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258570" cy="1097280"/>
                  <wp:effectExtent l="0" t="0" r="17780" b="7620"/>
                  <wp:docPr id="111" name="图片_3"/>
                  <wp:cNvGraphicFramePr/>
                  <a:graphic xmlns:a="http://schemas.openxmlformats.org/drawingml/2006/main">
                    <a:graphicData uri="http://schemas.openxmlformats.org/drawingml/2006/picture">
                      <pic:pic xmlns:pic="http://schemas.openxmlformats.org/drawingml/2006/picture">
                        <pic:nvPicPr>
                          <pic:cNvPr id="111" name="图片_3"/>
                          <pic:cNvPicPr/>
                        </pic:nvPicPr>
                        <pic:blipFill>
                          <a:blip r:embed="rId34"/>
                          <a:stretch>
                            <a:fillRect/>
                          </a:stretch>
                        </pic:blipFill>
                        <pic:spPr>
                          <a:xfrm>
                            <a:off x="0" y="0"/>
                            <a:ext cx="1258570" cy="1097280"/>
                          </a:xfrm>
                          <a:prstGeom prst="rect">
                            <a:avLst/>
                          </a:prstGeom>
                          <a:noFill/>
                          <a:ln>
                            <a:noFill/>
                          </a:ln>
                        </pic:spPr>
                      </pic:pic>
                    </a:graphicData>
                  </a:graphic>
                </wp:inline>
              </w:drawing>
            </w:r>
          </w:p>
        </w:tc>
      </w:tr>
      <w:tr w14:paraId="2342E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A48B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488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交通导向牌(含护栏)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9BB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6BF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A6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341.40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A4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153285" cy="795020"/>
                  <wp:effectExtent l="0" t="0" r="18415" b="5080"/>
                  <wp:docPr id="122" name="图片_17"/>
                  <wp:cNvGraphicFramePr/>
                  <a:graphic xmlns:a="http://schemas.openxmlformats.org/drawingml/2006/main">
                    <a:graphicData uri="http://schemas.openxmlformats.org/drawingml/2006/picture">
                      <pic:pic xmlns:pic="http://schemas.openxmlformats.org/drawingml/2006/picture">
                        <pic:nvPicPr>
                          <pic:cNvPr id="122" name="图片_17"/>
                          <pic:cNvPicPr/>
                        </pic:nvPicPr>
                        <pic:blipFill>
                          <a:blip r:embed="rId35"/>
                          <a:stretch>
                            <a:fillRect/>
                          </a:stretch>
                        </pic:blipFill>
                        <pic:spPr>
                          <a:xfrm>
                            <a:off x="0" y="0"/>
                            <a:ext cx="2153285" cy="795020"/>
                          </a:xfrm>
                          <a:prstGeom prst="rect">
                            <a:avLst/>
                          </a:prstGeom>
                          <a:noFill/>
                          <a:ln>
                            <a:noFill/>
                          </a:ln>
                        </pic:spPr>
                      </pic:pic>
                    </a:graphicData>
                  </a:graphic>
                </wp:inline>
              </w:drawing>
            </w:r>
          </w:p>
        </w:tc>
      </w:tr>
      <w:tr w14:paraId="3EC39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E3C2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E91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新款塑钢立柱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98C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E55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10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121.10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29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771650" cy="1184910"/>
                  <wp:effectExtent l="0" t="0" r="0" b="15240"/>
                  <wp:docPr id="129" name="图片_18"/>
                  <wp:cNvGraphicFramePr/>
                  <a:graphic xmlns:a="http://schemas.openxmlformats.org/drawingml/2006/main">
                    <a:graphicData uri="http://schemas.openxmlformats.org/drawingml/2006/picture">
                      <pic:pic xmlns:pic="http://schemas.openxmlformats.org/drawingml/2006/picture">
                        <pic:nvPicPr>
                          <pic:cNvPr id="129" name="图片_18"/>
                          <pic:cNvPicPr/>
                        </pic:nvPicPr>
                        <pic:blipFill>
                          <a:blip r:embed="rId36"/>
                          <a:stretch>
                            <a:fillRect/>
                          </a:stretch>
                        </pic:blipFill>
                        <pic:spPr>
                          <a:xfrm>
                            <a:off x="0" y="0"/>
                            <a:ext cx="1771650" cy="118491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134110" cy="1300480"/>
                  <wp:effectExtent l="0" t="0" r="8890" b="13970"/>
                  <wp:docPr id="123" name="图片_34"/>
                  <wp:cNvGraphicFramePr/>
                  <a:graphic xmlns:a="http://schemas.openxmlformats.org/drawingml/2006/main">
                    <a:graphicData uri="http://schemas.openxmlformats.org/drawingml/2006/picture">
                      <pic:pic xmlns:pic="http://schemas.openxmlformats.org/drawingml/2006/picture">
                        <pic:nvPicPr>
                          <pic:cNvPr id="123" name="图片_34"/>
                          <pic:cNvPicPr/>
                        </pic:nvPicPr>
                        <pic:blipFill>
                          <a:blip r:embed="rId37"/>
                          <a:stretch>
                            <a:fillRect/>
                          </a:stretch>
                        </pic:blipFill>
                        <pic:spPr>
                          <a:xfrm>
                            <a:off x="0" y="0"/>
                            <a:ext cx="1134110" cy="1300480"/>
                          </a:xfrm>
                          <a:prstGeom prst="rect">
                            <a:avLst/>
                          </a:prstGeom>
                          <a:noFill/>
                          <a:ln>
                            <a:noFill/>
                          </a:ln>
                        </pic:spPr>
                      </pic:pic>
                    </a:graphicData>
                  </a:graphic>
                </wp:inline>
              </w:drawing>
            </w:r>
          </w:p>
        </w:tc>
      </w:tr>
      <w:tr w14:paraId="68C0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9EE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14</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B09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新款塑钢护栏（导向牌）</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3E0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E3D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2C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110.09</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B8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381885" cy="1130300"/>
                  <wp:effectExtent l="0" t="0" r="18415" b="12700"/>
                  <wp:docPr id="100" name="图片_19"/>
                  <wp:cNvGraphicFramePr/>
                  <a:graphic xmlns:a="http://schemas.openxmlformats.org/drawingml/2006/main">
                    <a:graphicData uri="http://schemas.openxmlformats.org/drawingml/2006/picture">
                      <pic:pic xmlns:pic="http://schemas.openxmlformats.org/drawingml/2006/picture">
                        <pic:nvPicPr>
                          <pic:cNvPr id="100" name="图片_19"/>
                          <pic:cNvPicPr/>
                        </pic:nvPicPr>
                        <pic:blipFill>
                          <a:blip r:embed="rId38"/>
                          <a:stretch>
                            <a:fillRect/>
                          </a:stretch>
                        </pic:blipFill>
                        <pic:spPr>
                          <a:xfrm>
                            <a:off x="0" y="0"/>
                            <a:ext cx="2381885" cy="1130300"/>
                          </a:xfrm>
                          <a:prstGeom prst="rect">
                            <a:avLst/>
                          </a:prstGeom>
                          <a:noFill/>
                          <a:ln>
                            <a:noFill/>
                          </a:ln>
                        </pic:spPr>
                      </pic:pic>
                    </a:graphicData>
                  </a:graphic>
                </wp:inline>
              </w:drawing>
            </w:r>
          </w:p>
        </w:tc>
      </w:tr>
      <w:tr w14:paraId="19CF8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29B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2E1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导向牌面板</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378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B9C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块</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B49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174.00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01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454910" cy="838200"/>
                  <wp:effectExtent l="0" t="0" r="2540" b="0"/>
                  <wp:docPr id="124" name="图片_21"/>
                  <wp:cNvGraphicFramePr/>
                  <a:graphic xmlns:a="http://schemas.openxmlformats.org/drawingml/2006/main">
                    <a:graphicData uri="http://schemas.openxmlformats.org/drawingml/2006/picture">
                      <pic:pic xmlns:pic="http://schemas.openxmlformats.org/drawingml/2006/picture">
                        <pic:nvPicPr>
                          <pic:cNvPr id="124" name="图片_21"/>
                          <pic:cNvPicPr/>
                        </pic:nvPicPr>
                        <pic:blipFill>
                          <a:blip r:embed="rId39"/>
                          <a:stretch>
                            <a:fillRect/>
                          </a:stretch>
                        </pic:blipFill>
                        <pic:spPr>
                          <a:xfrm>
                            <a:off x="0" y="0"/>
                            <a:ext cx="2454910" cy="838200"/>
                          </a:xfrm>
                          <a:prstGeom prst="rect">
                            <a:avLst/>
                          </a:prstGeom>
                          <a:noFill/>
                          <a:ln>
                            <a:noFill/>
                          </a:ln>
                        </pic:spPr>
                      </pic:pic>
                    </a:graphicData>
                  </a:graphic>
                </wp:inline>
              </w:drawing>
            </w:r>
          </w:p>
        </w:tc>
      </w:tr>
      <w:tr w14:paraId="1A004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6621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6D4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新款塑钢立柱顶帽</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12C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260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37C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44.04</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EE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409700" cy="1967865"/>
                  <wp:effectExtent l="0" t="0" r="0" b="13335"/>
                  <wp:docPr id="130" name="图片_22"/>
                  <wp:cNvGraphicFramePr/>
                  <a:graphic xmlns:a="http://schemas.openxmlformats.org/drawingml/2006/main">
                    <a:graphicData uri="http://schemas.openxmlformats.org/drawingml/2006/picture">
                      <pic:pic xmlns:pic="http://schemas.openxmlformats.org/drawingml/2006/picture">
                        <pic:nvPicPr>
                          <pic:cNvPr id="130" name="图片_22"/>
                          <pic:cNvPicPr/>
                        </pic:nvPicPr>
                        <pic:blipFill>
                          <a:blip r:embed="rId40"/>
                          <a:stretch>
                            <a:fillRect/>
                          </a:stretch>
                        </pic:blipFill>
                        <pic:spPr>
                          <a:xfrm>
                            <a:off x="0" y="0"/>
                            <a:ext cx="1409700" cy="1967865"/>
                          </a:xfrm>
                          <a:prstGeom prst="rect">
                            <a:avLst/>
                          </a:prstGeom>
                          <a:noFill/>
                          <a:ln>
                            <a:noFill/>
                          </a:ln>
                        </pic:spPr>
                      </pic:pic>
                    </a:graphicData>
                  </a:graphic>
                </wp:inline>
              </w:drawing>
            </w:r>
          </w:p>
        </w:tc>
      </w:tr>
      <w:tr w14:paraId="79724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5D2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17</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9BB6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交通导向牌(含护栏)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F2A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7F0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FB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341.40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CAA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157095" cy="946150"/>
                  <wp:effectExtent l="0" t="0" r="14605" b="6350"/>
                  <wp:docPr id="125" name="图片_23"/>
                  <wp:cNvGraphicFramePr/>
                  <a:graphic xmlns:a="http://schemas.openxmlformats.org/drawingml/2006/main">
                    <a:graphicData uri="http://schemas.openxmlformats.org/drawingml/2006/picture">
                      <pic:pic xmlns:pic="http://schemas.openxmlformats.org/drawingml/2006/picture">
                        <pic:nvPicPr>
                          <pic:cNvPr id="125" name="图片_23"/>
                          <pic:cNvPicPr/>
                        </pic:nvPicPr>
                        <pic:blipFill>
                          <a:blip r:embed="rId41"/>
                          <a:stretch>
                            <a:fillRect/>
                          </a:stretch>
                        </pic:blipFill>
                        <pic:spPr>
                          <a:xfrm>
                            <a:off x="0" y="0"/>
                            <a:ext cx="2157095" cy="946150"/>
                          </a:xfrm>
                          <a:prstGeom prst="rect">
                            <a:avLst/>
                          </a:prstGeom>
                          <a:noFill/>
                          <a:ln>
                            <a:noFill/>
                          </a:ln>
                        </pic:spPr>
                      </pic:pic>
                    </a:graphicData>
                  </a:graphic>
                </wp:inline>
              </w:drawing>
            </w:r>
          </w:p>
        </w:tc>
      </w:tr>
      <w:tr w14:paraId="40D7B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4D0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18</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222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端头反光柱</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(右侧通行、机动车通行)</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E5F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F56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513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330.00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BA3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597025" cy="1423670"/>
                  <wp:effectExtent l="0" t="0" r="3175" b="5080"/>
                  <wp:docPr id="127" name="图片_24"/>
                  <wp:cNvGraphicFramePr/>
                  <a:graphic xmlns:a="http://schemas.openxmlformats.org/drawingml/2006/main">
                    <a:graphicData uri="http://schemas.openxmlformats.org/drawingml/2006/picture">
                      <pic:pic xmlns:pic="http://schemas.openxmlformats.org/drawingml/2006/picture">
                        <pic:nvPicPr>
                          <pic:cNvPr id="127" name="图片_24"/>
                          <pic:cNvPicPr/>
                        </pic:nvPicPr>
                        <pic:blipFill>
                          <a:blip r:embed="rId42"/>
                          <a:stretch>
                            <a:fillRect/>
                          </a:stretch>
                        </pic:blipFill>
                        <pic:spPr>
                          <a:xfrm>
                            <a:off x="0" y="0"/>
                            <a:ext cx="1597025" cy="1423670"/>
                          </a:xfrm>
                          <a:prstGeom prst="rect">
                            <a:avLst/>
                          </a:prstGeom>
                          <a:noFill/>
                          <a:ln>
                            <a:noFill/>
                          </a:ln>
                        </pic:spPr>
                      </pic:pic>
                    </a:graphicData>
                  </a:graphic>
                </wp:inline>
              </w:drawing>
            </w:r>
          </w:p>
        </w:tc>
      </w:tr>
      <w:tr w14:paraId="3F360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6851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19</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FAD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太阳能自发光端头导向牌</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(中心护栏)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170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A53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DE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477.60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AF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026285" cy="2651760"/>
                  <wp:effectExtent l="0" t="0" r="12065" b="15240"/>
                  <wp:docPr id="107" name="图片_25"/>
                  <wp:cNvGraphicFramePr/>
                  <a:graphic xmlns:a="http://schemas.openxmlformats.org/drawingml/2006/main">
                    <a:graphicData uri="http://schemas.openxmlformats.org/drawingml/2006/picture">
                      <pic:pic xmlns:pic="http://schemas.openxmlformats.org/drawingml/2006/picture">
                        <pic:nvPicPr>
                          <pic:cNvPr id="107" name="图片_25"/>
                          <pic:cNvPicPr/>
                        </pic:nvPicPr>
                        <pic:blipFill>
                          <a:blip r:embed="rId43"/>
                          <a:stretch>
                            <a:fillRect/>
                          </a:stretch>
                        </pic:blipFill>
                        <pic:spPr>
                          <a:xfrm>
                            <a:off x="0" y="0"/>
                            <a:ext cx="2026285" cy="2651760"/>
                          </a:xfrm>
                          <a:prstGeom prst="rect">
                            <a:avLst/>
                          </a:prstGeom>
                          <a:noFill/>
                          <a:ln>
                            <a:noFill/>
                          </a:ln>
                        </pic:spPr>
                      </pic:pic>
                    </a:graphicData>
                  </a:graphic>
                </wp:inline>
              </w:drawing>
            </w:r>
          </w:p>
        </w:tc>
      </w:tr>
      <w:tr w14:paraId="47257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4AA7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13F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120型太阳能自发光护栏立杆</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00A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F7D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45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210.00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EB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338705" cy="2023110"/>
                  <wp:effectExtent l="0" t="0" r="4445" b="15240"/>
                  <wp:docPr id="108" name="图片_26"/>
                  <wp:cNvGraphicFramePr/>
                  <a:graphic xmlns:a="http://schemas.openxmlformats.org/drawingml/2006/main">
                    <a:graphicData uri="http://schemas.openxmlformats.org/drawingml/2006/picture">
                      <pic:pic xmlns:pic="http://schemas.openxmlformats.org/drawingml/2006/picture">
                        <pic:nvPicPr>
                          <pic:cNvPr id="108" name="图片_26"/>
                          <pic:cNvPicPr/>
                        </pic:nvPicPr>
                        <pic:blipFill>
                          <a:blip r:embed="rId44"/>
                          <a:stretch>
                            <a:fillRect/>
                          </a:stretch>
                        </pic:blipFill>
                        <pic:spPr>
                          <a:xfrm>
                            <a:off x="0" y="0"/>
                            <a:ext cx="2338705" cy="2023110"/>
                          </a:xfrm>
                          <a:prstGeom prst="rect">
                            <a:avLst/>
                          </a:prstGeom>
                          <a:noFill/>
                          <a:ln>
                            <a:noFill/>
                          </a:ln>
                        </pic:spPr>
                      </pic:pic>
                    </a:graphicData>
                  </a:graphic>
                </wp:inline>
              </w:drawing>
            </w:r>
          </w:p>
        </w:tc>
      </w:tr>
      <w:tr w14:paraId="1A9BE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C864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21</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D01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N型中心护栏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F146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详见附件：图纸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F92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CE9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209.47</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5CE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292985" cy="1173480"/>
                  <wp:effectExtent l="0" t="0" r="12065" b="7620"/>
                  <wp:docPr id="138" name="图片_27"/>
                  <wp:cNvGraphicFramePr/>
                  <a:graphic xmlns:a="http://schemas.openxmlformats.org/drawingml/2006/main">
                    <a:graphicData uri="http://schemas.openxmlformats.org/drawingml/2006/picture">
                      <pic:pic xmlns:pic="http://schemas.openxmlformats.org/drawingml/2006/picture">
                        <pic:nvPicPr>
                          <pic:cNvPr id="138" name="图片_27"/>
                          <pic:cNvPicPr/>
                        </pic:nvPicPr>
                        <pic:blipFill>
                          <a:blip r:embed="rId45"/>
                          <a:stretch>
                            <a:fillRect/>
                          </a:stretch>
                        </pic:blipFill>
                        <pic:spPr>
                          <a:xfrm>
                            <a:off x="0" y="0"/>
                            <a:ext cx="2292985" cy="1173480"/>
                          </a:xfrm>
                          <a:prstGeom prst="rect">
                            <a:avLst/>
                          </a:prstGeom>
                          <a:noFill/>
                          <a:ln>
                            <a:noFill/>
                          </a:ln>
                        </pic:spPr>
                      </pic:pic>
                    </a:graphicData>
                  </a:graphic>
                </wp:inline>
              </w:drawing>
            </w:r>
          </w:p>
        </w:tc>
      </w:tr>
      <w:tr w14:paraId="4B0D0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80D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22</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1910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N型机非护栏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FE9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详见附件：图纸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2C8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F46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187.45</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CD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332355" cy="1090930"/>
                  <wp:effectExtent l="0" t="0" r="10795" b="13970"/>
                  <wp:docPr id="134" name="图片_28"/>
                  <wp:cNvGraphicFramePr/>
                  <a:graphic xmlns:a="http://schemas.openxmlformats.org/drawingml/2006/main">
                    <a:graphicData uri="http://schemas.openxmlformats.org/drawingml/2006/picture">
                      <pic:pic xmlns:pic="http://schemas.openxmlformats.org/drawingml/2006/picture">
                        <pic:nvPicPr>
                          <pic:cNvPr id="134" name="图片_28"/>
                          <pic:cNvPicPr/>
                        </pic:nvPicPr>
                        <pic:blipFill>
                          <a:blip r:embed="rId46"/>
                          <a:stretch>
                            <a:fillRect/>
                          </a:stretch>
                        </pic:blipFill>
                        <pic:spPr>
                          <a:xfrm>
                            <a:off x="0" y="0"/>
                            <a:ext cx="2332355" cy="1090930"/>
                          </a:xfrm>
                          <a:prstGeom prst="rect">
                            <a:avLst/>
                          </a:prstGeom>
                          <a:noFill/>
                          <a:ln>
                            <a:noFill/>
                          </a:ln>
                        </pic:spPr>
                      </pic:pic>
                    </a:graphicData>
                  </a:graphic>
                </wp:inline>
              </w:drawing>
            </w:r>
          </w:p>
        </w:tc>
      </w:tr>
      <w:tr w14:paraId="07BC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B46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B30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护栏立柱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27E8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打桩型立柱，长1.8米</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BAE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根</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F7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231.80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0FB4">
            <w:pPr>
              <w:jc w:val="center"/>
              <w:rPr>
                <w:rFonts w:hint="eastAsia" w:ascii="宋体" w:hAnsi="宋体" w:eastAsia="宋体" w:cs="宋体"/>
                <w:i w:val="0"/>
                <w:iCs w:val="0"/>
                <w:color w:val="auto"/>
                <w:sz w:val="22"/>
                <w:szCs w:val="22"/>
                <w:highlight w:val="none"/>
                <w:u w:val="none"/>
              </w:rPr>
            </w:pPr>
          </w:p>
        </w:tc>
      </w:tr>
      <w:tr w14:paraId="71435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43AC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24</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05ED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护栏立柱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D2D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预埋型立柱，长1.2米</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273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根</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1BB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192.53</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7A3D9">
            <w:pPr>
              <w:jc w:val="center"/>
              <w:rPr>
                <w:rFonts w:hint="eastAsia" w:ascii="宋体" w:hAnsi="宋体" w:eastAsia="宋体" w:cs="宋体"/>
                <w:i w:val="0"/>
                <w:iCs w:val="0"/>
                <w:color w:val="auto"/>
                <w:sz w:val="22"/>
                <w:szCs w:val="22"/>
                <w:highlight w:val="none"/>
                <w:u w:val="none"/>
              </w:rPr>
            </w:pPr>
          </w:p>
        </w:tc>
      </w:tr>
      <w:tr w14:paraId="19EAE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9AE9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700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防撞护栏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F55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430*4320*3.15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48B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AE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329.69</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09A8">
            <w:pPr>
              <w:jc w:val="center"/>
              <w:rPr>
                <w:rFonts w:hint="eastAsia" w:ascii="宋体" w:hAnsi="宋体" w:eastAsia="宋体" w:cs="宋体"/>
                <w:i w:val="0"/>
                <w:iCs w:val="0"/>
                <w:color w:val="auto"/>
                <w:sz w:val="22"/>
                <w:szCs w:val="22"/>
                <w:highlight w:val="none"/>
                <w:u w:val="none"/>
              </w:rPr>
            </w:pPr>
          </w:p>
        </w:tc>
      </w:tr>
      <w:tr w14:paraId="1D10F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6434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26</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692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护栏端头</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EA0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匹配防撞护栏</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尺寸：500×700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厚度2.5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991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509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324.03</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9AD8C">
            <w:pPr>
              <w:jc w:val="center"/>
              <w:rPr>
                <w:rFonts w:hint="eastAsia" w:ascii="宋体" w:hAnsi="宋体" w:eastAsia="宋体" w:cs="宋体"/>
                <w:i w:val="0"/>
                <w:iCs w:val="0"/>
                <w:color w:val="auto"/>
                <w:sz w:val="22"/>
                <w:szCs w:val="22"/>
                <w:highlight w:val="none"/>
                <w:u w:val="none"/>
              </w:rPr>
            </w:pPr>
          </w:p>
        </w:tc>
      </w:tr>
      <w:tr w14:paraId="3AC35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EA9A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FD7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E84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匹配防撞护栏</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114*4.5*2100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D5A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C40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408.48</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1DBF">
            <w:pPr>
              <w:jc w:val="center"/>
              <w:rPr>
                <w:rFonts w:hint="eastAsia" w:ascii="宋体" w:hAnsi="宋体" w:eastAsia="宋体" w:cs="宋体"/>
                <w:i w:val="0"/>
                <w:iCs w:val="0"/>
                <w:color w:val="auto"/>
                <w:sz w:val="22"/>
                <w:szCs w:val="22"/>
                <w:highlight w:val="none"/>
                <w:u w:val="none"/>
              </w:rPr>
            </w:pPr>
          </w:p>
        </w:tc>
      </w:tr>
      <w:tr w14:paraId="258D0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1DB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28</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F1C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伸缩性护栏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B17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850*500mm</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26B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286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418.69</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F90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053590" cy="1602740"/>
                  <wp:effectExtent l="0" t="0" r="3810" b="16510"/>
                  <wp:docPr id="136" name="图片_31"/>
                  <wp:cNvGraphicFramePr/>
                  <a:graphic xmlns:a="http://schemas.openxmlformats.org/drawingml/2006/main">
                    <a:graphicData uri="http://schemas.openxmlformats.org/drawingml/2006/picture">
                      <pic:pic xmlns:pic="http://schemas.openxmlformats.org/drawingml/2006/picture">
                        <pic:nvPicPr>
                          <pic:cNvPr id="136" name="图片_31"/>
                          <pic:cNvPicPr/>
                        </pic:nvPicPr>
                        <pic:blipFill>
                          <a:blip r:embed="rId47"/>
                          <a:stretch>
                            <a:fillRect/>
                          </a:stretch>
                        </pic:blipFill>
                        <pic:spPr>
                          <a:xfrm>
                            <a:off x="0" y="0"/>
                            <a:ext cx="2053590" cy="1602740"/>
                          </a:xfrm>
                          <a:prstGeom prst="rect">
                            <a:avLst/>
                          </a:prstGeom>
                          <a:noFill/>
                          <a:ln>
                            <a:noFill/>
                          </a:ln>
                        </pic:spPr>
                      </pic:pic>
                    </a:graphicData>
                  </a:graphic>
                </wp:inline>
              </w:drawing>
            </w:r>
          </w:p>
        </w:tc>
      </w:tr>
      <w:tr w14:paraId="44E41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313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29</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B1C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钢索式护栏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ADA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镀锌钢管、钢丝绳</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F49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500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241.52</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9C27">
            <w:pPr>
              <w:jc w:val="center"/>
              <w:rPr>
                <w:rFonts w:hint="eastAsia" w:ascii="宋体" w:hAnsi="宋体" w:eastAsia="宋体" w:cs="宋体"/>
                <w:i w:val="0"/>
                <w:iCs w:val="0"/>
                <w:color w:val="auto"/>
                <w:sz w:val="22"/>
                <w:szCs w:val="22"/>
                <w:highlight w:val="none"/>
                <w:u w:val="none"/>
              </w:rPr>
            </w:pPr>
          </w:p>
        </w:tc>
      </w:tr>
      <w:tr w14:paraId="3E9AC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516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A54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4BC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匹配钢索式护栏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BF2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A6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210.05</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A153C">
            <w:pPr>
              <w:jc w:val="center"/>
              <w:rPr>
                <w:rFonts w:hint="eastAsia" w:ascii="宋体" w:hAnsi="宋体" w:eastAsia="宋体" w:cs="宋体"/>
                <w:i w:val="0"/>
                <w:iCs w:val="0"/>
                <w:color w:val="auto"/>
                <w:sz w:val="22"/>
                <w:szCs w:val="22"/>
                <w:highlight w:val="none"/>
                <w:u w:val="none"/>
              </w:rPr>
            </w:pPr>
          </w:p>
        </w:tc>
      </w:tr>
      <w:tr w14:paraId="3DF43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395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31</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CAB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人行护栏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DC9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黑色人行护栏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939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677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289.58</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2D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195830" cy="1513205"/>
                  <wp:effectExtent l="0" t="0" r="13970" b="10795"/>
                  <wp:docPr id="133" name="图片_29"/>
                  <wp:cNvGraphicFramePr/>
                  <a:graphic xmlns:a="http://schemas.openxmlformats.org/drawingml/2006/main">
                    <a:graphicData uri="http://schemas.openxmlformats.org/drawingml/2006/picture">
                      <pic:pic xmlns:pic="http://schemas.openxmlformats.org/drawingml/2006/picture">
                        <pic:nvPicPr>
                          <pic:cNvPr id="133" name="图片_29"/>
                          <pic:cNvPicPr/>
                        </pic:nvPicPr>
                        <pic:blipFill>
                          <a:blip r:embed="rId48"/>
                          <a:stretch>
                            <a:fillRect/>
                          </a:stretch>
                        </pic:blipFill>
                        <pic:spPr>
                          <a:xfrm>
                            <a:off x="0" y="0"/>
                            <a:ext cx="2195830" cy="1513205"/>
                          </a:xfrm>
                          <a:prstGeom prst="rect">
                            <a:avLst/>
                          </a:prstGeom>
                          <a:noFill/>
                          <a:ln>
                            <a:noFill/>
                          </a:ln>
                        </pic:spPr>
                      </pic:pic>
                    </a:graphicData>
                  </a:graphic>
                </wp:inline>
              </w:drawing>
            </w:r>
          </w:p>
        </w:tc>
      </w:tr>
      <w:tr w14:paraId="38A35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990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32</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7B96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人行护栏立柱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B50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预埋型立柱，长1.2米</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BBA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根</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7C7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242.76</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995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218690" cy="1749425"/>
                  <wp:effectExtent l="0" t="0" r="10160" b="3175"/>
                  <wp:docPr id="137" name="图片_30"/>
                  <wp:cNvGraphicFramePr/>
                  <a:graphic xmlns:a="http://schemas.openxmlformats.org/drawingml/2006/main">
                    <a:graphicData uri="http://schemas.openxmlformats.org/drawingml/2006/picture">
                      <pic:pic xmlns:pic="http://schemas.openxmlformats.org/drawingml/2006/picture">
                        <pic:nvPicPr>
                          <pic:cNvPr id="137" name="图片_30"/>
                          <pic:cNvPicPr/>
                        </pic:nvPicPr>
                        <pic:blipFill>
                          <a:blip r:embed="rId49"/>
                          <a:stretch>
                            <a:fillRect/>
                          </a:stretch>
                        </pic:blipFill>
                        <pic:spPr>
                          <a:xfrm>
                            <a:off x="0" y="0"/>
                            <a:ext cx="2218690" cy="1749425"/>
                          </a:xfrm>
                          <a:prstGeom prst="rect">
                            <a:avLst/>
                          </a:prstGeom>
                          <a:noFill/>
                          <a:ln>
                            <a:noFill/>
                          </a:ln>
                        </pic:spPr>
                      </pic:pic>
                    </a:graphicData>
                  </a:graphic>
                </wp:inline>
              </w:drawing>
            </w:r>
          </w:p>
        </w:tc>
      </w:tr>
      <w:tr w14:paraId="43F54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05E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9F1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人行护栏圆管</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0DD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适配人行护栏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A9E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19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95.78</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58F1E">
            <w:pPr>
              <w:jc w:val="center"/>
              <w:rPr>
                <w:rFonts w:hint="eastAsia" w:ascii="宋体" w:hAnsi="宋体" w:eastAsia="宋体" w:cs="宋体"/>
                <w:i w:val="0"/>
                <w:iCs w:val="0"/>
                <w:color w:val="auto"/>
                <w:sz w:val="22"/>
                <w:szCs w:val="22"/>
                <w:highlight w:val="none"/>
                <w:u w:val="none"/>
              </w:rPr>
            </w:pPr>
          </w:p>
        </w:tc>
      </w:tr>
      <w:tr w14:paraId="26528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8"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B4A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34</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1D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波形护栏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top"/>
          </w:tcPr>
          <w:p w14:paraId="513733A6">
            <w:pPr>
              <w:keepNext w:val="0"/>
              <w:keepLines w:val="0"/>
              <w:widowControl/>
              <w:suppressLineNumbers w:val="0"/>
              <w:jc w:val="center"/>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十四孔加强版4320*506*85*3.15（730带钢）、6孔立柱140*4.65*2350（热镀锌600g/㎡），防阻块196*178*400*4.5、柱帽140*3.0、三波梁两孔背板320*506*85*3.0（热镀锌350g），普通防盗螺栓M16*45、M16*50、M16*170、横梁垫片76*44*4.0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（不含分段和端头）</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C3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75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355.65</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80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377315" cy="1931035"/>
                  <wp:effectExtent l="0" t="0" r="13335" b="12065"/>
                  <wp:docPr id="135" name="图片_32"/>
                  <wp:cNvGraphicFramePr/>
                  <a:graphic xmlns:a="http://schemas.openxmlformats.org/drawingml/2006/main">
                    <a:graphicData uri="http://schemas.openxmlformats.org/drawingml/2006/picture">
                      <pic:pic xmlns:pic="http://schemas.openxmlformats.org/drawingml/2006/picture">
                        <pic:nvPicPr>
                          <pic:cNvPr id="135" name="图片_32"/>
                          <pic:cNvPicPr/>
                        </pic:nvPicPr>
                        <pic:blipFill>
                          <a:blip r:embed="rId50"/>
                          <a:stretch>
                            <a:fillRect/>
                          </a:stretch>
                        </pic:blipFill>
                        <pic:spPr>
                          <a:xfrm>
                            <a:off x="0" y="0"/>
                            <a:ext cx="1377315" cy="1931035"/>
                          </a:xfrm>
                          <a:prstGeom prst="rect">
                            <a:avLst/>
                          </a:prstGeom>
                          <a:noFill/>
                          <a:ln>
                            <a:noFill/>
                          </a:ln>
                        </pic:spPr>
                      </pic:pic>
                    </a:graphicData>
                  </a:graphic>
                </wp:inline>
              </w:drawing>
            </w:r>
          </w:p>
        </w:tc>
      </w:tr>
      <w:tr w14:paraId="46E9D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9"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325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35</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F7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7FE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0FF2">
            <w:pPr>
              <w:jc w:val="center"/>
              <w:rPr>
                <w:rFonts w:hint="eastAsia" w:ascii="宋体" w:hAnsi="宋体" w:eastAsia="宋体" w:cs="宋体"/>
                <w:i w:val="0"/>
                <w:iCs w:val="0"/>
                <w:color w:val="auto"/>
                <w:sz w:val="22"/>
                <w:szCs w:val="22"/>
                <w:highlight w:val="none"/>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7FF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231.49</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733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733040" cy="1375410"/>
                  <wp:effectExtent l="0" t="0" r="10160" b="15240"/>
                  <wp:docPr id="139" name="图片_33"/>
                  <wp:cNvGraphicFramePr/>
                  <a:graphic xmlns:a="http://schemas.openxmlformats.org/drawingml/2006/main">
                    <a:graphicData uri="http://schemas.openxmlformats.org/drawingml/2006/picture">
                      <pic:pic xmlns:pic="http://schemas.openxmlformats.org/drawingml/2006/picture">
                        <pic:nvPicPr>
                          <pic:cNvPr id="139" name="图片_33"/>
                          <pic:cNvPicPr/>
                        </pic:nvPicPr>
                        <pic:blipFill>
                          <a:blip r:embed="rId51"/>
                          <a:stretch>
                            <a:fillRect/>
                          </a:stretch>
                        </pic:blipFill>
                        <pic:spPr>
                          <a:xfrm>
                            <a:off x="0" y="0"/>
                            <a:ext cx="2733040" cy="1375410"/>
                          </a:xfrm>
                          <a:prstGeom prst="rect">
                            <a:avLst/>
                          </a:prstGeom>
                          <a:noFill/>
                          <a:ln>
                            <a:noFill/>
                          </a:ln>
                        </pic:spPr>
                      </pic:pic>
                    </a:graphicData>
                  </a:graphic>
                </wp:inline>
              </w:drawing>
            </w:r>
          </w:p>
        </w:tc>
      </w:tr>
      <w:tr w14:paraId="76D4C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8CA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4EEF5">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中央立柱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2FEA">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高度：150cm</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81D2">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27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199.10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D426">
            <w:pPr>
              <w:jc w:val="center"/>
              <w:rPr>
                <w:rFonts w:hint="eastAsia" w:ascii="宋体" w:hAnsi="宋体" w:eastAsia="宋体" w:cs="宋体"/>
                <w:i w:val="0"/>
                <w:iCs w:val="0"/>
                <w:color w:val="auto"/>
                <w:sz w:val="22"/>
                <w:szCs w:val="22"/>
                <w:highlight w:val="none"/>
                <w:u w:val="none"/>
              </w:rPr>
            </w:pPr>
          </w:p>
        </w:tc>
      </w:tr>
      <w:tr w14:paraId="6C673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1B1D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37</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02AA7">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中央护栏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26EF5">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250cm</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3A1F">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3B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220.48</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DA4D">
            <w:pPr>
              <w:jc w:val="center"/>
              <w:rPr>
                <w:rFonts w:hint="eastAsia" w:ascii="宋体" w:hAnsi="宋体" w:eastAsia="宋体" w:cs="宋体"/>
                <w:i w:val="0"/>
                <w:iCs w:val="0"/>
                <w:color w:val="auto"/>
                <w:sz w:val="22"/>
                <w:szCs w:val="22"/>
                <w:highlight w:val="none"/>
                <w:u w:val="none"/>
              </w:rPr>
            </w:pPr>
          </w:p>
        </w:tc>
      </w:tr>
      <w:tr w14:paraId="77E1F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09D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38</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1631">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中央护栏（含立柱）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37B49">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260cm*150cm</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B38A">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255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286.53</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7BD94">
            <w:pPr>
              <w:jc w:val="center"/>
              <w:rPr>
                <w:rFonts w:hint="eastAsia" w:ascii="宋体" w:hAnsi="宋体" w:eastAsia="宋体" w:cs="宋体"/>
                <w:i w:val="0"/>
                <w:iCs w:val="0"/>
                <w:color w:val="auto"/>
                <w:sz w:val="22"/>
                <w:szCs w:val="22"/>
                <w:highlight w:val="none"/>
                <w:u w:val="none"/>
              </w:rPr>
            </w:pPr>
          </w:p>
        </w:tc>
      </w:tr>
      <w:tr w14:paraId="689AB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901B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39</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8EA80">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铁护栏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E44C">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300cm</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80AA">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DA4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176.44</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FAD8">
            <w:pPr>
              <w:jc w:val="center"/>
              <w:rPr>
                <w:rFonts w:hint="eastAsia" w:ascii="宋体" w:hAnsi="宋体" w:eastAsia="宋体" w:cs="宋体"/>
                <w:i w:val="0"/>
                <w:iCs w:val="0"/>
                <w:color w:val="auto"/>
                <w:sz w:val="22"/>
                <w:szCs w:val="22"/>
                <w:highlight w:val="none"/>
                <w:u w:val="none"/>
              </w:rPr>
            </w:pPr>
          </w:p>
        </w:tc>
      </w:tr>
      <w:tr w14:paraId="00E5C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211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17CF">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铁护栏--立柱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47A9">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高度：150cm</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7D42">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36A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177.30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FD30">
            <w:pPr>
              <w:jc w:val="center"/>
              <w:rPr>
                <w:rFonts w:hint="eastAsia" w:ascii="宋体" w:hAnsi="宋体" w:eastAsia="宋体" w:cs="宋体"/>
                <w:i w:val="0"/>
                <w:iCs w:val="0"/>
                <w:color w:val="auto"/>
                <w:sz w:val="22"/>
                <w:szCs w:val="22"/>
                <w:highlight w:val="none"/>
                <w:u w:val="none"/>
              </w:rPr>
            </w:pPr>
          </w:p>
        </w:tc>
      </w:tr>
      <w:tr w14:paraId="01ABA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nil"/>
              <w:right w:val="single" w:color="000000" w:sz="4" w:space="0"/>
            </w:tcBorders>
            <w:shd w:val="clear" w:color="auto" w:fill="auto"/>
            <w:noWrap/>
            <w:vAlign w:val="center"/>
          </w:tcPr>
          <w:p w14:paraId="2A4E568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41</w:t>
            </w:r>
          </w:p>
        </w:tc>
        <w:tc>
          <w:tcPr>
            <w:tcW w:w="2725" w:type="dxa"/>
            <w:tcBorders>
              <w:top w:val="single" w:color="000000" w:sz="4" w:space="0"/>
              <w:left w:val="single" w:color="000000" w:sz="4" w:space="0"/>
              <w:bottom w:val="nil"/>
              <w:right w:val="single" w:color="000000" w:sz="4" w:space="0"/>
            </w:tcBorders>
            <w:shd w:val="clear" w:color="auto" w:fill="auto"/>
            <w:noWrap/>
            <w:vAlign w:val="center"/>
          </w:tcPr>
          <w:p w14:paraId="0F928289">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铁护栏（含立柱）</w:t>
            </w:r>
          </w:p>
        </w:tc>
        <w:tc>
          <w:tcPr>
            <w:tcW w:w="4745" w:type="dxa"/>
            <w:tcBorders>
              <w:top w:val="single" w:color="000000" w:sz="4" w:space="0"/>
              <w:left w:val="single" w:color="000000" w:sz="4" w:space="0"/>
              <w:bottom w:val="nil"/>
              <w:right w:val="single" w:color="000000" w:sz="4" w:space="0"/>
            </w:tcBorders>
            <w:shd w:val="clear" w:color="auto" w:fill="auto"/>
            <w:noWrap/>
            <w:vAlign w:val="center"/>
          </w:tcPr>
          <w:p w14:paraId="6C7C94C8">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300cm*150cm</w:t>
            </w:r>
          </w:p>
        </w:tc>
        <w:tc>
          <w:tcPr>
            <w:tcW w:w="859" w:type="dxa"/>
            <w:tcBorders>
              <w:top w:val="single" w:color="000000" w:sz="4" w:space="0"/>
              <w:left w:val="single" w:color="000000" w:sz="4" w:space="0"/>
              <w:bottom w:val="nil"/>
              <w:right w:val="single" w:color="000000" w:sz="4" w:space="0"/>
            </w:tcBorders>
            <w:shd w:val="clear" w:color="auto" w:fill="auto"/>
            <w:vAlign w:val="center"/>
          </w:tcPr>
          <w:p w14:paraId="246454F9">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米</w:t>
            </w:r>
          </w:p>
        </w:tc>
        <w:tc>
          <w:tcPr>
            <w:tcW w:w="1091" w:type="dxa"/>
            <w:tcBorders>
              <w:top w:val="single" w:color="000000" w:sz="4" w:space="0"/>
              <w:left w:val="single" w:color="000000" w:sz="4" w:space="0"/>
              <w:bottom w:val="nil"/>
              <w:right w:val="single" w:color="000000" w:sz="4" w:space="0"/>
            </w:tcBorders>
            <w:shd w:val="clear" w:color="auto" w:fill="auto"/>
            <w:noWrap/>
            <w:vAlign w:val="center"/>
          </w:tcPr>
          <w:p w14:paraId="7352810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203.96</w:t>
            </w:r>
          </w:p>
        </w:tc>
        <w:tc>
          <w:tcPr>
            <w:tcW w:w="4459" w:type="dxa"/>
            <w:tcBorders>
              <w:top w:val="single" w:color="000000" w:sz="4" w:space="0"/>
              <w:left w:val="single" w:color="000000" w:sz="4" w:space="0"/>
              <w:bottom w:val="nil"/>
              <w:right w:val="single" w:color="000000" w:sz="4" w:space="0"/>
            </w:tcBorders>
            <w:shd w:val="clear" w:color="auto" w:fill="auto"/>
            <w:noWrap/>
            <w:vAlign w:val="center"/>
          </w:tcPr>
          <w:p w14:paraId="727E04A6">
            <w:pPr>
              <w:jc w:val="center"/>
              <w:rPr>
                <w:rFonts w:hint="eastAsia" w:ascii="宋体" w:hAnsi="宋体" w:eastAsia="宋体" w:cs="宋体"/>
                <w:i w:val="0"/>
                <w:iCs w:val="0"/>
                <w:color w:val="auto"/>
                <w:sz w:val="22"/>
                <w:szCs w:val="22"/>
                <w:highlight w:val="none"/>
                <w:u w:val="none"/>
              </w:rPr>
            </w:pPr>
          </w:p>
        </w:tc>
      </w:tr>
      <w:tr w14:paraId="45639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006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42</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E7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隔离护栏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0F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非机钢护栏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ECC0">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104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407.63</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B7DF">
            <w:pPr>
              <w:jc w:val="center"/>
              <w:rPr>
                <w:rFonts w:hint="eastAsia" w:ascii="宋体" w:hAnsi="宋体" w:eastAsia="宋体" w:cs="宋体"/>
                <w:i w:val="0"/>
                <w:iCs w:val="0"/>
                <w:color w:val="auto"/>
                <w:sz w:val="22"/>
                <w:szCs w:val="22"/>
                <w:highlight w:val="none"/>
                <w:u w:val="none"/>
              </w:rPr>
            </w:pPr>
          </w:p>
        </w:tc>
      </w:tr>
      <w:tr w14:paraId="51555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F023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43</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BD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隔离护栏</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00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中央钢护栏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464B">
            <w:pPr>
              <w:keepNext w:val="0"/>
              <w:keepLines w:val="0"/>
              <w:widowControl/>
              <w:suppressLineNumbers w:val="0"/>
              <w:jc w:val="center"/>
              <w:textAlignment w:val="center"/>
              <w:rPr>
                <w:rFonts w:hint="eastAsia" w:ascii="新宋体" w:hAnsi="新宋体" w:eastAsia="新宋体" w:cs="新宋体"/>
                <w:i w:val="0"/>
                <w:iCs w:val="0"/>
                <w:color w:val="auto"/>
                <w:sz w:val="21"/>
                <w:szCs w:val="21"/>
                <w:highlight w:val="none"/>
                <w:u w:val="none"/>
              </w:rPr>
            </w:pPr>
            <w:r>
              <w:rPr>
                <w:rFonts w:hint="eastAsia" w:ascii="新宋体" w:hAnsi="新宋体" w:eastAsia="新宋体" w:cs="新宋体"/>
                <w:i w:val="0"/>
                <w:iCs w:val="0"/>
                <w:color w:val="auto"/>
                <w:kern w:val="0"/>
                <w:sz w:val="21"/>
                <w:szCs w:val="21"/>
                <w:highlight w:val="none"/>
                <w:u w:val="none"/>
                <w:lang w:val="en-US" w:eastAsia="zh-CN" w:bidi="ar"/>
              </w:rPr>
              <w:t>米</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EC9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440.66</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6C65">
            <w:pPr>
              <w:jc w:val="center"/>
              <w:rPr>
                <w:rFonts w:hint="eastAsia" w:ascii="宋体" w:hAnsi="宋体" w:eastAsia="宋体" w:cs="宋体"/>
                <w:i w:val="0"/>
                <w:iCs w:val="0"/>
                <w:color w:val="auto"/>
                <w:sz w:val="22"/>
                <w:szCs w:val="22"/>
                <w:highlight w:val="none"/>
                <w:u w:val="none"/>
              </w:rPr>
            </w:pPr>
          </w:p>
        </w:tc>
      </w:tr>
      <w:tr w14:paraId="69B13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AF7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44</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CB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A型立柱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1E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非机钢护栏立柱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77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31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297.20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526C">
            <w:pPr>
              <w:jc w:val="center"/>
              <w:rPr>
                <w:rFonts w:hint="eastAsia" w:ascii="宋体" w:hAnsi="宋体" w:eastAsia="宋体" w:cs="宋体"/>
                <w:i w:val="0"/>
                <w:iCs w:val="0"/>
                <w:color w:val="auto"/>
                <w:sz w:val="22"/>
                <w:szCs w:val="22"/>
                <w:highlight w:val="none"/>
                <w:u w:val="none"/>
              </w:rPr>
            </w:pPr>
          </w:p>
        </w:tc>
      </w:tr>
      <w:tr w14:paraId="1EEAD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39A4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45</w:t>
            </w:r>
          </w:p>
        </w:tc>
        <w:tc>
          <w:tcPr>
            <w:tcW w:w="2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AE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A型立柱</w:t>
            </w:r>
          </w:p>
        </w:tc>
        <w:tc>
          <w:tcPr>
            <w:tcW w:w="4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25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中央钢护栏立柱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1、详见图纸；</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AD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AFB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319.00</w:t>
            </w:r>
          </w:p>
        </w:tc>
        <w:tc>
          <w:tcPr>
            <w:tcW w:w="4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2AC4">
            <w:pPr>
              <w:jc w:val="center"/>
              <w:rPr>
                <w:rFonts w:hint="eastAsia" w:ascii="宋体" w:hAnsi="宋体" w:eastAsia="宋体" w:cs="宋体"/>
                <w:i w:val="0"/>
                <w:iCs w:val="0"/>
                <w:color w:val="auto"/>
                <w:sz w:val="22"/>
                <w:szCs w:val="22"/>
                <w:highlight w:val="none"/>
                <w:u w:val="none"/>
              </w:rPr>
            </w:pPr>
          </w:p>
        </w:tc>
      </w:tr>
    </w:tbl>
    <w:p w14:paraId="7F292E68">
      <w:pPr>
        <w:keepNext w:val="0"/>
        <w:keepLines w:val="0"/>
        <w:pageBreakBefore w:val="0"/>
        <w:numPr>
          <w:ilvl w:val="0"/>
          <w:numId w:val="0"/>
        </w:numPr>
        <w:kinsoku/>
        <w:wordWrap/>
        <w:overflowPunct/>
        <w:topLinePunct w:val="0"/>
        <w:autoSpaceDE/>
        <w:autoSpaceDN/>
        <w:bidi w:val="0"/>
        <w:adjustRightInd/>
        <w:snapToGrid/>
        <w:spacing w:line="460" w:lineRule="exact"/>
        <w:ind w:left="0" w:leftChars="0" w:firstLine="0" w:firstLineChars="0"/>
        <w:outlineLvl w:val="3"/>
        <w:rPr>
          <w:rFonts w:hint="eastAsia" w:ascii="新宋体" w:hAnsi="新宋体" w:eastAsia="新宋体" w:cs="新宋体"/>
          <w:color w:val="auto"/>
          <w:kern w:val="2"/>
          <w:sz w:val="22"/>
          <w:szCs w:val="22"/>
          <w:highlight w:val="none"/>
          <w:lang w:val="en-US" w:eastAsia="zh-CN" w:bidi="ar-SA"/>
        </w:rPr>
      </w:pPr>
      <w:r>
        <w:rPr>
          <w:rFonts w:hint="eastAsia" w:ascii="新宋体" w:hAnsi="新宋体" w:eastAsia="新宋体" w:cs="新宋体"/>
          <w:color w:val="auto"/>
          <w:kern w:val="2"/>
          <w:sz w:val="22"/>
          <w:szCs w:val="22"/>
          <w:highlight w:val="none"/>
          <w:lang w:val="en-US" w:eastAsia="zh-CN" w:bidi="ar-SA"/>
        </w:rPr>
        <w:t>（6）其他</w:t>
      </w:r>
    </w:p>
    <w:tbl>
      <w:tblPr>
        <w:tblStyle w:val="52"/>
        <w:tblW w:w="1511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7"/>
        <w:gridCol w:w="2319"/>
        <w:gridCol w:w="4295"/>
        <w:gridCol w:w="1214"/>
        <w:gridCol w:w="1200"/>
        <w:gridCol w:w="3968"/>
        <w:gridCol w:w="1391"/>
      </w:tblGrid>
      <w:tr w14:paraId="1A10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27" w:type="dxa"/>
            <w:shd w:val="clear" w:color="auto" w:fill="auto"/>
            <w:vAlign w:val="center"/>
          </w:tcPr>
          <w:p w14:paraId="5F8F239E">
            <w:pPr>
              <w:keepNext w:val="0"/>
              <w:keepLines w:val="0"/>
              <w:widowControl/>
              <w:suppressLineNumbers w:val="0"/>
              <w:jc w:val="center"/>
              <w:textAlignment w:val="center"/>
              <w:rPr>
                <w:rFonts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序号</w:t>
            </w:r>
          </w:p>
        </w:tc>
        <w:tc>
          <w:tcPr>
            <w:tcW w:w="2319" w:type="dxa"/>
            <w:shd w:val="clear" w:color="auto" w:fill="auto"/>
            <w:vAlign w:val="center"/>
          </w:tcPr>
          <w:p w14:paraId="21A320AB">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名称</w:t>
            </w:r>
          </w:p>
        </w:tc>
        <w:tc>
          <w:tcPr>
            <w:tcW w:w="4295" w:type="dxa"/>
            <w:shd w:val="clear" w:color="auto" w:fill="auto"/>
            <w:vAlign w:val="center"/>
          </w:tcPr>
          <w:p w14:paraId="1F0CD5C0">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规格配置</w:t>
            </w:r>
          </w:p>
        </w:tc>
        <w:tc>
          <w:tcPr>
            <w:tcW w:w="1214" w:type="dxa"/>
            <w:shd w:val="clear" w:color="auto" w:fill="auto"/>
            <w:vAlign w:val="center"/>
          </w:tcPr>
          <w:p w14:paraId="1A75129B">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单位</w:t>
            </w:r>
          </w:p>
        </w:tc>
        <w:tc>
          <w:tcPr>
            <w:tcW w:w="1200" w:type="dxa"/>
            <w:shd w:val="clear" w:color="auto" w:fill="auto"/>
            <w:vAlign w:val="center"/>
          </w:tcPr>
          <w:p w14:paraId="15EFDCA3">
            <w:pPr>
              <w:keepNext w:val="0"/>
              <w:keepLines w:val="0"/>
              <w:widowControl/>
              <w:suppressLineNumbers w:val="0"/>
              <w:jc w:val="center"/>
              <w:textAlignment w:val="center"/>
              <w:rPr>
                <w:rFonts w:hint="default" w:ascii="新宋体" w:hAnsi="新宋体" w:eastAsia="新宋体" w:cs="新宋体"/>
                <w:b/>
                <w:bCs/>
                <w:i w:val="0"/>
                <w:iCs w:val="0"/>
                <w:color w:val="auto"/>
                <w:sz w:val="20"/>
                <w:szCs w:val="20"/>
                <w:highlight w:val="none"/>
                <w:u w:val="none"/>
                <w:lang w:val="en-US"/>
              </w:rPr>
            </w:pPr>
            <w:r>
              <w:rPr>
                <w:rFonts w:hint="eastAsia" w:ascii="新宋体" w:hAnsi="新宋体" w:eastAsia="新宋体" w:cs="新宋体"/>
                <w:b/>
                <w:bCs/>
                <w:i w:val="0"/>
                <w:iCs w:val="0"/>
                <w:color w:val="auto"/>
                <w:kern w:val="0"/>
                <w:sz w:val="20"/>
                <w:szCs w:val="20"/>
                <w:highlight w:val="none"/>
                <w:u w:val="none"/>
                <w:lang w:val="en-US" w:eastAsia="zh-CN" w:bidi="ar"/>
              </w:rPr>
              <w:t>单价限价</w:t>
            </w:r>
          </w:p>
        </w:tc>
        <w:tc>
          <w:tcPr>
            <w:tcW w:w="3968" w:type="dxa"/>
            <w:shd w:val="clear" w:color="auto" w:fill="auto"/>
            <w:vAlign w:val="center"/>
          </w:tcPr>
          <w:p w14:paraId="570A2E8B">
            <w:pPr>
              <w:keepNext w:val="0"/>
              <w:keepLines w:val="0"/>
              <w:widowControl/>
              <w:suppressLineNumbers w:val="0"/>
              <w:jc w:val="center"/>
              <w:textAlignment w:val="center"/>
              <w:rPr>
                <w:rFonts w:hint="eastAsia" w:ascii="新宋体" w:hAnsi="新宋体" w:eastAsia="新宋体" w:cs="新宋体"/>
                <w:b/>
                <w:bCs/>
                <w:i w:val="0"/>
                <w:iCs w:val="0"/>
                <w:color w:val="auto"/>
                <w:sz w:val="20"/>
                <w:szCs w:val="20"/>
                <w:highlight w:val="none"/>
                <w:u w:val="none"/>
              </w:rPr>
            </w:pPr>
            <w:r>
              <w:rPr>
                <w:rFonts w:hint="eastAsia" w:ascii="新宋体" w:hAnsi="新宋体" w:eastAsia="新宋体" w:cs="新宋体"/>
                <w:b/>
                <w:bCs/>
                <w:i w:val="0"/>
                <w:iCs w:val="0"/>
                <w:color w:val="auto"/>
                <w:kern w:val="0"/>
                <w:sz w:val="20"/>
                <w:szCs w:val="20"/>
                <w:highlight w:val="none"/>
                <w:u w:val="none"/>
                <w:lang w:val="en-US" w:eastAsia="zh-CN" w:bidi="ar"/>
              </w:rPr>
              <w:t>图片</w:t>
            </w:r>
          </w:p>
        </w:tc>
        <w:tc>
          <w:tcPr>
            <w:tcW w:w="1391" w:type="dxa"/>
            <w:shd w:val="clear" w:color="auto" w:fill="auto"/>
            <w:vAlign w:val="center"/>
          </w:tcPr>
          <w:p w14:paraId="301F3A01">
            <w:pPr>
              <w:keepNext w:val="0"/>
              <w:keepLines w:val="0"/>
              <w:widowControl/>
              <w:suppressLineNumbers w:val="0"/>
              <w:jc w:val="center"/>
              <w:textAlignment w:val="center"/>
              <w:rPr>
                <w:rFonts w:hint="eastAsia" w:ascii="新宋体" w:hAnsi="新宋体" w:eastAsia="新宋体" w:cs="新宋体"/>
                <w:b/>
                <w:bCs/>
                <w:i w:val="0"/>
                <w:iCs w:val="0"/>
                <w:color w:val="auto"/>
                <w:sz w:val="22"/>
                <w:szCs w:val="22"/>
                <w:highlight w:val="none"/>
                <w:u w:val="none"/>
              </w:rPr>
            </w:pPr>
            <w:r>
              <w:rPr>
                <w:rFonts w:hint="eastAsia" w:ascii="新宋体" w:hAnsi="新宋体" w:eastAsia="新宋体" w:cs="新宋体"/>
                <w:b/>
                <w:bCs/>
                <w:i w:val="0"/>
                <w:iCs w:val="0"/>
                <w:color w:val="auto"/>
                <w:kern w:val="0"/>
                <w:sz w:val="22"/>
                <w:szCs w:val="22"/>
                <w:highlight w:val="none"/>
                <w:u w:val="none"/>
                <w:lang w:val="en-US" w:eastAsia="zh-CN" w:bidi="ar"/>
              </w:rPr>
              <w:t>品牌参考：</w:t>
            </w:r>
          </w:p>
        </w:tc>
      </w:tr>
      <w:tr w14:paraId="2713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4E74B01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w:t>
            </w:r>
          </w:p>
        </w:tc>
        <w:tc>
          <w:tcPr>
            <w:tcW w:w="2319" w:type="dxa"/>
            <w:shd w:val="clear" w:color="auto" w:fill="auto"/>
            <w:vAlign w:val="center"/>
          </w:tcPr>
          <w:p w14:paraId="0466DD4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PVC管6分</w:t>
            </w:r>
          </w:p>
        </w:tc>
        <w:tc>
          <w:tcPr>
            <w:tcW w:w="4295" w:type="dxa"/>
            <w:shd w:val="clear" w:color="auto" w:fill="auto"/>
            <w:vAlign w:val="center"/>
          </w:tcPr>
          <w:p w14:paraId="66A947C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直径20,205轻型</w:t>
            </w:r>
          </w:p>
        </w:tc>
        <w:tc>
          <w:tcPr>
            <w:tcW w:w="1214" w:type="dxa"/>
            <w:shd w:val="clear" w:color="auto" w:fill="auto"/>
            <w:vAlign w:val="center"/>
          </w:tcPr>
          <w:p w14:paraId="0DF72D0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49C298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4.62</w:t>
            </w:r>
          </w:p>
        </w:tc>
        <w:tc>
          <w:tcPr>
            <w:tcW w:w="3968" w:type="dxa"/>
            <w:shd w:val="clear" w:color="auto" w:fill="auto"/>
            <w:noWrap/>
            <w:vAlign w:val="center"/>
          </w:tcPr>
          <w:p w14:paraId="1083693D">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22F73490">
            <w:pPr>
              <w:rPr>
                <w:rFonts w:hint="eastAsia" w:ascii="宋体" w:hAnsi="宋体" w:eastAsia="宋体" w:cs="宋体"/>
                <w:i w:val="0"/>
                <w:iCs w:val="0"/>
                <w:color w:val="auto"/>
                <w:sz w:val="22"/>
                <w:szCs w:val="22"/>
                <w:highlight w:val="none"/>
                <w:u w:val="none"/>
              </w:rPr>
            </w:pPr>
          </w:p>
        </w:tc>
      </w:tr>
      <w:tr w14:paraId="6C86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68B6F24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w:t>
            </w:r>
          </w:p>
        </w:tc>
        <w:tc>
          <w:tcPr>
            <w:tcW w:w="2319" w:type="dxa"/>
            <w:shd w:val="clear" w:color="auto" w:fill="auto"/>
            <w:vAlign w:val="center"/>
          </w:tcPr>
          <w:p w14:paraId="36D9F4A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32PE管</w:t>
            </w:r>
          </w:p>
        </w:tc>
        <w:tc>
          <w:tcPr>
            <w:tcW w:w="4295" w:type="dxa"/>
            <w:shd w:val="clear" w:color="auto" w:fill="auto"/>
            <w:vAlign w:val="center"/>
          </w:tcPr>
          <w:p w14:paraId="44A6C20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1寸,32大，壁厚约4mm</w:t>
            </w:r>
          </w:p>
        </w:tc>
        <w:tc>
          <w:tcPr>
            <w:tcW w:w="1214" w:type="dxa"/>
            <w:shd w:val="clear" w:color="auto" w:fill="auto"/>
            <w:vAlign w:val="center"/>
          </w:tcPr>
          <w:p w14:paraId="53AC16E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6F42E3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11.00</w:t>
            </w:r>
          </w:p>
        </w:tc>
        <w:tc>
          <w:tcPr>
            <w:tcW w:w="3968" w:type="dxa"/>
            <w:shd w:val="clear" w:color="auto" w:fill="auto"/>
            <w:noWrap/>
            <w:vAlign w:val="center"/>
          </w:tcPr>
          <w:p w14:paraId="1343904E">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2D72DC46">
            <w:pPr>
              <w:rPr>
                <w:rFonts w:hint="eastAsia" w:ascii="宋体" w:hAnsi="宋体" w:eastAsia="宋体" w:cs="宋体"/>
                <w:i w:val="0"/>
                <w:iCs w:val="0"/>
                <w:color w:val="auto"/>
                <w:sz w:val="22"/>
                <w:szCs w:val="22"/>
                <w:highlight w:val="none"/>
                <w:u w:val="none"/>
              </w:rPr>
            </w:pPr>
          </w:p>
        </w:tc>
      </w:tr>
      <w:tr w14:paraId="57BC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shd w:val="clear" w:color="auto" w:fill="auto"/>
            <w:noWrap/>
            <w:vAlign w:val="center"/>
          </w:tcPr>
          <w:p w14:paraId="226FCB5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w:t>
            </w:r>
          </w:p>
        </w:tc>
        <w:tc>
          <w:tcPr>
            <w:tcW w:w="2319" w:type="dxa"/>
            <w:shd w:val="clear" w:color="auto" w:fill="auto"/>
            <w:vAlign w:val="center"/>
          </w:tcPr>
          <w:p w14:paraId="2442FC6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60PE管2寸</w:t>
            </w:r>
          </w:p>
        </w:tc>
        <w:tc>
          <w:tcPr>
            <w:tcW w:w="4295" w:type="dxa"/>
            <w:shd w:val="clear" w:color="auto" w:fill="auto"/>
            <w:vAlign w:val="center"/>
          </w:tcPr>
          <w:p w14:paraId="30DED63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2寸，110大，壁厚约2.7mm</w:t>
            </w:r>
          </w:p>
        </w:tc>
        <w:tc>
          <w:tcPr>
            <w:tcW w:w="1214" w:type="dxa"/>
            <w:shd w:val="clear" w:color="auto" w:fill="auto"/>
            <w:vAlign w:val="center"/>
          </w:tcPr>
          <w:p w14:paraId="1467360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0F1FA5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24.82</w:t>
            </w:r>
          </w:p>
        </w:tc>
        <w:tc>
          <w:tcPr>
            <w:tcW w:w="3968" w:type="dxa"/>
            <w:shd w:val="clear" w:color="auto" w:fill="auto"/>
            <w:noWrap/>
            <w:vAlign w:val="center"/>
          </w:tcPr>
          <w:p w14:paraId="5A50A420">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331C4E59">
            <w:pPr>
              <w:rPr>
                <w:rFonts w:hint="eastAsia" w:ascii="宋体" w:hAnsi="宋体" w:eastAsia="宋体" w:cs="宋体"/>
                <w:i w:val="0"/>
                <w:iCs w:val="0"/>
                <w:color w:val="auto"/>
                <w:sz w:val="22"/>
                <w:szCs w:val="22"/>
                <w:highlight w:val="none"/>
                <w:u w:val="none"/>
              </w:rPr>
            </w:pPr>
          </w:p>
        </w:tc>
      </w:tr>
      <w:tr w14:paraId="5637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shd w:val="clear" w:color="auto" w:fill="auto"/>
            <w:noWrap/>
            <w:vAlign w:val="center"/>
          </w:tcPr>
          <w:p w14:paraId="6F6F7BA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w:t>
            </w:r>
          </w:p>
        </w:tc>
        <w:tc>
          <w:tcPr>
            <w:tcW w:w="2319" w:type="dxa"/>
            <w:shd w:val="clear" w:color="auto" w:fill="auto"/>
            <w:vAlign w:val="center"/>
          </w:tcPr>
          <w:p w14:paraId="275C133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50PE管1.5寸</w:t>
            </w:r>
          </w:p>
        </w:tc>
        <w:tc>
          <w:tcPr>
            <w:tcW w:w="4295" w:type="dxa"/>
            <w:shd w:val="clear" w:color="auto" w:fill="auto"/>
            <w:vAlign w:val="center"/>
          </w:tcPr>
          <w:p w14:paraId="5980741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1.5寸，50大，壁厚约3.8mm</w:t>
            </w:r>
          </w:p>
        </w:tc>
        <w:tc>
          <w:tcPr>
            <w:tcW w:w="1214" w:type="dxa"/>
            <w:shd w:val="clear" w:color="auto" w:fill="auto"/>
            <w:vAlign w:val="center"/>
          </w:tcPr>
          <w:p w14:paraId="19AFD97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03757C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19.06</w:t>
            </w:r>
          </w:p>
        </w:tc>
        <w:tc>
          <w:tcPr>
            <w:tcW w:w="3968" w:type="dxa"/>
            <w:shd w:val="clear" w:color="auto" w:fill="auto"/>
            <w:noWrap/>
            <w:vAlign w:val="center"/>
          </w:tcPr>
          <w:p w14:paraId="1F4CC9A6">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4BB9A0DF">
            <w:pPr>
              <w:rPr>
                <w:rFonts w:hint="eastAsia" w:ascii="宋体" w:hAnsi="宋体" w:eastAsia="宋体" w:cs="宋体"/>
                <w:i w:val="0"/>
                <w:iCs w:val="0"/>
                <w:color w:val="auto"/>
                <w:sz w:val="22"/>
                <w:szCs w:val="22"/>
                <w:highlight w:val="none"/>
                <w:u w:val="none"/>
              </w:rPr>
            </w:pPr>
          </w:p>
        </w:tc>
      </w:tr>
      <w:tr w14:paraId="0736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5937DEA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w:t>
            </w:r>
          </w:p>
        </w:tc>
        <w:tc>
          <w:tcPr>
            <w:tcW w:w="2319" w:type="dxa"/>
            <w:shd w:val="clear" w:color="auto" w:fill="auto"/>
            <w:vAlign w:val="center"/>
          </w:tcPr>
          <w:p w14:paraId="61248E5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75PE管2.5寸</w:t>
            </w:r>
          </w:p>
        </w:tc>
        <w:tc>
          <w:tcPr>
            <w:tcW w:w="4295" w:type="dxa"/>
            <w:shd w:val="clear" w:color="auto" w:fill="auto"/>
            <w:vAlign w:val="center"/>
          </w:tcPr>
          <w:p w14:paraId="45322EF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2.5寸，75大，壁厚约5.5mm</w:t>
            </w:r>
          </w:p>
        </w:tc>
        <w:tc>
          <w:tcPr>
            <w:tcW w:w="1214" w:type="dxa"/>
            <w:shd w:val="clear" w:color="auto" w:fill="auto"/>
            <w:vAlign w:val="center"/>
          </w:tcPr>
          <w:p w14:paraId="7ADC8B5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7982CD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30.25</w:t>
            </w:r>
          </w:p>
        </w:tc>
        <w:tc>
          <w:tcPr>
            <w:tcW w:w="3968" w:type="dxa"/>
            <w:shd w:val="clear" w:color="auto" w:fill="auto"/>
            <w:noWrap/>
            <w:vAlign w:val="center"/>
          </w:tcPr>
          <w:p w14:paraId="759B6B1A">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7A1D5289">
            <w:pPr>
              <w:rPr>
                <w:rFonts w:hint="eastAsia" w:ascii="宋体" w:hAnsi="宋体" w:eastAsia="宋体" w:cs="宋体"/>
                <w:i w:val="0"/>
                <w:iCs w:val="0"/>
                <w:color w:val="auto"/>
                <w:sz w:val="22"/>
                <w:szCs w:val="22"/>
                <w:highlight w:val="none"/>
                <w:u w:val="none"/>
              </w:rPr>
            </w:pPr>
          </w:p>
        </w:tc>
      </w:tr>
      <w:tr w14:paraId="48E6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09661D7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w:t>
            </w:r>
          </w:p>
        </w:tc>
        <w:tc>
          <w:tcPr>
            <w:tcW w:w="2319" w:type="dxa"/>
            <w:shd w:val="clear" w:color="auto" w:fill="auto"/>
            <w:vAlign w:val="center"/>
          </w:tcPr>
          <w:p w14:paraId="143F5D5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110PE管</w:t>
            </w:r>
          </w:p>
        </w:tc>
        <w:tc>
          <w:tcPr>
            <w:tcW w:w="4295" w:type="dxa"/>
            <w:shd w:val="clear" w:color="auto" w:fill="auto"/>
            <w:vAlign w:val="center"/>
          </w:tcPr>
          <w:p w14:paraId="5900951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4寸，110大，壁厚约3.5mm</w:t>
            </w:r>
          </w:p>
        </w:tc>
        <w:tc>
          <w:tcPr>
            <w:tcW w:w="1214" w:type="dxa"/>
            <w:shd w:val="clear" w:color="auto" w:fill="auto"/>
            <w:vAlign w:val="center"/>
          </w:tcPr>
          <w:p w14:paraId="58A7168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070E32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47.60</w:t>
            </w:r>
          </w:p>
        </w:tc>
        <w:tc>
          <w:tcPr>
            <w:tcW w:w="3968" w:type="dxa"/>
            <w:shd w:val="clear" w:color="auto" w:fill="auto"/>
            <w:noWrap/>
            <w:vAlign w:val="center"/>
          </w:tcPr>
          <w:p w14:paraId="2C6A8D92">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5ED87695">
            <w:pPr>
              <w:rPr>
                <w:rFonts w:hint="eastAsia" w:ascii="宋体" w:hAnsi="宋体" w:eastAsia="宋体" w:cs="宋体"/>
                <w:i w:val="0"/>
                <w:iCs w:val="0"/>
                <w:color w:val="auto"/>
                <w:sz w:val="22"/>
                <w:szCs w:val="22"/>
                <w:highlight w:val="none"/>
                <w:u w:val="none"/>
              </w:rPr>
            </w:pPr>
          </w:p>
        </w:tc>
      </w:tr>
      <w:tr w14:paraId="6F96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shd w:val="clear" w:color="auto" w:fill="auto"/>
            <w:noWrap/>
            <w:vAlign w:val="center"/>
          </w:tcPr>
          <w:p w14:paraId="4FCF89A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w:t>
            </w:r>
          </w:p>
        </w:tc>
        <w:tc>
          <w:tcPr>
            <w:tcW w:w="2319" w:type="dxa"/>
            <w:shd w:val="clear" w:color="auto" w:fill="auto"/>
            <w:vAlign w:val="center"/>
          </w:tcPr>
          <w:p w14:paraId="6A6C7A2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镀锌扁铁</w:t>
            </w:r>
          </w:p>
        </w:tc>
        <w:tc>
          <w:tcPr>
            <w:tcW w:w="4295" w:type="dxa"/>
            <w:shd w:val="clear" w:color="auto" w:fill="auto"/>
            <w:vAlign w:val="center"/>
          </w:tcPr>
          <w:p w14:paraId="5A2151C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40mm×3mm,20#,6米</w:t>
            </w:r>
          </w:p>
        </w:tc>
        <w:tc>
          <w:tcPr>
            <w:tcW w:w="1214" w:type="dxa"/>
            <w:shd w:val="clear" w:color="auto" w:fill="auto"/>
            <w:vAlign w:val="center"/>
          </w:tcPr>
          <w:p w14:paraId="1CCD928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1200" w:type="dxa"/>
            <w:shd w:val="clear" w:color="auto" w:fill="auto"/>
            <w:noWrap/>
            <w:vAlign w:val="center"/>
          </w:tcPr>
          <w:p w14:paraId="4E8F42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112.60</w:t>
            </w:r>
          </w:p>
        </w:tc>
        <w:tc>
          <w:tcPr>
            <w:tcW w:w="3968" w:type="dxa"/>
            <w:shd w:val="clear" w:color="auto" w:fill="auto"/>
            <w:noWrap/>
            <w:vAlign w:val="center"/>
          </w:tcPr>
          <w:p w14:paraId="047CD7D1">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14723DE1">
            <w:pPr>
              <w:rPr>
                <w:rFonts w:hint="eastAsia" w:ascii="宋体" w:hAnsi="宋体" w:eastAsia="宋体" w:cs="宋体"/>
                <w:i w:val="0"/>
                <w:iCs w:val="0"/>
                <w:color w:val="auto"/>
                <w:sz w:val="22"/>
                <w:szCs w:val="22"/>
                <w:highlight w:val="none"/>
                <w:u w:val="none"/>
              </w:rPr>
            </w:pPr>
          </w:p>
        </w:tc>
      </w:tr>
      <w:tr w14:paraId="23D2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7DBCC88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w:t>
            </w:r>
          </w:p>
        </w:tc>
        <w:tc>
          <w:tcPr>
            <w:tcW w:w="2319" w:type="dxa"/>
            <w:shd w:val="clear" w:color="auto" w:fill="auto"/>
            <w:vAlign w:val="center"/>
          </w:tcPr>
          <w:p w14:paraId="461F2B7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SC89镀锌管</w:t>
            </w:r>
          </w:p>
        </w:tc>
        <w:tc>
          <w:tcPr>
            <w:tcW w:w="4295" w:type="dxa"/>
            <w:shd w:val="clear" w:color="auto" w:fill="auto"/>
            <w:vAlign w:val="center"/>
          </w:tcPr>
          <w:p w14:paraId="2D6BF41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3寸×3.0mm,20#,6米</w:t>
            </w:r>
          </w:p>
        </w:tc>
        <w:tc>
          <w:tcPr>
            <w:tcW w:w="1214" w:type="dxa"/>
            <w:shd w:val="clear" w:color="auto" w:fill="auto"/>
            <w:vAlign w:val="center"/>
          </w:tcPr>
          <w:p w14:paraId="3CF32C6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45579B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96.05</w:t>
            </w:r>
          </w:p>
        </w:tc>
        <w:tc>
          <w:tcPr>
            <w:tcW w:w="3968" w:type="dxa"/>
            <w:shd w:val="clear" w:color="auto" w:fill="auto"/>
            <w:noWrap/>
            <w:vAlign w:val="center"/>
          </w:tcPr>
          <w:p w14:paraId="75B01342">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4ECCBF2D">
            <w:pPr>
              <w:rPr>
                <w:rFonts w:hint="eastAsia" w:ascii="宋体" w:hAnsi="宋体" w:eastAsia="宋体" w:cs="宋体"/>
                <w:i w:val="0"/>
                <w:iCs w:val="0"/>
                <w:color w:val="auto"/>
                <w:sz w:val="22"/>
                <w:szCs w:val="22"/>
                <w:highlight w:val="none"/>
                <w:u w:val="none"/>
              </w:rPr>
            </w:pPr>
          </w:p>
        </w:tc>
      </w:tr>
      <w:tr w14:paraId="01C0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0A20FEC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9</w:t>
            </w:r>
          </w:p>
        </w:tc>
        <w:tc>
          <w:tcPr>
            <w:tcW w:w="2319" w:type="dxa"/>
            <w:shd w:val="clear" w:color="auto" w:fill="auto"/>
            <w:vAlign w:val="center"/>
          </w:tcPr>
          <w:p w14:paraId="1A2009D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SC114镀锌管</w:t>
            </w:r>
          </w:p>
        </w:tc>
        <w:tc>
          <w:tcPr>
            <w:tcW w:w="4295" w:type="dxa"/>
            <w:shd w:val="clear" w:color="auto" w:fill="auto"/>
            <w:vAlign w:val="center"/>
          </w:tcPr>
          <w:p w14:paraId="3494B50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4寸×3.0mm,20#,6米</w:t>
            </w:r>
          </w:p>
        </w:tc>
        <w:tc>
          <w:tcPr>
            <w:tcW w:w="1214" w:type="dxa"/>
            <w:shd w:val="clear" w:color="auto" w:fill="auto"/>
            <w:vAlign w:val="center"/>
          </w:tcPr>
          <w:p w14:paraId="5EEDAE1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221580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113.30</w:t>
            </w:r>
          </w:p>
        </w:tc>
        <w:tc>
          <w:tcPr>
            <w:tcW w:w="3968" w:type="dxa"/>
            <w:shd w:val="clear" w:color="auto" w:fill="auto"/>
            <w:noWrap/>
            <w:vAlign w:val="center"/>
          </w:tcPr>
          <w:p w14:paraId="232D1E34">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6DC0AF3D">
            <w:pPr>
              <w:rPr>
                <w:rFonts w:hint="eastAsia" w:ascii="宋体" w:hAnsi="宋体" w:eastAsia="宋体" w:cs="宋体"/>
                <w:i w:val="0"/>
                <w:iCs w:val="0"/>
                <w:color w:val="auto"/>
                <w:sz w:val="22"/>
                <w:szCs w:val="22"/>
                <w:highlight w:val="none"/>
                <w:u w:val="none"/>
              </w:rPr>
            </w:pPr>
          </w:p>
        </w:tc>
      </w:tr>
      <w:tr w14:paraId="6563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7B9B842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10</w:t>
            </w:r>
          </w:p>
        </w:tc>
        <w:tc>
          <w:tcPr>
            <w:tcW w:w="2319" w:type="dxa"/>
            <w:shd w:val="clear" w:color="auto" w:fill="auto"/>
            <w:vAlign w:val="center"/>
          </w:tcPr>
          <w:p w14:paraId="432A19B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镀锌管接头</w:t>
            </w:r>
          </w:p>
        </w:tc>
        <w:tc>
          <w:tcPr>
            <w:tcW w:w="4295" w:type="dxa"/>
            <w:shd w:val="clear" w:color="auto" w:fill="auto"/>
            <w:vAlign w:val="center"/>
          </w:tcPr>
          <w:p w14:paraId="5F44269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DN89镀锌管接头3寸×25cm</w:t>
            </w:r>
          </w:p>
        </w:tc>
        <w:tc>
          <w:tcPr>
            <w:tcW w:w="1214" w:type="dxa"/>
            <w:shd w:val="clear" w:color="auto" w:fill="auto"/>
            <w:vAlign w:val="center"/>
          </w:tcPr>
          <w:p w14:paraId="23E6853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厘米</w:t>
            </w:r>
          </w:p>
        </w:tc>
        <w:tc>
          <w:tcPr>
            <w:tcW w:w="1200" w:type="dxa"/>
            <w:shd w:val="clear" w:color="auto" w:fill="auto"/>
            <w:noWrap/>
            <w:vAlign w:val="center"/>
          </w:tcPr>
          <w:p w14:paraId="7A4D83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30.00</w:t>
            </w:r>
          </w:p>
        </w:tc>
        <w:tc>
          <w:tcPr>
            <w:tcW w:w="3968" w:type="dxa"/>
            <w:shd w:val="clear" w:color="auto" w:fill="auto"/>
            <w:noWrap/>
            <w:vAlign w:val="center"/>
          </w:tcPr>
          <w:p w14:paraId="6EFBECD1">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68DB849D">
            <w:pPr>
              <w:rPr>
                <w:rFonts w:hint="eastAsia" w:ascii="宋体" w:hAnsi="宋体" w:eastAsia="宋体" w:cs="宋体"/>
                <w:i w:val="0"/>
                <w:iCs w:val="0"/>
                <w:color w:val="auto"/>
                <w:sz w:val="22"/>
                <w:szCs w:val="22"/>
                <w:highlight w:val="none"/>
                <w:u w:val="none"/>
              </w:rPr>
            </w:pPr>
          </w:p>
        </w:tc>
      </w:tr>
      <w:tr w14:paraId="3DCE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0400CD9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11</w:t>
            </w:r>
          </w:p>
        </w:tc>
        <w:tc>
          <w:tcPr>
            <w:tcW w:w="2319" w:type="dxa"/>
            <w:shd w:val="clear" w:color="auto" w:fill="auto"/>
            <w:vAlign w:val="center"/>
          </w:tcPr>
          <w:p w14:paraId="75DD5C3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镀锌管接头</w:t>
            </w:r>
          </w:p>
        </w:tc>
        <w:tc>
          <w:tcPr>
            <w:tcW w:w="4295" w:type="dxa"/>
            <w:shd w:val="clear" w:color="auto" w:fill="auto"/>
            <w:vAlign w:val="center"/>
          </w:tcPr>
          <w:p w14:paraId="1580826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DN114镀锌管接头4寸×1m</w:t>
            </w:r>
          </w:p>
        </w:tc>
        <w:tc>
          <w:tcPr>
            <w:tcW w:w="1214" w:type="dxa"/>
            <w:shd w:val="clear" w:color="auto" w:fill="auto"/>
            <w:vAlign w:val="center"/>
          </w:tcPr>
          <w:p w14:paraId="02CD824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0B451F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62.40</w:t>
            </w:r>
          </w:p>
        </w:tc>
        <w:tc>
          <w:tcPr>
            <w:tcW w:w="3968" w:type="dxa"/>
            <w:shd w:val="clear" w:color="auto" w:fill="auto"/>
            <w:noWrap/>
            <w:vAlign w:val="center"/>
          </w:tcPr>
          <w:p w14:paraId="1D6C7CFF">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29DF83A2">
            <w:pPr>
              <w:rPr>
                <w:rFonts w:hint="eastAsia" w:ascii="宋体" w:hAnsi="宋体" w:eastAsia="宋体" w:cs="宋体"/>
                <w:i w:val="0"/>
                <w:iCs w:val="0"/>
                <w:color w:val="auto"/>
                <w:sz w:val="22"/>
                <w:szCs w:val="22"/>
                <w:highlight w:val="none"/>
                <w:u w:val="none"/>
              </w:rPr>
            </w:pPr>
          </w:p>
        </w:tc>
      </w:tr>
      <w:tr w14:paraId="4044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2F00A4A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w:t>
            </w:r>
          </w:p>
        </w:tc>
        <w:tc>
          <w:tcPr>
            <w:tcW w:w="2319" w:type="dxa"/>
            <w:shd w:val="clear" w:color="auto" w:fill="auto"/>
            <w:vAlign w:val="center"/>
          </w:tcPr>
          <w:p w14:paraId="3C9A4E5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顶管DN110</w:t>
            </w:r>
          </w:p>
        </w:tc>
        <w:tc>
          <w:tcPr>
            <w:tcW w:w="4295" w:type="dxa"/>
            <w:shd w:val="clear" w:color="auto" w:fill="auto"/>
            <w:vAlign w:val="center"/>
          </w:tcPr>
          <w:p w14:paraId="1A92A1B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内径100mm，外径110mm,壁厚约6.6mm</w:t>
            </w:r>
          </w:p>
        </w:tc>
        <w:tc>
          <w:tcPr>
            <w:tcW w:w="1214" w:type="dxa"/>
            <w:shd w:val="clear" w:color="auto" w:fill="auto"/>
            <w:vAlign w:val="center"/>
          </w:tcPr>
          <w:p w14:paraId="4D4B256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7C57B6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562.00</w:t>
            </w:r>
          </w:p>
        </w:tc>
        <w:tc>
          <w:tcPr>
            <w:tcW w:w="3968" w:type="dxa"/>
            <w:shd w:val="clear" w:color="auto" w:fill="auto"/>
            <w:noWrap/>
            <w:vAlign w:val="center"/>
          </w:tcPr>
          <w:p w14:paraId="681CC0AD">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021DB935">
            <w:pPr>
              <w:rPr>
                <w:rFonts w:hint="eastAsia" w:ascii="宋体" w:hAnsi="宋体" w:eastAsia="宋体" w:cs="宋体"/>
                <w:i w:val="0"/>
                <w:iCs w:val="0"/>
                <w:color w:val="auto"/>
                <w:sz w:val="22"/>
                <w:szCs w:val="22"/>
                <w:highlight w:val="none"/>
                <w:u w:val="none"/>
              </w:rPr>
            </w:pPr>
          </w:p>
        </w:tc>
      </w:tr>
      <w:tr w14:paraId="4395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27" w:type="dxa"/>
            <w:shd w:val="clear" w:color="auto" w:fill="auto"/>
            <w:noWrap/>
            <w:vAlign w:val="center"/>
          </w:tcPr>
          <w:p w14:paraId="77B9F85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13</w:t>
            </w:r>
          </w:p>
        </w:tc>
        <w:tc>
          <w:tcPr>
            <w:tcW w:w="2319" w:type="dxa"/>
            <w:shd w:val="clear" w:color="auto" w:fill="auto"/>
            <w:vAlign w:val="center"/>
          </w:tcPr>
          <w:p w14:paraId="541DA75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水泥工井(带砌口φ80工井框)</w:t>
            </w:r>
          </w:p>
        </w:tc>
        <w:tc>
          <w:tcPr>
            <w:tcW w:w="4295" w:type="dxa"/>
            <w:shd w:val="clear" w:color="auto" w:fill="auto"/>
            <w:vAlign w:val="center"/>
          </w:tcPr>
          <w:p w14:paraId="7A39705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(带砌口φ80工井框)</w:t>
            </w:r>
          </w:p>
        </w:tc>
        <w:tc>
          <w:tcPr>
            <w:tcW w:w="1214" w:type="dxa"/>
            <w:shd w:val="clear" w:color="auto" w:fill="auto"/>
            <w:vAlign w:val="center"/>
          </w:tcPr>
          <w:p w14:paraId="36C1886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181A0B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884.14</w:t>
            </w:r>
          </w:p>
        </w:tc>
        <w:tc>
          <w:tcPr>
            <w:tcW w:w="3968" w:type="dxa"/>
            <w:shd w:val="clear" w:color="auto" w:fill="auto"/>
            <w:noWrap/>
            <w:vAlign w:val="center"/>
          </w:tcPr>
          <w:p w14:paraId="78F4FE5F">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3179413D">
            <w:pPr>
              <w:rPr>
                <w:rFonts w:hint="eastAsia" w:ascii="宋体" w:hAnsi="宋体" w:eastAsia="宋体" w:cs="宋体"/>
                <w:i w:val="0"/>
                <w:iCs w:val="0"/>
                <w:color w:val="auto"/>
                <w:sz w:val="22"/>
                <w:szCs w:val="22"/>
                <w:highlight w:val="none"/>
                <w:u w:val="none"/>
              </w:rPr>
            </w:pPr>
          </w:p>
        </w:tc>
      </w:tr>
      <w:tr w14:paraId="3433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727" w:type="dxa"/>
            <w:shd w:val="clear" w:color="auto" w:fill="auto"/>
            <w:noWrap/>
            <w:vAlign w:val="center"/>
          </w:tcPr>
          <w:p w14:paraId="1B6DF3A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14</w:t>
            </w:r>
          </w:p>
        </w:tc>
        <w:tc>
          <w:tcPr>
            <w:tcW w:w="2319" w:type="dxa"/>
            <w:shd w:val="clear" w:color="auto" w:fill="auto"/>
            <w:vAlign w:val="center"/>
          </w:tcPr>
          <w:p w14:paraId="6BBF9A8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水泥工井(带砌口40cm*65cm)</w:t>
            </w:r>
          </w:p>
        </w:tc>
        <w:tc>
          <w:tcPr>
            <w:tcW w:w="4295" w:type="dxa"/>
            <w:shd w:val="clear" w:color="auto" w:fill="auto"/>
            <w:vAlign w:val="center"/>
          </w:tcPr>
          <w:p w14:paraId="67FC580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(带砌口40cm*65cm)</w:t>
            </w:r>
          </w:p>
        </w:tc>
        <w:tc>
          <w:tcPr>
            <w:tcW w:w="1214" w:type="dxa"/>
            <w:shd w:val="clear" w:color="auto" w:fill="auto"/>
            <w:vAlign w:val="center"/>
          </w:tcPr>
          <w:p w14:paraId="7DB583F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200" w:type="dxa"/>
            <w:shd w:val="clear" w:color="auto" w:fill="auto"/>
            <w:noWrap/>
            <w:vAlign w:val="center"/>
          </w:tcPr>
          <w:p w14:paraId="5785EB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631.51</w:t>
            </w:r>
          </w:p>
        </w:tc>
        <w:tc>
          <w:tcPr>
            <w:tcW w:w="3968" w:type="dxa"/>
            <w:shd w:val="clear" w:color="auto" w:fill="auto"/>
            <w:noWrap/>
            <w:vAlign w:val="center"/>
          </w:tcPr>
          <w:p w14:paraId="403D59F6">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0C0AE4CE">
            <w:pPr>
              <w:rPr>
                <w:rFonts w:hint="eastAsia" w:ascii="宋体" w:hAnsi="宋体" w:eastAsia="宋体" w:cs="宋体"/>
                <w:i w:val="0"/>
                <w:iCs w:val="0"/>
                <w:color w:val="auto"/>
                <w:sz w:val="22"/>
                <w:szCs w:val="22"/>
                <w:highlight w:val="none"/>
                <w:u w:val="none"/>
              </w:rPr>
            </w:pPr>
          </w:p>
        </w:tc>
      </w:tr>
      <w:tr w14:paraId="0466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7" w:type="dxa"/>
            <w:shd w:val="clear" w:color="auto" w:fill="auto"/>
            <w:noWrap/>
            <w:vAlign w:val="center"/>
          </w:tcPr>
          <w:p w14:paraId="2367614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15</w:t>
            </w:r>
          </w:p>
        </w:tc>
        <w:tc>
          <w:tcPr>
            <w:tcW w:w="2319" w:type="dxa"/>
            <w:shd w:val="clear" w:color="auto" w:fill="auto"/>
            <w:vAlign w:val="center"/>
          </w:tcPr>
          <w:p w14:paraId="4D03B01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大水泥工井(带砌口76cm*85cm)</w:t>
            </w:r>
          </w:p>
        </w:tc>
        <w:tc>
          <w:tcPr>
            <w:tcW w:w="4295" w:type="dxa"/>
            <w:shd w:val="clear" w:color="auto" w:fill="auto"/>
            <w:vAlign w:val="center"/>
          </w:tcPr>
          <w:p w14:paraId="7A11AEC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(带砌口76cm*85cm)</w:t>
            </w:r>
          </w:p>
        </w:tc>
        <w:tc>
          <w:tcPr>
            <w:tcW w:w="1214" w:type="dxa"/>
            <w:shd w:val="clear" w:color="auto" w:fill="auto"/>
            <w:vAlign w:val="center"/>
          </w:tcPr>
          <w:p w14:paraId="3C77F1A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200" w:type="dxa"/>
            <w:shd w:val="clear" w:color="auto" w:fill="auto"/>
            <w:noWrap/>
            <w:vAlign w:val="center"/>
          </w:tcPr>
          <w:p w14:paraId="671190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757.82</w:t>
            </w:r>
          </w:p>
        </w:tc>
        <w:tc>
          <w:tcPr>
            <w:tcW w:w="3968" w:type="dxa"/>
            <w:shd w:val="clear" w:color="auto" w:fill="auto"/>
            <w:noWrap/>
            <w:vAlign w:val="center"/>
          </w:tcPr>
          <w:p w14:paraId="5AEDD630">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126B9988">
            <w:pPr>
              <w:rPr>
                <w:rFonts w:hint="eastAsia" w:ascii="宋体" w:hAnsi="宋体" w:eastAsia="宋体" w:cs="宋体"/>
                <w:i w:val="0"/>
                <w:iCs w:val="0"/>
                <w:color w:val="auto"/>
                <w:sz w:val="22"/>
                <w:szCs w:val="22"/>
                <w:highlight w:val="none"/>
                <w:u w:val="none"/>
              </w:rPr>
            </w:pPr>
          </w:p>
        </w:tc>
      </w:tr>
      <w:tr w14:paraId="1361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727" w:type="dxa"/>
            <w:shd w:val="clear" w:color="auto" w:fill="auto"/>
            <w:noWrap/>
            <w:vAlign w:val="center"/>
          </w:tcPr>
          <w:p w14:paraId="74C2C91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16</w:t>
            </w:r>
          </w:p>
        </w:tc>
        <w:tc>
          <w:tcPr>
            <w:tcW w:w="2319" w:type="dxa"/>
            <w:shd w:val="clear" w:color="auto" w:fill="auto"/>
            <w:vAlign w:val="center"/>
          </w:tcPr>
          <w:p w14:paraId="61522B6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绿化带开挖.恢复（30cm*50cm)</w:t>
            </w:r>
          </w:p>
        </w:tc>
        <w:tc>
          <w:tcPr>
            <w:tcW w:w="4295" w:type="dxa"/>
            <w:shd w:val="clear" w:color="auto" w:fill="auto"/>
            <w:vAlign w:val="center"/>
          </w:tcPr>
          <w:p w14:paraId="08069D18">
            <w:pPr>
              <w:jc w:val="center"/>
              <w:rPr>
                <w:rFonts w:hint="eastAsia" w:ascii="新宋体" w:hAnsi="新宋体" w:eastAsia="新宋体" w:cs="新宋体"/>
                <w:i w:val="0"/>
                <w:iCs w:val="0"/>
                <w:color w:val="auto"/>
                <w:sz w:val="22"/>
                <w:szCs w:val="22"/>
                <w:highlight w:val="none"/>
                <w:u w:val="none"/>
              </w:rPr>
            </w:pPr>
          </w:p>
        </w:tc>
        <w:tc>
          <w:tcPr>
            <w:tcW w:w="1214" w:type="dxa"/>
            <w:shd w:val="clear" w:color="auto" w:fill="auto"/>
            <w:vAlign w:val="center"/>
          </w:tcPr>
          <w:p w14:paraId="4C4D382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131394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120.00</w:t>
            </w:r>
          </w:p>
        </w:tc>
        <w:tc>
          <w:tcPr>
            <w:tcW w:w="3968" w:type="dxa"/>
            <w:shd w:val="clear" w:color="auto" w:fill="auto"/>
            <w:noWrap/>
            <w:vAlign w:val="center"/>
          </w:tcPr>
          <w:p w14:paraId="47EFAEB7">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318EEE0D">
            <w:pPr>
              <w:rPr>
                <w:rFonts w:hint="eastAsia" w:ascii="宋体" w:hAnsi="宋体" w:eastAsia="宋体" w:cs="宋体"/>
                <w:i w:val="0"/>
                <w:iCs w:val="0"/>
                <w:color w:val="auto"/>
                <w:sz w:val="22"/>
                <w:szCs w:val="22"/>
                <w:highlight w:val="none"/>
                <w:u w:val="none"/>
              </w:rPr>
            </w:pPr>
          </w:p>
        </w:tc>
      </w:tr>
      <w:tr w14:paraId="08F3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restart"/>
            <w:shd w:val="clear" w:color="auto" w:fill="auto"/>
            <w:noWrap/>
            <w:vAlign w:val="center"/>
          </w:tcPr>
          <w:p w14:paraId="02DE1C2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17</w:t>
            </w:r>
          </w:p>
        </w:tc>
        <w:tc>
          <w:tcPr>
            <w:tcW w:w="2319" w:type="dxa"/>
            <w:vMerge w:val="restart"/>
            <w:shd w:val="clear" w:color="auto" w:fill="auto"/>
            <w:vAlign w:val="center"/>
          </w:tcPr>
          <w:p w14:paraId="3EE1835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透水砖面人行道开挖、恢复（30cm*50cm）</w:t>
            </w:r>
          </w:p>
        </w:tc>
        <w:tc>
          <w:tcPr>
            <w:tcW w:w="4295" w:type="dxa"/>
            <w:shd w:val="clear" w:color="auto" w:fill="auto"/>
            <w:vAlign w:val="center"/>
          </w:tcPr>
          <w:p w14:paraId="461C3DB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1、6cm厚透水砖+3cm厚水泥砂浆</w:t>
            </w:r>
          </w:p>
        </w:tc>
        <w:tc>
          <w:tcPr>
            <w:tcW w:w="1214" w:type="dxa"/>
            <w:vMerge w:val="restart"/>
            <w:shd w:val="clear" w:color="auto" w:fill="auto"/>
            <w:vAlign w:val="center"/>
          </w:tcPr>
          <w:p w14:paraId="77AE69D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vMerge w:val="restart"/>
            <w:shd w:val="clear" w:color="auto" w:fill="auto"/>
            <w:noWrap/>
            <w:vAlign w:val="center"/>
          </w:tcPr>
          <w:p w14:paraId="1CF237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294.69</w:t>
            </w:r>
          </w:p>
        </w:tc>
        <w:tc>
          <w:tcPr>
            <w:tcW w:w="3968" w:type="dxa"/>
            <w:shd w:val="clear" w:color="auto" w:fill="auto"/>
            <w:noWrap/>
            <w:vAlign w:val="center"/>
          </w:tcPr>
          <w:p w14:paraId="625AABA9">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3179BCF8">
            <w:pPr>
              <w:rPr>
                <w:rFonts w:hint="eastAsia" w:ascii="宋体" w:hAnsi="宋体" w:eastAsia="宋体" w:cs="宋体"/>
                <w:i w:val="0"/>
                <w:iCs w:val="0"/>
                <w:color w:val="auto"/>
                <w:sz w:val="22"/>
                <w:szCs w:val="22"/>
                <w:highlight w:val="none"/>
                <w:u w:val="none"/>
              </w:rPr>
            </w:pPr>
          </w:p>
        </w:tc>
      </w:tr>
      <w:tr w14:paraId="0583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24FE9C61">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vAlign w:val="center"/>
          </w:tcPr>
          <w:p w14:paraId="4AB253CC">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vAlign w:val="center"/>
          </w:tcPr>
          <w:p w14:paraId="009FFCA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2、20cm厚C25混凝土基层</w:t>
            </w:r>
          </w:p>
        </w:tc>
        <w:tc>
          <w:tcPr>
            <w:tcW w:w="1214" w:type="dxa"/>
            <w:vMerge w:val="continue"/>
            <w:shd w:val="clear" w:color="auto" w:fill="auto"/>
            <w:vAlign w:val="center"/>
          </w:tcPr>
          <w:p w14:paraId="2D386168">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5BA65C22">
            <w:pPr>
              <w:jc w:val="center"/>
              <w:rPr>
                <w:rFonts w:hint="eastAsia" w:ascii="宋体" w:hAnsi="宋体" w:eastAsia="宋体" w:cs="宋体"/>
                <w:i w:val="0"/>
                <w:iCs w:val="0"/>
                <w:color w:val="auto"/>
                <w:sz w:val="22"/>
                <w:szCs w:val="22"/>
                <w:highlight w:val="none"/>
                <w:u w:val="none"/>
              </w:rPr>
            </w:pPr>
          </w:p>
        </w:tc>
        <w:tc>
          <w:tcPr>
            <w:tcW w:w="3968" w:type="dxa"/>
            <w:shd w:val="clear" w:color="auto" w:fill="auto"/>
            <w:noWrap/>
            <w:vAlign w:val="center"/>
          </w:tcPr>
          <w:p w14:paraId="1E8AC7ED">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45E509EB">
            <w:pPr>
              <w:rPr>
                <w:rFonts w:hint="eastAsia" w:ascii="宋体" w:hAnsi="宋体" w:eastAsia="宋体" w:cs="宋体"/>
                <w:i w:val="0"/>
                <w:iCs w:val="0"/>
                <w:color w:val="auto"/>
                <w:sz w:val="22"/>
                <w:szCs w:val="22"/>
                <w:highlight w:val="none"/>
                <w:u w:val="none"/>
              </w:rPr>
            </w:pPr>
          </w:p>
        </w:tc>
      </w:tr>
      <w:tr w14:paraId="5090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restart"/>
            <w:shd w:val="clear" w:color="auto" w:fill="auto"/>
            <w:noWrap/>
            <w:vAlign w:val="center"/>
          </w:tcPr>
          <w:p w14:paraId="269636C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18</w:t>
            </w:r>
          </w:p>
        </w:tc>
        <w:tc>
          <w:tcPr>
            <w:tcW w:w="2319" w:type="dxa"/>
            <w:vMerge w:val="restart"/>
            <w:shd w:val="clear" w:color="auto" w:fill="auto"/>
            <w:vAlign w:val="center"/>
          </w:tcPr>
          <w:p w14:paraId="4E88F09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沥青混凝土(板块)过街开挖.恢复（50cm宽，70cm深，C25砼修复）</w:t>
            </w:r>
          </w:p>
        </w:tc>
        <w:tc>
          <w:tcPr>
            <w:tcW w:w="4295" w:type="dxa"/>
            <w:shd w:val="clear" w:color="auto" w:fill="auto"/>
            <w:vAlign w:val="center"/>
          </w:tcPr>
          <w:p w14:paraId="2133D6F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1、4cm厚AC-13C细粒式沥青混凝土</w:t>
            </w:r>
          </w:p>
        </w:tc>
        <w:tc>
          <w:tcPr>
            <w:tcW w:w="1214" w:type="dxa"/>
            <w:vMerge w:val="restart"/>
            <w:shd w:val="clear" w:color="auto" w:fill="auto"/>
            <w:vAlign w:val="center"/>
          </w:tcPr>
          <w:p w14:paraId="2664366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vMerge w:val="restart"/>
            <w:shd w:val="clear" w:color="auto" w:fill="auto"/>
            <w:noWrap/>
            <w:vAlign w:val="center"/>
          </w:tcPr>
          <w:p w14:paraId="4E0917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220.28</w:t>
            </w:r>
          </w:p>
        </w:tc>
        <w:tc>
          <w:tcPr>
            <w:tcW w:w="3968" w:type="dxa"/>
            <w:shd w:val="clear" w:color="auto" w:fill="auto"/>
            <w:noWrap/>
            <w:vAlign w:val="center"/>
          </w:tcPr>
          <w:p w14:paraId="33606ABB">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6AD827F0">
            <w:pPr>
              <w:rPr>
                <w:rFonts w:hint="eastAsia" w:ascii="宋体" w:hAnsi="宋体" w:eastAsia="宋体" w:cs="宋体"/>
                <w:i w:val="0"/>
                <w:iCs w:val="0"/>
                <w:color w:val="auto"/>
                <w:sz w:val="22"/>
                <w:szCs w:val="22"/>
                <w:highlight w:val="none"/>
                <w:u w:val="none"/>
              </w:rPr>
            </w:pPr>
          </w:p>
        </w:tc>
      </w:tr>
      <w:tr w14:paraId="6289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088FA8FE">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vAlign w:val="center"/>
          </w:tcPr>
          <w:p w14:paraId="2A1D5504">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vAlign w:val="center"/>
          </w:tcPr>
          <w:p w14:paraId="4B881CE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2、乳化沥青粘层</w:t>
            </w:r>
          </w:p>
        </w:tc>
        <w:tc>
          <w:tcPr>
            <w:tcW w:w="1214" w:type="dxa"/>
            <w:vMerge w:val="continue"/>
            <w:shd w:val="clear" w:color="auto" w:fill="auto"/>
            <w:vAlign w:val="center"/>
          </w:tcPr>
          <w:p w14:paraId="456D5DE9">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24A02072">
            <w:pPr>
              <w:jc w:val="center"/>
              <w:rPr>
                <w:rFonts w:hint="eastAsia" w:ascii="宋体" w:hAnsi="宋体" w:eastAsia="宋体" w:cs="宋体"/>
                <w:i w:val="0"/>
                <w:iCs w:val="0"/>
                <w:color w:val="auto"/>
                <w:sz w:val="22"/>
                <w:szCs w:val="22"/>
                <w:highlight w:val="none"/>
                <w:u w:val="none"/>
              </w:rPr>
            </w:pPr>
          </w:p>
        </w:tc>
        <w:tc>
          <w:tcPr>
            <w:tcW w:w="3968" w:type="dxa"/>
            <w:shd w:val="clear" w:color="auto" w:fill="auto"/>
            <w:noWrap/>
            <w:vAlign w:val="center"/>
          </w:tcPr>
          <w:p w14:paraId="499AA835">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37FBEE92">
            <w:pPr>
              <w:rPr>
                <w:rFonts w:hint="eastAsia" w:ascii="宋体" w:hAnsi="宋体" w:eastAsia="宋体" w:cs="宋体"/>
                <w:i w:val="0"/>
                <w:iCs w:val="0"/>
                <w:color w:val="auto"/>
                <w:sz w:val="22"/>
                <w:szCs w:val="22"/>
                <w:highlight w:val="none"/>
                <w:u w:val="none"/>
              </w:rPr>
            </w:pPr>
          </w:p>
        </w:tc>
      </w:tr>
      <w:tr w14:paraId="330C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25071B11">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vAlign w:val="center"/>
          </w:tcPr>
          <w:p w14:paraId="250C9F50">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vAlign w:val="center"/>
          </w:tcPr>
          <w:p w14:paraId="693617F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3、6cm厚AC-25C中粒式沥青混凝土</w:t>
            </w:r>
          </w:p>
        </w:tc>
        <w:tc>
          <w:tcPr>
            <w:tcW w:w="1214" w:type="dxa"/>
            <w:vMerge w:val="continue"/>
            <w:shd w:val="clear" w:color="auto" w:fill="auto"/>
            <w:vAlign w:val="center"/>
          </w:tcPr>
          <w:p w14:paraId="2888A500">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66139A97">
            <w:pPr>
              <w:jc w:val="center"/>
              <w:rPr>
                <w:rFonts w:hint="eastAsia" w:ascii="宋体" w:hAnsi="宋体" w:eastAsia="宋体" w:cs="宋体"/>
                <w:i w:val="0"/>
                <w:iCs w:val="0"/>
                <w:color w:val="auto"/>
                <w:sz w:val="22"/>
                <w:szCs w:val="22"/>
                <w:highlight w:val="none"/>
                <w:u w:val="none"/>
              </w:rPr>
            </w:pPr>
          </w:p>
        </w:tc>
        <w:tc>
          <w:tcPr>
            <w:tcW w:w="3968" w:type="dxa"/>
            <w:shd w:val="clear" w:color="auto" w:fill="auto"/>
            <w:noWrap/>
            <w:vAlign w:val="center"/>
          </w:tcPr>
          <w:p w14:paraId="6962A724">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4B53FEF6">
            <w:pPr>
              <w:rPr>
                <w:rFonts w:hint="eastAsia" w:ascii="宋体" w:hAnsi="宋体" w:eastAsia="宋体" w:cs="宋体"/>
                <w:i w:val="0"/>
                <w:iCs w:val="0"/>
                <w:color w:val="auto"/>
                <w:sz w:val="22"/>
                <w:szCs w:val="22"/>
                <w:highlight w:val="none"/>
                <w:u w:val="none"/>
              </w:rPr>
            </w:pPr>
          </w:p>
        </w:tc>
      </w:tr>
      <w:tr w14:paraId="76DD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5E68ADE9">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vAlign w:val="center"/>
          </w:tcPr>
          <w:p w14:paraId="52608C31">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vAlign w:val="center"/>
          </w:tcPr>
          <w:p w14:paraId="6CD01C6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4、透层乳化沥青</w:t>
            </w:r>
          </w:p>
        </w:tc>
        <w:tc>
          <w:tcPr>
            <w:tcW w:w="1214" w:type="dxa"/>
            <w:vMerge w:val="continue"/>
            <w:shd w:val="clear" w:color="auto" w:fill="auto"/>
            <w:vAlign w:val="center"/>
          </w:tcPr>
          <w:p w14:paraId="1A8B2355">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3D22E2B0">
            <w:pPr>
              <w:jc w:val="center"/>
              <w:rPr>
                <w:rFonts w:hint="eastAsia" w:ascii="宋体" w:hAnsi="宋体" w:eastAsia="宋体" w:cs="宋体"/>
                <w:i w:val="0"/>
                <w:iCs w:val="0"/>
                <w:color w:val="auto"/>
                <w:sz w:val="22"/>
                <w:szCs w:val="22"/>
                <w:highlight w:val="none"/>
                <w:u w:val="none"/>
              </w:rPr>
            </w:pPr>
          </w:p>
        </w:tc>
        <w:tc>
          <w:tcPr>
            <w:tcW w:w="3968" w:type="dxa"/>
            <w:shd w:val="clear" w:color="auto" w:fill="auto"/>
            <w:noWrap/>
            <w:vAlign w:val="center"/>
          </w:tcPr>
          <w:p w14:paraId="75196D91">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7CD146F9">
            <w:pPr>
              <w:rPr>
                <w:rFonts w:hint="eastAsia" w:ascii="宋体" w:hAnsi="宋体" w:eastAsia="宋体" w:cs="宋体"/>
                <w:i w:val="0"/>
                <w:iCs w:val="0"/>
                <w:color w:val="auto"/>
                <w:sz w:val="22"/>
                <w:szCs w:val="22"/>
                <w:highlight w:val="none"/>
                <w:u w:val="none"/>
              </w:rPr>
            </w:pPr>
          </w:p>
        </w:tc>
      </w:tr>
      <w:tr w14:paraId="30A4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69B6C233">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vAlign w:val="center"/>
          </w:tcPr>
          <w:p w14:paraId="6A2DF9F8">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vAlign w:val="center"/>
          </w:tcPr>
          <w:p w14:paraId="6873A6B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5、20cm厚C25混凝土基础</w:t>
            </w:r>
          </w:p>
        </w:tc>
        <w:tc>
          <w:tcPr>
            <w:tcW w:w="1214" w:type="dxa"/>
            <w:vMerge w:val="continue"/>
            <w:shd w:val="clear" w:color="auto" w:fill="auto"/>
            <w:vAlign w:val="center"/>
          </w:tcPr>
          <w:p w14:paraId="6F369005">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3B28B598">
            <w:pPr>
              <w:jc w:val="center"/>
              <w:rPr>
                <w:rFonts w:hint="eastAsia" w:ascii="宋体" w:hAnsi="宋体" w:eastAsia="宋体" w:cs="宋体"/>
                <w:i w:val="0"/>
                <w:iCs w:val="0"/>
                <w:color w:val="auto"/>
                <w:sz w:val="22"/>
                <w:szCs w:val="22"/>
                <w:highlight w:val="none"/>
                <w:u w:val="none"/>
              </w:rPr>
            </w:pPr>
          </w:p>
        </w:tc>
        <w:tc>
          <w:tcPr>
            <w:tcW w:w="3968" w:type="dxa"/>
            <w:shd w:val="clear" w:color="auto" w:fill="auto"/>
            <w:noWrap/>
            <w:vAlign w:val="center"/>
          </w:tcPr>
          <w:p w14:paraId="3396B635">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37BD62F4">
            <w:pPr>
              <w:rPr>
                <w:rFonts w:hint="eastAsia" w:ascii="宋体" w:hAnsi="宋体" w:eastAsia="宋体" w:cs="宋体"/>
                <w:i w:val="0"/>
                <w:iCs w:val="0"/>
                <w:color w:val="auto"/>
                <w:sz w:val="22"/>
                <w:szCs w:val="22"/>
                <w:highlight w:val="none"/>
                <w:u w:val="none"/>
              </w:rPr>
            </w:pPr>
          </w:p>
        </w:tc>
      </w:tr>
      <w:tr w14:paraId="6BA7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restart"/>
            <w:shd w:val="clear" w:color="auto" w:fill="auto"/>
            <w:noWrap/>
            <w:vAlign w:val="center"/>
          </w:tcPr>
          <w:p w14:paraId="608D8C6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19</w:t>
            </w:r>
          </w:p>
        </w:tc>
        <w:tc>
          <w:tcPr>
            <w:tcW w:w="2319" w:type="dxa"/>
            <w:vMerge w:val="restart"/>
            <w:shd w:val="clear" w:color="auto" w:fill="auto"/>
            <w:vAlign w:val="center"/>
          </w:tcPr>
          <w:p w14:paraId="472F2BF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水泥混凝土(板块)过街开挖.恢复（50cm宽，70cm深，C25砼修复）</w:t>
            </w:r>
          </w:p>
        </w:tc>
        <w:tc>
          <w:tcPr>
            <w:tcW w:w="4295" w:type="dxa"/>
            <w:shd w:val="clear" w:color="auto" w:fill="auto"/>
            <w:vAlign w:val="center"/>
          </w:tcPr>
          <w:p w14:paraId="578E340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1、20cm厚C30混凝土</w:t>
            </w:r>
          </w:p>
        </w:tc>
        <w:tc>
          <w:tcPr>
            <w:tcW w:w="1214" w:type="dxa"/>
            <w:vMerge w:val="restart"/>
            <w:shd w:val="clear" w:color="auto" w:fill="auto"/>
            <w:vAlign w:val="center"/>
          </w:tcPr>
          <w:p w14:paraId="1EFB5B1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vMerge w:val="restart"/>
            <w:shd w:val="clear" w:color="auto" w:fill="auto"/>
            <w:noWrap/>
            <w:vAlign w:val="center"/>
          </w:tcPr>
          <w:p w14:paraId="0EAC7C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191.84</w:t>
            </w:r>
          </w:p>
        </w:tc>
        <w:tc>
          <w:tcPr>
            <w:tcW w:w="3968" w:type="dxa"/>
            <w:shd w:val="clear" w:color="auto" w:fill="auto"/>
            <w:noWrap/>
            <w:vAlign w:val="center"/>
          </w:tcPr>
          <w:p w14:paraId="4F1DB408">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3FCB408F">
            <w:pPr>
              <w:rPr>
                <w:rFonts w:hint="eastAsia" w:ascii="宋体" w:hAnsi="宋体" w:eastAsia="宋体" w:cs="宋体"/>
                <w:i w:val="0"/>
                <w:iCs w:val="0"/>
                <w:color w:val="auto"/>
                <w:sz w:val="22"/>
                <w:szCs w:val="22"/>
                <w:highlight w:val="none"/>
                <w:u w:val="none"/>
              </w:rPr>
            </w:pPr>
          </w:p>
        </w:tc>
      </w:tr>
      <w:tr w14:paraId="10BF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4CDCCC25">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vAlign w:val="center"/>
          </w:tcPr>
          <w:p w14:paraId="47D84FB8">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vAlign w:val="center"/>
          </w:tcPr>
          <w:p w14:paraId="3883A91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2、20cm厚5%水泥稳定碎石层</w:t>
            </w:r>
          </w:p>
        </w:tc>
        <w:tc>
          <w:tcPr>
            <w:tcW w:w="1214" w:type="dxa"/>
            <w:vMerge w:val="continue"/>
            <w:shd w:val="clear" w:color="auto" w:fill="auto"/>
            <w:vAlign w:val="center"/>
          </w:tcPr>
          <w:p w14:paraId="3E9AC802">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09B40BAA">
            <w:pPr>
              <w:jc w:val="center"/>
              <w:rPr>
                <w:rFonts w:hint="eastAsia" w:ascii="宋体" w:hAnsi="宋体" w:eastAsia="宋体" w:cs="宋体"/>
                <w:i w:val="0"/>
                <w:iCs w:val="0"/>
                <w:color w:val="auto"/>
                <w:sz w:val="22"/>
                <w:szCs w:val="22"/>
                <w:highlight w:val="none"/>
                <w:u w:val="none"/>
              </w:rPr>
            </w:pPr>
          </w:p>
        </w:tc>
        <w:tc>
          <w:tcPr>
            <w:tcW w:w="3968" w:type="dxa"/>
            <w:shd w:val="clear" w:color="auto" w:fill="auto"/>
            <w:noWrap/>
            <w:vAlign w:val="center"/>
          </w:tcPr>
          <w:p w14:paraId="66EDF3A9">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261E33CD">
            <w:pPr>
              <w:rPr>
                <w:rFonts w:hint="eastAsia" w:ascii="宋体" w:hAnsi="宋体" w:eastAsia="宋体" w:cs="宋体"/>
                <w:i w:val="0"/>
                <w:iCs w:val="0"/>
                <w:color w:val="auto"/>
                <w:sz w:val="22"/>
                <w:szCs w:val="22"/>
                <w:highlight w:val="none"/>
                <w:u w:val="none"/>
              </w:rPr>
            </w:pPr>
          </w:p>
        </w:tc>
      </w:tr>
      <w:tr w14:paraId="593A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20" w:hRule="atLeast"/>
        </w:trPr>
        <w:tc>
          <w:tcPr>
            <w:tcW w:w="727" w:type="dxa"/>
            <w:shd w:val="clear" w:color="auto" w:fill="auto"/>
            <w:noWrap/>
            <w:vAlign w:val="center"/>
          </w:tcPr>
          <w:p w14:paraId="1844AA0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20</w:t>
            </w:r>
          </w:p>
        </w:tc>
        <w:tc>
          <w:tcPr>
            <w:tcW w:w="2319" w:type="dxa"/>
            <w:shd w:val="clear" w:color="auto" w:fill="auto"/>
            <w:vAlign w:val="center"/>
          </w:tcPr>
          <w:p w14:paraId="3C0CA88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防撞桶Ф60</w:t>
            </w:r>
          </w:p>
        </w:tc>
        <w:tc>
          <w:tcPr>
            <w:tcW w:w="4295" w:type="dxa"/>
            <w:shd w:val="clear" w:color="auto" w:fill="auto"/>
            <w:vAlign w:val="center"/>
          </w:tcPr>
          <w:p w14:paraId="5EF6756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1.直径600mm×800mm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2.PE，含黄沙（1/3高）,装水量200kg,拉伸强度16.44MPa,断裂伸长率264%%，冲击强度15kj/C㎡</w:t>
            </w:r>
          </w:p>
        </w:tc>
        <w:tc>
          <w:tcPr>
            <w:tcW w:w="1214" w:type="dxa"/>
            <w:shd w:val="clear" w:color="auto" w:fill="auto"/>
            <w:vAlign w:val="center"/>
          </w:tcPr>
          <w:p w14:paraId="565930A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2A2019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144.00</w:t>
            </w:r>
          </w:p>
        </w:tc>
        <w:tc>
          <w:tcPr>
            <w:tcW w:w="3968" w:type="dxa"/>
            <w:shd w:val="clear" w:color="auto" w:fill="auto"/>
            <w:noWrap/>
            <w:vAlign w:val="center"/>
          </w:tcPr>
          <w:p w14:paraId="4EB58F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364740" cy="1400175"/>
                  <wp:effectExtent l="0" t="0" r="16510" b="9525"/>
                  <wp:docPr id="140" name="图片_5"/>
                  <wp:cNvGraphicFramePr/>
                  <a:graphic xmlns:a="http://schemas.openxmlformats.org/drawingml/2006/main">
                    <a:graphicData uri="http://schemas.openxmlformats.org/drawingml/2006/picture">
                      <pic:pic xmlns:pic="http://schemas.openxmlformats.org/drawingml/2006/picture">
                        <pic:nvPicPr>
                          <pic:cNvPr id="140" name="图片_5"/>
                          <pic:cNvPicPr/>
                        </pic:nvPicPr>
                        <pic:blipFill>
                          <a:blip r:embed="rId52"/>
                          <a:stretch>
                            <a:fillRect/>
                          </a:stretch>
                        </pic:blipFill>
                        <pic:spPr>
                          <a:xfrm>
                            <a:off x="0" y="0"/>
                            <a:ext cx="2364740" cy="1400175"/>
                          </a:xfrm>
                          <a:prstGeom prst="rect">
                            <a:avLst/>
                          </a:prstGeom>
                          <a:noFill/>
                          <a:ln>
                            <a:noFill/>
                          </a:ln>
                        </pic:spPr>
                      </pic:pic>
                    </a:graphicData>
                  </a:graphic>
                </wp:inline>
              </w:drawing>
            </w:r>
          </w:p>
        </w:tc>
        <w:tc>
          <w:tcPr>
            <w:tcW w:w="1391" w:type="dxa"/>
            <w:shd w:val="clear" w:color="auto" w:fill="auto"/>
            <w:noWrap/>
            <w:vAlign w:val="center"/>
          </w:tcPr>
          <w:p w14:paraId="49AC7F4E">
            <w:pPr>
              <w:rPr>
                <w:rFonts w:hint="eastAsia" w:ascii="宋体" w:hAnsi="宋体" w:eastAsia="宋体" w:cs="宋体"/>
                <w:i w:val="0"/>
                <w:iCs w:val="0"/>
                <w:color w:val="auto"/>
                <w:sz w:val="22"/>
                <w:szCs w:val="22"/>
                <w:highlight w:val="none"/>
                <w:u w:val="none"/>
              </w:rPr>
            </w:pPr>
          </w:p>
        </w:tc>
      </w:tr>
      <w:tr w14:paraId="4594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 w:hRule="atLeast"/>
        </w:trPr>
        <w:tc>
          <w:tcPr>
            <w:tcW w:w="727" w:type="dxa"/>
            <w:shd w:val="clear" w:color="auto" w:fill="auto"/>
            <w:noWrap/>
            <w:vAlign w:val="center"/>
          </w:tcPr>
          <w:p w14:paraId="1ADA8C3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21</w:t>
            </w:r>
          </w:p>
        </w:tc>
        <w:tc>
          <w:tcPr>
            <w:tcW w:w="2319" w:type="dxa"/>
            <w:shd w:val="clear" w:color="auto" w:fill="auto"/>
            <w:vAlign w:val="center"/>
          </w:tcPr>
          <w:p w14:paraId="2C990CC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防撞桶90*90*90</w:t>
            </w:r>
          </w:p>
        </w:tc>
        <w:tc>
          <w:tcPr>
            <w:tcW w:w="4295" w:type="dxa"/>
            <w:shd w:val="clear" w:color="auto" w:fill="auto"/>
            <w:vAlign w:val="center"/>
          </w:tcPr>
          <w:p w14:paraId="3DB1A17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1.符合GBT 28650公路防撞桶标准并认证检测</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2.桶体内部设置有增强面，底部设计有排水槽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3.桶体粘贴条纹柔性反光膜，符合GB/T 18833 Type IV类以上指标</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4.顶部可选择预装太阳能LED警示灯</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5.由高压聚乙烯HDPE结合弹性体EVA制成</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6.创新设计由2半圆组成，装水量250kg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7.安装和移动方便，节省成本</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8.良好的抗冲击性，可以吸收碰撞能量，减少交通事故；组装后，整体承载力变大</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9.根据路缘调整；适用于任何道路</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10.抗紫外线配方，具有良好的保色及耐老化性能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11.应用3M柔韧棱镜反光科技，极大地提升了视认性和可视距离</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12.优良的热稳定性能，低温条件下不发脆，高温条件下不软化</w:t>
            </w:r>
          </w:p>
        </w:tc>
        <w:tc>
          <w:tcPr>
            <w:tcW w:w="1214" w:type="dxa"/>
            <w:shd w:val="clear" w:color="auto" w:fill="auto"/>
            <w:vAlign w:val="center"/>
          </w:tcPr>
          <w:p w14:paraId="4D1CE72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7C4FB4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1,896.92</w:t>
            </w:r>
          </w:p>
        </w:tc>
        <w:tc>
          <w:tcPr>
            <w:tcW w:w="3968" w:type="dxa"/>
            <w:shd w:val="clear" w:color="auto" w:fill="auto"/>
            <w:noWrap/>
            <w:vAlign w:val="center"/>
          </w:tcPr>
          <w:p w14:paraId="2E0F59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311910" cy="1216025"/>
                  <wp:effectExtent l="0" t="0" r="2540" b="3175"/>
                  <wp:docPr id="141" name="图片_7"/>
                  <wp:cNvGraphicFramePr/>
                  <a:graphic xmlns:a="http://schemas.openxmlformats.org/drawingml/2006/main">
                    <a:graphicData uri="http://schemas.openxmlformats.org/drawingml/2006/picture">
                      <pic:pic xmlns:pic="http://schemas.openxmlformats.org/drawingml/2006/picture">
                        <pic:nvPicPr>
                          <pic:cNvPr id="141" name="图片_7"/>
                          <pic:cNvPicPr/>
                        </pic:nvPicPr>
                        <pic:blipFill>
                          <a:blip r:embed="rId53"/>
                          <a:stretch>
                            <a:fillRect/>
                          </a:stretch>
                        </pic:blipFill>
                        <pic:spPr>
                          <a:xfrm>
                            <a:off x="0" y="0"/>
                            <a:ext cx="1311910" cy="1216025"/>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236345" cy="1297305"/>
                  <wp:effectExtent l="0" t="0" r="1905" b="17145"/>
                  <wp:docPr id="150" name="图片_6"/>
                  <wp:cNvGraphicFramePr/>
                  <a:graphic xmlns:a="http://schemas.openxmlformats.org/drawingml/2006/main">
                    <a:graphicData uri="http://schemas.openxmlformats.org/drawingml/2006/picture">
                      <pic:pic xmlns:pic="http://schemas.openxmlformats.org/drawingml/2006/picture">
                        <pic:nvPicPr>
                          <pic:cNvPr id="150" name="图片_6"/>
                          <pic:cNvPicPr/>
                        </pic:nvPicPr>
                        <pic:blipFill>
                          <a:blip r:embed="rId54"/>
                          <a:stretch>
                            <a:fillRect/>
                          </a:stretch>
                        </pic:blipFill>
                        <pic:spPr>
                          <a:xfrm>
                            <a:off x="0" y="0"/>
                            <a:ext cx="1236345" cy="1297305"/>
                          </a:xfrm>
                          <a:prstGeom prst="rect">
                            <a:avLst/>
                          </a:prstGeom>
                          <a:noFill/>
                          <a:ln>
                            <a:noFill/>
                          </a:ln>
                        </pic:spPr>
                      </pic:pic>
                    </a:graphicData>
                  </a:graphic>
                </wp:inline>
              </w:drawing>
            </w:r>
          </w:p>
        </w:tc>
        <w:tc>
          <w:tcPr>
            <w:tcW w:w="1391" w:type="dxa"/>
            <w:shd w:val="clear" w:color="auto" w:fill="auto"/>
            <w:noWrap/>
            <w:vAlign w:val="center"/>
          </w:tcPr>
          <w:p w14:paraId="35045DC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06A4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40" w:hRule="atLeast"/>
        </w:trPr>
        <w:tc>
          <w:tcPr>
            <w:tcW w:w="727" w:type="dxa"/>
            <w:shd w:val="clear" w:color="auto" w:fill="auto"/>
            <w:noWrap/>
            <w:vAlign w:val="center"/>
          </w:tcPr>
          <w:p w14:paraId="164D565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22</w:t>
            </w:r>
          </w:p>
        </w:tc>
        <w:tc>
          <w:tcPr>
            <w:tcW w:w="2319" w:type="dxa"/>
            <w:shd w:val="clear" w:color="auto" w:fill="auto"/>
            <w:vAlign w:val="center"/>
          </w:tcPr>
          <w:p w14:paraId="38B0396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防撞桶80*60 </w:t>
            </w:r>
          </w:p>
        </w:tc>
        <w:tc>
          <w:tcPr>
            <w:tcW w:w="4295" w:type="dxa"/>
            <w:shd w:val="clear" w:color="auto" w:fill="auto"/>
            <w:vAlign w:val="center"/>
          </w:tcPr>
          <w:p w14:paraId="111000B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1.符合GBT 28650-2012 检测标准；</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2.净重10Kg， 装水后200Kg;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3.顶部设置进水口， 底部设置排水口；</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4.顶部凸起， 底部凹陷， 方便堆叠运输</w:t>
            </w:r>
          </w:p>
        </w:tc>
        <w:tc>
          <w:tcPr>
            <w:tcW w:w="1214" w:type="dxa"/>
            <w:shd w:val="clear" w:color="auto" w:fill="auto"/>
            <w:vAlign w:val="center"/>
          </w:tcPr>
          <w:p w14:paraId="0920CFDC">
            <w:pPr>
              <w:jc w:val="center"/>
              <w:rPr>
                <w:rFonts w:hint="eastAsia" w:ascii="新宋体" w:hAnsi="新宋体" w:eastAsia="新宋体" w:cs="新宋体"/>
                <w:i w:val="0"/>
                <w:iCs w:val="0"/>
                <w:color w:val="auto"/>
                <w:sz w:val="22"/>
                <w:szCs w:val="22"/>
                <w:highlight w:val="none"/>
                <w:u w:val="none"/>
              </w:rPr>
            </w:pPr>
          </w:p>
        </w:tc>
        <w:tc>
          <w:tcPr>
            <w:tcW w:w="1200" w:type="dxa"/>
            <w:shd w:val="clear" w:color="auto" w:fill="auto"/>
            <w:noWrap/>
            <w:vAlign w:val="center"/>
          </w:tcPr>
          <w:p w14:paraId="2DA49A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1,184.06</w:t>
            </w:r>
          </w:p>
        </w:tc>
        <w:tc>
          <w:tcPr>
            <w:tcW w:w="3968" w:type="dxa"/>
            <w:shd w:val="clear" w:color="auto" w:fill="auto"/>
            <w:noWrap/>
            <w:vAlign w:val="center"/>
          </w:tcPr>
          <w:p w14:paraId="6BA8CA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528445" cy="1924685"/>
                  <wp:effectExtent l="0" t="0" r="14605" b="18415"/>
                  <wp:docPr id="146" name="图片_8"/>
                  <wp:cNvGraphicFramePr/>
                  <a:graphic xmlns:a="http://schemas.openxmlformats.org/drawingml/2006/main">
                    <a:graphicData uri="http://schemas.openxmlformats.org/drawingml/2006/picture">
                      <pic:pic xmlns:pic="http://schemas.openxmlformats.org/drawingml/2006/picture">
                        <pic:nvPicPr>
                          <pic:cNvPr id="146" name="图片_8"/>
                          <pic:cNvPicPr/>
                        </pic:nvPicPr>
                        <pic:blipFill>
                          <a:blip r:embed="rId55"/>
                          <a:stretch>
                            <a:fillRect/>
                          </a:stretch>
                        </pic:blipFill>
                        <pic:spPr>
                          <a:xfrm>
                            <a:off x="0" y="0"/>
                            <a:ext cx="1528445" cy="1924685"/>
                          </a:xfrm>
                          <a:prstGeom prst="rect">
                            <a:avLst/>
                          </a:prstGeom>
                          <a:noFill/>
                          <a:ln>
                            <a:noFill/>
                          </a:ln>
                        </pic:spPr>
                      </pic:pic>
                    </a:graphicData>
                  </a:graphic>
                </wp:inline>
              </w:drawing>
            </w:r>
          </w:p>
        </w:tc>
        <w:tc>
          <w:tcPr>
            <w:tcW w:w="1391" w:type="dxa"/>
            <w:shd w:val="clear" w:color="auto" w:fill="auto"/>
            <w:noWrap/>
            <w:vAlign w:val="center"/>
          </w:tcPr>
          <w:p w14:paraId="60CAE6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5281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9" w:hRule="atLeast"/>
        </w:trPr>
        <w:tc>
          <w:tcPr>
            <w:tcW w:w="727" w:type="dxa"/>
            <w:shd w:val="clear" w:color="auto" w:fill="auto"/>
            <w:noWrap/>
            <w:vAlign w:val="center"/>
          </w:tcPr>
          <w:p w14:paraId="05966F9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23</w:t>
            </w:r>
          </w:p>
        </w:tc>
        <w:tc>
          <w:tcPr>
            <w:tcW w:w="2319" w:type="dxa"/>
            <w:shd w:val="clear" w:color="auto" w:fill="auto"/>
            <w:vAlign w:val="center"/>
          </w:tcPr>
          <w:p w14:paraId="38F5A0B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71cm pvc路锥</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（体型窄体、重量2.5KG、底座尺寸30*30CM、高度71CM）</w:t>
            </w:r>
          </w:p>
        </w:tc>
        <w:tc>
          <w:tcPr>
            <w:tcW w:w="4295" w:type="dxa"/>
            <w:shd w:val="clear" w:color="auto" w:fill="auto"/>
            <w:vAlign w:val="center"/>
          </w:tcPr>
          <w:p w14:paraId="40CB2C0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1.符合国标GB/T24720-2009标准并取得认证；</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2.采用全新弹性PVC材料制成， 可承受多次碾压；</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 反光膜区域凹陷2mm以上， 反光膜符合GB/T 18833 Type Ⅳ类以上指标；’</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 通体壁厚不小于3mm， 表面光滑无皱褶;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5.顶部含有提手凹槽；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6.锥体与底座不可分离；</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7.使用温度范围-25 – 60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8.PVC路锥不同于传统橡胶路锥，高温无缝连接锥体于底座，即使汽车高速碾压也不 会使锥体和底座分离；抗寒性强-25℃撞击也不会破裂；多款设计可选，窄体减小风阻，宽体增加反光面积。 </w:t>
            </w:r>
          </w:p>
        </w:tc>
        <w:tc>
          <w:tcPr>
            <w:tcW w:w="1214" w:type="dxa"/>
            <w:shd w:val="clear" w:color="auto" w:fill="auto"/>
            <w:vAlign w:val="center"/>
          </w:tcPr>
          <w:p w14:paraId="06252FC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3E5797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98.02</w:t>
            </w:r>
          </w:p>
        </w:tc>
        <w:tc>
          <w:tcPr>
            <w:tcW w:w="3968" w:type="dxa"/>
            <w:shd w:val="clear" w:color="auto" w:fill="auto"/>
            <w:noWrap/>
            <w:vAlign w:val="center"/>
          </w:tcPr>
          <w:p w14:paraId="6E5835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544320" cy="2312035"/>
                  <wp:effectExtent l="0" t="0" r="17780" b="12065"/>
                  <wp:docPr id="167" name="图片_13"/>
                  <wp:cNvGraphicFramePr/>
                  <a:graphic xmlns:a="http://schemas.openxmlformats.org/drawingml/2006/main">
                    <a:graphicData uri="http://schemas.openxmlformats.org/drawingml/2006/picture">
                      <pic:pic xmlns:pic="http://schemas.openxmlformats.org/drawingml/2006/picture">
                        <pic:nvPicPr>
                          <pic:cNvPr id="167" name="图片_13"/>
                          <pic:cNvPicPr/>
                        </pic:nvPicPr>
                        <pic:blipFill>
                          <a:blip r:embed="rId56"/>
                          <a:stretch>
                            <a:fillRect/>
                          </a:stretch>
                        </pic:blipFill>
                        <pic:spPr>
                          <a:xfrm>
                            <a:off x="0" y="0"/>
                            <a:ext cx="1544320" cy="2312035"/>
                          </a:xfrm>
                          <a:prstGeom prst="rect">
                            <a:avLst/>
                          </a:prstGeom>
                          <a:noFill/>
                          <a:ln>
                            <a:noFill/>
                          </a:ln>
                        </pic:spPr>
                      </pic:pic>
                    </a:graphicData>
                  </a:graphic>
                </wp:inline>
              </w:drawing>
            </w:r>
          </w:p>
        </w:tc>
        <w:tc>
          <w:tcPr>
            <w:tcW w:w="1391" w:type="dxa"/>
            <w:shd w:val="clear" w:color="auto" w:fill="auto"/>
            <w:noWrap/>
            <w:vAlign w:val="center"/>
          </w:tcPr>
          <w:p w14:paraId="1303240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7463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59" w:hRule="atLeast"/>
        </w:trPr>
        <w:tc>
          <w:tcPr>
            <w:tcW w:w="727" w:type="dxa"/>
            <w:shd w:val="clear" w:color="auto" w:fill="auto"/>
            <w:noWrap/>
            <w:vAlign w:val="center"/>
          </w:tcPr>
          <w:p w14:paraId="47867D4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24</w:t>
            </w:r>
          </w:p>
        </w:tc>
        <w:tc>
          <w:tcPr>
            <w:tcW w:w="2319" w:type="dxa"/>
            <w:shd w:val="clear" w:color="auto" w:fill="auto"/>
            <w:vAlign w:val="center"/>
          </w:tcPr>
          <w:p w14:paraId="4776644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71cm pvc路锥</w:t>
            </w:r>
          </w:p>
        </w:tc>
        <w:tc>
          <w:tcPr>
            <w:tcW w:w="4295" w:type="dxa"/>
            <w:shd w:val="clear" w:color="auto" w:fill="auto"/>
            <w:vAlign w:val="center"/>
          </w:tcPr>
          <w:p w14:paraId="5CDFB10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1.符合国标GB/T24720-2009标准并取得认证；</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2.采用全新弹性PVC材料制成， 可承受多次碾压；</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3.通体壁厚不小于3mm， 表面光滑无皱褶;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4.顶部含有提手凹槽；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5.锥体与底座不可分离；</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6.使用温度范围-25 – 60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7.PVC路锥不同于传统橡胶路锥，高温无缝连接锥体于底座，即使汽车高速碾压也不 会使锥体和底座分离；抗寒性强-25℃撞击也不会破裂；多款设计可选，窄体减小风阻，宽体增加反光面积。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8.底座尺寸30*30CM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9.高度71CM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10.重量2.5KG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11.底座可增加文字</w:t>
            </w:r>
          </w:p>
        </w:tc>
        <w:tc>
          <w:tcPr>
            <w:tcW w:w="1214" w:type="dxa"/>
            <w:shd w:val="clear" w:color="auto" w:fill="auto"/>
            <w:vAlign w:val="center"/>
          </w:tcPr>
          <w:p w14:paraId="49EA751F">
            <w:pPr>
              <w:jc w:val="center"/>
              <w:rPr>
                <w:rFonts w:hint="eastAsia" w:ascii="新宋体" w:hAnsi="新宋体" w:eastAsia="新宋体" w:cs="新宋体"/>
                <w:i w:val="0"/>
                <w:iCs w:val="0"/>
                <w:color w:val="auto"/>
                <w:sz w:val="22"/>
                <w:szCs w:val="22"/>
                <w:highlight w:val="none"/>
                <w:u w:val="none"/>
              </w:rPr>
            </w:pPr>
          </w:p>
        </w:tc>
        <w:tc>
          <w:tcPr>
            <w:tcW w:w="1200" w:type="dxa"/>
            <w:shd w:val="clear" w:color="auto" w:fill="auto"/>
            <w:noWrap/>
            <w:vAlign w:val="center"/>
          </w:tcPr>
          <w:p w14:paraId="4AFEC8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65.40</w:t>
            </w:r>
          </w:p>
        </w:tc>
        <w:tc>
          <w:tcPr>
            <w:tcW w:w="3968" w:type="dxa"/>
            <w:shd w:val="clear" w:color="auto" w:fill="auto"/>
            <w:noWrap/>
            <w:vAlign w:val="center"/>
          </w:tcPr>
          <w:p w14:paraId="414150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310005" cy="1751330"/>
                  <wp:effectExtent l="0" t="0" r="4445" b="1270"/>
                  <wp:docPr id="153" name="图片_12"/>
                  <wp:cNvGraphicFramePr/>
                  <a:graphic xmlns:a="http://schemas.openxmlformats.org/drawingml/2006/main">
                    <a:graphicData uri="http://schemas.openxmlformats.org/drawingml/2006/picture">
                      <pic:pic xmlns:pic="http://schemas.openxmlformats.org/drawingml/2006/picture">
                        <pic:nvPicPr>
                          <pic:cNvPr id="153" name="图片_12"/>
                          <pic:cNvPicPr/>
                        </pic:nvPicPr>
                        <pic:blipFill>
                          <a:blip r:embed="rId57"/>
                          <a:stretch>
                            <a:fillRect/>
                          </a:stretch>
                        </pic:blipFill>
                        <pic:spPr>
                          <a:xfrm>
                            <a:off x="0" y="0"/>
                            <a:ext cx="1310005" cy="1751330"/>
                          </a:xfrm>
                          <a:prstGeom prst="rect">
                            <a:avLst/>
                          </a:prstGeom>
                          <a:noFill/>
                          <a:ln>
                            <a:noFill/>
                          </a:ln>
                        </pic:spPr>
                      </pic:pic>
                    </a:graphicData>
                  </a:graphic>
                </wp:inline>
              </w:drawing>
            </w:r>
          </w:p>
        </w:tc>
        <w:tc>
          <w:tcPr>
            <w:tcW w:w="1391" w:type="dxa"/>
            <w:shd w:val="clear" w:color="auto" w:fill="auto"/>
            <w:noWrap/>
            <w:vAlign w:val="center"/>
          </w:tcPr>
          <w:p w14:paraId="02D4E7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品牌参考：交运</w:t>
            </w:r>
          </w:p>
        </w:tc>
      </w:tr>
      <w:tr w14:paraId="2BDF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trPr>
        <w:tc>
          <w:tcPr>
            <w:tcW w:w="727" w:type="dxa"/>
            <w:shd w:val="clear" w:color="auto" w:fill="auto"/>
            <w:noWrap/>
            <w:vAlign w:val="center"/>
          </w:tcPr>
          <w:p w14:paraId="15EED41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25</w:t>
            </w:r>
          </w:p>
        </w:tc>
        <w:tc>
          <w:tcPr>
            <w:tcW w:w="2319" w:type="dxa"/>
            <w:shd w:val="clear" w:color="auto" w:fill="auto"/>
            <w:vAlign w:val="center"/>
          </w:tcPr>
          <w:p w14:paraId="0DC34C1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路锥连接杆</w:t>
            </w:r>
          </w:p>
        </w:tc>
        <w:tc>
          <w:tcPr>
            <w:tcW w:w="4295" w:type="dxa"/>
            <w:shd w:val="clear" w:color="auto" w:fill="auto"/>
            <w:vAlign w:val="center"/>
          </w:tcPr>
          <w:p w14:paraId="79659D2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可伸缩，长200cm，管直径40mm，臂厚1mm，套口直径10cm，红白色</w:t>
            </w:r>
          </w:p>
        </w:tc>
        <w:tc>
          <w:tcPr>
            <w:tcW w:w="1214" w:type="dxa"/>
            <w:shd w:val="clear" w:color="auto" w:fill="auto"/>
            <w:vAlign w:val="center"/>
          </w:tcPr>
          <w:p w14:paraId="66F5CC0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1E3222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21.80</w:t>
            </w:r>
          </w:p>
        </w:tc>
        <w:tc>
          <w:tcPr>
            <w:tcW w:w="3968" w:type="dxa"/>
            <w:shd w:val="clear" w:color="auto" w:fill="auto"/>
            <w:noWrap/>
            <w:vAlign w:val="center"/>
          </w:tcPr>
          <w:p w14:paraId="69FF22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267585" cy="380365"/>
                  <wp:effectExtent l="0" t="0" r="18415" b="635"/>
                  <wp:docPr id="169" name="图片_13_SpCnt_1"/>
                  <wp:cNvGraphicFramePr/>
                  <a:graphic xmlns:a="http://schemas.openxmlformats.org/drawingml/2006/main">
                    <a:graphicData uri="http://schemas.openxmlformats.org/drawingml/2006/picture">
                      <pic:pic xmlns:pic="http://schemas.openxmlformats.org/drawingml/2006/picture">
                        <pic:nvPicPr>
                          <pic:cNvPr id="169" name="图片_13_SpCnt_1"/>
                          <pic:cNvPicPr/>
                        </pic:nvPicPr>
                        <pic:blipFill>
                          <a:blip r:embed="rId58"/>
                          <a:stretch>
                            <a:fillRect/>
                          </a:stretch>
                        </pic:blipFill>
                        <pic:spPr>
                          <a:xfrm>
                            <a:off x="0" y="0"/>
                            <a:ext cx="2267585" cy="380365"/>
                          </a:xfrm>
                          <a:prstGeom prst="rect">
                            <a:avLst/>
                          </a:prstGeom>
                          <a:noFill/>
                          <a:ln>
                            <a:noFill/>
                          </a:ln>
                        </pic:spPr>
                      </pic:pic>
                    </a:graphicData>
                  </a:graphic>
                </wp:inline>
              </w:drawing>
            </w:r>
          </w:p>
        </w:tc>
        <w:tc>
          <w:tcPr>
            <w:tcW w:w="1391" w:type="dxa"/>
            <w:shd w:val="clear" w:color="auto" w:fill="auto"/>
            <w:noWrap/>
            <w:vAlign w:val="center"/>
          </w:tcPr>
          <w:p w14:paraId="392033A7">
            <w:pPr>
              <w:rPr>
                <w:rFonts w:hint="eastAsia" w:ascii="宋体" w:hAnsi="宋体" w:eastAsia="宋体" w:cs="宋体"/>
                <w:i w:val="0"/>
                <w:iCs w:val="0"/>
                <w:color w:val="auto"/>
                <w:sz w:val="22"/>
                <w:szCs w:val="22"/>
                <w:highlight w:val="none"/>
                <w:u w:val="none"/>
              </w:rPr>
            </w:pPr>
          </w:p>
        </w:tc>
      </w:tr>
      <w:tr w14:paraId="5B03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2" w:hRule="atLeast"/>
        </w:trPr>
        <w:tc>
          <w:tcPr>
            <w:tcW w:w="727" w:type="dxa"/>
            <w:shd w:val="clear" w:color="auto" w:fill="auto"/>
            <w:noWrap/>
            <w:vAlign w:val="center"/>
          </w:tcPr>
          <w:p w14:paraId="2623039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26</w:t>
            </w:r>
          </w:p>
        </w:tc>
        <w:tc>
          <w:tcPr>
            <w:tcW w:w="2319" w:type="dxa"/>
            <w:shd w:val="clear" w:color="auto" w:fill="auto"/>
            <w:vAlign w:val="center"/>
          </w:tcPr>
          <w:p w14:paraId="6EA022C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路锥连接杆</w:t>
            </w:r>
          </w:p>
        </w:tc>
        <w:tc>
          <w:tcPr>
            <w:tcW w:w="4295" w:type="dxa"/>
            <w:shd w:val="clear" w:color="auto" w:fill="auto"/>
            <w:vAlign w:val="center"/>
          </w:tcPr>
          <w:p w14:paraId="1DB7A20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 符合国标GB/T 24720-2009标准</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 采用全新PP高性能材料制成</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 使用GB/T 18833 Type Ⅳ类柔性反光膜</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 通体壁厚不小于3mm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 使用温度范围-25 ~ 38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6.原始长度130CM,直径5CM,展开长度230CM,重量0.5KG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7.可伸缩链接杆与路锥配套使用,达到隔离防护的效果.广泛用于施工地段,危险地段和交通事故,以及突 发事故的隔离.采用抗冲PP材料制成,全部反光设计,色泽鲜艳,警示效果更加明显;各节套管可以收入一 节之内,展开最大可达3米,自由拉伸,方便携带</w:t>
            </w:r>
          </w:p>
        </w:tc>
        <w:tc>
          <w:tcPr>
            <w:tcW w:w="1214" w:type="dxa"/>
            <w:shd w:val="clear" w:color="auto" w:fill="auto"/>
            <w:vAlign w:val="center"/>
          </w:tcPr>
          <w:p w14:paraId="486DB30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4571D3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32.70</w:t>
            </w:r>
          </w:p>
        </w:tc>
        <w:tc>
          <w:tcPr>
            <w:tcW w:w="3968" w:type="dxa"/>
            <w:shd w:val="clear" w:color="auto" w:fill="auto"/>
            <w:noWrap/>
            <w:vAlign w:val="center"/>
          </w:tcPr>
          <w:p w14:paraId="2EB7C4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432050" cy="1659255"/>
                  <wp:effectExtent l="0" t="0" r="0" b="0"/>
                  <wp:docPr id="164" name="图片_2"/>
                  <wp:cNvGraphicFramePr/>
                  <a:graphic xmlns:a="http://schemas.openxmlformats.org/drawingml/2006/main">
                    <a:graphicData uri="http://schemas.openxmlformats.org/drawingml/2006/picture">
                      <pic:pic xmlns:pic="http://schemas.openxmlformats.org/drawingml/2006/picture">
                        <pic:nvPicPr>
                          <pic:cNvPr id="164" name="图片_2"/>
                          <pic:cNvPicPr/>
                        </pic:nvPicPr>
                        <pic:blipFill>
                          <a:blip r:embed="rId59"/>
                          <a:stretch>
                            <a:fillRect/>
                          </a:stretch>
                        </pic:blipFill>
                        <pic:spPr>
                          <a:xfrm>
                            <a:off x="0" y="0"/>
                            <a:ext cx="2432050" cy="1659255"/>
                          </a:xfrm>
                          <a:prstGeom prst="rect">
                            <a:avLst/>
                          </a:prstGeom>
                          <a:noFill/>
                          <a:ln>
                            <a:noFill/>
                          </a:ln>
                        </pic:spPr>
                      </pic:pic>
                    </a:graphicData>
                  </a:graphic>
                </wp:inline>
              </w:drawing>
            </w:r>
          </w:p>
        </w:tc>
        <w:tc>
          <w:tcPr>
            <w:tcW w:w="1391" w:type="dxa"/>
            <w:shd w:val="clear" w:color="auto" w:fill="auto"/>
            <w:noWrap/>
            <w:vAlign w:val="center"/>
          </w:tcPr>
          <w:p w14:paraId="66AD011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033D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42" w:hRule="atLeast"/>
        </w:trPr>
        <w:tc>
          <w:tcPr>
            <w:tcW w:w="727" w:type="dxa"/>
            <w:shd w:val="clear" w:color="auto" w:fill="auto"/>
            <w:noWrap/>
            <w:vAlign w:val="center"/>
          </w:tcPr>
          <w:p w14:paraId="25BAFC5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27</w:t>
            </w:r>
          </w:p>
        </w:tc>
        <w:tc>
          <w:tcPr>
            <w:tcW w:w="2319" w:type="dxa"/>
            <w:shd w:val="clear" w:color="auto" w:fill="auto"/>
            <w:vAlign w:val="center"/>
          </w:tcPr>
          <w:p w14:paraId="7827870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75cm pu一体单行交通柱</w:t>
            </w:r>
          </w:p>
        </w:tc>
        <w:tc>
          <w:tcPr>
            <w:tcW w:w="4295" w:type="dxa"/>
            <w:shd w:val="clear" w:color="auto" w:fill="auto"/>
            <w:vAlign w:val="center"/>
          </w:tcPr>
          <w:p w14:paraId="79B6E45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 符合国标GB/T 24972标准并通过认证；</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 反光膜区域凹陷3MM以上，反光膜符合GB/T 18833 Type Ⅳ类以上指标；’</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 柱体底座含有2颗玻璃反光珠；</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 采用全新TPU高性能材料制成，通体壁厚不小于3mm；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5.柱体荧光橙色， 保持2年以上不褪色；</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 使用温度范围-25 – 60 ℃；</w:t>
            </w:r>
          </w:p>
        </w:tc>
        <w:tc>
          <w:tcPr>
            <w:tcW w:w="1214" w:type="dxa"/>
            <w:shd w:val="clear" w:color="auto" w:fill="auto"/>
            <w:vAlign w:val="center"/>
          </w:tcPr>
          <w:p w14:paraId="4959429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6E1FF4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136.89</w:t>
            </w:r>
          </w:p>
        </w:tc>
        <w:tc>
          <w:tcPr>
            <w:tcW w:w="3968" w:type="dxa"/>
            <w:shd w:val="clear" w:color="auto" w:fill="auto"/>
            <w:noWrap/>
            <w:vAlign w:val="center"/>
          </w:tcPr>
          <w:p w14:paraId="4545B4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370330" cy="2294890"/>
                  <wp:effectExtent l="0" t="0" r="1270" b="10160"/>
                  <wp:docPr id="149" name="图片_4"/>
                  <wp:cNvGraphicFramePr/>
                  <a:graphic xmlns:a="http://schemas.openxmlformats.org/drawingml/2006/main">
                    <a:graphicData uri="http://schemas.openxmlformats.org/drawingml/2006/picture">
                      <pic:pic xmlns:pic="http://schemas.openxmlformats.org/drawingml/2006/picture">
                        <pic:nvPicPr>
                          <pic:cNvPr id="149" name="图片_4"/>
                          <pic:cNvPicPr/>
                        </pic:nvPicPr>
                        <pic:blipFill>
                          <a:blip r:embed="rId60"/>
                          <a:stretch>
                            <a:fillRect/>
                          </a:stretch>
                        </pic:blipFill>
                        <pic:spPr>
                          <a:xfrm>
                            <a:off x="0" y="0"/>
                            <a:ext cx="1370330" cy="2294890"/>
                          </a:xfrm>
                          <a:prstGeom prst="rect">
                            <a:avLst/>
                          </a:prstGeom>
                          <a:noFill/>
                          <a:ln>
                            <a:noFill/>
                          </a:ln>
                        </pic:spPr>
                      </pic:pic>
                    </a:graphicData>
                  </a:graphic>
                </wp:inline>
              </w:drawing>
            </w:r>
          </w:p>
        </w:tc>
        <w:tc>
          <w:tcPr>
            <w:tcW w:w="1391" w:type="dxa"/>
            <w:shd w:val="clear" w:color="auto" w:fill="auto"/>
            <w:noWrap/>
            <w:vAlign w:val="center"/>
          </w:tcPr>
          <w:p w14:paraId="5D267B1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6476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80" w:hRule="atLeast"/>
        </w:trPr>
        <w:tc>
          <w:tcPr>
            <w:tcW w:w="727" w:type="dxa"/>
            <w:shd w:val="clear" w:color="auto" w:fill="auto"/>
            <w:noWrap/>
            <w:vAlign w:val="center"/>
          </w:tcPr>
          <w:p w14:paraId="58CEFCF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28</w:t>
            </w:r>
          </w:p>
        </w:tc>
        <w:tc>
          <w:tcPr>
            <w:tcW w:w="2319" w:type="dxa"/>
            <w:shd w:val="clear" w:color="auto" w:fill="auto"/>
            <w:vAlign w:val="center"/>
          </w:tcPr>
          <w:p w14:paraId="7AD61B2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一体单行交通柱</w:t>
            </w:r>
          </w:p>
        </w:tc>
        <w:tc>
          <w:tcPr>
            <w:tcW w:w="4295" w:type="dxa"/>
            <w:shd w:val="clear" w:color="auto" w:fill="auto"/>
            <w:vAlign w:val="center"/>
          </w:tcPr>
          <w:p w14:paraId="3C5CCE7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 柱身为红色，柱体高度75CM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2.采用高弹性PU材料制作，具有良好弹性、抗弯折性能、耐高低温性能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3.表面粘贴3段反光材料，反光膜符合GB/T 18833 Type II类以上指标</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4.内部设有8条加强筋</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3.底座尺寸：20CM</w:t>
            </w:r>
          </w:p>
        </w:tc>
        <w:tc>
          <w:tcPr>
            <w:tcW w:w="1214" w:type="dxa"/>
            <w:shd w:val="clear" w:color="auto" w:fill="auto"/>
            <w:vAlign w:val="center"/>
          </w:tcPr>
          <w:p w14:paraId="1266276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250F38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89.13</w:t>
            </w:r>
          </w:p>
        </w:tc>
        <w:tc>
          <w:tcPr>
            <w:tcW w:w="3968" w:type="dxa"/>
            <w:shd w:val="clear" w:color="auto" w:fill="auto"/>
            <w:noWrap/>
            <w:vAlign w:val="center"/>
          </w:tcPr>
          <w:p w14:paraId="3F9B7D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282825" cy="1570990"/>
                  <wp:effectExtent l="0" t="0" r="3175" b="10160"/>
                  <wp:docPr id="159" name="图片_36"/>
                  <wp:cNvGraphicFramePr/>
                  <a:graphic xmlns:a="http://schemas.openxmlformats.org/drawingml/2006/main">
                    <a:graphicData uri="http://schemas.openxmlformats.org/drawingml/2006/picture">
                      <pic:pic xmlns:pic="http://schemas.openxmlformats.org/drawingml/2006/picture">
                        <pic:nvPicPr>
                          <pic:cNvPr id="159" name="图片_36"/>
                          <pic:cNvPicPr/>
                        </pic:nvPicPr>
                        <pic:blipFill>
                          <a:blip r:embed="rId61"/>
                          <a:stretch>
                            <a:fillRect/>
                          </a:stretch>
                        </pic:blipFill>
                        <pic:spPr>
                          <a:xfrm>
                            <a:off x="0" y="0"/>
                            <a:ext cx="2282825" cy="1570990"/>
                          </a:xfrm>
                          <a:prstGeom prst="rect">
                            <a:avLst/>
                          </a:prstGeom>
                          <a:noFill/>
                          <a:ln>
                            <a:noFill/>
                          </a:ln>
                        </pic:spPr>
                      </pic:pic>
                    </a:graphicData>
                  </a:graphic>
                </wp:inline>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17575" cy="2038350"/>
                  <wp:effectExtent l="0" t="0" r="15875" b="0"/>
                  <wp:docPr id="154" name="图片_19"/>
                  <wp:cNvGraphicFramePr/>
                  <a:graphic xmlns:a="http://schemas.openxmlformats.org/drawingml/2006/main">
                    <a:graphicData uri="http://schemas.openxmlformats.org/drawingml/2006/picture">
                      <pic:pic xmlns:pic="http://schemas.openxmlformats.org/drawingml/2006/picture">
                        <pic:nvPicPr>
                          <pic:cNvPr id="154" name="图片_19"/>
                          <pic:cNvPicPr/>
                        </pic:nvPicPr>
                        <pic:blipFill>
                          <a:blip r:embed="rId62"/>
                          <a:stretch>
                            <a:fillRect/>
                          </a:stretch>
                        </pic:blipFill>
                        <pic:spPr>
                          <a:xfrm>
                            <a:off x="0" y="0"/>
                            <a:ext cx="917575" cy="2038350"/>
                          </a:xfrm>
                          <a:prstGeom prst="rect">
                            <a:avLst/>
                          </a:prstGeom>
                          <a:noFill/>
                          <a:ln>
                            <a:noFill/>
                          </a:ln>
                        </pic:spPr>
                      </pic:pic>
                    </a:graphicData>
                  </a:graphic>
                </wp:inline>
              </w:drawing>
            </w:r>
          </w:p>
        </w:tc>
        <w:tc>
          <w:tcPr>
            <w:tcW w:w="1391" w:type="dxa"/>
            <w:shd w:val="clear" w:color="auto" w:fill="auto"/>
            <w:noWrap/>
            <w:vAlign w:val="center"/>
          </w:tcPr>
          <w:p w14:paraId="1BF62FB1">
            <w:pPr>
              <w:rPr>
                <w:rFonts w:hint="eastAsia" w:ascii="宋体" w:hAnsi="宋体" w:eastAsia="宋体" w:cs="宋体"/>
                <w:i w:val="0"/>
                <w:iCs w:val="0"/>
                <w:color w:val="auto"/>
                <w:sz w:val="22"/>
                <w:szCs w:val="22"/>
                <w:highlight w:val="none"/>
                <w:u w:val="none"/>
              </w:rPr>
            </w:pPr>
          </w:p>
        </w:tc>
      </w:tr>
      <w:tr w14:paraId="7476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2" w:hRule="atLeast"/>
        </w:trPr>
        <w:tc>
          <w:tcPr>
            <w:tcW w:w="727" w:type="dxa"/>
            <w:shd w:val="clear" w:color="auto" w:fill="auto"/>
            <w:noWrap/>
            <w:vAlign w:val="center"/>
          </w:tcPr>
          <w:p w14:paraId="4CD141A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29</w:t>
            </w:r>
          </w:p>
        </w:tc>
        <w:tc>
          <w:tcPr>
            <w:tcW w:w="2319" w:type="dxa"/>
            <w:shd w:val="clear" w:color="auto" w:fill="auto"/>
            <w:vAlign w:val="center"/>
          </w:tcPr>
          <w:p w14:paraId="763ABBA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弹性分道标</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（颜色红白、底座尺寸</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高度：280±3MM,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A:130±3MM,B:160±3MM）</w:t>
            </w:r>
          </w:p>
        </w:tc>
        <w:tc>
          <w:tcPr>
            <w:tcW w:w="4295" w:type="dxa"/>
            <w:shd w:val="clear" w:color="auto" w:fill="auto"/>
            <w:vAlign w:val="center"/>
          </w:tcPr>
          <w:p w14:paraId="2C732BD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1.TPU高弹性材料</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2.受力自动复原，环保无异味，高强反光性能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3.使用二类反光膜</w:t>
            </w:r>
          </w:p>
        </w:tc>
        <w:tc>
          <w:tcPr>
            <w:tcW w:w="1214" w:type="dxa"/>
            <w:shd w:val="clear" w:color="auto" w:fill="auto"/>
            <w:vAlign w:val="center"/>
          </w:tcPr>
          <w:p w14:paraId="7B0E4E7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0B17FF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84.56</w:t>
            </w:r>
          </w:p>
        </w:tc>
        <w:tc>
          <w:tcPr>
            <w:tcW w:w="3968" w:type="dxa"/>
            <w:shd w:val="clear" w:color="auto" w:fill="auto"/>
            <w:noWrap/>
            <w:vAlign w:val="center"/>
          </w:tcPr>
          <w:p w14:paraId="25110D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529715" cy="1680845"/>
                  <wp:effectExtent l="0" t="0" r="13335" b="14605"/>
                  <wp:docPr id="173" name="图片_1"/>
                  <wp:cNvGraphicFramePr/>
                  <a:graphic xmlns:a="http://schemas.openxmlformats.org/drawingml/2006/main">
                    <a:graphicData uri="http://schemas.openxmlformats.org/drawingml/2006/picture">
                      <pic:pic xmlns:pic="http://schemas.openxmlformats.org/drawingml/2006/picture">
                        <pic:nvPicPr>
                          <pic:cNvPr id="173" name="图片_1"/>
                          <pic:cNvPicPr/>
                        </pic:nvPicPr>
                        <pic:blipFill>
                          <a:blip r:embed="rId63"/>
                          <a:stretch>
                            <a:fillRect/>
                          </a:stretch>
                        </pic:blipFill>
                        <pic:spPr>
                          <a:xfrm>
                            <a:off x="0" y="0"/>
                            <a:ext cx="1529715" cy="1680845"/>
                          </a:xfrm>
                          <a:prstGeom prst="rect">
                            <a:avLst/>
                          </a:prstGeom>
                          <a:noFill/>
                          <a:ln>
                            <a:noFill/>
                          </a:ln>
                        </pic:spPr>
                      </pic:pic>
                    </a:graphicData>
                  </a:graphic>
                </wp:inline>
              </w:drawing>
            </w:r>
          </w:p>
        </w:tc>
        <w:tc>
          <w:tcPr>
            <w:tcW w:w="1391" w:type="dxa"/>
            <w:shd w:val="clear" w:color="auto" w:fill="auto"/>
            <w:noWrap/>
            <w:vAlign w:val="center"/>
          </w:tcPr>
          <w:p w14:paraId="3B7BD93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品牌参考：交运</w:t>
            </w:r>
          </w:p>
        </w:tc>
      </w:tr>
      <w:tr w14:paraId="3C639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80" w:hRule="atLeast"/>
        </w:trPr>
        <w:tc>
          <w:tcPr>
            <w:tcW w:w="727" w:type="dxa"/>
            <w:shd w:val="clear" w:color="auto" w:fill="auto"/>
            <w:noWrap/>
            <w:vAlign w:val="center"/>
          </w:tcPr>
          <w:p w14:paraId="2DFEEF6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30</w:t>
            </w:r>
          </w:p>
        </w:tc>
        <w:tc>
          <w:tcPr>
            <w:tcW w:w="2319" w:type="dxa"/>
            <w:shd w:val="clear" w:color="auto" w:fill="auto"/>
            <w:vAlign w:val="center"/>
          </w:tcPr>
          <w:p w14:paraId="193B321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弹性分道标</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（颜色红白、底座尺寸20*14CM、高度28.3CM）</w:t>
            </w:r>
          </w:p>
        </w:tc>
        <w:tc>
          <w:tcPr>
            <w:tcW w:w="4295" w:type="dxa"/>
            <w:shd w:val="clear" w:color="auto" w:fill="auto"/>
            <w:vAlign w:val="center"/>
          </w:tcPr>
          <w:p w14:paraId="0F9D9EF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1.TPU高弹性材料</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2.受力自动复原，环保无异味，高强反光性能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3.使用二类反光膜</w:t>
            </w:r>
          </w:p>
        </w:tc>
        <w:tc>
          <w:tcPr>
            <w:tcW w:w="1214" w:type="dxa"/>
            <w:shd w:val="clear" w:color="auto" w:fill="auto"/>
            <w:vAlign w:val="center"/>
          </w:tcPr>
          <w:p w14:paraId="49259FB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672DBA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99.46</w:t>
            </w:r>
          </w:p>
        </w:tc>
        <w:tc>
          <w:tcPr>
            <w:tcW w:w="3968" w:type="dxa"/>
            <w:shd w:val="clear" w:color="auto" w:fill="auto"/>
            <w:noWrap/>
            <w:vAlign w:val="center"/>
          </w:tcPr>
          <w:p w14:paraId="2AD732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101725" cy="1659255"/>
                  <wp:effectExtent l="0" t="0" r="3175" b="17145"/>
                  <wp:docPr id="155" name="图片_37"/>
                  <wp:cNvGraphicFramePr/>
                  <a:graphic xmlns:a="http://schemas.openxmlformats.org/drawingml/2006/main">
                    <a:graphicData uri="http://schemas.openxmlformats.org/drawingml/2006/picture">
                      <pic:pic xmlns:pic="http://schemas.openxmlformats.org/drawingml/2006/picture">
                        <pic:nvPicPr>
                          <pic:cNvPr id="155" name="图片_37"/>
                          <pic:cNvPicPr/>
                        </pic:nvPicPr>
                        <pic:blipFill>
                          <a:blip r:embed="rId64"/>
                          <a:stretch>
                            <a:fillRect/>
                          </a:stretch>
                        </pic:blipFill>
                        <pic:spPr>
                          <a:xfrm>
                            <a:off x="0" y="0"/>
                            <a:ext cx="1101725" cy="1659255"/>
                          </a:xfrm>
                          <a:prstGeom prst="rect">
                            <a:avLst/>
                          </a:prstGeom>
                          <a:noFill/>
                          <a:ln>
                            <a:noFill/>
                          </a:ln>
                        </pic:spPr>
                      </pic:pic>
                    </a:graphicData>
                  </a:graphic>
                </wp:inline>
              </w:drawing>
            </w:r>
          </w:p>
        </w:tc>
        <w:tc>
          <w:tcPr>
            <w:tcW w:w="1391" w:type="dxa"/>
            <w:shd w:val="clear" w:color="auto" w:fill="auto"/>
            <w:noWrap/>
            <w:vAlign w:val="center"/>
          </w:tcPr>
          <w:p w14:paraId="11951196">
            <w:pPr>
              <w:rPr>
                <w:rFonts w:hint="eastAsia" w:ascii="宋体" w:hAnsi="宋体" w:eastAsia="宋体" w:cs="宋体"/>
                <w:i w:val="0"/>
                <w:iCs w:val="0"/>
                <w:color w:val="auto"/>
                <w:sz w:val="22"/>
                <w:szCs w:val="22"/>
                <w:highlight w:val="none"/>
                <w:u w:val="none"/>
              </w:rPr>
            </w:pPr>
          </w:p>
        </w:tc>
      </w:tr>
      <w:tr w14:paraId="7294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0" w:hRule="atLeast"/>
        </w:trPr>
        <w:tc>
          <w:tcPr>
            <w:tcW w:w="727" w:type="dxa"/>
            <w:shd w:val="clear" w:color="auto" w:fill="auto"/>
            <w:noWrap/>
            <w:vAlign w:val="center"/>
          </w:tcPr>
          <w:p w14:paraId="4B93435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31</w:t>
            </w:r>
          </w:p>
        </w:tc>
        <w:tc>
          <w:tcPr>
            <w:tcW w:w="2319" w:type="dxa"/>
            <w:shd w:val="clear" w:color="auto" w:fill="auto"/>
            <w:vAlign w:val="center"/>
          </w:tcPr>
          <w:p w14:paraId="3E5504A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荧光轮廓标</w:t>
            </w:r>
          </w:p>
        </w:tc>
        <w:tc>
          <w:tcPr>
            <w:tcW w:w="4295" w:type="dxa"/>
            <w:shd w:val="clear" w:color="auto" w:fill="auto"/>
            <w:vAlign w:val="center"/>
          </w:tcPr>
          <w:p w14:paraId="7B11291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1.120MM*100MM*60MM，反射区域尺寸100*110MM。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2.由弹性高分子材料TPU结合金属卡扣制成；</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3.反光可视角0-270度（对向车道可视）；</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4.反光膜符合GB/T 18833 Type Ⅳ类指标；</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5.反光膜四周凸起2MM以上保护槽；</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6.匹配波形护栏M16紧固件；</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7.使用寿命保证5年以上；</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8.由柔性TPU制成，并与3M反射镜组装在一起。高抗冲击性，对车辆和产品无害。</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在夜晚或黑暗区域具有出色的能见度。</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主要用于路边，障碍物和墙壁，以改善交通安全；引导安全驾驶，是交通安全产品的重要组成部分。</w:t>
            </w:r>
          </w:p>
        </w:tc>
        <w:tc>
          <w:tcPr>
            <w:tcW w:w="1214" w:type="dxa"/>
            <w:shd w:val="clear" w:color="auto" w:fill="auto"/>
            <w:vAlign w:val="center"/>
          </w:tcPr>
          <w:p w14:paraId="55AC319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28E449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64.04</w:t>
            </w:r>
          </w:p>
        </w:tc>
        <w:tc>
          <w:tcPr>
            <w:tcW w:w="3968" w:type="dxa"/>
            <w:shd w:val="clear" w:color="auto" w:fill="auto"/>
            <w:noWrap/>
            <w:vAlign w:val="center"/>
          </w:tcPr>
          <w:p w14:paraId="17F186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46275" cy="1247775"/>
                  <wp:effectExtent l="0" t="0" r="15875" b="9525"/>
                  <wp:docPr id="145" name="图片_4_SpCnt_1"/>
                  <wp:cNvGraphicFramePr/>
                  <a:graphic xmlns:a="http://schemas.openxmlformats.org/drawingml/2006/main">
                    <a:graphicData uri="http://schemas.openxmlformats.org/drawingml/2006/picture">
                      <pic:pic xmlns:pic="http://schemas.openxmlformats.org/drawingml/2006/picture">
                        <pic:nvPicPr>
                          <pic:cNvPr id="145" name="图片_4_SpCnt_1"/>
                          <pic:cNvPicPr/>
                        </pic:nvPicPr>
                        <pic:blipFill>
                          <a:blip r:embed="rId65"/>
                          <a:stretch>
                            <a:fillRect/>
                          </a:stretch>
                        </pic:blipFill>
                        <pic:spPr>
                          <a:xfrm>
                            <a:off x="0" y="0"/>
                            <a:ext cx="1946275" cy="1247775"/>
                          </a:xfrm>
                          <a:prstGeom prst="rect">
                            <a:avLst/>
                          </a:prstGeom>
                          <a:noFill/>
                          <a:ln>
                            <a:noFill/>
                          </a:ln>
                        </pic:spPr>
                      </pic:pic>
                    </a:graphicData>
                  </a:graphic>
                </wp:inline>
              </w:drawing>
            </w:r>
          </w:p>
        </w:tc>
        <w:tc>
          <w:tcPr>
            <w:tcW w:w="1391" w:type="dxa"/>
            <w:shd w:val="clear" w:color="auto" w:fill="auto"/>
            <w:noWrap/>
            <w:vAlign w:val="center"/>
          </w:tcPr>
          <w:p w14:paraId="402166A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5013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2" w:hRule="atLeast"/>
        </w:trPr>
        <w:tc>
          <w:tcPr>
            <w:tcW w:w="727" w:type="dxa"/>
            <w:shd w:val="clear" w:color="auto" w:fill="auto"/>
            <w:noWrap/>
            <w:vAlign w:val="center"/>
          </w:tcPr>
          <w:p w14:paraId="7908616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32</w:t>
            </w:r>
          </w:p>
        </w:tc>
        <w:tc>
          <w:tcPr>
            <w:tcW w:w="2319" w:type="dxa"/>
            <w:shd w:val="clear" w:color="auto" w:fill="auto"/>
            <w:vAlign w:val="center"/>
          </w:tcPr>
          <w:p w14:paraId="43DBC81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轮廓标</w:t>
            </w:r>
          </w:p>
        </w:tc>
        <w:tc>
          <w:tcPr>
            <w:tcW w:w="4295" w:type="dxa"/>
            <w:shd w:val="clear" w:color="auto" w:fill="auto"/>
            <w:vAlign w:val="center"/>
          </w:tcPr>
          <w:p w14:paraId="03016BF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1.小号滑槽式轮廓标</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2.尺寸：155MM*50MM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3.由弹性塑料TPU结合金属卡扣制成；</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4.0-80°反光可视角；</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5.柔性反光膜符合GB/T 18833 Ⅳ类以上指标；</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 使用温度范围-25 ~ 60℃</w:t>
            </w:r>
          </w:p>
        </w:tc>
        <w:tc>
          <w:tcPr>
            <w:tcW w:w="1214" w:type="dxa"/>
            <w:shd w:val="clear" w:color="auto" w:fill="auto"/>
            <w:vAlign w:val="center"/>
          </w:tcPr>
          <w:p w14:paraId="655ADBC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275874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78.29</w:t>
            </w:r>
          </w:p>
        </w:tc>
        <w:tc>
          <w:tcPr>
            <w:tcW w:w="3968" w:type="dxa"/>
            <w:shd w:val="clear" w:color="auto" w:fill="auto"/>
            <w:noWrap/>
            <w:vAlign w:val="center"/>
          </w:tcPr>
          <w:p w14:paraId="1D2667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793875" cy="1455420"/>
                  <wp:effectExtent l="0" t="0" r="15875" b="11430"/>
                  <wp:docPr id="156" name="图片_1_SpCnt_1"/>
                  <wp:cNvGraphicFramePr/>
                  <a:graphic xmlns:a="http://schemas.openxmlformats.org/drawingml/2006/main">
                    <a:graphicData uri="http://schemas.openxmlformats.org/drawingml/2006/picture">
                      <pic:pic xmlns:pic="http://schemas.openxmlformats.org/drawingml/2006/picture">
                        <pic:nvPicPr>
                          <pic:cNvPr id="156" name="图片_1_SpCnt_1"/>
                          <pic:cNvPicPr/>
                        </pic:nvPicPr>
                        <pic:blipFill>
                          <a:blip r:embed="rId66"/>
                          <a:stretch>
                            <a:fillRect/>
                          </a:stretch>
                        </pic:blipFill>
                        <pic:spPr>
                          <a:xfrm>
                            <a:off x="0" y="0"/>
                            <a:ext cx="1793875" cy="1455420"/>
                          </a:xfrm>
                          <a:prstGeom prst="rect">
                            <a:avLst/>
                          </a:prstGeom>
                          <a:noFill/>
                          <a:ln>
                            <a:noFill/>
                          </a:ln>
                        </pic:spPr>
                      </pic:pic>
                    </a:graphicData>
                  </a:graphic>
                </wp:inline>
              </w:drawing>
            </w:r>
          </w:p>
        </w:tc>
        <w:tc>
          <w:tcPr>
            <w:tcW w:w="1391" w:type="dxa"/>
            <w:shd w:val="clear" w:color="auto" w:fill="auto"/>
            <w:noWrap/>
            <w:vAlign w:val="center"/>
          </w:tcPr>
          <w:p w14:paraId="06E8BE0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2BF4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9" w:hRule="atLeast"/>
        </w:trPr>
        <w:tc>
          <w:tcPr>
            <w:tcW w:w="727" w:type="dxa"/>
            <w:shd w:val="clear" w:color="auto" w:fill="auto"/>
            <w:noWrap/>
            <w:vAlign w:val="center"/>
          </w:tcPr>
          <w:p w14:paraId="1079BF7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33</w:t>
            </w:r>
          </w:p>
        </w:tc>
        <w:tc>
          <w:tcPr>
            <w:tcW w:w="2319" w:type="dxa"/>
            <w:shd w:val="clear" w:color="auto" w:fill="auto"/>
            <w:vAlign w:val="center"/>
          </w:tcPr>
          <w:p w14:paraId="3D51432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道钉（单面）</w:t>
            </w:r>
          </w:p>
        </w:tc>
        <w:tc>
          <w:tcPr>
            <w:tcW w:w="4295" w:type="dxa"/>
            <w:shd w:val="clear" w:color="auto" w:fill="auto"/>
            <w:vAlign w:val="center"/>
          </w:tcPr>
          <w:p w14:paraId="2528AC99">
            <w:pPr>
              <w:keepNext w:val="0"/>
              <w:keepLines w:val="0"/>
              <w:widowControl/>
              <w:suppressLineNumbers w:val="0"/>
              <w:spacing w:after="200" w:afterAutospacing="0"/>
              <w:jc w:val="center"/>
              <w:textAlignment w:val="center"/>
              <w:rPr>
                <w:rFonts w:hint="eastAsia" w:ascii="新宋体" w:hAnsi="新宋体" w:eastAsia="新宋体" w:cs="新宋体"/>
                <w:i w:val="0"/>
                <w:iCs w:val="0"/>
                <w:color w:val="auto"/>
                <w:sz w:val="20"/>
                <w:szCs w:val="20"/>
                <w:highlight w:val="none"/>
                <w:u w:val="none"/>
              </w:rPr>
            </w:pPr>
            <w:r>
              <w:rPr>
                <w:rFonts w:hint="eastAsia" w:ascii="新宋体" w:hAnsi="新宋体" w:eastAsia="新宋体" w:cs="新宋体"/>
                <w:i w:val="0"/>
                <w:iCs w:val="0"/>
                <w:color w:val="auto"/>
                <w:kern w:val="0"/>
                <w:sz w:val="20"/>
                <w:szCs w:val="20"/>
                <w:highlight w:val="none"/>
                <w:u w:val="none"/>
                <w:lang w:val="en-US" w:eastAsia="zh-CN" w:bidi="ar"/>
              </w:rPr>
              <w:t>1.反光片具有高反射率的微棱镜结构反光片，在雨夜天气和雾夜天气情况下能保持较好的警示效果。</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2.基体采用“一体成型”设计而非填充式，材料为增强型聚碳酸酯材料，抗压强度超过230KN，并具有“交通运输部科学研究院交通工程检测中心”出具的检测报告。</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3.道钉的反光片与基体粘结采用独特的反光单元分离技术，反光片由多个密封反光单元组成，部分反光单元破损，其余密封的反光单元可继续反光。</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4.道钉反光片表面采用硬度涂覆工艺处理，具有超强耐磨性能，表面耐刮擦，能够持久保持高亮反光性能；反光片与道钉基体采用超声波焊接技术，焊接强度高，反光片不易从基体上脱落。</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 xml:space="preserve">5.道钉基体设置有手持的凹槽，易于施工，且道钉底面为平整设计，易于粘结。 </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6.单面反光片。突起路标白色反光片发光强度满足表A的要求，黄色反光片发光强度满足表B的要求。</w:t>
            </w:r>
          </w:p>
        </w:tc>
        <w:tc>
          <w:tcPr>
            <w:tcW w:w="1214" w:type="dxa"/>
            <w:shd w:val="clear" w:color="auto" w:fill="auto"/>
            <w:vAlign w:val="center"/>
          </w:tcPr>
          <w:p w14:paraId="66F8C49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6E4F17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57.44</w:t>
            </w:r>
          </w:p>
        </w:tc>
        <w:tc>
          <w:tcPr>
            <w:tcW w:w="3968" w:type="dxa"/>
            <w:shd w:val="clear" w:color="auto" w:fill="auto"/>
            <w:noWrap/>
            <w:vAlign w:val="center"/>
          </w:tcPr>
          <w:p w14:paraId="48D60C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20875" cy="1677035"/>
                  <wp:effectExtent l="0" t="0" r="3175" b="18415"/>
                  <wp:docPr id="165" name="图片_20"/>
                  <wp:cNvGraphicFramePr/>
                  <a:graphic xmlns:a="http://schemas.openxmlformats.org/drawingml/2006/main">
                    <a:graphicData uri="http://schemas.openxmlformats.org/drawingml/2006/picture">
                      <pic:pic xmlns:pic="http://schemas.openxmlformats.org/drawingml/2006/picture">
                        <pic:nvPicPr>
                          <pic:cNvPr id="165" name="图片_20"/>
                          <pic:cNvPicPr/>
                        </pic:nvPicPr>
                        <pic:blipFill>
                          <a:blip r:embed="rId67"/>
                          <a:stretch>
                            <a:fillRect/>
                          </a:stretch>
                        </pic:blipFill>
                        <pic:spPr>
                          <a:xfrm>
                            <a:off x="0" y="0"/>
                            <a:ext cx="1920875" cy="1677035"/>
                          </a:xfrm>
                          <a:prstGeom prst="rect">
                            <a:avLst/>
                          </a:prstGeom>
                          <a:noFill/>
                          <a:ln>
                            <a:noFill/>
                          </a:ln>
                        </pic:spPr>
                      </pic:pic>
                    </a:graphicData>
                  </a:graphic>
                </wp:inline>
              </w:drawing>
            </w:r>
          </w:p>
        </w:tc>
        <w:tc>
          <w:tcPr>
            <w:tcW w:w="1391" w:type="dxa"/>
            <w:shd w:val="clear" w:color="auto" w:fill="auto"/>
            <w:noWrap/>
            <w:vAlign w:val="center"/>
          </w:tcPr>
          <w:p w14:paraId="23D6A55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795B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1" w:hRule="atLeast"/>
        </w:trPr>
        <w:tc>
          <w:tcPr>
            <w:tcW w:w="727" w:type="dxa"/>
            <w:shd w:val="clear" w:color="auto" w:fill="auto"/>
            <w:noWrap/>
            <w:vAlign w:val="center"/>
          </w:tcPr>
          <w:p w14:paraId="6D9511A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34</w:t>
            </w:r>
          </w:p>
        </w:tc>
        <w:tc>
          <w:tcPr>
            <w:tcW w:w="2319" w:type="dxa"/>
            <w:shd w:val="clear" w:color="auto" w:fill="auto"/>
            <w:vAlign w:val="center"/>
          </w:tcPr>
          <w:p w14:paraId="6D0D974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道钉（双面）</w:t>
            </w:r>
          </w:p>
        </w:tc>
        <w:tc>
          <w:tcPr>
            <w:tcW w:w="4295" w:type="dxa"/>
            <w:shd w:val="clear" w:color="auto" w:fill="auto"/>
            <w:vAlign w:val="center"/>
          </w:tcPr>
          <w:p w14:paraId="1F0F16EE">
            <w:pPr>
              <w:keepNext w:val="0"/>
              <w:keepLines w:val="0"/>
              <w:widowControl/>
              <w:suppressLineNumbers w:val="0"/>
              <w:spacing w:after="200" w:afterAutospacing="0"/>
              <w:jc w:val="center"/>
              <w:textAlignment w:val="center"/>
              <w:rPr>
                <w:rFonts w:hint="eastAsia" w:ascii="新宋体" w:hAnsi="新宋体" w:eastAsia="新宋体" w:cs="新宋体"/>
                <w:i w:val="0"/>
                <w:iCs w:val="0"/>
                <w:color w:val="auto"/>
                <w:sz w:val="20"/>
                <w:szCs w:val="20"/>
                <w:highlight w:val="none"/>
                <w:u w:val="none"/>
              </w:rPr>
            </w:pPr>
            <w:r>
              <w:rPr>
                <w:rFonts w:hint="eastAsia" w:ascii="新宋体" w:hAnsi="新宋体" w:eastAsia="新宋体" w:cs="新宋体"/>
                <w:i w:val="0"/>
                <w:iCs w:val="0"/>
                <w:color w:val="auto"/>
                <w:kern w:val="0"/>
                <w:sz w:val="20"/>
                <w:szCs w:val="20"/>
                <w:highlight w:val="none"/>
                <w:u w:val="none"/>
                <w:lang w:val="en-US" w:eastAsia="zh-CN" w:bidi="ar"/>
              </w:rPr>
              <w:t>1.反光片具有高反射率的微棱镜结构反光片，在雨夜天气和雾夜天气情况下能保持较好的警示效果。</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2.基体采用“一体成型”设计而非填充式，材料为增强型聚碳酸酯材料，抗压强度超过230KN，并具有“交通运输部科学研究院交通工程检测中心”出具的检测报告。</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3.道钉的反光片与基体粘结采用独特的反光单元分离技术，反光片由多个密封反光单元组成，部分反光单元破损，其余密封的反光单元可继续反光。</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4.道钉反光片表面采用硬度涂覆工艺处理，具有超强耐磨性能，表面耐刮擦，能够持久保持高亮反光性能；反光片与道钉基体采用超声波焊接技术，焊接强度高，反光片不易从基体上脱落。</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 xml:space="preserve">5.道钉基体设置有手持的凹槽，易于施工，且道钉底面为平整设计，易于粘结。 </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6.双面反光片。突起路标白色反光片发光强度满足表A的要求，黄色反光片发光强度满足表B的要求。</w:t>
            </w:r>
          </w:p>
        </w:tc>
        <w:tc>
          <w:tcPr>
            <w:tcW w:w="1214" w:type="dxa"/>
            <w:shd w:val="clear" w:color="auto" w:fill="auto"/>
            <w:vAlign w:val="center"/>
          </w:tcPr>
          <w:p w14:paraId="4D19605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0BE13D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64.92</w:t>
            </w:r>
          </w:p>
        </w:tc>
        <w:tc>
          <w:tcPr>
            <w:tcW w:w="3968" w:type="dxa"/>
            <w:shd w:val="clear" w:color="auto" w:fill="auto"/>
            <w:noWrap/>
            <w:vAlign w:val="center"/>
          </w:tcPr>
          <w:p w14:paraId="66119F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34845" cy="1704975"/>
                  <wp:effectExtent l="0" t="0" r="8255" b="9525"/>
                  <wp:docPr id="234" name="图片_21"/>
                  <wp:cNvGraphicFramePr/>
                  <a:graphic xmlns:a="http://schemas.openxmlformats.org/drawingml/2006/main">
                    <a:graphicData uri="http://schemas.openxmlformats.org/drawingml/2006/picture">
                      <pic:pic xmlns:pic="http://schemas.openxmlformats.org/drawingml/2006/picture">
                        <pic:nvPicPr>
                          <pic:cNvPr id="234" name="图片_21"/>
                          <pic:cNvPicPr/>
                        </pic:nvPicPr>
                        <pic:blipFill>
                          <a:blip r:embed="rId68"/>
                          <a:stretch>
                            <a:fillRect/>
                          </a:stretch>
                        </pic:blipFill>
                        <pic:spPr>
                          <a:xfrm>
                            <a:off x="0" y="0"/>
                            <a:ext cx="1934845" cy="1704975"/>
                          </a:xfrm>
                          <a:prstGeom prst="rect">
                            <a:avLst/>
                          </a:prstGeom>
                          <a:noFill/>
                          <a:ln>
                            <a:noFill/>
                          </a:ln>
                        </pic:spPr>
                      </pic:pic>
                    </a:graphicData>
                  </a:graphic>
                </wp:inline>
              </w:drawing>
            </w:r>
          </w:p>
        </w:tc>
        <w:tc>
          <w:tcPr>
            <w:tcW w:w="1391" w:type="dxa"/>
            <w:shd w:val="clear" w:color="auto" w:fill="auto"/>
            <w:noWrap/>
            <w:vAlign w:val="center"/>
          </w:tcPr>
          <w:p w14:paraId="506D681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019B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9" w:hRule="atLeast"/>
        </w:trPr>
        <w:tc>
          <w:tcPr>
            <w:tcW w:w="727" w:type="dxa"/>
            <w:shd w:val="clear" w:color="auto" w:fill="auto"/>
            <w:noWrap/>
            <w:vAlign w:val="center"/>
          </w:tcPr>
          <w:p w14:paraId="723EC45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35</w:t>
            </w:r>
          </w:p>
        </w:tc>
        <w:tc>
          <w:tcPr>
            <w:tcW w:w="2319" w:type="dxa"/>
            <w:shd w:val="clear" w:color="auto" w:fill="auto"/>
            <w:vAlign w:val="center"/>
          </w:tcPr>
          <w:p w14:paraId="1823E76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道钉（单面带螺丝）</w:t>
            </w:r>
          </w:p>
        </w:tc>
        <w:tc>
          <w:tcPr>
            <w:tcW w:w="4295" w:type="dxa"/>
            <w:shd w:val="clear" w:color="auto" w:fill="auto"/>
            <w:vAlign w:val="center"/>
          </w:tcPr>
          <w:p w14:paraId="19938691">
            <w:pPr>
              <w:keepNext w:val="0"/>
              <w:keepLines w:val="0"/>
              <w:widowControl/>
              <w:suppressLineNumbers w:val="0"/>
              <w:spacing w:after="200" w:afterAutospacing="0"/>
              <w:jc w:val="center"/>
              <w:textAlignment w:val="center"/>
              <w:rPr>
                <w:rFonts w:hint="eastAsia" w:ascii="新宋体" w:hAnsi="新宋体" w:eastAsia="新宋体" w:cs="新宋体"/>
                <w:i w:val="0"/>
                <w:iCs w:val="0"/>
                <w:color w:val="auto"/>
                <w:sz w:val="20"/>
                <w:szCs w:val="20"/>
                <w:highlight w:val="none"/>
                <w:u w:val="none"/>
              </w:rPr>
            </w:pPr>
            <w:r>
              <w:rPr>
                <w:rFonts w:hint="eastAsia" w:ascii="新宋体" w:hAnsi="新宋体" w:eastAsia="新宋体" w:cs="新宋体"/>
                <w:i w:val="0"/>
                <w:iCs w:val="0"/>
                <w:color w:val="auto"/>
                <w:kern w:val="0"/>
                <w:sz w:val="20"/>
                <w:szCs w:val="20"/>
                <w:highlight w:val="none"/>
                <w:u w:val="none"/>
                <w:lang w:val="en-US" w:eastAsia="zh-CN" w:bidi="ar"/>
              </w:rPr>
              <w:t>1.反光片具有高反射率的微棱镜结构反光片，在雨夜天气和雾夜天气情况下能保持较好的警示效果。</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2.基体采用“一体成型”设计而非填充式，材料为增强型聚碳酸酯材料，抗压强度超过230KN，并具有“交通运输部科学研究院交通工程检测中心”出具的检测报告。</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3.道钉的反光片与基体粘结采用独特的反光单元分离技术，反光片由多个密封反光单元组成，部分反光单元破损，其余密封的反光单元可继续反光。</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4.道钉反光片表面采用硬度涂覆工艺处理，具有超强耐磨性能，表面耐刮擦，能够持久保持高亮反光性能；反光片与道钉基体采用超声波焊接技术，焊接强度高，反光片不易从基体上脱落。</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 xml:space="preserve">5.道钉基体设置有手持的凹槽，易于施工，且道钉底面为平整设计，易于粘结。 </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6.单面反光片带螺丝。突起路标白色反光片发光强度满足表A的要求，黄色反光片发光强度满足表B的要求。</w:t>
            </w:r>
          </w:p>
        </w:tc>
        <w:tc>
          <w:tcPr>
            <w:tcW w:w="1214" w:type="dxa"/>
            <w:shd w:val="clear" w:color="auto" w:fill="auto"/>
            <w:vAlign w:val="center"/>
          </w:tcPr>
          <w:p w14:paraId="6F26D38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61B4DD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64.04</w:t>
            </w:r>
          </w:p>
        </w:tc>
        <w:tc>
          <w:tcPr>
            <w:tcW w:w="3968" w:type="dxa"/>
            <w:shd w:val="clear" w:color="auto" w:fill="auto"/>
            <w:noWrap/>
            <w:vAlign w:val="center"/>
          </w:tcPr>
          <w:p w14:paraId="6628BF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295525" cy="1293495"/>
                  <wp:effectExtent l="0" t="0" r="9525" b="1905"/>
                  <wp:docPr id="219" name="图片_22"/>
                  <wp:cNvGraphicFramePr/>
                  <a:graphic xmlns:a="http://schemas.openxmlformats.org/drawingml/2006/main">
                    <a:graphicData uri="http://schemas.openxmlformats.org/drawingml/2006/picture">
                      <pic:pic xmlns:pic="http://schemas.openxmlformats.org/drawingml/2006/picture">
                        <pic:nvPicPr>
                          <pic:cNvPr id="219" name="图片_22"/>
                          <pic:cNvPicPr/>
                        </pic:nvPicPr>
                        <pic:blipFill>
                          <a:blip r:embed="rId69"/>
                          <a:stretch>
                            <a:fillRect/>
                          </a:stretch>
                        </pic:blipFill>
                        <pic:spPr>
                          <a:xfrm>
                            <a:off x="0" y="0"/>
                            <a:ext cx="2295525" cy="1293495"/>
                          </a:xfrm>
                          <a:prstGeom prst="rect">
                            <a:avLst/>
                          </a:prstGeom>
                          <a:noFill/>
                          <a:ln>
                            <a:noFill/>
                          </a:ln>
                        </pic:spPr>
                      </pic:pic>
                    </a:graphicData>
                  </a:graphic>
                </wp:inline>
              </w:drawing>
            </w:r>
          </w:p>
        </w:tc>
        <w:tc>
          <w:tcPr>
            <w:tcW w:w="1391" w:type="dxa"/>
            <w:shd w:val="clear" w:color="auto" w:fill="auto"/>
            <w:noWrap/>
            <w:vAlign w:val="center"/>
          </w:tcPr>
          <w:p w14:paraId="27124AF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409B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2" w:hRule="atLeast"/>
        </w:trPr>
        <w:tc>
          <w:tcPr>
            <w:tcW w:w="727" w:type="dxa"/>
            <w:shd w:val="clear" w:color="auto" w:fill="auto"/>
            <w:noWrap/>
            <w:vAlign w:val="center"/>
          </w:tcPr>
          <w:p w14:paraId="10FE1FD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36</w:t>
            </w:r>
          </w:p>
        </w:tc>
        <w:tc>
          <w:tcPr>
            <w:tcW w:w="2319" w:type="dxa"/>
            <w:shd w:val="clear" w:color="auto" w:fill="auto"/>
            <w:vAlign w:val="center"/>
          </w:tcPr>
          <w:p w14:paraId="34E0B41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道钉（双面带螺丝）</w:t>
            </w:r>
          </w:p>
        </w:tc>
        <w:tc>
          <w:tcPr>
            <w:tcW w:w="4295" w:type="dxa"/>
            <w:shd w:val="clear" w:color="auto" w:fill="auto"/>
            <w:vAlign w:val="center"/>
          </w:tcPr>
          <w:p w14:paraId="73ADEBB9">
            <w:pPr>
              <w:keepNext w:val="0"/>
              <w:keepLines w:val="0"/>
              <w:widowControl/>
              <w:suppressLineNumbers w:val="0"/>
              <w:spacing w:after="200" w:afterAutospacing="0"/>
              <w:jc w:val="center"/>
              <w:textAlignment w:val="center"/>
              <w:rPr>
                <w:rFonts w:hint="eastAsia" w:ascii="新宋体" w:hAnsi="新宋体" w:eastAsia="新宋体" w:cs="新宋体"/>
                <w:i w:val="0"/>
                <w:iCs w:val="0"/>
                <w:color w:val="auto"/>
                <w:sz w:val="20"/>
                <w:szCs w:val="20"/>
                <w:highlight w:val="none"/>
                <w:u w:val="none"/>
              </w:rPr>
            </w:pPr>
            <w:r>
              <w:rPr>
                <w:rFonts w:hint="eastAsia" w:ascii="新宋体" w:hAnsi="新宋体" w:eastAsia="新宋体" w:cs="新宋体"/>
                <w:i w:val="0"/>
                <w:iCs w:val="0"/>
                <w:color w:val="auto"/>
                <w:kern w:val="0"/>
                <w:sz w:val="20"/>
                <w:szCs w:val="20"/>
                <w:highlight w:val="none"/>
                <w:u w:val="none"/>
                <w:lang w:val="en-US" w:eastAsia="zh-CN" w:bidi="ar"/>
              </w:rPr>
              <w:t>1.反光片具有高反射率的微棱镜结构反光片，在雨夜天气和雾夜天气情况下能保持较好的警示效果。</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2.基体采用“一体成型”设计而非填充式，材料为增强型聚碳酸酯材料，抗压强度超过230KN，并具有“交通运输部科学研究院交通工程检测中心”出具的检测报告。</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3.道钉的反光片与基体粘结采用独特的反光单元分离技术，反光片由多个密封反光单元组成，部分反光单元破损，其余密封的反光单元可继续反光。</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4.道钉反光片表面采用硬度涂覆工艺处理，具有超强耐磨性能，表面耐刮擦，能够持久保持高亮反光性能；反光片与道钉基体采用超声波焊接技术，焊接强度高，反光片不易从基体上脱落。</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 xml:space="preserve">5.道钉基体设置有手持的凹槽，易于施工，且道钉底面为平整设计，易于粘结。 </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6.双面反光片带螺丝。突起路标白色反光片发光强度满足表A的要求，黄色反光片发光强度满足表B的要求。</w:t>
            </w:r>
          </w:p>
        </w:tc>
        <w:tc>
          <w:tcPr>
            <w:tcW w:w="1214" w:type="dxa"/>
            <w:shd w:val="clear" w:color="auto" w:fill="auto"/>
            <w:vAlign w:val="center"/>
          </w:tcPr>
          <w:p w14:paraId="077A996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58B322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74.73</w:t>
            </w:r>
          </w:p>
        </w:tc>
        <w:tc>
          <w:tcPr>
            <w:tcW w:w="3968" w:type="dxa"/>
            <w:shd w:val="clear" w:color="auto" w:fill="auto"/>
            <w:noWrap/>
            <w:vAlign w:val="center"/>
          </w:tcPr>
          <w:p w14:paraId="59FF87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127250" cy="1545590"/>
                  <wp:effectExtent l="0" t="0" r="6350" b="16510"/>
                  <wp:docPr id="157" name="图片_23"/>
                  <wp:cNvGraphicFramePr/>
                  <a:graphic xmlns:a="http://schemas.openxmlformats.org/drawingml/2006/main">
                    <a:graphicData uri="http://schemas.openxmlformats.org/drawingml/2006/picture">
                      <pic:pic xmlns:pic="http://schemas.openxmlformats.org/drawingml/2006/picture">
                        <pic:nvPicPr>
                          <pic:cNvPr id="157" name="图片_23"/>
                          <pic:cNvPicPr/>
                        </pic:nvPicPr>
                        <pic:blipFill>
                          <a:blip r:embed="rId70"/>
                          <a:stretch>
                            <a:fillRect/>
                          </a:stretch>
                        </pic:blipFill>
                        <pic:spPr>
                          <a:xfrm>
                            <a:off x="0" y="0"/>
                            <a:ext cx="2127250" cy="1545590"/>
                          </a:xfrm>
                          <a:prstGeom prst="rect">
                            <a:avLst/>
                          </a:prstGeom>
                          <a:noFill/>
                          <a:ln>
                            <a:noFill/>
                          </a:ln>
                        </pic:spPr>
                      </pic:pic>
                    </a:graphicData>
                  </a:graphic>
                </wp:inline>
              </w:drawing>
            </w:r>
          </w:p>
        </w:tc>
        <w:tc>
          <w:tcPr>
            <w:tcW w:w="1391" w:type="dxa"/>
            <w:shd w:val="clear" w:color="auto" w:fill="auto"/>
            <w:noWrap/>
            <w:vAlign w:val="center"/>
          </w:tcPr>
          <w:p w14:paraId="19B586D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4124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19" w:hRule="atLeast"/>
        </w:trPr>
        <w:tc>
          <w:tcPr>
            <w:tcW w:w="727" w:type="dxa"/>
            <w:shd w:val="clear" w:color="auto" w:fill="auto"/>
            <w:noWrap/>
            <w:vAlign w:val="center"/>
          </w:tcPr>
          <w:p w14:paraId="31A0AB5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37</w:t>
            </w:r>
          </w:p>
        </w:tc>
        <w:tc>
          <w:tcPr>
            <w:tcW w:w="2319" w:type="dxa"/>
            <w:shd w:val="clear" w:color="auto" w:fill="auto"/>
            <w:vAlign w:val="center"/>
          </w:tcPr>
          <w:p w14:paraId="3AF53A2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地埋道钉</w:t>
            </w:r>
          </w:p>
        </w:tc>
        <w:tc>
          <w:tcPr>
            <w:tcW w:w="4295" w:type="dxa"/>
            <w:shd w:val="clear" w:color="auto" w:fill="auto"/>
            <w:vAlign w:val="center"/>
          </w:tcPr>
          <w:p w14:paraId="0363F222">
            <w:pPr>
              <w:keepNext w:val="0"/>
              <w:keepLines w:val="0"/>
              <w:widowControl/>
              <w:suppressLineNumbers w:val="0"/>
              <w:jc w:val="center"/>
              <w:textAlignment w:val="center"/>
              <w:rPr>
                <w:rFonts w:hint="eastAsia" w:ascii="新宋体" w:hAnsi="新宋体" w:eastAsia="新宋体" w:cs="新宋体"/>
                <w:i w:val="0"/>
                <w:iCs w:val="0"/>
                <w:color w:val="auto"/>
                <w:sz w:val="20"/>
                <w:szCs w:val="20"/>
                <w:highlight w:val="none"/>
                <w:u w:val="none"/>
              </w:rPr>
            </w:pPr>
            <w:r>
              <w:rPr>
                <w:rFonts w:hint="eastAsia" w:ascii="新宋体" w:hAnsi="新宋体" w:eastAsia="新宋体" w:cs="新宋体"/>
                <w:i w:val="0"/>
                <w:iCs w:val="0"/>
                <w:color w:val="auto"/>
                <w:kern w:val="0"/>
                <w:sz w:val="20"/>
                <w:szCs w:val="20"/>
                <w:highlight w:val="none"/>
                <w:u w:val="none"/>
                <w:lang w:val="en-US" w:eastAsia="zh-CN" w:bidi="ar"/>
              </w:rPr>
              <w:t>1、太阳能充电电池：单晶硅5V55ma</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2、储能元件：锂聚合物电池3.7V 450ma，充放电次大于1800次</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3、发光颜色：白光或黄光</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4、工作模式：闪烁或常亮或卫星授时同步</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5、外形尺寸：直径125mm 高50mm</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6、抗压性能：静态抗压大于30吨</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7、工作时间：充满电可以连续工作120个小时</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8、起控光强：小于100LX</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9、工作环境：－20℃ ～＋80℃</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10、防护等级：IP68</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11、产品重量：不小于1100g</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12、安装方式：地埋式</w:t>
            </w:r>
          </w:p>
        </w:tc>
        <w:tc>
          <w:tcPr>
            <w:tcW w:w="1214" w:type="dxa"/>
            <w:shd w:val="clear" w:color="auto" w:fill="auto"/>
            <w:vAlign w:val="center"/>
          </w:tcPr>
          <w:p w14:paraId="64C2445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284860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562.78</w:t>
            </w:r>
          </w:p>
        </w:tc>
        <w:tc>
          <w:tcPr>
            <w:tcW w:w="3968" w:type="dxa"/>
            <w:shd w:val="clear" w:color="auto" w:fill="auto"/>
            <w:noWrap/>
            <w:vAlign w:val="center"/>
          </w:tcPr>
          <w:p w14:paraId="0D8070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048510" cy="1819275"/>
                  <wp:effectExtent l="0" t="0" r="0" b="0"/>
                  <wp:docPr id="166" name="image2.png"/>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71"/>
                          <a:stretch>
                            <a:fillRect/>
                          </a:stretch>
                        </pic:blipFill>
                        <pic:spPr>
                          <a:xfrm>
                            <a:off x="0" y="0"/>
                            <a:ext cx="2048510" cy="1819275"/>
                          </a:xfrm>
                          <a:prstGeom prst="rect">
                            <a:avLst/>
                          </a:prstGeom>
                          <a:noFill/>
                          <a:ln>
                            <a:noFill/>
                          </a:ln>
                        </pic:spPr>
                      </pic:pic>
                    </a:graphicData>
                  </a:graphic>
                </wp:inline>
              </w:drawing>
            </w:r>
          </w:p>
        </w:tc>
        <w:tc>
          <w:tcPr>
            <w:tcW w:w="1391" w:type="dxa"/>
            <w:shd w:val="clear" w:color="auto" w:fill="auto"/>
            <w:noWrap/>
            <w:vAlign w:val="center"/>
          </w:tcPr>
          <w:p w14:paraId="32C6A8AD">
            <w:pPr>
              <w:rPr>
                <w:rFonts w:hint="eastAsia" w:ascii="宋体" w:hAnsi="宋体" w:eastAsia="宋体" w:cs="宋体"/>
                <w:i w:val="0"/>
                <w:iCs w:val="0"/>
                <w:color w:val="auto"/>
                <w:sz w:val="22"/>
                <w:szCs w:val="22"/>
                <w:highlight w:val="none"/>
                <w:u w:val="none"/>
              </w:rPr>
            </w:pPr>
          </w:p>
        </w:tc>
      </w:tr>
      <w:tr w14:paraId="43FC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trPr>
        <w:tc>
          <w:tcPr>
            <w:tcW w:w="727" w:type="dxa"/>
            <w:shd w:val="clear" w:color="auto" w:fill="auto"/>
            <w:noWrap/>
            <w:vAlign w:val="center"/>
          </w:tcPr>
          <w:p w14:paraId="1D92280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38</w:t>
            </w:r>
          </w:p>
        </w:tc>
        <w:tc>
          <w:tcPr>
            <w:tcW w:w="2319" w:type="dxa"/>
            <w:shd w:val="clear" w:color="auto" w:fill="auto"/>
            <w:vAlign w:val="center"/>
          </w:tcPr>
          <w:p w14:paraId="114B9D5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太阳能铝道钉（无规律闪）</w:t>
            </w:r>
          </w:p>
        </w:tc>
        <w:tc>
          <w:tcPr>
            <w:tcW w:w="4295" w:type="dxa"/>
            <w:shd w:val="clear" w:color="auto" w:fill="auto"/>
            <w:vAlign w:val="center"/>
          </w:tcPr>
          <w:p w14:paraId="64D8EDD4">
            <w:pPr>
              <w:keepNext w:val="0"/>
              <w:keepLines w:val="0"/>
              <w:widowControl/>
              <w:suppressLineNumbers w:val="0"/>
              <w:jc w:val="center"/>
              <w:textAlignment w:val="center"/>
              <w:rPr>
                <w:rFonts w:hint="eastAsia" w:ascii="新宋体" w:hAnsi="新宋体" w:eastAsia="新宋体" w:cs="新宋体"/>
                <w:i w:val="0"/>
                <w:iCs w:val="0"/>
                <w:color w:val="auto"/>
                <w:sz w:val="20"/>
                <w:szCs w:val="20"/>
                <w:highlight w:val="none"/>
                <w:u w:val="none"/>
              </w:rPr>
            </w:pPr>
            <w:r>
              <w:rPr>
                <w:rFonts w:hint="eastAsia" w:ascii="新宋体" w:hAnsi="新宋体" w:eastAsia="新宋体" w:cs="新宋体"/>
                <w:i w:val="0"/>
                <w:iCs w:val="0"/>
                <w:color w:val="auto"/>
                <w:kern w:val="0"/>
                <w:sz w:val="20"/>
                <w:szCs w:val="20"/>
                <w:highlight w:val="none"/>
                <w:u w:val="none"/>
                <w:lang w:val="en-US" w:eastAsia="zh-CN" w:bidi="ar"/>
              </w:rPr>
              <w:t>产品规格:104*122*24mm</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太阳能:2V150mA单晶硅0.3w电池:镍氢电池 800mA</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LED数量:6颗(黄、白、红、蓝、绿、彩)能见度:500米</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频闪率:60次/分钟频闪、或常亮或无线同步闪。外壳材料:高压PC、国标铝、环氧树脂。工作温度:-25℃至65℃防水等级:IP68</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静态抗压:60000镑(约25吨)产品寿命:5年以上(质保1年)工作模式:紫外线光感</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工作时间:室外，连续阴雨天也正常充电专利号:201720258946.7</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产品特点:本产品由紫外线受光充电，即使阴雨天都能正常充电。光源全部高亮，蓝牙无线同步最大间距是50米，是现代化公路照明和防雾警示的理想产品。</w:t>
            </w:r>
          </w:p>
        </w:tc>
        <w:tc>
          <w:tcPr>
            <w:tcW w:w="1214" w:type="dxa"/>
            <w:shd w:val="clear" w:color="auto" w:fill="auto"/>
            <w:vAlign w:val="center"/>
          </w:tcPr>
          <w:p w14:paraId="317A382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103103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97.63</w:t>
            </w:r>
          </w:p>
        </w:tc>
        <w:tc>
          <w:tcPr>
            <w:tcW w:w="3968" w:type="dxa"/>
            <w:shd w:val="clear" w:color="auto" w:fill="auto"/>
            <w:noWrap/>
            <w:vAlign w:val="center"/>
          </w:tcPr>
          <w:p w14:paraId="3DED42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758950" cy="1696085"/>
                  <wp:effectExtent l="0" t="0" r="12700" b="18415"/>
                  <wp:docPr id="168" name="图片_25"/>
                  <wp:cNvGraphicFramePr/>
                  <a:graphic xmlns:a="http://schemas.openxmlformats.org/drawingml/2006/main">
                    <a:graphicData uri="http://schemas.openxmlformats.org/drawingml/2006/picture">
                      <pic:pic xmlns:pic="http://schemas.openxmlformats.org/drawingml/2006/picture">
                        <pic:nvPicPr>
                          <pic:cNvPr id="168" name="图片_25"/>
                          <pic:cNvPicPr/>
                        </pic:nvPicPr>
                        <pic:blipFill>
                          <a:blip r:embed="rId72"/>
                          <a:stretch>
                            <a:fillRect/>
                          </a:stretch>
                        </pic:blipFill>
                        <pic:spPr>
                          <a:xfrm>
                            <a:off x="0" y="0"/>
                            <a:ext cx="1758950" cy="1696085"/>
                          </a:xfrm>
                          <a:prstGeom prst="rect">
                            <a:avLst/>
                          </a:prstGeom>
                          <a:noFill/>
                          <a:ln>
                            <a:noFill/>
                          </a:ln>
                        </pic:spPr>
                      </pic:pic>
                    </a:graphicData>
                  </a:graphic>
                </wp:inline>
              </w:drawing>
            </w:r>
          </w:p>
        </w:tc>
        <w:tc>
          <w:tcPr>
            <w:tcW w:w="1391" w:type="dxa"/>
            <w:shd w:val="clear" w:color="auto" w:fill="auto"/>
            <w:noWrap/>
            <w:vAlign w:val="center"/>
          </w:tcPr>
          <w:p w14:paraId="7A31993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116E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0" w:hRule="atLeast"/>
        </w:trPr>
        <w:tc>
          <w:tcPr>
            <w:tcW w:w="727" w:type="dxa"/>
            <w:shd w:val="clear" w:color="auto" w:fill="auto"/>
            <w:noWrap/>
            <w:vAlign w:val="center"/>
          </w:tcPr>
          <w:p w14:paraId="1ABD0B2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39</w:t>
            </w:r>
          </w:p>
        </w:tc>
        <w:tc>
          <w:tcPr>
            <w:tcW w:w="2319" w:type="dxa"/>
            <w:shd w:val="clear" w:color="auto" w:fill="auto"/>
            <w:vAlign w:val="center"/>
          </w:tcPr>
          <w:p w14:paraId="0FEDDBB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太阳能铝道钉（同步闪）</w:t>
            </w:r>
          </w:p>
        </w:tc>
        <w:tc>
          <w:tcPr>
            <w:tcW w:w="4295" w:type="dxa"/>
            <w:shd w:val="clear" w:color="auto" w:fill="auto"/>
            <w:vAlign w:val="center"/>
          </w:tcPr>
          <w:p w14:paraId="3AFBA00B">
            <w:pPr>
              <w:keepNext w:val="0"/>
              <w:keepLines w:val="0"/>
              <w:widowControl/>
              <w:suppressLineNumbers w:val="0"/>
              <w:jc w:val="center"/>
              <w:textAlignment w:val="center"/>
              <w:rPr>
                <w:rFonts w:hint="eastAsia" w:ascii="新宋体" w:hAnsi="新宋体" w:eastAsia="新宋体" w:cs="新宋体"/>
                <w:i w:val="0"/>
                <w:iCs w:val="0"/>
                <w:color w:val="auto"/>
                <w:sz w:val="20"/>
                <w:szCs w:val="20"/>
                <w:highlight w:val="none"/>
                <w:u w:val="none"/>
              </w:rPr>
            </w:pPr>
            <w:r>
              <w:rPr>
                <w:rFonts w:hint="eastAsia" w:ascii="新宋体" w:hAnsi="新宋体" w:eastAsia="新宋体" w:cs="新宋体"/>
                <w:i w:val="0"/>
                <w:iCs w:val="0"/>
                <w:color w:val="auto"/>
                <w:kern w:val="0"/>
                <w:sz w:val="20"/>
                <w:szCs w:val="20"/>
                <w:highlight w:val="none"/>
                <w:u w:val="none"/>
                <w:lang w:val="en-US" w:eastAsia="zh-CN" w:bidi="ar"/>
              </w:rPr>
              <w:t>产品规格:104*122*24mm</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太阳能:2V150mA单晶硅0.3w电池:镍氢电池 800mA</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LED数量:6颗(黄、白、红、蓝、绿、彩)能见度:500米</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频闪率:60次/分钟频闪、或常亮或无线同步闪。外壳材料:高压PC、国标铝、环氧树脂。工作温度:-25℃至65℃防水等级:IP68</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静态抗压:60000镑(约25吨)产品寿命:5年以上(质保1年)工作模式:紫外线光感</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工作时间:室外，连续阴雨天也正常充电专利号:201720258946.7</w:t>
            </w:r>
            <w:r>
              <w:rPr>
                <w:rFonts w:hint="eastAsia" w:ascii="新宋体" w:hAnsi="新宋体" w:eastAsia="新宋体" w:cs="新宋体"/>
                <w:i w:val="0"/>
                <w:iCs w:val="0"/>
                <w:color w:val="auto"/>
                <w:kern w:val="0"/>
                <w:sz w:val="20"/>
                <w:szCs w:val="20"/>
                <w:highlight w:val="none"/>
                <w:u w:val="none"/>
                <w:lang w:val="en-US" w:eastAsia="zh-CN" w:bidi="ar"/>
              </w:rPr>
              <w:br w:type="textWrapping"/>
            </w:r>
            <w:r>
              <w:rPr>
                <w:rFonts w:hint="eastAsia" w:ascii="新宋体" w:hAnsi="新宋体" w:eastAsia="新宋体" w:cs="新宋体"/>
                <w:i w:val="0"/>
                <w:iCs w:val="0"/>
                <w:color w:val="auto"/>
                <w:kern w:val="0"/>
                <w:sz w:val="20"/>
                <w:szCs w:val="20"/>
                <w:highlight w:val="none"/>
                <w:u w:val="none"/>
                <w:lang w:val="en-US" w:eastAsia="zh-CN" w:bidi="ar"/>
              </w:rPr>
              <w:t>产品特点:本产品由紫外线受光充电，即使阴雨天都能正常充电。光源全部高亮，蓝牙无线同步最大间距是50米，是现代化公路照明和防雾警示的理想产品。</w:t>
            </w:r>
          </w:p>
        </w:tc>
        <w:tc>
          <w:tcPr>
            <w:tcW w:w="1214" w:type="dxa"/>
            <w:shd w:val="clear" w:color="auto" w:fill="auto"/>
            <w:vAlign w:val="center"/>
          </w:tcPr>
          <w:p w14:paraId="14574DE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5C67CA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115.45</w:t>
            </w:r>
          </w:p>
        </w:tc>
        <w:tc>
          <w:tcPr>
            <w:tcW w:w="3968" w:type="dxa"/>
            <w:shd w:val="clear" w:color="auto" w:fill="auto"/>
            <w:noWrap/>
            <w:vAlign w:val="center"/>
          </w:tcPr>
          <w:p w14:paraId="76A14B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06905" cy="1841500"/>
                  <wp:effectExtent l="0" t="0" r="17145" b="6350"/>
                  <wp:docPr id="158" name="图片_26"/>
                  <wp:cNvGraphicFramePr/>
                  <a:graphic xmlns:a="http://schemas.openxmlformats.org/drawingml/2006/main">
                    <a:graphicData uri="http://schemas.openxmlformats.org/drawingml/2006/picture">
                      <pic:pic xmlns:pic="http://schemas.openxmlformats.org/drawingml/2006/picture">
                        <pic:nvPicPr>
                          <pic:cNvPr id="158" name="图片_26"/>
                          <pic:cNvPicPr/>
                        </pic:nvPicPr>
                        <pic:blipFill>
                          <a:blip r:embed="rId73"/>
                          <a:stretch>
                            <a:fillRect/>
                          </a:stretch>
                        </pic:blipFill>
                        <pic:spPr>
                          <a:xfrm>
                            <a:off x="0" y="0"/>
                            <a:ext cx="1906905" cy="1841500"/>
                          </a:xfrm>
                          <a:prstGeom prst="rect">
                            <a:avLst/>
                          </a:prstGeom>
                          <a:noFill/>
                          <a:ln>
                            <a:noFill/>
                          </a:ln>
                        </pic:spPr>
                      </pic:pic>
                    </a:graphicData>
                  </a:graphic>
                </wp:inline>
              </w:drawing>
            </w:r>
          </w:p>
        </w:tc>
        <w:tc>
          <w:tcPr>
            <w:tcW w:w="1391" w:type="dxa"/>
            <w:shd w:val="clear" w:color="auto" w:fill="auto"/>
            <w:noWrap/>
            <w:vAlign w:val="center"/>
          </w:tcPr>
          <w:p w14:paraId="41AC59E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0A2D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62" w:hRule="atLeast"/>
        </w:trPr>
        <w:tc>
          <w:tcPr>
            <w:tcW w:w="727" w:type="dxa"/>
            <w:shd w:val="clear" w:color="auto" w:fill="auto"/>
            <w:noWrap/>
            <w:vAlign w:val="center"/>
          </w:tcPr>
          <w:p w14:paraId="432B1F1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40</w:t>
            </w:r>
          </w:p>
        </w:tc>
        <w:tc>
          <w:tcPr>
            <w:tcW w:w="2319" w:type="dxa"/>
            <w:shd w:val="clear" w:color="auto" w:fill="auto"/>
            <w:vAlign w:val="center"/>
          </w:tcPr>
          <w:p w14:paraId="519E089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80cm pu磁铁潮汐车道弹性柱</w:t>
            </w:r>
          </w:p>
        </w:tc>
        <w:tc>
          <w:tcPr>
            <w:tcW w:w="4295" w:type="dxa"/>
            <w:shd w:val="clear" w:color="auto" w:fill="auto"/>
            <w:vAlign w:val="center"/>
          </w:tcPr>
          <w:p w14:paraId="6839140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1. 符合国标GB/T 24972标准并通过认证；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2. 顶部含有提环， 方便拆卸；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3. 地埋磁铁含有橡胶缓冲块;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4. 采用全新TPU高性能材料制成，通体壁厚不小于3mm；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5. 柱体荧光橙色， 保持2年以上不褪色；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6. 反光膜符合GB/T 18833 Type Ⅳ类以上指标；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7. 使用温度范围-25 – 60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 xml:space="preserve">8.采用优质PU材料一次成型，适用于寒冷和炎热的环境 . 柱体在生产过程中内置磁铁， 与磁铁底座配合使用， 可以快速安装或者拆卸。 </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9.高度750MM，柱径80MM，重量1.1KG</w:t>
            </w:r>
          </w:p>
        </w:tc>
        <w:tc>
          <w:tcPr>
            <w:tcW w:w="1214" w:type="dxa"/>
            <w:shd w:val="clear" w:color="auto" w:fill="auto"/>
            <w:vAlign w:val="center"/>
          </w:tcPr>
          <w:p w14:paraId="6AD75A9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条</w:t>
            </w:r>
          </w:p>
        </w:tc>
        <w:tc>
          <w:tcPr>
            <w:tcW w:w="1200" w:type="dxa"/>
            <w:shd w:val="clear" w:color="auto" w:fill="auto"/>
            <w:noWrap/>
            <w:vAlign w:val="center"/>
          </w:tcPr>
          <w:p w14:paraId="2A2443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407.78</w:t>
            </w:r>
          </w:p>
        </w:tc>
        <w:tc>
          <w:tcPr>
            <w:tcW w:w="3968" w:type="dxa"/>
            <w:shd w:val="clear" w:color="auto" w:fill="auto"/>
            <w:noWrap/>
            <w:vAlign w:val="center"/>
          </w:tcPr>
          <w:p w14:paraId="774E21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44370" cy="2486660"/>
                  <wp:effectExtent l="0" t="0" r="17780" b="8890"/>
                  <wp:docPr id="236" name="图片_27"/>
                  <wp:cNvGraphicFramePr/>
                  <a:graphic xmlns:a="http://schemas.openxmlformats.org/drawingml/2006/main">
                    <a:graphicData uri="http://schemas.openxmlformats.org/drawingml/2006/picture">
                      <pic:pic xmlns:pic="http://schemas.openxmlformats.org/drawingml/2006/picture">
                        <pic:nvPicPr>
                          <pic:cNvPr id="236" name="图片_27"/>
                          <pic:cNvPicPr/>
                        </pic:nvPicPr>
                        <pic:blipFill>
                          <a:blip r:embed="rId74"/>
                          <a:stretch>
                            <a:fillRect/>
                          </a:stretch>
                        </pic:blipFill>
                        <pic:spPr>
                          <a:xfrm>
                            <a:off x="0" y="0"/>
                            <a:ext cx="1944370" cy="2486660"/>
                          </a:xfrm>
                          <a:prstGeom prst="rect">
                            <a:avLst/>
                          </a:prstGeom>
                          <a:noFill/>
                          <a:ln>
                            <a:noFill/>
                          </a:ln>
                        </pic:spPr>
                      </pic:pic>
                    </a:graphicData>
                  </a:graphic>
                </wp:inline>
              </w:drawing>
            </w:r>
          </w:p>
        </w:tc>
        <w:tc>
          <w:tcPr>
            <w:tcW w:w="1391" w:type="dxa"/>
            <w:shd w:val="clear" w:color="auto" w:fill="auto"/>
            <w:noWrap/>
            <w:vAlign w:val="center"/>
          </w:tcPr>
          <w:p w14:paraId="0AE6A923">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7A1F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727" w:type="dxa"/>
            <w:shd w:val="clear" w:color="auto" w:fill="auto"/>
            <w:noWrap/>
            <w:vAlign w:val="center"/>
          </w:tcPr>
          <w:p w14:paraId="03B5CDB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41</w:t>
            </w:r>
          </w:p>
        </w:tc>
        <w:tc>
          <w:tcPr>
            <w:tcW w:w="2319" w:type="dxa"/>
            <w:shd w:val="clear" w:color="auto" w:fill="auto"/>
            <w:vAlign w:val="center"/>
          </w:tcPr>
          <w:p w14:paraId="27E0747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磁铁</w:t>
            </w:r>
          </w:p>
        </w:tc>
        <w:tc>
          <w:tcPr>
            <w:tcW w:w="4295" w:type="dxa"/>
            <w:shd w:val="clear" w:color="auto" w:fill="auto"/>
            <w:vAlign w:val="center"/>
          </w:tcPr>
          <w:p w14:paraId="56D4567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与80cm pu磁铁潮汐车道弹性柱磁铁底座配合使用 </w:t>
            </w:r>
          </w:p>
        </w:tc>
        <w:tc>
          <w:tcPr>
            <w:tcW w:w="1214" w:type="dxa"/>
            <w:shd w:val="clear" w:color="auto" w:fill="auto"/>
            <w:vAlign w:val="center"/>
          </w:tcPr>
          <w:p w14:paraId="044172C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551F26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21.80</w:t>
            </w:r>
          </w:p>
        </w:tc>
        <w:tc>
          <w:tcPr>
            <w:tcW w:w="3968" w:type="dxa"/>
            <w:shd w:val="clear" w:color="auto" w:fill="auto"/>
            <w:noWrap/>
            <w:vAlign w:val="center"/>
          </w:tcPr>
          <w:p w14:paraId="303E77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581025" cy="561975"/>
                  <wp:effectExtent l="0" t="0" r="9525" b="9525"/>
                  <wp:docPr id="163" name="图片_28"/>
                  <wp:cNvGraphicFramePr/>
                  <a:graphic xmlns:a="http://schemas.openxmlformats.org/drawingml/2006/main">
                    <a:graphicData uri="http://schemas.openxmlformats.org/drawingml/2006/picture">
                      <pic:pic xmlns:pic="http://schemas.openxmlformats.org/drawingml/2006/picture">
                        <pic:nvPicPr>
                          <pic:cNvPr id="163" name="图片_28"/>
                          <pic:cNvPicPr/>
                        </pic:nvPicPr>
                        <pic:blipFill>
                          <a:blip r:embed="rId75"/>
                          <a:stretch>
                            <a:fillRect/>
                          </a:stretch>
                        </pic:blipFill>
                        <pic:spPr>
                          <a:xfrm>
                            <a:off x="0" y="0"/>
                            <a:ext cx="581025" cy="561975"/>
                          </a:xfrm>
                          <a:prstGeom prst="rect">
                            <a:avLst/>
                          </a:prstGeom>
                          <a:noFill/>
                          <a:ln>
                            <a:noFill/>
                          </a:ln>
                        </pic:spPr>
                      </pic:pic>
                    </a:graphicData>
                  </a:graphic>
                </wp:inline>
              </w:drawing>
            </w:r>
          </w:p>
        </w:tc>
        <w:tc>
          <w:tcPr>
            <w:tcW w:w="1391" w:type="dxa"/>
            <w:shd w:val="clear" w:color="auto" w:fill="auto"/>
            <w:noWrap/>
            <w:vAlign w:val="center"/>
          </w:tcPr>
          <w:p w14:paraId="2B6060D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53BC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2" w:hRule="atLeast"/>
        </w:trPr>
        <w:tc>
          <w:tcPr>
            <w:tcW w:w="727" w:type="dxa"/>
            <w:shd w:val="clear" w:color="auto" w:fill="auto"/>
            <w:noWrap/>
            <w:vAlign w:val="center"/>
          </w:tcPr>
          <w:p w14:paraId="2FCC9C3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42</w:t>
            </w:r>
          </w:p>
        </w:tc>
        <w:tc>
          <w:tcPr>
            <w:tcW w:w="2319" w:type="dxa"/>
            <w:shd w:val="clear" w:color="auto" w:fill="auto"/>
            <w:vAlign w:val="center"/>
          </w:tcPr>
          <w:p w14:paraId="4F6BD6E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橡胶减速带</w:t>
            </w:r>
          </w:p>
        </w:tc>
        <w:tc>
          <w:tcPr>
            <w:tcW w:w="4295" w:type="dxa"/>
            <w:shd w:val="clear" w:color="auto" w:fill="auto"/>
            <w:vAlign w:val="center"/>
          </w:tcPr>
          <w:p w14:paraId="78F757B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1.尺寸：1000×380×50mm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2.材质：橡胶</w:t>
            </w:r>
          </w:p>
        </w:tc>
        <w:tc>
          <w:tcPr>
            <w:tcW w:w="1214" w:type="dxa"/>
            <w:shd w:val="clear" w:color="auto" w:fill="auto"/>
            <w:vAlign w:val="center"/>
          </w:tcPr>
          <w:p w14:paraId="42665D4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6AA049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78.82</w:t>
            </w:r>
          </w:p>
        </w:tc>
        <w:tc>
          <w:tcPr>
            <w:tcW w:w="3968" w:type="dxa"/>
            <w:shd w:val="clear" w:color="auto" w:fill="auto"/>
            <w:noWrap/>
            <w:vAlign w:val="center"/>
          </w:tcPr>
          <w:p w14:paraId="592558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99615" cy="1497330"/>
                  <wp:effectExtent l="0" t="0" r="635" b="7620"/>
                  <wp:docPr id="160" name="图片_29"/>
                  <wp:cNvGraphicFramePr/>
                  <a:graphic xmlns:a="http://schemas.openxmlformats.org/drawingml/2006/main">
                    <a:graphicData uri="http://schemas.openxmlformats.org/drawingml/2006/picture">
                      <pic:pic xmlns:pic="http://schemas.openxmlformats.org/drawingml/2006/picture">
                        <pic:nvPicPr>
                          <pic:cNvPr id="160" name="图片_29"/>
                          <pic:cNvPicPr/>
                        </pic:nvPicPr>
                        <pic:blipFill>
                          <a:blip r:embed="rId76"/>
                          <a:stretch>
                            <a:fillRect/>
                          </a:stretch>
                        </pic:blipFill>
                        <pic:spPr>
                          <a:xfrm>
                            <a:off x="0" y="0"/>
                            <a:ext cx="1999615" cy="1497330"/>
                          </a:xfrm>
                          <a:prstGeom prst="rect">
                            <a:avLst/>
                          </a:prstGeom>
                          <a:noFill/>
                          <a:ln>
                            <a:noFill/>
                          </a:ln>
                        </pic:spPr>
                      </pic:pic>
                    </a:graphicData>
                  </a:graphic>
                </wp:inline>
              </w:drawing>
            </w:r>
          </w:p>
        </w:tc>
        <w:tc>
          <w:tcPr>
            <w:tcW w:w="1391" w:type="dxa"/>
            <w:shd w:val="clear" w:color="auto" w:fill="auto"/>
            <w:noWrap/>
            <w:vAlign w:val="center"/>
          </w:tcPr>
          <w:p w14:paraId="46165ED4">
            <w:pPr>
              <w:rPr>
                <w:rFonts w:hint="eastAsia" w:ascii="宋体" w:hAnsi="宋体" w:eastAsia="宋体" w:cs="宋体"/>
                <w:i w:val="0"/>
                <w:iCs w:val="0"/>
                <w:color w:val="auto"/>
                <w:sz w:val="22"/>
                <w:szCs w:val="22"/>
                <w:highlight w:val="none"/>
                <w:u w:val="none"/>
              </w:rPr>
            </w:pPr>
          </w:p>
        </w:tc>
      </w:tr>
      <w:tr w14:paraId="4923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9" w:hRule="atLeast"/>
        </w:trPr>
        <w:tc>
          <w:tcPr>
            <w:tcW w:w="727" w:type="dxa"/>
            <w:shd w:val="clear" w:color="auto" w:fill="auto"/>
            <w:noWrap/>
            <w:vAlign w:val="center"/>
          </w:tcPr>
          <w:p w14:paraId="475413A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43</w:t>
            </w:r>
          </w:p>
        </w:tc>
        <w:tc>
          <w:tcPr>
            <w:tcW w:w="2319" w:type="dxa"/>
            <w:shd w:val="clear" w:color="auto" w:fill="auto"/>
            <w:vAlign w:val="center"/>
          </w:tcPr>
          <w:p w14:paraId="069DB08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橡胶减速带（含端头）</w:t>
            </w:r>
          </w:p>
        </w:tc>
        <w:tc>
          <w:tcPr>
            <w:tcW w:w="4295" w:type="dxa"/>
            <w:shd w:val="clear" w:color="auto" w:fill="auto"/>
            <w:vAlign w:val="center"/>
          </w:tcPr>
          <w:p w14:paraId="0E0A6BF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1.尺寸1000*350*45mm（宽度误差2CM）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2.材质：橡胶</w:t>
            </w:r>
          </w:p>
        </w:tc>
        <w:tc>
          <w:tcPr>
            <w:tcW w:w="1214" w:type="dxa"/>
            <w:shd w:val="clear" w:color="auto" w:fill="auto"/>
            <w:vAlign w:val="center"/>
          </w:tcPr>
          <w:p w14:paraId="33734C8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米</w:t>
            </w:r>
          </w:p>
        </w:tc>
        <w:tc>
          <w:tcPr>
            <w:tcW w:w="1200" w:type="dxa"/>
            <w:shd w:val="clear" w:color="auto" w:fill="auto"/>
            <w:noWrap/>
            <w:vAlign w:val="center"/>
          </w:tcPr>
          <w:p w14:paraId="4F3B03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78.82</w:t>
            </w:r>
          </w:p>
        </w:tc>
        <w:tc>
          <w:tcPr>
            <w:tcW w:w="3968" w:type="dxa"/>
            <w:shd w:val="clear" w:color="auto" w:fill="auto"/>
            <w:noWrap/>
            <w:vAlign w:val="center"/>
          </w:tcPr>
          <w:p w14:paraId="548F1B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885950" cy="1414145"/>
                  <wp:effectExtent l="0" t="0" r="0" b="14605"/>
                  <wp:docPr id="220" name="图片_30"/>
                  <wp:cNvGraphicFramePr/>
                  <a:graphic xmlns:a="http://schemas.openxmlformats.org/drawingml/2006/main">
                    <a:graphicData uri="http://schemas.openxmlformats.org/drawingml/2006/picture">
                      <pic:pic xmlns:pic="http://schemas.openxmlformats.org/drawingml/2006/picture">
                        <pic:nvPicPr>
                          <pic:cNvPr id="220" name="图片_30"/>
                          <pic:cNvPicPr/>
                        </pic:nvPicPr>
                        <pic:blipFill>
                          <a:blip r:embed="rId77"/>
                          <a:stretch>
                            <a:fillRect/>
                          </a:stretch>
                        </pic:blipFill>
                        <pic:spPr>
                          <a:xfrm>
                            <a:off x="0" y="0"/>
                            <a:ext cx="1885950" cy="1414145"/>
                          </a:xfrm>
                          <a:prstGeom prst="rect">
                            <a:avLst/>
                          </a:prstGeom>
                          <a:noFill/>
                          <a:ln>
                            <a:noFill/>
                          </a:ln>
                        </pic:spPr>
                      </pic:pic>
                    </a:graphicData>
                  </a:graphic>
                </wp:inline>
              </w:drawing>
            </w:r>
          </w:p>
        </w:tc>
        <w:tc>
          <w:tcPr>
            <w:tcW w:w="1391" w:type="dxa"/>
            <w:shd w:val="clear" w:color="auto" w:fill="auto"/>
            <w:noWrap/>
            <w:vAlign w:val="center"/>
          </w:tcPr>
          <w:p w14:paraId="6344BBAF">
            <w:pPr>
              <w:rPr>
                <w:rFonts w:hint="eastAsia" w:ascii="宋体" w:hAnsi="宋体" w:eastAsia="宋体" w:cs="宋体"/>
                <w:i w:val="0"/>
                <w:iCs w:val="0"/>
                <w:color w:val="auto"/>
                <w:sz w:val="22"/>
                <w:szCs w:val="22"/>
                <w:highlight w:val="none"/>
                <w:u w:val="none"/>
              </w:rPr>
            </w:pPr>
          </w:p>
        </w:tc>
      </w:tr>
      <w:tr w14:paraId="4C53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9" w:hRule="atLeast"/>
        </w:trPr>
        <w:tc>
          <w:tcPr>
            <w:tcW w:w="727" w:type="dxa"/>
            <w:shd w:val="clear" w:color="auto" w:fill="auto"/>
            <w:noWrap/>
            <w:vAlign w:val="center"/>
          </w:tcPr>
          <w:p w14:paraId="6742210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44</w:t>
            </w:r>
          </w:p>
        </w:tc>
        <w:tc>
          <w:tcPr>
            <w:tcW w:w="2319" w:type="dxa"/>
            <w:shd w:val="clear" w:color="auto" w:fill="auto"/>
            <w:vAlign w:val="center"/>
          </w:tcPr>
          <w:p w14:paraId="343FBDD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澳洲减速带</w:t>
            </w:r>
          </w:p>
        </w:tc>
        <w:tc>
          <w:tcPr>
            <w:tcW w:w="4295" w:type="dxa"/>
            <w:shd w:val="clear" w:color="auto" w:fill="auto"/>
            <w:vAlign w:val="center"/>
          </w:tcPr>
          <w:p w14:paraId="28E4C64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1.由高强度天然橡胶与尼龙纤维制成；</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2.黑白相间，含有反光珠</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3.承重60吨车辆60Km/H速度</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4.规格：高度80MM,宽度1600MM,单位长度2000MM</w:t>
            </w:r>
          </w:p>
        </w:tc>
        <w:tc>
          <w:tcPr>
            <w:tcW w:w="1214" w:type="dxa"/>
            <w:shd w:val="clear" w:color="auto" w:fill="auto"/>
            <w:vAlign w:val="center"/>
          </w:tcPr>
          <w:p w14:paraId="44A995E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6D26BA1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163.50</w:t>
            </w:r>
          </w:p>
        </w:tc>
        <w:tc>
          <w:tcPr>
            <w:tcW w:w="3968" w:type="dxa"/>
            <w:shd w:val="clear" w:color="auto" w:fill="auto"/>
            <w:noWrap/>
            <w:vAlign w:val="center"/>
          </w:tcPr>
          <w:p w14:paraId="6C8A07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2413635" cy="1464945"/>
                  <wp:effectExtent l="0" t="0" r="0" b="0"/>
                  <wp:docPr id="235" name="图片_8_SpCnt_1"/>
                  <wp:cNvGraphicFramePr/>
                  <a:graphic xmlns:a="http://schemas.openxmlformats.org/drawingml/2006/main">
                    <a:graphicData uri="http://schemas.openxmlformats.org/drawingml/2006/picture">
                      <pic:pic xmlns:pic="http://schemas.openxmlformats.org/drawingml/2006/picture">
                        <pic:nvPicPr>
                          <pic:cNvPr id="235" name="图片_8_SpCnt_1"/>
                          <pic:cNvPicPr/>
                        </pic:nvPicPr>
                        <pic:blipFill>
                          <a:blip r:embed="rId78"/>
                          <a:stretch>
                            <a:fillRect/>
                          </a:stretch>
                        </pic:blipFill>
                        <pic:spPr>
                          <a:xfrm>
                            <a:off x="0" y="0"/>
                            <a:ext cx="2413635" cy="1464945"/>
                          </a:xfrm>
                          <a:prstGeom prst="rect">
                            <a:avLst/>
                          </a:prstGeom>
                          <a:noFill/>
                          <a:ln>
                            <a:noFill/>
                          </a:ln>
                        </pic:spPr>
                      </pic:pic>
                    </a:graphicData>
                  </a:graphic>
                </wp:inline>
              </w:drawing>
            </w:r>
          </w:p>
        </w:tc>
        <w:tc>
          <w:tcPr>
            <w:tcW w:w="1391" w:type="dxa"/>
            <w:shd w:val="clear" w:color="auto" w:fill="auto"/>
            <w:noWrap/>
            <w:vAlign w:val="center"/>
          </w:tcPr>
          <w:p w14:paraId="649AB15B">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品牌参考：橙塑</w:t>
            </w:r>
          </w:p>
        </w:tc>
      </w:tr>
      <w:tr w14:paraId="16DA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00" w:hRule="atLeast"/>
        </w:trPr>
        <w:tc>
          <w:tcPr>
            <w:tcW w:w="727" w:type="dxa"/>
            <w:shd w:val="clear" w:color="auto" w:fill="auto"/>
            <w:noWrap/>
            <w:vAlign w:val="center"/>
          </w:tcPr>
          <w:p w14:paraId="42EB2F9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45</w:t>
            </w:r>
          </w:p>
        </w:tc>
        <w:tc>
          <w:tcPr>
            <w:tcW w:w="2319" w:type="dxa"/>
            <w:shd w:val="clear" w:color="auto" w:fill="auto"/>
            <w:vAlign w:val="center"/>
          </w:tcPr>
          <w:p w14:paraId="018279B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Ф97广角镜</w:t>
            </w:r>
          </w:p>
        </w:tc>
        <w:tc>
          <w:tcPr>
            <w:tcW w:w="4295" w:type="dxa"/>
            <w:shd w:val="clear" w:color="auto" w:fill="auto"/>
            <w:vAlign w:val="center"/>
          </w:tcPr>
          <w:p w14:paraId="5AB221F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Ф97,外壳材质:ABS塑料材质;产品材质:PC镜面</w:t>
            </w:r>
          </w:p>
        </w:tc>
        <w:tc>
          <w:tcPr>
            <w:tcW w:w="1214" w:type="dxa"/>
            <w:shd w:val="clear" w:color="auto" w:fill="auto"/>
            <w:vAlign w:val="center"/>
          </w:tcPr>
          <w:p w14:paraId="314F10D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254ED7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400.31</w:t>
            </w:r>
          </w:p>
        </w:tc>
        <w:tc>
          <w:tcPr>
            <w:tcW w:w="3968" w:type="dxa"/>
            <w:shd w:val="clear" w:color="auto" w:fill="auto"/>
            <w:noWrap/>
            <w:vAlign w:val="center"/>
          </w:tcPr>
          <w:p w14:paraId="3193CF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18335" cy="2146300"/>
                  <wp:effectExtent l="0" t="0" r="5715" b="6350"/>
                  <wp:docPr id="142" name="图片_32"/>
                  <wp:cNvGraphicFramePr/>
                  <a:graphic xmlns:a="http://schemas.openxmlformats.org/drawingml/2006/main">
                    <a:graphicData uri="http://schemas.openxmlformats.org/drawingml/2006/picture">
                      <pic:pic xmlns:pic="http://schemas.openxmlformats.org/drawingml/2006/picture">
                        <pic:nvPicPr>
                          <pic:cNvPr id="142" name="图片_32"/>
                          <pic:cNvPicPr/>
                        </pic:nvPicPr>
                        <pic:blipFill>
                          <a:blip r:embed="rId79"/>
                          <a:stretch>
                            <a:fillRect/>
                          </a:stretch>
                        </pic:blipFill>
                        <pic:spPr>
                          <a:xfrm>
                            <a:off x="0" y="0"/>
                            <a:ext cx="1918335" cy="2146300"/>
                          </a:xfrm>
                          <a:prstGeom prst="rect">
                            <a:avLst/>
                          </a:prstGeom>
                          <a:noFill/>
                          <a:ln>
                            <a:noFill/>
                          </a:ln>
                        </pic:spPr>
                      </pic:pic>
                    </a:graphicData>
                  </a:graphic>
                </wp:inline>
              </w:drawing>
            </w:r>
          </w:p>
        </w:tc>
        <w:tc>
          <w:tcPr>
            <w:tcW w:w="1391" w:type="dxa"/>
            <w:shd w:val="clear" w:color="auto" w:fill="auto"/>
            <w:noWrap/>
            <w:vAlign w:val="center"/>
          </w:tcPr>
          <w:p w14:paraId="591FB441">
            <w:pPr>
              <w:rPr>
                <w:rFonts w:hint="eastAsia" w:ascii="宋体" w:hAnsi="宋体" w:eastAsia="宋体" w:cs="宋体"/>
                <w:i w:val="0"/>
                <w:iCs w:val="0"/>
                <w:color w:val="auto"/>
                <w:sz w:val="22"/>
                <w:szCs w:val="22"/>
                <w:highlight w:val="none"/>
                <w:u w:val="none"/>
              </w:rPr>
            </w:pPr>
          </w:p>
        </w:tc>
      </w:tr>
      <w:tr w14:paraId="3418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20" w:hRule="atLeast"/>
        </w:trPr>
        <w:tc>
          <w:tcPr>
            <w:tcW w:w="727" w:type="dxa"/>
            <w:shd w:val="clear" w:color="auto" w:fill="auto"/>
            <w:noWrap/>
            <w:vAlign w:val="center"/>
          </w:tcPr>
          <w:p w14:paraId="6F41898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46</w:t>
            </w:r>
          </w:p>
        </w:tc>
        <w:tc>
          <w:tcPr>
            <w:tcW w:w="2319" w:type="dxa"/>
            <w:shd w:val="clear" w:color="auto" w:fill="auto"/>
            <w:vAlign w:val="center"/>
          </w:tcPr>
          <w:p w14:paraId="70CAF91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四联爆闪灯 (500*150*130mm) 4组</w:t>
            </w:r>
          </w:p>
        </w:tc>
        <w:tc>
          <w:tcPr>
            <w:tcW w:w="4295" w:type="dxa"/>
            <w:shd w:val="clear" w:color="auto" w:fill="auto"/>
            <w:vAlign w:val="center"/>
          </w:tcPr>
          <w:p w14:paraId="340C5BE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1.太阳能板：6V 6W单晶硅太阳能板，寿命&gt;8年;</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2.蓄电池:耐高温铅酸免维护蓄电池6V/7AH,寿命&gt;2年；</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3.LED灯珠：每组20颗超亮红、蓝LED，可视距离&gt;800米；</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4.控制器：光控，可控制全天闪烁，晚上闪烁；</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5.工作时间：太阳下充电8小时可以工作72小时，连续放电100H以上；</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6.工作环境：在-25~+65摄氏度可正常工作，防护等级IP65；</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7.组装配件：螺丝；</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8.产品重点：5KG；</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9.产品尺寸：500*130*150mm；</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10.包装尺寸：高透光性聚碳酸酯PC</w:t>
            </w:r>
          </w:p>
        </w:tc>
        <w:tc>
          <w:tcPr>
            <w:tcW w:w="1214" w:type="dxa"/>
            <w:shd w:val="clear" w:color="auto" w:fill="auto"/>
            <w:vAlign w:val="center"/>
          </w:tcPr>
          <w:p w14:paraId="44849E3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组</w:t>
            </w:r>
          </w:p>
        </w:tc>
        <w:tc>
          <w:tcPr>
            <w:tcW w:w="1200" w:type="dxa"/>
            <w:shd w:val="clear" w:color="auto" w:fill="auto"/>
            <w:noWrap/>
            <w:vAlign w:val="center"/>
          </w:tcPr>
          <w:p w14:paraId="32B0C7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1,439.12</w:t>
            </w:r>
          </w:p>
        </w:tc>
        <w:tc>
          <w:tcPr>
            <w:tcW w:w="3968" w:type="dxa"/>
            <w:shd w:val="clear" w:color="auto" w:fill="auto"/>
            <w:noWrap/>
            <w:vAlign w:val="center"/>
          </w:tcPr>
          <w:p w14:paraId="5801E91B">
            <w:pPr>
              <w:keepNext w:val="0"/>
              <w:keepLines w:val="0"/>
              <w:widowControl/>
              <w:suppressLineNumbers w:val="0"/>
              <w:jc w:val="center"/>
              <w:textAlignment w:val="center"/>
              <w:rPr>
                <w:rFonts w:hint="eastAsia" w:ascii="宋体" w:hAnsi="宋体" w:eastAsia="宋体" w:cs="宋体"/>
                <w:b/>
                <w:bCs/>
                <w:i w:val="0"/>
                <w:iCs w:val="0"/>
                <w:color w:val="auto"/>
                <w:sz w:val="56"/>
                <w:szCs w:val="56"/>
                <w:highlight w:val="none"/>
                <w:u w:val="none"/>
              </w:rPr>
            </w:pPr>
            <w:r>
              <w:rPr>
                <w:rFonts w:hint="eastAsia" w:ascii="宋体" w:hAnsi="宋体" w:eastAsia="宋体" w:cs="宋体"/>
                <w:b/>
                <w:bCs/>
                <w:i w:val="0"/>
                <w:iCs w:val="0"/>
                <w:color w:val="auto"/>
                <w:kern w:val="0"/>
                <w:sz w:val="56"/>
                <w:szCs w:val="56"/>
                <w:highlight w:val="none"/>
                <w:u w:val="none"/>
                <w:bdr w:val="single" w:color="000000" w:sz="4" w:space="0"/>
                <w:lang w:val="en-US" w:eastAsia="zh-CN" w:bidi="ar"/>
              </w:rPr>
              <w:drawing>
                <wp:inline distT="0" distB="0" distL="114300" distR="114300">
                  <wp:extent cx="1685925" cy="1701800"/>
                  <wp:effectExtent l="0" t="0" r="9525" b="12700"/>
                  <wp:docPr id="161" name="Picture_82209"/>
                  <wp:cNvGraphicFramePr/>
                  <a:graphic xmlns:a="http://schemas.openxmlformats.org/drawingml/2006/main">
                    <a:graphicData uri="http://schemas.openxmlformats.org/drawingml/2006/picture">
                      <pic:pic xmlns:pic="http://schemas.openxmlformats.org/drawingml/2006/picture">
                        <pic:nvPicPr>
                          <pic:cNvPr id="161" name="Picture_82209"/>
                          <pic:cNvPicPr/>
                        </pic:nvPicPr>
                        <pic:blipFill>
                          <a:blip r:embed="rId80"/>
                          <a:stretch>
                            <a:fillRect/>
                          </a:stretch>
                        </pic:blipFill>
                        <pic:spPr>
                          <a:xfrm>
                            <a:off x="0" y="0"/>
                            <a:ext cx="1685925" cy="1701800"/>
                          </a:xfrm>
                          <a:prstGeom prst="rect">
                            <a:avLst/>
                          </a:prstGeom>
                          <a:noFill/>
                          <a:ln>
                            <a:noFill/>
                          </a:ln>
                        </pic:spPr>
                      </pic:pic>
                    </a:graphicData>
                  </a:graphic>
                </wp:inline>
              </w:drawing>
            </w:r>
          </w:p>
        </w:tc>
        <w:tc>
          <w:tcPr>
            <w:tcW w:w="1391" w:type="dxa"/>
            <w:shd w:val="clear" w:color="auto" w:fill="auto"/>
            <w:noWrap/>
            <w:vAlign w:val="center"/>
          </w:tcPr>
          <w:p w14:paraId="2057CF10">
            <w:pPr>
              <w:rPr>
                <w:rFonts w:hint="eastAsia" w:ascii="宋体" w:hAnsi="宋体" w:eastAsia="宋体" w:cs="宋体"/>
                <w:i w:val="0"/>
                <w:iCs w:val="0"/>
                <w:color w:val="auto"/>
                <w:sz w:val="22"/>
                <w:szCs w:val="22"/>
                <w:highlight w:val="none"/>
                <w:u w:val="none"/>
              </w:rPr>
            </w:pPr>
          </w:p>
        </w:tc>
      </w:tr>
      <w:tr w14:paraId="563D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19" w:hRule="atLeast"/>
        </w:trPr>
        <w:tc>
          <w:tcPr>
            <w:tcW w:w="727" w:type="dxa"/>
            <w:shd w:val="clear" w:color="auto" w:fill="auto"/>
            <w:noWrap/>
            <w:vAlign w:val="center"/>
          </w:tcPr>
          <w:p w14:paraId="0BDFEB0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47</w:t>
            </w:r>
          </w:p>
        </w:tc>
        <w:tc>
          <w:tcPr>
            <w:tcW w:w="2319" w:type="dxa"/>
            <w:shd w:val="clear" w:color="auto" w:fill="auto"/>
            <w:vAlign w:val="center"/>
          </w:tcPr>
          <w:p w14:paraId="2B956B8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警戒带</w:t>
            </w:r>
          </w:p>
        </w:tc>
        <w:tc>
          <w:tcPr>
            <w:tcW w:w="4295" w:type="dxa"/>
            <w:shd w:val="clear" w:color="auto" w:fill="auto"/>
            <w:vAlign w:val="center"/>
          </w:tcPr>
          <w:p w14:paraId="37087D0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宽6cm*长100m</w:t>
            </w:r>
          </w:p>
        </w:tc>
        <w:tc>
          <w:tcPr>
            <w:tcW w:w="1214" w:type="dxa"/>
            <w:shd w:val="clear" w:color="auto" w:fill="auto"/>
            <w:vAlign w:val="center"/>
          </w:tcPr>
          <w:p w14:paraId="57640FD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卷</w:t>
            </w:r>
          </w:p>
        </w:tc>
        <w:tc>
          <w:tcPr>
            <w:tcW w:w="1200" w:type="dxa"/>
            <w:shd w:val="clear" w:color="auto" w:fill="auto"/>
            <w:noWrap/>
            <w:vAlign w:val="center"/>
          </w:tcPr>
          <w:p w14:paraId="73850F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80.20</w:t>
            </w:r>
          </w:p>
        </w:tc>
        <w:tc>
          <w:tcPr>
            <w:tcW w:w="3968" w:type="dxa"/>
            <w:shd w:val="clear" w:color="auto" w:fill="auto"/>
            <w:noWrap/>
            <w:vAlign w:val="center"/>
          </w:tcPr>
          <w:p w14:paraId="43209E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875155" cy="1359535"/>
                  <wp:effectExtent l="0" t="0" r="10795" b="12065"/>
                  <wp:docPr id="162" name="图片_34"/>
                  <wp:cNvGraphicFramePr/>
                  <a:graphic xmlns:a="http://schemas.openxmlformats.org/drawingml/2006/main">
                    <a:graphicData uri="http://schemas.openxmlformats.org/drawingml/2006/picture">
                      <pic:pic xmlns:pic="http://schemas.openxmlformats.org/drawingml/2006/picture">
                        <pic:nvPicPr>
                          <pic:cNvPr id="162" name="图片_34"/>
                          <pic:cNvPicPr/>
                        </pic:nvPicPr>
                        <pic:blipFill>
                          <a:blip r:embed="rId81"/>
                          <a:stretch>
                            <a:fillRect/>
                          </a:stretch>
                        </pic:blipFill>
                        <pic:spPr>
                          <a:xfrm>
                            <a:off x="0" y="0"/>
                            <a:ext cx="1875155" cy="1359535"/>
                          </a:xfrm>
                          <a:prstGeom prst="rect">
                            <a:avLst/>
                          </a:prstGeom>
                          <a:noFill/>
                          <a:ln>
                            <a:noFill/>
                          </a:ln>
                        </pic:spPr>
                      </pic:pic>
                    </a:graphicData>
                  </a:graphic>
                </wp:inline>
              </w:drawing>
            </w:r>
          </w:p>
        </w:tc>
        <w:tc>
          <w:tcPr>
            <w:tcW w:w="1391" w:type="dxa"/>
            <w:shd w:val="clear" w:color="auto" w:fill="auto"/>
            <w:noWrap/>
            <w:vAlign w:val="center"/>
          </w:tcPr>
          <w:p w14:paraId="7ED563A2">
            <w:pPr>
              <w:rPr>
                <w:rFonts w:hint="eastAsia" w:ascii="宋体" w:hAnsi="宋体" w:eastAsia="宋体" w:cs="宋体"/>
                <w:i w:val="0"/>
                <w:iCs w:val="0"/>
                <w:color w:val="auto"/>
                <w:sz w:val="22"/>
                <w:szCs w:val="22"/>
                <w:highlight w:val="none"/>
                <w:u w:val="none"/>
              </w:rPr>
            </w:pPr>
          </w:p>
        </w:tc>
      </w:tr>
      <w:tr w14:paraId="143D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trPr>
        <w:tc>
          <w:tcPr>
            <w:tcW w:w="727" w:type="dxa"/>
            <w:shd w:val="clear" w:color="auto" w:fill="auto"/>
            <w:noWrap/>
            <w:vAlign w:val="center"/>
          </w:tcPr>
          <w:p w14:paraId="3B29B1A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48</w:t>
            </w:r>
          </w:p>
        </w:tc>
        <w:tc>
          <w:tcPr>
            <w:tcW w:w="2319" w:type="dxa"/>
            <w:shd w:val="clear" w:color="auto" w:fill="auto"/>
            <w:vAlign w:val="center"/>
          </w:tcPr>
          <w:p w14:paraId="70DFC6C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灯杆后盖</w:t>
            </w:r>
          </w:p>
        </w:tc>
        <w:tc>
          <w:tcPr>
            <w:tcW w:w="4295" w:type="dxa"/>
            <w:shd w:val="clear" w:color="auto" w:fill="auto"/>
            <w:vAlign w:val="center"/>
          </w:tcPr>
          <w:p w14:paraId="75EA8F5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八棱杆接线盖 长26.5cm*宽12.2cm</w:t>
            </w:r>
          </w:p>
        </w:tc>
        <w:tc>
          <w:tcPr>
            <w:tcW w:w="1214" w:type="dxa"/>
            <w:shd w:val="clear" w:color="auto" w:fill="auto"/>
            <w:vAlign w:val="center"/>
          </w:tcPr>
          <w:p w14:paraId="6E7C6F0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0F2DCE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194.26</w:t>
            </w:r>
          </w:p>
        </w:tc>
        <w:tc>
          <w:tcPr>
            <w:tcW w:w="3968" w:type="dxa"/>
            <w:shd w:val="clear" w:color="auto" w:fill="auto"/>
            <w:noWrap/>
            <w:vAlign w:val="center"/>
          </w:tcPr>
          <w:p w14:paraId="21C15733">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35C7EE5B">
            <w:pPr>
              <w:rPr>
                <w:rFonts w:hint="eastAsia" w:ascii="宋体" w:hAnsi="宋体" w:eastAsia="宋体" w:cs="宋体"/>
                <w:i w:val="0"/>
                <w:iCs w:val="0"/>
                <w:color w:val="auto"/>
                <w:sz w:val="22"/>
                <w:szCs w:val="22"/>
                <w:highlight w:val="none"/>
                <w:u w:val="none"/>
              </w:rPr>
            </w:pPr>
          </w:p>
        </w:tc>
      </w:tr>
      <w:tr w14:paraId="664A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62" w:hRule="atLeast"/>
        </w:trPr>
        <w:tc>
          <w:tcPr>
            <w:tcW w:w="727" w:type="dxa"/>
            <w:shd w:val="clear" w:color="auto" w:fill="auto"/>
            <w:noWrap/>
            <w:vAlign w:val="center"/>
          </w:tcPr>
          <w:p w14:paraId="1B65F54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49</w:t>
            </w:r>
          </w:p>
        </w:tc>
        <w:tc>
          <w:tcPr>
            <w:tcW w:w="2319" w:type="dxa"/>
            <w:shd w:val="clear" w:color="auto" w:fill="auto"/>
            <w:vAlign w:val="center"/>
          </w:tcPr>
          <w:p w14:paraId="4DFB237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太阳能反光柱</w:t>
            </w:r>
          </w:p>
        </w:tc>
        <w:tc>
          <w:tcPr>
            <w:tcW w:w="4295" w:type="dxa"/>
            <w:shd w:val="clear" w:color="auto" w:fill="auto"/>
            <w:vAlign w:val="center"/>
          </w:tcPr>
          <w:p w14:paraId="5C1EBFF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850*165*240</w:t>
            </w:r>
            <w:r>
              <w:rPr>
                <w:rFonts w:hint="eastAsia" w:ascii="新宋体" w:hAnsi="新宋体" w:eastAsia="新宋体" w:cs="新宋体"/>
                <w:i w:val="0"/>
                <w:iCs w:val="0"/>
                <w:color w:val="auto"/>
                <w:kern w:val="0"/>
                <w:sz w:val="22"/>
                <w:szCs w:val="22"/>
                <w:highlight w:val="none"/>
                <w:u w:val="none"/>
                <w:lang w:val="en-US" w:eastAsia="zh-CN" w:bidi="ar"/>
              </w:rPr>
              <w:br w:type="textWrapping"/>
            </w:r>
            <w:r>
              <w:rPr>
                <w:rFonts w:hint="eastAsia" w:ascii="新宋体" w:hAnsi="新宋体" w:eastAsia="新宋体" w:cs="新宋体"/>
                <w:i w:val="0"/>
                <w:iCs w:val="0"/>
                <w:color w:val="auto"/>
                <w:kern w:val="0"/>
                <w:sz w:val="22"/>
                <w:szCs w:val="22"/>
                <w:highlight w:val="none"/>
                <w:u w:val="none"/>
                <w:lang w:val="en-US" w:eastAsia="zh-CN" w:bidi="ar"/>
              </w:rPr>
              <w:t>匹配右转隔离墩</w:t>
            </w:r>
          </w:p>
        </w:tc>
        <w:tc>
          <w:tcPr>
            <w:tcW w:w="1214" w:type="dxa"/>
            <w:shd w:val="clear" w:color="auto" w:fill="auto"/>
            <w:vAlign w:val="center"/>
          </w:tcPr>
          <w:p w14:paraId="757C95D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05220C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868.03</w:t>
            </w:r>
          </w:p>
        </w:tc>
        <w:tc>
          <w:tcPr>
            <w:tcW w:w="3968" w:type="dxa"/>
            <w:shd w:val="clear" w:color="auto" w:fill="auto"/>
            <w:noWrap/>
            <w:vAlign w:val="center"/>
          </w:tcPr>
          <w:p w14:paraId="1AC67B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97075" cy="1378585"/>
                  <wp:effectExtent l="0" t="0" r="3175" b="12065"/>
                  <wp:docPr id="144" name="图片_35"/>
                  <wp:cNvGraphicFramePr/>
                  <a:graphic xmlns:a="http://schemas.openxmlformats.org/drawingml/2006/main">
                    <a:graphicData uri="http://schemas.openxmlformats.org/drawingml/2006/picture">
                      <pic:pic xmlns:pic="http://schemas.openxmlformats.org/drawingml/2006/picture">
                        <pic:nvPicPr>
                          <pic:cNvPr id="144" name="图片_35"/>
                          <pic:cNvPicPr/>
                        </pic:nvPicPr>
                        <pic:blipFill>
                          <a:blip r:embed="rId82"/>
                          <a:stretch>
                            <a:fillRect/>
                          </a:stretch>
                        </pic:blipFill>
                        <pic:spPr>
                          <a:xfrm>
                            <a:off x="0" y="0"/>
                            <a:ext cx="1997075" cy="1378585"/>
                          </a:xfrm>
                          <a:prstGeom prst="rect">
                            <a:avLst/>
                          </a:prstGeom>
                          <a:noFill/>
                          <a:ln>
                            <a:noFill/>
                          </a:ln>
                        </pic:spPr>
                      </pic:pic>
                    </a:graphicData>
                  </a:graphic>
                </wp:inline>
              </w:drawing>
            </w:r>
          </w:p>
        </w:tc>
        <w:tc>
          <w:tcPr>
            <w:tcW w:w="1391" w:type="dxa"/>
            <w:shd w:val="clear" w:color="auto" w:fill="auto"/>
            <w:noWrap/>
            <w:vAlign w:val="center"/>
          </w:tcPr>
          <w:p w14:paraId="414E82D1">
            <w:pPr>
              <w:rPr>
                <w:rFonts w:hint="eastAsia" w:ascii="宋体" w:hAnsi="宋体" w:eastAsia="宋体" w:cs="宋体"/>
                <w:i w:val="0"/>
                <w:iCs w:val="0"/>
                <w:color w:val="auto"/>
                <w:sz w:val="22"/>
                <w:szCs w:val="22"/>
                <w:highlight w:val="none"/>
                <w:u w:val="none"/>
              </w:rPr>
            </w:pPr>
          </w:p>
        </w:tc>
      </w:tr>
      <w:tr w14:paraId="036F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27" w:type="dxa"/>
            <w:shd w:val="clear" w:color="auto" w:fill="auto"/>
            <w:noWrap/>
            <w:vAlign w:val="center"/>
          </w:tcPr>
          <w:p w14:paraId="7A7C241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50</w:t>
            </w:r>
          </w:p>
        </w:tc>
        <w:tc>
          <w:tcPr>
            <w:tcW w:w="2319" w:type="dxa"/>
            <w:shd w:val="clear" w:color="auto" w:fill="auto"/>
            <w:noWrap/>
            <w:vAlign w:val="center"/>
          </w:tcPr>
          <w:p w14:paraId="39F8CF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右转隔离墩短端头</w:t>
            </w:r>
          </w:p>
        </w:tc>
        <w:tc>
          <w:tcPr>
            <w:tcW w:w="4295" w:type="dxa"/>
            <w:shd w:val="clear" w:color="auto" w:fill="auto"/>
            <w:vAlign w:val="center"/>
          </w:tcPr>
          <w:p w14:paraId="144083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232.2*250*200mm,材料：橡塑，匹配右转隔离墩</w:t>
            </w:r>
          </w:p>
        </w:tc>
        <w:tc>
          <w:tcPr>
            <w:tcW w:w="1214" w:type="dxa"/>
            <w:shd w:val="clear" w:color="auto" w:fill="auto"/>
            <w:vAlign w:val="center"/>
          </w:tcPr>
          <w:p w14:paraId="75E4C4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4FE7D0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64.31</w:t>
            </w:r>
          </w:p>
        </w:tc>
        <w:tc>
          <w:tcPr>
            <w:tcW w:w="3968" w:type="dxa"/>
            <w:shd w:val="clear" w:color="auto" w:fill="auto"/>
            <w:noWrap/>
            <w:vAlign w:val="center"/>
          </w:tcPr>
          <w:p w14:paraId="3D37651B">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7FE5E1BE">
            <w:pPr>
              <w:rPr>
                <w:rFonts w:hint="eastAsia" w:ascii="宋体" w:hAnsi="宋体" w:eastAsia="宋体" w:cs="宋体"/>
                <w:i w:val="0"/>
                <w:iCs w:val="0"/>
                <w:color w:val="auto"/>
                <w:sz w:val="22"/>
                <w:szCs w:val="22"/>
                <w:highlight w:val="none"/>
                <w:u w:val="none"/>
              </w:rPr>
            </w:pPr>
          </w:p>
        </w:tc>
      </w:tr>
      <w:tr w14:paraId="3905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727" w:type="dxa"/>
            <w:shd w:val="clear" w:color="auto" w:fill="auto"/>
            <w:noWrap/>
            <w:vAlign w:val="center"/>
          </w:tcPr>
          <w:p w14:paraId="76A5363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51</w:t>
            </w:r>
          </w:p>
        </w:tc>
        <w:tc>
          <w:tcPr>
            <w:tcW w:w="2319" w:type="dxa"/>
            <w:shd w:val="clear" w:color="auto" w:fill="auto"/>
            <w:noWrap/>
            <w:vAlign w:val="center"/>
          </w:tcPr>
          <w:p w14:paraId="484914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右转隔离墩长端头</w:t>
            </w:r>
          </w:p>
        </w:tc>
        <w:tc>
          <w:tcPr>
            <w:tcW w:w="4295" w:type="dxa"/>
            <w:shd w:val="clear" w:color="auto" w:fill="auto"/>
            <w:vAlign w:val="center"/>
          </w:tcPr>
          <w:p w14:paraId="581E34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328.5*250*200mm，材料：橡塑，匹配右转隔离墩</w:t>
            </w:r>
          </w:p>
        </w:tc>
        <w:tc>
          <w:tcPr>
            <w:tcW w:w="1214" w:type="dxa"/>
            <w:shd w:val="clear" w:color="auto" w:fill="auto"/>
            <w:vAlign w:val="center"/>
          </w:tcPr>
          <w:p w14:paraId="7A71A0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38E78C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87.61</w:t>
            </w:r>
          </w:p>
        </w:tc>
        <w:tc>
          <w:tcPr>
            <w:tcW w:w="3968" w:type="dxa"/>
            <w:shd w:val="clear" w:color="auto" w:fill="auto"/>
            <w:noWrap/>
            <w:vAlign w:val="center"/>
          </w:tcPr>
          <w:p w14:paraId="70A5A828">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59B8A43A">
            <w:pPr>
              <w:rPr>
                <w:rFonts w:hint="eastAsia" w:ascii="宋体" w:hAnsi="宋体" w:eastAsia="宋体" w:cs="宋体"/>
                <w:i w:val="0"/>
                <w:iCs w:val="0"/>
                <w:color w:val="auto"/>
                <w:sz w:val="22"/>
                <w:szCs w:val="22"/>
                <w:highlight w:val="none"/>
                <w:u w:val="none"/>
              </w:rPr>
            </w:pPr>
          </w:p>
        </w:tc>
      </w:tr>
      <w:tr w14:paraId="2369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7" w:type="dxa"/>
            <w:shd w:val="clear" w:color="auto" w:fill="auto"/>
            <w:noWrap/>
            <w:vAlign w:val="center"/>
          </w:tcPr>
          <w:p w14:paraId="43FE364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52</w:t>
            </w:r>
          </w:p>
        </w:tc>
        <w:tc>
          <w:tcPr>
            <w:tcW w:w="2319" w:type="dxa"/>
            <w:shd w:val="clear" w:color="auto" w:fill="auto"/>
            <w:noWrap/>
            <w:vAlign w:val="center"/>
          </w:tcPr>
          <w:p w14:paraId="2FF796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右转隔离墩主体</w:t>
            </w:r>
          </w:p>
        </w:tc>
        <w:tc>
          <w:tcPr>
            <w:tcW w:w="4295" w:type="dxa"/>
            <w:shd w:val="clear" w:color="auto" w:fill="auto"/>
            <w:noWrap/>
            <w:vAlign w:val="center"/>
          </w:tcPr>
          <w:p w14:paraId="494A5E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502*250*200mm,材料：橡塑</w:t>
            </w:r>
          </w:p>
        </w:tc>
        <w:tc>
          <w:tcPr>
            <w:tcW w:w="1214" w:type="dxa"/>
            <w:shd w:val="clear" w:color="auto" w:fill="auto"/>
            <w:vAlign w:val="center"/>
          </w:tcPr>
          <w:p w14:paraId="0B8F6A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056C5D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106.82</w:t>
            </w:r>
          </w:p>
        </w:tc>
        <w:tc>
          <w:tcPr>
            <w:tcW w:w="3968" w:type="dxa"/>
            <w:shd w:val="clear" w:color="auto" w:fill="auto"/>
            <w:noWrap/>
            <w:vAlign w:val="center"/>
          </w:tcPr>
          <w:p w14:paraId="6420B9A9">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63EF1391">
            <w:pPr>
              <w:rPr>
                <w:rFonts w:hint="eastAsia" w:ascii="宋体" w:hAnsi="宋体" w:eastAsia="宋体" w:cs="宋体"/>
                <w:i w:val="0"/>
                <w:iCs w:val="0"/>
                <w:color w:val="auto"/>
                <w:sz w:val="22"/>
                <w:szCs w:val="22"/>
                <w:highlight w:val="none"/>
                <w:u w:val="none"/>
              </w:rPr>
            </w:pPr>
          </w:p>
        </w:tc>
      </w:tr>
      <w:tr w14:paraId="0A70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56FD1DD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53</w:t>
            </w:r>
          </w:p>
        </w:tc>
        <w:tc>
          <w:tcPr>
            <w:tcW w:w="2319" w:type="dxa"/>
            <w:shd w:val="clear" w:color="auto" w:fill="auto"/>
            <w:vAlign w:val="center"/>
          </w:tcPr>
          <w:p w14:paraId="659BF52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清除广告</w:t>
            </w:r>
          </w:p>
        </w:tc>
        <w:tc>
          <w:tcPr>
            <w:tcW w:w="4295" w:type="dxa"/>
            <w:shd w:val="clear" w:color="auto" w:fill="auto"/>
            <w:noWrap/>
            <w:vAlign w:val="center"/>
          </w:tcPr>
          <w:p w14:paraId="62A1B649">
            <w:pPr>
              <w:jc w:val="center"/>
              <w:rPr>
                <w:rFonts w:hint="eastAsia" w:ascii="新宋体" w:hAnsi="新宋体" w:eastAsia="新宋体" w:cs="新宋体"/>
                <w:i w:val="0"/>
                <w:iCs w:val="0"/>
                <w:color w:val="auto"/>
                <w:sz w:val="22"/>
                <w:szCs w:val="22"/>
                <w:highlight w:val="none"/>
                <w:u w:val="none"/>
              </w:rPr>
            </w:pPr>
          </w:p>
        </w:tc>
        <w:tc>
          <w:tcPr>
            <w:tcW w:w="1214" w:type="dxa"/>
            <w:shd w:val="clear" w:color="auto" w:fill="auto"/>
            <w:vAlign w:val="center"/>
          </w:tcPr>
          <w:p w14:paraId="4B838DFB">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次</w:t>
            </w:r>
          </w:p>
        </w:tc>
        <w:tc>
          <w:tcPr>
            <w:tcW w:w="1200" w:type="dxa"/>
            <w:shd w:val="clear" w:color="auto" w:fill="auto"/>
            <w:noWrap/>
            <w:vAlign w:val="center"/>
          </w:tcPr>
          <w:p w14:paraId="538B02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109.00</w:t>
            </w:r>
          </w:p>
        </w:tc>
        <w:tc>
          <w:tcPr>
            <w:tcW w:w="3968" w:type="dxa"/>
            <w:shd w:val="clear" w:color="auto" w:fill="auto"/>
            <w:noWrap/>
            <w:vAlign w:val="center"/>
          </w:tcPr>
          <w:p w14:paraId="0C97350E">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4AF57C8D">
            <w:pPr>
              <w:rPr>
                <w:rFonts w:hint="eastAsia" w:ascii="宋体" w:hAnsi="宋体" w:eastAsia="宋体" w:cs="宋体"/>
                <w:i w:val="0"/>
                <w:iCs w:val="0"/>
                <w:color w:val="auto"/>
                <w:sz w:val="22"/>
                <w:szCs w:val="22"/>
                <w:highlight w:val="none"/>
                <w:u w:val="none"/>
              </w:rPr>
            </w:pPr>
          </w:p>
        </w:tc>
      </w:tr>
      <w:tr w14:paraId="335F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0286BDD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54</w:t>
            </w:r>
          </w:p>
        </w:tc>
        <w:tc>
          <w:tcPr>
            <w:tcW w:w="2319" w:type="dxa"/>
            <w:shd w:val="clear" w:color="auto" w:fill="auto"/>
            <w:vAlign w:val="center"/>
          </w:tcPr>
          <w:p w14:paraId="576B1BC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护栏油漆</w:t>
            </w:r>
          </w:p>
        </w:tc>
        <w:tc>
          <w:tcPr>
            <w:tcW w:w="4295" w:type="dxa"/>
            <w:shd w:val="clear" w:color="auto" w:fill="auto"/>
            <w:vAlign w:val="center"/>
          </w:tcPr>
          <w:p w14:paraId="0151F5B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喷涂面积约2.5㎡/罐,表干8min,实干60min</w:t>
            </w:r>
          </w:p>
        </w:tc>
        <w:tc>
          <w:tcPr>
            <w:tcW w:w="1214" w:type="dxa"/>
            <w:shd w:val="clear" w:color="auto" w:fill="auto"/>
            <w:vAlign w:val="center"/>
          </w:tcPr>
          <w:p w14:paraId="34C623B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次</w:t>
            </w:r>
          </w:p>
        </w:tc>
        <w:tc>
          <w:tcPr>
            <w:tcW w:w="1200" w:type="dxa"/>
            <w:shd w:val="clear" w:color="auto" w:fill="auto"/>
            <w:noWrap/>
            <w:vAlign w:val="center"/>
          </w:tcPr>
          <w:p w14:paraId="0C1A73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204.95</w:t>
            </w:r>
          </w:p>
        </w:tc>
        <w:tc>
          <w:tcPr>
            <w:tcW w:w="3968" w:type="dxa"/>
            <w:shd w:val="clear" w:color="auto" w:fill="auto"/>
            <w:noWrap/>
            <w:vAlign w:val="center"/>
          </w:tcPr>
          <w:p w14:paraId="62026266">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327BDB4C">
            <w:pPr>
              <w:rPr>
                <w:rFonts w:hint="eastAsia" w:ascii="宋体" w:hAnsi="宋体" w:eastAsia="宋体" w:cs="宋体"/>
                <w:i w:val="0"/>
                <w:iCs w:val="0"/>
                <w:color w:val="auto"/>
                <w:sz w:val="22"/>
                <w:szCs w:val="22"/>
                <w:highlight w:val="none"/>
                <w:u w:val="none"/>
              </w:rPr>
            </w:pPr>
          </w:p>
        </w:tc>
      </w:tr>
      <w:tr w14:paraId="255C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0E125A0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55</w:t>
            </w:r>
          </w:p>
        </w:tc>
        <w:tc>
          <w:tcPr>
            <w:tcW w:w="2319" w:type="dxa"/>
            <w:shd w:val="clear" w:color="auto" w:fill="auto"/>
            <w:vAlign w:val="center"/>
          </w:tcPr>
          <w:p w14:paraId="6460E49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工井盖更换</w:t>
            </w:r>
          </w:p>
        </w:tc>
        <w:tc>
          <w:tcPr>
            <w:tcW w:w="4295" w:type="dxa"/>
            <w:shd w:val="clear" w:color="auto" w:fill="auto"/>
            <w:vAlign w:val="center"/>
          </w:tcPr>
          <w:p w14:paraId="3B07A24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匹配现有工程</w:t>
            </w:r>
          </w:p>
        </w:tc>
        <w:tc>
          <w:tcPr>
            <w:tcW w:w="1214" w:type="dxa"/>
            <w:shd w:val="clear" w:color="auto" w:fill="auto"/>
            <w:vAlign w:val="center"/>
          </w:tcPr>
          <w:p w14:paraId="793DA29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shd w:val="clear" w:color="auto" w:fill="auto"/>
            <w:noWrap/>
            <w:vAlign w:val="center"/>
          </w:tcPr>
          <w:p w14:paraId="38D5BE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727.60</w:t>
            </w:r>
          </w:p>
        </w:tc>
        <w:tc>
          <w:tcPr>
            <w:tcW w:w="3968" w:type="dxa"/>
            <w:shd w:val="clear" w:color="auto" w:fill="auto"/>
            <w:noWrap/>
            <w:vAlign w:val="center"/>
          </w:tcPr>
          <w:p w14:paraId="15BDB6B1">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68E8EABB">
            <w:pPr>
              <w:rPr>
                <w:rFonts w:hint="eastAsia" w:ascii="宋体" w:hAnsi="宋体" w:eastAsia="宋体" w:cs="宋体"/>
                <w:i w:val="0"/>
                <w:iCs w:val="0"/>
                <w:color w:val="auto"/>
                <w:sz w:val="22"/>
                <w:szCs w:val="22"/>
                <w:highlight w:val="none"/>
                <w:u w:val="none"/>
              </w:rPr>
            </w:pPr>
          </w:p>
        </w:tc>
      </w:tr>
      <w:tr w14:paraId="6E0D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shd w:val="clear" w:color="auto" w:fill="auto"/>
            <w:noWrap/>
            <w:vAlign w:val="center"/>
          </w:tcPr>
          <w:p w14:paraId="6D919F4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56</w:t>
            </w:r>
          </w:p>
        </w:tc>
        <w:tc>
          <w:tcPr>
            <w:tcW w:w="2319" w:type="dxa"/>
            <w:shd w:val="clear" w:color="auto" w:fill="auto"/>
            <w:noWrap/>
            <w:vAlign w:val="center"/>
          </w:tcPr>
          <w:p w14:paraId="187BE3B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钢结构过街雨棚</w:t>
            </w:r>
          </w:p>
        </w:tc>
        <w:tc>
          <w:tcPr>
            <w:tcW w:w="4295" w:type="dxa"/>
            <w:shd w:val="clear" w:color="auto" w:fill="auto"/>
            <w:noWrap/>
            <w:vAlign w:val="center"/>
          </w:tcPr>
          <w:p w14:paraId="6617229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长4m*宽4m*高4m</w:t>
            </w:r>
          </w:p>
        </w:tc>
        <w:tc>
          <w:tcPr>
            <w:tcW w:w="1214" w:type="dxa"/>
            <w:shd w:val="clear" w:color="auto" w:fill="auto"/>
            <w:noWrap/>
            <w:vAlign w:val="center"/>
          </w:tcPr>
          <w:p w14:paraId="4254868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200" w:type="dxa"/>
            <w:shd w:val="clear" w:color="auto" w:fill="auto"/>
            <w:noWrap/>
            <w:vAlign w:val="center"/>
          </w:tcPr>
          <w:p w14:paraId="6D33A4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21,000.00</w:t>
            </w:r>
          </w:p>
        </w:tc>
        <w:tc>
          <w:tcPr>
            <w:tcW w:w="3968" w:type="dxa"/>
            <w:shd w:val="clear" w:color="auto" w:fill="auto"/>
            <w:noWrap/>
            <w:vAlign w:val="center"/>
          </w:tcPr>
          <w:p w14:paraId="3380F12D">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00D8CFFD">
            <w:pPr>
              <w:rPr>
                <w:rFonts w:hint="eastAsia" w:ascii="宋体" w:hAnsi="宋体" w:eastAsia="宋体" w:cs="宋体"/>
                <w:i w:val="0"/>
                <w:iCs w:val="0"/>
                <w:color w:val="auto"/>
                <w:sz w:val="22"/>
                <w:szCs w:val="22"/>
                <w:highlight w:val="none"/>
                <w:u w:val="none"/>
              </w:rPr>
            </w:pPr>
          </w:p>
        </w:tc>
      </w:tr>
      <w:tr w14:paraId="0D41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shd w:val="clear" w:color="auto" w:fill="auto"/>
            <w:noWrap/>
            <w:vAlign w:val="center"/>
          </w:tcPr>
          <w:p w14:paraId="1CEAB60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57</w:t>
            </w:r>
          </w:p>
        </w:tc>
        <w:tc>
          <w:tcPr>
            <w:tcW w:w="2319" w:type="dxa"/>
            <w:shd w:val="clear" w:color="auto" w:fill="auto"/>
            <w:noWrap/>
            <w:vAlign w:val="center"/>
          </w:tcPr>
          <w:p w14:paraId="11E4F2D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钢结构过街雨棚</w:t>
            </w:r>
          </w:p>
        </w:tc>
        <w:tc>
          <w:tcPr>
            <w:tcW w:w="4295" w:type="dxa"/>
            <w:shd w:val="clear" w:color="auto" w:fill="auto"/>
            <w:noWrap/>
            <w:vAlign w:val="center"/>
          </w:tcPr>
          <w:p w14:paraId="3AB5A9E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长6m*宽5m高4m</w:t>
            </w:r>
          </w:p>
        </w:tc>
        <w:tc>
          <w:tcPr>
            <w:tcW w:w="1214" w:type="dxa"/>
            <w:shd w:val="clear" w:color="auto" w:fill="auto"/>
            <w:noWrap/>
            <w:vAlign w:val="center"/>
          </w:tcPr>
          <w:p w14:paraId="1E73949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200" w:type="dxa"/>
            <w:shd w:val="clear" w:color="auto" w:fill="auto"/>
            <w:noWrap/>
            <w:vAlign w:val="center"/>
          </w:tcPr>
          <w:p w14:paraId="4BE351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36,000.00</w:t>
            </w:r>
          </w:p>
        </w:tc>
        <w:tc>
          <w:tcPr>
            <w:tcW w:w="3968" w:type="dxa"/>
            <w:shd w:val="clear" w:color="auto" w:fill="auto"/>
            <w:noWrap/>
            <w:vAlign w:val="center"/>
          </w:tcPr>
          <w:p w14:paraId="51FA2BF0">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7CF99AC5">
            <w:pPr>
              <w:rPr>
                <w:rFonts w:hint="eastAsia" w:ascii="宋体" w:hAnsi="宋体" w:eastAsia="宋体" w:cs="宋体"/>
                <w:i w:val="0"/>
                <w:iCs w:val="0"/>
                <w:color w:val="auto"/>
                <w:sz w:val="22"/>
                <w:szCs w:val="22"/>
                <w:highlight w:val="none"/>
                <w:u w:val="none"/>
              </w:rPr>
            </w:pPr>
          </w:p>
        </w:tc>
      </w:tr>
      <w:tr w14:paraId="3CC9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317AEAF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58</w:t>
            </w:r>
          </w:p>
        </w:tc>
        <w:tc>
          <w:tcPr>
            <w:tcW w:w="2319" w:type="dxa"/>
            <w:shd w:val="clear" w:color="auto" w:fill="auto"/>
            <w:noWrap/>
            <w:vAlign w:val="center"/>
          </w:tcPr>
          <w:p w14:paraId="08D74EB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钢结构过街雨棚</w:t>
            </w:r>
          </w:p>
        </w:tc>
        <w:tc>
          <w:tcPr>
            <w:tcW w:w="4295" w:type="dxa"/>
            <w:shd w:val="clear" w:color="auto" w:fill="auto"/>
            <w:noWrap/>
            <w:vAlign w:val="center"/>
          </w:tcPr>
          <w:p w14:paraId="18E0FF1F">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长8m*宽5m高4m</w:t>
            </w:r>
          </w:p>
        </w:tc>
        <w:tc>
          <w:tcPr>
            <w:tcW w:w="1214" w:type="dxa"/>
            <w:shd w:val="clear" w:color="auto" w:fill="auto"/>
            <w:noWrap/>
            <w:vAlign w:val="center"/>
          </w:tcPr>
          <w:p w14:paraId="1EA40C72">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200" w:type="dxa"/>
            <w:shd w:val="clear" w:color="auto" w:fill="auto"/>
            <w:noWrap/>
            <w:vAlign w:val="center"/>
          </w:tcPr>
          <w:p w14:paraId="756A62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45,600.00</w:t>
            </w:r>
          </w:p>
        </w:tc>
        <w:tc>
          <w:tcPr>
            <w:tcW w:w="3968" w:type="dxa"/>
            <w:shd w:val="clear" w:color="auto" w:fill="auto"/>
            <w:noWrap/>
            <w:vAlign w:val="center"/>
          </w:tcPr>
          <w:p w14:paraId="2C9021C1">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22001B37">
            <w:pPr>
              <w:rPr>
                <w:rFonts w:hint="eastAsia" w:ascii="宋体" w:hAnsi="宋体" w:eastAsia="宋体" w:cs="宋体"/>
                <w:i w:val="0"/>
                <w:iCs w:val="0"/>
                <w:color w:val="auto"/>
                <w:sz w:val="22"/>
                <w:szCs w:val="22"/>
                <w:highlight w:val="none"/>
                <w:u w:val="none"/>
              </w:rPr>
            </w:pPr>
          </w:p>
        </w:tc>
      </w:tr>
      <w:tr w14:paraId="3F2F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65DA5EC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59</w:t>
            </w:r>
          </w:p>
        </w:tc>
        <w:tc>
          <w:tcPr>
            <w:tcW w:w="2319" w:type="dxa"/>
            <w:shd w:val="clear" w:color="auto" w:fill="auto"/>
            <w:noWrap/>
            <w:vAlign w:val="center"/>
          </w:tcPr>
          <w:p w14:paraId="3E96F9E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钢结构过街雨棚</w:t>
            </w:r>
          </w:p>
        </w:tc>
        <w:tc>
          <w:tcPr>
            <w:tcW w:w="4295" w:type="dxa"/>
            <w:shd w:val="clear" w:color="auto" w:fill="auto"/>
            <w:noWrap/>
            <w:vAlign w:val="center"/>
          </w:tcPr>
          <w:p w14:paraId="445F25C3">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长3.5m*宽4m高4m</w:t>
            </w:r>
          </w:p>
        </w:tc>
        <w:tc>
          <w:tcPr>
            <w:tcW w:w="1214" w:type="dxa"/>
            <w:shd w:val="clear" w:color="auto" w:fill="auto"/>
            <w:noWrap/>
            <w:vAlign w:val="center"/>
          </w:tcPr>
          <w:p w14:paraId="5663771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200" w:type="dxa"/>
            <w:shd w:val="clear" w:color="auto" w:fill="auto"/>
            <w:noWrap/>
            <w:vAlign w:val="center"/>
          </w:tcPr>
          <w:p w14:paraId="6F4AB6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19,440.00</w:t>
            </w:r>
          </w:p>
        </w:tc>
        <w:tc>
          <w:tcPr>
            <w:tcW w:w="3968" w:type="dxa"/>
            <w:shd w:val="clear" w:color="auto" w:fill="auto"/>
            <w:noWrap/>
            <w:vAlign w:val="center"/>
          </w:tcPr>
          <w:p w14:paraId="230D5316">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202E83D5">
            <w:pPr>
              <w:rPr>
                <w:rFonts w:hint="eastAsia" w:ascii="宋体" w:hAnsi="宋体" w:eastAsia="宋体" w:cs="宋体"/>
                <w:i w:val="0"/>
                <w:iCs w:val="0"/>
                <w:color w:val="auto"/>
                <w:sz w:val="22"/>
                <w:szCs w:val="22"/>
                <w:highlight w:val="none"/>
                <w:u w:val="none"/>
              </w:rPr>
            </w:pPr>
          </w:p>
        </w:tc>
      </w:tr>
      <w:tr w14:paraId="7E0B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20C51B39">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60</w:t>
            </w:r>
          </w:p>
        </w:tc>
        <w:tc>
          <w:tcPr>
            <w:tcW w:w="2319" w:type="dxa"/>
            <w:shd w:val="clear" w:color="auto" w:fill="auto"/>
            <w:noWrap/>
            <w:vAlign w:val="center"/>
          </w:tcPr>
          <w:p w14:paraId="647B681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钢结构过街雨棚</w:t>
            </w:r>
          </w:p>
        </w:tc>
        <w:tc>
          <w:tcPr>
            <w:tcW w:w="4295" w:type="dxa"/>
            <w:shd w:val="clear" w:color="auto" w:fill="auto"/>
            <w:noWrap/>
            <w:vAlign w:val="center"/>
          </w:tcPr>
          <w:p w14:paraId="6CBD283E">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长5m*宽4m高4m</w:t>
            </w:r>
          </w:p>
        </w:tc>
        <w:tc>
          <w:tcPr>
            <w:tcW w:w="1214" w:type="dxa"/>
            <w:shd w:val="clear" w:color="auto" w:fill="auto"/>
            <w:noWrap/>
            <w:vAlign w:val="center"/>
          </w:tcPr>
          <w:p w14:paraId="3AE1CA7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200" w:type="dxa"/>
            <w:shd w:val="clear" w:color="auto" w:fill="auto"/>
            <w:noWrap/>
            <w:vAlign w:val="center"/>
          </w:tcPr>
          <w:p w14:paraId="6284F2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24,000.00</w:t>
            </w:r>
          </w:p>
        </w:tc>
        <w:tc>
          <w:tcPr>
            <w:tcW w:w="3968" w:type="dxa"/>
            <w:shd w:val="clear" w:color="auto" w:fill="auto"/>
            <w:noWrap/>
            <w:vAlign w:val="center"/>
          </w:tcPr>
          <w:p w14:paraId="7F8FB8C5">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22826BB0">
            <w:pPr>
              <w:rPr>
                <w:rFonts w:hint="eastAsia" w:ascii="宋体" w:hAnsi="宋体" w:eastAsia="宋体" w:cs="宋体"/>
                <w:i w:val="0"/>
                <w:iCs w:val="0"/>
                <w:color w:val="auto"/>
                <w:sz w:val="22"/>
                <w:szCs w:val="22"/>
                <w:highlight w:val="none"/>
                <w:u w:val="none"/>
              </w:rPr>
            </w:pPr>
          </w:p>
        </w:tc>
      </w:tr>
      <w:tr w14:paraId="1B89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52B89C9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61</w:t>
            </w:r>
          </w:p>
        </w:tc>
        <w:tc>
          <w:tcPr>
            <w:tcW w:w="2319" w:type="dxa"/>
            <w:shd w:val="clear" w:color="auto" w:fill="auto"/>
            <w:noWrap/>
            <w:vAlign w:val="center"/>
          </w:tcPr>
          <w:p w14:paraId="5F82CCC4">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钢结构过街雨棚</w:t>
            </w:r>
          </w:p>
        </w:tc>
        <w:tc>
          <w:tcPr>
            <w:tcW w:w="4295" w:type="dxa"/>
            <w:shd w:val="clear" w:color="auto" w:fill="auto"/>
            <w:noWrap/>
            <w:vAlign w:val="center"/>
          </w:tcPr>
          <w:p w14:paraId="69E2F9BA">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长6m*宽4m高4m</w:t>
            </w:r>
          </w:p>
        </w:tc>
        <w:tc>
          <w:tcPr>
            <w:tcW w:w="1214" w:type="dxa"/>
            <w:shd w:val="clear" w:color="auto" w:fill="auto"/>
            <w:noWrap/>
            <w:vAlign w:val="center"/>
          </w:tcPr>
          <w:p w14:paraId="0350322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200" w:type="dxa"/>
            <w:shd w:val="clear" w:color="auto" w:fill="auto"/>
            <w:noWrap/>
            <w:vAlign w:val="center"/>
          </w:tcPr>
          <w:p w14:paraId="63DB16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28,800.00</w:t>
            </w:r>
          </w:p>
        </w:tc>
        <w:tc>
          <w:tcPr>
            <w:tcW w:w="3968" w:type="dxa"/>
            <w:shd w:val="clear" w:color="auto" w:fill="auto"/>
            <w:noWrap/>
            <w:vAlign w:val="center"/>
          </w:tcPr>
          <w:p w14:paraId="2BEE965D">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77DB9CE9">
            <w:pPr>
              <w:rPr>
                <w:rFonts w:hint="eastAsia" w:ascii="宋体" w:hAnsi="宋体" w:eastAsia="宋体" w:cs="宋体"/>
                <w:i w:val="0"/>
                <w:iCs w:val="0"/>
                <w:color w:val="auto"/>
                <w:sz w:val="22"/>
                <w:szCs w:val="22"/>
                <w:highlight w:val="none"/>
                <w:u w:val="none"/>
              </w:rPr>
            </w:pPr>
          </w:p>
        </w:tc>
      </w:tr>
      <w:tr w14:paraId="085C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shd w:val="clear" w:color="auto" w:fill="auto"/>
            <w:noWrap/>
            <w:vAlign w:val="center"/>
          </w:tcPr>
          <w:p w14:paraId="6096424D">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62</w:t>
            </w:r>
          </w:p>
        </w:tc>
        <w:tc>
          <w:tcPr>
            <w:tcW w:w="2319" w:type="dxa"/>
            <w:shd w:val="clear" w:color="auto" w:fill="auto"/>
            <w:noWrap/>
            <w:vAlign w:val="center"/>
          </w:tcPr>
          <w:p w14:paraId="3AA1F86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钢结构过街雨棚</w:t>
            </w:r>
          </w:p>
        </w:tc>
        <w:tc>
          <w:tcPr>
            <w:tcW w:w="4295" w:type="dxa"/>
            <w:shd w:val="clear" w:color="auto" w:fill="auto"/>
            <w:noWrap/>
            <w:vAlign w:val="center"/>
          </w:tcPr>
          <w:p w14:paraId="2F34F975">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长4m*宽3.5m高4m</w:t>
            </w:r>
          </w:p>
        </w:tc>
        <w:tc>
          <w:tcPr>
            <w:tcW w:w="1214" w:type="dxa"/>
            <w:shd w:val="clear" w:color="auto" w:fill="auto"/>
            <w:noWrap/>
            <w:vAlign w:val="center"/>
          </w:tcPr>
          <w:p w14:paraId="2445652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套</w:t>
            </w:r>
          </w:p>
        </w:tc>
        <w:tc>
          <w:tcPr>
            <w:tcW w:w="1200" w:type="dxa"/>
            <w:shd w:val="clear" w:color="auto" w:fill="auto"/>
            <w:noWrap/>
            <w:vAlign w:val="center"/>
          </w:tcPr>
          <w:p w14:paraId="3B50DB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19,440.00</w:t>
            </w:r>
          </w:p>
        </w:tc>
        <w:tc>
          <w:tcPr>
            <w:tcW w:w="3968" w:type="dxa"/>
            <w:shd w:val="clear" w:color="auto" w:fill="auto"/>
            <w:noWrap/>
            <w:vAlign w:val="center"/>
          </w:tcPr>
          <w:p w14:paraId="111B64D6">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25230BDB">
            <w:pPr>
              <w:rPr>
                <w:rFonts w:hint="eastAsia" w:ascii="宋体" w:hAnsi="宋体" w:eastAsia="宋体" w:cs="宋体"/>
                <w:i w:val="0"/>
                <w:iCs w:val="0"/>
                <w:color w:val="auto"/>
                <w:sz w:val="22"/>
                <w:szCs w:val="22"/>
                <w:highlight w:val="none"/>
                <w:u w:val="none"/>
              </w:rPr>
            </w:pPr>
          </w:p>
        </w:tc>
      </w:tr>
      <w:tr w14:paraId="23D6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restart"/>
            <w:shd w:val="clear" w:color="auto" w:fill="auto"/>
            <w:noWrap/>
            <w:vAlign w:val="center"/>
          </w:tcPr>
          <w:p w14:paraId="4135F5DC">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63</w:t>
            </w:r>
          </w:p>
        </w:tc>
        <w:tc>
          <w:tcPr>
            <w:tcW w:w="2319" w:type="dxa"/>
            <w:vMerge w:val="restart"/>
            <w:shd w:val="clear" w:color="auto" w:fill="auto"/>
            <w:noWrap/>
            <w:vAlign w:val="center"/>
          </w:tcPr>
          <w:p w14:paraId="4444242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标签（定制）</w:t>
            </w:r>
          </w:p>
        </w:tc>
        <w:tc>
          <w:tcPr>
            <w:tcW w:w="4295" w:type="dxa"/>
            <w:shd w:val="clear" w:color="auto" w:fill="auto"/>
            <w:noWrap/>
            <w:vAlign w:val="center"/>
          </w:tcPr>
          <w:p w14:paraId="50B283CD">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协议标准： EPC Class1 Gen2; ISO18000-6C                                         </w:t>
            </w:r>
          </w:p>
        </w:tc>
        <w:tc>
          <w:tcPr>
            <w:tcW w:w="1214" w:type="dxa"/>
            <w:vMerge w:val="restart"/>
            <w:shd w:val="clear" w:color="auto" w:fill="auto"/>
            <w:noWrap/>
            <w:vAlign w:val="center"/>
          </w:tcPr>
          <w:p w14:paraId="03411B41">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vMerge w:val="restart"/>
            <w:shd w:val="clear" w:color="auto" w:fill="auto"/>
            <w:noWrap/>
            <w:vAlign w:val="center"/>
          </w:tcPr>
          <w:p w14:paraId="0E83A5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35.64</w:t>
            </w:r>
          </w:p>
        </w:tc>
        <w:tc>
          <w:tcPr>
            <w:tcW w:w="3968" w:type="dxa"/>
            <w:vMerge w:val="restart"/>
            <w:shd w:val="clear" w:color="auto" w:fill="auto"/>
            <w:noWrap/>
            <w:vAlign w:val="center"/>
          </w:tcPr>
          <w:p w14:paraId="56D001E2">
            <w:pPr>
              <w:jc w:val="center"/>
              <w:rPr>
                <w:rFonts w:hint="eastAsia" w:ascii="宋体" w:hAnsi="宋体" w:eastAsia="宋体" w:cs="宋体"/>
                <w:i w:val="0"/>
                <w:iCs w:val="0"/>
                <w:color w:val="auto"/>
                <w:sz w:val="22"/>
                <w:szCs w:val="22"/>
                <w:highlight w:val="none"/>
                <w:u w:val="none"/>
              </w:rPr>
            </w:pPr>
          </w:p>
        </w:tc>
        <w:tc>
          <w:tcPr>
            <w:tcW w:w="1391" w:type="dxa"/>
            <w:vMerge w:val="restart"/>
            <w:shd w:val="clear" w:color="auto" w:fill="auto"/>
            <w:noWrap/>
            <w:vAlign w:val="center"/>
          </w:tcPr>
          <w:p w14:paraId="31E4A15F">
            <w:pPr>
              <w:jc w:val="center"/>
              <w:rPr>
                <w:rFonts w:hint="eastAsia" w:ascii="宋体" w:hAnsi="宋体" w:eastAsia="宋体" w:cs="宋体"/>
                <w:i w:val="0"/>
                <w:iCs w:val="0"/>
                <w:color w:val="auto"/>
                <w:sz w:val="22"/>
                <w:szCs w:val="22"/>
                <w:highlight w:val="none"/>
                <w:u w:val="none"/>
              </w:rPr>
            </w:pPr>
          </w:p>
        </w:tc>
      </w:tr>
      <w:tr w14:paraId="5E6B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7C0FC738">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120D65B2">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4EFE5441">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频率范围： 902-928MHZ ； 866-868MHZ</w:t>
            </w:r>
          </w:p>
        </w:tc>
        <w:tc>
          <w:tcPr>
            <w:tcW w:w="1214" w:type="dxa"/>
            <w:vMerge w:val="continue"/>
            <w:shd w:val="clear" w:color="auto" w:fill="auto"/>
            <w:noWrap/>
            <w:vAlign w:val="center"/>
          </w:tcPr>
          <w:p w14:paraId="4CEE826D">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2AE1DC3E">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22F47B7C">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6A6EF95C">
            <w:pPr>
              <w:jc w:val="center"/>
              <w:rPr>
                <w:rFonts w:hint="eastAsia" w:ascii="宋体" w:hAnsi="宋体" w:eastAsia="宋体" w:cs="宋体"/>
                <w:i w:val="0"/>
                <w:iCs w:val="0"/>
                <w:color w:val="auto"/>
                <w:sz w:val="22"/>
                <w:szCs w:val="22"/>
                <w:highlight w:val="none"/>
                <w:u w:val="none"/>
              </w:rPr>
            </w:pPr>
          </w:p>
        </w:tc>
      </w:tr>
      <w:tr w14:paraId="10DB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264E8E4D">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5E0F5336">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5CDDE554">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芯片型号： Alien higg3                                                          </w:t>
            </w:r>
          </w:p>
        </w:tc>
        <w:tc>
          <w:tcPr>
            <w:tcW w:w="1214" w:type="dxa"/>
            <w:vMerge w:val="continue"/>
            <w:shd w:val="clear" w:color="auto" w:fill="auto"/>
            <w:noWrap/>
            <w:vAlign w:val="center"/>
          </w:tcPr>
          <w:p w14:paraId="637061AD">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3C007820">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039E5E27">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07D76B40">
            <w:pPr>
              <w:jc w:val="center"/>
              <w:rPr>
                <w:rFonts w:hint="eastAsia" w:ascii="宋体" w:hAnsi="宋体" w:eastAsia="宋体" w:cs="宋体"/>
                <w:i w:val="0"/>
                <w:iCs w:val="0"/>
                <w:color w:val="auto"/>
                <w:sz w:val="22"/>
                <w:szCs w:val="22"/>
                <w:highlight w:val="none"/>
                <w:u w:val="none"/>
              </w:rPr>
            </w:pPr>
          </w:p>
        </w:tc>
      </w:tr>
      <w:tr w14:paraId="78FA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68CF4176">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5A956B28">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79C07A72">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芯片容量： EPC 96bit   User memory 512bit</w:t>
            </w:r>
          </w:p>
        </w:tc>
        <w:tc>
          <w:tcPr>
            <w:tcW w:w="1214" w:type="dxa"/>
            <w:vMerge w:val="continue"/>
            <w:shd w:val="clear" w:color="auto" w:fill="auto"/>
            <w:noWrap/>
            <w:vAlign w:val="center"/>
          </w:tcPr>
          <w:p w14:paraId="2D11F86A">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1ACF3831">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53AF830B">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64120B91">
            <w:pPr>
              <w:jc w:val="center"/>
              <w:rPr>
                <w:rFonts w:hint="eastAsia" w:ascii="宋体" w:hAnsi="宋体" w:eastAsia="宋体" w:cs="宋体"/>
                <w:i w:val="0"/>
                <w:iCs w:val="0"/>
                <w:color w:val="auto"/>
                <w:sz w:val="22"/>
                <w:szCs w:val="22"/>
                <w:highlight w:val="none"/>
                <w:u w:val="none"/>
              </w:rPr>
            </w:pPr>
          </w:p>
        </w:tc>
      </w:tr>
      <w:tr w14:paraId="6834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38EA6797">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17304EC1">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4AE753F1">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芯片寿命：可擦写10万次                                                        </w:t>
            </w:r>
          </w:p>
        </w:tc>
        <w:tc>
          <w:tcPr>
            <w:tcW w:w="1214" w:type="dxa"/>
            <w:vMerge w:val="continue"/>
            <w:shd w:val="clear" w:color="auto" w:fill="auto"/>
            <w:noWrap/>
            <w:vAlign w:val="center"/>
          </w:tcPr>
          <w:p w14:paraId="2D89E652">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52642740">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7197F076">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5E312054">
            <w:pPr>
              <w:jc w:val="center"/>
              <w:rPr>
                <w:rFonts w:hint="eastAsia" w:ascii="宋体" w:hAnsi="宋体" w:eastAsia="宋体" w:cs="宋体"/>
                <w:i w:val="0"/>
                <w:iCs w:val="0"/>
                <w:color w:val="auto"/>
                <w:sz w:val="22"/>
                <w:szCs w:val="22"/>
                <w:highlight w:val="none"/>
                <w:u w:val="none"/>
              </w:rPr>
            </w:pPr>
          </w:p>
        </w:tc>
      </w:tr>
      <w:tr w14:paraId="1178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6F5C92C0">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4086B894">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7A898ABE">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尺寸大小：130*42*10.5MM    </w:t>
            </w:r>
          </w:p>
        </w:tc>
        <w:tc>
          <w:tcPr>
            <w:tcW w:w="1214" w:type="dxa"/>
            <w:vMerge w:val="continue"/>
            <w:shd w:val="clear" w:color="auto" w:fill="auto"/>
            <w:noWrap/>
            <w:vAlign w:val="center"/>
          </w:tcPr>
          <w:p w14:paraId="276A8A32">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6224233A">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425B09F9">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0CC7B3F6">
            <w:pPr>
              <w:jc w:val="center"/>
              <w:rPr>
                <w:rFonts w:hint="eastAsia" w:ascii="宋体" w:hAnsi="宋体" w:eastAsia="宋体" w:cs="宋体"/>
                <w:i w:val="0"/>
                <w:iCs w:val="0"/>
                <w:color w:val="auto"/>
                <w:sz w:val="22"/>
                <w:szCs w:val="22"/>
                <w:highlight w:val="none"/>
                <w:u w:val="none"/>
              </w:rPr>
            </w:pPr>
          </w:p>
        </w:tc>
      </w:tr>
      <w:tr w14:paraId="3983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3158EB4B">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363D45D4">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3FBF1F11">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工作温度：-40度至85度                                                        </w:t>
            </w:r>
          </w:p>
        </w:tc>
        <w:tc>
          <w:tcPr>
            <w:tcW w:w="1214" w:type="dxa"/>
            <w:vMerge w:val="continue"/>
            <w:shd w:val="clear" w:color="auto" w:fill="auto"/>
            <w:noWrap/>
            <w:vAlign w:val="center"/>
          </w:tcPr>
          <w:p w14:paraId="1D7E6806">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59C2813C">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6BAF39CE">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74E8F9C1">
            <w:pPr>
              <w:jc w:val="center"/>
              <w:rPr>
                <w:rFonts w:hint="eastAsia" w:ascii="宋体" w:hAnsi="宋体" w:eastAsia="宋体" w:cs="宋体"/>
                <w:i w:val="0"/>
                <w:iCs w:val="0"/>
                <w:color w:val="auto"/>
                <w:sz w:val="22"/>
                <w:szCs w:val="22"/>
                <w:highlight w:val="none"/>
                <w:u w:val="none"/>
              </w:rPr>
            </w:pPr>
          </w:p>
        </w:tc>
      </w:tr>
      <w:tr w14:paraId="5D98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67EBDB81">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30354BFF">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7235D15F">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存储温度：-80度至100度</w:t>
            </w:r>
          </w:p>
        </w:tc>
        <w:tc>
          <w:tcPr>
            <w:tcW w:w="1214" w:type="dxa"/>
            <w:vMerge w:val="continue"/>
            <w:shd w:val="clear" w:color="auto" w:fill="auto"/>
            <w:noWrap/>
            <w:vAlign w:val="center"/>
          </w:tcPr>
          <w:p w14:paraId="6DCD1CB9">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722AE648">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56D7ACDB">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5489EC72">
            <w:pPr>
              <w:jc w:val="center"/>
              <w:rPr>
                <w:rFonts w:hint="eastAsia" w:ascii="宋体" w:hAnsi="宋体" w:eastAsia="宋体" w:cs="宋体"/>
                <w:i w:val="0"/>
                <w:iCs w:val="0"/>
                <w:color w:val="auto"/>
                <w:sz w:val="22"/>
                <w:szCs w:val="22"/>
                <w:highlight w:val="none"/>
                <w:u w:val="none"/>
              </w:rPr>
            </w:pPr>
          </w:p>
        </w:tc>
      </w:tr>
      <w:tr w14:paraId="5469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622AD5E6">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41936AF8">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11AEACC8">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产品重量：40克                                                                  </w:t>
            </w:r>
          </w:p>
        </w:tc>
        <w:tc>
          <w:tcPr>
            <w:tcW w:w="1214" w:type="dxa"/>
            <w:vMerge w:val="continue"/>
            <w:shd w:val="clear" w:color="auto" w:fill="auto"/>
            <w:noWrap/>
            <w:vAlign w:val="center"/>
          </w:tcPr>
          <w:p w14:paraId="28E0781E">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18F20E43">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44C4C05A">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26867973">
            <w:pPr>
              <w:jc w:val="center"/>
              <w:rPr>
                <w:rFonts w:hint="eastAsia" w:ascii="宋体" w:hAnsi="宋体" w:eastAsia="宋体" w:cs="宋体"/>
                <w:i w:val="0"/>
                <w:iCs w:val="0"/>
                <w:color w:val="auto"/>
                <w:sz w:val="22"/>
                <w:szCs w:val="22"/>
                <w:highlight w:val="none"/>
                <w:u w:val="none"/>
              </w:rPr>
            </w:pPr>
          </w:p>
        </w:tc>
      </w:tr>
      <w:tr w14:paraId="4165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2EBEEAFA">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59CDEF2D">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231ED0DA">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产品材料：加强PC                                         </w:t>
            </w:r>
          </w:p>
        </w:tc>
        <w:tc>
          <w:tcPr>
            <w:tcW w:w="1214" w:type="dxa"/>
            <w:vMerge w:val="continue"/>
            <w:shd w:val="clear" w:color="auto" w:fill="auto"/>
            <w:noWrap/>
            <w:vAlign w:val="center"/>
          </w:tcPr>
          <w:p w14:paraId="21708A6A">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65C576FE">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2C32EE31">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7E691527">
            <w:pPr>
              <w:jc w:val="center"/>
              <w:rPr>
                <w:rFonts w:hint="eastAsia" w:ascii="宋体" w:hAnsi="宋体" w:eastAsia="宋体" w:cs="宋体"/>
                <w:i w:val="0"/>
                <w:iCs w:val="0"/>
                <w:color w:val="auto"/>
                <w:sz w:val="22"/>
                <w:szCs w:val="22"/>
                <w:highlight w:val="none"/>
                <w:u w:val="none"/>
              </w:rPr>
            </w:pPr>
          </w:p>
        </w:tc>
      </w:tr>
      <w:tr w14:paraId="171F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737D1CB6">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0AD50880">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3E3E01B8">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IP  等级：IP68  </w:t>
            </w:r>
          </w:p>
        </w:tc>
        <w:tc>
          <w:tcPr>
            <w:tcW w:w="1214" w:type="dxa"/>
            <w:vMerge w:val="continue"/>
            <w:shd w:val="clear" w:color="auto" w:fill="auto"/>
            <w:noWrap/>
            <w:vAlign w:val="center"/>
          </w:tcPr>
          <w:p w14:paraId="2B9695E4">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2B318D1B">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5C34FF01">
            <w:pPr>
              <w:jc w:val="center"/>
              <w:rPr>
                <w:rFonts w:hint="eastAsia" w:ascii="宋体" w:hAnsi="宋体" w:eastAsia="宋体" w:cs="宋体"/>
                <w:i w:val="0"/>
                <w:iCs w:val="0"/>
                <w:color w:val="auto"/>
                <w:sz w:val="22"/>
                <w:szCs w:val="22"/>
                <w:highlight w:val="none"/>
                <w:u w:val="none"/>
              </w:rPr>
            </w:pPr>
          </w:p>
        </w:tc>
        <w:tc>
          <w:tcPr>
            <w:tcW w:w="1391" w:type="dxa"/>
            <w:vMerge w:val="continue"/>
            <w:shd w:val="clear" w:color="auto" w:fill="auto"/>
            <w:noWrap/>
            <w:vAlign w:val="center"/>
          </w:tcPr>
          <w:p w14:paraId="54BA7ABF">
            <w:pPr>
              <w:jc w:val="center"/>
              <w:rPr>
                <w:rFonts w:hint="eastAsia" w:ascii="宋体" w:hAnsi="宋体" w:eastAsia="宋体" w:cs="宋体"/>
                <w:i w:val="0"/>
                <w:iCs w:val="0"/>
                <w:color w:val="auto"/>
                <w:sz w:val="22"/>
                <w:szCs w:val="22"/>
                <w:highlight w:val="none"/>
                <w:u w:val="none"/>
              </w:rPr>
            </w:pPr>
          </w:p>
        </w:tc>
      </w:tr>
      <w:tr w14:paraId="25AB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restart"/>
            <w:shd w:val="clear" w:color="auto" w:fill="auto"/>
            <w:noWrap/>
            <w:vAlign w:val="center"/>
          </w:tcPr>
          <w:p w14:paraId="46879788">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64</w:t>
            </w:r>
          </w:p>
        </w:tc>
        <w:tc>
          <w:tcPr>
            <w:tcW w:w="2319" w:type="dxa"/>
            <w:vMerge w:val="restart"/>
            <w:shd w:val="clear" w:color="auto" w:fill="auto"/>
            <w:noWrap/>
            <w:vAlign w:val="center"/>
          </w:tcPr>
          <w:p w14:paraId="2EA8FF40">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标签（定制）</w:t>
            </w:r>
          </w:p>
        </w:tc>
        <w:tc>
          <w:tcPr>
            <w:tcW w:w="4295" w:type="dxa"/>
            <w:shd w:val="clear" w:color="auto" w:fill="auto"/>
            <w:noWrap/>
            <w:vAlign w:val="center"/>
          </w:tcPr>
          <w:p w14:paraId="04DC3C9E">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协议标准： EPC Class1 Gen2; ISO18000-6C                                         </w:t>
            </w:r>
          </w:p>
        </w:tc>
        <w:tc>
          <w:tcPr>
            <w:tcW w:w="1214" w:type="dxa"/>
            <w:vMerge w:val="restart"/>
            <w:shd w:val="clear" w:color="auto" w:fill="auto"/>
            <w:noWrap/>
            <w:vAlign w:val="center"/>
          </w:tcPr>
          <w:p w14:paraId="56187E76">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个</w:t>
            </w:r>
          </w:p>
        </w:tc>
        <w:tc>
          <w:tcPr>
            <w:tcW w:w="1200" w:type="dxa"/>
            <w:vMerge w:val="restart"/>
            <w:shd w:val="clear" w:color="auto" w:fill="auto"/>
            <w:noWrap/>
            <w:vAlign w:val="center"/>
          </w:tcPr>
          <w:p w14:paraId="58126A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23.17</w:t>
            </w:r>
          </w:p>
        </w:tc>
        <w:tc>
          <w:tcPr>
            <w:tcW w:w="3968" w:type="dxa"/>
            <w:vMerge w:val="restart"/>
            <w:shd w:val="clear" w:color="auto" w:fill="auto"/>
            <w:noWrap/>
            <w:vAlign w:val="center"/>
          </w:tcPr>
          <w:p w14:paraId="32C34502">
            <w:pPr>
              <w:jc w:val="center"/>
              <w:rPr>
                <w:rFonts w:hint="eastAsia" w:ascii="新宋体" w:hAnsi="新宋体" w:eastAsia="新宋体" w:cs="新宋体"/>
                <w:i w:val="0"/>
                <w:iCs w:val="0"/>
                <w:color w:val="auto"/>
                <w:sz w:val="22"/>
                <w:szCs w:val="22"/>
                <w:highlight w:val="none"/>
                <w:u w:val="none"/>
              </w:rPr>
            </w:pPr>
          </w:p>
        </w:tc>
        <w:tc>
          <w:tcPr>
            <w:tcW w:w="1391" w:type="dxa"/>
            <w:vMerge w:val="restart"/>
            <w:shd w:val="clear" w:color="auto" w:fill="auto"/>
            <w:noWrap/>
            <w:vAlign w:val="center"/>
          </w:tcPr>
          <w:p w14:paraId="44E80320">
            <w:pPr>
              <w:jc w:val="center"/>
              <w:rPr>
                <w:rFonts w:hint="eastAsia" w:ascii="新宋体" w:hAnsi="新宋体" w:eastAsia="新宋体" w:cs="新宋体"/>
                <w:i w:val="0"/>
                <w:iCs w:val="0"/>
                <w:color w:val="auto"/>
                <w:sz w:val="22"/>
                <w:szCs w:val="22"/>
                <w:highlight w:val="none"/>
                <w:u w:val="none"/>
              </w:rPr>
            </w:pPr>
          </w:p>
        </w:tc>
      </w:tr>
      <w:tr w14:paraId="4478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0486350B">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37B90D0C">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0B3F3EB9">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频率范围： 902-928MHZ ； 866-868MHZ</w:t>
            </w:r>
          </w:p>
        </w:tc>
        <w:tc>
          <w:tcPr>
            <w:tcW w:w="1214" w:type="dxa"/>
            <w:vMerge w:val="continue"/>
            <w:shd w:val="clear" w:color="auto" w:fill="auto"/>
            <w:noWrap/>
            <w:vAlign w:val="center"/>
          </w:tcPr>
          <w:p w14:paraId="148F460F">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5D9D0E6F">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2D7746AE">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78A13A0C">
            <w:pPr>
              <w:jc w:val="center"/>
              <w:rPr>
                <w:rFonts w:hint="eastAsia" w:ascii="新宋体" w:hAnsi="新宋体" w:eastAsia="新宋体" w:cs="新宋体"/>
                <w:i w:val="0"/>
                <w:iCs w:val="0"/>
                <w:color w:val="auto"/>
                <w:sz w:val="22"/>
                <w:szCs w:val="22"/>
                <w:highlight w:val="none"/>
                <w:u w:val="none"/>
              </w:rPr>
            </w:pPr>
          </w:p>
        </w:tc>
      </w:tr>
      <w:tr w14:paraId="0CE3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4EDFF568">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471ABD64">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76B06839">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芯片型号： NXP U8                                                             </w:t>
            </w:r>
          </w:p>
        </w:tc>
        <w:tc>
          <w:tcPr>
            <w:tcW w:w="1214" w:type="dxa"/>
            <w:vMerge w:val="continue"/>
            <w:shd w:val="clear" w:color="auto" w:fill="auto"/>
            <w:noWrap/>
            <w:vAlign w:val="center"/>
          </w:tcPr>
          <w:p w14:paraId="6CDF8716">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2A983391">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47850303">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002CCC32">
            <w:pPr>
              <w:jc w:val="center"/>
              <w:rPr>
                <w:rFonts w:hint="eastAsia" w:ascii="新宋体" w:hAnsi="新宋体" w:eastAsia="新宋体" w:cs="新宋体"/>
                <w:i w:val="0"/>
                <w:iCs w:val="0"/>
                <w:color w:val="auto"/>
                <w:sz w:val="22"/>
                <w:szCs w:val="22"/>
                <w:highlight w:val="none"/>
                <w:u w:val="none"/>
              </w:rPr>
            </w:pPr>
          </w:p>
        </w:tc>
      </w:tr>
      <w:tr w14:paraId="6762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5DF81C3C">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55A4A125">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32232902">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芯片容量： EPC  128bit   User memory 无</w:t>
            </w:r>
          </w:p>
        </w:tc>
        <w:tc>
          <w:tcPr>
            <w:tcW w:w="1214" w:type="dxa"/>
            <w:vMerge w:val="continue"/>
            <w:shd w:val="clear" w:color="auto" w:fill="auto"/>
            <w:noWrap/>
            <w:vAlign w:val="center"/>
          </w:tcPr>
          <w:p w14:paraId="7EA67F65">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20556F00">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3A3F0201">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237F51FD">
            <w:pPr>
              <w:jc w:val="center"/>
              <w:rPr>
                <w:rFonts w:hint="eastAsia" w:ascii="新宋体" w:hAnsi="新宋体" w:eastAsia="新宋体" w:cs="新宋体"/>
                <w:i w:val="0"/>
                <w:iCs w:val="0"/>
                <w:color w:val="auto"/>
                <w:sz w:val="22"/>
                <w:szCs w:val="22"/>
                <w:highlight w:val="none"/>
                <w:u w:val="none"/>
              </w:rPr>
            </w:pPr>
          </w:p>
        </w:tc>
      </w:tr>
      <w:tr w14:paraId="4F34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16FFF7AB">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00232C5F">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0E4FE053">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芯片寿命：可擦写10万次                                                        </w:t>
            </w:r>
          </w:p>
        </w:tc>
        <w:tc>
          <w:tcPr>
            <w:tcW w:w="1214" w:type="dxa"/>
            <w:vMerge w:val="continue"/>
            <w:shd w:val="clear" w:color="auto" w:fill="auto"/>
            <w:noWrap/>
            <w:vAlign w:val="center"/>
          </w:tcPr>
          <w:p w14:paraId="055B72C7">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567E7D2C">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66C50E77">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373D01F0">
            <w:pPr>
              <w:jc w:val="center"/>
              <w:rPr>
                <w:rFonts w:hint="eastAsia" w:ascii="新宋体" w:hAnsi="新宋体" w:eastAsia="新宋体" w:cs="新宋体"/>
                <w:i w:val="0"/>
                <w:iCs w:val="0"/>
                <w:color w:val="auto"/>
                <w:sz w:val="22"/>
                <w:szCs w:val="22"/>
                <w:highlight w:val="none"/>
                <w:u w:val="none"/>
              </w:rPr>
            </w:pPr>
          </w:p>
        </w:tc>
      </w:tr>
      <w:tr w14:paraId="0554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078FDA3B">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1FFB1B29">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44169B5C">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尺寸大小：13*7*3MM    孔径2MM   </w:t>
            </w:r>
          </w:p>
        </w:tc>
        <w:tc>
          <w:tcPr>
            <w:tcW w:w="1214" w:type="dxa"/>
            <w:vMerge w:val="continue"/>
            <w:shd w:val="clear" w:color="auto" w:fill="auto"/>
            <w:noWrap/>
            <w:vAlign w:val="center"/>
          </w:tcPr>
          <w:p w14:paraId="393A6047">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5317F720">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2ACAA360">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22CD5AAD">
            <w:pPr>
              <w:jc w:val="center"/>
              <w:rPr>
                <w:rFonts w:hint="eastAsia" w:ascii="新宋体" w:hAnsi="新宋体" w:eastAsia="新宋体" w:cs="新宋体"/>
                <w:i w:val="0"/>
                <w:iCs w:val="0"/>
                <w:color w:val="auto"/>
                <w:sz w:val="22"/>
                <w:szCs w:val="22"/>
                <w:highlight w:val="none"/>
                <w:u w:val="none"/>
              </w:rPr>
            </w:pPr>
          </w:p>
        </w:tc>
      </w:tr>
      <w:tr w14:paraId="2CF3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70" w:hRule="atLeast"/>
        </w:trPr>
        <w:tc>
          <w:tcPr>
            <w:tcW w:w="727" w:type="dxa"/>
            <w:vMerge w:val="continue"/>
            <w:shd w:val="clear" w:color="auto" w:fill="auto"/>
            <w:noWrap/>
            <w:vAlign w:val="center"/>
          </w:tcPr>
          <w:p w14:paraId="17E97CDC">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73CF0660">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474BF34C">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工作温度：-20度至100度                                                        </w:t>
            </w:r>
          </w:p>
        </w:tc>
        <w:tc>
          <w:tcPr>
            <w:tcW w:w="1214" w:type="dxa"/>
            <w:vMerge w:val="continue"/>
            <w:shd w:val="clear" w:color="auto" w:fill="auto"/>
            <w:noWrap/>
            <w:vAlign w:val="center"/>
          </w:tcPr>
          <w:p w14:paraId="6457C977">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38A46E59">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35CE38ED">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5D340DBA">
            <w:pPr>
              <w:jc w:val="center"/>
              <w:rPr>
                <w:rFonts w:hint="eastAsia" w:ascii="新宋体" w:hAnsi="新宋体" w:eastAsia="新宋体" w:cs="新宋体"/>
                <w:i w:val="0"/>
                <w:iCs w:val="0"/>
                <w:color w:val="auto"/>
                <w:sz w:val="22"/>
                <w:szCs w:val="22"/>
                <w:highlight w:val="none"/>
                <w:u w:val="none"/>
              </w:rPr>
            </w:pPr>
          </w:p>
        </w:tc>
      </w:tr>
      <w:tr w14:paraId="3677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3FB0ADDE">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0DD839E1">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0D7B978D">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存储温度：-40度至140度</w:t>
            </w:r>
          </w:p>
        </w:tc>
        <w:tc>
          <w:tcPr>
            <w:tcW w:w="1214" w:type="dxa"/>
            <w:vMerge w:val="continue"/>
            <w:shd w:val="clear" w:color="auto" w:fill="auto"/>
            <w:noWrap/>
            <w:vAlign w:val="center"/>
          </w:tcPr>
          <w:p w14:paraId="7C75AA46">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54DCCD9E">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6F394FC2">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626C3D6F">
            <w:pPr>
              <w:jc w:val="center"/>
              <w:rPr>
                <w:rFonts w:hint="eastAsia" w:ascii="新宋体" w:hAnsi="新宋体" w:eastAsia="新宋体" w:cs="新宋体"/>
                <w:i w:val="0"/>
                <w:iCs w:val="0"/>
                <w:color w:val="auto"/>
                <w:sz w:val="22"/>
                <w:szCs w:val="22"/>
                <w:highlight w:val="none"/>
                <w:u w:val="none"/>
              </w:rPr>
            </w:pPr>
          </w:p>
        </w:tc>
      </w:tr>
      <w:tr w14:paraId="0535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7220402E">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2F2772FB">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7CB20711">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产品重量：0.5克                                                                  </w:t>
            </w:r>
          </w:p>
        </w:tc>
        <w:tc>
          <w:tcPr>
            <w:tcW w:w="1214" w:type="dxa"/>
            <w:vMerge w:val="continue"/>
            <w:shd w:val="clear" w:color="auto" w:fill="auto"/>
            <w:noWrap/>
            <w:vAlign w:val="center"/>
          </w:tcPr>
          <w:p w14:paraId="41BC4091">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6167B5BE">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11ADA8D6">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657422C7">
            <w:pPr>
              <w:jc w:val="center"/>
              <w:rPr>
                <w:rFonts w:hint="eastAsia" w:ascii="新宋体" w:hAnsi="新宋体" w:eastAsia="新宋体" w:cs="新宋体"/>
                <w:i w:val="0"/>
                <w:iCs w:val="0"/>
                <w:color w:val="auto"/>
                <w:sz w:val="22"/>
                <w:szCs w:val="22"/>
                <w:highlight w:val="none"/>
                <w:u w:val="none"/>
              </w:rPr>
            </w:pPr>
          </w:p>
        </w:tc>
      </w:tr>
      <w:tr w14:paraId="1957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21496960">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1F333F74">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44DD9D45">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产品材料：FR4                                         </w:t>
            </w:r>
          </w:p>
        </w:tc>
        <w:tc>
          <w:tcPr>
            <w:tcW w:w="1214" w:type="dxa"/>
            <w:vMerge w:val="continue"/>
            <w:shd w:val="clear" w:color="auto" w:fill="auto"/>
            <w:noWrap/>
            <w:vAlign w:val="center"/>
          </w:tcPr>
          <w:p w14:paraId="61AE698C">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3644B874">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32AD5B29">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34A43950">
            <w:pPr>
              <w:jc w:val="center"/>
              <w:rPr>
                <w:rFonts w:hint="eastAsia" w:ascii="新宋体" w:hAnsi="新宋体" w:eastAsia="新宋体" w:cs="新宋体"/>
                <w:i w:val="0"/>
                <w:iCs w:val="0"/>
                <w:color w:val="auto"/>
                <w:sz w:val="22"/>
                <w:szCs w:val="22"/>
                <w:highlight w:val="none"/>
                <w:u w:val="none"/>
              </w:rPr>
            </w:pPr>
          </w:p>
        </w:tc>
      </w:tr>
      <w:tr w14:paraId="728E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11BDDEA2">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7924A2E6">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3A5A09BD">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IP  等级：IP68                                                                   </w:t>
            </w:r>
          </w:p>
        </w:tc>
        <w:tc>
          <w:tcPr>
            <w:tcW w:w="1214" w:type="dxa"/>
            <w:vMerge w:val="continue"/>
            <w:shd w:val="clear" w:color="auto" w:fill="auto"/>
            <w:noWrap/>
            <w:vAlign w:val="center"/>
          </w:tcPr>
          <w:p w14:paraId="5C9C0BA7">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10B27A9F">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3094D8D8">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297C4EA9">
            <w:pPr>
              <w:jc w:val="center"/>
              <w:rPr>
                <w:rFonts w:hint="eastAsia" w:ascii="新宋体" w:hAnsi="新宋体" w:eastAsia="新宋体" w:cs="新宋体"/>
                <w:i w:val="0"/>
                <w:iCs w:val="0"/>
                <w:color w:val="auto"/>
                <w:sz w:val="22"/>
                <w:szCs w:val="22"/>
                <w:highlight w:val="none"/>
                <w:u w:val="none"/>
              </w:rPr>
            </w:pPr>
          </w:p>
        </w:tc>
      </w:tr>
      <w:tr w14:paraId="1670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1591C16E">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1978547F">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77130A90">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射频参数：</w:t>
            </w:r>
          </w:p>
        </w:tc>
        <w:tc>
          <w:tcPr>
            <w:tcW w:w="1214" w:type="dxa"/>
            <w:vMerge w:val="continue"/>
            <w:shd w:val="clear" w:color="auto" w:fill="auto"/>
            <w:noWrap/>
            <w:vAlign w:val="center"/>
          </w:tcPr>
          <w:p w14:paraId="0F352362">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0DBE958B">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56AFA1E8">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6CEE4542">
            <w:pPr>
              <w:jc w:val="center"/>
              <w:rPr>
                <w:rFonts w:hint="eastAsia" w:ascii="新宋体" w:hAnsi="新宋体" w:eastAsia="新宋体" w:cs="新宋体"/>
                <w:i w:val="0"/>
                <w:iCs w:val="0"/>
                <w:color w:val="auto"/>
                <w:sz w:val="22"/>
                <w:szCs w:val="22"/>
                <w:highlight w:val="none"/>
                <w:u w:val="none"/>
              </w:rPr>
            </w:pPr>
          </w:p>
        </w:tc>
      </w:tr>
      <w:tr w14:paraId="0361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3B4287B9">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7D47D057">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647FB000">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读    距：3米（测试设备为Thingmagic M6E读写器，4W EIRP）                      </w:t>
            </w:r>
          </w:p>
        </w:tc>
        <w:tc>
          <w:tcPr>
            <w:tcW w:w="1214" w:type="dxa"/>
            <w:vMerge w:val="continue"/>
            <w:shd w:val="clear" w:color="auto" w:fill="auto"/>
            <w:noWrap/>
            <w:vAlign w:val="center"/>
          </w:tcPr>
          <w:p w14:paraId="40A3E443">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2208F68E">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63EB0DB2">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255B75E4">
            <w:pPr>
              <w:jc w:val="center"/>
              <w:rPr>
                <w:rFonts w:hint="eastAsia" w:ascii="新宋体" w:hAnsi="新宋体" w:eastAsia="新宋体" w:cs="新宋体"/>
                <w:i w:val="0"/>
                <w:iCs w:val="0"/>
                <w:color w:val="auto"/>
                <w:sz w:val="22"/>
                <w:szCs w:val="22"/>
                <w:highlight w:val="none"/>
                <w:u w:val="none"/>
              </w:rPr>
            </w:pPr>
          </w:p>
        </w:tc>
      </w:tr>
      <w:tr w14:paraId="22E2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106C583E">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5AE22252">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0D1706EA">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读    距：1.5米（测试设备为R2000模块手持机，30dbm功率）                   </w:t>
            </w:r>
          </w:p>
        </w:tc>
        <w:tc>
          <w:tcPr>
            <w:tcW w:w="1214" w:type="dxa"/>
            <w:vMerge w:val="continue"/>
            <w:shd w:val="clear" w:color="auto" w:fill="auto"/>
            <w:noWrap/>
            <w:vAlign w:val="center"/>
          </w:tcPr>
          <w:p w14:paraId="615E92C3">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03BE03D0">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1052D9D9">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28EF9F97">
            <w:pPr>
              <w:jc w:val="center"/>
              <w:rPr>
                <w:rFonts w:hint="eastAsia" w:ascii="新宋体" w:hAnsi="新宋体" w:eastAsia="新宋体" w:cs="新宋体"/>
                <w:i w:val="0"/>
                <w:iCs w:val="0"/>
                <w:color w:val="auto"/>
                <w:sz w:val="22"/>
                <w:szCs w:val="22"/>
                <w:highlight w:val="none"/>
                <w:u w:val="none"/>
              </w:rPr>
            </w:pPr>
          </w:p>
        </w:tc>
      </w:tr>
      <w:tr w14:paraId="27A7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27" w:type="dxa"/>
            <w:vMerge w:val="continue"/>
            <w:shd w:val="clear" w:color="auto" w:fill="auto"/>
            <w:noWrap/>
            <w:vAlign w:val="center"/>
          </w:tcPr>
          <w:p w14:paraId="6C5E05DF">
            <w:pPr>
              <w:jc w:val="center"/>
              <w:rPr>
                <w:rFonts w:hint="eastAsia" w:ascii="新宋体" w:hAnsi="新宋体" w:eastAsia="新宋体" w:cs="新宋体"/>
                <w:i w:val="0"/>
                <w:iCs w:val="0"/>
                <w:color w:val="auto"/>
                <w:sz w:val="22"/>
                <w:szCs w:val="22"/>
                <w:highlight w:val="none"/>
                <w:u w:val="none"/>
              </w:rPr>
            </w:pPr>
          </w:p>
        </w:tc>
        <w:tc>
          <w:tcPr>
            <w:tcW w:w="2319" w:type="dxa"/>
            <w:vMerge w:val="continue"/>
            <w:shd w:val="clear" w:color="auto" w:fill="auto"/>
            <w:noWrap/>
            <w:vAlign w:val="center"/>
          </w:tcPr>
          <w:p w14:paraId="69130C60">
            <w:pPr>
              <w:jc w:val="center"/>
              <w:rPr>
                <w:rFonts w:hint="eastAsia" w:ascii="新宋体" w:hAnsi="新宋体" w:eastAsia="新宋体" w:cs="新宋体"/>
                <w:i w:val="0"/>
                <w:iCs w:val="0"/>
                <w:color w:val="auto"/>
                <w:sz w:val="22"/>
                <w:szCs w:val="22"/>
                <w:highlight w:val="none"/>
                <w:u w:val="none"/>
              </w:rPr>
            </w:pPr>
          </w:p>
        </w:tc>
        <w:tc>
          <w:tcPr>
            <w:tcW w:w="4295" w:type="dxa"/>
            <w:shd w:val="clear" w:color="auto" w:fill="auto"/>
            <w:noWrap/>
            <w:vAlign w:val="center"/>
          </w:tcPr>
          <w:p w14:paraId="45D6C0D0">
            <w:pPr>
              <w:keepNext w:val="0"/>
              <w:keepLines w:val="0"/>
              <w:widowControl/>
              <w:suppressLineNumbers w:val="0"/>
              <w:jc w:val="left"/>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 xml:space="preserve">极化方向：线极化          </w:t>
            </w:r>
          </w:p>
        </w:tc>
        <w:tc>
          <w:tcPr>
            <w:tcW w:w="1214" w:type="dxa"/>
            <w:vMerge w:val="continue"/>
            <w:shd w:val="clear" w:color="auto" w:fill="auto"/>
            <w:noWrap/>
            <w:vAlign w:val="center"/>
          </w:tcPr>
          <w:p w14:paraId="19F26133">
            <w:pPr>
              <w:jc w:val="center"/>
              <w:rPr>
                <w:rFonts w:hint="eastAsia" w:ascii="新宋体" w:hAnsi="新宋体" w:eastAsia="新宋体" w:cs="新宋体"/>
                <w:i w:val="0"/>
                <w:iCs w:val="0"/>
                <w:color w:val="auto"/>
                <w:sz w:val="22"/>
                <w:szCs w:val="22"/>
                <w:highlight w:val="none"/>
                <w:u w:val="none"/>
              </w:rPr>
            </w:pPr>
          </w:p>
        </w:tc>
        <w:tc>
          <w:tcPr>
            <w:tcW w:w="1200" w:type="dxa"/>
            <w:vMerge w:val="continue"/>
            <w:shd w:val="clear" w:color="auto" w:fill="auto"/>
            <w:noWrap/>
            <w:vAlign w:val="center"/>
          </w:tcPr>
          <w:p w14:paraId="70412A80">
            <w:pPr>
              <w:jc w:val="center"/>
              <w:rPr>
                <w:rFonts w:hint="eastAsia" w:ascii="宋体" w:hAnsi="宋体" w:eastAsia="宋体" w:cs="宋体"/>
                <w:i w:val="0"/>
                <w:iCs w:val="0"/>
                <w:color w:val="auto"/>
                <w:sz w:val="22"/>
                <w:szCs w:val="22"/>
                <w:highlight w:val="none"/>
                <w:u w:val="none"/>
              </w:rPr>
            </w:pPr>
          </w:p>
        </w:tc>
        <w:tc>
          <w:tcPr>
            <w:tcW w:w="3968" w:type="dxa"/>
            <w:vMerge w:val="continue"/>
            <w:shd w:val="clear" w:color="auto" w:fill="auto"/>
            <w:noWrap/>
            <w:vAlign w:val="center"/>
          </w:tcPr>
          <w:p w14:paraId="294A795E">
            <w:pPr>
              <w:jc w:val="center"/>
              <w:rPr>
                <w:rFonts w:hint="eastAsia" w:ascii="新宋体" w:hAnsi="新宋体" w:eastAsia="新宋体" w:cs="新宋体"/>
                <w:i w:val="0"/>
                <w:iCs w:val="0"/>
                <w:color w:val="auto"/>
                <w:sz w:val="22"/>
                <w:szCs w:val="22"/>
                <w:highlight w:val="none"/>
                <w:u w:val="none"/>
              </w:rPr>
            </w:pPr>
          </w:p>
        </w:tc>
        <w:tc>
          <w:tcPr>
            <w:tcW w:w="1391" w:type="dxa"/>
            <w:vMerge w:val="continue"/>
            <w:shd w:val="clear" w:color="auto" w:fill="auto"/>
            <w:noWrap/>
            <w:vAlign w:val="center"/>
          </w:tcPr>
          <w:p w14:paraId="0F590774">
            <w:pPr>
              <w:jc w:val="center"/>
              <w:rPr>
                <w:rFonts w:hint="eastAsia" w:ascii="新宋体" w:hAnsi="新宋体" w:eastAsia="新宋体" w:cs="新宋体"/>
                <w:i w:val="0"/>
                <w:iCs w:val="0"/>
                <w:color w:val="auto"/>
                <w:sz w:val="22"/>
                <w:szCs w:val="22"/>
                <w:highlight w:val="none"/>
                <w:u w:val="none"/>
              </w:rPr>
            </w:pPr>
          </w:p>
        </w:tc>
      </w:tr>
      <w:tr w14:paraId="04F7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727" w:type="dxa"/>
            <w:shd w:val="clear" w:color="auto" w:fill="auto"/>
            <w:noWrap/>
            <w:vAlign w:val="center"/>
          </w:tcPr>
          <w:p w14:paraId="6CD2C4A7">
            <w:pPr>
              <w:keepNext w:val="0"/>
              <w:keepLines w:val="0"/>
              <w:widowControl/>
              <w:suppressLineNumbers w:val="0"/>
              <w:jc w:val="center"/>
              <w:textAlignment w:val="center"/>
              <w:rPr>
                <w:rFonts w:hint="eastAsia" w:ascii="新宋体" w:hAnsi="新宋体" w:eastAsia="新宋体" w:cs="新宋体"/>
                <w:i w:val="0"/>
                <w:iCs w:val="0"/>
                <w:color w:val="auto"/>
                <w:sz w:val="22"/>
                <w:szCs w:val="22"/>
                <w:highlight w:val="none"/>
                <w:u w:val="none"/>
              </w:rPr>
            </w:pPr>
            <w:r>
              <w:rPr>
                <w:rFonts w:hint="eastAsia" w:ascii="新宋体" w:hAnsi="新宋体" w:eastAsia="新宋体" w:cs="新宋体"/>
                <w:i w:val="0"/>
                <w:iCs w:val="0"/>
                <w:color w:val="auto"/>
                <w:kern w:val="0"/>
                <w:sz w:val="22"/>
                <w:szCs w:val="22"/>
                <w:highlight w:val="none"/>
                <w:u w:val="none"/>
                <w:lang w:val="en-US" w:eastAsia="zh-CN" w:bidi="ar"/>
              </w:rPr>
              <w:t>65</w:t>
            </w:r>
          </w:p>
        </w:tc>
        <w:tc>
          <w:tcPr>
            <w:tcW w:w="2319" w:type="dxa"/>
            <w:shd w:val="clear" w:color="auto" w:fill="auto"/>
            <w:vAlign w:val="center"/>
          </w:tcPr>
          <w:p w14:paraId="76CD01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出车费</w:t>
            </w:r>
          </w:p>
        </w:tc>
        <w:tc>
          <w:tcPr>
            <w:tcW w:w="4295" w:type="dxa"/>
            <w:shd w:val="clear" w:color="auto" w:fill="auto"/>
            <w:noWrap/>
            <w:vAlign w:val="center"/>
          </w:tcPr>
          <w:p w14:paraId="5C2F03FF">
            <w:pPr>
              <w:jc w:val="center"/>
              <w:rPr>
                <w:rFonts w:hint="eastAsia" w:ascii="宋体" w:hAnsi="宋体" w:eastAsia="宋体" w:cs="宋体"/>
                <w:i w:val="0"/>
                <w:iCs w:val="0"/>
                <w:color w:val="auto"/>
                <w:sz w:val="22"/>
                <w:szCs w:val="22"/>
                <w:highlight w:val="none"/>
                <w:u w:val="none"/>
              </w:rPr>
            </w:pPr>
          </w:p>
        </w:tc>
        <w:tc>
          <w:tcPr>
            <w:tcW w:w="1214" w:type="dxa"/>
            <w:shd w:val="clear" w:color="auto" w:fill="auto"/>
            <w:noWrap/>
            <w:vAlign w:val="center"/>
          </w:tcPr>
          <w:p w14:paraId="50397A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元/案卷(条)</w:t>
            </w:r>
          </w:p>
        </w:tc>
        <w:tc>
          <w:tcPr>
            <w:tcW w:w="1200" w:type="dxa"/>
            <w:shd w:val="clear" w:color="auto" w:fill="auto"/>
            <w:noWrap/>
            <w:vAlign w:val="center"/>
          </w:tcPr>
          <w:p w14:paraId="0B14CF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98.10</w:t>
            </w:r>
          </w:p>
        </w:tc>
        <w:tc>
          <w:tcPr>
            <w:tcW w:w="3968" w:type="dxa"/>
            <w:shd w:val="clear" w:color="auto" w:fill="auto"/>
            <w:noWrap/>
            <w:vAlign w:val="center"/>
          </w:tcPr>
          <w:p w14:paraId="7A918706">
            <w:pPr>
              <w:jc w:val="center"/>
              <w:rPr>
                <w:rFonts w:hint="eastAsia" w:ascii="宋体" w:hAnsi="宋体" w:eastAsia="宋体" w:cs="宋体"/>
                <w:i w:val="0"/>
                <w:iCs w:val="0"/>
                <w:color w:val="auto"/>
                <w:sz w:val="22"/>
                <w:szCs w:val="22"/>
                <w:highlight w:val="none"/>
                <w:u w:val="none"/>
              </w:rPr>
            </w:pPr>
          </w:p>
        </w:tc>
        <w:tc>
          <w:tcPr>
            <w:tcW w:w="1391" w:type="dxa"/>
            <w:shd w:val="clear" w:color="auto" w:fill="auto"/>
            <w:noWrap/>
            <w:vAlign w:val="center"/>
          </w:tcPr>
          <w:p w14:paraId="52C0D51F">
            <w:pPr>
              <w:jc w:val="center"/>
              <w:rPr>
                <w:rFonts w:hint="eastAsia" w:ascii="宋体" w:hAnsi="宋体" w:eastAsia="宋体" w:cs="宋体"/>
                <w:i w:val="0"/>
                <w:iCs w:val="0"/>
                <w:color w:val="auto"/>
                <w:sz w:val="22"/>
                <w:szCs w:val="22"/>
                <w:highlight w:val="none"/>
                <w:u w:val="none"/>
              </w:rPr>
            </w:pPr>
          </w:p>
        </w:tc>
      </w:tr>
    </w:tbl>
    <w:p w14:paraId="03D66311">
      <w:pPr>
        <w:spacing w:line="360" w:lineRule="auto"/>
        <w:outlineLvl w:val="1"/>
        <w:rPr>
          <w:rFonts w:ascii="新宋体" w:hAnsi="新宋体" w:eastAsia="新宋体" w:cs="新宋体"/>
          <w:color w:val="auto"/>
          <w:sz w:val="22"/>
          <w:szCs w:val="22"/>
          <w:highlight w:val="none"/>
        </w:rPr>
      </w:pPr>
      <w:bookmarkStart w:id="69" w:name="_Toc32165"/>
      <w:r>
        <w:rPr>
          <w:rFonts w:hint="eastAsia" w:ascii="新宋体" w:hAnsi="新宋体" w:eastAsia="新宋体" w:cs="新宋体"/>
          <w:color w:val="auto"/>
          <w:sz w:val="22"/>
          <w:szCs w:val="22"/>
          <w:highlight w:val="none"/>
          <w:lang w:val="en-US" w:eastAsia="zh-CN"/>
        </w:rPr>
        <w:t>6</w:t>
      </w:r>
      <w:r>
        <w:rPr>
          <w:rFonts w:hint="eastAsia" w:ascii="新宋体" w:hAnsi="新宋体" w:eastAsia="新宋体" w:cs="新宋体"/>
          <w:color w:val="auto"/>
          <w:sz w:val="22"/>
          <w:szCs w:val="22"/>
          <w:highlight w:val="none"/>
        </w:rPr>
        <w:t>、备用备件要求</w:t>
      </w:r>
      <w:bookmarkEnd w:id="69"/>
    </w:p>
    <w:p w14:paraId="5DD1AA46">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根据设施建设的实际情况，投标人需有备品备件库，用于存放备品备件，确保如遇设备故障4小时内无法处理，须在6小时内提供必要的备品备件，确保设施建设正常运行。</w:t>
      </w:r>
    </w:p>
    <w:p w14:paraId="03763BBD">
      <w:pPr>
        <w:pStyle w:val="316"/>
        <w:tabs>
          <w:tab w:val="left" w:pos="420"/>
        </w:tabs>
        <w:spacing w:line="360" w:lineRule="auto"/>
        <w:ind w:firstLine="440" w:firstLineChars="200"/>
        <w:rPr>
          <w:rFonts w:hint="default" w:ascii="新宋体" w:hAnsi="新宋体" w:eastAsia="新宋体" w:cs="新宋体"/>
          <w:snapToGrid w:val="0"/>
          <w:color w:val="auto"/>
          <w:sz w:val="22"/>
          <w:szCs w:val="22"/>
          <w:highlight w:val="none"/>
        </w:rPr>
      </w:pPr>
      <w:r>
        <w:rPr>
          <w:rFonts w:hint="eastAsia" w:ascii="新宋体" w:hAnsi="新宋体" w:eastAsia="新宋体" w:cs="新宋体"/>
          <w:snapToGrid w:val="0"/>
          <w:color w:val="auto"/>
          <w:sz w:val="22"/>
          <w:szCs w:val="22"/>
          <w:highlight w:val="none"/>
          <w:lang w:eastAsia="zh-CN"/>
        </w:rPr>
        <w:t>（</w:t>
      </w:r>
      <w:r>
        <w:rPr>
          <w:rFonts w:hint="eastAsia" w:ascii="新宋体" w:hAnsi="新宋体" w:eastAsia="新宋体" w:cs="新宋体"/>
          <w:snapToGrid w:val="0"/>
          <w:color w:val="auto"/>
          <w:sz w:val="22"/>
          <w:szCs w:val="22"/>
          <w:highlight w:val="none"/>
          <w:lang w:val="en-US" w:eastAsia="zh-CN"/>
        </w:rPr>
        <w:t>2</w:t>
      </w:r>
      <w:r>
        <w:rPr>
          <w:rFonts w:hint="eastAsia" w:ascii="新宋体" w:hAnsi="新宋体" w:eastAsia="新宋体" w:cs="新宋体"/>
          <w:snapToGrid w:val="0"/>
          <w:color w:val="auto"/>
          <w:sz w:val="22"/>
          <w:szCs w:val="22"/>
          <w:highlight w:val="none"/>
          <w:lang w:eastAsia="zh-CN"/>
        </w:rPr>
        <w:t>）</w:t>
      </w:r>
      <w:r>
        <w:rPr>
          <w:rFonts w:ascii="新宋体" w:hAnsi="新宋体" w:eastAsia="新宋体" w:cs="新宋体"/>
          <w:snapToGrid w:val="0"/>
          <w:color w:val="auto"/>
          <w:sz w:val="22"/>
          <w:szCs w:val="22"/>
          <w:highlight w:val="none"/>
        </w:rPr>
        <w:t>备品备件明细表</w:t>
      </w:r>
    </w:p>
    <w:tbl>
      <w:tblPr>
        <w:tblStyle w:val="52"/>
        <w:tblpPr w:leftFromText="180" w:rightFromText="180" w:vertAnchor="text" w:horzAnchor="page" w:tblpXSpec="center" w:tblpY="100"/>
        <w:tblOverlap w:val="never"/>
        <w:tblW w:w="14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922"/>
        <w:gridCol w:w="7330"/>
        <w:gridCol w:w="782"/>
        <w:gridCol w:w="792"/>
        <w:gridCol w:w="1350"/>
      </w:tblGrid>
      <w:tr w14:paraId="72AB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7469AF27">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0" w:name="_Toc14667"/>
            <w:r>
              <w:rPr>
                <w:rFonts w:ascii="新宋体" w:hAnsi="新宋体" w:eastAsia="新宋体" w:cs="新宋体"/>
                <w:snapToGrid w:val="0"/>
                <w:color w:val="auto"/>
                <w:sz w:val="22"/>
                <w:szCs w:val="22"/>
                <w:highlight w:val="none"/>
              </w:rPr>
              <w:t>序号</w:t>
            </w:r>
            <w:bookmarkEnd w:id="70"/>
          </w:p>
        </w:tc>
        <w:tc>
          <w:tcPr>
            <w:tcW w:w="3922" w:type="dxa"/>
            <w:noWrap/>
            <w:vAlign w:val="center"/>
          </w:tcPr>
          <w:p w14:paraId="63879231">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1" w:name="_Toc8045"/>
            <w:r>
              <w:rPr>
                <w:rFonts w:ascii="新宋体" w:hAnsi="新宋体" w:eastAsia="新宋体" w:cs="新宋体"/>
                <w:snapToGrid w:val="0"/>
                <w:color w:val="auto"/>
                <w:sz w:val="22"/>
                <w:szCs w:val="22"/>
                <w:highlight w:val="none"/>
              </w:rPr>
              <w:t>名称</w:t>
            </w:r>
            <w:bookmarkEnd w:id="71"/>
          </w:p>
        </w:tc>
        <w:tc>
          <w:tcPr>
            <w:tcW w:w="7330" w:type="dxa"/>
            <w:noWrap/>
            <w:vAlign w:val="center"/>
          </w:tcPr>
          <w:p w14:paraId="22CC82C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2" w:name="_Toc16439"/>
            <w:r>
              <w:rPr>
                <w:rFonts w:ascii="新宋体" w:hAnsi="新宋体" w:eastAsia="新宋体" w:cs="新宋体"/>
                <w:color w:val="auto"/>
                <w:sz w:val="22"/>
                <w:szCs w:val="22"/>
                <w:highlight w:val="none"/>
              </w:rPr>
              <w:t>规格要求</w:t>
            </w:r>
            <w:bookmarkEnd w:id="72"/>
          </w:p>
        </w:tc>
        <w:tc>
          <w:tcPr>
            <w:tcW w:w="782" w:type="dxa"/>
            <w:noWrap/>
            <w:vAlign w:val="center"/>
          </w:tcPr>
          <w:p w14:paraId="57CFE984">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3" w:name="_Toc18676"/>
            <w:r>
              <w:rPr>
                <w:rFonts w:ascii="新宋体" w:hAnsi="新宋体" w:eastAsia="新宋体" w:cs="新宋体"/>
                <w:snapToGrid w:val="0"/>
                <w:color w:val="auto"/>
                <w:sz w:val="22"/>
                <w:szCs w:val="22"/>
                <w:highlight w:val="none"/>
              </w:rPr>
              <w:t>单位</w:t>
            </w:r>
            <w:bookmarkEnd w:id="73"/>
          </w:p>
        </w:tc>
        <w:tc>
          <w:tcPr>
            <w:tcW w:w="792" w:type="dxa"/>
            <w:noWrap/>
            <w:vAlign w:val="center"/>
          </w:tcPr>
          <w:p w14:paraId="5B5E0A1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4" w:name="_Toc32602"/>
            <w:r>
              <w:rPr>
                <w:rFonts w:ascii="新宋体" w:hAnsi="新宋体" w:eastAsia="新宋体" w:cs="新宋体"/>
                <w:snapToGrid w:val="0"/>
                <w:color w:val="auto"/>
                <w:sz w:val="22"/>
                <w:szCs w:val="22"/>
                <w:highlight w:val="none"/>
              </w:rPr>
              <w:t>数量</w:t>
            </w:r>
            <w:bookmarkEnd w:id="74"/>
          </w:p>
        </w:tc>
        <w:tc>
          <w:tcPr>
            <w:tcW w:w="1350" w:type="dxa"/>
            <w:noWrap/>
            <w:vAlign w:val="center"/>
          </w:tcPr>
          <w:p w14:paraId="5B966915">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5" w:name="_Toc29827"/>
            <w:r>
              <w:rPr>
                <w:rFonts w:ascii="新宋体" w:hAnsi="新宋体" w:eastAsia="新宋体" w:cs="新宋体"/>
                <w:snapToGrid w:val="0"/>
                <w:color w:val="auto"/>
                <w:sz w:val="22"/>
                <w:szCs w:val="22"/>
                <w:highlight w:val="none"/>
              </w:rPr>
              <w:t>备注</w:t>
            </w:r>
            <w:bookmarkEnd w:id="75"/>
          </w:p>
        </w:tc>
      </w:tr>
      <w:tr w14:paraId="77E0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42ECDA2C">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6" w:name="_Toc28012"/>
            <w:r>
              <w:rPr>
                <w:rFonts w:ascii="新宋体" w:hAnsi="新宋体" w:eastAsia="新宋体" w:cs="新宋体"/>
                <w:snapToGrid w:val="0"/>
                <w:color w:val="auto"/>
                <w:sz w:val="22"/>
                <w:szCs w:val="22"/>
                <w:highlight w:val="none"/>
              </w:rPr>
              <w:t>1</w:t>
            </w:r>
            <w:bookmarkEnd w:id="76"/>
          </w:p>
        </w:tc>
        <w:tc>
          <w:tcPr>
            <w:tcW w:w="3922" w:type="dxa"/>
            <w:noWrap/>
            <w:vAlign w:val="center"/>
          </w:tcPr>
          <w:p w14:paraId="199F0CB7">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7" w:name="_Toc21814"/>
            <w:r>
              <w:rPr>
                <w:rFonts w:ascii="新宋体" w:hAnsi="新宋体" w:eastAsia="新宋体" w:cs="新宋体"/>
                <w:color w:val="auto"/>
                <w:sz w:val="22"/>
                <w:szCs w:val="22"/>
                <w:highlight w:val="none"/>
              </w:rPr>
              <w:t>道路标志牌圆形（单位：cm）Φ80</w:t>
            </w:r>
            <w:bookmarkEnd w:id="77"/>
          </w:p>
        </w:tc>
        <w:tc>
          <w:tcPr>
            <w:tcW w:w="7330" w:type="dxa"/>
            <w:noWrap/>
            <w:vAlign w:val="center"/>
          </w:tcPr>
          <w:p w14:paraId="41673BC2">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8" w:name="_Toc21301"/>
            <w:r>
              <w:rPr>
                <w:rFonts w:ascii="新宋体" w:hAnsi="新宋体" w:eastAsia="新宋体" w:cs="新宋体"/>
                <w:color w:val="auto"/>
                <w:sz w:val="22"/>
                <w:szCs w:val="22"/>
                <w:highlight w:val="none"/>
              </w:rPr>
              <w:t>标志膜采用第IV类反光膜,并安装于指定位置，采用2.0mm厚度铝合金板。</w:t>
            </w:r>
            <w:bookmarkEnd w:id="78"/>
          </w:p>
        </w:tc>
        <w:tc>
          <w:tcPr>
            <w:tcW w:w="782" w:type="dxa"/>
            <w:noWrap/>
            <w:vAlign w:val="center"/>
          </w:tcPr>
          <w:p w14:paraId="6FF4D0F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79" w:name="_Toc29265"/>
            <w:r>
              <w:rPr>
                <w:rFonts w:ascii="新宋体" w:hAnsi="新宋体" w:eastAsia="新宋体" w:cs="新宋体"/>
                <w:snapToGrid w:val="0"/>
                <w:color w:val="auto"/>
                <w:sz w:val="22"/>
                <w:szCs w:val="22"/>
                <w:highlight w:val="none"/>
              </w:rPr>
              <w:t>块</w:t>
            </w:r>
            <w:bookmarkEnd w:id="79"/>
          </w:p>
        </w:tc>
        <w:tc>
          <w:tcPr>
            <w:tcW w:w="792" w:type="dxa"/>
            <w:noWrap/>
            <w:vAlign w:val="center"/>
          </w:tcPr>
          <w:p w14:paraId="142C638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80" w:name="_Toc24094"/>
            <w:r>
              <w:rPr>
                <w:rFonts w:ascii="新宋体" w:hAnsi="新宋体" w:eastAsia="新宋体" w:cs="新宋体"/>
                <w:snapToGrid w:val="0"/>
                <w:color w:val="auto"/>
                <w:sz w:val="22"/>
                <w:szCs w:val="22"/>
                <w:highlight w:val="none"/>
              </w:rPr>
              <w:t>30</w:t>
            </w:r>
            <w:bookmarkEnd w:id="80"/>
          </w:p>
        </w:tc>
        <w:tc>
          <w:tcPr>
            <w:tcW w:w="1350" w:type="dxa"/>
            <w:noWrap/>
            <w:vAlign w:val="center"/>
          </w:tcPr>
          <w:p w14:paraId="013EE48A">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5EF8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1C4A723A">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81" w:name="_Toc16902"/>
            <w:r>
              <w:rPr>
                <w:rFonts w:ascii="新宋体" w:hAnsi="新宋体" w:eastAsia="新宋体" w:cs="新宋体"/>
                <w:snapToGrid w:val="0"/>
                <w:color w:val="auto"/>
                <w:sz w:val="22"/>
                <w:szCs w:val="22"/>
                <w:highlight w:val="none"/>
              </w:rPr>
              <w:t>2</w:t>
            </w:r>
            <w:bookmarkEnd w:id="81"/>
          </w:p>
        </w:tc>
        <w:tc>
          <w:tcPr>
            <w:tcW w:w="3922" w:type="dxa"/>
            <w:noWrap/>
            <w:vAlign w:val="center"/>
          </w:tcPr>
          <w:p w14:paraId="63C1B8C4">
            <w:pPr>
              <w:spacing w:line="360" w:lineRule="auto"/>
              <w:jc w:val="center"/>
              <w:outlineLvl w:val="1"/>
              <w:rPr>
                <w:rFonts w:ascii="新宋体" w:hAnsi="新宋体" w:eastAsia="新宋体" w:cs="新宋体"/>
                <w:snapToGrid w:val="0"/>
                <w:color w:val="auto"/>
                <w:sz w:val="22"/>
                <w:szCs w:val="22"/>
                <w:highlight w:val="none"/>
              </w:rPr>
            </w:pPr>
            <w:bookmarkStart w:id="82" w:name="_Toc22616"/>
            <w:r>
              <w:rPr>
                <w:rFonts w:hint="eastAsia" w:ascii="新宋体" w:hAnsi="新宋体" w:eastAsia="新宋体" w:cs="新宋体"/>
                <w:color w:val="auto"/>
                <w:kern w:val="0"/>
                <w:sz w:val="22"/>
                <w:szCs w:val="22"/>
                <w:highlight w:val="none"/>
              </w:rPr>
              <w:t>道路标志牌圆形（单位：cm）Φ100</w:t>
            </w:r>
            <w:bookmarkEnd w:id="82"/>
          </w:p>
        </w:tc>
        <w:tc>
          <w:tcPr>
            <w:tcW w:w="7330" w:type="dxa"/>
            <w:noWrap/>
            <w:vAlign w:val="center"/>
          </w:tcPr>
          <w:p w14:paraId="5F5E4DDA">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83" w:name="_Toc26489"/>
            <w:r>
              <w:rPr>
                <w:rFonts w:ascii="新宋体" w:hAnsi="新宋体" w:eastAsia="新宋体" w:cs="新宋体"/>
                <w:color w:val="auto"/>
                <w:sz w:val="22"/>
                <w:szCs w:val="22"/>
                <w:highlight w:val="none"/>
              </w:rPr>
              <w:t>标志膜采用第IV类反光膜,并安装于指定位置，采用2.0mm厚度铝合金板。</w:t>
            </w:r>
            <w:bookmarkEnd w:id="83"/>
          </w:p>
        </w:tc>
        <w:tc>
          <w:tcPr>
            <w:tcW w:w="782" w:type="dxa"/>
            <w:noWrap/>
            <w:vAlign w:val="center"/>
          </w:tcPr>
          <w:p w14:paraId="16BA7E16">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84" w:name="_Toc15168"/>
            <w:r>
              <w:rPr>
                <w:rFonts w:ascii="新宋体" w:hAnsi="新宋体" w:eastAsia="新宋体" w:cs="新宋体"/>
                <w:snapToGrid w:val="0"/>
                <w:color w:val="auto"/>
                <w:sz w:val="22"/>
                <w:szCs w:val="22"/>
                <w:highlight w:val="none"/>
              </w:rPr>
              <w:t>块</w:t>
            </w:r>
            <w:bookmarkEnd w:id="84"/>
          </w:p>
        </w:tc>
        <w:tc>
          <w:tcPr>
            <w:tcW w:w="792" w:type="dxa"/>
            <w:noWrap/>
            <w:vAlign w:val="center"/>
          </w:tcPr>
          <w:p w14:paraId="057E14C7">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85" w:name="_Toc5658"/>
            <w:r>
              <w:rPr>
                <w:rFonts w:ascii="新宋体" w:hAnsi="新宋体" w:eastAsia="新宋体" w:cs="新宋体"/>
                <w:snapToGrid w:val="0"/>
                <w:color w:val="auto"/>
                <w:sz w:val="22"/>
                <w:szCs w:val="22"/>
                <w:highlight w:val="none"/>
              </w:rPr>
              <w:t>20</w:t>
            </w:r>
            <w:bookmarkEnd w:id="85"/>
          </w:p>
        </w:tc>
        <w:tc>
          <w:tcPr>
            <w:tcW w:w="1350" w:type="dxa"/>
            <w:noWrap/>
            <w:vAlign w:val="center"/>
          </w:tcPr>
          <w:p w14:paraId="7A229653">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6EA5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421E824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86" w:name="_Toc13805"/>
            <w:r>
              <w:rPr>
                <w:rFonts w:ascii="新宋体" w:hAnsi="新宋体" w:eastAsia="新宋体" w:cs="新宋体"/>
                <w:snapToGrid w:val="0"/>
                <w:color w:val="auto"/>
                <w:sz w:val="22"/>
                <w:szCs w:val="22"/>
                <w:highlight w:val="none"/>
              </w:rPr>
              <w:t>3</w:t>
            </w:r>
            <w:bookmarkEnd w:id="86"/>
          </w:p>
        </w:tc>
        <w:tc>
          <w:tcPr>
            <w:tcW w:w="3922" w:type="dxa"/>
            <w:noWrap/>
            <w:vAlign w:val="center"/>
          </w:tcPr>
          <w:p w14:paraId="2D497EA0">
            <w:pPr>
              <w:spacing w:line="360" w:lineRule="auto"/>
              <w:jc w:val="center"/>
              <w:outlineLvl w:val="1"/>
              <w:rPr>
                <w:rFonts w:ascii="新宋体" w:hAnsi="新宋体" w:eastAsia="新宋体" w:cs="新宋体"/>
                <w:snapToGrid w:val="0"/>
                <w:color w:val="auto"/>
                <w:sz w:val="22"/>
                <w:szCs w:val="22"/>
                <w:highlight w:val="none"/>
              </w:rPr>
            </w:pPr>
            <w:bookmarkStart w:id="87" w:name="_Toc27779"/>
            <w:r>
              <w:rPr>
                <w:rFonts w:hint="eastAsia" w:ascii="新宋体" w:hAnsi="新宋体" w:eastAsia="新宋体" w:cs="新宋体"/>
                <w:color w:val="auto"/>
                <w:kern w:val="0"/>
                <w:sz w:val="22"/>
                <w:szCs w:val="22"/>
                <w:highlight w:val="none"/>
              </w:rPr>
              <w:t>道路标志牌1.2至3m²</w:t>
            </w:r>
            <w:bookmarkEnd w:id="87"/>
          </w:p>
        </w:tc>
        <w:tc>
          <w:tcPr>
            <w:tcW w:w="7330" w:type="dxa"/>
            <w:noWrap/>
            <w:vAlign w:val="center"/>
          </w:tcPr>
          <w:p w14:paraId="7FBD8B6D">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88" w:name="_Toc20737"/>
            <w:r>
              <w:rPr>
                <w:rFonts w:ascii="新宋体" w:hAnsi="新宋体" w:eastAsia="新宋体" w:cs="新宋体"/>
                <w:color w:val="auto"/>
                <w:sz w:val="22"/>
                <w:szCs w:val="22"/>
                <w:highlight w:val="none"/>
              </w:rPr>
              <w:t>标志膜采用第IV类反光膜,并安装于指定位置，采用3.0mm厚度铝合金板。</w:t>
            </w:r>
            <w:bookmarkEnd w:id="88"/>
          </w:p>
        </w:tc>
        <w:tc>
          <w:tcPr>
            <w:tcW w:w="782" w:type="dxa"/>
            <w:noWrap/>
            <w:vAlign w:val="center"/>
          </w:tcPr>
          <w:p w14:paraId="2756BEE6">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89" w:name="_Toc27511"/>
            <w:r>
              <w:rPr>
                <w:rFonts w:ascii="新宋体" w:hAnsi="新宋体" w:eastAsia="新宋体" w:cs="新宋体"/>
                <w:snapToGrid w:val="0"/>
                <w:color w:val="auto"/>
                <w:sz w:val="22"/>
                <w:szCs w:val="22"/>
                <w:highlight w:val="none"/>
              </w:rPr>
              <w:t>块</w:t>
            </w:r>
            <w:bookmarkEnd w:id="89"/>
          </w:p>
        </w:tc>
        <w:tc>
          <w:tcPr>
            <w:tcW w:w="792" w:type="dxa"/>
            <w:noWrap/>
            <w:vAlign w:val="center"/>
          </w:tcPr>
          <w:p w14:paraId="6174DB90">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90" w:name="_Toc25143"/>
            <w:r>
              <w:rPr>
                <w:rFonts w:ascii="新宋体" w:hAnsi="新宋体" w:eastAsia="新宋体" w:cs="新宋体"/>
                <w:snapToGrid w:val="0"/>
                <w:color w:val="auto"/>
                <w:sz w:val="22"/>
                <w:szCs w:val="22"/>
                <w:highlight w:val="none"/>
              </w:rPr>
              <w:t>20</w:t>
            </w:r>
            <w:bookmarkEnd w:id="90"/>
          </w:p>
        </w:tc>
        <w:tc>
          <w:tcPr>
            <w:tcW w:w="1350" w:type="dxa"/>
            <w:noWrap/>
            <w:vAlign w:val="center"/>
          </w:tcPr>
          <w:p w14:paraId="17CA3F28">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60CA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059F4251">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91" w:name="_Toc4541"/>
            <w:r>
              <w:rPr>
                <w:rFonts w:ascii="新宋体" w:hAnsi="新宋体" w:eastAsia="新宋体" w:cs="新宋体"/>
                <w:snapToGrid w:val="0"/>
                <w:color w:val="auto"/>
                <w:sz w:val="22"/>
                <w:szCs w:val="22"/>
                <w:highlight w:val="none"/>
              </w:rPr>
              <w:t>4</w:t>
            </w:r>
            <w:bookmarkEnd w:id="91"/>
          </w:p>
        </w:tc>
        <w:tc>
          <w:tcPr>
            <w:tcW w:w="3922" w:type="dxa"/>
            <w:noWrap/>
            <w:vAlign w:val="center"/>
          </w:tcPr>
          <w:p w14:paraId="7B056432">
            <w:pPr>
              <w:spacing w:line="360" w:lineRule="auto"/>
              <w:jc w:val="center"/>
              <w:outlineLvl w:val="1"/>
              <w:rPr>
                <w:rFonts w:ascii="新宋体" w:hAnsi="新宋体" w:eastAsia="新宋体" w:cs="新宋体"/>
                <w:color w:val="auto"/>
                <w:kern w:val="0"/>
                <w:sz w:val="22"/>
                <w:szCs w:val="22"/>
                <w:highlight w:val="none"/>
              </w:rPr>
            </w:pPr>
            <w:bookmarkStart w:id="92" w:name="_Toc21837"/>
            <w:r>
              <w:rPr>
                <w:rFonts w:hint="eastAsia" w:ascii="新宋体" w:hAnsi="新宋体" w:eastAsia="新宋体" w:cs="新宋体"/>
                <w:color w:val="auto"/>
                <w:kern w:val="0"/>
                <w:sz w:val="22"/>
                <w:szCs w:val="22"/>
                <w:highlight w:val="none"/>
              </w:rPr>
              <w:t>道路标志牌1.2至3m²</w:t>
            </w:r>
            <w:bookmarkEnd w:id="92"/>
          </w:p>
        </w:tc>
        <w:tc>
          <w:tcPr>
            <w:tcW w:w="7330" w:type="dxa"/>
            <w:noWrap/>
            <w:vAlign w:val="center"/>
          </w:tcPr>
          <w:p w14:paraId="7BAF4627">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93" w:name="_Toc11237"/>
            <w:r>
              <w:rPr>
                <w:rFonts w:ascii="新宋体" w:hAnsi="新宋体" w:eastAsia="新宋体" w:cs="新宋体"/>
                <w:color w:val="auto"/>
                <w:sz w:val="22"/>
                <w:szCs w:val="22"/>
                <w:highlight w:val="none"/>
              </w:rPr>
              <w:t>标志膜采用第V类反光膜,并安装于指定位置，采用3.0mm厚度铝合金板。</w:t>
            </w:r>
            <w:bookmarkEnd w:id="93"/>
          </w:p>
        </w:tc>
        <w:tc>
          <w:tcPr>
            <w:tcW w:w="782" w:type="dxa"/>
            <w:noWrap/>
            <w:vAlign w:val="center"/>
          </w:tcPr>
          <w:p w14:paraId="77B982D6">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94" w:name="_Toc15664"/>
            <w:r>
              <w:rPr>
                <w:rFonts w:ascii="新宋体" w:hAnsi="新宋体" w:eastAsia="新宋体" w:cs="新宋体"/>
                <w:snapToGrid w:val="0"/>
                <w:color w:val="auto"/>
                <w:sz w:val="22"/>
                <w:szCs w:val="22"/>
                <w:highlight w:val="none"/>
              </w:rPr>
              <w:t>块</w:t>
            </w:r>
            <w:bookmarkEnd w:id="94"/>
          </w:p>
        </w:tc>
        <w:tc>
          <w:tcPr>
            <w:tcW w:w="792" w:type="dxa"/>
            <w:noWrap/>
            <w:vAlign w:val="center"/>
          </w:tcPr>
          <w:p w14:paraId="4C4B16A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95" w:name="_Toc8005"/>
            <w:r>
              <w:rPr>
                <w:rFonts w:ascii="新宋体" w:hAnsi="新宋体" w:eastAsia="新宋体" w:cs="新宋体"/>
                <w:snapToGrid w:val="0"/>
                <w:color w:val="auto"/>
                <w:sz w:val="22"/>
                <w:szCs w:val="22"/>
                <w:highlight w:val="none"/>
              </w:rPr>
              <w:t>10</w:t>
            </w:r>
            <w:bookmarkEnd w:id="95"/>
          </w:p>
        </w:tc>
        <w:tc>
          <w:tcPr>
            <w:tcW w:w="1350" w:type="dxa"/>
            <w:noWrap/>
            <w:vAlign w:val="center"/>
          </w:tcPr>
          <w:p w14:paraId="5F4B770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57FD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117AC553">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96" w:name="_Toc30615"/>
            <w:r>
              <w:rPr>
                <w:rFonts w:ascii="新宋体" w:hAnsi="新宋体" w:eastAsia="新宋体" w:cs="新宋体"/>
                <w:snapToGrid w:val="0"/>
                <w:color w:val="auto"/>
                <w:sz w:val="22"/>
                <w:szCs w:val="22"/>
                <w:highlight w:val="none"/>
              </w:rPr>
              <w:t>5</w:t>
            </w:r>
            <w:bookmarkEnd w:id="96"/>
          </w:p>
        </w:tc>
        <w:tc>
          <w:tcPr>
            <w:tcW w:w="3922" w:type="dxa"/>
            <w:noWrap/>
            <w:vAlign w:val="center"/>
          </w:tcPr>
          <w:p w14:paraId="6160E3EA">
            <w:pPr>
              <w:spacing w:line="360" w:lineRule="auto"/>
              <w:jc w:val="center"/>
              <w:outlineLvl w:val="1"/>
              <w:rPr>
                <w:rFonts w:ascii="新宋体" w:hAnsi="新宋体" w:eastAsia="新宋体" w:cs="新宋体"/>
                <w:color w:val="auto"/>
                <w:kern w:val="0"/>
                <w:sz w:val="22"/>
                <w:szCs w:val="22"/>
                <w:highlight w:val="none"/>
              </w:rPr>
            </w:pPr>
            <w:bookmarkStart w:id="97" w:name="_Toc29089"/>
            <w:r>
              <w:rPr>
                <w:rFonts w:hint="eastAsia" w:ascii="新宋体" w:hAnsi="新宋体" w:eastAsia="新宋体" w:cs="新宋体"/>
                <w:color w:val="auto"/>
                <w:kern w:val="0"/>
                <w:sz w:val="22"/>
                <w:szCs w:val="22"/>
                <w:highlight w:val="none"/>
              </w:rPr>
              <w:t>钢支架</w:t>
            </w:r>
            <w:bookmarkEnd w:id="97"/>
          </w:p>
        </w:tc>
        <w:tc>
          <w:tcPr>
            <w:tcW w:w="7330" w:type="dxa"/>
            <w:noWrap/>
            <w:vAlign w:val="center"/>
          </w:tcPr>
          <w:p w14:paraId="41D0DFE4">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98" w:name="_Toc15985"/>
            <w:r>
              <w:rPr>
                <w:rFonts w:ascii="新宋体" w:hAnsi="新宋体" w:eastAsia="新宋体" w:cs="新宋体"/>
                <w:color w:val="auto"/>
                <w:sz w:val="22"/>
                <w:szCs w:val="22"/>
                <w:highlight w:val="none"/>
              </w:rPr>
              <w:t>钢制活动支架，用以直接设置在路上，并安装于指定位置</w:t>
            </w:r>
            <w:bookmarkEnd w:id="98"/>
          </w:p>
        </w:tc>
        <w:tc>
          <w:tcPr>
            <w:tcW w:w="782" w:type="dxa"/>
            <w:noWrap/>
            <w:vAlign w:val="center"/>
          </w:tcPr>
          <w:p w14:paraId="5BF91DF6">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99" w:name="_Toc7012"/>
            <w:r>
              <w:rPr>
                <w:rFonts w:ascii="新宋体" w:hAnsi="新宋体" w:eastAsia="新宋体" w:cs="新宋体"/>
                <w:color w:val="auto"/>
                <w:sz w:val="22"/>
                <w:szCs w:val="22"/>
                <w:highlight w:val="none"/>
              </w:rPr>
              <w:t>t</w:t>
            </w:r>
            <w:bookmarkEnd w:id="99"/>
          </w:p>
        </w:tc>
        <w:tc>
          <w:tcPr>
            <w:tcW w:w="792" w:type="dxa"/>
            <w:noWrap/>
            <w:vAlign w:val="center"/>
          </w:tcPr>
          <w:p w14:paraId="19810C95">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00" w:name="_Toc7638"/>
            <w:r>
              <w:rPr>
                <w:rFonts w:ascii="新宋体" w:hAnsi="新宋体" w:eastAsia="新宋体" w:cs="新宋体"/>
                <w:snapToGrid w:val="0"/>
                <w:color w:val="auto"/>
                <w:sz w:val="22"/>
                <w:szCs w:val="22"/>
                <w:highlight w:val="none"/>
              </w:rPr>
              <w:t>0.2</w:t>
            </w:r>
            <w:bookmarkEnd w:id="100"/>
          </w:p>
        </w:tc>
        <w:tc>
          <w:tcPr>
            <w:tcW w:w="1350" w:type="dxa"/>
            <w:noWrap/>
            <w:vAlign w:val="center"/>
          </w:tcPr>
          <w:p w14:paraId="11385DD5">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49CB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4769DA82">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01" w:name="_Toc24659"/>
            <w:r>
              <w:rPr>
                <w:rFonts w:ascii="新宋体" w:hAnsi="新宋体" w:eastAsia="新宋体" w:cs="新宋体"/>
                <w:snapToGrid w:val="0"/>
                <w:color w:val="auto"/>
                <w:sz w:val="22"/>
                <w:szCs w:val="22"/>
                <w:highlight w:val="none"/>
              </w:rPr>
              <w:t>6</w:t>
            </w:r>
            <w:bookmarkEnd w:id="101"/>
          </w:p>
        </w:tc>
        <w:tc>
          <w:tcPr>
            <w:tcW w:w="3922" w:type="dxa"/>
            <w:noWrap/>
            <w:vAlign w:val="center"/>
          </w:tcPr>
          <w:p w14:paraId="790A436D">
            <w:pPr>
              <w:spacing w:line="360" w:lineRule="auto"/>
              <w:jc w:val="center"/>
              <w:outlineLvl w:val="1"/>
              <w:rPr>
                <w:rFonts w:ascii="新宋体" w:hAnsi="新宋体" w:eastAsia="新宋体" w:cs="新宋体"/>
                <w:color w:val="auto"/>
                <w:kern w:val="0"/>
                <w:sz w:val="22"/>
                <w:szCs w:val="22"/>
                <w:highlight w:val="none"/>
              </w:rPr>
            </w:pPr>
            <w:bookmarkStart w:id="102" w:name="_Toc14931"/>
            <w:r>
              <w:rPr>
                <w:rFonts w:hint="eastAsia" w:ascii="新宋体" w:hAnsi="新宋体" w:eastAsia="新宋体" w:cs="新宋体"/>
                <w:color w:val="auto"/>
                <w:kern w:val="0"/>
                <w:sz w:val="22"/>
                <w:szCs w:val="22"/>
                <w:highlight w:val="none"/>
              </w:rPr>
              <w:t>Ф114H1米反光柱</w:t>
            </w:r>
            <w:bookmarkEnd w:id="102"/>
          </w:p>
        </w:tc>
        <w:tc>
          <w:tcPr>
            <w:tcW w:w="7330" w:type="dxa"/>
            <w:noWrap/>
            <w:vAlign w:val="center"/>
          </w:tcPr>
          <w:p w14:paraId="6B539D33">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p>
        </w:tc>
        <w:tc>
          <w:tcPr>
            <w:tcW w:w="782" w:type="dxa"/>
            <w:noWrap/>
            <w:vAlign w:val="center"/>
          </w:tcPr>
          <w:p w14:paraId="138F95ED">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03" w:name="_Toc2845"/>
            <w:r>
              <w:rPr>
                <w:rFonts w:ascii="新宋体" w:hAnsi="新宋体" w:eastAsia="新宋体" w:cs="新宋体"/>
                <w:color w:val="auto"/>
                <w:sz w:val="22"/>
                <w:szCs w:val="22"/>
                <w:highlight w:val="none"/>
              </w:rPr>
              <w:t>条</w:t>
            </w:r>
            <w:bookmarkEnd w:id="103"/>
          </w:p>
        </w:tc>
        <w:tc>
          <w:tcPr>
            <w:tcW w:w="792" w:type="dxa"/>
            <w:noWrap/>
            <w:vAlign w:val="center"/>
          </w:tcPr>
          <w:p w14:paraId="68B83372">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04" w:name="_Toc29389"/>
            <w:r>
              <w:rPr>
                <w:rFonts w:ascii="新宋体" w:hAnsi="新宋体" w:eastAsia="新宋体" w:cs="新宋体"/>
                <w:snapToGrid w:val="0"/>
                <w:color w:val="auto"/>
                <w:sz w:val="22"/>
                <w:szCs w:val="22"/>
                <w:highlight w:val="none"/>
              </w:rPr>
              <w:t>30</w:t>
            </w:r>
            <w:bookmarkEnd w:id="104"/>
          </w:p>
        </w:tc>
        <w:tc>
          <w:tcPr>
            <w:tcW w:w="1350" w:type="dxa"/>
            <w:noWrap/>
            <w:vAlign w:val="center"/>
          </w:tcPr>
          <w:p w14:paraId="3DBD0F8E">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64A8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4B525C56">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05" w:name="_Toc2623"/>
            <w:r>
              <w:rPr>
                <w:rFonts w:ascii="新宋体" w:hAnsi="新宋体" w:eastAsia="新宋体" w:cs="新宋体"/>
                <w:snapToGrid w:val="0"/>
                <w:color w:val="auto"/>
                <w:sz w:val="22"/>
                <w:szCs w:val="22"/>
                <w:highlight w:val="none"/>
              </w:rPr>
              <w:t>7</w:t>
            </w:r>
            <w:bookmarkEnd w:id="105"/>
          </w:p>
        </w:tc>
        <w:tc>
          <w:tcPr>
            <w:tcW w:w="3922" w:type="dxa"/>
            <w:noWrap/>
            <w:vAlign w:val="center"/>
          </w:tcPr>
          <w:p w14:paraId="30B85BF3">
            <w:pPr>
              <w:spacing w:line="360" w:lineRule="auto"/>
              <w:jc w:val="center"/>
              <w:outlineLvl w:val="1"/>
              <w:rPr>
                <w:rFonts w:ascii="新宋体" w:hAnsi="新宋体" w:eastAsia="新宋体" w:cs="新宋体"/>
                <w:color w:val="auto"/>
                <w:kern w:val="0"/>
                <w:sz w:val="22"/>
                <w:szCs w:val="22"/>
                <w:highlight w:val="none"/>
              </w:rPr>
            </w:pPr>
            <w:bookmarkStart w:id="106" w:name="_Toc596"/>
            <w:r>
              <w:rPr>
                <w:rFonts w:hint="eastAsia" w:ascii="新宋体" w:hAnsi="新宋体" w:eastAsia="新宋体" w:cs="新宋体"/>
                <w:color w:val="auto"/>
                <w:kern w:val="0"/>
                <w:sz w:val="22"/>
                <w:szCs w:val="22"/>
                <w:highlight w:val="none"/>
              </w:rPr>
              <w:t>Ф114H3.5米立杆</w:t>
            </w:r>
            <w:bookmarkEnd w:id="106"/>
          </w:p>
        </w:tc>
        <w:tc>
          <w:tcPr>
            <w:tcW w:w="7330" w:type="dxa"/>
            <w:noWrap/>
            <w:vAlign w:val="center"/>
          </w:tcPr>
          <w:p w14:paraId="2B43AFC2">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p>
        </w:tc>
        <w:tc>
          <w:tcPr>
            <w:tcW w:w="782" w:type="dxa"/>
            <w:noWrap/>
            <w:vAlign w:val="center"/>
          </w:tcPr>
          <w:p w14:paraId="636A2F1A">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07" w:name="_Toc8454"/>
            <w:r>
              <w:rPr>
                <w:rFonts w:ascii="新宋体" w:hAnsi="新宋体" w:eastAsia="新宋体" w:cs="新宋体"/>
                <w:color w:val="auto"/>
                <w:sz w:val="22"/>
                <w:szCs w:val="22"/>
                <w:highlight w:val="none"/>
              </w:rPr>
              <w:t>条</w:t>
            </w:r>
            <w:bookmarkEnd w:id="107"/>
          </w:p>
        </w:tc>
        <w:tc>
          <w:tcPr>
            <w:tcW w:w="792" w:type="dxa"/>
            <w:noWrap/>
            <w:vAlign w:val="center"/>
          </w:tcPr>
          <w:p w14:paraId="1360D0B3">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08" w:name="_Toc10640"/>
            <w:r>
              <w:rPr>
                <w:rFonts w:ascii="新宋体" w:hAnsi="新宋体" w:eastAsia="新宋体" w:cs="新宋体"/>
                <w:snapToGrid w:val="0"/>
                <w:color w:val="auto"/>
                <w:sz w:val="22"/>
                <w:szCs w:val="22"/>
                <w:highlight w:val="none"/>
              </w:rPr>
              <w:t>15</w:t>
            </w:r>
            <w:bookmarkEnd w:id="108"/>
          </w:p>
        </w:tc>
        <w:tc>
          <w:tcPr>
            <w:tcW w:w="1350" w:type="dxa"/>
            <w:noWrap/>
            <w:vAlign w:val="center"/>
          </w:tcPr>
          <w:p w14:paraId="5ECA4D34">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2888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614D4AF5">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09" w:name="_Toc13759"/>
            <w:r>
              <w:rPr>
                <w:rFonts w:ascii="新宋体" w:hAnsi="新宋体" w:eastAsia="新宋体" w:cs="新宋体"/>
                <w:snapToGrid w:val="0"/>
                <w:color w:val="auto"/>
                <w:sz w:val="22"/>
                <w:szCs w:val="22"/>
                <w:highlight w:val="none"/>
              </w:rPr>
              <w:t>8</w:t>
            </w:r>
            <w:bookmarkEnd w:id="109"/>
          </w:p>
        </w:tc>
        <w:tc>
          <w:tcPr>
            <w:tcW w:w="3922" w:type="dxa"/>
            <w:noWrap/>
            <w:vAlign w:val="center"/>
          </w:tcPr>
          <w:p w14:paraId="40C691FB">
            <w:pPr>
              <w:spacing w:line="360" w:lineRule="auto"/>
              <w:jc w:val="center"/>
              <w:outlineLvl w:val="1"/>
              <w:rPr>
                <w:rFonts w:ascii="新宋体" w:hAnsi="新宋体" w:eastAsia="新宋体" w:cs="新宋体"/>
                <w:color w:val="auto"/>
                <w:kern w:val="0"/>
                <w:sz w:val="22"/>
                <w:szCs w:val="22"/>
                <w:highlight w:val="none"/>
              </w:rPr>
            </w:pPr>
            <w:bookmarkStart w:id="110" w:name="_Toc25788"/>
            <w:r>
              <w:rPr>
                <w:rFonts w:hint="eastAsia" w:ascii="新宋体" w:hAnsi="新宋体" w:eastAsia="新宋体" w:cs="新宋体"/>
                <w:color w:val="auto"/>
                <w:kern w:val="0"/>
                <w:sz w:val="22"/>
                <w:szCs w:val="22"/>
                <w:highlight w:val="none"/>
              </w:rPr>
              <w:t>Ф114H4.5米立杆</w:t>
            </w:r>
            <w:bookmarkEnd w:id="110"/>
          </w:p>
        </w:tc>
        <w:tc>
          <w:tcPr>
            <w:tcW w:w="7330" w:type="dxa"/>
            <w:noWrap/>
            <w:vAlign w:val="center"/>
          </w:tcPr>
          <w:p w14:paraId="7423C1FD">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p>
        </w:tc>
        <w:tc>
          <w:tcPr>
            <w:tcW w:w="782" w:type="dxa"/>
            <w:noWrap/>
            <w:vAlign w:val="center"/>
          </w:tcPr>
          <w:p w14:paraId="635DF8D4">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11" w:name="_Toc20055"/>
            <w:r>
              <w:rPr>
                <w:rFonts w:ascii="新宋体" w:hAnsi="新宋体" w:eastAsia="新宋体" w:cs="新宋体"/>
                <w:color w:val="auto"/>
                <w:sz w:val="22"/>
                <w:szCs w:val="22"/>
                <w:highlight w:val="none"/>
              </w:rPr>
              <w:t>条</w:t>
            </w:r>
            <w:bookmarkEnd w:id="111"/>
          </w:p>
        </w:tc>
        <w:tc>
          <w:tcPr>
            <w:tcW w:w="792" w:type="dxa"/>
            <w:noWrap/>
            <w:vAlign w:val="center"/>
          </w:tcPr>
          <w:p w14:paraId="6F32190F">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12" w:name="_Toc6724"/>
            <w:r>
              <w:rPr>
                <w:rFonts w:ascii="新宋体" w:hAnsi="新宋体" w:eastAsia="新宋体" w:cs="新宋体"/>
                <w:snapToGrid w:val="0"/>
                <w:color w:val="auto"/>
                <w:sz w:val="22"/>
                <w:szCs w:val="22"/>
                <w:highlight w:val="none"/>
              </w:rPr>
              <w:t>20</w:t>
            </w:r>
            <w:bookmarkEnd w:id="112"/>
          </w:p>
        </w:tc>
        <w:tc>
          <w:tcPr>
            <w:tcW w:w="1350" w:type="dxa"/>
            <w:noWrap/>
            <w:vAlign w:val="center"/>
          </w:tcPr>
          <w:p w14:paraId="32AB6AA3">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6A38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673A361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13" w:name="_Toc5873"/>
            <w:r>
              <w:rPr>
                <w:rFonts w:ascii="新宋体" w:hAnsi="新宋体" w:eastAsia="新宋体" w:cs="新宋体"/>
                <w:snapToGrid w:val="0"/>
                <w:color w:val="auto"/>
                <w:sz w:val="22"/>
                <w:szCs w:val="22"/>
                <w:highlight w:val="none"/>
              </w:rPr>
              <w:t>9</w:t>
            </w:r>
            <w:bookmarkEnd w:id="113"/>
          </w:p>
        </w:tc>
        <w:tc>
          <w:tcPr>
            <w:tcW w:w="3922" w:type="dxa"/>
            <w:noWrap/>
            <w:vAlign w:val="center"/>
          </w:tcPr>
          <w:p w14:paraId="601E260A">
            <w:pPr>
              <w:spacing w:line="360" w:lineRule="auto"/>
              <w:jc w:val="center"/>
              <w:outlineLvl w:val="1"/>
              <w:rPr>
                <w:rFonts w:ascii="新宋体" w:hAnsi="新宋体" w:eastAsia="新宋体" w:cs="新宋体"/>
                <w:color w:val="auto"/>
                <w:kern w:val="0"/>
                <w:sz w:val="22"/>
                <w:szCs w:val="22"/>
                <w:highlight w:val="none"/>
              </w:rPr>
            </w:pPr>
            <w:bookmarkStart w:id="114" w:name="_Toc20352"/>
            <w:r>
              <w:rPr>
                <w:rFonts w:hint="eastAsia" w:ascii="新宋体" w:hAnsi="新宋体" w:eastAsia="新宋体" w:cs="新宋体"/>
                <w:color w:val="auto"/>
                <w:kern w:val="0"/>
                <w:sz w:val="22"/>
                <w:szCs w:val="22"/>
                <w:highlight w:val="none"/>
              </w:rPr>
              <w:t>Ф114H3.3米带底盘立杆</w:t>
            </w:r>
            <w:bookmarkEnd w:id="114"/>
          </w:p>
        </w:tc>
        <w:tc>
          <w:tcPr>
            <w:tcW w:w="7330" w:type="dxa"/>
            <w:noWrap/>
            <w:vAlign w:val="center"/>
          </w:tcPr>
          <w:p w14:paraId="21AA65B0">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p>
        </w:tc>
        <w:tc>
          <w:tcPr>
            <w:tcW w:w="782" w:type="dxa"/>
            <w:noWrap/>
            <w:vAlign w:val="center"/>
          </w:tcPr>
          <w:p w14:paraId="5845E0B8">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15" w:name="_Toc27201"/>
            <w:r>
              <w:rPr>
                <w:rFonts w:ascii="新宋体" w:hAnsi="新宋体" w:eastAsia="新宋体" w:cs="新宋体"/>
                <w:color w:val="auto"/>
                <w:sz w:val="22"/>
                <w:szCs w:val="22"/>
                <w:highlight w:val="none"/>
              </w:rPr>
              <w:t>条</w:t>
            </w:r>
            <w:bookmarkEnd w:id="115"/>
          </w:p>
        </w:tc>
        <w:tc>
          <w:tcPr>
            <w:tcW w:w="792" w:type="dxa"/>
            <w:noWrap/>
            <w:vAlign w:val="center"/>
          </w:tcPr>
          <w:p w14:paraId="2011C96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16" w:name="_Toc7206"/>
            <w:r>
              <w:rPr>
                <w:rFonts w:ascii="新宋体" w:hAnsi="新宋体" w:eastAsia="新宋体" w:cs="新宋体"/>
                <w:snapToGrid w:val="0"/>
                <w:color w:val="auto"/>
                <w:sz w:val="22"/>
                <w:szCs w:val="22"/>
                <w:highlight w:val="none"/>
              </w:rPr>
              <w:t>10</w:t>
            </w:r>
            <w:bookmarkEnd w:id="116"/>
          </w:p>
        </w:tc>
        <w:tc>
          <w:tcPr>
            <w:tcW w:w="1350" w:type="dxa"/>
            <w:noWrap/>
            <w:vAlign w:val="center"/>
          </w:tcPr>
          <w:p w14:paraId="7797FA4B">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5B8C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2BCB75C8">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17" w:name="_Toc20909"/>
            <w:r>
              <w:rPr>
                <w:rFonts w:ascii="新宋体" w:hAnsi="新宋体" w:eastAsia="新宋体" w:cs="新宋体"/>
                <w:snapToGrid w:val="0"/>
                <w:color w:val="auto"/>
                <w:sz w:val="22"/>
                <w:szCs w:val="22"/>
                <w:highlight w:val="none"/>
              </w:rPr>
              <w:t>10</w:t>
            </w:r>
            <w:bookmarkEnd w:id="117"/>
          </w:p>
        </w:tc>
        <w:tc>
          <w:tcPr>
            <w:tcW w:w="3922" w:type="dxa"/>
            <w:noWrap/>
            <w:vAlign w:val="center"/>
          </w:tcPr>
          <w:p w14:paraId="365135CA">
            <w:pPr>
              <w:spacing w:line="360" w:lineRule="auto"/>
              <w:jc w:val="center"/>
              <w:outlineLvl w:val="1"/>
              <w:rPr>
                <w:rFonts w:ascii="新宋体" w:hAnsi="新宋体" w:eastAsia="新宋体" w:cs="新宋体"/>
                <w:color w:val="auto"/>
                <w:kern w:val="0"/>
                <w:sz w:val="22"/>
                <w:szCs w:val="22"/>
                <w:highlight w:val="none"/>
              </w:rPr>
            </w:pPr>
            <w:bookmarkStart w:id="118" w:name="_Toc6758"/>
            <w:r>
              <w:rPr>
                <w:rFonts w:hint="eastAsia" w:ascii="新宋体" w:hAnsi="新宋体" w:eastAsia="新宋体" w:cs="新宋体"/>
                <w:color w:val="auto"/>
                <w:kern w:val="0"/>
                <w:sz w:val="22"/>
                <w:szCs w:val="22"/>
                <w:highlight w:val="none"/>
              </w:rPr>
              <w:t>6.8*7米悬臂八棱杆</w:t>
            </w:r>
            <w:bookmarkEnd w:id="118"/>
          </w:p>
        </w:tc>
        <w:tc>
          <w:tcPr>
            <w:tcW w:w="7330" w:type="dxa"/>
            <w:noWrap/>
            <w:vAlign w:val="center"/>
          </w:tcPr>
          <w:p w14:paraId="4BFB51B6">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p>
        </w:tc>
        <w:tc>
          <w:tcPr>
            <w:tcW w:w="782" w:type="dxa"/>
            <w:noWrap/>
            <w:vAlign w:val="center"/>
          </w:tcPr>
          <w:p w14:paraId="4E7FF4A6">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19" w:name="_Toc25473"/>
            <w:r>
              <w:rPr>
                <w:rFonts w:ascii="新宋体" w:hAnsi="新宋体" w:eastAsia="新宋体" w:cs="新宋体"/>
                <w:color w:val="auto"/>
                <w:sz w:val="22"/>
                <w:szCs w:val="22"/>
                <w:highlight w:val="none"/>
              </w:rPr>
              <w:t>套</w:t>
            </w:r>
            <w:bookmarkEnd w:id="119"/>
          </w:p>
        </w:tc>
        <w:tc>
          <w:tcPr>
            <w:tcW w:w="792" w:type="dxa"/>
            <w:noWrap/>
            <w:vAlign w:val="center"/>
          </w:tcPr>
          <w:p w14:paraId="5985DB78">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20" w:name="_Toc16591"/>
            <w:r>
              <w:rPr>
                <w:rFonts w:ascii="新宋体" w:hAnsi="新宋体" w:eastAsia="新宋体" w:cs="新宋体"/>
                <w:snapToGrid w:val="0"/>
                <w:color w:val="auto"/>
                <w:sz w:val="22"/>
                <w:szCs w:val="22"/>
                <w:highlight w:val="none"/>
              </w:rPr>
              <w:t>5</w:t>
            </w:r>
            <w:bookmarkEnd w:id="120"/>
          </w:p>
        </w:tc>
        <w:tc>
          <w:tcPr>
            <w:tcW w:w="1350" w:type="dxa"/>
            <w:noWrap/>
            <w:vAlign w:val="center"/>
          </w:tcPr>
          <w:p w14:paraId="2F3E271F">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520E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6DCF34E1">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21" w:name="_Toc22458"/>
            <w:r>
              <w:rPr>
                <w:rFonts w:ascii="新宋体" w:hAnsi="新宋体" w:eastAsia="新宋体" w:cs="新宋体"/>
                <w:snapToGrid w:val="0"/>
                <w:color w:val="auto"/>
                <w:sz w:val="22"/>
                <w:szCs w:val="22"/>
                <w:highlight w:val="none"/>
              </w:rPr>
              <w:t>11</w:t>
            </w:r>
            <w:bookmarkEnd w:id="121"/>
          </w:p>
        </w:tc>
        <w:tc>
          <w:tcPr>
            <w:tcW w:w="3922" w:type="dxa"/>
            <w:noWrap/>
            <w:vAlign w:val="center"/>
          </w:tcPr>
          <w:p w14:paraId="250C0CEF">
            <w:pPr>
              <w:spacing w:line="360" w:lineRule="auto"/>
              <w:jc w:val="center"/>
              <w:outlineLvl w:val="1"/>
              <w:rPr>
                <w:rFonts w:ascii="新宋体" w:hAnsi="新宋体" w:eastAsia="新宋体" w:cs="新宋体"/>
                <w:color w:val="auto"/>
                <w:kern w:val="0"/>
                <w:sz w:val="22"/>
                <w:szCs w:val="22"/>
                <w:highlight w:val="none"/>
              </w:rPr>
            </w:pPr>
            <w:bookmarkStart w:id="122" w:name="_Toc15466"/>
            <w:r>
              <w:rPr>
                <w:rFonts w:hint="eastAsia" w:ascii="新宋体" w:hAnsi="新宋体" w:eastAsia="新宋体" w:cs="新宋体"/>
                <w:color w:val="auto"/>
                <w:kern w:val="0"/>
                <w:sz w:val="22"/>
                <w:szCs w:val="22"/>
                <w:highlight w:val="none"/>
              </w:rPr>
              <w:t>6.8*9米悬臂八棱杆</w:t>
            </w:r>
            <w:bookmarkEnd w:id="122"/>
          </w:p>
        </w:tc>
        <w:tc>
          <w:tcPr>
            <w:tcW w:w="7330" w:type="dxa"/>
            <w:noWrap/>
            <w:vAlign w:val="center"/>
          </w:tcPr>
          <w:p w14:paraId="1BA0E018">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p>
        </w:tc>
        <w:tc>
          <w:tcPr>
            <w:tcW w:w="782" w:type="dxa"/>
            <w:noWrap/>
            <w:vAlign w:val="center"/>
          </w:tcPr>
          <w:p w14:paraId="130076C3">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23" w:name="_Toc12340"/>
            <w:r>
              <w:rPr>
                <w:rFonts w:ascii="新宋体" w:hAnsi="新宋体" w:eastAsia="新宋体" w:cs="新宋体"/>
                <w:color w:val="auto"/>
                <w:sz w:val="22"/>
                <w:szCs w:val="22"/>
                <w:highlight w:val="none"/>
              </w:rPr>
              <w:t>套</w:t>
            </w:r>
            <w:bookmarkEnd w:id="123"/>
          </w:p>
        </w:tc>
        <w:tc>
          <w:tcPr>
            <w:tcW w:w="792" w:type="dxa"/>
            <w:noWrap/>
            <w:vAlign w:val="center"/>
          </w:tcPr>
          <w:p w14:paraId="5D1E085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24" w:name="_Toc21686"/>
            <w:r>
              <w:rPr>
                <w:rFonts w:ascii="新宋体" w:hAnsi="新宋体" w:eastAsia="新宋体" w:cs="新宋体"/>
                <w:snapToGrid w:val="0"/>
                <w:color w:val="auto"/>
                <w:sz w:val="22"/>
                <w:szCs w:val="22"/>
                <w:highlight w:val="none"/>
              </w:rPr>
              <w:t>10</w:t>
            </w:r>
            <w:bookmarkEnd w:id="124"/>
          </w:p>
        </w:tc>
        <w:tc>
          <w:tcPr>
            <w:tcW w:w="1350" w:type="dxa"/>
            <w:noWrap/>
            <w:vAlign w:val="center"/>
          </w:tcPr>
          <w:p w14:paraId="6124EBC7">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3227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5D032A34">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25" w:name="_Toc30529"/>
            <w:r>
              <w:rPr>
                <w:rFonts w:ascii="新宋体" w:hAnsi="新宋体" w:eastAsia="新宋体" w:cs="新宋体"/>
                <w:snapToGrid w:val="0"/>
                <w:color w:val="auto"/>
                <w:sz w:val="22"/>
                <w:szCs w:val="22"/>
                <w:highlight w:val="none"/>
              </w:rPr>
              <w:t>12</w:t>
            </w:r>
            <w:bookmarkEnd w:id="125"/>
          </w:p>
        </w:tc>
        <w:tc>
          <w:tcPr>
            <w:tcW w:w="3922" w:type="dxa"/>
            <w:noWrap/>
            <w:vAlign w:val="center"/>
          </w:tcPr>
          <w:p w14:paraId="5100EB5B">
            <w:pPr>
              <w:spacing w:line="360" w:lineRule="auto"/>
              <w:jc w:val="center"/>
              <w:outlineLvl w:val="1"/>
              <w:rPr>
                <w:rFonts w:ascii="新宋体" w:hAnsi="新宋体" w:eastAsia="新宋体" w:cs="新宋体"/>
                <w:color w:val="auto"/>
                <w:kern w:val="0"/>
                <w:sz w:val="22"/>
                <w:szCs w:val="22"/>
                <w:highlight w:val="none"/>
              </w:rPr>
            </w:pPr>
            <w:bookmarkStart w:id="126" w:name="_Toc28768"/>
            <w:r>
              <w:rPr>
                <w:rFonts w:hint="eastAsia" w:ascii="新宋体" w:hAnsi="新宋体" w:eastAsia="新宋体" w:cs="新宋体"/>
                <w:color w:val="auto"/>
                <w:kern w:val="0"/>
                <w:sz w:val="22"/>
                <w:szCs w:val="22"/>
                <w:highlight w:val="none"/>
              </w:rPr>
              <w:t>273型*5"*5.5米悬臂杆</w:t>
            </w:r>
            <w:bookmarkEnd w:id="126"/>
          </w:p>
        </w:tc>
        <w:tc>
          <w:tcPr>
            <w:tcW w:w="7330" w:type="dxa"/>
            <w:noWrap/>
            <w:vAlign w:val="center"/>
          </w:tcPr>
          <w:p w14:paraId="7BD42E9A">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p>
        </w:tc>
        <w:tc>
          <w:tcPr>
            <w:tcW w:w="782" w:type="dxa"/>
            <w:noWrap/>
            <w:vAlign w:val="center"/>
          </w:tcPr>
          <w:p w14:paraId="67A75F0F">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27" w:name="_Toc28653"/>
            <w:r>
              <w:rPr>
                <w:rFonts w:ascii="新宋体" w:hAnsi="新宋体" w:eastAsia="新宋体" w:cs="新宋体"/>
                <w:color w:val="auto"/>
                <w:sz w:val="22"/>
                <w:szCs w:val="22"/>
                <w:highlight w:val="none"/>
              </w:rPr>
              <w:t>套</w:t>
            </w:r>
            <w:bookmarkEnd w:id="127"/>
          </w:p>
        </w:tc>
        <w:tc>
          <w:tcPr>
            <w:tcW w:w="792" w:type="dxa"/>
            <w:noWrap/>
            <w:vAlign w:val="center"/>
          </w:tcPr>
          <w:p w14:paraId="317A3D46">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28" w:name="_Toc18678"/>
            <w:r>
              <w:rPr>
                <w:rFonts w:ascii="新宋体" w:hAnsi="新宋体" w:eastAsia="新宋体" w:cs="新宋体"/>
                <w:snapToGrid w:val="0"/>
                <w:color w:val="auto"/>
                <w:sz w:val="22"/>
                <w:szCs w:val="22"/>
                <w:highlight w:val="none"/>
              </w:rPr>
              <w:t>5</w:t>
            </w:r>
            <w:bookmarkEnd w:id="128"/>
          </w:p>
        </w:tc>
        <w:tc>
          <w:tcPr>
            <w:tcW w:w="1350" w:type="dxa"/>
            <w:noWrap/>
            <w:vAlign w:val="center"/>
          </w:tcPr>
          <w:p w14:paraId="3B883254">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477A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041186DF">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29" w:name="_Toc11649"/>
            <w:r>
              <w:rPr>
                <w:rFonts w:ascii="新宋体" w:hAnsi="新宋体" w:eastAsia="新宋体" w:cs="新宋体"/>
                <w:snapToGrid w:val="0"/>
                <w:color w:val="auto"/>
                <w:sz w:val="22"/>
                <w:szCs w:val="22"/>
                <w:highlight w:val="none"/>
              </w:rPr>
              <w:t>13</w:t>
            </w:r>
            <w:bookmarkEnd w:id="129"/>
          </w:p>
        </w:tc>
        <w:tc>
          <w:tcPr>
            <w:tcW w:w="3922" w:type="dxa"/>
            <w:noWrap/>
            <w:vAlign w:val="center"/>
          </w:tcPr>
          <w:p w14:paraId="5D9326CE">
            <w:pPr>
              <w:spacing w:line="360" w:lineRule="auto"/>
              <w:jc w:val="center"/>
              <w:outlineLvl w:val="1"/>
              <w:rPr>
                <w:rFonts w:ascii="新宋体" w:hAnsi="新宋体" w:eastAsia="新宋体" w:cs="新宋体"/>
                <w:color w:val="auto"/>
                <w:kern w:val="0"/>
                <w:sz w:val="22"/>
                <w:szCs w:val="22"/>
                <w:highlight w:val="none"/>
              </w:rPr>
            </w:pPr>
            <w:bookmarkStart w:id="130" w:name="_Toc3292"/>
            <w:r>
              <w:rPr>
                <w:rFonts w:hint="eastAsia" w:ascii="新宋体" w:hAnsi="新宋体" w:eastAsia="新宋体" w:cs="新宋体"/>
                <w:color w:val="auto"/>
                <w:kern w:val="0"/>
                <w:sz w:val="22"/>
                <w:szCs w:val="22"/>
                <w:highlight w:val="none"/>
              </w:rPr>
              <w:t>圆形防撞桶</w:t>
            </w:r>
            <w:bookmarkEnd w:id="130"/>
          </w:p>
        </w:tc>
        <w:tc>
          <w:tcPr>
            <w:tcW w:w="7330" w:type="dxa"/>
            <w:noWrap/>
            <w:vAlign w:val="center"/>
          </w:tcPr>
          <w:p w14:paraId="541DC7B1">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31" w:name="_Toc29701"/>
            <w:r>
              <w:rPr>
                <w:rFonts w:ascii="新宋体" w:hAnsi="新宋体" w:eastAsia="新宋体" w:cs="新宋体"/>
                <w:color w:val="auto"/>
                <w:sz w:val="22"/>
                <w:szCs w:val="22"/>
                <w:highlight w:val="none"/>
              </w:rPr>
              <w:t>600mm×800mm，PE，含黄沙（1/3高）</w:t>
            </w:r>
            <w:bookmarkEnd w:id="131"/>
          </w:p>
        </w:tc>
        <w:tc>
          <w:tcPr>
            <w:tcW w:w="782" w:type="dxa"/>
            <w:noWrap/>
            <w:vAlign w:val="center"/>
          </w:tcPr>
          <w:p w14:paraId="26A8CB09">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32" w:name="_Toc27217"/>
            <w:r>
              <w:rPr>
                <w:rFonts w:ascii="新宋体" w:hAnsi="新宋体" w:eastAsia="新宋体" w:cs="新宋体"/>
                <w:color w:val="auto"/>
                <w:sz w:val="22"/>
                <w:szCs w:val="22"/>
                <w:highlight w:val="none"/>
              </w:rPr>
              <w:t>个</w:t>
            </w:r>
            <w:bookmarkEnd w:id="132"/>
          </w:p>
        </w:tc>
        <w:tc>
          <w:tcPr>
            <w:tcW w:w="792" w:type="dxa"/>
            <w:noWrap/>
            <w:vAlign w:val="center"/>
          </w:tcPr>
          <w:p w14:paraId="38F9DD43">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33" w:name="_Toc4549"/>
            <w:r>
              <w:rPr>
                <w:rFonts w:ascii="新宋体" w:hAnsi="新宋体" w:eastAsia="新宋体" w:cs="新宋体"/>
                <w:snapToGrid w:val="0"/>
                <w:color w:val="auto"/>
                <w:sz w:val="22"/>
                <w:szCs w:val="22"/>
                <w:highlight w:val="none"/>
              </w:rPr>
              <w:t>10</w:t>
            </w:r>
            <w:bookmarkEnd w:id="133"/>
          </w:p>
        </w:tc>
        <w:tc>
          <w:tcPr>
            <w:tcW w:w="1350" w:type="dxa"/>
            <w:noWrap/>
            <w:vAlign w:val="center"/>
          </w:tcPr>
          <w:p w14:paraId="2F7C53F5">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31F2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0B1B11D1">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34" w:name="_Toc4943"/>
            <w:r>
              <w:rPr>
                <w:rFonts w:ascii="新宋体" w:hAnsi="新宋体" w:eastAsia="新宋体" w:cs="新宋体"/>
                <w:snapToGrid w:val="0"/>
                <w:color w:val="auto"/>
                <w:sz w:val="22"/>
                <w:szCs w:val="22"/>
                <w:highlight w:val="none"/>
              </w:rPr>
              <w:t>14</w:t>
            </w:r>
            <w:bookmarkEnd w:id="134"/>
          </w:p>
        </w:tc>
        <w:tc>
          <w:tcPr>
            <w:tcW w:w="3922" w:type="dxa"/>
            <w:noWrap/>
            <w:vAlign w:val="center"/>
          </w:tcPr>
          <w:p w14:paraId="2052E372">
            <w:pPr>
              <w:spacing w:line="360" w:lineRule="auto"/>
              <w:jc w:val="center"/>
              <w:outlineLvl w:val="1"/>
              <w:rPr>
                <w:rFonts w:ascii="新宋体" w:hAnsi="新宋体" w:eastAsia="新宋体" w:cs="新宋体"/>
                <w:color w:val="auto"/>
                <w:kern w:val="0"/>
                <w:sz w:val="22"/>
                <w:szCs w:val="22"/>
                <w:highlight w:val="none"/>
              </w:rPr>
            </w:pPr>
            <w:bookmarkStart w:id="135" w:name="_Toc8754"/>
            <w:r>
              <w:rPr>
                <w:rFonts w:hint="eastAsia" w:ascii="新宋体" w:hAnsi="新宋体" w:eastAsia="新宋体" w:cs="新宋体"/>
                <w:color w:val="auto"/>
                <w:kern w:val="0"/>
                <w:sz w:val="22"/>
                <w:szCs w:val="22"/>
                <w:highlight w:val="none"/>
              </w:rPr>
              <w:t>路锥</w:t>
            </w:r>
            <w:bookmarkEnd w:id="135"/>
          </w:p>
        </w:tc>
        <w:tc>
          <w:tcPr>
            <w:tcW w:w="7330" w:type="dxa"/>
            <w:noWrap/>
            <w:vAlign w:val="center"/>
          </w:tcPr>
          <w:p w14:paraId="5A696ED6">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36" w:name="_Toc2421"/>
            <w:r>
              <w:rPr>
                <w:rFonts w:ascii="新宋体" w:hAnsi="新宋体" w:eastAsia="新宋体" w:cs="新宋体"/>
                <w:color w:val="auto"/>
                <w:sz w:val="22"/>
                <w:szCs w:val="22"/>
                <w:highlight w:val="none"/>
              </w:rPr>
              <w:t>71cmpvc</w:t>
            </w:r>
            <w:bookmarkEnd w:id="136"/>
          </w:p>
        </w:tc>
        <w:tc>
          <w:tcPr>
            <w:tcW w:w="782" w:type="dxa"/>
            <w:noWrap/>
            <w:vAlign w:val="center"/>
          </w:tcPr>
          <w:p w14:paraId="15B97305">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37" w:name="_Toc27795"/>
            <w:r>
              <w:rPr>
                <w:rFonts w:ascii="新宋体" w:hAnsi="新宋体" w:eastAsia="新宋体" w:cs="新宋体"/>
                <w:color w:val="auto"/>
                <w:sz w:val="22"/>
                <w:szCs w:val="22"/>
                <w:highlight w:val="none"/>
              </w:rPr>
              <w:t>个</w:t>
            </w:r>
            <w:bookmarkEnd w:id="137"/>
          </w:p>
        </w:tc>
        <w:tc>
          <w:tcPr>
            <w:tcW w:w="792" w:type="dxa"/>
            <w:noWrap/>
            <w:vAlign w:val="center"/>
          </w:tcPr>
          <w:p w14:paraId="40B63D47">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38" w:name="_Toc14962"/>
            <w:r>
              <w:rPr>
                <w:rFonts w:ascii="新宋体" w:hAnsi="新宋体" w:eastAsia="新宋体" w:cs="新宋体"/>
                <w:snapToGrid w:val="0"/>
                <w:color w:val="auto"/>
                <w:sz w:val="22"/>
                <w:szCs w:val="22"/>
                <w:highlight w:val="none"/>
              </w:rPr>
              <w:t>2000</w:t>
            </w:r>
            <w:bookmarkEnd w:id="138"/>
          </w:p>
        </w:tc>
        <w:tc>
          <w:tcPr>
            <w:tcW w:w="1350" w:type="dxa"/>
            <w:noWrap/>
            <w:vAlign w:val="center"/>
          </w:tcPr>
          <w:p w14:paraId="2C72D2C7">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5475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26DD59D2">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39" w:name="_Toc25947"/>
            <w:r>
              <w:rPr>
                <w:rFonts w:ascii="新宋体" w:hAnsi="新宋体" w:eastAsia="新宋体" w:cs="新宋体"/>
                <w:snapToGrid w:val="0"/>
                <w:color w:val="auto"/>
                <w:sz w:val="22"/>
                <w:szCs w:val="22"/>
                <w:highlight w:val="none"/>
              </w:rPr>
              <w:t>15</w:t>
            </w:r>
            <w:bookmarkEnd w:id="139"/>
          </w:p>
        </w:tc>
        <w:tc>
          <w:tcPr>
            <w:tcW w:w="3922" w:type="dxa"/>
            <w:noWrap/>
            <w:vAlign w:val="center"/>
          </w:tcPr>
          <w:p w14:paraId="447140B8">
            <w:pPr>
              <w:spacing w:line="360" w:lineRule="auto"/>
              <w:jc w:val="center"/>
              <w:outlineLvl w:val="1"/>
              <w:rPr>
                <w:rFonts w:ascii="新宋体" w:hAnsi="新宋体" w:eastAsia="新宋体" w:cs="新宋体"/>
                <w:color w:val="auto"/>
                <w:kern w:val="0"/>
                <w:sz w:val="22"/>
                <w:szCs w:val="22"/>
                <w:highlight w:val="none"/>
              </w:rPr>
            </w:pPr>
            <w:bookmarkStart w:id="140" w:name="_Toc30847"/>
            <w:r>
              <w:rPr>
                <w:rFonts w:hint="eastAsia" w:ascii="新宋体" w:hAnsi="新宋体" w:eastAsia="新宋体" w:cs="新宋体"/>
                <w:color w:val="auto"/>
                <w:kern w:val="0"/>
                <w:sz w:val="22"/>
                <w:szCs w:val="22"/>
                <w:highlight w:val="none"/>
              </w:rPr>
              <w:t>路锥连接杆</w:t>
            </w:r>
            <w:bookmarkEnd w:id="140"/>
          </w:p>
        </w:tc>
        <w:tc>
          <w:tcPr>
            <w:tcW w:w="7330" w:type="dxa"/>
            <w:noWrap/>
            <w:vAlign w:val="center"/>
          </w:tcPr>
          <w:p w14:paraId="0BBCCEA1">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41" w:name="_Toc20263"/>
            <w:r>
              <w:rPr>
                <w:rFonts w:ascii="新宋体" w:hAnsi="新宋体" w:eastAsia="新宋体" w:cs="新宋体"/>
                <w:color w:val="auto"/>
                <w:sz w:val="22"/>
                <w:szCs w:val="22"/>
                <w:highlight w:val="none"/>
              </w:rPr>
              <w:t>∮33.5×2000</w:t>
            </w:r>
            <w:bookmarkEnd w:id="141"/>
          </w:p>
        </w:tc>
        <w:tc>
          <w:tcPr>
            <w:tcW w:w="782" w:type="dxa"/>
            <w:noWrap/>
            <w:vAlign w:val="center"/>
          </w:tcPr>
          <w:p w14:paraId="1708A2D4">
            <w:pPr>
              <w:pStyle w:val="316"/>
              <w:tabs>
                <w:tab w:val="left" w:pos="420"/>
              </w:tabs>
              <w:spacing w:line="360" w:lineRule="auto"/>
              <w:jc w:val="center"/>
              <w:outlineLvl w:val="1"/>
              <w:rPr>
                <w:rFonts w:hint="default" w:ascii="新宋体" w:hAnsi="新宋体" w:eastAsia="新宋体" w:cs="新宋体"/>
                <w:color w:val="auto"/>
                <w:sz w:val="22"/>
                <w:szCs w:val="22"/>
                <w:highlight w:val="none"/>
              </w:rPr>
            </w:pPr>
            <w:bookmarkStart w:id="142" w:name="_Toc30696"/>
            <w:r>
              <w:rPr>
                <w:rFonts w:ascii="新宋体" w:hAnsi="新宋体" w:eastAsia="新宋体" w:cs="新宋体"/>
                <w:color w:val="auto"/>
                <w:sz w:val="22"/>
                <w:szCs w:val="22"/>
                <w:highlight w:val="none"/>
              </w:rPr>
              <w:t>条</w:t>
            </w:r>
            <w:bookmarkEnd w:id="142"/>
          </w:p>
        </w:tc>
        <w:tc>
          <w:tcPr>
            <w:tcW w:w="792" w:type="dxa"/>
            <w:noWrap/>
            <w:vAlign w:val="center"/>
          </w:tcPr>
          <w:p w14:paraId="43C372C4">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43" w:name="_Toc8363"/>
            <w:r>
              <w:rPr>
                <w:rFonts w:ascii="新宋体" w:hAnsi="新宋体" w:eastAsia="新宋体" w:cs="新宋体"/>
                <w:snapToGrid w:val="0"/>
                <w:color w:val="auto"/>
                <w:sz w:val="22"/>
                <w:szCs w:val="22"/>
                <w:highlight w:val="none"/>
              </w:rPr>
              <w:t>300</w:t>
            </w:r>
            <w:bookmarkEnd w:id="143"/>
          </w:p>
        </w:tc>
        <w:tc>
          <w:tcPr>
            <w:tcW w:w="1350" w:type="dxa"/>
            <w:noWrap/>
            <w:vAlign w:val="center"/>
          </w:tcPr>
          <w:p w14:paraId="7F3F84D7">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4DD5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1" w:type="dxa"/>
            <w:noWrap/>
            <w:vAlign w:val="center"/>
          </w:tcPr>
          <w:p w14:paraId="0BD616A4">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44" w:name="_Toc446"/>
            <w:r>
              <w:rPr>
                <w:rFonts w:ascii="新宋体" w:hAnsi="新宋体" w:eastAsia="新宋体" w:cs="新宋体"/>
                <w:snapToGrid w:val="0"/>
                <w:color w:val="auto"/>
                <w:sz w:val="22"/>
                <w:szCs w:val="22"/>
                <w:highlight w:val="none"/>
              </w:rPr>
              <w:t>16</w:t>
            </w:r>
            <w:bookmarkEnd w:id="144"/>
          </w:p>
        </w:tc>
        <w:tc>
          <w:tcPr>
            <w:tcW w:w="3922" w:type="dxa"/>
            <w:noWrap/>
            <w:vAlign w:val="center"/>
          </w:tcPr>
          <w:p w14:paraId="16C9C224">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Ф80广角镜</w:t>
            </w:r>
          </w:p>
        </w:tc>
        <w:tc>
          <w:tcPr>
            <w:tcW w:w="7330" w:type="dxa"/>
            <w:noWrap/>
            <w:vAlign w:val="center"/>
          </w:tcPr>
          <w:p w14:paraId="74B9FE3A">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Φ800（镜面PC+铝合金包边，镜背ABS塑料）</w:t>
            </w:r>
          </w:p>
        </w:tc>
        <w:tc>
          <w:tcPr>
            <w:tcW w:w="782" w:type="dxa"/>
            <w:noWrap/>
            <w:vAlign w:val="center"/>
          </w:tcPr>
          <w:p w14:paraId="1B162165">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个</w:t>
            </w:r>
          </w:p>
        </w:tc>
        <w:tc>
          <w:tcPr>
            <w:tcW w:w="792" w:type="dxa"/>
            <w:noWrap/>
            <w:vAlign w:val="center"/>
          </w:tcPr>
          <w:p w14:paraId="2BEB3357">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45" w:name="_Toc16160"/>
            <w:r>
              <w:rPr>
                <w:rFonts w:ascii="新宋体" w:hAnsi="新宋体" w:eastAsia="新宋体" w:cs="新宋体"/>
                <w:snapToGrid w:val="0"/>
                <w:color w:val="auto"/>
                <w:sz w:val="22"/>
                <w:szCs w:val="22"/>
                <w:highlight w:val="none"/>
              </w:rPr>
              <w:t>5</w:t>
            </w:r>
            <w:bookmarkEnd w:id="145"/>
          </w:p>
        </w:tc>
        <w:tc>
          <w:tcPr>
            <w:tcW w:w="1350" w:type="dxa"/>
            <w:noWrap/>
            <w:vAlign w:val="center"/>
          </w:tcPr>
          <w:p w14:paraId="280A931E">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486E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52BC661F">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46" w:name="_Toc19743"/>
            <w:r>
              <w:rPr>
                <w:rFonts w:ascii="新宋体" w:hAnsi="新宋体" w:eastAsia="新宋体" w:cs="新宋体"/>
                <w:snapToGrid w:val="0"/>
                <w:color w:val="auto"/>
                <w:sz w:val="22"/>
                <w:szCs w:val="22"/>
                <w:highlight w:val="none"/>
              </w:rPr>
              <w:t>17</w:t>
            </w:r>
            <w:bookmarkEnd w:id="146"/>
          </w:p>
        </w:tc>
        <w:tc>
          <w:tcPr>
            <w:tcW w:w="3922" w:type="dxa"/>
            <w:noWrap/>
            <w:vAlign w:val="center"/>
          </w:tcPr>
          <w:p w14:paraId="5C6DF995">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Ф100广角镜</w:t>
            </w:r>
          </w:p>
        </w:tc>
        <w:tc>
          <w:tcPr>
            <w:tcW w:w="7330" w:type="dxa"/>
            <w:noWrap/>
            <w:vAlign w:val="center"/>
          </w:tcPr>
          <w:p w14:paraId="10E55C42">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Φ1000（镜面PC+铝合金包边，镜背ABS塑料）</w:t>
            </w:r>
          </w:p>
        </w:tc>
        <w:tc>
          <w:tcPr>
            <w:tcW w:w="782" w:type="dxa"/>
            <w:noWrap/>
            <w:vAlign w:val="center"/>
          </w:tcPr>
          <w:p w14:paraId="553179DA">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个</w:t>
            </w:r>
          </w:p>
        </w:tc>
        <w:tc>
          <w:tcPr>
            <w:tcW w:w="792" w:type="dxa"/>
            <w:noWrap/>
            <w:vAlign w:val="center"/>
          </w:tcPr>
          <w:p w14:paraId="2B7334D6">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47" w:name="_Toc22757"/>
            <w:r>
              <w:rPr>
                <w:rFonts w:ascii="新宋体" w:hAnsi="新宋体" w:eastAsia="新宋体" w:cs="新宋体"/>
                <w:snapToGrid w:val="0"/>
                <w:color w:val="auto"/>
                <w:sz w:val="22"/>
                <w:szCs w:val="22"/>
                <w:highlight w:val="none"/>
              </w:rPr>
              <w:t>5</w:t>
            </w:r>
            <w:bookmarkEnd w:id="147"/>
          </w:p>
        </w:tc>
        <w:tc>
          <w:tcPr>
            <w:tcW w:w="1350" w:type="dxa"/>
            <w:noWrap/>
            <w:vAlign w:val="center"/>
          </w:tcPr>
          <w:p w14:paraId="3C703F86">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1E4F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0DF933EF">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48" w:name="_Toc15289"/>
            <w:r>
              <w:rPr>
                <w:rFonts w:ascii="新宋体" w:hAnsi="新宋体" w:eastAsia="新宋体" w:cs="新宋体"/>
                <w:snapToGrid w:val="0"/>
                <w:color w:val="auto"/>
                <w:sz w:val="22"/>
                <w:szCs w:val="22"/>
                <w:highlight w:val="none"/>
              </w:rPr>
              <w:t>18</w:t>
            </w:r>
            <w:bookmarkEnd w:id="148"/>
          </w:p>
        </w:tc>
        <w:tc>
          <w:tcPr>
            <w:tcW w:w="3922" w:type="dxa"/>
            <w:noWrap/>
            <w:vAlign w:val="center"/>
          </w:tcPr>
          <w:p w14:paraId="42E11698">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四联爆闪灯</w:t>
            </w:r>
          </w:p>
        </w:tc>
        <w:tc>
          <w:tcPr>
            <w:tcW w:w="7330" w:type="dxa"/>
            <w:noWrap/>
            <w:vAlign w:val="center"/>
          </w:tcPr>
          <w:p w14:paraId="5A3F0706">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双面四片爆闪灯（550mm×150mm太阳能）</w:t>
            </w:r>
          </w:p>
        </w:tc>
        <w:tc>
          <w:tcPr>
            <w:tcW w:w="782" w:type="dxa"/>
            <w:noWrap/>
            <w:vAlign w:val="center"/>
          </w:tcPr>
          <w:p w14:paraId="7A873BB4">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组</w:t>
            </w:r>
          </w:p>
        </w:tc>
        <w:tc>
          <w:tcPr>
            <w:tcW w:w="792" w:type="dxa"/>
            <w:noWrap/>
            <w:vAlign w:val="center"/>
          </w:tcPr>
          <w:p w14:paraId="7BEAB6A7">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49" w:name="_Toc19064"/>
            <w:r>
              <w:rPr>
                <w:rFonts w:ascii="新宋体" w:hAnsi="新宋体" w:eastAsia="新宋体" w:cs="新宋体"/>
                <w:snapToGrid w:val="0"/>
                <w:color w:val="auto"/>
                <w:sz w:val="22"/>
                <w:szCs w:val="22"/>
                <w:highlight w:val="none"/>
              </w:rPr>
              <w:t>5</w:t>
            </w:r>
            <w:bookmarkEnd w:id="149"/>
          </w:p>
        </w:tc>
        <w:tc>
          <w:tcPr>
            <w:tcW w:w="1350" w:type="dxa"/>
            <w:noWrap/>
            <w:vAlign w:val="center"/>
          </w:tcPr>
          <w:p w14:paraId="61E872E0">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0E74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239E653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50" w:name="_Toc23415"/>
            <w:r>
              <w:rPr>
                <w:rFonts w:ascii="新宋体" w:hAnsi="新宋体" w:eastAsia="新宋体" w:cs="新宋体"/>
                <w:snapToGrid w:val="0"/>
                <w:color w:val="auto"/>
                <w:sz w:val="22"/>
                <w:szCs w:val="22"/>
                <w:highlight w:val="none"/>
              </w:rPr>
              <w:t>19</w:t>
            </w:r>
            <w:bookmarkEnd w:id="150"/>
          </w:p>
        </w:tc>
        <w:tc>
          <w:tcPr>
            <w:tcW w:w="3922" w:type="dxa"/>
            <w:noWrap/>
            <w:vAlign w:val="center"/>
          </w:tcPr>
          <w:p w14:paraId="4FBDBDA4">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人行护栏</w:t>
            </w:r>
          </w:p>
        </w:tc>
        <w:tc>
          <w:tcPr>
            <w:tcW w:w="7330" w:type="dxa"/>
            <w:noWrap/>
            <w:vAlign w:val="center"/>
          </w:tcPr>
          <w:p w14:paraId="510F21F1">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银灰色，深灰色，高100公分或110公分</w:t>
            </w:r>
          </w:p>
        </w:tc>
        <w:tc>
          <w:tcPr>
            <w:tcW w:w="782" w:type="dxa"/>
            <w:noWrap/>
            <w:vAlign w:val="center"/>
          </w:tcPr>
          <w:p w14:paraId="7D769C8D">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米</w:t>
            </w:r>
          </w:p>
        </w:tc>
        <w:tc>
          <w:tcPr>
            <w:tcW w:w="792" w:type="dxa"/>
            <w:noWrap/>
            <w:vAlign w:val="center"/>
          </w:tcPr>
          <w:p w14:paraId="69A5DD22">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51" w:name="_Toc2039"/>
            <w:r>
              <w:rPr>
                <w:rFonts w:ascii="新宋体" w:hAnsi="新宋体" w:eastAsia="新宋体" w:cs="新宋体"/>
                <w:snapToGrid w:val="0"/>
                <w:color w:val="auto"/>
                <w:sz w:val="22"/>
                <w:szCs w:val="22"/>
                <w:highlight w:val="none"/>
              </w:rPr>
              <w:t>500</w:t>
            </w:r>
            <w:bookmarkEnd w:id="151"/>
          </w:p>
        </w:tc>
        <w:tc>
          <w:tcPr>
            <w:tcW w:w="1350" w:type="dxa"/>
            <w:noWrap/>
            <w:vAlign w:val="center"/>
          </w:tcPr>
          <w:p w14:paraId="71708ED2">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4FB1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5DB28B30">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52" w:name="_Toc24179"/>
            <w:r>
              <w:rPr>
                <w:rFonts w:ascii="新宋体" w:hAnsi="新宋体" w:eastAsia="新宋体" w:cs="新宋体"/>
                <w:snapToGrid w:val="0"/>
                <w:color w:val="auto"/>
                <w:sz w:val="22"/>
                <w:szCs w:val="22"/>
                <w:highlight w:val="none"/>
              </w:rPr>
              <w:t>20</w:t>
            </w:r>
            <w:bookmarkEnd w:id="152"/>
          </w:p>
        </w:tc>
        <w:tc>
          <w:tcPr>
            <w:tcW w:w="3922" w:type="dxa"/>
            <w:noWrap/>
            <w:vAlign w:val="center"/>
          </w:tcPr>
          <w:p w14:paraId="5EB47C2D">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立柱</w:t>
            </w:r>
          </w:p>
        </w:tc>
        <w:tc>
          <w:tcPr>
            <w:tcW w:w="7330" w:type="dxa"/>
            <w:noWrap/>
            <w:vAlign w:val="center"/>
          </w:tcPr>
          <w:p w14:paraId="5C579AAB">
            <w:pPr>
              <w:spacing w:line="360" w:lineRule="auto"/>
              <w:jc w:val="center"/>
              <w:rPr>
                <w:rFonts w:ascii="新宋体" w:hAnsi="新宋体" w:eastAsia="新宋体" w:cs="新宋体"/>
                <w:color w:val="auto"/>
                <w:sz w:val="22"/>
                <w:szCs w:val="22"/>
                <w:highlight w:val="none"/>
              </w:rPr>
            </w:pPr>
          </w:p>
        </w:tc>
        <w:tc>
          <w:tcPr>
            <w:tcW w:w="782" w:type="dxa"/>
            <w:noWrap/>
            <w:vAlign w:val="center"/>
          </w:tcPr>
          <w:p w14:paraId="3613E9BD">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条</w:t>
            </w:r>
          </w:p>
        </w:tc>
        <w:tc>
          <w:tcPr>
            <w:tcW w:w="792" w:type="dxa"/>
            <w:noWrap/>
            <w:vAlign w:val="center"/>
          </w:tcPr>
          <w:p w14:paraId="778631BD">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53" w:name="_Toc6073"/>
            <w:r>
              <w:rPr>
                <w:rFonts w:ascii="新宋体" w:hAnsi="新宋体" w:eastAsia="新宋体" w:cs="新宋体"/>
                <w:snapToGrid w:val="0"/>
                <w:color w:val="auto"/>
                <w:sz w:val="22"/>
                <w:szCs w:val="22"/>
                <w:highlight w:val="none"/>
              </w:rPr>
              <w:t>100</w:t>
            </w:r>
            <w:bookmarkEnd w:id="153"/>
          </w:p>
        </w:tc>
        <w:tc>
          <w:tcPr>
            <w:tcW w:w="1350" w:type="dxa"/>
            <w:noWrap/>
            <w:vAlign w:val="center"/>
          </w:tcPr>
          <w:p w14:paraId="3883D23E">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67F5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54B27F19">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54" w:name="_Toc934"/>
            <w:r>
              <w:rPr>
                <w:rFonts w:ascii="新宋体" w:hAnsi="新宋体" w:eastAsia="新宋体" w:cs="新宋体"/>
                <w:snapToGrid w:val="0"/>
                <w:color w:val="auto"/>
                <w:sz w:val="22"/>
                <w:szCs w:val="22"/>
                <w:highlight w:val="none"/>
              </w:rPr>
              <w:t>21</w:t>
            </w:r>
            <w:bookmarkEnd w:id="154"/>
          </w:p>
        </w:tc>
        <w:tc>
          <w:tcPr>
            <w:tcW w:w="3922" w:type="dxa"/>
            <w:noWrap/>
            <w:vAlign w:val="center"/>
          </w:tcPr>
          <w:p w14:paraId="6F8F9444">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圆管</w:t>
            </w:r>
          </w:p>
        </w:tc>
        <w:tc>
          <w:tcPr>
            <w:tcW w:w="7330" w:type="dxa"/>
            <w:noWrap/>
            <w:vAlign w:val="center"/>
          </w:tcPr>
          <w:p w14:paraId="2F025D5E">
            <w:pPr>
              <w:spacing w:line="360" w:lineRule="auto"/>
              <w:jc w:val="center"/>
              <w:rPr>
                <w:rFonts w:ascii="新宋体" w:hAnsi="新宋体" w:eastAsia="新宋体" w:cs="新宋体"/>
                <w:color w:val="auto"/>
                <w:sz w:val="22"/>
                <w:szCs w:val="22"/>
                <w:highlight w:val="none"/>
              </w:rPr>
            </w:pPr>
          </w:p>
        </w:tc>
        <w:tc>
          <w:tcPr>
            <w:tcW w:w="782" w:type="dxa"/>
            <w:noWrap/>
            <w:vAlign w:val="center"/>
          </w:tcPr>
          <w:p w14:paraId="47134E76">
            <w:pPr>
              <w:widowControl/>
              <w:spacing w:line="360" w:lineRule="auto"/>
              <w:jc w:val="center"/>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条</w:t>
            </w:r>
          </w:p>
        </w:tc>
        <w:tc>
          <w:tcPr>
            <w:tcW w:w="792" w:type="dxa"/>
            <w:noWrap/>
            <w:vAlign w:val="center"/>
          </w:tcPr>
          <w:p w14:paraId="03436AF1">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55" w:name="_Toc20177"/>
            <w:r>
              <w:rPr>
                <w:rFonts w:ascii="新宋体" w:hAnsi="新宋体" w:eastAsia="新宋体" w:cs="新宋体"/>
                <w:snapToGrid w:val="0"/>
                <w:color w:val="auto"/>
                <w:sz w:val="22"/>
                <w:szCs w:val="22"/>
                <w:highlight w:val="none"/>
              </w:rPr>
              <w:t>200</w:t>
            </w:r>
            <w:bookmarkEnd w:id="155"/>
          </w:p>
        </w:tc>
        <w:tc>
          <w:tcPr>
            <w:tcW w:w="1350" w:type="dxa"/>
            <w:noWrap/>
            <w:vAlign w:val="center"/>
          </w:tcPr>
          <w:p w14:paraId="117691CB">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r w14:paraId="602D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ign w:val="center"/>
          </w:tcPr>
          <w:p w14:paraId="58361EE5">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56" w:name="_Toc32237"/>
            <w:r>
              <w:rPr>
                <w:rFonts w:ascii="新宋体" w:hAnsi="新宋体" w:eastAsia="新宋体" w:cs="新宋体"/>
                <w:snapToGrid w:val="0"/>
                <w:color w:val="auto"/>
                <w:sz w:val="22"/>
                <w:szCs w:val="22"/>
                <w:highlight w:val="none"/>
              </w:rPr>
              <w:t>22</w:t>
            </w:r>
            <w:bookmarkEnd w:id="156"/>
          </w:p>
        </w:tc>
        <w:tc>
          <w:tcPr>
            <w:tcW w:w="3922" w:type="dxa"/>
            <w:noWrap/>
            <w:vAlign w:val="center"/>
          </w:tcPr>
          <w:p w14:paraId="071DCE26">
            <w:pPr>
              <w:widowControl/>
              <w:spacing w:line="360" w:lineRule="auto"/>
              <w:jc w:val="center"/>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普通热熔涂料</w:t>
            </w:r>
          </w:p>
        </w:tc>
        <w:tc>
          <w:tcPr>
            <w:tcW w:w="7330" w:type="dxa"/>
            <w:noWrap/>
            <w:vAlign w:val="center"/>
          </w:tcPr>
          <w:p w14:paraId="3EB14B3D">
            <w:pPr>
              <w:spacing w:line="360" w:lineRule="auto"/>
              <w:jc w:val="center"/>
              <w:rPr>
                <w:rFonts w:ascii="新宋体" w:hAnsi="新宋体" w:eastAsia="新宋体" w:cs="新宋体"/>
                <w:color w:val="auto"/>
                <w:sz w:val="22"/>
                <w:szCs w:val="22"/>
                <w:highlight w:val="none"/>
              </w:rPr>
            </w:pPr>
          </w:p>
        </w:tc>
        <w:tc>
          <w:tcPr>
            <w:tcW w:w="782" w:type="dxa"/>
            <w:noWrap/>
            <w:vAlign w:val="center"/>
          </w:tcPr>
          <w:p w14:paraId="6324F4E6">
            <w:pPr>
              <w:widowControl/>
              <w:spacing w:line="360" w:lineRule="auto"/>
              <w:jc w:val="center"/>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吨</w:t>
            </w:r>
          </w:p>
        </w:tc>
        <w:tc>
          <w:tcPr>
            <w:tcW w:w="792" w:type="dxa"/>
            <w:noWrap/>
            <w:vAlign w:val="center"/>
          </w:tcPr>
          <w:p w14:paraId="2D2382E5">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bookmarkStart w:id="157" w:name="_Toc18030"/>
            <w:r>
              <w:rPr>
                <w:rFonts w:ascii="新宋体" w:hAnsi="新宋体" w:eastAsia="新宋体" w:cs="新宋体"/>
                <w:snapToGrid w:val="0"/>
                <w:color w:val="auto"/>
                <w:sz w:val="22"/>
                <w:szCs w:val="22"/>
                <w:highlight w:val="none"/>
              </w:rPr>
              <w:t>60</w:t>
            </w:r>
            <w:bookmarkEnd w:id="157"/>
          </w:p>
        </w:tc>
        <w:tc>
          <w:tcPr>
            <w:tcW w:w="1350" w:type="dxa"/>
            <w:noWrap/>
            <w:vAlign w:val="center"/>
          </w:tcPr>
          <w:p w14:paraId="34FCE13B">
            <w:pPr>
              <w:pStyle w:val="316"/>
              <w:tabs>
                <w:tab w:val="left" w:pos="420"/>
              </w:tabs>
              <w:spacing w:line="360" w:lineRule="auto"/>
              <w:jc w:val="center"/>
              <w:outlineLvl w:val="1"/>
              <w:rPr>
                <w:rFonts w:hint="default" w:ascii="新宋体" w:hAnsi="新宋体" w:eastAsia="新宋体" w:cs="新宋体"/>
                <w:snapToGrid w:val="0"/>
                <w:color w:val="auto"/>
                <w:sz w:val="22"/>
                <w:szCs w:val="22"/>
                <w:highlight w:val="none"/>
              </w:rPr>
            </w:pPr>
          </w:p>
        </w:tc>
      </w:tr>
    </w:tbl>
    <w:p w14:paraId="51E0A872">
      <w:pPr>
        <w:rPr>
          <w:rFonts w:hint="eastAsia" w:ascii="新宋体" w:hAnsi="新宋体" w:eastAsia="新宋体" w:cs="新宋体"/>
          <w:b/>
          <w:bCs/>
          <w:color w:val="auto"/>
          <w:sz w:val="22"/>
          <w:szCs w:val="22"/>
          <w:highlight w:val="none"/>
          <w:lang w:val="zh-CN"/>
        </w:rPr>
      </w:pPr>
    </w:p>
    <w:p w14:paraId="175D9CBD">
      <w:pPr>
        <w:rPr>
          <w:rFonts w:hint="eastAsia" w:ascii="新宋体" w:hAnsi="新宋体" w:eastAsia="新宋体" w:cs="新宋体"/>
          <w:b/>
          <w:bCs/>
          <w:color w:val="auto"/>
          <w:sz w:val="22"/>
          <w:szCs w:val="22"/>
          <w:highlight w:val="none"/>
          <w:lang w:val="zh-CN"/>
        </w:rPr>
      </w:pPr>
      <w:bookmarkStart w:id="158" w:name="_Toc5211"/>
      <w:r>
        <w:rPr>
          <w:rFonts w:hint="eastAsia" w:ascii="新宋体" w:hAnsi="新宋体" w:eastAsia="新宋体" w:cs="新宋体"/>
          <w:b/>
          <w:bCs/>
          <w:color w:val="auto"/>
          <w:sz w:val="22"/>
          <w:szCs w:val="22"/>
          <w:highlight w:val="none"/>
          <w:lang w:val="zh-CN"/>
        </w:rPr>
        <w:br w:type="page"/>
      </w:r>
    </w:p>
    <w:p w14:paraId="7369A2BE">
      <w:pPr>
        <w:spacing w:line="360" w:lineRule="auto"/>
        <w:outlineLvl w:val="1"/>
        <w:rPr>
          <w:rFonts w:ascii="新宋体" w:hAnsi="新宋体" w:eastAsia="新宋体" w:cs="新宋体"/>
          <w:b/>
          <w:bCs/>
          <w:color w:val="auto"/>
          <w:sz w:val="22"/>
          <w:szCs w:val="22"/>
          <w:highlight w:val="none"/>
          <w:lang w:val="zh-CN"/>
        </w:rPr>
      </w:pPr>
      <w:r>
        <w:rPr>
          <w:rFonts w:hint="eastAsia" w:ascii="新宋体" w:hAnsi="新宋体" w:eastAsia="新宋体" w:cs="新宋体"/>
          <w:b/>
          <w:bCs/>
          <w:color w:val="auto"/>
          <w:sz w:val="22"/>
          <w:szCs w:val="22"/>
          <w:highlight w:val="none"/>
          <w:lang w:val="zh-CN"/>
        </w:rPr>
        <w:t>附件：图纸</w:t>
      </w:r>
      <w:bookmarkEnd w:id="158"/>
    </w:p>
    <w:p w14:paraId="17CB4C99">
      <w:pPr>
        <w:adjustRightInd w:val="0"/>
        <w:spacing w:line="360" w:lineRule="auto"/>
        <w:outlineLvl w:val="2"/>
        <w:rPr>
          <w:rFonts w:ascii="新宋体" w:hAnsi="新宋体" w:eastAsia="新宋体" w:cs="新宋体"/>
          <w:b/>
          <w:bCs/>
          <w:color w:val="auto"/>
          <w:sz w:val="22"/>
          <w:szCs w:val="22"/>
          <w:highlight w:val="none"/>
        </w:rPr>
      </w:pPr>
      <w:bookmarkStart w:id="159" w:name="_Toc31095"/>
      <w:r>
        <w:rPr>
          <w:rFonts w:hint="eastAsia" w:ascii="新宋体" w:hAnsi="新宋体" w:eastAsia="新宋体" w:cs="新宋体"/>
          <w:b/>
          <w:bCs/>
          <w:color w:val="auto"/>
          <w:sz w:val="22"/>
          <w:szCs w:val="22"/>
          <w:highlight w:val="none"/>
        </w:rPr>
        <w:t>1、横道灯杆立柱结构图</w:t>
      </w:r>
      <w:bookmarkEnd w:id="159"/>
    </w:p>
    <w:p w14:paraId="2C2E86F6">
      <w:pPr>
        <w:adjustRightInd w:val="0"/>
        <w:spacing w:line="360" w:lineRule="auto"/>
        <w:outlineLvl w:val="2"/>
        <w:rPr>
          <w:rFonts w:ascii="新宋体" w:hAnsi="新宋体" w:eastAsia="新宋体" w:cs="新宋体"/>
          <w:b/>
          <w:bCs/>
          <w:color w:val="auto"/>
          <w:sz w:val="22"/>
          <w:szCs w:val="22"/>
          <w:highlight w:val="none"/>
        </w:rPr>
      </w:pPr>
      <w:bookmarkStart w:id="160" w:name="_Toc19949"/>
      <w:r>
        <w:rPr>
          <w:rFonts w:hint="eastAsia" w:ascii="新宋体" w:hAnsi="新宋体" w:eastAsia="新宋体" w:cs="新宋体"/>
          <w:color w:val="auto"/>
          <w:sz w:val="22"/>
          <w:szCs w:val="22"/>
          <w:highlight w:val="none"/>
        </w:rPr>
        <w:drawing>
          <wp:inline distT="0" distB="0" distL="114300" distR="114300">
            <wp:extent cx="6976745" cy="4932680"/>
            <wp:effectExtent l="0" t="0" r="14605" b="1270"/>
            <wp:docPr id="3" name="图片 1" descr="横道灯杆立柱结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横道灯杆立柱结构图_00"/>
                    <pic:cNvPicPr>
                      <a:picLocks noChangeAspect="1"/>
                    </pic:cNvPicPr>
                  </pic:nvPicPr>
                  <pic:blipFill>
                    <a:blip r:embed="rId83"/>
                    <a:stretch>
                      <a:fillRect/>
                    </a:stretch>
                  </pic:blipFill>
                  <pic:spPr>
                    <a:xfrm>
                      <a:off x="0" y="0"/>
                      <a:ext cx="6976745" cy="493268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br w:type="page"/>
      </w:r>
      <w:r>
        <w:rPr>
          <w:rFonts w:hint="eastAsia" w:ascii="新宋体" w:hAnsi="新宋体" w:eastAsia="新宋体" w:cs="新宋体"/>
          <w:b/>
          <w:bCs/>
          <w:color w:val="auto"/>
          <w:sz w:val="22"/>
          <w:szCs w:val="22"/>
          <w:highlight w:val="none"/>
        </w:rPr>
        <w:t>2、辅灯杆立柱结构图</w:t>
      </w:r>
      <w:bookmarkEnd w:id="160"/>
    </w:p>
    <w:p w14:paraId="378B8CDA">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114300" distR="114300">
            <wp:extent cx="6797040" cy="4805045"/>
            <wp:effectExtent l="0" t="0" r="3810" b="14605"/>
            <wp:docPr id="4" name="图片 2" descr="辅灯杆立柱结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辅灯杆立柱结构图_00"/>
                    <pic:cNvPicPr>
                      <a:picLocks noChangeAspect="1"/>
                    </pic:cNvPicPr>
                  </pic:nvPicPr>
                  <pic:blipFill>
                    <a:blip r:embed="rId84"/>
                    <a:stretch>
                      <a:fillRect/>
                    </a:stretch>
                  </pic:blipFill>
                  <pic:spPr>
                    <a:xfrm>
                      <a:off x="0" y="0"/>
                      <a:ext cx="6797040" cy="4805045"/>
                    </a:xfrm>
                    <a:prstGeom prst="rect">
                      <a:avLst/>
                    </a:prstGeom>
                    <a:noFill/>
                    <a:ln>
                      <a:noFill/>
                    </a:ln>
                  </pic:spPr>
                </pic:pic>
              </a:graphicData>
            </a:graphic>
          </wp:inline>
        </w:drawing>
      </w:r>
    </w:p>
    <w:p w14:paraId="4E778DC9">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6B85D62D">
      <w:pPr>
        <w:pStyle w:val="169"/>
        <w:adjustRightInd w:val="0"/>
        <w:ind w:firstLine="0"/>
        <w:textAlignment w:val="baseline"/>
        <w:outlineLvl w:val="2"/>
        <w:rPr>
          <w:rFonts w:ascii="新宋体" w:hAnsi="新宋体" w:eastAsia="新宋体" w:cs="新宋体"/>
          <w:b/>
          <w:bCs/>
          <w:color w:val="auto"/>
          <w:sz w:val="22"/>
          <w:szCs w:val="22"/>
          <w:highlight w:val="none"/>
        </w:rPr>
      </w:pPr>
      <w:bookmarkStart w:id="161" w:name="_Toc13272"/>
      <w:r>
        <w:rPr>
          <w:rFonts w:hint="eastAsia" w:ascii="新宋体" w:hAnsi="新宋体" w:eastAsia="新宋体" w:cs="新宋体"/>
          <w:b/>
          <w:bCs/>
          <w:color w:val="auto"/>
          <w:sz w:val="22"/>
          <w:szCs w:val="22"/>
          <w:highlight w:val="none"/>
        </w:rPr>
        <w:t>3、地面门架结构图</w:t>
      </w:r>
      <w:bookmarkEnd w:id="161"/>
    </w:p>
    <w:p w14:paraId="56013106">
      <w:pPr>
        <w:pStyle w:val="169"/>
        <w:adjustRightInd w:val="0"/>
        <w:ind w:firstLine="0"/>
        <w:textAlignment w:val="baseline"/>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114300" distR="114300">
            <wp:extent cx="7720965" cy="5459730"/>
            <wp:effectExtent l="0" t="0" r="13335" b="7620"/>
            <wp:docPr id="5" name="图片 3" descr="地面门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地面门架_01"/>
                    <pic:cNvPicPr>
                      <a:picLocks noChangeAspect="1"/>
                    </pic:cNvPicPr>
                  </pic:nvPicPr>
                  <pic:blipFill>
                    <a:blip r:embed="rId85"/>
                    <a:stretch>
                      <a:fillRect/>
                    </a:stretch>
                  </pic:blipFill>
                  <pic:spPr>
                    <a:xfrm rot="10800000">
                      <a:off x="0" y="0"/>
                      <a:ext cx="7720965" cy="5459730"/>
                    </a:xfrm>
                    <a:prstGeom prst="rect">
                      <a:avLst/>
                    </a:prstGeom>
                    <a:noFill/>
                    <a:ln>
                      <a:noFill/>
                    </a:ln>
                  </pic:spPr>
                </pic:pic>
              </a:graphicData>
            </a:graphic>
          </wp:inline>
        </w:drawing>
      </w:r>
    </w:p>
    <w:p w14:paraId="1016BC92">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45004583">
      <w:pPr>
        <w:pStyle w:val="169"/>
        <w:numPr>
          <w:ilvl w:val="0"/>
          <w:numId w:val="0"/>
        </w:numPr>
        <w:adjustRightInd w:val="0"/>
        <w:ind w:left="360" w:leftChars="0" w:firstLine="0" w:firstLineChars="0"/>
        <w:textAlignment w:val="baseline"/>
        <w:outlineLvl w:val="2"/>
        <w:rPr>
          <w:rFonts w:hint="eastAsia" w:ascii="新宋体" w:hAnsi="新宋体" w:eastAsia="新宋体" w:cs="新宋体"/>
          <w:b/>
          <w:bCs/>
          <w:color w:val="auto"/>
          <w:sz w:val="22"/>
          <w:szCs w:val="22"/>
          <w:highlight w:val="none"/>
        </w:rPr>
      </w:pPr>
      <w:bookmarkStart w:id="162" w:name="_Toc19489"/>
      <w:r>
        <w:rPr>
          <w:rFonts w:hint="eastAsia" w:ascii="新宋体" w:hAnsi="新宋体" w:eastAsia="新宋体" w:cs="新宋体"/>
          <w:b/>
          <w:bCs/>
          <w:color w:val="auto"/>
          <w:kern w:val="0"/>
          <w:sz w:val="22"/>
          <w:szCs w:val="22"/>
          <w:highlight w:val="none"/>
          <w:lang w:val="en-US" w:eastAsia="zh-CN" w:bidi="ar-SA"/>
        </w:rPr>
        <w:t>4、</w:t>
      </w:r>
      <w:r>
        <w:rPr>
          <w:rFonts w:hint="eastAsia" w:ascii="新宋体" w:hAnsi="新宋体" w:eastAsia="新宋体" w:cs="新宋体"/>
          <w:b/>
          <w:bCs/>
          <w:color w:val="auto"/>
          <w:sz w:val="22"/>
          <w:szCs w:val="22"/>
          <w:highlight w:val="none"/>
        </w:rPr>
        <w:t>横道灯杆、辅灯杆基础结构图</w:t>
      </w:r>
      <w:bookmarkEnd w:id="162"/>
    </w:p>
    <w:p w14:paraId="1041B69E">
      <w:pPr>
        <w:pStyle w:val="169"/>
        <w:numPr>
          <w:ilvl w:val="0"/>
          <w:numId w:val="0"/>
        </w:numPr>
        <w:adjustRightInd w:val="0"/>
        <w:ind w:left="360" w:leftChars="0" w:firstLine="0" w:firstLineChars="0"/>
        <w:jc w:val="center"/>
        <w:textAlignment w:val="baseline"/>
        <w:outlineLvl w:val="9"/>
        <w:rPr>
          <w:rFonts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rPr>
        <w:drawing>
          <wp:inline distT="0" distB="0" distL="114300" distR="114300">
            <wp:extent cx="7823200" cy="5529580"/>
            <wp:effectExtent l="0" t="0" r="6350" b="13970"/>
            <wp:docPr id="8" name="图片 4" descr="横道灯杆、辅灯杆基础结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横道灯杆、辅灯杆基础结构图_00"/>
                    <pic:cNvPicPr>
                      <a:picLocks noChangeAspect="1"/>
                    </pic:cNvPicPr>
                  </pic:nvPicPr>
                  <pic:blipFill>
                    <a:blip r:embed="rId86"/>
                    <a:stretch>
                      <a:fillRect/>
                    </a:stretch>
                  </pic:blipFill>
                  <pic:spPr>
                    <a:xfrm>
                      <a:off x="0" y="0"/>
                      <a:ext cx="7823200" cy="552958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br w:type="page"/>
      </w:r>
    </w:p>
    <w:p w14:paraId="7C476E38">
      <w:pPr>
        <w:pStyle w:val="169"/>
        <w:adjustRightInd w:val="0"/>
        <w:ind w:firstLine="0"/>
        <w:textAlignment w:val="baseline"/>
        <w:outlineLvl w:val="2"/>
        <w:rPr>
          <w:rFonts w:ascii="新宋体" w:hAnsi="新宋体" w:eastAsia="新宋体" w:cs="新宋体"/>
          <w:b/>
          <w:bCs/>
          <w:color w:val="auto"/>
          <w:sz w:val="22"/>
          <w:szCs w:val="22"/>
          <w:highlight w:val="none"/>
        </w:rPr>
      </w:pPr>
      <w:bookmarkStart w:id="163" w:name="_Toc2389"/>
      <w:r>
        <w:rPr>
          <w:rFonts w:hint="eastAsia" w:ascii="新宋体" w:hAnsi="新宋体" w:eastAsia="新宋体" w:cs="新宋体"/>
          <w:b/>
          <w:bCs/>
          <w:color w:val="auto"/>
          <w:sz w:val="22"/>
          <w:szCs w:val="22"/>
          <w:highlight w:val="none"/>
        </w:rPr>
        <w:t>5、89单立柱标志结构安装图</w:t>
      </w:r>
      <w:bookmarkEnd w:id="163"/>
    </w:p>
    <w:p w14:paraId="03EDB7DB">
      <w:pPr>
        <w:spacing w:line="360" w:lineRule="auto"/>
        <w:rPr>
          <w:rFonts w:ascii="新宋体" w:hAnsi="新宋体" w:eastAsia="新宋体" w:cs="新宋体"/>
          <w:color w:val="auto"/>
          <w:sz w:val="22"/>
          <w:szCs w:val="22"/>
          <w:highlight w:val="none"/>
        </w:rPr>
      </w:pPr>
    </w:p>
    <w:p w14:paraId="6F504311">
      <w:pPr>
        <w:pStyle w:val="169"/>
        <w:adjustRightInd w:val="0"/>
        <w:ind w:firstLine="0"/>
        <w:textAlignment w:val="baseline"/>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114300" distR="114300">
            <wp:extent cx="5260340" cy="7442200"/>
            <wp:effectExtent l="0" t="0" r="16510" b="6350"/>
            <wp:docPr id="9" name="图片 9" descr="89单立柱标志结构安装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9单立柱标志结构安装图_00"/>
                    <pic:cNvPicPr>
                      <a:picLocks noChangeAspect="1"/>
                    </pic:cNvPicPr>
                  </pic:nvPicPr>
                  <pic:blipFill>
                    <a:blip r:embed="rId87"/>
                    <a:stretch>
                      <a:fillRect/>
                    </a:stretch>
                  </pic:blipFill>
                  <pic:spPr>
                    <a:xfrm rot="16200000">
                      <a:off x="0" y="0"/>
                      <a:ext cx="5260340" cy="7442200"/>
                    </a:xfrm>
                    <a:prstGeom prst="rect">
                      <a:avLst/>
                    </a:prstGeom>
                    <a:noFill/>
                    <a:ln>
                      <a:noFill/>
                    </a:ln>
                  </pic:spPr>
                </pic:pic>
              </a:graphicData>
            </a:graphic>
          </wp:inline>
        </w:drawing>
      </w:r>
    </w:p>
    <w:p w14:paraId="5CF1CDAC">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79C19B74">
      <w:pPr>
        <w:pStyle w:val="169"/>
        <w:adjustRightInd w:val="0"/>
        <w:ind w:firstLine="0"/>
        <w:textAlignment w:val="baseline"/>
        <w:outlineLvl w:val="2"/>
        <w:rPr>
          <w:rFonts w:ascii="新宋体" w:hAnsi="新宋体" w:eastAsia="新宋体" w:cs="新宋体"/>
          <w:color w:val="auto"/>
          <w:sz w:val="22"/>
          <w:szCs w:val="22"/>
          <w:highlight w:val="none"/>
        </w:rPr>
      </w:pPr>
      <w:bookmarkStart w:id="164" w:name="_Toc21246"/>
      <w:r>
        <w:rPr>
          <w:rFonts w:hint="eastAsia" w:ascii="新宋体" w:hAnsi="新宋体" w:eastAsia="新宋体" w:cs="新宋体"/>
          <w:b/>
          <w:bCs/>
          <w:color w:val="auto"/>
          <w:sz w:val="22"/>
          <w:szCs w:val="22"/>
          <w:highlight w:val="none"/>
        </w:rPr>
        <w:t>6、114单立杆标志结构图</w:t>
      </w:r>
      <w:r>
        <w:rPr>
          <w:rFonts w:hint="eastAsia" w:ascii="新宋体" w:hAnsi="新宋体" w:eastAsia="新宋体" w:cs="新宋体"/>
          <w:color w:val="auto"/>
          <w:sz w:val="22"/>
          <w:szCs w:val="22"/>
          <w:highlight w:val="none"/>
        </w:rPr>
        <w:drawing>
          <wp:inline distT="0" distB="0" distL="114300" distR="114300">
            <wp:extent cx="5563870" cy="7870190"/>
            <wp:effectExtent l="0" t="0" r="16510" b="17780"/>
            <wp:docPr id="10" name="图片 6" descr="114单立柱标志结构安装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114单立柱标志结构安装图_00"/>
                    <pic:cNvPicPr>
                      <a:picLocks noChangeAspect="1"/>
                    </pic:cNvPicPr>
                  </pic:nvPicPr>
                  <pic:blipFill>
                    <a:blip r:embed="rId88"/>
                    <a:stretch>
                      <a:fillRect/>
                    </a:stretch>
                  </pic:blipFill>
                  <pic:spPr>
                    <a:xfrm rot="16200000">
                      <a:off x="0" y="0"/>
                      <a:ext cx="5563870" cy="787019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11" name="图片 7" descr="168F杆件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68F杆件标志结构及基础图01_00"/>
                    <pic:cNvPicPr>
                      <a:picLocks noChangeAspect="1"/>
                    </pic:cNvPicPr>
                  </pic:nvPicPr>
                  <pic:blipFill>
                    <a:blip r:embed="rId89"/>
                    <a:stretch>
                      <a:fillRect/>
                    </a:stretch>
                  </pic:blipFill>
                  <pic:spPr>
                    <a:xfrm rot="16200000">
                      <a:off x="0" y="0"/>
                      <a:ext cx="5260340" cy="744220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12" name="图片 8" descr="168F杆件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168F杆件标志结构及基础图02_00"/>
                    <pic:cNvPicPr>
                      <a:picLocks noChangeAspect="1"/>
                    </pic:cNvPicPr>
                  </pic:nvPicPr>
                  <pic:blipFill>
                    <a:blip r:embed="rId90"/>
                    <a:stretch>
                      <a:fillRect/>
                    </a:stretch>
                  </pic:blipFill>
                  <pic:spPr>
                    <a:xfrm rot="16200000">
                      <a:off x="0" y="0"/>
                      <a:ext cx="5260340" cy="7442200"/>
                    </a:xfrm>
                    <a:prstGeom prst="rect">
                      <a:avLst/>
                    </a:prstGeom>
                    <a:noFill/>
                    <a:ln>
                      <a:noFill/>
                    </a:ln>
                  </pic:spPr>
                </pic:pic>
              </a:graphicData>
            </a:graphic>
          </wp:inline>
        </w:drawing>
      </w:r>
      <w:bookmarkEnd w:id="164"/>
    </w:p>
    <w:p w14:paraId="1AFAB2A8">
      <w:pPr>
        <w:adjustRightInd w:val="0"/>
        <w:spacing w:line="360" w:lineRule="auto"/>
        <w:outlineLvl w:val="2"/>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bookmarkStart w:id="165" w:name="_Toc30691"/>
      <w:r>
        <w:rPr>
          <w:rFonts w:hint="eastAsia" w:ascii="新宋体" w:hAnsi="新宋体" w:eastAsia="新宋体" w:cs="新宋体"/>
          <w:b/>
          <w:bCs/>
          <w:color w:val="auto"/>
          <w:sz w:val="22"/>
          <w:szCs w:val="22"/>
          <w:highlight w:val="none"/>
        </w:rPr>
        <w:t>7、168F单立杆标志结构图</w:t>
      </w:r>
      <w:bookmarkEnd w:id="165"/>
    </w:p>
    <w:p w14:paraId="3F73FE1C">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13" name="图片 9" descr="168F杆件标志结构及基础图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168F杆件标志结构及基础图03_00"/>
                    <pic:cNvPicPr>
                      <a:picLocks noChangeAspect="1"/>
                    </pic:cNvPicPr>
                  </pic:nvPicPr>
                  <pic:blipFill>
                    <a:blip r:embed="rId91"/>
                    <a:stretch>
                      <a:fillRect/>
                    </a:stretch>
                  </pic:blipFill>
                  <pic:spPr>
                    <a:xfrm rot="16200000">
                      <a:off x="0" y="0"/>
                      <a:ext cx="5260340" cy="744220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37" name="图片 9" descr="168F杆件标志结构及基础图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168F杆件标志结构及基础图03_00"/>
                    <pic:cNvPicPr>
                      <a:picLocks noChangeAspect="1"/>
                    </pic:cNvPicPr>
                  </pic:nvPicPr>
                  <pic:blipFill>
                    <a:blip r:embed="rId91"/>
                    <a:stretch>
                      <a:fillRect/>
                    </a:stretch>
                  </pic:blipFill>
                  <pic:spPr>
                    <a:xfrm rot="16200000">
                      <a:off x="0" y="0"/>
                      <a:ext cx="5260340" cy="7442200"/>
                    </a:xfrm>
                    <a:prstGeom prst="rect">
                      <a:avLst/>
                    </a:prstGeom>
                    <a:noFill/>
                    <a:ln>
                      <a:noFill/>
                    </a:ln>
                  </pic:spPr>
                </pic:pic>
              </a:graphicData>
            </a:graphic>
          </wp:inline>
        </w:drawing>
      </w:r>
    </w:p>
    <w:p w14:paraId="5EEED687">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77B6BF93">
      <w:pPr>
        <w:pStyle w:val="169"/>
        <w:adjustRightInd w:val="0"/>
        <w:ind w:firstLine="0"/>
        <w:textAlignment w:val="baseline"/>
        <w:outlineLvl w:val="2"/>
        <w:rPr>
          <w:rFonts w:ascii="新宋体" w:hAnsi="新宋体" w:eastAsia="新宋体" w:cs="新宋体"/>
          <w:color w:val="auto"/>
          <w:sz w:val="22"/>
          <w:szCs w:val="22"/>
          <w:highlight w:val="none"/>
        </w:rPr>
      </w:pPr>
      <w:bookmarkStart w:id="166" w:name="_Toc12934"/>
      <w:r>
        <w:rPr>
          <w:rFonts w:hint="eastAsia" w:ascii="新宋体" w:hAnsi="新宋体" w:eastAsia="新宋体" w:cs="新宋体"/>
          <w:b/>
          <w:bCs/>
          <w:color w:val="auto"/>
          <w:sz w:val="22"/>
          <w:szCs w:val="22"/>
          <w:highlight w:val="none"/>
        </w:rPr>
        <w:t>8、219F杆件标志结构安装图</w:t>
      </w:r>
      <w:r>
        <w:rPr>
          <w:rFonts w:hint="eastAsia" w:ascii="新宋体" w:hAnsi="新宋体" w:eastAsia="新宋体" w:cs="新宋体"/>
          <w:color w:val="auto"/>
          <w:sz w:val="22"/>
          <w:szCs w:val="22"/>
          <w:highlight w:val="none"/>
        </w:rPr>
        <w:drawing>
          <wp:inline distT="0" distB="0" distL="114300" distR="114300">
            <wp:extent cx="5261610" cy="7440930"/>
            <wp:effectExtent l="0" t="0" r="7620" b="15240"/>
            <wp:docPr id="14" name="图片 10" descr="219F杆件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219F杆件标志结构及基础图01_00"/>
                    <pic:cNvPicPr>
                      <a:picLocks noChangeAspect="1"/>
                    </pic:cNvPicPr>
                  </pic:nvPicPr>
                  <pic:blipFill>
                    <a:blip r:embed="rId92"/>
                    <a:stretch>
                      <a:fillRect/>
                    </a:stretch>
                  </pic:blipFill>
                  <pic:spPr>
                    <a:xfrm rot="16200000">
                      <a:off x="0" y="0"/>
                      <a:ext cx="5261610" cy="744093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19" name="图片 11" descr="219F杆件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219F杆件标志结构及基础图02_00"/>
                    <pic:cNvPicPr>
                      <a:picLocks noChangeAspect="1"/>
                    </pic:cNvPicPr>
                  </pic:nvPicPr>
                  <pic:blipFill>
                    <a:blip r:embed="rId93"/>
                    <a:stretch>
                      <a:fillRect/>
                    </a:stretch>
                  </pic:blipFill>
                  <pic:spPr>
                    <a:xfrm rot="16200000">
                      <a:off x="0" y="0"/>
                      <a:ext cx="5260340" cy="744220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25" name="图片 12" descr="219F杆件标志结构及基础图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219F杆件标志结构及基础图03_00"/>
                    <pic:cNvPicPr>
                      <a:picLocks noChangeAspect="1"/>
                    </pic:cNvPicPr>
                  </pic:nvPicPr>
                  <pic:blipFill>
                    <a:blip r:embed="rId94"/>
                    <a:stretch>
                      <a:fillRect/>
                    </a:stretch>
                  </pic:blipFill>
                  <pic:spPr>
                    <a:xfrm rot="16200000">
                      <a:off x="0" y="0"/>
                      <a:ext cx="5260340" cy="7442200"/>
                    </a:xfrm>
                    <a:prstGeom prst="rect">
                      <a:avLst/>
                    </a:prstGeom>
                    <a:noFill/>
                    <a:ln>
                      <a:noFill/>
                    </a:ln>
                  </pic:spPr>
                </pic:pic>
              </a:graphicData>
            </a:graphic>
          </wp:inline>
        </w:drawing>
      </w:r>
      <w:bookmarkEnd w:id="166"/>
    </w:p>
    <w:p w14:paraId="73196FDC">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78ABB58B">
      <w:pPr>
        <w:pStyle w:val="169"/>
        <w:adjustRightInd w:val="0"/>
        <w:ind w:firstLine="0"/>
        <w:textAlignment w:val="baseline"/>
        <w:outlineLvl w:val="2"/>
        <w:rPr>
          <w:rFonts w:ascii="新宋体" w:hAnsi="新宋体" w:eastAsia="新宋体" w:cs="新宋体"/>
          <w:b/>
          <w:bCs/>
          <w:color w:val="auto"/>
          <w:sz w:val="22"/>
          <w:szCs w:val="22"/>
          <w:highlight w:val="none"/>
        </w:rPr>
      </w:pPr>
      <w:bookmarkStart w:id="167" w:name="_Toc14804"/>
      <w:r>
        <w:rPr>
          <w:rFonts w:hint="eastAsia" w:ascii="新宋体" w:hAnsi="新宋体" w:eastAsia="新宋体" w:cs="新宋体"/>
          <w:b/>
          <w:bCs/>
          <w:color w:val="auto"/>
          <w:sz w:val="22"/>
          <w:szCs w:val="22"/>
          <w:highlight w:val="none"/>
        </w:rPr>
        <w:t>9、273F杆件标志结构安装图</w:t>
      </w:r>
      <w:bookmarkEnd w:id="167"/>
    </w:p>
    <w:p w14:paraId="49788D92">
      <w:pPr>
        <w:pStyle w:val="169"/>
        <w:ind w:firstLine="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114300" distR="114300">
            <wp:extent cx="5543550" cy="7843520"/>
            <wp:effectExtent l="0" t="0" r="5080" b="0"/>
            <wp:docPr id="29" name="图片 13" descr="273F杆件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273F杆件标志结构及基础图01_00"/>
                    <pic:cNvPicPr>
                      <a:picLocks noChangeAspect="1"/>
                    </pic:cNvPicPr>
                  </pic:nvPicPr>
                  <pic:blipFill>
                    <a:blip r:embed="rId95" cstate="print"/>
                    <a:stretch>
                      <a:fillRect/>
                    </a:stretch>
                  </pic:blipFill>
                  <pic:spPr>
                    <a:xfrm rot="16200000">
                      <a:off x="0" y="0"/>
                      <a:ext cx="5543550" cy="7843520"/>
                    </a:xfrm>
                    <a:prstGeom prst="rect">
                      <a:avLst/>
                    </a:prstGeom>
                    <a:noFill/>
                    <a:ln>
                      <a:noFill/>
                    </a:ln>
                  </pic:spPr>
                </pic:pic>
              </a:graphicData>
            </a:graphic>
          </wp:inline>
        </w:drawing>
      </w:r>
    </w:p>
    <w:p w14:paraId="3AD1F462">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3319762C">
      <w:pPr>
        <w:pStyle w:val="169"/>
        <w:ind w:firstLine="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15" name="图片 15" descr="273F杆件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3F杆件标志结构及基础图01_00"/>
                    <pic:cNvPicPr>
                      <a:picLocks noChangeAspect="1"/>
                    </pic:cNvPicPr>
                  </pic:nvPicPr>
                  <pic:blipFill>
                    <a:blip r:embed="rId96" cstate="print"/>
                    <a:stretch>
                      <a:fillRect/>
                    </a:stretch>
                  </pic:blipFill>
                  <pic:spPr>
                    <a:xfrm rot="16200000">
                      <a:off x="0" y="0"/>
                      <a:ext cx="5260340" cy="744220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drawing>
          <wp:inline distT="0" distB="0" distL="114300" distR="114300">
            <wp:extent cx="5261610" cy="7440930"/>
            <wp:effectExtent l="0" t="0" r="7620" b="15240"/>
            <wp:docPr id="17" name="图片 15" descr="273F杆件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273F杆件标志结构及基础图02_00"/>
                    <pic:cNvPicPr>
                      <a:picLocks noChangeAspect="1"/>
                    </pic:cNvPicPr>
                  </pic:nvPicPr>
                  <pic:blipFill>
                    <a:blip r:embed="rId97"/>
                    <a:stretch>
                      <a:fillRect/>
                    </a:stretch>
                  </pic:blipFill>
                  <pic:spPr>
                    <a:xfrm rot="16200000">
                      <a:off x="0" y="0"/>
                      <a:ext cx="5261610" cy="744093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16" name="图片 16" descr="273F杆件标志结构及基础图0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73F杆件标志结构及基础图03_00"/>
                    <pic:cNvPicPr>
                      <a:picLocks noChangeAspect="1"/>
                    </pic:cNvPicPr>
                  </pic:nvPicPr>
                  <pic:blipFill>
                    <a:blip r:embed="rId98"/>
                    <a:stretch>
                      <a:fillRect/>
                    </a:stretch>
                  </pic:blipFill>
                  <pic:spPr>
                    <a:xfrm rot="16200000">
                      <a:off x="0" y="0"/>
                      <a:ext cx="5260340" cy="7442200"/>
                    </a:xfrm>
                    <a:prstGeom prst="rect">
                      <a:avLst/>
                    </a:prstGeom>
                    <a:noFill/>
                    <a:ln>
                      <a:noFill/>
                    </a:ln>
                  </pic:spPr>
                </pic:pic>
              </a:graphicData>
            </a:graphic>
          </wp:inline>
        </w:drawing>
      </w:r>
    </w:p>
    <w:p w14:paraId="3388448B">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47F19939">
      <w:pPr>
        <w:pStyle w:val="169"/>
        <w:adjustRightInd w:val="0"/>
        <w:ind w:firstLine="0"/>
        <w:textAlignment w:val="baseline"/>
        <w:outlineLvl w:val="2"/>
        <w:rPr>
          <w:rFonts w:ascii="新宋体" w:hAnsi="新宋体" w:eastAsia="新宋体" w:cs="新宋体"/>
          <w:color w:val="auto"/>
          <w:sz w:val="22"/>
          <w:szCs w:val="22"/>
          <w:highlight w:val="none"/>
        </w:rPr>
      </w:pPr>
      <w:bookmarkStart w:id="168" w:name="_Toc9400"/>
      <w:r>
        <w:rPr>
          <w:rFonts w:hint="eastAsia" w:ascii="新宋体" w:hAnsi="新宋体" w:eastAsia="新宋体" w:cs="新宋体"/>
          <w:b/>
          <w:bCs/>
          <w:color w:val="auto"/>
          <w:sz w:val="22"/>
          <w:szCs w:val="22"/>
          <w:highlight w:val="none"/>
        </w:rPr>
        <w:t>10、L杆标志结构安装图</w:t>
      </w:r>
      <w:r>
        <w:rPr>
          <w:rFonts w:hint="eastAsia" w:ascii="新宋体" w:hAnsi="新宋体" w:eastAsia="新宋体" w:cs="新宋体"/>
          <w:color w:val="auto"/>
          <w:sz w:val="22"/>
          <w:szCs w:val="22"/>
          <w:highlight w:val="none"/>
        </w:rPr>
        <w:drawing>
          <wp:inline distT="0" distB="0" distL="114300" distR="114300">
            <wp:extent cx="5575300" cy="7888605"/>
            <wp:effectExtent l="0" t="0" r="17145" b="6350"/>
            <wp:docPr id="22" name="图片 17" descr="L杆标志结构及基础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L杆标志结构及基础图01_00"/>
                    <pic:cNvPicPr>
                      <a:picLocks noChangeAspect="1"/>
                    </pic:cNvPicPr>
                  </pic:nvPicPr>
                  <pic:blipFill>
                    <a:blip r:embed="rId99"/>
                    <a:stretch>
                      <a:fillRect/>
                    </a:stretch>
                  </pic:blipFill>
                  <pic:spPr>
                    <a:xfrm rot="16200000">
                      <a:off x="0" y="0"/>
                      <a:ext cx="5575300" cy="7888605"/>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20" name="图片 18" descr="L杆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L杆标志结构及基础图02_00"/>
                    <pic:cNvPicPr>
                      <a:picLocks noChangeAspect="1"/>
                    </pic:cNvPicPr>
                  </pic:nvPicPr>
                  <pic:blipFill>
                    <a:blip r:embed="rId100" cstate="print"/>
                    <a:stretch>
                      <a:fillRect/>
                    </a:stretch>
                  </pic:blipFill>
                  <pic:spPr>
                    <a:xfrm rot="16200000">
                      <a:off x="0" y="0"/>
                      <a:ext cx="5260340" cy="7442200"/>
                    </a:xfrm>
                    <a:prstGeom prst="rect">
                      <a:avLst/>
                    </a:prstGeom>
                    <a:noFill/>
                    <a:ln>
                      <a:noFill/>
                    </a:ln>
                  </pic:spPr>
                </pic:pic>
              </a:graphicData>
            </a:graphic>
          </wp:inline>
        </w:drawing>
      </w:r>
      <w:bookmarkEnd w:id="168"/>
    </w:p>
    <w:p w14:paraId="14491AEE">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7C19972B">
      <w:pPr>
        <w:pStyle w:val="169"/>
        <w:adjustRightInd w:val="0"/>
        <w:ind w:firstLine="0"/>
        <w:textAlignment w:val="baseline"/>
        <w:outlineLvl w:val="2"/>
        <w:rPr>
          <w:rFonts w:ascii="新宋体" w:hAnsi="新宋体" w:eastAsia="新宋体" w:cs="新宋体"/>
          <w:color w:val="auto"/>
          <w:sz w:val="22"/>
          <w:szCs w:val="22"/>
          <w:highlight w:val="none"/>
        </w:rPr>
      </w:pPr>
      <w:bookmarkStart w:id="169" w:name="_Toc11864"/>
      <w:r>
        <w:rPr>
          <w:rFonts w:hint="eastAsia" w:ascii="新宋体" w:hAnsi="新宋体" w:eastAsia="新宋体" w:cs="新宋体"/>
          <w:b/>
          <w:bCs/>
          <w:color w:val="auto"/>
          <w:sz w:val="22"/>
          <w:szCs w:val="22"/>
          <w:highlight w:val="none"/>
        </w:rPr>
        <w:t>11、信号灯L杆标志结构及基础图</w:t>
      </w:r>
      <w:r>
        <w:rPr>
          <w:rFonts w:hint="eastAsia" w:ascii="新宋体" w:hAnsi="新宋体" w:eastAsia="新宋体" w:cs="新宋体"/>
          <w:color w:val="auto"/>
          <w:sz w:val="22"/>
          <w:szCs w:val="22"/>
          <w:highlight w:val="none"/>
        </w:rPr>
        <w:drawing>
          <wp:inline distT="0" distB="0" distL="114300" distR="114300">
            <wp:extent cx="5530850" cy="7825740"/>
            <wp:effectExtent l="0" t="0" r="3810" b="12700"/>
            <wp:docPr id="18" name="图片 19" descr="L杆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L杆标志结构及基础图02_00"/>
                    <pic:cNvPicPr>
                      <a:picLocks noChangeAspect="1"/>
                    </pic:cNvPicPr>
                  </pic:nvPicPr>
                  <pic:blipFill>
                    <a:blip r:embed="rId101" cstate="print"/>
                    <a:stretch>
                      <a:fillRect/>
                    </a:stretch>
                  </pic:blipFill>
                  <pic:spPr>
                    <a:xfrm rot="16200000">
                      <a:off x="0" y="0"/>
                      <a:ext cx="5530850" cy="7825740"/>
                    </a:xfrm>
                    <a:prstGeom prst="rect">
                      <a:avLst/>
                    </a:prstGeom>
                    <a:noFill/>
                    <a:ln>
                      <a:noFill/>
                    </a:ln>
                  </pic:spPr>
                </pic:pic>
              </a:graphicData>
            </a:graphic>
          </wp:inline>
        </w:drawing>
      </w:r>
      <w:r>
        <w:rPr>
          <w:rFonts w:hint="eastAsia" w:ascii="新宋体" w:hAnsi="新宋体" w:eastAsia="新宋体" w:cs="新宋体"/>
          <w:color w:val="auto"/>
          <w:sz w:val="22"/>
          <w:szCs w:val="22"/>
          <w:highlight w:val="none"/>
        </w:rPr>
        <w:drawing>
          <wp:inline distT="0" distB="0" distL="114300" distR="114300">
            <wp:extent cx="5260340" cy="7442200"/>
            <wp:effectExtent l="0" t="0" r="6350" b="16510"/>
            <wp:docPr id="31" name="图片 20" descr="信号灯L杆标志结构及基础图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信号灯L杆标志结构及基础图02_00"/>
                    <pic:cNvPicPr>
                      <a:picLocks noChangeAspect="1"/>
                    </pic:cNvPicPr>
                  </pic:nvPicPr>
                  <pic:blipFill>
                    <a:blip r:embed="rId102"/>
                    <a:stretch>
                      <a:fillRect/>
                    </a:stretch>
                  </pic:blipFill>
                  <pic:spPr>
                    <a:xfrm rot="16200000">
                      <a:off x="0" y="0"/>
                      <a:ext cx="5260340" cy="7442200"/>
                    </a:xfrm>
                    <a:prstGeom prst="rect">
                      <a:avLst/>
                    </a:prstGeom>
                    <a:noFill/>
                    <a:ln>
                      <a:noFill/>
                    </a:ln>
                  </pic:spPr>
                </pic:pic>
              </a:graphicData>
            </a:graphic>
          </wp:inline>
        </w:drawing>
      </w:r>
      <w:bookmarkEnd w:id="169"/>
    </w:p>
    <w:p w14:paraId="0F9B6747">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45BFF15E">
      <w:pPr>
        <w:pStyle w:val="169"/>
        <w:numPr>
          <w:ilvl w:val="0"/>
          <w:numId w:val="2"/>
        </w:numPr>
        <w:adjustRightInd w:val="0"/>
        <w:ind w:firstLine="0"/>
        <w:textAlignment w:val="baseline"/>
        <w:outlineLvl w:val="2"/>
        <w:rPr>
          <w:rFonts w:hint="eastAsia" w:ascii="新宋体" w:hAnsi="新宋体" w:eastAsia="新宋体" w:cs="新宋体"/>
          <w:b/>
          <w:bCs/>
          <w:color w:val="auto"/>
          <w:sz w:val="22"/>
          <w:szCs w:val="22"/>
          <w:highlight w:val="none"/>
        </w:rPr>
      </w:pPr>
      <w:bookmarkStart w:id="170" w:name="_Toc3197"/>
      <w:r>
        <w:rPr>
          <w:rFonts w:hint="eastAsia" w:ascii="新宋体" w:hAnsi="新宋体" w:eastAsia="新宋体" w:cs="新宋体"/>
          <w:b/>
          <w:bCs/>
          <w:color w:val="auto"/>
          <w:sz w:val="22"/>
          <w:szCs w:val="22"/>
          <w:highlight w:val="none"/>
        </w:rPr>
        <w:t>人行道灯立柱大样图</w:t>
      </w:r>
      <w:bookmarkEnd w:id="170"/>
    </w:p>
    <w:p w14:paraId="7BE6ABED">
      <w:pPr>
        <w:pStyle w:val="169"/>
        <w:numPr>
          <w:ilvl w:val="0"/>
          <w:numId w:val="0"/>
        </w:numPr>
        <w:adjustRightInd w:val="0"/>
        <w:ind w:left="360" w:leftChars="0"/>
        <w:textAlignment w:val="baseline"/>
        <w:outlineLvl w:val="9"/>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114300" distR="114300">
            <wp:extent cx="5266690" cy="7452360"/>
            <wp:effectExtent l="0" t="0" r="15240" b="10160"/>
            <wp:docPr id="27" name="图片 21" descr="人行护栏示意图(1) Model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人行护栏示意图(1) Model (1)_01"/>
                    <pic:cNvPicPr>
                      <a:picLocks noChangeAspect="1"/>
                    </pic:cNvPicPr>
                  </pic:nvPicPr>
                  <pic:blipFill>
                    <a:blip r:embed="rId103"/>
                    <a:stretch>
                      <a:fillRect/>
                    </a:stretch>
                  </pic:blipFill>
                  <pic:spPr>
                    <a:xfrm rot="16200000">
                      <a:off x="0" y="0"/>
                      <a:ext cx="5266690" cy="7452360"/>
                    </a:xfrm>
                    <a:prstGeom prst="rect">
                      <a:avLst/>
                    </a:prstGeom>
                    <a:noFill/>
                    <a:ln>
                      <a:noFill/>
                    </a:ln>
                  </pic:spPr>
                </pic:pic>
              </a:graphicData>
            </a:graphic>
          </wp:inline>
        </w:drawing>
      </w:r>
    </w:p>
    <w:p w14:paraId="3AF7F181">
      <w:pPr>
        <w:spacing w:line="360" w:lineRule="auto"/>
        <w:outlineLvl w:val="2"/>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bookmarkStart w:id="171" w:name="_Toc13098"/>
      <w:r>
        <w:rPr>
          <w:rFonts w:hint="eastAsia" w:ascii="新宋体" w:hAnsi="新宋体" w:eastAsia="新宋体" w:cs="新宋体"/>
          <w:b/>
          <w:bCs/>
          <w:color w:val="auto"/>
          <w:sz w:val="22"/>
          <w:szCs w:val="22"/>
          <w:highlight w:val="none"/>
        </w:rPr>
        <w:t>13、人行护栏大样图</w:t>
      </w:r>
      <w:bookmarkEnd w:id="171"/>
    </w:p>
    <w:p w14:paraId="1AEED16E">
      <w:pPr>
        <w:tabs>
          <w:tab w:val="left" w:pos="6075"/>
        </w:tabs>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114300" distR="114300">
            <wp:extent cx="4476750" cy="8427085"/>
            <wp:effectExtent l="0" t="0" r="12065" b="0"/>
            <wp:docPr id="23" name="图片 22" descr="人行护栏示意图(1)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人行护栏示意图(1) Model (1)_00"/>
                    <pic:cNvPicPr>
                      <a:picLocks noChangeAspect="1"/>
                    </pic:cNvPicPr>
                  </pic:nvPicPr>
                  <pic:blipFill>
                    <a:blip r:embed="rId104"/>
                    <a:srcRect l="28247" t="4539"/>
                    <a:stretch>
                      <a:fillRect/>
                    </a:stretch>
                  </pic:blipFill>
                  <pic:spPr>
                    <a:xfrm rot="16200000">
                      <a:off x="0" y="0"/>
                      <a:ext cx="4476750" cy="8427085"/>
                    </a:xfrm>
                    <a:prstGeom prst="rect">
                      <a:avLst/>
                    </a:prstGeom>
                    <a:noFill/>
                    <a:ln>
                      <a:noFill/>
                    </a:ln>
                  </pic:spPr>
                </pic:pic>
              </a:graphicData>
            </a:graphic>
          </wp:inline>
        </w:drawing>
      </w:r>
    </w:p>
    <w:p w14:paraId="4CE0AF48">
      <w:pP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56F8C1F8">
      <w:pPr>
        <w:pStyle w:val="22"/>
        <w:spacing w:line="360" w:lineRule="auto"/>
        <w:ind w:left="442" w:hanging="442"/>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14、A型护栏大样图</w:t>
      </w:r>
    </w:p>
    <w:p w14:paraId="3E6201E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0" distR="0">
            <wp:extent cx="5257165" cy="7528560"/>
            <wp:effectExtent l="0" t="0" r="15240" b="635"/>
            <wp:docPr id="28" name="图片 2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11.png"/>
                    <pic:cNvPicPr>
                      <a:picLocks noChangeAspect="1"/>
                    </pic:cNvPicPr>
                  </pic:nvPicPr>
                  <pic:blipFill>
                    <a:blip r:embed="rId105"/>
                    <a:stretch>
                      <a:fillRect/>
                    </a:stretch>
                  </pic:blipFill>
                  <pic:spPr>
                    <a:xfrm rot="16200000">
                      <a:off x="0" y="0"/>
                      <a:ext cx="5257165" cy="7528560"/>
                    </a:xfrm>
                    <a:prstGeom prst="rect">
                      <a:avLst/>
                    </a:prstGeom>
                  </pic:spPr>
                </pic:pic>
              </a:graphicData>
            </a:graphic>
          </wp:inline>
        </w:drawing>
      </w:r>
    </w:p>
    <w:p w14:paraId="46DAC6F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0" distR="0">
            <wp:extent cx="5257165" cy="7556500"/>
            <wp:effectExtent l="0" t="0" r="6350" b="635"/>
            <wp:docPr id="30" name="图片 29"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2.png"/>
                    <pic:cNvPicPr>
                      <a:picLocks noChangeAspect="1"/>
                    </pic:cNvPicPr>
                  </pic:nvPicPr>
                  <pic:blipFill>
                    <a:blip r:embed="rId106"/>
                    <a:stretch>
                      <a:fillRect/>
                    </a:stretch>
                  </pic:blipFill>
                  <pic:spPr>
                    <a:xfrm rot="16200000">
                      <a:off x="0" y="0"/>
                      <a:ext cx="5257165" cy="7556500"/>
                    </a:xfrm>
                    <a:prstGeom prst="rect">
                      <a:avLst/>
                    </a:prstGeom>
                  </pic:spPr>
                </pic:pic>
              </a:graphicData>
            </a:graphic>
          </wp:inline>
        </w:drawing>
      </w:r>
    </w:p>
    <w:p w14:paraId="7FC0FE6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0" distR="0">
            <wp:extent cx="5257165" cy="7544435"/>
            <wp:effectExtent l="0" t="0" r="18415" b="635"/>
            <wp:docPr id="35" name="图片 34"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33.png"/>
                    <pic:cNvPicPr>
                      <a:picLocks noChangeAspect="1"/>
                    </pic:cNvPicPr>
                  </pic:nvPicPr>
                  <pic:blipFill>
                    <a:blip r:embed="rId107"/>
                    <a:stretch>
                      <a:fillRect/>
                    </a:stretch>
                  </pic:blipFill>
                  <pic:spPr>
                    <a:xfrm rot="16200000">
                      <a:off x="0" y="0"/>
                      <a:ext cx="5257165" cy="7544435"/>
                    </a:xfrm>
                    <a:prstGeom prst="rect">
                      <a:avLst/>
                    </a:prstGeom>
                  </pic:spPr>
                </pic:pic>
              </a:graphicData>
            </a:graphic>
          </wp:inline>
        </w:drawing>
      </w:r>
    </w:p>
    <w:p w14:paraId="761A1538">
      <w:pPr>
        <w:spacing w:line="360" w:lineRule="auto"/>
        <w:rPr>
          <w:rFonts w:ascii="新宋体" w:hAnsi="新宋体" w:eastAsia="新宋体" w:cs="新宋体"/>
          <w:color w:val="auto"/>
          <w:sz w:val="22"/>
          <w:szCs w:val="22"/>
          <w:highlight w:val="none"/>
        </w:rPr>
      </w:pPr>
    </w:p>
    <w:p w14:paraId="58D81A5D">
      <w:pPr>
        <w:spacing w:line="360" w:lineRule="auto"/>
        <w:rPr>
          <w:rFonts w:ascii="新宋体" w:hAnsi="新宋体" w:eastAsia="新宋体" w:cs="新宋体"/>
          <w:color w:val="auto"/>
          <w:sz w:val="22"/>
          <w:szCs w:val="22"/>
          <w:highlight w:val="none"/>
        </w:rPr>
      </w:pPr>
    </w:p>
    <w:p w14:paraId="466DE06D">
      <w:pPr>
        <w:spacing w:line="360" w:lineRule="auto"/>
        <w:outlineLvl w:val="2"/>
        <w:rPr>
          <w:rFonts w:ascii="新宋体" w:hAnsi="新宋体" w:eastAsia="新宋体" w:cs="新宋体"/>
          <w:b/>
          <w:bCs/>
          <w:color w:val="auto"/>
          <w:sz w:val="22"/>
          <w:szCs w:val="22"/>
          <w:highlight w:val="none"/>
        </w:rPr>
      </w:pPr>
      <w:bookmarkStart w:id="172" w:name="_Toc9537"/>
      <w:r>
        <w:rPr>
          <w:rFonts w:hint="eastAsia" w:ascii="新宋体" w:hAnsi="新宋体" w:eastAsia="新宋体" w:cs="新宋体"/>
          <w:b/>
          <w:bCs/>
          <w:color w:val="auto"/>
          <w:sz w:val="22"/>
          <w:szCs w:val="22"/>
          <w:highlight w:val="none"/>
        </w:rPr>
        <w:t>15、N型护栏大样图</w:t>
      </w:r>
      <w:bookmarkEnd w:id="172"/>
    </w:p>
    <w:p w14:paraId="6EAB10A1">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0" distR="0">
            <wp:extent cx="5257165" cy="7575550"/>
            <wp:effectExtent l="0" t="0" r="6350" b="635"/>
            <wp:docPr id="21" name="图片 1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11.png"/>
                    <pic:cNvPicPr>
                      <a:picLocks noChangeAspect="1"/>
                    </pic:cNvPicPr>
                  </pic:nvPicPr>
                  <pic:blipFill>
                    <a:blip r:embed="rId108"/>
                    <a:stretch>
                      <a:fillRect/>
                    </a:stretch>
                  </pic:blipFill>
                  <pic:spPr>
                    <a:xfrm rot="16200000">
                      <a:off x="0" y="0"/>
                      <a:ext cx="5257165" cy="7575550"/>
                    </a:xfrm>
                    <a:prstGeom prst="rect">
                      <a:avLst/>
                    </a:prstGeom>
                  </pic:spPr>
                </pic:pic>
              </a:graphicData>
            </a:graphic>
          </wp:inline>
        </w:drawing>
      </w:r>
    </w:p>
    <w:p w14:paraId="166DE370">
      <w:pPr>
        <w:pStyle w:val="22"/>
        <w:spacing w:line="360" w:lineRule="auto"/>
        <w:ind w:left="440" w:hanging="440"/>
        <w:rPr>
          <w:rFonts w:ascii="新宋体" w:hAnsi="新宋体" w:eastAsia="新宋体" w:cs="新宋体"/>
          <w:color w:val="auto"/>
          <w:sz w:val="22"/>
          <w:szCs w:val="22"/>
          <w:highlight w:val="none"/>
        </w:rPr>
      </w:pPr>
    </w:p>
    <w:p w14:paraId="4E068B2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0" distR="0">
            <wp:extent cx="5257165" cy="7492365"/>
            <wp:effectExtent l="0" t="0" r="13335" b="635"/>
            <wp:docPr id="26" name="图片 25"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22.png"/>
                    <pic:cNvPicPr>
                      <a:picLocks noChangeAspect="1"/>
                    </pic:cNvPicPr>
                  </pic:nvPicPr>
                  <pic:blipFill>
                    <a:blip r:embed="rId109"/>
                    <a:stretch>
                      <a:fillRect/>
                    </a:stretch>
                  </pic:blipFill>
                  <pic:spPr>
                    <a:xfrm rot="16200000">
                      <a:off x="0" y="0"/>
                      <a:ext cx="5257165" cy="7492365"/>
                    </a:xfrm>
                    <a:prstGeom prst="rect">
                      <a:avLst/>
                    </a:prstGeom>
                  </pic:spPr>
                </pic:pic>
              </a:graphicData>
            </a:graphic>
          </wp:inline>
        </w:drawing>
      </w:r>
    </w:p>
    <w:p w14:paraId="5C478437">
      <w:pPr>
        <w:spacing w:line="360" w:lineRule="auto"/>
        <w:rPr>
          <w:rFonts w:ascii="新宋体" w:hAnsi="新宋体" w:eastAsia="新宋体" w:cs="新宋体"/>
          <w:color w:val="auto"/>
          <w:sz w:val="22"/>
          <w:szCs w:val="22"/>
          <w:highlight w:val="none"/>
        </w:rPr>
      </w:pPr>
    </w:p>
    <w:p w14:paraId="6112CDA6">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drawing>
          <wp:inline distT="0" distB="0" distL="0" distR="0">
            <wp:extent cx="5257165" cy="7499350"/>
            <wp:effectExtent l="0" t="0" r="6350" b="635"/>
            <wp:docPr id="32" name="图片 31"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33.png"/>
                    <pic:cNvPicPr>
                      <a:picLocks noChangeAspect="1"/>
                    </pic:cNvPicPr>
                  </pic:nvPicPr>
                  <pic:blipFill>
                    <a:blip r:embed="rId110"/>
                    <a:stretch>
                      <a:fillRect/>
                    </a:stretch>
                  </pic:blipFill>
                  <pic:spPr>
                    <a:xfrm rot="5400000">
                      <a:off x="0" y="0"/>
                      <a:ext cx="5257165" cy="7499350"/>
                    </a:xfrm>
                    <a:prstGeom prst="rect">
                      <a:avLst/>
                    </a:prstGeom>
                  </pic:spPr>
                </pic:pic>
              </a:graphicData>
            </a:graphic>
          </wp:inline>
        </w:drawing>
      </w:r>
    </w:p>
    <w:p w14:paraId="03D4B694">
      <w:pPr>
        <w:spacing w:line="360" w:lineRule="auto"/>
        <w:rPr>
          <w:rFonts w:ascii="新宋体" w:hAnsi="新宋体" w:eastAsia="新宋体" w:cs="新宋体"/>
          <w:color w:val="auto"/>
          <w:sz w:val="22"/>
          <w:szCs w:val="22"/>
          <w:highlight w:val="none"/>
        </w:rPr>
        <w:sectPr>
          <w:headerReference r:id="rId7" w:type="default"/>
          <w:footerReference r:id="rId8" w:type="default"/>
          <w:pgSz w:w="16838" w:h="11906" w:orient="landscape"/>
          <w:pgMar w:top="1134" w:right="1134" w:bottom="1134" w:left="1134" w:header="850" w:footer="992" w:gutter="0"/>
          <w:cols w:space="720" w:num="1"/>
          <w:docGrid w:type="lines" w:linePitch="321" w:charSpace="0"/>
        </w:sectPr>
      </w:pPr>
    </w:p>
    <w:p w14:paraId="219DFF02">
      <w:pPr>
        <w:spacing w:line="360" w:lineRule="auto"/>
        <w:outlineLvl w:val="2"/>
        <w:rPr>
          <w:rFonts w:ascii="新宋体" w:hAnsi="新宋体" w:eastAsia="新宋体" w:cs="新宋体"/>
          <w:b/>
          <w:bCs/>
          <w:color w:val="auto"/>
          <w:sz w:val="22"/>
          <w:szCs w:val="22"/>
          <w:highlight w:val="none"/>
        </w:rPr>
      </w:pPr>
      <w:bookmarkStart w:id="173" w:name="_Toc24660"/>
      <w:r>
        <w:rPr>
          <w:rFonts w:hint="eastAsia" w:ascii="新宋体" w:hAnsi="新宋体" w:eastAsia="新宋体" w:cs="新宋体"/>
          <w:b/>
          <w:bCs/>
          <w:color w:val="auto"/>
          <w:sz w:val="22"/>
          <w:szCs w:val="22"/>
          <w:highlight w:val="none"/>
        </w:rPr>
        <w:t>16、路锥连接杆</w:t>
      </w:r>
      <w:bookmarkEnd w:id="173"/>
    </w:p>
    <w:p w14:paraId="196904E7">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技术指标：</w:t>
      </w:r>
    </w:p>
    <w:p w14:paraId="56C8AFF3">
      <w:pPr>
        <w:spacing w:line="360" w:lineRule="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 可伸缩长</w:t>
      </w:r>
      <w:r>
        <w:rPr>
          <w:rFonts w:hint="eastAsia" w:ascii="新宋体" w:hAnsi="新宋体" w:eastAsia="新宋体" w:cs="新宋体"/>
          <w:color w:val="auto"/>
          <w:sz w:val="22"/>
          <w:szCs w:val="22"/>
          <w:highlight w:val="none"/>
          <w:lang w:eastAsia="zh-CN"/>
        </w:rPr>
        <w:t>至</w:t>
      </w: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val="en-US" w:eastAsia="zh-CN"/>
        </w:rPr>
        <w:t>00</w:t>
      </w:r>
      <w:r>
        <w:rPr>
          <w:rFonts w:hint="eastAsia" w:ascii="新宋体" w:hAnsi="新宋体" w:eastAsia="新宋体" w:cs="新宋体"/>
          <w:color w:val="auto"/>
          <w:sz w:val="22"/>
          <w:szCs w:val="22"/>
          <w:highlight w:val="none"/>
        </w:rPr>
        <w:t>cm，管直径40mm，臂厚1mm，套口直径10cm</w:t>
      </w:r>
    </w:p>
    <w:p w14:paraId="02CDA7E9">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红白色</w:t>
      </w:r>
    </w:p>
    <w:p w14:paraId="722B9484">
      <w:pPr>
        <w:spacing w:line="360" w:lineRule="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 </w:t>
      </w:r>
      <w:r>
        <w:rPr>
          <w:rFonts w:hint="eastAsia" w:ascii="新宋体" w:hAnsi="新宋体" w:eastAsia="新宋体" w:cs="新宋体"/>
          <w:color w:val="auto"/>
          <w:sz w:val="22"/>
          <w:szCs w:val="22"/>
          <w:highlight w:val="none"/>
          <w:lang w:eastAsia="zh-CN"/>
        </w:rPr>
        <w:drawing>
          <wp:inline distT="0" distB="0" distL="114300" distR="114300">
            <wp:extent cx="1466850" cy="3724275"/>
            <wp:effectExtent l="0" t="0" r="0" b="9525"/>
            <wp:docPr id="57" name="图片 57" descr="923b9b5bc55c99a023db58af1bf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923b9b5bc55c99a023db58af1bf7409"/>
                    <pic:cNvPicPr>
                      <a:picLocks noChangeAspect="1"/>
                    </pic:cNvPicPr>
                  </pic:nvPicPr>
                  <pic:blipFill>
                    <a:blip r:embed="rId111"/>
                    <a:stretch>
                      <a:fillRect/>
                    </a:stretch>
                  </pic:blipFill>
                  <pic:spPr>
                    <a:xfrm>
                      <a:off x="0" y="0"/>
                      <a:ext cx="1466850" cy="3724275"/>
                    </a:xfrm>
                    <a:prstGeom prst="rect">
                      <a:avLst/>
                    </a:prstGeom>
                  </pic:spPr>
                </pic:pic>
              </a:graphicData>
            </a:graphic>
          </wp:inline>
        </w:drawing>
      </w:r>
    </w:p>
    <w:p w14:paraId="28B61326">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br w:type="page"/>
      </w:r>
    </w:p>
    <w:p w14:paraId="662EF8B7">
      <w:pPr>
        <w:spacing w:line="360" w:lineRule="auto"/>
        <w:outlineLvl w:val="2"/>
        <w:rPr>
          <w:rFonts w:ascii="新宋体" w:hAnsi="新宋体" w:eastAsia="新宋体" w:cs="新宋体"/>
          <w:b/>
          <w:bCs/>
          <w:color w:val="auto"/>
          <w:sz w:val="22"/>
          <w:szCs w:val="22"/>
          <w:highlight w:val="none"/>
        </w:rPr>
      </w:pPr>
      <w:bookmarkStart w:id="174" w:name="_Toc28674"/>
      <w:r>
        <w:rPr>
          <w:rFonts w:hint="eastAsia" w:ascii="新宋体" w:hAnsi="新宋体" w:eastAsia="新宋体" w:cs="新宋体"/>
          <w:b/>
          <w:bCs/>
          <w:color w:val="auto"/>
          <w:sz w:val="22"/>
          <w:szCs w:val="22"/>
          <w:highlight w:val="none"/>
          <w:lang w:val="en-US" w:eastAsia="zh-CN"/>
        </w:rPr>
        <w:t>17</w:t>
      </w:r>
      <w:r>
        <w:rPr>
          <w:rFonts w:hint="eastAsia" w:ascii="新宋体" w:hAnsi="新宋体" w:eastAsia="新宋体" w:cs="新宋体"/>
          <w:b/>
          <w:bCs/>
          <w:color w:val="auto"/>
          <w:sz w:val="22"/>
          <w:szCs w:val="22"/>
          <w:highlight w:val="none"/>
        </w:rPr>
        <w:t>、</w:t>
      </w:r>
      <w:r>
        <w:rPr>
          <w:rFonts w:hint="eastAsia" w:ascii="新宋体" w:hAnsi="新宋体" w:eastAsia="新宋体" w:cs="新宋体"/>
          <w:b/>
          <w:bCs/>
          <w:color w:val="auto"/>
          <w:sz w:val="22"/>
          <w:szCs w:val="22"/>
          <w:highlight w:val="none"/>
          <w:lang w:val="en-US" w:eastAsia="zh-CN"/>
        </w:rPr>
        <w:t>8</w:t>
      </w:r>
      <w:r>
        <w:rPr>
          <w:rFonts w:hint="eastAsia" w:ascii="新宋体" w:hAnsi="新宋体" w:eastAsia="新宋体" w:cs="新宋体"/>
          <w:b/>
          <w:bCs/>
          <w:color w:val="auto"/>
          <w:sz w:val="22"/>
          <w:szCs w:val="22"/>
          <w:highlight w:val="none"/>
        </w:rPr>
        <w:t>0CM 圆形防撞桶 </w:t>
      </w:r>
      <w:bookmarkEnd w:id="174"/>
    </w:p>
    <w:p w14:paraId="0EE131DF">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技术指标：</w:t>
      </w:r>
    </w:p>
    <w:p w14:paraId="3D7DE9D3">
      <w:pPr>
        <w:spacing w:line="360" w:lineRule="auto"/>
        <w:ind w:firstLine="440" w:firstLineChars="20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w:t>
      </w:r>
      <w:r>
        <w:rPr>
          <w:rFonts w:hint="eastAsia" w:ascii="新宋体" w:hAnsi="新宋体" w:eastAsia="新宋体" w:cs="新宋体"/>
          <w:color w:val="auto"/>
          <w:sz w:val="22"/>
          <w:szCs w:val="22"/>
          <w:highlight w:val="none"/>
        </w:rPr>
        <w:t>尺寸600*800，吹塑</w:t>
      </w:r>
      <w:r>
        <w:rPr>
          <w:rFonts w:hint="eastAsia" w:ascii="新宋体" w:hAnsi="新宋体" w:eastAsia="新宋体" w:cs="新宋体"/>
          <w:color w:val="auto"/>
          <w:sz w:val="22"/>
          <w:szCs w:val="22"/>
          <w:highlight w:val="none"/>
          <w:lang w:eastAsia="zh-CN"/>
        </w:rPr>
        <w:t>；</w:t>
      </w:r>
    </w:p>
    <w:p w14:paraId="0E4418C1">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适用范围:市政道路、公路、加油站等；</w:t>
      </w:r>
    </w:p>
    <w:p w14:paraId="5F4E2B6C">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桶体粘贴条纹柔性晶格膜，高亮反光；</w:t>
      </w:r>
    </w:p>
    <w:p w14:paraId="10AAE431">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产品特点:内部可填装水或沙子，警示性高，不易褪色，具有缓冲，可有效洗吸收强大撞击力</w:t>
      </w:r>
    </w:p>
    <w:p w14:paraId="792896E1">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5.</w:t>
      </w:r>
      <w:r>
        <w:rPr>
          <w:rFonts w:hint="eastAsia" w:ascii="新宋体" w:hAnsi="新宋体" w:eastAsia="新宋体" w:cs="新宋体"/>
          <w:color w:val="auto"/>
          <w:sz w:val="22"/>
          <w:szCs w:val="22"/>
          <w:highlight w:val="none"/>
        </w:rPr>
        <w:t>原材料:高压聚乙烯 HDPE</w:t>
      </w:r>
    </w:p>
    <w:p w14:paraId="16ECEC1A">
      <w:pPr>
        <w:pStyle w:val="22"/>
        <w:spacing w:line="360" w:lineRule="auto"/>
        <w:ind w:left="440" w:hanging="440"/>
        <w:rPr>
          <w:rFonts w:ascii="新宋体" w:hAnsi="新宋体" w:eastAsia="新宋体" w:cs="新宋体"/>
          <w:color w:val="auto"/>
          <w:sz w:val="22"/>
          <w:szCs w:val="22"/>
          <w:highlight w:val="none"/>
        </w:rPr>
      </w:pPr>
      <w:r>
        <w:rPr>
          <w:color w:val="auto"/>
          <w:highlight w:val="none"/>
        </w:rPr>
        <w:drawing>
          <wp:inline distT="0" distB="0" distL="114300" distR="114300">
            <wp:extent cx="3381375" cy="2583180"/>
            <wp:effectExtent l="0" t="0" r="9525" b="762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12"/>
                    <a:stretch>
                      <a:fillRect/>
                    </a:stretch>
                  </pic:blipFill>
                  <pic:spPr>
                    <a:xfrm>
                      <a:off x="0" y="0"/>
                      <a:ext cx="3381375" cy="2583180"/>
                    </a:xfrm>
                    <a:prstGeom prst="rect">
                      <a:avLst/>
                    </a:prstGeom>
                    <a:noFill/>
                    <a:ln>
                      <a:noFill/>
                    </a:ln>
                  </pic:spPr>
                </pic:pic>
              </a:graphicData>
            </a:graphic>
          </wp:inline>
        </w:drawing>
      </w:r>
    </w:p>
    <w:p w14:paraId="3809960E">
      <w:pPr>
        <w:spacing w:line="360" w:lineRule="auto"/>
        <w:rPr>
          <w:rFonts w:ascii="新宋体" w:hAnsi="新宋体" w:eastAsia="新宋体" w:cs="新宋体"/>
          <w:color w:val="auto"/>
          <w:sz w:val="22"/>
          <w:szCs w:val="22"/>
          <w:highlight w:val="none"/>
        </w:rPr>
      </w:pPr>
    </w:p>
    <w:p w14:paraId="7F5E4DDE">
      <w:pPr>
        <w:spacing w:line="360" w:lineRule="auto"/>
        <w:outlineLvl w:val="2"/>
        <w:rPr>
          <w:rFonts w:ascii="新宋体" w:hAnsi="新宋体" w:eastAsia="新宋体" w:cs="新宋体"/>
          <w:b/>
          <w:bCs/>
          <w:color w:val="auto"/>
          <w:sz w:val="22"/>
          <w:szCs w:val="22"/>
          <w:highlight w:val="none"/>
        </w:rPr>
      </w:pPr>
      <w:bookmarkStart w:id="175" w:name="_Toc24438"/>
      <w:r>
        <w:rPr>
          <w:rFonts w:hint="eastAsia" w:ascii="新宋体" w:hAnsi="新宋体" w:eastAsia="新宋体" w:cs="新宋体"/>
          <w:b/>
          <w:bCs/>
          <w:color w:val="auto"/>
          <w:sz w:val="22"/>
          <w:szCs w:val="22"/>
          <w:highlight w:val="none"/>
          <w:lang w:val="en-US" w:eastAsia="zh-CN"/>
        </w:rPr>
        <w:t>18</w:t>
      </w:r>
      <w:r>
        <w:rPr>
          <w:rFonts w:hint="eastAsia" w:ascii="新宋体" w:hAnsi="新宋体" w:eastAsia="新宋体" w:cs="新宋体"/>
          <w:b/>
          <w:bCs/>
          <w:color w:val="auto"/>
          <w:sz w:val="22"/>
          <w:szCs w:val="22"/>
          <w:highlight w:val="none"/>
        </w:rPr>
        <w:t>、弹性交通锥</w:t>
      </w:r>
      <w:bookmarkEnd w:id="175"/>
    </w:p>
    <w:p w14:paraId="163CDDD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技术指标：</w:t>
      </w:r>
    </w:p>
    <w:p w14:paraId="1A5BF643">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符合国标GB/T24720-2009标准并取得认证；</w:t>
      </w:r>
    </w:p>
    <w:p w14:paraId="4FEBE86C">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采用全新弹性PVC材料制成，可承受多次碾压；</w:t>
      </w:r>
    </w:p>
    <w:p w14:paraId="5E6CC8D9">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 反光膜区域凹陷</w:t>
      </w:r>
      <w:r>
        <w:rPr>
          <w:rFonts w:hint="eastAsia" w:ascii="新宋体" w:hAnsi="新宋体" w:eastAsia="新宋体" w:cs="新宋体"/>
          <w:color w:val="auto"/>
          <w:sz w:val="22"/>
          <w:szCs w:val="22"/>
          <w:highlight w:val="none"/>
          <w:lang w:val="en-US" w:eastAsia="zh-CN"/>
        </w:rPr>
        <w:t>0.6</w:t>
      </w:r>
      <w:r>
        <w:rPr>
          <w:rFonts w:hint="eastAsia" w:ascii="新宋体" w:hAnsi="新宋体" w:eastAsia="新宋体" w:cs="新宋体"/>
          <w:color w:val="auto"/>
          <w:sz w:val="22"/>
          <w:szCs w:val="22"/>
          <w:highlight w:val="none"/>
        </w:rPr>
        <w:t>m以上，反光膜符合GB/T 18833—2012 Type II类以上指标；</w:t>
      </w:r>
    </w:p>
    <w:p w14:paraId="3E3F8293">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4.通体壁厚不小于3mm，表面光滑无皱褶;</w:t>
      </w:r>
    </w:p>
    <w:p w14:paraId="67653933">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5.顶部含有提手凹槽；</w:t>
      </w:r>
    </w:p>
    <w:p w14:paraId="7B969109">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6.锥体与底座不可分离；</w:t>
      </w:r>
    </w:p>
    <w:p w14:paraId="39EE297E">
      <w:pPr>
        <w:spacing w:line="360" w:lineRule="auto"/>
        <w:ind w:firstLine="440" w:firstLineChars="200"/>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7.重量2.5KG</w:t>
      </w:r>
    </w:p>
    <w:p w14:paraId="7D7F0A63">
      <w:pPr>
        <w:spacing w:line="360" w:lineRule="auto"/>
        <w:jc w:val="left"/>
        <w:rPr>
          <w:rFonts w:ascii="新宋体" w:hAnsi="新宋体" w:eastAsia="新宋体" w:cs="新宋体"/>
          <w:color w:val="auto"/>
          <w:sz w:val="22"/>
          <w:szCs w:val="22"/>
          <w:highlight w:val="none"/>
        </w:rPr>
      </w:pPr>
      <w:r>
        <w:rPr>
          <w:color w:val="auto"/>
          <w:highlight w:val="none"/>
        </w:rPr>
        <w:drawing>
          <wp:inline distT="0" distB="0" distL="114300" distR="114300">
            <wp:extent cx="3947160" cy="4305935"/>
            <wp:effectExtent l="0" t="0" r="15240" b="1841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13"/>
                    <a:stretch>
                      <a:fillRect/>
                    </a:stretch>
                  </pic:blipFill>
                  <pic:spPr>
                    <a:xfrm>
                      <a:off x="0" y="0"/>
                      <a:ext cx="3947160" cy="4305935"/>
                    </a:xfrm>
                    <a:prstGeom prst="rect">
                      <a:avLst/>
                    </a:prstGeom>
                    <a:noFill/>
                    <a:ln>
                      <a:noFill/>
                    </a:ln>
                  </pic:spPr>
                </pic:pic>
              </a:graphicData>
            </a:graphic>
          </wp:inline>
        </w:drawing>
      </w:r>
    </w:p>
    <w:p w14:paraId="232BA678">
      <w:pPr>
        <w:spacing w:line="360" w:lineRule="auto"/>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lang w:val="en-US" w:eastAsia="zh-CN"/>
        </w:rPr>
        <w:t>19</w:t>
      </w:r>
      <w:r>
        <w:rPr>
          <w:rFonts w:hint="eastAsia" w:ascii="新宋体" w:hAnsi="新宋体" w:eastAsia="新宋体" w:cs="新宋体"/>
          <w:b/>
          <w:bCs/>
          <w:color w:val="auto"/>
          <w:sz w:val="22"/>
          <w:szCs w:val="22"/>
          <w:highlight w:val="none"/>
        </w:rPr>
        <w:t>、磁吸弹性交通柱</w:t>
      </w:r>
    </w:p>
    <w:p w14:paraId="5CD9207C">
      <w:pPr>
        <w:spacing w:line="360" w:lineRule="auto"/>
        <w:rPr>
          <w:rFonts w:ascii="新宋体" w:hAnsi="新宋体" w:eastAsia="新宋体" w:cs="新宋体"/>
          <w:color w:val="auto"/>
          <w:sz w:val="22"/>
          <w:szCs w:val="22"/>
          <w:highlight w:val="none"/>
        </w:rPr>
      </w:pPr>
      <w:r>
        <w:rPr>
          <w:color w:val="auto"/>
          <w:highlight w:val="none"/>
        </w:rPr>
        <w:drawing>
          <wp:inline distT="0" distB="0" distL="114300" distR="114300">
            <wp:extent cx="2962275" cy="2828925"/>
            <wp:effectExtent l="0" t="0" r="9525" b="9525"/>
            <wp:docPr id="2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
                    <pic:cNvPicPr>
                      <a:picLocks noChangeAspect="1"/>
                    </pic:cNvPicPr>
                  </pic:nvPicPr>
                  <pic:blipFill>
                    <a:blip r:embed="rId114"/>
                    <a:stretch>
                      <a:fillRect/>
                    </a:stretch>
                  </pic:blipFill>
                  <pic:spPr>
                    <a:xfrm>
                      <a:off x="0" y="0"/>
                      <a:ext cx="2962275" cy="2828925"/>
                    </a:xfrm>
                    <a:prstGeom prst="rect">
                      <a:avLst/>
                    </a:prstGeom>
                    <a:noFill/>
                    <a:ln>
                      <a:noFill/>
                    </a:ln>
                  </pic:spPr>
                </pic:pic>
              </a:graphicData>
            </a:graphic>
          </wp:inline>
        </w:drawing>
      </w:r>
    </w:p>
    <w:p w14:paraId="7EB82E83">
      <w:pP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br w:type="page"/>
      </w:r>
    </w:p>
    <w:p w14:paraId="2B3A81ED">
      <w:pPr>
        <w:spacing w:line="360" w:lineRule="auto"/>
        <w:outlineLvl w:val="2"/>
        <w:rPr>
          <w:rFonts w:ascii="新宋体" w:hAnsi="新宋体" w:eastAsia="新宋体" w:cs="新宋体"/>
          <w:b/>
          <w:bCs/>
          <w:color w:val="auto"/>
          <w:sz w:val="22"/>
          <w:szCs w:val="22"/>
          <w:highlight w:val="none"/>
        </w:rPr>
      </w:pPr>
      <w:bookmarkStart w:id="176" w:name="_Toc21012"/>
      <w:r>
        <w:rPr>
          <w:rFonts w:hint="eastAsia" w:ascii="新宋体" w:hAnsi="新宋体" w:eastAsia="新宋体" w:cs="新宋体"/>
          <w:b/>
          <w:bCs/>
          <w:color w:val="auto"/>
          <w:sz w:val="22"/>
          <w:szCs w:val="22"/>
          <w:highlight w:val="none"/>
        </w:rPr>
        <w:t>2</w:t>
      </w:r>
      <w:r>
        <w:rPr>
          <w:rFonts w:hint="eastAsia" w:ascii="新宋体" w:hAnsi="新宋体" w:eastAsia="新宋体" w:cs="新宋体"/>
          <w:b/>
          <w:bCs/>
          <w:color w:val="auto"/>
          <w:sz w:val="22"/>
          <w:szCs w:val="22"/>
          <w:highlight w:val="none"/>
          <w:lang w:val="en-US" w:eastAsia="zh-CN"/>
        </w:rPr>
        <w:t>0</w:t>
      </w:r>
      <w:r>
        <w:rPr>
          <w:rFonts w:hint="eastAsia" w:ascii="新宋体" w:hAnsi="新宋体" w:eastAsia="新宋体" w:cs="新宋体"/>
          <w:b/>
          <w:bCs/>
          <w:color w:val="auto"/>
          <w:sz w:val="22"/>
          <w:szCs w:val="22"/>
          <w:highlight w:val="none"/>
        </w:rPr>
        <w:t>、弹性分道标</w:t>
      </w:r>
      <w:bookmarkEnd w:id="176"/>
    </w:p>
    <w:p w14:paraId="0CD87397">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技术指标：</w:t>
      </w:r>
    </w:p>
    <w:p w14:paraId="51C5ACA0">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 采用全新TPU高性能材料制成， 可承受重型车辆多次碾压；</w:t>
      </w:r>
    </w:p>
    <w:p w14:paraId="5CFC749B">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 柔性反光膜符合GB/T 18833—2012 Type II类指标;</w:t>
      </w:r>
    </w:p>
    <w:p w14:paraId="5387C6C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 车轮碾压后不损伤反光膜；</w:t>
      </w:r>
    </w:p>
    <w:p w14:paraId="0C7A58DA">
      <w:pPr>
        <w:spacing w:line="360" w:lineRule="auto"/>
        <w:ind w:firstLine="420" w:firstLineChars="200"/>
        <w:rPr>
          <w:color w:val="auto"/>
          <w:highlight w:val="none"/>
        </w:rPr>
      </w:pPr>
    </w:p>
    <w:p w14:paraId="4E70D8D1">
      <w:pPr>
        <w:spacing w:line="360" w:lineRule="auto"/>
        <w:ind w:firstLine="420" w:firstLineChars="200"/>
        <w:jc w:val="center"/>
        <w:rPr>
          <w:rFonts w:ascii="新宋体" w:hAnsi="新宋体" w:eastAsia="新宋体" w:cs="新宋体"/>
          <w:color w:val="auto"/>
          <w:sz w:val="22"/>
          <w:szCs w:val="22"/>
          <w:highlight w:val="none"/>
        </w:rPr>
      </w:pPr>
      <w:r>
        <w:rPr>
          <w:color w:val="auto"/>
          <w:highlight w:val="none"/>
        </w:rPr>
        <w:drawing>
          <wp:inline distT="0" distB="0" distL="114300" distR="114300">
            <wp:extent cx="4571365" cy="4765675"/>
            <wp:effectExtent l="0" t="0" r="635" b="1587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15"/>
                    <a:stretch>
                      <a:fillRect/>
                    </a:stretch>
                  </pic:blipFill>
                  <pic:spPr>
                    <a:xfrm>
                      <a:off x="0" y="0"/>
                      <a:ext cx="4571365" cy="4765675"/>
                    </a:xfrm>
                    <a:prstGeom prst="rect">
                      <a:avLst/>
                    </a:prstGeom>
                    <a:noFill/>
                    <a:ln>
                      <a:noFill/>
                    </a:ln>
                  </pic:spPr>
                </pic:pic>
              </a:graphicData>
            </a:graphic>
          </wp:inline>
        </w:drawing>
      </w:r>
    </w:p>
    <w:p w14:paraId="04E12B81">
      <w:pPr>
        <w:spacing w:line="360" w:lineRule="auto"/>
        <w:outlineLvl w:val="2"/>
        <w:rPr>
          <w:rFonts w:ascii="新宋体" w:hAnsi="新宋体" w:eastAsia="新宋体" w:cs="新宋体"/>
          <w:b/>
          <w:color w:val="auto"/>
          <w:sz w:val="22"/>
          <w:szCs w:val="22"/>
          <w:highlight w:val="none"/>
        </w:rPr>
      </w:pPr>
      <w:bookmarkStart w:id="177" w:name="_Toc8697"/>
      <w:r>
        <w:rPr>
          <w:rFonts w:hint="eastAsia" w:ascii="新宋体" w:hAnsi="新宋体" w:eastAsia="新宋体" w:cs="新宋体"/>
          <w:b/>
          <w:color w:val="auto"/>
          <w:sz w:val="22"/>
          <w:szCs w:val="22"/>
          <w:highlight w:val="none"/>
        </w:rPr>
        <w:t>2</w:t>
      </w:r>
      <w:r>
        <w:rPr>
          <w:rFonts w:hint="eastAsia" w:ascii="新宋体" w:hAnsi="新宋体" w:eastAsia="新宋体" w:cs="新宋体"/>
          <w:b/>
          <w:color w:val="auto"/>
          <w:sz w:val="22"/>
          <w:szCs w:val="22"/>
          <w:highlight w:val="none"/>
          <w:lang w:val="en-US" w:eastAsia="zh-CN"/>
        </w:rPr>
        <w:t>1</w:t>
      </w:r>
      <w:r>
        <w:rPr>
          <w:rFonts w:hint="eastAsia" w:ascii="新宋体" w:hAnsi="新宋体" w:eastAsia="新宋体" w:cs="新宋体"/>
          <w:b/>
          <w:color w:val="auto"/>
          <w:sz w:val="22"/>
          <w:szCs w:val="22"/>
          <w:highlight w:val="none"/>
        </w:rPr>
        <w:t>、</w:t>
      </w:r>
      <w:r>
        <w:rPr>
          <w:rFonts w:hint="eastAsia" w:ascii="新宋体" w:hAnsi="新宋体" w:eastAsia="新宋体" w:cs="新宋体"/>
          <w:b/>
          <w:bCs/>
          <w:color w:val="auto"/>
          <w:sz w:val="22"/>
          <w:szCs w:val="22"/>
          <w:highlight w:val="none"/>
        </w:rPr>
        <w:t>可变</w:t>
      </w:r>
      <w:r>
        <w:rPr>
          <w:rFonts w:hint="eastAsia" w:ascii="新宋体" w:hAnsi="新宋体" w:eastAsia="新宋体" w:cs="新宋体"/>
          <w:b/>
          <w:color w:val="auto"/>
          <w:sz w:val="22"/>
          <w:szCs w:val="22"/>
          <w:highlight w:val="none"/>
        </w:rPr>
        <w:t>车道标志</w:t>
      </w:r>
      <w:bookmarkEnd w:id="177"/>
    </w:p>
    <w:p w14:paraId="685717A3">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外壳体采用优质冷扎钢板材质，外形尺寸：1600*1225mm，上半部由LED灯珠排列成白色的左转、直行、右转三种车道指示图标；外壳防护等级：IP5</w:t>
      </w: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，耐高、低温性能：-40℃～+80℃，LED显示屏： P10 表贴双色，工作电压：</w:t>
      </w:r>
      <w:r>
        <w:rPr>
          <w:rFonts w:hint="eastAsia" w:ascii="新宋体" w:hAnsi="新宋体" w:eastAsia="新宋体" w:cs="新宋体"/>
          <w:color w:val="auto"/>
          <w:kern w:val="0"/>
          <w:sz w:val="22"/>
          <w:szCs w:val="22"/>
          <w:highlight w:val="none"/>
        </w:rPr>
        <w:t>AC220V±15%</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kern w:val="0"/>
          <w:sz w:val="22"/>
          <w:szCs w:val="22"/>
          <w:highlight w:val="none"/>
        </w:rPr>
        <w:t>50Hz；</w:t>
      </w:r>
      <w:r>
        <w:rPr>
          <w:rFonts w:hint="eastAsia" w:ascii="新宋体" w:hAnsi="新宋体" w:eastAsia="新宋体" w:cs="新宋体"/>
          <w:color w:val="auto"/>
          <w:sz w:val="22"/>
          <w:szCs w:val="22"/>
          <w:highlight w:val="none"/>
        </w:rPr>
        <w:t>。具体参数如下：</w:t>
      </w:r>
    </w:p>
    <w:tbl>
      <w:tblPr>
        <w:tblStyle w:val="52"/>
        <w:tblW w:w="0" w:type="auto"/>
        <w:jc w:val="center"/>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top w:w="0" w:type="dxa"/>
          <w:left w:w="108" w:type="dxa"/>
          <w:bottom w:w="0" w:type="dxa"/>
          <w:right w:w="108" w:type="dxa"/>
        </w:tblCellMar>
      </w:tblPr>
      <w:tblGrid>
        <w:gridCol w:w="709"/>
        <w:gridCol w:w="3297"/>
        <w:gridCol w:w="4443"/>
      </w:tblGrid>
      <w:tr w14:paraId="32115691">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single" w:color="auto" w:sz="12" w:space="0"/>
              <w:left w:val="single" w:color="auto" w:sz="12" w:space="0"/>
              <w:bottom w:val="dotted" w:color="auto" w:sz="4" w:space="0"/>
              <w:right w:val="dotted" w:color="auto" w:sz="4" w:space="0"/>
            </w:tcBorders>
            <w:shd w:val="clear" w:color="auto" w:fill="auto"/>
            <w:vAlign w:val="center"/>
          </w:tcPr>
          <w:p w14:paraId="6A3DF5F0">
            <w:pPr>
              <w:widowControl/>
              <w:snapToGrid w:val="0"/>
              <w:spacing w:line="40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序号</w:t>
            </w:r>
          </w:p>
        </w:tc>
        <w:tc>
          <w:tcPr>
            <w:tcW w:w="3297" w:type="dxa"/>
            <w:tcBorders>
              <w:top w:val="single" w:color="auto" w:sz="12" w:space="0"/>
              <w:left w:val="dotted" w:color="auto" w:sz="4" w:space="0"/>
              <w:bottom w:val="dotted" w:color="auto" w:sz="4" w:space="0"/>
              <w:right w:val="dotted" w:color="auto" w:sz="4" w:space="0"/>
            </w:tcBorders>
            <w:shd w:val="clear" w:color="auto" w:fill="auto"/>
            <w:vAlign w:val="center"/>
          </w:tcPr>
          <w:p w14:paraId="0AE99C23">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项   目</w:t>
            </w:r>
          </w:p>
        </w:tc>
        <w:tc>
          <w:tcPr>
            <w:tcW w:w="4443" w:type="dxa"/>
            <w:tcBorders>
              <w:top w:val="single" w:color="auto" w:sz="12" w:space="0"/>
              <w:left w:val="dotted" w:color="auto" w:sz="4" w:space="0"/>
              <w:bottom w:val="dotted" w:color="auto" w:sz="4" w:space="0"/>
              <w:right w:val="single" w:color="auto" w:sz="12" w:space="0"/>
            </w:tcBorders>
            <w:shd w:val="clear" w:color="auto" w:fill="auto"/>
            <w:vAlign w:val="center"/>
          </w:tcPr>
          <w:p w14:paraId="1C0CFC28">
            <w:pPr>
              <w:widowControl/>
              <w:autoSpaceDE w:val="0"/>
              <w:snapToGrid w:val="0"/>
              <w:spacing w:line="400" w:lineRule="exact"/>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参数与指标</w:t>
            </w:r>
          </w:p>
        </w:tc>
      </w:tr>
      <w:tr w14:paraId="7509CB0E">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7D749B23">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6A43E948">
            <w:pPr>
              <w:widowControl/>
              <w:snapToGrid w:val="0"/>
              <w:spacing w:line="400" w:lineRule="exact"/>
              <w:ind w:right="72"/>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像素间距/像素密度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59EA0462">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10mm/10000点/M²</w:t>
            </w:r>
          </w:p>
        </w:tc>
      </w:tr>
      <w:tr w14:paraId="52B73817">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601E056C">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6D3CCBE5">
            <w:pPr>
              <w:widowControl/>
              <w:snapToGrid w:val="0"/>
              <w:spacing w:line="400" w:lineRule="exact"/>
              <w:ind w:right="72"/>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亮度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121F4786">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≥4000cd/M²</w:t>
            </w:r>
          </w:p>
        </w:tc>
      </w:tr>
      <w:tr w14:paraId="71C20392">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3EE516F9">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3</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322ADACF">
            <w:pPr>
              <w:widowControl/>
              <w:snapToGrid w:val="0"/>
              <w:spacing w:line="400" w:lineRule="exact"/>
              <w:ind w:right="72"/>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视角（水平/垂直）</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337760A8">
            <w:pPr>
              <w:widowControl/>
              <w:tabs>
                <w:tab w:val="left" w:pos="3952"/>
              </w:tabs>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水平：≥110°垂直≥110°</w:t>
            </w:r>
          </w:p>
        </w:tc>
      </w:tr>
      <w:tr w14:paraId="364FE5AC">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5213AE29">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4</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28851760">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最佳可视距离</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0D76F470">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5M～30M</w:t>
            </w:r>
          </w:p>
        </w:tc>
      </w:tr>
      <w:tr w14:paraId="13662751">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46147FDA">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5</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17865430">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灰度等级/显示颜色</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543B4451">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65536级灰度</w:t>
            </w:r>
          </w:p>
        </w:tc>
      </w:tr>
      <w:tr w14:paraId="7F983343">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65000343">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6</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16DCE311">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换帧速度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65C5606D">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≥60（帧）/秒</w:t>
            </w:r>
          </w:p>
        </w:tc>
      </w:tr>
      <w:tr w14:paraId="1863A80B">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7364CF0B">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7</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3E29CDAD">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刷新频率</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74025CBD">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≥1000Hz/S</w:t>
            </w:r>
          </w:p>
        </w:tc>
      </w:tr>
      <w:tr w14:paraId="0BB62EB6">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06B5DEF4">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8</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7EE54C2C">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输入信号/控制方式</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6A961F06">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APP或者GPRS控制</w:t>
            </w:r>
          </w:p>
        </w:tc>
      </w:tr>
      <w:tr w14:paraId="2E8BD542">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0021D513">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9</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4B214F8B">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连续工作时间</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7C2F2731">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&gt;72（Hrs）</w:t>
            </w:r>
          </w:p>
        </w:tc>
      </w:tr>
      <w:tr w14:paraId="195251D4">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1132473A">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10</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4EF67A80">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屏幕寿命</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4FC7A2C3">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&gt;50,000（H）</w:t>
            </w:r>
          </w:p>
        </w:tc>
      </w:tr>
      <w:tr w14:paraId="1DCE64BC">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1C8BA533">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11</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3E9CDB8D">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屏幕MTBF（平均无故障时间）</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45CA8A30">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&gt;8,000（H）</w:t>
            </w:r>
          </w:p>
        </w:tc>
      </w:tr>
      <w:tr w14:paraId="606F9121">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4DE8D702">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12</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6A82D874">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盲点率</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66AC7163">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≤0.0001</w:t>
            </w:r>
          </w:p>
        </w:tc>
      </w:tr>
      <w:tr w14:paraId="386DE938">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2AB24DFF">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13</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1A3797A8">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控制距离</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0D430EED">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APP：5米/GPRS:全国范围</w:t>
            </w:r>
          </w:p>
        </w:tc>
      </w:tr>
      <w:tr w14:paraId="5DBB9F24">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3878C639">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14</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330A5408">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表面平整度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6DF99134">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&lt;1mm</w:t>
            </w:r>
          </w:p>
        </w:tc>
      </w:tr>
      <w:tr w14:paraId="4C2D875A">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3DF4C63D">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15</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1CC1BF5E">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系统工作环境温度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7A5AFE2E">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-40℃～+80℃</w:t>
            </w:r>
          </w:p>
          <w:p w14:paraId="70550E17">
            <w:pPr>
              <w:widowControl/>
              <w:snapToGrid w:val="0"/>
              <w:spacing w:line="400" w:lineRule="exact"/>
              <w:jc w:val="left"/>
              <w:rPr>
                <w:rFonts w:ascii="新宋体" w:hAnsi="新宋体" w:eastAsia="新宋体" w:cs="新宋体"/>
                <w:color w:val="auto"/>
                <w:kern w:val="0"/>
                <w:sz w:val="22"/>
                <w:szCs w:val="22"/>
                <w:highlight w:val="none"/>
              </w:rPr>
            </w:pPr>
          </w:p>
        </w:tc>
      </w:tr>
      <w:tr w14:paraId="55CC696C">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70A1EB08">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16</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1A8561C6">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系统工作环境湿度</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5689C969">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10%～98%RH</w:t>
            </w:r>
          </w:p>
        </w:tc>
      </w:tr>
      <w:tr w14:paraId="147CF397">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28ED4F45">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17</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6C1E5D44">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防护等级</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1DBC825E">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 xml:space="preserve"> IP54</w:t>
            </w:r>
          </w:p>
        </w:tc>
      </w:tr>
      <w:tr w14:paraId="030C26D5">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3B7E0E8B">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18</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580C1EB6">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发光器件驱动方式</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04F78CE5">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1/2扫描 恒流驱动</w:t>
            </w:r>
          </w:p>
        </w:tc>
      </w:tr>
      <w:tr w14:paraId="22EC2DE5">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5D5CB1D3">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19</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03CCAA84">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软件接口</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25DCDC88">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标准计算机接口，兼容Windows、Unix、Novel</w:t>
            </w:r>
          </w:p>
        </w:tc>
      </w:tr>
      <w:tr w14:paraId="12291617">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0B9DE8CC">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20</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58D0D2FC">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防护系统</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24091E4A">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超温/过载/掉电/图像补偿/非线性校正</w:t>
            </w:r>
          </w:p>
        </w:tc>
      </w:tr>
      <w:tr w14:paraId="3A8F9F9D">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1AC29AB2">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21</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46E23682">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工作电压</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71DC5B26">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AC220V±15%；50Hz；</w:t>
            </w:r>
          </w:p>
        </w:tc>
      </w:tr>
      <w:tr w14:paraId="3A6AA8D7">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6957FE84">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22</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1DF9D046">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功耗</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6FFE2349">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全屏亮&gt;600W</w:t>
            </w:r>
          </w:p>
        </w:tc>
      </w:tr>
      <w:tr w14:paraId="2D005258">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00A19304">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23</w:t>
            </w:r>
          </w:p>
        </w:tc>
        <w:tc>
          <w:tcPr>
            <w:tcW w:w="3297" w:type="dxa"/>
            <w:tcBorders>
              <w:top w:val="dotted" w:color="auto" w:sz="4" w:space="0"/>
              <w:left w:val="dotted" w:color="auto" w:sz="4" w:space="0"/>
              <w:bottom w:val="dotted" w:color="auto" w:sz="4" w:space="0"/>
              <w:right w:val="dotted" w:color="auto" w:sz="4" w:space="0"/>
            </w:tcBorders>
            <w:shd w:val="clear" w:color="auto" w:fill="auto"/>
            <w:vAlign w:val="center"/>
          </w:tcPr>
          <w:p w14:paraId="11D1B363">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保护技术</w:t>
            </w:r>
          </w:p>
        </w:tc>
        <w:tc>
          <w:tcPr>
            <w:tcW w:w="4443" w:type="dxa"/>
            <w:tcBorders>
              <w:top w:val="dotted" w:color="auto" w:sz="4" w:space="0"/>
              <w:left w:val="dotted" w:color="auto" w:sz="4" w:space="0"/>
              <w:bottom w:val="dotted" w:color="auto" w:sz="4" w:space="0"/>
              <w:right w:val="single" w:color="auto" w:sz="12" w:space="0"/>
            </w:tcBorders>
            <w:shd w:val="clear" w:color="auto" w:fill="auto"/>
            <w:vAlign w:val="center"/>
          </w:tcPr>
          <w:p w14:paraId="46004E68">
            <w:pPr>
              <w:widowControl/>
              <w:snapToGrid w:val="0"/>
              <w:spacing w:line="400" w:lineRule="exac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防潮、防尘、防腐、防静电、同时具有过流、短路、过压、欠压保护功能。</w:t>
            </w:r>
          </w:p>
          <w:p w14:paraId="372EA905">
            <w:pPr>
              <w:widowControl/>
              <w:snapToGrid w:val="0"/>
              <w:spacing w:line="400" w:lineRule="exact"/>
              <w:jc w:val="left"/>
              <w:rPr>
                <w:rFonts w:ascii="新宋体" w:hAnsi="新宋体" w:eastAsia="新宋体" w:cs="新宋体"/>
                <w:color w:val="auto"/>
                <w:kern w:val="0"/>
                <w:sz w:val="22"/>
                <w:szCs w:val="22"/>
                <w:highlight w:val="none"/>
              </w:rPr>
            </w:pPr>
          </w:p>
        </w:tc>
      </w:tr>
      <w:tr w14:paraId="5536A702">
        <w:tblPrEx>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CellMar>
            <w:top w:w="0" w:type="dxa"/>
            <w:left w:w="108" w:type="dxa"/>
            <w:bottom w:w="0" w:type="dxa"/>
            <w:right w:w="108" w:type="dxa"/>
          </w:tblCellMar>
        </w:tblPrEx>
        <w:trPr>
          <w:cantSplit/>
          <w:trHeight w:val="454" w:hRule="exact"/>
          <w:tblHeader/>
          <w:jc w:val="center"/>
        </w:trPr>
        <w:tc>
          <w:tcPr>
            <w:tcW w:w="709" w:type="dxa"/>
            <w:tcBorders>
              <w:top w:val="dotted" w:color="auto" w:sz="4" w:space="0"/>
              <w:left w:val="single" w:color="auto" w:sz="12" w:space="0"/>
              <w:bottom w:val="dotted" w:color="auto" w:sz="4" w:space="0"/>
              <w:right w:val="dotted" w:color="auto" w:sz="4" w:space="0"/>
            </w:tcBorders>
            <w:shd w:val="clear" w:color="auto" w:fill="auto"/>
            <w:vAlign w:val="center"/>
          </w:tcPr>
          <w:p w14:paraId="521FF94A">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24</w:t>
            </w:r>
          </w:p>
        </w:tc>
        <w:tc>
          <w:tcPr>
            <w:tcW w:w="3297" w:type="dxa"/>
            <w:tcBorders>
              <w:top w:val="dotted" w:color="auto" w:sz="4" w:space="0"/>
              <w:left w:val="dotted" w:color="auto" w:sz="4" w:space="0"/>
              <w:bottom w:val="single" w:color="auto" w:sz="12" w:space="0"/>
              <w:right w:val="dotted" w:color="auto" w:sz="4" w:space="0"/>
            </w:tcBorders>
            <w:shd w:val="clear" w:color="auto" w:fill="auto"/>
            <w:vAlign w:val="center"/>
          </w:tcPr>
          <w:p w14:paraId="2C4606F2">
            <w:pPr>
              <w:widowControl/>
              <w:snapToGrid w:val="0"/>
              <w:spacing w:line="400" w:lineRule="exact"/>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产品重量</w:t>
            </w:r>
          </w:p>
        </w:tc>
        <w:tc>
          <w:tcPr>
            <w:tcW w:w="4443" w:type="dxa"/>
            <w:tcBorders>
              <w:top w:val="dotted" w:color="auto" w:sz="4" w:space="0"/>
              <w:left w:val="dotted" w:color="auto" w:sz="4" w:space="0"/>
              <w:bottom w:val="single" w:color="auto" w:sz="12" w:space="0"/>
              <w:right w:val="single" w:color="auto" w:sz="12" w:space="0"/>
            </w:tcBorders>
            <w:shd w:val="clear" w:color="auto" w:fill="auto"/>
            <w:vAlign w:val="center"/>
          </w:tcPr>
          <w:p w14:paraId="434A0C3F">
            <w:pPr>
              <w:widowControl/>
              <w:snapToGrid w:val="0"/>
              <w:spacing w:line="400" w:lineRule="exact"/>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35Kg（净重）</w:t>
            </w:r>
          </w:p>
        </w:tc>
      </w:tr>
    </w:tbl>
    <w:p w14:paraId="4EF37151">
      <w:pPr>
        <w:spacing w:line="360" w:lineRule="auto"/>
        <w:outlineLvl w:val="2"/>
        <w:rPr>
          <w:rFonts w:hint="eastAsia" w:ascii="新宋体" w:hAnsi="新宋体" w:eastAsia="新宋体" w:cs="新宋体"/>
          <w:b/>
          <w:bCs/>
          <w:color w:val="auto"/>
          <w:sz w:val="22"/>
          <w:szCs w:val="22"/>
          <w:highlight w:val="none"/>
        </w:rPr>
      </w:pPr>
      <w:bookmarkStart w:id="178" w:name="_Toc15100"/>
      <w:r>
        <w:rPr>
          <w:rFonts w:hint="eastAsia" w:ascii="新宋体" w:hAnsi="新宋体" w:eastAsia="新宋体" w:cs="新宋体"/>
          <w:b/>
          <w:bCs/>
          <w:color w:val="auto"/>
          <w:sz w:val="22"/>
          <w:szCs w:val="22"/>
          <w:highlight w:val="none"/>
        </w:rPr>
        <w:t>2</w:t>
      </w:r>
      <w:r>
        <w:rPr>
          <w:rFonts w:hint="eastAsia" w:ascii="新宋体" w:hAnsi="新宋体" w:eastAsia="新宋体" w:cs="新宋体"/>
          <w:b/>
          <w:bCs/>
          <w:color w:val="auto"/>
          <w:sz w:val="22"/>
          <w:szCs w:val="22"/>
          <w:highlight w:val="none"/>
          <w:lang w:val="en-US" w:eastAsia="zh-CN"/>
        </w:rPr>
        <w:t>2</w:t>
      </w:r>
      <w:r>
        <w:rPr>
          <w:rFonts w:hint="eastAsia" w:ascii="新宋体" w:hAnsi="新宋体" w:eastAsia="新宋体" w:cs="新宋体"/>
          <w:b/>
          <w:bCs/>
          <w:color w:val="auto"/>
          <w:sz w:val="22"/>
          <w:szCs w:val="22"/>
          <w:highlight w:val="none"/>
        </w:rPr>
        <w:t>、一体式弹性交通柱</w:t>
      </w:r>
      <w:bookmarkEnd w:id="178"/>
    </w:p>
    <w:p w14:paraId="7FE1F0C1">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技术指标：</w:t>
      </w:r>
    </w:p>
    <w:p w14:paraId="588410DB">
      <w:pPr>
        <w:numPr>
          <w:ilvl w:val="-1"/>
          <w:numId w:val="0"/>
        </w:numPr>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 xml:space="preserve">1. </w:t>
      </w:r>
      <w:r>
        <w:rPr>
          <w:rFonts w:hint="eastAsia" w:ascii="新宋体" w:hAnsi="新宋体" w:eastAsia="新宋体" w:cs="新宋体"/>
          <w:color w:val="auto"/>
          <w:sz w:val="22"/>
          <w:szCs w:val="22"/>
          <w:highlight w:val="none"/>
          <w:lang w:val="en-US" w:eastAsia="zh-CN"/>
        </w:rPr>
        <w:t>柱身为红色，柱体高度75CM</w:t>
      </w:r>
    </w:p>
    <w:p w14:paraId="43EBBEA7">
      <w:pPr>
        <w:numPr>
          <w:ilvl w:val="-1"/>
          <w:numId w:val="0"/>
        </w:numPr>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2.采用高弹性PU材料制作，具有良好弹性、抗弯折性能、耐高低温性能</w:t>
      </w:r>
    </w:p>
    <w:p w14:paraId="10DC06CE">
      <w:pPr>
        <w:numPr>
          <w:ilvl w:val="-1"/>
          <w:numId w:val="0"/>
        </w:numPr>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表面粘贴3段反光材料</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 xml:space="preserve">反光膜符合GB/T 18833 Type </w:t>
      </w:r>
      <w:r>
        <w:rPr>
          <w:rFonts w:hint="eastAsia" w:ascii="新宋体" w:hAnsi="新宋体" w:eastAsia="新宋体" w:cs="新宋体"/>
          <w:color w:val="auto"/>
          <w:sz w:val="22"/>
          <w:szCs w:val="22"/>
          <w:highlight w:val="none"/>
          <w:lang w:val="en-US" w:eastAsia="zh-CN"/>
        </w:rPr>
        <w:t>II</w:t>
      </w:r>
      <w:r>
        <w:rPr>
          <w:rFonts w:hint="eastAsia" w:ascii="新宋体" w:hAnsi="新宋体" w:eastAsia="新宋体" w:cs="新宋体"/>
          <w:color w:val="auto"/>
          <w:sz w:val="22"/>
          <w:szCs w:val="22"/>
          <w:highlight w:val="none"/>
        </w:rPr>
        <w:t>类以上指标</w:t>
      </w:r>
    </w:p>
    <w:p w14:paraId="79C694AC">
      <w:pPr>
        <w:spacing w:line="360" w:lineRule="auto"/>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4.内部需设有加强筋</w:t>
      </w:r>
    </w:p>
    <w:p w14:paraId="02E59EB8">
      <w:pPr>
        <w:spacing w:line="240" w:lineRule="auto"/>
        <w:jc w:val="left"/>
        <w:rPr>
          <w:rFonts w:hint="eastAsia" w:ascii="Times New Roman" w:hAnsi="Times New Roman" w:eastAsia="宋体" w:cs="Times New Roman"/>
          <w:color w:val="auto"/>
          <w:kern w:val="2"/>
          <w:sz w:val="21"/>
          <w:szCs w:val="24"/>
          <w:highlight w:val="none"/>
          <w:lang w:val="en-US" w:eastAsia="zh-CN" w:bidi="ar-SA"/>
        </w:rPr>
      </w:pPr>
    </w:p>
    <w:p w14:paraId="0DA6D2CF">
      <w:pPr>
        <w:spacing w:line="240" w:lineRule="auto"/>
        <w:jc w:val="left"/>
        <w:rPr>
          <w:rFonts w:hint="eastAsia"/>
          <w:color w:val="auto"/>
          <w:highlight w:val="none"/>
          <w:lang w:val="en-US" w:eastAsia="zh-CN"/>
        </w:rPr>
      </w:pPr>
    </w:p>
    <w:p w14:paraId="44BCCFF7">
      <w:pPr>
        <w:spacing w:line="240" w:lineRule="auto"/>
        <w:jc w:val="left"/>
        <w:rPr>
          <w:rFonts w:hint="eastAsia"/>
          <w:color w:val="auto"/>
          <w:highlight w:val="none"/>
          <w:lang w:val="en-US" w:eastAsia="zh-CN"/>
        </w:rPr>
      </w:pPr>
    </w:p>
    <w:p w14:paraId="3CB8F382">
      <w:pPr>
        <w:spacing w:line="240" w:lineRule="auto"/>
        <w:jc w:val="left"/>
        <w:rPr>
          <w:rFonts w:hint="eastAsia"/>
          <w:color w:val="auto"/>
          <w:highlight w:val="none"/>
          <w:lang w:val="en-US" w:eastAsia="zh-CN"/>
        </w:rPr>
      </w:pPr>
    </w:p>
    <w:p w14:paraId="27651461">
      <w:pPr>
        <w:spacing w:line="240" w:lineRule="auto"/>
        <w:jc w:val="center"/>
        <w:rPr>
          <w:rFonts w:hint="eastAsia"/>
          <w:color w:val="auto"/>
          <w:highlight w:val="none"/>
          <w:lang w:val="en-US" w:eastAsia="zh-CN"/>
        </w:rPr>
      </w:pPr>
    </w:p>
    <w:p w14:paraId="3D10F31A">
      <w:pPr>
        <w:tabs>
          <w:tab w:val="left" w:pos="432"/>
        </w:tabs>
        <w:spacing w:line="360" w:lineRule="auto"/>
        <w:jc w:val="left"/>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eastAsia="zh-CN"/>
        </w:rPr>
        <w:drawing>
          <wp:inline distT="0" distB="0" distL="114300" distR="114300">
            <wp:extent cx="4980305" cy="3804285"/>
            <wp:effectExtent l="0" t="0" r="10795" b="5715"/>
            <wp:docPr id="50" name="图片 50" descr="3058f61f0bc22907690d23e3a73b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058f61f0bc22907690d23e3a73b851"/>
                    <pic:cNvPicPr>
                      <a:picLocks noChangeAspect="1"/>
                    </pic:cNvPicPr>
                  </pic:nvPicPr>
                  <pic:blipFill>
                    <a:blip r:embed="rId116"/>
                    <a:stretch>
                      <a:fillRect/>
                    </a:stretch>
                  </pic:blipFill>
                  <pic:spPr>
                    <a:xfrm>
                      <a:off x="0" y="0"/>
                      <a:ext cx="4980305" cy="3804285"/>
                    </a:xfrm>
                    <a:prstGeom prst="rect">
                      <a:avLst/>
                    </a:prstGeom>
                  </pic:spPr>
                </pic:pic>
              </a:graphicData>
            </a:graphic>
          </wp:inline>
        </w:drawing>
      </w:r>
    </w:p>
    <w:p w14:paraId="48633FAF">
      <w:pPr>
        <w:spacing w:line="360" w:lineRule="auto"/>
        <w:outlineLvl w:val="2"/>
        <w:rPr>
          <w:rFonts w:ascii="新宋体" w:hAnsi="新宋体" w:eastAsia="新宋体" w:cs="新宋体"/>
          <w:b/>
          <w:bCs/>
          <w:color w:val="auto"/>
          <w:sz w:val="22"/>
          <w:szCs w:val="22"/>
          <w:highlight w:val="none"/>
        </w:rPr>
      </w:pPr>
      <w:bookmarkStart w:id="179" w:name="_Toc5644"/>
      <w:r>
        <w:rPr>
          <w:rFonts w:hint="eastAsia" w:ascii="新宋体" w:hAnsi="新宋体" w:eastAsia="新宋体" w:cs="新宋体"/>
          <w:b/>
          <w:bCs/>
          <w:color w:val="auto"/>
          <w:sz w:val="22"/>
          <w:szCs w:val="22"/>
          <w:highlight w:val="none"/>
        </w:rPr>
        <w:t>2</w:t>
      </w:r>
      <w:r>
        <w:rPr>
          <w:rFonts w:hint="eastAsia" w:ascii="新宋体" w:hAnsi="新宋体" w:eastAsia="新宋体" w:cs="新宋体"/>
          <w:b/>
          <w:bCs/>
          <w:color w:val="auto"/>
          <w:sz w:val="22"/>
          <w:szCs w:val="22"/>
          <w:highlight w:val="none"/>
          <w:lang w:val="en-US" w:eastAsia="zh-CN"/>
        </w:rPr>
        <w:t>3</w:t>
      </w:r>
      <w:r>
        <w:rPr>
          <w:rFonts w:hint="eastAsia" w:ascii="新宋体" w:hAnsi="新宋体" w:eastAsia="新宋体" w:cs="新宋体"/>
          <w:b/>
          <w:bCs/>
          <w:color w:val="auto"/>
          <w:sz w:val="22"/>
          <w:szCs w:val="22"/>
          <w:highlight w:val="none"/>
        </w:rPr>
        <w:t>、警行灯——非灯控路口行人过街预警</w:t>
      </w:r>
      <w:bookmarkEnd w:id="179"/>
      <w:r>
        <w:rPr>
          <w:rFonts w:hint="eastAsia" w:ascii="新宋体" w:hAnsi="新宋体" w:eastAsia="新宋体" w:cs="新宋体"/>
          <w:b/>
          <w:bCs/>
          <w:color w:val="auto"/>
          <w:sz w:val="22"/>
          <w:szCs w:val="22"/>
          <w:highlight w:val="none"/>
        </w:rPr>
        <w:t xml:space="preserve"> </w:t>
      </w:r>
    </w:p>
    <w:p w14:paraId="2B095A0B">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主要的技术参数：</w:t>
      </w:r>
    </w:p>
    <w:p w14:paraId="4334AD11">
      <w:pPr>
        <w:spacing w:line="240" w:lineRule="atLeast"/>
        <w:ind w:left="1020" w:hanging="42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1、工作电压：    AC176~264V,50Hz</w:t>
      </w:r>
    </w:p>
    <w:p w14:paraId="3F0026D4">
      <w:pPr>
        <w:spacing w:line="240" w:lineRule="atLeast"/>
        <w:ind w:left="1020" w:hanging="42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2、外观尺寸：        275*230*1100mm</w:t>
      </w:r>
    </w:p>
    <w:p w14:paraId="7255E442">
      <w:pPr>
        <w:spacing w:line="240" w:lineRule="atLeast"/>
        <w:ind w:left="1020" w:hanging="42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3、感应距离：      5米-15米 </w:t>
      </w:r>
    </w:p>
    <w:p w14:paraId="31D8D218">
      <w:pPr>
        <w:spacing w:line="240" w:lineRule="atLeast"/>
        <w:ind w:left="1020" w:hanging="42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4、设备工作环境温度：        -45°～65°</w:t>
      </w:r>
    </w:p>
    <w:p w14:paraId="5EA98D48">
      <w:pPr>
        <w:spacing w:line="240" w:lineRule="atLeast"/>
        <w:ind w:left="1020" w:hanging="42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5、灯光照射面积：       5米*15米 </w:t>
      </w:r>
    </w:p>
    <w:p w14:paraId="7A61CE08">
      <w:pPr>
        <w:spacing w:line="240" w:lineRule="atLeast"/>
        <w:ind w:left="1020" w:hanging="42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6</w:t>
      </w:r>
      <w:r>
        <w:rPr>
          <w:rFonts w:hint="eastAsia" w:ascii="新宋体" w:hAnsi="新宋体" w:eastAsia="新宋体" w:cs="新宋体"/>
          <w:color w:val="auto"/>
          <w:sz w:val="22"/>
          <w:szCs w:val="22"/>
          <w:highlight w:val="none"/>
        </w:rPr>
        <w:t xml:space="preserve">、警示提醒时间：       15秒-60秒 </w:t>
      </w:r>
    </w:p>
    <w:p w14:paraId="6A199F74">
      <w:pPr>
        <w:spacing w:line="240" w:lineRule="atLeast"/>
        <w:ind w:left="1020" w:hanging="42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7</w:t>
      </w:r>
      <w:r>
        <w:rPr>
          <w:rFonts w:hint="eastAsia" w:ascii="新宋体" w:hAnsi="新宋体" w:eastAsia="新宋体" w:cs="新宋体"/>
          <w:color w:val="auto"/>
          <w:sz w:val="22"/>
          <w:szCs w:val="22"/>
          <w:highlight w:val="none"/>
        </w:rPr>
        <w:t>、语音播报</w:t>
      </w:r>
      <w:r>
        <w:rPr>
          <w:rFonts w:hint="eastAsia" w:ascii="新宋体" w:hAnsi="新宋体" w:eastAsia="新宋体" w:cs="新宋体"/>
          <w:color w:val="auto"/>
          <w:sz w:val="22"/>
          <w:szCs w:val="22"/>
          <w:highlight w:val="none"/>
          <w:lang w:eastAsia="zh-CN"/>
        </w:rPr>
        <w:t>（一）</w:t>
      </w:r>
      <w:r>
        <w:rPr>
          <w:rFonts w:hint="eastAsia" w:ascii="新宋体" w:hAnsi="新宋体" w:eastAsia="新宋体" w:cs="新宋体"/>
          <w:color w:val="auto"/>
          <w:sz w:val="22"/>
          <w:szCs w:val="22"/>
          <w:highlight w:val="none"/>
        </w:rPr>
        <w:t>：  红灯 ：请勿闯红灯、红灯亮起请勿通行；绿灯：绿灯亮起请通行</w:t>
      </w:r>
    </w:p>
    <w:p w14:paraId="79ABF2CC">
      <w:pPr>
        <w:spacing w:line="240" w:lineRule="atLeast"/>
        <w:ind w:left="1020" w:hanging="420"/>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语音播报</w:t>
      </w:r>
      <w:r>
        <w:rPr>
          <w:rFonts w:hint="eastAsia" w:ascii="新宋体" w:hAnsi="新宋体" w:eastAsia="新宋体" w:cs="新宋体"/>
          <w:color w:val="auto"/>
          <w:sz w:val="22"/>
          <w:szCs w:val="22"/>
          <w:highlight w:val="none"/>
          <w:lang w:eastAsia="zh-CN"/>
        </w:rPr>
        <w:t>（二）</w:t>
      </w:r>
      <w:r>
        <w:rPr>
          <w:rFonts w:hint="eastAsia" w:ascii="新宋体" w:hAnsi="新宋体" w:eastAsia="新宋体" w:cs="新宋体"/>
          <w:color w:val="auto"/>
          <w:sz w:val="22"/>
          <w:szCs w:val="22"/>
          <w:highlight w:val="none"/>
        </w:rPr>
        <w:t>：  红灯 ：</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lang w:eastAsia="zh-CN"/>
        </w:rPr>
        <w:t>现在红灯禁止</w:t>
      </w:r>
      <w:r>
        <w:rPr>
          <w:rFonts w:hint="eastAsia" w:ascii="新宋体" w:hAnsi="新宋体" w:eastAsia="新宋体" w:cs="新宋体"/>
          <w:color w:val="auto"/>
          <w:sz w:val="22"/>
          <w:szCs w:val="22"/>
          <w:highlight w:val="none"/>
        </w:rPr>
        <w:t>通行；</w:t>
      </w:r>
      <w:r>
        <w:rPr>
          <w:rFonts w:hint="eastAsia" w:ascii="新宋体" w:hAnsi="新宋体" w:eastAsia="新宋体" w:cs="新宋体"/>
          <w:color w:val="auto"/>
          <w:sz w:val="22"/>
          <w:szCs w:val="22"/>
          <w:highlight w:val="none"/>
          <w:lang w:val="en-US" w:eastAsia="zh-CN"/>
        </w:rPr>
        <w:t>2.现在红灯退出等待；</w:t>
      </w:r>
      <w:r>
        <w:rPr>
          <w:rFonts w:hint="eastAsia" w:ascii="新宋体" w:hAnsi="新宋体" w:eastAsia="新宋体" w:cs="新宋体"/>
          <w:color w:val="auto"/>
          <w:sz w:val="22"/>
          <w:szCs w:val="22"/>
          <w:highlight w:val="none"/>
        </w:rPr>
        <w:t>绿灯：</w:t>
      </w:r>
      <w:r>
        <w:rPr>
          <w:rFonts w:hint="eastAsia" w:ascii="新宋体" w:hAnsi="新宋体" w:eastAsia="新宋体" w:cs="新宋体"/>
          <w:color w:val="auto"/>
          <w:sz w:val="22"/>
          <w:szCs w:val="22"/>
          <w:highlight w:val="none"/>
          <w:lang w:val="en-US" w:eastAsia="zh-CN"/>
        </w:rPr>
        <w:t>1.现在</w:t>
      </w:r>
      <w:r>
        <w:rPr>
          <w:rFonts w:hint="eastAsia" w:ascii="新宋体" w:hAnsi="新宋体" w:eastAsia="新宋体" w:cs="新宋体"/>
          <w:color w:val="auto"/>
          <w:sz w:val="22"/>
          <w:szCs w:val="22"/>
          <w:highlight w:val="none"/>
        </w:rPr>
        <w:t>绿灯</w:t>
      </w:r>
      <w:r>
        <w:rPr>
          <w:rFonts w:hint="eastAsia" w:ascii="新宋体" w:hAnsi="新宋体" w:eastAsia="新宋体" w:cs="新宋体"/>
          <w:color w:val="auto"/>
          <w:sz w:val="22"/>
          <w:szCs w:val="22"/>
          <w:highlight w:val="none"/>
          <w:lang w:eastAsia="zh-CN"/>
        </w:rPr>
        <w:t>安全通行</w:t>
      </w:r>
    </w:p>
    <w:p w14:paraId="4D7459DB">
      <w:pPr>
        <w:numPr>
          <w:ilvl w:val="0"/>
          <w:numId w:val="3"/>
        </w:numPr>
        <w:spacing w:line="240" w:lineRule="atLeast"/>
        <w:ind w:left="1020" w:hanging="420"/>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LED颜色：红/绿</w:t>
      </w:r>
    </w:p>
    <w:p w14:paraId="04F0BFA2">
      <w:pPr>
        <w:numPr>
          <w:ilvl w:val="0"/>
          <w:numId w:val="3"/>
        </w:numPr>
        <w:spacing w:line="240" w:lineRule="atLeast"/>
        <w:ind w:left="1020" w:hanging="420"/>
        <w:rPr>
          <w:rFonts w:hint="default" w:ascii="新宋体" w:hAnsi="新宋体" w:eastAsia="新宋体" w:cs="新宋体"/>
          <w:color w:val="auto"/>
          <w:sz w:val="22"/>
          <w:szCs w:val="22"/>
          <w:highlight w:val="none"/>
          <w:lang w:val="en-US" w:eastAsia="zh-CN"/>
        </w:rPr>
      </w:pPr>
      <w:r>
        <w:rPr>
          <w:rFonts w:hint="default" w:ascii="新宋体" w:hAnsi="新宋体" w:eastAsia="新宋体" w:cs="新宋体"/>
          <w:color w:val="auto"/>
          <w:sz w:val="22"/>
          <w:szCs w:val="22"/>
          <w:highlight w:val="none"/>
          <w:lang w:val="en-US" w:eastAsia="zh-CN"/>
        </w:rPr>
        <w:t>面罩发光直径:侧发光35*480mm</w:t>
      </w:r>
    </w:p>
    <w:p w14:paraId="2B159709">
      <w:pPr>
        <w:jc w:val="center"/>
        <w:rPr>
          <w:color w:val="auto"/>
          <w:highlight w:val="none"/>
        </w:rPr>
      </w:pPr>
      <w:r>
        <w:rPr>
          <w:rFonts w:hint="eastAsia" w:ascii="新宋体" w:hAnsi="新宋体" w:eastAsia="新宋体" w:cs="新宋体"/>
          <w:color w:val="auto"/>
          <w:sz w:val="22"/>
          <w:szCs w:val="22"/>
          <w:highlight w:val="none"/>
        </w:rPr>
        <w:drawing>
          <wp:inline distT="0" distB="0" distL="114300" distR="114300">
            <wp:extent cx="2562225" cy="2343785"/>
            <wp:effectExtent l="0" t="0" r="9525" b="18415"/>
            <wp:docPr id="46" name="图片 46" descr="17248968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24896815311"/>
                    <pic:cNvPicPr>
                      <a:picLocks noChangeAspect="1"/>
                    </pic:cNvPicPr>
                  </pic:nvPicPr>
                  <pic:blipFill>
                    <a:blip r:embed="rId117"/>
                    <a:stretch>
                      <a:fillRect/>
                    </a:stretch>
                  </pic:blipFill>
                  <pic:spPr>
                    <a:xfrm>
                      <a:off x="0" y="0"/>
                      <a:ext cx="2562225" cy="2343785"/>
                    </a:xfrm>
                    <a:prstGeom prst="rect">
                      <a:avLst/>
                    </a:prstGeom>
                  </pic:spPr>
                </pic:pic>
              </a:graphicData>
            </a:graphic>
          </wp:inline>
        </w:drawing>
      </w:r>
    </w:p>
    <w:p w14:paraId="7285337B">
      <w:pPr>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br w:type="page"/>
      </w:r>
    </w:p>
    <w:p w14:paraId="73BE529E">
      <w:pPr>
        <w:spacing w:line="360" w:lineRule="auto"/>
        <w:jc w:val="left"/>
        <w:outlineLvl w:val="0"/>
        <w:rPr>
          <w:rFonts w:ascii="新宋体" w:hAnsi="新宋体" w:eastAsia="新宋体" w:cs="新宋体"/>
          <w:color w:val="auto"/>
          <w:sz w:val="22"/>
          <w:szCs w:val="22"/>
          <w:highlight w:val="none"/>
        </w:rPr>
      </w:pPr>
      <w:bookmarkStart w:id="180" w:name="_Toc4609"/>
      <w:r>
        <w:rPr>
          <w:rFonts w:hint="eastAsia" w:ascii="新宋体" w:hAnsi="新宋体" w:eastAsia="新宋体" w:cs="新宋体"/>
          <w:b/>
          <w:bCs/>
          <w:color w:val="auto"/>
          <w:sz w:val="22"/>
          <w:szCs w:val="22"/>
          <w:highlight w:val="none"/>
        </w:rPr>
        <w:t>四、质量要求</w:t>
      </w:r>
      <w:r>
        <w:rPr>
          <w:rFonts w:hint="eastAsia" w:ascii="新宋体" w:hAnsi="新宋体" w:eastAsia="新宋体" w:cs="新宋体"/>
          <w:color w:val="auto"/>
          <w:sz w:val="22"/>
          <w:szCs w:val="22"/>
          <w:highlight w:val="none"/>
        </w:rPr>
        <w:t>：</w:t>
      </w:r>
      <w:bookmarkEnd w:id="180"/>
    </w:p>
    <w:p w14:paraId="61F4FEB5">
      <w:pPr>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合格，且符合规范标准。</w:t>
      </w:r>
    </w:p>
    <w:p w14:paraId="5BFD7419">
      <w:pPr>
        <w:spacing w:line="360" w:lineRule="auto"/>
        <w:jc w:val="left"/>
        <w:outlineLvl w:val="0"/>
        <w:rPr>
          <w:rFonts w:ascii="新宋体" w:hAnsi="新宋体" w:eastAsia="新宋体" w:cs="新宋体"/>
          <w:b/>
          <w:bCs/>
          <w:color w:val="auto"/>
          <w:sz w:val="22"/>
          <w:szCs w:val="22"/>
          <w:highlight w:val="none"/>
        </w:rPr>
      </w:pPr>
      <w:bookmarkStart w:id="181" w:name="_Toc14435"/>
      <w:r>
        <w:rPr>
          <w:rFonts w:hint="eastAsia" w:ascii="新宋体" w:hAnsi="新宋体" w:eastAsia="新宋体" w:cs="新宋体"/>
          <w:b/>
          <w:bCs/>
          <w:color w:val="auto"/>
          <w:sz w:val="22"/>
          <w:szCs w:val="22"/>
          <w:highlight w:val="none"/>
        </w:rPr>
        <w:t>五、投标人职责</w:t>
      </w:r>
      <w:bookmarkEnd w:id="181"/>
    </w:p>
    <w:p w14:paraId="4BD7EE92">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1、应严格按本次招投标的规定要求履行。在实施交通组织优化前提供交通设施图并按有关技术规范进行安装，确保项目质量。</w:t>
      </w:r>
    </w:p>
    <w:p w14:paraId="3D78264B">
      <w:pPr>
        <w:spacing w:line="360" w:lineRule="auto"/>
        <w:ind w:firstLine="440" w:firstLineChars="200"/>
        <w:jc w:val="left"/>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2、维护内容主要包括服从采购人安排，及时进场工作并按要求①每日开展道路交通安全设施巡查和维护作业，包括对区域内交通设施的基础、交通标志、标牌和设施杆件等交通设施的安全检查、设施排查、统计及登记造册，确保交通安全设施完好率达到98%以上，发现存在安全隐患的，应立即排除或做好临时防护措施，确保管辖范围内所有设施的安全使用。②建立24小时值班制度，接采购人的应急抢修任务30分钟到现场，原则上3小时内修复完成，日常接到抢修任务1小时到现场，原则上5小时内修复完成。如遇材料不足或其他特殊情况无法完成的，应主动报采购人并协商提出合理的补救措施及设置临时安全设施。④</w:t>
      </w:r>
      <w:r>
        <w:rPr>
          <w:rFonts w:hint="eastAsia" w:ascii="新宋体" w:hAnsi="新宋体" w:eastAsia="新宋体" w:cs="新宋体"/>
          <w:color w:val="auto"/>
          <w:sz w:val="22"/>
          <w:szCs w:val="22"/>
          <w:highlight w:val="none"/>
          <w:lang w:val="en-US" w:eastAsia="zh-CN"/>
        </w:rPr>
        <w:t>专职人员对接</w:t>
      </w:r>
      <w:r>
        <w:rPr>
          <w:rFonts w:hint="eastAsia" w:ascii="新宋体" w:hAnsi="新宋体" w:eastAsia="新宋体" w:cs="新宋体"/>
          <w:color w:val="auto"/>
          <w:sz w:val="22"/>
          <w:szCs w:val="22"/>
          <w:highlight w:val="none"/>
          <w:lang w:eastAsia="zh-CN"/>
        </w:rPr>
        <w:t>数字城管</w:t>
      </w:r>
      <w:r>
        <w:rPr>
          <w:rFonts w:hint="eastAsia" w:ascii="新宋体" w:hAnsi="新宋体" w:eastAsia="新宋体" w:cs="新宋体"/>
          <w:color w:val="auto"/>
          <w:sz w:val="22"/>
          <w:szCs w:val="22"/>
          <w:highlight w:val="none"/>
          <w:lang w:val="en-US" w:eastAsia="zh-CN"/>
        </w:rPr>
        <w:t>案卷，</w:t>
      </w:r>
      <w:r>
        <w:rPr>
          <w:rFonts w:hint="eastAsia" w:ascii="新宋体" w:hAnsi="新宋体" w:eastAsia="新宋体" w:cs="新宋体"/>
          <w:color w:val="auto"/>
          <w:sz w:val="22"/>
          <w:szCs w:val="22"/>
          <w:highlight w:val="none"/>
          <w:lang w:eastAsia="zh-CN"/>
        </w:rPr>
        <w:t>做好帐号日常维护工作。</w:t>
      </w:r>
    </w:p>
    <w:p w14:paraId="28219DF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3、在接到采购人提出的交通组织优化需求后，应在</w:t>
      </w:r>
      <w:r>
        <w:rPr>
          <w:rFonts w:hint="eastAsia" w:ascii="新宋体" w:hAnsi="新宋体" w:eastAsia="新宋体" w:cs="新宋体"/>
          <w:color w:val="auto"/>
          <w:sz w:val="22"/>
          <w:szCs w:val="22"/>
          <w:highlight w:val="none"/>
          <w:lang w:val="en-US" w:eastAsia="zh-CN"/>
        </w:rPr>
        <w:t>7</w:t>
      </w:r>
      <w:r>
        <w:rPr>
          <w:rFonts w:hint="eastAsia" w:ascii="新宋体" w:hAnsi="新宋体" w:eastAsia="新宋体" w:cs="新宋体"/>
          <w:color w:val="auto"/>
          <w:sz w:val="22"/>
          <w:szCs w:val="22"/>
          <w:highlight w:val="none"/>
        </w:rPr>
        <w:t>个工作日内，提供符合技术规范要求的道路交通设施施工图等建设材料，向监理报备，并根据施工图要求进行施工，确保项目质量。</w:t>
      </w:r>
    </w:p>
    <w:p w14:paraId="2016DD75">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4、按采购人审定的图纸要求、合同条款、技术规范和清单材料的要求，承担项目的安装、调试及其缺陷修复工作,</w:t>
      </w:r>
      <w:r>
        <w:rPr>
          <w:rFonts w:hint="eastAsia" w:ascii="新宋体" w:hAnsi="新宋体" w:eastAsia="新宋体" w:cs="新宋体"/>
          <w:color w:val="auto"/>
          <w:sz w:val="22"/>
          <w:szCs w:val="22"/>
          <w:highlight w:val="none"/>
          <w:lang w:eastAsia="zh-CN"/>
        </w:rPr>
        <w:t>对相应设施做好</w:t>
      </w:r>
      <w:r>
        <w:rPr>
          <w:rFonts w:hint="eastAsia" w:ascii="新宋体" w:hAnsi="新宋体" w:eastAsia="新宋体" w:cs="新宋体"/>
          <w:color w:val="auto"/>
          <w:sz w:val="22"/>
          <w:szCs w:val="22"/>
          <w:highlight w:val="none"/>
          <w:lang w:val="en-US" w:eastAsia="zh-CN"/>
        </w:rPr>
        <w:t>RFID标签设置</w:t>
      </w:r>
      <w:r>
        <w:rPr>
          <w:rFonts w:hint="eastAsia" w:ascii="新宋体" w:hAnsi="新宋体" w:eastAsia="新宋体" w:cs="新宋体"/>
          <w:color w:val="auto"/>
          <w:sz w:val="22"/>
          <w:szCs w:val="22"/>
          <w:highlight w:val="none"/>
        </w:rPr>
        <w:t>并及时将新增设施录入</w:t>
      </w:r>
      <w:r>
        <w:rPr>
          <w:rFonts w:hint="eastAsia" w:ascii="新宋体" w:hAnsi="新宋体" w:eastAsia="新宋体" w:cs="新宋体"/>
          <w:b/>
          <w:bCs/>
          <w:color w:val="auto"/>
          <w:sz w:val="22"/>
          <w:szCs w:val="22"/>
          <w:highlight w:val="none"/>
        </w:rPr>
        <w:t>“交安设施e智治”</w:t>
      </w:r>
      <w:r>
        <w:rPr>
          <w:rFonts w:hint="eastAsia" w:ascii="新宋体" w:hAnsi="新宋体" w:eastAsia="新宋体" w:cs="新宋体"/>
          <w:color w:val="auto"/>
          <w:sz w:val="22"/>
          <w:szCs w:val="22"/>
          <w:highlight w:val="none"/>
        </w:rPr>
        <w:t>平台。</w:t>
      </w:r>
    </w:p>
    <w:p w14:paraId="3FC38C76">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5、所使用的主要原材料均需要提供检测报告或产品合格证书。</w:t>
      </w:r>
    </w:p>
    <w:p w14:paraId="5D2BD203">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6、接受采购人的各项工作业务指导。</w:t>
      </w:r>
    </w:p>
    <w:p w14:paraId="4F8E145D">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7、负责项目现场的安全文明施工。</w:t>
      </w:r>
    </w:p>
    <w:p w14:paraId="1E2F847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8、建立项目施工的质量保证体系。</w:t>
      </w:r>
    </w:p>
    <w:p w14:paraId="26EEEB6D">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9、负责交通安全设施安装、维护场地、车辆、机械设备、原材料等保障。</w:t>
      </w:r>
    </w:p>
    <w:p w14:paraId="3C47CA0F">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10、次月5日向采购人上报当月的工作量、工作数据、工作小结等。</w:t>
      </w:r>
    </w:p>
    <w:p w14:paraId="66A9433F">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11、更换标志牌、隔离设施等交通设施前需经采购人确认，提供设备更换前后对比照片，投标人对项目范围内的交通安全设施无权自行增设与调整，否则责令投标人自行恢复。优先使用采购人可二次利用的标志牌、隔离设施等交通设施，利旧产生的费用与投标人进行结算；</w:t>
      </w:r>
    </w:p>
    <w:p w14:paraId="32A0856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12、接受采购人、监理对文明施工、安全施工、质量、安装时效等的监管。</w:t>
      </w:r>
    </w:p>
    <w:p w14:paraId="1D157796">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13、接受采购人《交通安全设施维护项目考核管理办法》（考核内容）进行考核。</w:t>
      </w:r>
    </w:p>
    <w:p w14:paraId="29581320">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14、发现未按以下要求将进行考核扣分。具体为：</w:t>
      </w:r>
    </w:p>
    <w:p w14:paraId="61F7E058">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A、标志类：标志牌的整修、拆除、移位、更换、信息内容纠错、设置纠错等；可变标志牌、待行区诱导显示屏、警示灯及其它电子设施的维护、整修、拆除、移位、更换等。</w:t>
      </w:r>
    </w:p>
    <w:p w14:paraId="3348ABF5">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B、标线类：发现交通标线不规范、缺失淡化或错误，标志、标线信息不一致、矛盾冲突等，及时做好维护、修复，不能立即修复的要做好临时防护措施。</w:t>
      </w:r>
    </w:p>
    <w:p w14:paraId="1C5DAAC1">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C、其它安全设施类：立杆、护栏、隔离墩、示警桩、橡胶缓冲带、爆闪灯、震荡减速标线（带）项目、路口凹凸镜的维护拆除、移位、更换等。</w:t>
      </w:r>
    </w:p>
    <w:p w14:paraId="4ACCB793">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D、规范交通设施设置：对重复设置、擅自设置、妨碍安全、不符合规范设置的交通设施进行清理。</w:t>
      </w:r>
    </w:p>
    <w:p w14:paraId="4A4A89EE">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E、安全检查：负责区域内的交通杆件安全隐患排查，交通设施的安全性能进行检查，消除安全隐患，确保交通设施安全使用。</w:t>
      </w:r>
    </w:p>
    <w:p w14:paraId="44CF633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15、投标人应提供正常维护工作必须的所有人工（包括工种）、机械设备、主要维修原材料，配备护栏、护栏直档、护栏立柱、护栏底座、防眩档、PU警示柱、抱箍、防撞桶、水马、锥筒等；</w:t>
      </w:r>
    </w:p>
    <w:p w14:paraId="5070A0F8">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16、维护工作结束后更换的交接表，需经采购人、经办人、审核人及监理单位确认，并在工作清单上签字加盖公章后生效；合同期内采购人每季度对维护实施的内容进行抽查检测，检测由采购人委托具有CMA资质的检测机构进行并由投标人承担相应费用，并将相关抽查情况纳入考核验收范围。</w:t>
      </w:r>
    </w:p>
    <w:p w14:paraId="093C4B84">
      <w:pPr>
        <w:spacing w:line="360" w:lineRule="auto"/>
        <w:ind w:firstLine="440" w:firstLineChars="200"/>
        <w:jc w:val="left"/>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17、更换后的材料统一上报采购人，经采购人签字确认后，</w:t>
      </w:r>
      <w:r>
        <w:rPr>
          <w:rFonts w:hint="eastAsia" w:ascii="新宋体" w:hAnsi="新宋体" w:eastAsia="新宋体" w:cs="新宋体"/>
          <w:color w:val="auto"/>
          <w:kern w:val="0"/>
          <w:sz w:val="22"/>
          <w:szCs w:val="22"/>
          <w:highlight w:val="none"/>
        </w:rPr>
        <w:t>运至备品仓库由投标人暂时保存，</w:t>
      </w:r>
      <w:r>
        <w:rPr>
          <w:rFonts w:hint="eastAsia" w:ascii="新宋体" w:hAnsi="新宋体" w:eastAsia="新宋体" w:cs="新宋体"/>
          <w:color w:val="auto"/>
          <w:kern w:val="0"/>
          <w:sz w:val="22"/>
          <w:szCs w:val="22"/>
          <w:highlight w:val="none"/>
          <w:lang w:val="en-US" w:eastAsia="zh-CN"/>
        </w:rPr>
        <w:t>每三个月进行报废处置，</w:t>
      </w:r>
      <w:r>
        <w:rPr>
          <w:rFonts w:hint="eastAsia" w:ascii="新宋体" w:hAnsi="新宋体" w:eastAsia="新宋体" w:cs="新宋体"/>
          <w:color w:val="auto"/>
          <w:sz w:val="22"/>
          <w:szCs w:val="22"/>
          <w:highlight w:val="none"/>
          <w:lang w:eastAsia="zh-CN"/>
        </w:rPr>
        <w:t>由</w:t>
      </w:r>
      <w:r>
        <w:rPr>
          <w:rFonts w:hint="eastAsia" w:ascii="新宋体" w:hAnsi="新宋体" w:eastAsia="新宋体" w:cs="新宋体"/>
          <w:color w:val="auto"/>
          <w:sz w:val="22"/>
          <w:szCs w:val="22"/>
          <w:highlight w:val="none"/>
          <w:lang w:val="en-US" w:eastAsia="zh-CN"/>
        </w:rPr>
        <w:t>中标</w:t>
      </w:r>
      <w:r>
        <w:rPr>
          <w:rFonts w:hint="eastAsia" w:ascii="新宋体" w:hAnsi="新宋体" w:eastAsia="新宋体" w:cs="新宋体"/>
          <w:color w:val="auto"/>
          <w:sz w:val="22"/>
          <w:szCs w:val="22"/>
          <w:highlight w:val="none"/>
          <w:lang w:eastAsia="zh-CN"/>
        </w:rPr>
        <w:t>人委托第三方评估后按流程进行处理，产生的管理费</w:t>
      </w:r>
      <w:r>
        <w:rPr>
          <w:rFonts w:hint="eastAsia" w:ascii="新宋体" w:hAnsi="新宋体" w:eastAsia="新宋体" w:cs="新宋体"/>
          <w:color w:val="auto"/>
          <w:sz w:val="22"/>
          <w:szCs w:val="22"/>
          <w:highlight w:val="none"/>
          <w:lang w:val="en-US" w:eastAsia="zh-CN"/>
        </w:rPr>
        <w:t>用含日常垃圾清运费（按第三方提供的评估报告为依据）</w:t>
      </w:r>
      <w:r>
        <w:rPr>
          <w:rFonts w:hint="eastAsia" w:ascii="新宋体" w:hAnsi="新宋体" w:eastAsia="新宋体" w:cs="新宋体"/>
          <w:color w:val="auto"/>
          <w:sz w:val="22"/>
          <w:szCs w:val="22"/>
          <w:highlight w:val="none"/>
          <w:lang w:eastAsia="zh-CN"/>
        </w:rPr>
        <w:t>、拍卖费</w:t>
      </w:r>
      <w:r>
        <w:rPr>
          <w:rFonts w:hint="eastAsia" w:ascii="新宋体" w:hAnsi="新宋体" w:eastAsia="新宋体" w:cs="新宋体"/>
          <w:color w:val="auto"/>
          <w:sz w:val="22"/>
          <w:szCs w:val="22"/>
          <w:highlight w:val="none"/>
          <w:lang w:val="en-US" w:eastAsia="zh-CN"/>
        </w:rPr>
        <w:t>按拍卖标准执行</w:t>
      </w:r>
      <w:r>
        <w:rPr>
          <w:rFonts w:hint="eastAsia" w:ascii="新宋体" w:hAnsi="新宋体" w:eastAsia="新宋体" w:cs="新宋体"/>
          <w:color w:val="auto"/>
          <w:sz w:val="22"/>
          <w:szCs w:val="22"/>
          <w:highlight w:val="none"/>
          <w:lang w:eastAsia="zh-CN"/>
        </w:rPr>
        <w:t>等费用</w:t>
      </w:r>
      <w:r>
        <w:rPr>
          <w:rFonts w:hint="eastAsia" w:ascii="新宋体" w:hAnsi="新宋体" w:eastAsia="新宋体" w:cs="新宋体"/>
          <w:color w:val="auto"/>
          <w:sz w:val="22"/>
          <w:szCs w:val="22"/>
          <w:highlight w:val="none"/>
          <w:lang w:val="en-US" w:eastAsia="zh-CN"/>
        </w:rPr>
        <w:t>去除</w:t>
      </w:r>
      <w:r>
        <w:rPr>
          <w:rFonts w:hint="eastAsia" w:ascii="新宋体" w:hAnsi="新宋体" w:eastAsia="新宋体" w:cs="新宋体"/>
          <w:color w:val="auto"/>
          <w:sz w:val="22"/>
          <w:szCs w:val="22"/>
          <w:highlight w:val="none"/>
          <w:lang w:eastAsia="zh-CN"/>
        </w:rPr>
        <w:t>后，剩余金额由采购人处置。</w:t>
      </w:r>
    </w:p>
    <w:p w14:paraId="2B62BC01">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18、采购人、监理在巡查过程中发现投标人在工作中不按国家有关标准设置，责令其返工；</w:t>
      </w:r>
    </w:p>
    <w:p w14:paraId="7E72B2A9">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20、投标人在实施过程中应先制定完善的维护方案，</w:t>
      </w:r>
      <w:r>
        <w:rPr>
          <w:rFonts w:hint="eastAsia" w:ascii="新宋体" w:hAnsi="新宋体" w:eastAsia="新宋体" w:cs="新宋体"/>
          <w:color w:val="auto"/>
          <w:sz w:val="22"/>
          <w:szCs w:val="22"/>
          <w:highlight w:val="none"/>
          <w:lang w:val="en-US" w:eastAsia="zh-CN"/>
        </w:rPr>
        <w:t>采购人协助</w:t>
      </w:r>
      <w:r>
        <w:rPr>
          <w:rFonts w:hint="eastAsia" w:ascii="新宋体" w:hAnsi="新宋体" w:eastAsia="新宋体" w:cs="新宋体"/>
          <w:color w:val="auto"/>
          <w:sz w:val="22"/>
          <w:szCs w:val="22"/>
          <w:highlight w:val="none"/>
        </w:rPr>
        <w:t>办理道路挖掘手续的审批，尽可能减小因施工对道路通行带来的影响，施工时应服从现场交警的管理及指挥；</w:t>
      </w:r>
    </w:p>
    <w:p w14:paraId="2DD15A76">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21、投标人需有专门的工作场地、工作人员、车辆、设备及维护工具以承担交通安全设施任务。</w:t>
      </w:r>
    </w:p>
    <w:p w14:paraId="3B9FF7A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22、对抢修、维修、巡查等不及时造成后果除按考核办法处理外还需承担相应的法律责任。</w:t>
      </w:r>
    </w:p>
    <w:p w14:paraId="43922E1C">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23、自主巡查维护要求：维护区域内次干道（含）以上道路每周巡查覆盖，次干道（不含）以下道路每月巡查覆盖。并做好巡查登记记录及台账。对每次的设备设施维护时均应前、后拍照对比，做到有据可查。</w:t>
      </w:r>
    </w:p>
    <w:p w14:paraId="03E911CF">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24、杜绝因交通设施设置或维护问题造成不良后果，包括但不限被媒体、信访、投诉曝光，或上级部门、交警部门领导发现，事故追责。</w:t>
      </w:r>
    </w:p>
    <w:p w14:paraId="5026B017">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25、投标人实施项目全过程必须接受采购人指定的项目监理单位监督和管理，配合监理单位开展过程监理工作、事后监理工作。</w:t>
      </w:r>
    </w:p>
    <w:p w14:paraId="07360277">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26、接到采购人临时任务通知，投标人</w:t>
      </w:r>
      <w:r>
        <w:rPr>
          <w:rFonts w:hint="eastAsia" w:ascii="新宋体" w:hAnsi="新宋体" w:eastAsia="新宋体" w:cs="新宋体"/>
          <w:color w:val="auto"/>
          <w:sz w:val="22"/>
          <w:szCs w:val="22"/>
          <w:highlight w:val="none"/>
          <w:lang w:val="en-US" w:eastAsia="zh-CN"/>
        </w:rPr>
        <w:t>须</w:t>
      </w:r>
      <w:r>
        <w:rPr>
          <w:rFonts w:hint="eastAsia" w:ascii="新宋体" w:hAnsi="新宋体" w:eastAsia="新宋体" w:cs="新宋体"/>
          <w:color w:val="auto"/>
          <w:sz w:val="22"/>
          <w:szCs w:val="22"/>
          <w:highlight w:val="none"/>
        </w:rPr>
        <w:t>配合。</w:t>
      </w:r>
    </w:p>
    <w:p w14:paraId="7F7329D1">
      <w:pPr>
        <w:spacing w:line="360" w:lineRule="auto"/>
        <w:outlineLvl w:val="0"/>
        <w:rPr>
          <w:rFonts w:ascii="新宋体" w:hAnsi="新宋体" w:eastAsia="新宋体" w:cs="新宋体"/>
          <w:b/>
          <w:bCs/>
          <w:color w:val="auto"/>
          <w:sz w:val="22"/>
          <w:szCs w:val="22"/>
          <w:highlight w:val="none"/>
        </w:rPr>
      </w:pPr>
      <w:bookmarkStart w:id="182" w:name="_Toc29031"/>
      <w:r>
        <w:rPr>
          <w:rFonts w:hint="eastAsia" w:ascii="新宋体" w:hAnsi="新宋体" w:eastAsia="新宋体" w:cs="新宋体"/>
          <w:b/>
          <w:bCs/>
          <w:color w:val="auto"/>
          <w:sz w:val="22"/>
          <w:szCs w:val="22"/>
          <w:highlight w:val="none"/>
        </w:rPr>
        <w:t>六、人员及车辆要求</w:t>
      </w:r>
      <w:bookmarkEnd w:id="182"/>
    </w:p>
    <w:p w14:paraId="6A88EB42">
      <w:pPr>
        <w:tabs>
          <w:tab w:val="left" w:pos="432"/>
        </w:tabs>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1、配备数量</w:t>
      </w:r>
    </w:p>
    <w:p w14:paraId="4DE0AB3D">
      <w:pPr>
        <w:spacing w:line="360" w:lineRule="auto"/>
        <w:ind w:firstLine="440" w:firstLineChars="200"/>
        <w:rPr>
          <w:rFonts w:hint="default" w:ascii="新宋体" w:hAnsi="新宋体" w:eastAsia="新宋体" w:cs="新宋体"/>
          <w:b/>
          <w:bCs/>
          <w:color w:val="auto"/>
          <w:sz w:val="22"/>
          <w:szCs w:val="22"/>
          <w:highlight w:val="none"/>
          <w:u w:val="single"/>
          <w:lang w:val="en-US" w:eastAsia="zh-CN"/>
        </w:rPr>
      </w:pPr>
      <w:r>
        <w:rPr>
          <w:rFonts w:hint="eastAsia" w:ascii="新宋体" w:hAnsi="新宋体" w:eastAsia="新宋体" w:cs="新宋体"/>
          <w:color w:val="auto"/>
          <w:sz w:val="22"/>
          <w:szCs w:val="22"/>
          <w:highlight w:val="none"/>
          <w:u w:val="single"/>
        </w:rPr>
        <w:t>1）按照实际工作需要，本项目</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一（市本级）、</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三（瓯海区）</w:t>
      </w:r>
      <w:r>
        <w:rPr>
          <w:rFonts w:hint="eastAsia" w:ascii="新宋体" w:hAnsi="新宋体" w:eastAsia="新宋体" w:cs="新宋体"/>
          <w:color w:val="auto"/>
          <w:sz w:val="22"/>
          <w:szCs w:val="22"/>
          <w:highlight w:val="none"/>
          <w:u w:val="single"/>
        </w:rPr>
        <w:t>须配备项目负责人1人，</w:t>
      </w:r>
      <w:r>
        <w:rPr>
          <w:rFonts w:hint="eastAsia" w:ascii="新宋体" w:hAnsi="新宋体" w:eastAsia="新宋体" w:cs="新宋体"/>
          <w:color w:val="auto"/>
          <w:sz w:val="22"/>
          <w:szCs w:val="22"/>
          <w:highlight w:val="none"/>
          <w:u w:val="single"/>
          <w:lang w:eastAsia="zh-CN"/>
        </w:rPr>
        <w:t>专职</w:t>
      </w:r>
      <w:r>
        <w:rPr>
          <w:rFonts w:hint="eastAsia" w:ascii="新宋体" w:hAnsi="新宋体" w:eastAsia="新宋体" w:cs="新宋体"/>
          <w:color w:val="auto"/>
          <w:sz w:val="22"/>
          <w:szCs w:val="22"/>
          <w:highlight w:val="none"/>
          <w:u w:val="single"/>
        </w:rPr>
        <w:t>人员不少于1人，实施团队人员（维护、抢修技术人员）不少于10人。</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二（鹿城区）、</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四（龙湾区）</w:t>
      </w:r>
      <w:r>
        <w:rPr>
          <w:rFonts w:hint="eastAsia" w:ascii="新宋体" w:hAnsi="新宋体" w:eastAsia="新宋体" w:cs="新宋体"/>
          <w:color w:val="auto"/>
          <w:sz w:val="22"/>
          <w:szCs w:val="22"/>
          <w:highlight w:val="none"/>
          <w:u w:val="single"/>
        </w:rPr>
        <w:t>须配备项目负责人</w:t>
      </w:r>
      <w:r>
        <w:rPr>
          <w:rFonts w:hint="eastAsia" w:ascii="新宋体" w:hAnsi="新宋体" w:eastAsia="新宋体" w:cs="新宋体"/>
          <w:color w:val="auto"/>
          <w:sz w:val="22"/>
          <w:szCs w:val="22"/>
          <w:highlight w:val="none"/>
          <w:u w:val="single"/>
          <w:lang w:val="en-US" w:eastAsia="zh-CN"/>
        </w:rPr>
        <w:t>1</w:t>
      </w:r>
      <w:r>
        <w:rPr>
          <w:rFonts w:hint="eastAsia" w:ascii="新宋体" w:hAnsi="新宋体" w:eastAsia="新宋体" w:cs="新宋体"/>
          <w:color w:val="auto"/>
          <w:sz w:val="22"/>
          <w:szCs w:val="22"/>
          <w:highlight w:val="none"/>
          <w:u w:val="single"/>
        </w:rPr>
        <w:t>人，</w:t>
      </w:r>
      <w:r>
        <w:rPr>
          <w:rFonts w:hint="eastAsia" w:ascii="新宋体" w:hAnsi="新宋体" w:eastAsia="新宋体" w:cs="新宋体"/>
          <w:color w:val="auto"/>
          <w:sz w:val="22"/>
          <w:szCs w:val="22"/>
          <w:highlight w:val="none"/>
          <w:u w:val="single"/>
          <w:lang w:eastAsia="zh-CN"/>
        </w:rPr>
        <w:t>专职</w:t>
      </w:r>
      <w:r>
        <w:rPr>
          <w:rFonts w:hint="eastAsia" w:ascii="新宋体" w:hAnsi="新宋体" w:eastAsia="新宋体" w:cs="新宋体"/>
          <w:color w:val="auto"/>
          <w:sz w:val="22"/>
          <w:szCs w:val="22"/>
          <w:highlight w:val="none"/>
          <w:u w:val="single"/>
        </w:rPr>
        <w:t>人员不少于2人，实施团队人员（维护、抢修技术人员）不少于20人。</w:t>
      </w:r>
      <w:r>
        <w:rPr>
          <w:rFonts w:hint="eastAsia" w:ascii="新宋体" w:hAnsi="新宋体" w:eastAsia="新宋体" w:cs="新宋体"/>
          <w:color w:val="auto"/>
          <w:sz w:val="22"/>
          <w:szCs w:val="22"/>
          <w:highlight w:val="none"/>
          <w:u w:val="single"/>
          <w:lang w:val="en-US" w:eastAsia="zh-CN"/>
        </w:rPr>
        <w:t>此项规定人数标准为最低标准，</w:t>
      </w:r>
      <w:r>
        <w:rPr>
          <w:rFonts w:hint="eastAsia" w:ascii="新宋体" w:hAnsi="新宋体" w:eastAsia="新宋体" w:cs="新宋体"/>
          <w:color w:val="auto"/>
          <w:sz w:val="22"/>
          <w:szCs w:val="22"/>
          <w:highlight w:val="none"/>
          <w:u w:val="single"/>
        </w:rPr>
        <w:t>同一投标人</w:t>
      </w:r>
      <w:r>
        <w:rPr>
          <w:rFonts w:hint="eastAsia" w:ascii="新宋体" w:hAnsi="新宋体" w:eastAsia="新宋体" w:cs="新宋体"/>
          <w:color w:val="auto"/>
          <w:sz w:val="22"/>
          <w:szCs w:val="22"/>
          <w:highlight w:val="none"/>
          <w:u w:val="single"/>
          <w:lang w:val="en-US" w:eastAsia="zh-CN"/>
        </w:rPr>
        <w:t>最低标准人数</w:t>
      </w:r>
      <w:r>
        <w:rPr>
          <w:rFonts w:hint="eastAsia" w:ascii="新宋体" w:hAnsi="新宋体" w:eastAsia="新宋体" w:cs="新宋体"/>
          <w:color w:val="auto"/>
          <w:sz w:val="22"/>
          <w:szCs w:val="22"/>
          <w:highlight w:val="none"/>
          <w:u w:val="single"/>
        </w:rPr>
        <w:t>各标项人员不能重复。</w:t>
      </w:r>
    </w:p>
    <w:p w14:paraId="5C2CD939">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上述人员数量为本项目的基本采购需求，在本项目采购预算内，如投标人为了更好的为采购人提供高质量服务，可自行考虑增加配置数量。</w:t>
      </w:r>
    </w:p>
    <w:p w14:paraId="55A09658">
      <w:pPr>
        <w:tabs>
          <w:tab w:val="left" w:pos="432"/>
        </w:tabs>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2、人员服务时间</w:t>
      </w:r>
    </w:p>
    <w:p w14:paraId="7AF1137B">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1）项目负责人服务时间：7*24小时响应；</w:t>
      </w:r>
    </w:p>
    <w:p w14:paraId="0A031014">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u w:val="single"/>
          <w:lang w:eastAsia="zh-CN"/>
        </w:rPr>
        <w:t>专职</w:t>
      </w:r>
      <w:r>
        <w:rPr>
          <w:rFonts w:hint="eastAsia" w:ascii="新宋体" w:hAnsi="新宋体" w:eastAsia="新宋体" w:cs="新宋体"/>
          <w:color w:val="auto"/>
          <w:sz w:val="22"/>
          <w:szCs w:val="22"/>
          <w:highlight w:val="none"/>
        </w:rPr>
        <w:t>人员服务时间：5*8小时，工作时间9：00-17：30；</w:t>
      </w:r>
    </w:p>
    <w:p w14:paraId="2D2562B3">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）实施团队人员（维护、抢修技术人员）服务时间：7*24小时响应；</w:t>
      </w:r>
    </w:p>
    <w:p w14:paraId="541C8665">
      <w:pPr>
        <w:tabs>
          <w:tab w:val="left" w:pos="432"/>
        </w:tabs>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3、人员配备标准</w:t>
      </w:r>
    </w:p>
    <w:p w14:paraId="31020FF2">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1）项目负责人配备标准：年龄55周岁（含）以下，具有二级建造师及以上职称，具有交通设施项目经验。（需提供项目合同（项目合同如不能体现项目负责人信息需同时提供业主证明材料）。</w:t>
      </w:r>
    </w:p>
    <w:p w14:paraId="1FADCAC6">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u w:val="single"/>
          <w:lang w:eastAsia="zh-CN"/>
        </w:rPr>
        <w:t>专职</w:t>
      </w:r>
      <w:r>
        <w:rPr>
          <w:rFonts w:hint="eastAsia" w:ascii="新宋体" w:hAnsi="新宋体" w:eastAsia="新宋体" w:cs="新宋体"/>
          <w:color w:val="auto"/>
          <w:sz w:val="22"/>
          <w:szCs w:val="22"/>
          <w:highlight w:val="none"/>
        </w:rPr>
        <w:t>人员配备标准：年龄55周岁（含）以下，具备一定计算机知识等技能。具有相关交通设施项目经验（需提供项目合同（项目合同如不能体现项目负责人信息需同时提供业主证明材料）。</w:t>
      </w:r>
    </w:p>
    <w:p w14:paraId="2BDD0218">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实施团队人员（维护、抢修技术人员）配备标准：年龄55周岁（含）以下，需不少于一位持有电工证、高空作业证，具有相关交通设施项目经验（需提供项目合同（项目合同如不能体现项目负责人信息需同时提供业主证明材料）。</w:t>
      </w:r>
    </w:p>
    <w:p w14:paraId="10AF9C71">
      <w:pPr>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4、人员工作内容及职责</w:t>
      </w:r>
    </w:p>
    <w:p w14:paraId="2B74DC5F">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1）项目负责人工作内容及职责</w:t>
      </w:r>
    </w:p>
    <w:p w14:paraId="4A630E8B">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①负责项目整体实施管理、服务人员管理，实施团队人员（维护、抢修技术人员）、及与采购人的沟通协调等工作。</w:t>
      </w:r>
    </w:p>
    <w:p w14:paraId="16D6394E">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u w:val="single"/>
          <w:lang w:eastAsia="zh-CN"/>
        </w:rPr>
        <w:t>专职</w:t>
      </w:r>
      <w:r>
        <w:rPr>
          <w:rFonts w:hint="eastAsia" w:ascii="新宋体" w:hAnsi="新宋体" w:eastAsia="新宋体" w:cs="新宋体"/>
          <w:color w:val="auto"/>
          <w:sz w:val="22"/>
          <w:szCs w:val="22"/>
          <w:highlight w:val="none"/>
        </w:rPr>
        <w:t>人员工作内容及职责</w:t>
      </w:r>
    </w:p>
    <w:p w14:paraId="5A7977A6">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①进行设施数据统计以及日常性设施工作联系单、増设、调整的数据录入工作（増设、调整的数据要求实时录入），确保资料流程完整。</w:t>
      </w:r>
    </w:p>
    <w:p w14:paraId="745E38FD">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②在收到监理核发的《问题告知单》后2个工作日内书面向采购人提出异议。</w:t>
      </w:r>
    </w:p>
    <w:p w14:paraId="7B9A4E88">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③次月5日向采购人上报当月的工作量、工作数据、工作小结等。</w:t>
      </w:r>
    </w:p>
    <w:p w14:paraId="0E539CD9">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④每月5日向监理单位递交上月巡查维护报告。</w:t>
      </w:r>
    </w:p>
    <w:p w14:paraId="7FA8757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⑤落实采购人交办的工作。</w:t>
      </w:r>
    </w:p>
    <w:p w14:paraId="603DD457">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）实施团队人员（维护、抢修技术人员）工作内容及职责</w:t>
      </w:r>
    </w:p>
    <w:p w14:paraId="12020031">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①在维护区域内巡检，承担维护、抢修工作。</w:t>
      </w:r>
    </w:p>
    <w:p w14:paraId="306EF3F9">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②车辆上路工作需开启定位系统，并每辆车每周上报巡查道路清单。</w:t>
      </w:r>
    </w:p>
    <w:p w14:paraId="28858F9C">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③在工作时间通讯畅通、设施能要求到达现场、规范处置。</w:t>
      </w:r>
    </w:p>
    <w:p w14:paraId="692858C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④维护车辆、设施、人员在工作时间内需在工作区域内，如不在区域内需出具书面情况说明。</w:t>
      </w:r>
    </w:p>
    <w:p w14:paraId="4C0A20FD">
      <w:pPr>
        <w:spacing w:line="360" w:lineRule="auto"/>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⑤接受所属大队分指挥室任务派遣。</w:t>
      </w:r>
    </w:p>
    <w:p w14:paraId="28B4E58F">
      <w:pPr>
        <w:spacing w:line="360" w:lineRule="auto"/>
        <w:ind w:firstLine="440" w:firstLineChars="200"/>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⑥</w:t>
      </w:r>
      <w:r>
        <w:rPr>
          <w:rFonts w:hint="eastAsia" w:ascii="新宋体" w:hAnsi="新宋体" w:eastAsia="新宋体" w:cs="新宋体"/>
          <w:color w:val="auto"/>
          <w:sz w:val="22"/>
          <w:szCs w:val="22"/>
          <w:highlight w:val="none"/>
          <w:lang w:eastAsia="zh-CN"/>
        </w:rPr>
        <w:t>专人做好数字城管帐号维护工作。</w:t>
      </w:r>
    </w:p>
    <w:p w14:paraId="4C2DEE5B">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r>
        <w:rPr>
          <w:rFonts w:hint="eastAsia" w:ascii="新宋体" w:hAnsi="新宋体" w:eastAsia="新宋体" w:cs="新宋体"/>
          <w:color w:val="auto"/>
          <w:sz w:val="22"/>
          <w:szCs w:val="22"/>
          <w:highlight w:val="none"/>
          <w:lang w:eastAsia="zh-CN"/>
        </w:rPr>
        <w:t>专职</w:t>
      </w:r>
      <w:r>
        <w:rPr>
          <w:rFonts w:hint="eastAsia" w:ascii="新宋体" w:hAnsi="新宋体" w:eastAsia="新宋体" w:cs="新宋体"/>
          <w:color w:val="auto"/>
          <w:sz w:val="22"/>
          <w:szCs w:val="22"/>
          <w:highlight w:val="none"/>
        </w:rPr>
        <w:t>人员实施地点：</w:t>
      </w:r>
      <w:r>
        <w:rPr>
          <w:rFonts w:hint="eastAsia" w:ascii="新宋体" w:hAnsi="新宋体" w:eastAsia="新宋体" w:cs="新宋体"/>
          <w:color w:val="auto"/>
          <w:sz w:val="22"/>
          <w:szCs w:val="22"/>
          <w:highlight w:val="none"/>
          <w:lang w:eastAsia="zh-CN"/>
        </w:rPr>
        <w:t>专职</w:t>
      </w:r>
      <w:r>
        <w:rPr>
          <w:rFonts w:hint="eastAsia" w:ascii="新宋体" w:hAnsi="新宋体" w:eastAsia="新宋体" w:cs="新宋体"/>
          <w:color w:val="auto"/>
          <w:sz w:val="22"/>
          <w:szCs w:val="22"/>
          <w:highlight w:val="none"/>
        </w:rPr>
        <w:t>人员地址由</w:t>
      </w:r>
      <w:r>
        <w:rPr>
          <w:rFonts w:hint="eastAsia" w:ascii="新宋体" w:hAnsi="新宋体" w:eastAsia="新宋体" w:cs="新宋体"/>
          <w:color w:val="auto"/>
          <w:sz w:val="22"/>
          <w:szCs w:val="22"/>
          <w:highlight w:val="none"/>
          <w:lang w:eastAsia="zh-CN"/>
        </w:rPr>
        <w:t>中</w:t>
      </w:r>
      <w:r>
        <w:rPr>
          <w:rFonts w:hint="eastAsia" w:ascii="新宋体" w:hAnsi="新宋体" w:eastAsia="新宋体" w:cs="新宋体"/>
          <w:color w:val="auto"/>
          <w:sz w:val="22"/>
          <w:szCs w:val="22"/>
          <w:highlight w:val="none"/>
        </w:rPr>
        <w:t>标人自行确定</w:t>
      </w:r>
      <w:r>
        <w:rPr>
          <w:rFonts w:hint="eastAsia" w:ascii="新宋体" w:hAnsi="新宋体" w:eastAsia="新宋体" w:cs="新宋体"/>
          <w:color w:val="auto"/>
          <w:sz w:val="22"/>
          <w:szCs w:val="22"/>
          <w:highlight w:val="none"/>
          <w:lang w:eastAsia="zh-CN"/>
        </w:rPr>
        <w:t>，确保一对一做好服务</w:t>
      </w:r>
      <w:r>
        <w:rPr>
          <w:rFonts w:hint="eastAsia" w:ascii="新宋体" w:hAnsi="新宋体" w:eastAsia="新宋体" w:cs="新宋体"/>
          <w:color w:val="auto"/>
          <w:sz w:val="22"/>
          <w:szCs w:val="22"/>
          <w:highlight w:val="none"/>
        </w:rPr>
        <w:t>。</w:t>
      </w:r>
    </w:p>
    <w:p w14:paraId="04C3744C">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6</w:t>
      </w:r>
      <w:r>
        <w:rPr>
          <w:rFonts w:hint="eastAsia" w:ascii="新宋体" w:hAnsi="新宋体" w:eastAsia="新宋体" w:cs="新宋体"/>
          <w:color w:val="auto"/>
          <w:sz w:val="22"/>
          <w:szCs w:val="22"/>
          <w:highlight w:val="none"/>
        </w:rPr>
        <w:t>、车辆要求</w:t>
      </w:r>
    </w:p>
    <w:p w14:paraId="077A1874">
      <w:pPr>
        <w:spacing w:line="360" w:lineRule="auto"/>
        <w:ind w:firstLine="440" w:firstLineChars="200"/>
        <w:rPr>
          <w:rFonts w:hint="default" w:ascii="新宋体" w:hAnsi="新宋体" w:eastAsia="新宋体" w:cs="新宋体"/>
          <w:color w:val="auto"/>
          <w:sz w:val="22"/>
          <w:szCs w:val="22"/>
          <w:highlight w:val="none"/>
          <w:lang w:val="en-US"/>
        </w:rPr>
      </w:pPr>
      <w:r>
        <w:rPr>
          <w:rFonts w:hint="eastAsia" w:ascii="新宋体" w:hAnsi="新宋体" w:eastAsia="新宋体" w:cs="新宋体"/>
          <w:color w:val="auto"/>
          <w:sz w:val="22"/>
          <w:szCs w:val="22"/>
          <w:highlight w:val="none"/>
        </w:rPr>
        <w:t>维护车辆要求为：</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一（市本级）、</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三（瓯海区）</w:t>
      </w:r>
      <w:r>
        <w:rPr>
          <w:rFonts w:hint="eastAsia" w:ascii="新宋体" w:hAnsi="新宋体" w:eastAsia="新宋体" w:cs="新宋体"/>
          <w:color w:val="auto"/>
          <w:sz w:val="22"/>
          <w:szCs w:val="22"/>
          <w:highlight w:val="none"/>
          <w:u w:val="none"/>
          <w:lang w:eastAsia="zh-CN"/>
        </w:rPr>
        <w:t>：</w:t>
      </w:r>
      <w:r>
        <w:rPr>
          <w:rFonts w:hint="eastAsia" w:ascii="新宋体" w:hAnsi="新宋体" w:eastAsia="新宋体" w:cs="新宋体"/>
          <w:color w:val="auto"/>
          <w:sz w:val="22"/>
          <w:szCs w:val="22"/>
          <w:highlight w:val="none"/>
        </w:rPr>
        <w:t>1辆轻型非载货专项作业车（具有升降功能并且配备相应GPS系统），1辆重型货车（具有吊车功能且配备相应GPS系统），1辆中型非载货专项作业车（具有升降功能并且配备相应GPS系统），2辆1.5T（含）以上轻型栏板货车（配备相应GPS系统）；</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二（鹿城区）、</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四（龙湾区）</w:t>
      </w:r>
      <w:r>
        <w:rPr>
          <w:rFonts w:hint="eastAsia" w:ascii="新宋体" w:hAnsi="新宋体" w:eastAsia="新宋体" w:cs="新宋体"/>
          <w:color w:val="auto"/>
          <w:sz w:val="22"/>
          <w:szCs w:val="22"/>
          <w:highlight w:val="none"/>
          <w:u w:val="single"/>
          <w:lang w:eastAsia="zh-CN"/>
        </w:rPr>
        <w:t>：</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辆轻型非载货专项作业车（具有升降功能并且配备相应GPS系统），</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辆重型货车（具有吊车功能且配备相应GPS系统），</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辆中型非载货专项作业车（具有升降功能并且配备相应GPS系统），</w:t>
      </w: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辆1.5T（含）以上轻型栏板货车（配备相应GPS系统）</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同一投标人同一车辆最多只能投两个</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w:t>
      </w:r>
    </w:p>
    <w:p w14:paraId="635D00E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上述车辆数量为车辆的基本采购需求。在本项目采购预算内，如投标人为了更好地为采购人提供高质量服务，可自行考虑增加配置数量。</w:t>
      </w:r>
    </w:p>
    <w:p w14:paraId="1954464A">
      <w:pPr>
        <w:spacing w:line="360" w:lineRule="auto"/>
        <w:outlineLvl w:val="0"/>
        <w:rPr>
          <w:rFonts w:ascii="新宋体" w:hAnsi="新宋体" w:eastAsia="新宋体" w:cs="新宋体"/>
          <w:b/>
          <w:bCs/>
          <w:color w:val="auto"/>
          <w:sz w:val="22"/>
          <w:szCs w:val="22"/>
          <w:highlight w:val="none"/>
        </w:rPr>
      </w:pPr>
      <w:bookmarkStart w:id="183" w:name="_Toc4365"/>
      <w:r>
        <w:rPr>
          <w:rFonts w:hint="eastAsia" w:ascii="新宋体" w:hAnsi="新宋体" w:eastAsia="新宋体" w:cs="新宋体"/>
          <w:b/>
          <w:bCs/>
          <w:color w:val="auto"/>
          <w:sz w:val="22"/>
          <w:szCs w:val="22"/>
          <w:highlight w:val="none"/>
        </w:rPr>
        <w:t>七、其他要求</w:t>
      </w:r>
      <w:bookmarkEnd w:id="183"/>
    </w:p>
    <w:p w14:paraId="538085BA">
      <w:pPr>
        <w:spacing w:line="360" w:lineRule="auto"/>
        <w:ind w:firstLine="42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1）投标人应</w:t>
      </w:r>
      <w:r>
        <w:rPr>
          <w:rFonts w:hint="eastAsia" w:ascii="新宋体" w:hAnsi="新宋体" w:eastAsia="新宋体" w:cs="新宋体"/>
          <w:color w:val="auto"/>
          <w:sz w:val="22"/>
          <w:szCs w:val="22"/>
          <w:highlight w:val="none"/>
          <w:lang w:eastAsia="zh-CN"/>
        </w:rPr>
        <w:t>指派</w:t>
      </w:r>
      <w:r>
        <w:rPr>
          <w:rFonts w:hint="eastAsia" w:ascii="新宋体" w:hAnsi="新宋体" w:eastAsia="新宋体" w:cs="新宋体"/>
          <w:color w:val="auto"/>
          <w:sz w:val="22"/>
          <w:szCs w:val="22"/>
          <w:highlight w:val="none"/>
        </w:rPr>
        <w:t>固定的</w:t>
      </w:r>
      <w:r>
        <w:rPr>
          <w:rFonts w:hint="eastAsia" w:ascii="新宋体" w:hAnsi="新宋体" w:eastAsia="新宋体" w:cs="新宋体"/>
          <w:color w:val="auto"/>
          <w:sz w:val="22"/>
          <w:szCs w:val="22"/>
          <w:highlight w:val="none"/>
          <w:lang w:val="en-US" w:eastAsia="zh-CN"/>
        </w:rPr>
        <w:t>专职</w:t>
      </w:r>
      <w:r>
        <w:rPr>
          <w:rFonts w:hint="eastAsia" w:ascii="新宋体" w:hAnsi="新宋体" w:eastAsia="新宋体" w:cs="新宋体"/>
          <w:color w:val="auto"/>
          <w:sz w:val="22"/>
          <w:szCs w:val="22"/>
          <w:highlight w:val="none"/>
        </w:rPr>
        <w:t>人员，合同期内人员不得随意变动；如人员进行变更时，需提前2个工作日向采购人提交书面报告，经采购人经办人、审核人对服务人员变更进行审批，签发人员变更审批单。书面审批通过后方可更换，更换人员资历不得低于投标时人员资历。</w:t>
      </w:r>
    </w:p>
    <w:p w14:paraId="1810C1E7">
      <w:pPr>
        <w:spacing w:line="360" w:lineRule="auto"/>
        <w:ind w:firstLine="42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）项目负责人、</w:t>
      </w:r>
      <w:r>
        <w:rPr>
          <w:rFonts w:hint="eastAsia" w:ascii="新宋体" w:hAnsi="新宋体" w:eastAsia="新宋体" w:cs="新宋体"/>
          <w:color w:val="auto"/>
          <w:sz w:val="22"/>
          <w:szCs w:val="22"/>
          <w:highlight w:val="none"/>
          <w:u w:val="single"/>
          <w:lang w:eastAsia="zh-CN"/>
        </w:rPr>
        <w:t>专职</w:t>
      </w:r>
      <w:r>
        <w:rPr>
          <w:rFonts w:hint="eastAsia" w:ascii="新宋体" w:hAnsi="新宋体" w:eastAsia="新宋体" w:cs="新宋体"/>
          <w:color w:val="auto"/>
          <w:sz w:val="22"/>
          <w:szCs w:val="22"/>
          <w:highlight w:val="none"/>
        </w:rPr>
        <w:t>人员</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实施团队人员（维护、抢修技术人员）须提供在投标人单位社保缴纳记录</w:t>
      </w:r>
      <w:r>
        <w:rPr>
          <w:rFonts w:hint="eastAsia" w:ascii="新宋体" w:hAnsi="新宋体" w:eastAsia="新宋体" w:cs="新宋体"/>
          <w:color w:val="auto"/>
          <w:sz w:val="22"/>
          <w:szCs w:val="22"/>
          <w:highlight w:val="none"/>
          <w:lang w:val="en-US" w:eastAsia="zh-CN"/>
        </w:rPr>
        <w:t>近1个月以上</w:t>
      </w:r>
      <w:r>
        <w:rPr>
          <w:rFonts w:hint="eastAsia" w:ascii="新宋体" w:hAnsi="新宋体" w:eastAsia="新宋体" w:cs="新宋体"/>
          <w:color w:val="auto"/>
          <w:sz w:val="22"/>
          <w:szCs w:val="22"/>
          <w:highlight w:val="none"/>
        </w:rPr>
        <w:t>及提供投标人和拟派项目人员共同出具的保证能在本项目服务期间为本项目服务的承诺函。</w:t>
      </w:r>
    </w:p>
    <w:p w14:paraId="3AB9D439">
      <w:pPr>
        <w:spacing w:line="360" w:lineRule="auto"/>
        <w:ind w:firstLine="220" w:firstLineChars="1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保密要求：1、采购人应当对投标人及工作人员开展常态化安全保密教育，组织签订安全保密承诺书，明确具体安全管理内容、安全保密义务和责任。严格按照采购人规定使用、存储、处理文档资料和数据。合同终止时，应当交还全部公安资料和数据。2、投标人及工作人员违反安全管理要求，构成违法犯罪的，采购人应当及时报送本级政府采购和市场监督管理部门，提请列入政府采购严重违法失信行为记录名单、市场监督管理严重失信名单，并追究相关责任。</w:t>
      </w:r>
    </w:p>
    <w:p w14:paraId="479FE328">
      <w:pPr>
        <w:spacing w:line="360" w:lineRule="auto"/>
        <w:outlineLvl w:val="0"/>
        <w:rPr>
          <w:rFonts w:ascii="新宋体" w:hAnsi="新宋体" w:eastAsia="新宋体" w:cs="新宋体"/>
          <w:b/>
          <w:bCs/>
          <w:color w:val="auto"/>
          <w:sz w:val="22"/>
          <w:szCs w:val="22"/>
          <w:highlight w:val="none"/>
        </w:rPr>
      </w:pPr>
      <w:bookmarkStart w:id="184" w:name="_Toc9333"/>
      <w:r>
        <w:rPr>
          <w:rFonts w:hint="eastAsia" w:ascii="新宋体" w:hAnsi="新宋体" w:eastAsia="新宋体" w:cs="新宋体"/>
          <w:b/>
          <w:bCs/>
          <w:color w:val="auto"/>
          <w:sz w:val="22"/>
          <w:szCs w:val="22"/>
          <w:highlight w:val="none"/>
        </w:rPr>
        <w:t>八、拟采购标的的商务要求</w:t>
      </w:r>
      <w:bookmarkEnd w:id="184"/>
    </w:p>
    <w:p w14:paraId="03BCEFD2">
      <w:pPr>
        <w:spacing w:line="360" w:lineRule="auto"/>
        <w:ind w:left="210" w:leftChars="100"/>
        <w:jc w:val="left"/>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1、交付（实施）的时间（期限）：</w:t>
      </w:r>
      <w:r>
        <w:rPr>
          <w:rFonts w:hint="eastAsia" w:ascii="新宋体" w:hAnsi="新宋体" w:eastAsia="新宋体" w:cs="新宋体"/>
          <w:color w:val="auto"/>
          <w:sz w:val="22"/>
          <w:szCs w:val="22"/>
          <w:highlight w:val="none"/>
          <w:lang w:val="en-US" w:eastAsia="zh-CN"/>
        </w:rPr>
        <w:t>2024年12月1日起8个月或采购金额达到预算金额（二者以先到为准）为止</w:t>
      </w:r>
      <w:r>
        <w:rPr>
          <w:rFonts w:hint="eastAsia" w:ascii="新宋体" w:hAnsi="新宋体" w:eastAsia="新宋体" w:cs="新宋体"/>
          <w:color w:val="auto"/>
          <w:sz w:val="22"/>
          <w:szCs w:val="22"/>
          <w:highlight w:val="none"/>
          <w:lang w:eastAsia="zh-CN"/>
        </w:rPr>
        <w:t>；</w:t>
      </w:r>
    </w:p>
    <w:p w14:paraId="4F4DDFFB">
      <w:pPr>
        <w:spacing w:line="360" w:lineRule="auto"/>
        <w:ind w:left="210" w:leftChars="1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2、交付（实施）的地点（范围）：</w:t>
      </w:r>
    </w:p>
    <w:p w14:paraId="7B70871D">
      <w:pPr>
        <w:spacing w:line="360" w:lineRule="auto"/>
        <w:ind w:left="210" w:leftChars="1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一：市本级、</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二：鹿城区、</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三：瓯海区、</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rPr>
        <w:t>四：龙湾区</w:t>
      </w:r>
    </w:p>
    <w:p w14:paraId="7290C168">
      <w:pPr>
        <w:spacing w:line="360" w:lineRule="auto"/>
        <w:ind w:left="210" w:leftChars="1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3、付款条件（进度和方式）</w:t>
      </w:r>
    </w:p>
    <w:tbl>
      <w:tblPr>
        <w:tblStyle w:val="52"/>
        <w:tblW w:w="0" w:type="auto"/>
        <w:tblInd w:w="21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731"/>
        <w:gridCol w:w="7125"/>
        <w:gridCol w:w="1722"/>
      </w:tblGrid>
      <w:tr w14:paraId="13968B3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569" w:hRule="atLeast"/>
        </w:trPr>
        <w:tc>
          <w:tcPr>
            <w:tcW w:w="731" w:type="dxa"/>
            <w:noWrap/>
            <w:vAlign w:val="center"/>
          </w:tcPr>
          <w:p w14:paraId="75D5B6EC">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7125" w:type="dxa"/>
            <w:noWrap/>
            <w:vAlign w:val="center"/>
          </w:tcPr>
          <w:p w14:paraId="4AF7989F">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付款比例（%）</w:t>
            </w:r>
          </w:p>
        </w:tc>
        <w:tc>
          <w:tcPr>
            <w:tcW w:w="1722" w:type="dxa"/>
            <w:noWrap/>
            <w:vAlign w:val="center"/>
          </w:tcPr>
          <w:p w14:paraId="2F3591A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付款方式</w:t>
            </w:r>
          </w:p>
        </w:tc>
      </w:tr>
      <w:tr w14:paraId="408D88D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31" w:type="dxa"/>
            <w:noWrap/>
          </w:tcPr>
          <w:p w14:paraId="6F53821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7125" w:type="dxa"/>
            <w:noWrap/>
          </w:tcPr>
          <w:p w14:paraId="6C0BEAEC">
            <w:pPr>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合同签订后7个工作日内，待财政资金到位，采购人支付中标人合同金额的40％，同时中标人缴纳项目预算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的履约保证。</w:t>
            </w:r>
          </w:p>
        </w:tc>
        <w:tc>
          <w:tcPr>
            <w:tcW w:w="1722" w:type="dxa"/>
            <w:noWrap/>
          </w:tcPr>
          <w:p w14:paraId="14F0E58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国库转账支付</w:t>
            </w:r>
          </w:p>
        </w:tc>
      </w:tr>
      <w:tr w14:paraId="7A39E0F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731" w:type="dxa"/>
            <w:noWrap/>
          </w:tcPr>
          <w:p w14:paraId="1801586C">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7125" w:type="dxa"/>
            <w:noWrap/>
          </w:tcPr>
          <w:p w14:paraId="58194F21">
            <w:pPr>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按实支付，每3个月结算一次，结算金额优先从预付款金额中扣除。凭双方签字盖章的验收意见、验收小组签字的验收报告、采购合同、单位保密协议、个人保密承诺书、人员清单、每月人员社保交纳清单、人员变更审批表（如有）、车辆信息、维护方案、安装施工组织方案、安全防护措施方案、工作量、工作数据、工作小结、周巡查登记记录报告、月巡查登记记录报告、月巡查维护报告、台账、设施维护前后照片、工作联系单、《问题告知单》、产品说明书、产品合格证、原厂质保承诺函、质量保证书原件、三包凭证、原配的附件（如有）、产品生产日期凭证等、设施更换交接表、每季度抽测表、第三方具有CMA检测机构出具的检测报告（采购需求中反光系数等相应技术参数）、相关考核材料，根据合同单价及实际施工使用的产品数量、人员到位数、车辆使用数量，监理出具意见后按实结算，最多支付至预算安排，</w:t>
            </w:r>
            <w:r>
              <w:rPr>
                <w:rFonts w:hint="eastAsia" w:ascii="新宋体" w:hAnsi="新宋体" w:eastAsia="新宋体" w:cs="新宋体"/>
                <w:color w:val="auto"/>
                <w:sz w:val="22"/>
                <w:szCs w:val="22"/>
                <w:highlight w:val="none"/>
                <w:lang w:val="zh-CN"/>
              </w:rPr>
              <w:t>同时扣除</w:t>
            </w:r>
            <w:r>
              <w:rPr>
                <w:rFonts w:hint="eastAsia" w:ascii="新宋体" w:hAnsi="新宋体" w:eastAsia="新宋体" w:cs="新宋体"/>
                <w:color w:val="auto"/>
                <w:sz w:val="22"/>
                <w:szCs w:val="22"/>
                <w:highlight w:val="none"/>
              </w:rPr>
              <w:t>投标人</w:t>
            </w:r>
            <w:r>
              <w:rPr>
                <w:rFonts w:hint="eastAsia" w:ascii="新宋体" w:hAnsi="新宋体" w:eastAsia="新宋体" w:cs="新宋体"/>
                <w:color w:val="auto"/>
                <w:sz w:val="22"/>
                <w:szCs w:val="22"/>
                <w:highlight w:val="none"/>
                <w:lang w:val="zh-CN"/>
              </w:rPr>
              <w:t>应向采购人支付的违约金。</w:t>
            </w:r>
          </w:p>
        </w:tc>
        <w:tc>
          <w:tcPr>
            <w:tcW w:w="1722" w:type="dxa"/>
            <w:noWrap/>
          </w:tcPr>
          <w:p w14:paraId="0AC7E0A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国库转账支付</w:t>
            </w:r>
          </w:p>
        </w:tc>
      </w:tr>
      <w:tr w14:paraId="4E9A758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578" w:type="dxa"/>
            <w:gridSpan w:val="3"/>
            <w:noWrap/>
          </w:tcPr>
          <w:p w14:paraId="552367B8">
            <w:pPr>
              <w:spacing w:line="360" w:lineRule="auto"/>
              <w:jc w:val="left"/>
              <w:rPr>
                <w:rFonts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双方确认，</w:t>
            </w:r>
            <w:r>
              <w:rPr>
                <w:rFonts w:hint="eastAsia" w:ascii="新宋体" w:hAnsi="新宋体" w:eastAsia="新宋体" w:cs="新宋体"/>
                <w:color w:val="auto"/>
                <w:sz w:val="22"/>
                <w:szCs w:val="22"/>
                <w:highlight w:val="none"/>
              </w:rPr>
              <w:t>采购人</w:t>
            </w:r>
            <w:r>
              <w:rPr>
                <w:rFonts w:hint="eastAsia" w:ascii="新宋体" w:hAnsi="新宋体" w:eastAsia="新宋体" w:cs="新宋体"/>
                <w:color w:val="auto"/>
                <w:sz w:val="22"/>
                <w:szCs w:val="22"/>
                <w:highlight w:val="none"/>
                <w:lang w:val="zh-CN"/>
              </w:rPr>
              <w:t>按前</w:t>
            </w: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val="zh-CN"/>
              </w:rPr>
              <w:t>款结算并向</w:t>
            </w:r>
            <w:r>
              <w:rPr>
                <w:rFonts w:hint="eastAsia" w:ascii="新宋体" w:hAnsi="新宋体" w:eastAsia="新宋体" w:cs="新宋体"/>
                <w:color w:val="auto"/>
                <w:sz w:val="22"/>
                <w:szCs w:val="22"/>
                <w:highlight w:val="none"/>
              </w:rPr>
              <w:t>投标人</w:t>
            </w:r>
            <w:r>
              <w:rPr>
                <w:rFonts w:hint="eastAsia" w:ascii="新宋体" w:hAnsi="新宋体" w:eastAsia="新宋体" w:cs="新宋体"/>
                <w:color w:val="auto"/>
                <w:sz w:val="22"/>
                <w:szCs w:val="22"/>
                <w:highlight w:val="none"/>
                <w:lang w:val="zh-CN"/>
              </w:rPr>
              <w:t>支付的款项总额不超过项目预算。</w:t>
            </w:r>
          </w:p>
          <w:p w14:paraId="4D2E897E">
            <w:pPr>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zh-CN"/>
              </w:rPr>
              <w:t>前述</w:t>
            </w:r>
            <w:r>
              <w:rPr>
                <w:rFonts w:hint="eastAsia" w:ascii="新宋体" w:hAnsi="新宋体" w:eastAsia="新宋体" w:cs="新宋体"/>
                <w:color w:val="auto"/>
                <w:sz w:val="22"/>
                <w:szCs w:val="22"/>
                <w:highlight w:val="none"/>
              </w:rPr>
              <w:t>采购人根据合同单价及实际施工使用的产品数量、人员到位数、车辆使用数量</w:t>
            </w:r>
            <w:r>
              <w:rPr>
                <w:rFonts w:hint="eastAsia" w:ascii="新宋体" w:hAnsi="新宋体" w:eastAsia="新宋体" w:cs="新宋体"/>
                <w:color w:val="auto"/>
                <w:sz w:val="22"/>
                <w:szCs w:val="22"/>
                <w:highlight w:val="none"/>
                <w:lang w:val="zh-CN"/>
              </w:rPr>
              <w:t>与</w:t>
            </w:r>
            <w:r>
              <w:rPr>
                <w:rFonts w:hint="eastAsia" w:ascii="新宋体" w:hAnsi="新宋体" w:eastAsia="新宋体" w:cs="新宋体"/>
                <w:color w:val="auto"/>
                <w:sz w:val="22"/>
                <w:szCs w:val="22"/>
                <w:highlight w:val="none"/>
              </w:rPr>
              <w:t>投标人</w:t>
            </w:r>
            <w:r>
              <w:rPr>
                <w:rFonts w:hint="eastAsia" w:ascii="新宋体" w:hAnsi="新宋体" w:eastAsia="新宋体" w:cs="新宋体"/>
                <w:color w:val="auto"/>
                <w:sz w:val="22"/>
                <w:szCs w:val="22"/>
                <w:highlight w:val="none"/>
                <w:lang w:val="zh-CN"/>
              </w:rPr>
              <w:t>进行按实结算付款的方式不影响</w:t>
            </w:r>
            <w:r>
              <w:rPr>
                <w:rFonts w:hint="eastAsia" w:ascii="新宋体" w:hAnsi="新宋体" w:eastAsia="新宋体" w:cs="新宋体"/>
                <w:color w:val="auto"/>
                <w:sz w:val="22"/>
                <w:szCs w:val="22"/>
                <w:highlight w:val="none"/>
              </w:rPr>
              <w:t>投标人</w:t>
            </w:r>
            <w:r>
              <w:rPr>
                <w:rFonts w:hint="eastAsia" w:ascii="新宋体" w:hAnsi="新宋体" w:eastAsia="新宋体" w:cs="新宋体"/>
                <w:color w:val="auto"/>
                <w:sz w:val="22"/>
                <w:szCs w:val="22"/>
                <w:highlight w:val="none"/>
                <w:lang w:val="zh-CN"/>
              </w:rPr>
              <w:t>承担其因未全面履行本合同义务而产生的相应违约金。</w:t>
            </w:r>
          </w:p>
        </w:tc>
      </w:tr>
      <w:tr w14:paraId="0098F47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578" w:type="dxa"/>
            <w:gridSpan w:val="3"/>
            <w:noWrap/>
          </w:tcPr>
          <w:p w14:paraId="04199B82">
            <w:pPr>
              <w:tabs>
                <w:tab w:val="left" w:pos="360"/>
              </w:tabs>
              <w:spacing w:line="460" w:lineRule="exact"/>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b/>
                <w:bCs w:val="0"/>
                <w:color w:val="auto"/>
                <w:sz w:val="22"/>
                <w:szCs w:val="22"/>
                <w:highlight w:val="none"/>
                <w:u w:val="single"/>
              </w:rPr>
              <w:t>注：</w:t>
            </w:r>
            <w:r>
              <w:rPr>
                <w:rFonts w:hint="eastAsia" w:ascii="新宋体" w:hAnsi="新宋体" w:eastAsia="新宋体" w:cs="新宋体"/>
                <w:b/>
                <w:bCs w:val="0"/>
                <w:color w:val="auto"/>
                <w:sz w:val="22"/>
                <w:szCs w:val="22"/>
                <w:highlight w:val="none"/>
                <w:u w:val="single"/>
                <w:lang w:val="en-US" w:eastAsia="zh-CN"/>
              </w:rPr>
              <w:t>1、本项目上一年服务合同截止时间为2024年11月30日。为保障项目服务的可持续运行（基础维护工作无法中止），2024年12月1日起由招标人委托原服务单位进行代为服务。在完成招标后，由受委托服务单位将该项目服务工作移交给中标人。期间产生的服务费用，以中标项目约定的各项单价为基准，参照本次中标人中标折扣率的价格按实际发生量结算给受委托服务单位。</w:t>
            </w:r>
          </w:p>
        </w:tc>
      </w:tr>
    </w:tbl>
    <w:p w14:paraId="0C8393C0">
      <w:pPr>
        <w:numPr>
          <w:ilvl w:val="0"/>
          <w:numId w:val="4"/>
        </w:numPr>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售后服务要求：</w:t>
      </w:r>
    </w:p>
    <w:p w14:paraId="75DD0377">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质保期：对合同期内提供的交通设施、设备提供原厂商质保期要求不少于1年（如原厂质保期长于本项目质保期，则按原厂质保期执行），自产品终验通过并交付采购人使用之日起开始计算，并在投标时提供承诺函，承诺函明确投标本项目产品质保由原厂商承担，费用包含在投标报价中。质保期内如发现质量问题实行三包直至产品符合质量要求，由此产生一切费用和直接经济损失由投标人承担。</w:t>
      </w:r>
    </w:p>
    <w:p w14:paraId="621D4BA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2）服务响应：质保期内出现问题，应在1小时内响应；2小时内到达现场，3小时内修复；4小时内无法处理的需进行更换，并出具书面检修报告及情况说明。</w:t>
      </w:r>
    </w:p>
    <w:p w14:paraId="7B1E9EBE">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3）质量要求：投标人所提供的产品必须是原装正品、是全新的、未使用过的，符合采购文件要求以及国家、行业有关技术规范和标准。 (投标文件中须提供质量保证承诺书、有明确的质量目标、质量保证措施)</w:t>
      </w:r>
    </w:p>
    <w:p w14:paraId="4CC5D3EE">
      <w:pPr>
        <w:spacing w:line="360" w:lineRule="auto"/>
        <w:jc w:val="left"/>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5、其他商务要求</w:t>
      </w:r>
    </w:p>
    <w:p w14:paraId="6AA35DD2">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（1）履约保证金退还：验收合格后，无任何质量问题，采购人于收到投标人退还履约保证金申请之日起5个工作日内凭双方签字盖章的验收意见，原额（无息）归还履约保证金。</w:t>
      </w:r>
    </w:p>
    <w:p w14:paraId="1BDE352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投标报价为投标单价，包括产品供货、运输、安装、调试、售后服务、维护费、服务费用（包含人员工资、加班工资、《劳动合同法》规定的各种社会保险费、人员食宿与交通、工具、办公费）及税金等一切费用均计入报价。</w:t>
      </w:r>
    </w:p>
    <w:p w14:paraId="00AB456D">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（3）考核</w:t>
      </w:r>
    </w:p>
    <w:p w14:paraId="17D566CB">
      <w:pPr>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为进一步做好交通设施维护日常管理工作，特制订本考核管理办法。</w:t>
      </w:r>
    </w:p>
    <w:p w14:paraId="3F235007">
      <w:pPr>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●考核对象</w:t>
      </w:r>
    </w:p>
    <w:p w14:paraId="69139463">
      <w:pPr>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交通安全设施维护项目单位。</w:t>
      </w:r>
    </w:p>
    <w:p w14:paraId="3A77B061">
      <w:pPr>
        <w:spacing w:line="360" w:lineRule="auto"/>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●考核原则</w:t>
      </w:r>
    </w:p>
    <w:p w14:paraId="700CB4CF">
      <w:pPr>
        <w:snapToGrid w:val="0"/>
        <w:spacing w:line="360" w:lineRule="auto"/>
        <w:ind w:firstLine="440" w:firstLineChars="200"/>
        <w:rPr>
          <w:rFonts w:hint="eastAsia"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供应商履行对服务全流程服务内容及其相关的服务项目，采购人负责供应商的管理指导、验收考核等职责，督促其履行合同。</w:t>
      </w:r>
    </w:p>
    <w:p w14:paraId="62F9C464">
      <w:pPr>
        <w:snapToGrid w:val="0"/>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zh-CN"/>
        </w:rPr>
        <w:t>本考核以月为考核周期，采用百分制计分方式（</w:t>
      </w:r>
      <w:r>
        <w:rPr>
          <w:rFonts w:hint="eastAsia" w:ascii="新宋体" w:hAnsi="新宋体" w:eastAsia="新宋体" w:cs="新宋体"/>
          <w:color w:val="auto"/>
          <w:kern w:val="0"/>
          <w:sz w:val="22"/>
          <w:szCs w:val="22"/>
          <w:highlight w:val="none"/>
        </w:rPr>
        <w:t>扣分总计</w:t>
      </w:r>
      <w:r>
        <w:rPr>
          <w:rFonts w:hint="eastAsia" w:ascii="新宋体" w:hAnsi="新宋体" w:eastAsia="新宋体" w:cs="新宋体"/>
          <w:color w:val="auto"/>
          <w:kern w:val="0"/>
          <w:sz w:val="22"/>
          <w:szCs w:val="22"/>
          <w:highlight w:val="none"/>
          <w:lang w:eastAsia="zh-CN"/>
        </w:rPr>
        <w:t>为</w:t>
      </w:r>
      <w:r>
        <w:rPr>
          <w:rFonts w:hint="eastAsia" w:ascii="新宋体" w:hAnsi="新宋体" w:eastAsia="新宋体" w:cs="新宋体"/>
          <w:color w:val="auto"/>
          <w:kern w:val="0"/>
          <w:sz w:val="22"/>
          <w:szCs w:val="22"/>
          <w:highlight w:val="none"/>
          <w:lang w:val="en-US" w:eastAsia="zh-CN"/>
        </w:rPr>
        <w:t>100分，</w:t>
      </w:r>
      <w:r>
        <w:rPr>
          <w:rFonts w:hint="eastAsia" w:ascii="新宋体" w:hAnsi="新宋体" w:eastAsia="新宋体" w:cs="新宋体"/>
          <w:color w:val="auto"/>
          <w:sz w:val="22"/>
          <w:szCs w:val="22"/>
          <w:highlight w:val="none"/>
          <w:lang w:val="zh-CN"/>
        </w:rPr>
        <w:t>扣完为止），采购人根据逐条考核事项及对应扣分对供应商（人员）进行计分。供应商每被扣1分，扣除违约金</w:t>
      </w:r>
      <w:r>
        <w:rPr>
          <w:rFonts w:hint="eastAsia" w:ascii="新宋体" w:hAnsi="新宋体" w:eastAsia="新宋体" w:cs="新宋体"/>
          <w:color w:val="auto"/>
          <w:sz w:val="22"/>
          <w:szCs w:val="22"/>
          <w:highlight w:val="none"/>
        </w:rPr>
        <w:t>1000</w:t>
      </w:r>
      <w:r>
        <w:rPr>
          <w:rFonts w:hint="eastAsia" w:ascii="新宋体" w:hAnsi="新宋体" w:eastAsia="新宋体" w:cs="新宋体"/>
          <w:color w:val="auto"/>
          <w:sz w:val="22"/>
          <w:szCs w:val="22"/>
          <w:highlight w:val="none"/>
          <w:lang w:val="zh-CN"/>
        </w:rPr>
        <w:t>元，违约金在结算合同尾款时扣除。</w:t>
      </w:r>
      <w:r>
        <w:rPr>
          <w:rFonts w:hint="eastAsia" w:ascii="新宋体" w:hAnsi="新宋体" w:eastAsia="新宋体" w:cs="新宋体"/>
          <w:color w:val="auto"/>
          <w:sz w:val="22"/>
          <w:szCs w:val="22"/>
          <w:highlight w:val="none"/>
          <w:lang w:val="en-US" w:eastAsia="zh-CN"/>
        </w:rPr>
        <w:t>针对交安“e”智治平台案卷处置甲方给予乙方98%的案卷容错率；</w:t>
      </w:r>
      <w:r>
        <w:rPr>
          <w:rFonts w:hint="eastAsia" w:ascii="新宋体" w:hAnsi="新宋体" w:eastAsia="新宋体" w:cs="新宋体"/>
          <w:color w:val="auto"/>
          <w:sz w:val="22"/>
          <w:szCs w:val="22"/>
          <w:highlight w:val="none"/>
          <w:lang w:val="zh-CN"/>
        </w:rPr>
        <w:t>考核分值高于</w:t>
      </w:r>
      <w:r>
        <w:rPr>
          <w:rFonts w:hint="eastAsia" w:ascii="新宋体" w:hAnsi="新宋体" w:eastAsia="新宋体" w:cs="新宋体"/>
          <w:color w:val="auto"/>
          <w:sz w:val="22"/>
          <w:szCs w:val="22"/>
          <w:highlight w:val="none"/>
        </w:rPr>
        <w:t>8</w:t>
      </w:r>
      <w:r>
        <w:rPr>
          <w:rFonts w:hint="eastAsia" w:ascii="新宋体" w:hAnsi="新宋体" w:eastAsia="新宋体" w:cs="新宋体"/>
          <w:color w:val="auto"/>
          <w:sz w:val="22"/>
          <w:szCs w:val="22"/>
          <w:highlight w:val="none"/>
          <w:lang w:val="zh-CN"/>
        </w:rPr>
        <w:t>0分（含</w:t>
      </w:r>
      <w:r>
        <w:rPr>
          <w:rFonts w:hint="eastAsia" w:ascii="新宋体" w:hAnsi="新宋体" w:eastAsia="新宋体" w:cs="新宋体"/>
          <w:color w:val="auto"/>
          <w:sz w:val="22"/>
          <w:szCs w:val="22"/>
          <w:highlight w:val="none"/>
        </w:rPr>
        <w:t>8</w:t>
      </w:r>
      <w:r>
        <w:rPr>
          <w:rFonts w:hint="eastAsia" w:ascii="新宋体" w:hAnsi="新宋体" w:eastAsia="新宋体" w:cs="新宋体"/>
          <w:color w:val="auto"/>
          <w:sz w:val="22"/>
          <w:szCs w:val="22"/>
          <w:highlight w:val="none"/>
          <w:lang w:val="zh-CN"/>
        </w:rPr>
        <w:t>0分）视为合格，</w:t>
      </w:r>
      <w:r>
        <w:rPr>
          <w:rFonts w:hint="eastAsia" w:ascii="新宋体" w:hAnsi="新宋体" w:eastAsia="新宋体" w:cs="新宋体"/>
          <w:color w:val="auto"/>
          <w:sz w:val="22"/>
          <w:szCs w:val="22"/>
          <w:highlight w:val="none"/>
        </w:rPr>
        <w:t>80</w:t>
      </w:r>
      <w:r>
        <w:rPr>
          <w:rFonts w:hint="eastAsia" w:ascii="新宋体" w:hAnsi="新宋体" w:eastAsia="新宋体" w:cs="新宋体"/>
          <w:color w:val="auto"/>
          <w:sz w:val="22"/>
          <w:szCs w:val="22"/>
          <w:highlight w:val="none"/>
          <w:lang w:val="zh-CN"/>
        </w:rPr>
        <w:t>分以下视为不合格；如供应商经采购人考评连续两次均为不合格，采购人有权无条件终止合同,并没收供应商全部履约保证金。如给采购人造成损失的有权向供应商提出索赔。如考核周期内重复出现相同扣分情形，累计计算扣除分值。</w:t>
      </w:r>
    </w:p>
    <w:p w14:paraId="5C9E9756">
      <w:pPr>
        <w:spacing w:line="360" w:lineRule="auto"/>
        <w:jc w:val="center"/>
        <w:rPr>
          <w:rFonts w:hint="eastAsia"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br w:type="page"/>
      </w:r>
    </w:p>
    <w:tbl>
      <w:tblPr>
        <w:tblStyle w:val="5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134"/>
        <w:gridCol w:w="4852"/>
        <w:gridCol w:w="2319"/>
        <w:gridCol w:w="871"/>
      </w:tblGrid>
      <w:tr w14:paraId="2950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5000" w:type="pct"/>
            <w:gridSpan w:val="5"/>
            <w:tcBorders>
              <w:top w:val="nil"/>
              <w:left w:val="nil"/>
              <w:bottom w:val="single" w:color="auto" w:sz="4" w:space="0"/>
              <w:right w:val="nil"/>
            </w:tcBorders>
            <w:noWrap/>
            <w:vAlign w:val="center"/>
          </w:tcPr>
          <w:p w14:paraId="0322C4E4">
            <w:pPr>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交通安全设施维护</w:t>
            </w:r>
            <w:r>
              <w:rPr>
                <w:rFonts w:hint="eastAsia" w:ascii="新宋体" w:hAnsi="新宋体" w:eastAsia="新宋体" w:cs="新宋体"/>
                <w:color w:val="auto"/>
                <w:kern w:val="0"/>
                <w:sz w:val="22"/>
                <w:szCs w:val="22"/>
                <w:highlight w:val="none"/>
                <w:lang w:val="en-GB"/>
              </w:rPr>
              <w:t>考核表</w:t>
            </w:r>
          </w:p>
        </w:tc>
      </w:tr>
      <w:tr w14:paraId="71AA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tcBorders>
              <w:top w:val="single" w:color="auto" w:sz="4" w:space="0"/>
              <w:left w:val="single" w:color="auto" w:sz="4" w:space="0"/>
              <w:bottom w:val="single" w:color="auto" w:sz="4" w:space="0"/>
              <w:right w:val="single" w:color="auto" w:sz="4" w:space="0"/>
            </w:tcBorders>
            <w:noWrap/>
            <w:vAlign w:val="center"/>
          </w:tcPr>
          <w:p w14:paraId="044558C5">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3037" w:type="pct"/>
            <w:gridSpan w:val="2"/>
            <w:tcBorders>
              <w:top w:val="single" w:color="auto" w:sz="4" w:space="0"/>
              <w:left w:val="single" w:color="auto" w:sz="4" w:space="0"/>
              <w:bottom w:val="single" w:color="auto" w:sz="4" w:space="0"/>
              <w:right w:val="single" w:color="auto" w:sz="4" w:space="0"/>
            </w:tcBorders>
            <w:noWrap/>
            <w:vAlign w:val="center"/>
          </w:tcPr>
          <w:p w14:paraId="67C8DF22">
            <w:pPr>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扣分项内容</w:t>
            </w:r>
          </w:p>
        </w:tc>
        <w:tc>
          <w:tcPr>
            <w:tcW w:w="1176" w:type="pct"/>
            <w:tcBorders>
              <w:top w:val="single" w:color="auto" w:sz="4" w:space="0"/>
              <w:left w:val="single" w:color="auto" w:sz="4" w:space="0"/>
              <w:bottom w:val="single" w:color="auto" w:sz="4" w:space="0"/>
              <w:right w:val="single" w:color="auto" w:sz="4" w:space="0"/>
            </w:tcBorders>
            <w:noWrap/>
            <w:vAlign w:val="center"/>
          </w:tcPr>
          <w:p w14:paraId="75475663">
            <w:pPr>
              <w:spacing w:beforeLines="50"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考核扣分</w:t>
            </w:r>
          </w:p>
        </w:tc>
        <w:tc>
          <w:tcPr>
            <w:tcW w:w="441" w:type="pct"/>
            <w:tcBorders>
              <w:top w:val="single" w:color="auto" w:sz="4" w:space="0"/>
              <w:left w:val="single" w:color="auto" w:sz="4" w:space="0"/>
              <w:bottom w:val="single" w:color="auto" w:sz="4" w:space="0"/>
              <w:right w:val="single" w:color="auto" w:sz="4" w:space="0"/>
            </w:tcBorders>
            <w:noWrap/>
            <w:vAlign w:val="center"/>
          </w:tcPr>
          <w:p w14:paraId="003B730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备注</w:t>
            </w:r>
          </w:p>
        </w:tc>
      </w:tr>
      <w:tr w14:paraId="3A80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14:paraId="06FB3363">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p>
        </w:tc>
        <w:tc>
          <w:tcPr>
            <w:tcW w:w="575" w:type="pct"/>
            <w:vMerge w:val="restart"/>
            <w:tcBorders>
              <w:top w:val="single" w:color="auto" w:sz="4" w:space="0"/>
              <w:left w:val="single" w:color="auto" w:sz="4" w:space="0"/>
              <w:bottom w:val="single" w:color="auto" w:sz="4" w:space="0"/>
              <w:right w:val="single" w:color="auto" w:sz="4" w:space="0"/>
            </w:tcBorders>
            <w:noWrap/>
            <w:vAlign w:val="center"/>
          </w:tcPr>
          <w:p w14:paraId="3AB8806C">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人员、车辆管理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c>
          <w:tcPr>
            <w:tcW w:w="2461" w:type="pct"/>
            <w:tcBorders>
              <w:top w:val="single" w:color="auto" w:sz="4" w:space="0"/>
              <w:left w:val="single" w:color="auto" w:sz="4" w:space="0"/>
              <w:bottom w:val="single" w:color="auto" w:sz="4" w:space="0"/>
              <w:right w:val="single" w:color="auto" w:sz="4" w:space="0"/>
            </w:tcBorders>
            <w:noWrap/>
            <w:vAlign w:val="center"/>
          </w:tcPr>
          <w:p w14:paraId="4EA47A27">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（1）供应商未按采购需求规定配备车辆、人员、设备</w:t>
            </w:r>
          </w:p>
        </w:tc>
        <w:tc>
          <w:tcPr>
            <w:tcW w:w="1176" w:type="pct"/>
            <w:tcBorders>
              <w:top w:val="single" w:color="auto" w:sz="4" w:space="0"/>
              <w:left w:val="single" w:color="auto" w:sz="4" w:space="0"/>
              <w:bottom w:val="single" w:color="auto" w:sz="4" w:space="0"/>
              <w:right w:val="single" w:color="auto" w:sz="4" w:space="0"/>
            </w:tcBorders>
            <w:noWrap/>
            <w:vAlign w:val="center"/>
          </w:tcPr>
          <w:p w14:paraId="78FB5C5F">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4B3C12F0">
            <w:pPr>
              <w:spacing w:line="360" w:lineRule="auto"/>
              <w:rPr>
                <w:rFonts w:ascii="新宋体" w:hAnsi="新宋体" w:eastAsia="新宋体" w:cs="新宋体"/>
                <w:color w:val="auto"/>
                <w:sz w:val="22"/>
                <w:szCs w:val="22"/>
                <w:highlight w:val="none"/>
              </w:rPr>
            </w:pPr>
          </w:p>
        </w:tc>
      </w:tr>
      <w:tr w14:paraId="04E4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09DF01D4">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11110462">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638D1B29">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（2）服务人员工作数据统计错误，工作信息不准确，资料流程存在缺失</w:t>
            </w:r>
          </w:p>
        </w:tc>
        <w:tc>
          <w:tcPr>
            <w:tcW w:w="1176" w:type="pct"/>
            <w:tcBorders>
              <w:top w:val="single" w:color="auto" w:sz="4" w:space="0"/>
              <w:left w:val="single" w:color="auto" w:sz="4" w:space="0"/>
              <w:bottom w:val="single" w:color="auto" w:sz="4" w:space="0"/>
              <w:right w:val="single" w:color="auto" w:sz="4" w:space="0"/>
            </w:tcBorders>
            <w:noWrap/>
            <w:vAlign w:val="center"/>
          </w:tcPr>
          <w:p w14:paraId="708F280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42FDF030">
            <w:pPr>
              <w:spacing w:line="360" w:lineRule="auto"/>
              <w:rPr>
                <w:rFonts w:ascii="新宋体" w:hAnsi="新宋体" w:eastAsia="新宋体" w:cs="新宋体"/>
                <w:color w:val="auto"/>
                <w:sz w:val="22"/>
                <w:szCs w:val="22"/>
                <w:highlight w:val="none"/>
              </w:rPr>
            </w:pPr>
          </w:p>
        </w:tc>
      </w:tr>
      <w:tr w14:paraId="003D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6A7F4010">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5B517216">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70EC6E60">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（3）交办的工作不落实，未按要求时间完成，完成结果未达采购人要求</w:t>
            </w:r>
          </w:p>
        </w:tc>
        <w:tc>
          <w:tcPr>
            <w:tcW w:w="1176" w:type="pct"/>
            <w:tcBorders>
              <w:top w:val="single" w:color="auto" w:sz="4" w:space="0"/>
              <w:left w:val="single" w:color="auto" w:sz="4" w:space="0"/>
              <w:bottom w:val="single" w:color="auto" w:sz="4" w:space="0"/>
              <w:right w:val="single" w:color="auto" w:sz="4" w:space="0"/>
            </w:tcBorders>
            <w:noWrap/>
            <w:vAlign w:val="center"/>
          </w:tcPr>
          <w:p w14:paraId="72934329">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每起扣1分；二次交办后仍未按要求落实办理，扣3分；产生不良后果扣5分。</w:t>
            </w:r>
          </w:p>
        </w:tc>
        <w:tc>
          <w:tcPr>
            <w:tcW w:w="441" w:type="pct"/>
            <w:tcBorders>
              <w:top w:val="single" w:color="auto" w:sz="4" w:space="0"/>
              <w:left w:val="single" w:color="auto" w:sz="4" w:space="0"/>
              <w:bottom w:val="single" w:color="auto" w:sz="4" w:space="0"/>
              <w:right w:val="single" w:color="auto" w:sz="4" w:space="0"/>
            </w:tcBorders>
            <w:noWrap/>
            <w:vAlign w:val="center"/>
          </w:tcPr>
          <w:p w14:paraId="355ABEBC">
            <w:pPr>
              <w:spacing w:line="360" w:lineRule="auto"/>
              <w:rPr>
                <w:rFonts w:ascii="新宋体" w:hAnsi="新宋体" w:eastAsia="新宋体" w:cs="新宋体"/>
                <w:color w:val="auto"/>
                <w:sz w:val="22"/>
                <w:szCs w:val="22"/>
                <w:highlight w:val="none"/>
              </w:rPr>
            </w:pPr>
          </w:p>
        </w:tc>
      </w:tr>
      <w:tr w14:paraId="764C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7EEF5043">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4C5FBC38">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00AFD202">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（4）人员变更时，没有提前2个工作日向采购人提交书面报告，没有审批单，更换人员资历低于投标时人员资历的</w:t>
            </w:r>
          </w:p>
        </w:tc>
        <w:tc>
          <w:tcPr>
            <w:tcW w:w="1176" w:type="pct"/>
            <w:tcBorders>
              <w:top w:val="single" w:color="auto" w:sz="4" w:space="0"/>
              <w:left w:val="single" w:color="auto" w:sz="4" w:space="0"/>
              <w:bottom w:val="single" w:color="auto" w:sz="4" w:space="0"/>
              <w:right w:val="single" w:color="auto" w:sz="4" w:space="0"/>
            </w:tcBorders>
            <w:noWrap/>
            <w:vAlign w:val="center"/>
          </w:tcPr>
          <w:p w14:paraId="6A29DD0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2E0E98CE">
            <w:pPr>
              <w:spacing w:line="360" w:lineRule="auto"/>
              <w:rPr>
                <w:rFonts w:ascii="新宋体" w:hAnsi="新宋体" w:eastAsia="新宋体" w:cs="新宋体"/>
                <w:color w:val="auto"/>
                <w:sz w:val="22"/>
                <w:szCs w:val="22"/>
                <w:highlight w:val="none"/>
              </w:rPr>
            </w:pPr>
          </w:p>
        </w:tc>
      </w:tr>
      <w:tr w14:paraId="2E71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05FD1FC9">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11FDC00E">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759C0570">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（5）维护车辆及人员不每日上路巡查、维护，上路工作不开启车辆定位系统。</w:t>
            </w:r>
          </w:p>
        </w:tc>
        <w:tc>
          <w:tcPr>
            <w:tcW w:w="1176" w:type="pct"/>
            <w:tcBorders>
              <w:top w:val="single" w:color="auto" w:sz="4" w:space="0"/>
              <w:left w:val="single" w:color="auto" w:sz="4" w:space="0"/>
              <w:bottom w:val="single" w:color="auto" w:sz="4" w:space="0"/>
              <w:right w:val="single" w:color="auto" w:sz="4" w:space="0"/>
            </w:tcBorders>
            <w:noWrap/>
            <w:vAlign w:val="center"/>
          </w:tcPr>
          <w:p w14:paraId="1461E82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4FE4A601">
            <w:pPr>
              <w:spacing w:line="360" w:lineRule="auto"/>
              <w:rPr>
                <w:rFonts w:ascii="新宋体" w:hAnsi="新宋体" w:eastAsia="新宋体" w:cs="新宋体"/>
                <w:color w:val="auto"/>
                <w:sz w:val="22"/>
                <w:szCs w:val="22"/>
                <w:highlight w:val="none"/>
              </w:rPr>
            </w:pPr>
          </w:p>
        </w:tc>
      </w:tr>
      <w:tr w14:paraId="4443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0848A60D">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00C8114E">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0D2E1F11">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（6）维护车辆、设备、人员虽在维护区域内，未做与采购人维护项目相关工作的，或工作时间未在维护工作区域内，且未出具书面情况并及时整改的。</w:t>
            </w:r>
          </w:p>
        </w:tc>
        <w:tc>
          <w:tcPr>
            <w:tcW w:w="1176" w:type="pct"/>
            <w:tcBorders>
              <w:top w:val="single" w:color="auto" w:sz="4" w:space="0"/>
              <w:left w:val="single" w:color="auto" w:sz="4" w:space="0"/>
              <w:bottom w:val="single" w:color="auto" w:sz="4" w:space="0"/>
              <w:right w:val="single" w:color="auto" w:sz="4" w:space="0"/>
            </w:tcBorders>
            <w:noWrap/>
            <w:vAlign w:val="center"/>
          </w:tcPr>
          <w:p w14:paraId="5C94BE0F">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4E1F3CFB">
            <w:pPr>
              <w:spacing w:line="360" w:lineRule="auto"/>
              <w:rPr>
                <w:rFonts w:ascii="新宋体" w:hAnsi="新宋体" w:eastAsia="新宋体" w:cs="新宋体"/>
                <w:color w:val="auto"/>
                <w:sz w:val="22"/>
                <w:szCs w:val="22"/>
                <w:highlight w:val="none"/>
              </w:rPr>
            </w:pPr>
          </w:p>
        </w:tc>
      </w:tr>
      <w:tr w14:paraId="154F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restart"/>
            <w:tcBorders>
              <w:top w:val="single" w:color="auto" w:sz="4" w:space="0"/>
              <w:left w:val="single" w:color="auto" w:sz="4" w:space="0"/>
              <w:right w:val="single" w:color="auto" w:sz="4" w:space="0"/>
            </w:tcBorders>
            <w:noWrap/>
            <w:vAlign w:val="center"/>
          </w:tcPr>
          <w:p w14:paraId="61B67751">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w:t>
            </w:r>
          </w:p>
        </w:tc>
        <w:tc>
          <w:tcPr>
            <w:tcW w:w="575" w:type="pct"/>
            <w:vMerge w:val="restart"/>
            <w:tcBorders>
              <w:top w:val="single" w:color="auto" w:sz="4" w:space="0"/>
              <w:left w:val="single" w:color="auto" w:sz="4" w:space="0"/>
              <w:right w:val="single" w:color="auto" w:sz="4" w:space="0"/>
            </w:tcBorders>
            <w:noWrap/>
            <w:vAlign w:val="center"/>
          </w:tcPr>
          <w:p w14:paraId="34BC02F4">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设施提供</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10分</w:t>
            </w:r>
            <w:r>
              <w:rPr>
                <w:rFonts w:hint="eastAsia" w:ascii="新宋体" w:hAnsi="新宋体" w:eastAsia="新宋体" w:cs="新宋体"/>
                <w:color w:val="auto"/>
                <w:sz w:val="22"/>
                <w:szCs w:val="22"/>
                <w:highlight w:val="none"/>
                <w:lang w:eastAsia="zh-CN"/>
              </w:rPr>
              <w:t>）</w:t>
            </w:r>
          </w:p>
        </w:tc>
        <w:tc>
          <w:tcPr>
            <w:tcW w:w="2461" w:type="pct"/>
            <w:tcBorders>
              <w:top w:val="single" w:color="auto" w:sz="4" w:space="0"/>
              <w:left w:val="single" w:color="auto" w:sz="4" w:space="0"/>
              <w:bottom w:val="single" w:color="auto" w:sz="4" w:space="0"/>
              <w:right w:val="single" w:color="auto" w:sz="4" w:space="0"/>
            </w:tcBorders>
            <w:noWrap/>
            <w:vAlign w:val="center"/>
          </w:tcPr>
          <w:p w14:paraId="2F9B2BC5">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（1）维护车辆未按要求配齐维护材料。</w:t>
            </w:r>
          </w:p>
        </w:tc>
        <w:tc>
          <w:tcPr>
            <w:tcW w:w="1176" w:type="pct"/>
            <w:tcBorders>
              <w:top w:val="single" w:color="auto" w:sz="4" w:space="0"/>
              <w:left w:val="single" w:color="auto" w:sz="4" w:space="0"/>
              <w:bottom w:val="single" w:color="auto" w:sz="4" w:space="0"/>
              <w:right w:val="single" w:color="auto" w:sz="4" w:space="0"/>
            </w:tcBorders>
            <w:noWrap/>
            <w:vAlign w:val="center"/>
          </w:tcPr>
          <w:p w14:paraId="5FC8B0B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49C9D35F">
            <w:pPr>
              <w:spacing w:line="360" w:lineRule="auto"/>
              <w:rPr>
                <w:rFonts w:ascii="新宋体" w:hAnsi="新宋体" w:eastAsia="新宋体" w:cs="新宋体"/>
                <w:color w:val="auto"/>
                <w:sz w:val="22"/>
                <w:szCs w:val="22"/>
                <w:highlight w:val="none"/>
              </w:rPr>
            </w:pPr>
          </w:p>
        </w:tc>
      </w:tr>
      <w:tr w14:paraId="7D6B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left w:val="single" w:color="auto" w:sz="4" w:space="0"/>
              <w:right w:val="single" w:color="auto" w:sz="4" w:space="0"/>
            </w:tcBorders>
            <w:noWrap/>
            <w:vAlign w:val="center"/>
          </w:tcPr>
          <w:p w14:paraId="0ED5DD1D">
            <w:pPr>
              <w:spacing w:line="360" w:lineRule="auto"/>
              <w:rPr>
                <w:rFonts w:ascii="新宋体" w:hAnsi="新宋体" w:eastAsia="新宋体" w:cs="新宋体"/>
                <w:color w:val="auto"/>
                <w:sz w:val="22"/>
                <w:szCs w:val="22"/>
                <w:highlight w:val="none"/>
              </w:rPr>
            </w:pPr>
          </w:p>
        </w:tc>
        <w:tc>
          <w:tcPr>
            <w:tcW w:w="575" w:type="pct"/>
            <w:vMerge w:val="continue"/>
            <w:tcBorders>
              <w:left w:val="single" w:color="auto" w:sz="4" w:space="0"/>
              <w:right w:val="single" w:color="auto" w:sz="4" w:space="0"/>
            </w:tcBorders>
            <w:noWrap/>
            <w:vAlign w:val="center"/>
          </w:tcPr>
          <w:p w14:paraId="5D5747AB">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3D3ED785">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（2）标志类：不对标志牌进行整修、拆除、移位、更换、信息内容纠错、设置纠错等；不对可变标志牌、待行区诱导显示屏、警示灯及其它电子设施进行维护、整修、拆除、移位、更换等。</w:t>
            </w:r>
          </w:p>
        </w:tc>
        <w:tc>
          <w:tcPr>
            <w:tcW w:w="1176" w:type="pct"/>
            <w:tcBorders>
              <w:top w:val="single" w:color="auto" w:sz="4" w:space="0"/>
              <w:left w:val="single" w:color="auto" w:sz="4" w:space="0"/>
              <w:bottom w:val="single" w:color="auto" w:sz="4" w:space="0"/>
              <w:right w:val="single" w:color="auto" w:sz="4" w:space="0"/>
            </w:tcBorders>
            <w:noWrap/>
            <w:vAlign w:val="center"/>
          </w:tcPr>
          <w:p w14:paraId="2B7AECBF">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7782C94B">
            <w:pPr>
              <w:spacing w:line="360" w:lineRule="auto"/>
              <w:rPr>
                <w:rFonts w:ascii="新宋体" w:hAnsi="新宋体" w:eastAsia="新宋体" w:cs="新宋体"/>
                <w:color w:val="auto"/>
                <w:sz w:val="22"/>
                <w:szCs w:val="22"/>
                <w:highlight w:val="none"/>
              </w:rPr>
            </w:pPr>
          </w:p>
        </w:tc>
      </w:tr>
      <w:tr w14:paraId="239A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left w:val="single" w:color="auto" w:sz="4" w:space="0"/>
              <w:right w:val="single" w:color="auto" w:sz="4" w:space="0"/>
            </w:tcBorders>
            <w:noWrap/>
            <w:vAlign w:val="center"/>
          </w:tcPr>
          <w:p w14:paraId="0F456696">
            <w:pPr>
              <w:spacing w:line="360" w:lineRule="auto"/>
              <w:rPr>
                <w:rFonts w:ascii="新宋体" w:hAnsi="新宋体" w:eastAsia="新宋体" w:cs="新宋体"/>
                <w:color w:val="auto"/>
                <w:sz w:val="22"/>
                <w:szCs w:val="22"/>
                <w:highlight w:val="none"/>
              </w:rPr>
            </w:pPr>
          </w:p>
        </w:tc>
        <w:tc>
          <w:tcPr>
            <w:tcW w:w="575" w:type="pct"/>
            <w:vMerge w:val="continue"/>
            <w:tcBorders>
              <w:left w:val="single" w:color="auto" w:sz="4" w:space="0"/>
              <w:right w:val="single" w:color="auto" w:sz="4" w:space="0"/>
            </w:tcBorders>
            <w:noWrap/>
            <w:vAlign w:val="center"/>
          </w:tcPr>
          <w:p w14:paraId="11A55337">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25D4BE44">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（3）标线类：对发现交通标线不规范、缺失淡化或错误，标志、标线信息不一致、矛盾冲突等护，不及时做好维护、修复，不能立即修复的不做好临时防护措施。</w:t>
            </w:r>
          </w:p>
        </w:tc>
        <w:tc>
          <w:tcPr>
            <w:tcW w:w="1176" w:type="pct"/>
            <w:tcBorders>
              <w:top w:val="single" w:color="auto" w:sz="4" w:space="0"/>
              <w:left w:val="single" w:color="auto" w:sz="4" w:space="0"/>
              <w:bottom w:val="single" w:color="auto" w:sz="4" w:space="0"/>
              <w:right w:val="single" w:color="auto" w:sz="4" w:space="0"/>
            </w:tcBorders>
            <w:noWrap/>
            <w:vAlign w:val="center"/>
          </w:tcPr>
          <w:p w14:paraId="68DF45E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02E11A4D">
            <w:pPr>
              <w:spacing w:line="360" w:lineRule="auto"/>
              <w:rPr>
                <w:rFonts w:ascii="新宋体" w:hAnsi="新宋体" w:eastAsia="新宋体" w:cs="新宋体"/>
                <w:color w:val="auto"/>
                <w:sz w:val="22"/>
                <w:szCs w:val="22"/>
                <w:highlight w:val="none"/>
              </w:rPr>
            </w:pPr>
          </w:p>
        </w:tc>
      </w:tr>
      <w:tr w14:paraId="0DA7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left w:val="single" w:color="auto" w:sz="4" w:space="0"/>
              <w:right w:val="single" w:color="auto" w:sz="4" w:space="0"/>
            </w:tcBorders>
            <w:noWrap/>
            <w:vAlign w:val="center"/>
          </w:tcPr>
          <w:p w14:paraId="615A70B6">
            <w:pPr>
              <w:spacing w:line="360" w:lineRule="auto"/>
              <w:rPr>
                <w:rFonts w:ascii="新宋体" w:hAnsi="新宋体" w:eastAsia="新宋体" w:cs="新宋体"/>
                <w:color w:val="auto"/>
                <w:sz w:val="22"/>
                <w:szCs w:val="22"/>
                <w:highlight w:val="none"/>
              </w:rPr>
            </w:pPr>
          </w:p>
        </w:tc>
        <w:tc>
          <w:tcPr>
            <w:tcW w:w="575" w:type="pct"/>
            <w:vMerge w:val="continue"/>
            <w:tcBorders>
              <w:left w:val="single" w:color="auto" w:sz="4" w:space="0"/>
              <w:right w:val="single" w:color="auto" w:sz="4" w:space="0"/>
            </w:tcBorders>
            <w:noWrap/>
            <w:vAlign w:val="center"/>
          </w:tcPr>
          <w:p w14:paraId="70BC4B93">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47A1A3D2">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（4）其它安全设施类：不对立杆、护栏、隔离墩、示警桩、橡胶缓冲带、爆闪灯、震荡减速标线（带）、路口凹凸镜进行维护拆除、移位、更换等。</w:t>
            </w:r>
          </w:p>
        </w:tc>
        <w:tc>
          <w:tcPr>
            <w:tcW w:w="1176" w:type="pct"/>
            <w:tcBorders>
              <w:top w:val="single" w:color="auto" w:sz="4" w:space="0"/>
              <w:left w:val="single" w:color="auto" w:sz="4" w:space="0"/>
              <w:bottom w:val="single" w:color="auto" w:sz="4" w:space="0"/>
              <w:right w:val="single" w:color="auto" w:sz="4" w:space="0"/>
            </w:tcBorders>
            <w:noWrap/>
            <w:vAlign w:val="center"/>
          </w:tcPr>
          <w:p w14:paraId="2EF7C76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0085F731">
            <w:pPr>
              <w:spacing w:line="360" w:lineRule="auto"/>
              <w:rPr>
                <w:rFonts w:ascii="新宋体" w:hAnsi="新宋体" w:eastAsia="新宋体" w:cs="新宋体"/>
                <w:color w:val="auto"/>
                <w:sz w:val="22"/>
                <w:szCs w:val="22"/>
                <w:highlight w:val="none"/>
              </w:rPr>
            </w:pPr>
          </w:p>
        </w:tc>
      </w:tr>
      <w:tr w14:paraId="2C83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left w:val="single" w:color="auto" w:sz="4" w:space="0"/>
              <w:right w:val="single" w:color="auto" w:sz="4" w:space="0"/>
            </w:tcBorders>
            <w:noWrap/>
            <w:vAlign w:val="center"/>
          </w:tcPr>
          <w:p w14:paraId="037A0EF2">
            <w:pPr>
              <w:spacing w:line="360" w:lineRule="auto"/>
              <w:rPr>
                <w:rFonts w:ascii="新宋体" w:hAnsi="新宋体" w:eastAsia="新宋体" w:cs="新宋体"/>
                <w:color w:val="auto"/>
                <w:sz w:val="22"/>
                <w:szCs w:val="22"/>
                <w:highlight w:val="none"/>
              </w:rPr>
            </w:pPr>
          </w:p>
        </w:tc>
        <w:tc>
          <w:tcPr>
            <w:tcW w:w="575" w:type="pct"/>
            <w:vMerge w:val="continue"/>
            <w:tcBorders>
              <w:left w:val="single" w:color="auto" w:sz="4" w:space="0"/>
              <w:right w:val="single" w:color="auto" w:sz="4" w:space="0"/>
            </w:tcBorders>
            <w:noWrap/>
            <w:vAlign w:val="center"/>
          </w:tcPr>
          <w:p w14:paraId="7054125E">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right w:val="single" w:color="auto" w:sz="4" w:space="0"/>
            </w:tcBorders>
            <w:noWrap/>
            <w:vAlign w:val="center"/>
          </w:tcPr>
          <w:p w14:paraId="37CDF88C">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（5）投标人不设立备品备件库，不提供必要的备品备件，确保系统正常运行。</w:t>
            </w:r>
          </w:p>
        </w:tc>
        <w:tc>
          <w:tcPr>
            <w:tcW w:w="1176" w:type="pct"/>
            <w:tcBorders>
              <w:top w:val="single" w:color="auto" w:sz="4" w:space="0"/>
              <w:left w:val="single" w:color="auto" w:sz="4" w:space="0"/>
              <w:right w:val="single" w:color="auto" w:sz="4" w:space="0"/>
            </w:tcBorders>
            <w:noWrap/>
            <w:vAlign w:val="center"/>
          </w:tcPr>
          <w:p w14:paraId="62FC10E0">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每出现一次扣2分</w:t>
            </w:r>
          </w:p>
        </w:tc>
        <w:tc>
          <w:tcPr>
            <w:tcW w:w="441" w:type="pct"/>
            <w:tcBorders>
              <w:top w:val="single" w:color="auto" w:sz="4" w:space="0"/>
              <w:left w:val="single" w:color="auto" w:sz="4" w:space="0"/>
              <w:bottom w:val="single" w:color="auto" w:sz="4" w:space="0"/>
              <w:right w:val="single" w:color="auto" w:sz="4" w:space="0"/>
            </w:tcBorders>
            <w:noWrap/>
            <w:vAlign w:val="center"/>
          </w:tcPr>
          <w:p w14:paraId="629CA883">
            <w:pPr>
              <w:spacing w:line="360" w:lineRule="auto"/>
              <w:rPr>
                <w:rFonts w:ascii="新宋体" w:hAnsi="新宋体" w:eastAsia="新宋体" w:cs="新宋体"/>
                <w:color w:val="auto"/>
                <w:sz w:val="22"/>
                <w:szCs w:val="22"/>
                <w:highlight w:val="none"/>
              </w:rPr>
            </w:pPr>
          </w:p>
        </w:tc>
      </w:tr>
      <w:tr w14:paraId="60A3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14:paraId="2BFC3C38">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w:t>
            </w:r>
          </w:p>
        </w:tc>
        <w:tc>
          <w:tcPr>
            <w:tcW w:w="575" w:type="pct"/>
            <w:vMerge w:val="restart"/>
            <w:tcBorders>
              <w:top w:val="single" w:color="auto" w:sz="4" w:space="0"/>
              <w:left w:val="single" w:color="auto" w:sz="4" w:space="0"/>
              <w:bottom w:val="single" w:color="auto" w:sz="4" w:space="0"/>
              <w:right w:val="single" w:color="auto" w:sz="4" w:space="0"/>
            </w:tcBorders>
            <w:noWrap/>
            <w:vAlign w:val="center"/>
          </w:tcPr>
          <w:p w14:paraId="0F5967DE">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安全管理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10分</w:t>
            </w:r>
            <w:r>
              <w:rPr>
                <w:rFonts w:hint="eastAsia" w:ascii="新宋体" w:hAnsi="新宋体" w:eastAsia="新宋体" w:cs="新宋体"/>
                <w:color w:val="auto"/>
                <w:sz w:val="22"/>
                <w:szCs w:val="22"/>
                <w:highlight w:val="none"/>
                <w:lang w:eastAsia="zh-CN"/>
              </w:rPr>
              <w:t>）</w:t>
            </w:r>
          </w:p>
        </w:tc>
        <w:tc>
          <w:tcPr>
            <w:tcW w:w="2461" w:type="pct"/>
            <w:tcBorders>
              <w:top w:val="single" w:color="auto" w:sz="4" w:space="0"/>
              <w:left w:val="single" w:color="auto" w:sz="4" w:space="0"/>
              <w:bottom w:val="single" w:color="auto" w:sz="4" w:space="0"/>
              <w:right w:val="single" w:color="auto" w:sz="4" w:space="0"/>
            </w:tcBorders>
            <w:noWrap/>
            <w:vAlign w:val="center"/>
          </w:tcPr>
          <w:p w14:paraId="2202EF95">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（1）安全检查：不负责中标区域的交通杆件安全隐患排查，不对交通设施的安全性能进行检查，不消除安全隐患。</w:t>
            </w:r>
          </w:p>
        </w:tc>
        <w:tc>
          <w:tcPr>
            <w:tcW w:w="1176" w:type="pct"/>
            <w:tcBorders>
              <w:top w:val="single" w:color="auto" w:sz="4" w:space="0"/>
              <w:left w:val="single" w:color="auto" w:sz="4" w:space="0"/>
              <w:bottom w:val="single" w:color="auto" w:sz="4" w:space="0"/>
              <w:right w:val="single" w:color="auto" w:sz="4" w:space="0"/>
            </w:tcBorders>
            <w:noWrap/>
            <w:vAlign w:val="center"/>
          </w:tcPr>
          <w:p w14:paraId="3584F31B">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7CC63185">
            <w:pPr>
              <w:spacing w:line="360" w:lineRule="auto"/>
              <w:rPr>
                <w:rFonts w:ascii="新宋体" w:hAnsi="新宋体" w:eastAsia="新宋体" w:cs="新宋体"/>
                <w:color w:val="auto"/>
                <w:sz w:val="22"/>
                <w:szCs w:val="22"/>
                <w:highlight w:val="none"/>
              </w:rPr>
            </w:pPr>
          </w:p>
        </w:tc>
      </w:tr>
      <w:tr w14:paraId="4CD0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07514DB8">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2E502BCD">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1457C775">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（2）规范交通设施设置：重复设置、擅自设置、妨碍安全、不符合规范设置的交通设施进行清理。</w:t>
            </w:r>
          </w:p>
        </w:tc>
        <w:tc>
          <w:tcPr>
            <w:tcW w:w="1176" w:type="pct"/>
            <w:tcBorders>
              <w:top w:val="single" w:color="auto" w:sz="4" w:space="0"/>
              <w:left w:val="single" w:color="auto" w:sz="4" w:space="0"/>
              <w:bottom w:val="single" w:color="auto" w:sz="4" w:space="0"/>
              <w:right w:val="single" w:color="auto" w:sz="4" w:space="0"/>
            </w:tcBorders>
            <w:noWrap/>
            <w:vAlign w:val="center"/>
          </w:tcPr>
          <w:p w14:paraId="4BBE06FE">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306CCA67">
            <w:pPr>
              <w:spacing w:line="360" w:lineRule="auto"/>
              <w:rPr>
                <w:rFonts w:ascii="新宋体" w:hAnsi="新宋体" w:eastAsia="新宋体" w:cs="新宋体"/>
                <w:color w:val="auto"/>
                <w:sz w:val="22"/>
                <w:szCs w:val="22"/>
                <w:highlight w:val="none"/>
              </w:rPr>
            </w:pPr>
          </w:p>
        </w:tc>
      </w:tr>
      <w:tr w14:paraId="0C99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746D24F2">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6D447282">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6D0C1E61">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（3）施工现场不规范，安全措施不足，未做到文明施工</w:t>
            </w:r>
          </w:p>
        </w:tc>
        <w:tc>
          <w:tcPr>
            <w:tcW w:w="1176" w:type="pct"/>
            <w:tcBorders>
              <w:top w:val="single" w:color="auto" w:sz="4" w:space="0"/>
              <w:left w:val="single" w:color="auto" w:sz="4" w:space="0"/>
              <w:bottom w:val="single" w:color="auto" w:sz="4" w:space="0"/>
              <w:right w:val="single" w:color="auto" w:sz="4" w:space="0"/>
            </w:tcBorders>
            <w:noWrap/>
            <w:vAlign w:val="center"/>
          </w:tcPr>
          <w:p w14:paraId="393517B9">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30AE0F99">
            <w:pPr>
              <w:spacing w:line="360" w:lineRule="auto"/>
              <w:rPr>
                <w:rFonts w:ascii="新宋体" w:hAnsi="新宋体" w:eastAsia="新宋体" w:cs="新宋体"/>
                <w:color w:val="auto"/>
                <w:sz w:val="22"/>
                <w:szCs w:val="22"/>
                <w:highlight w:val="none"/>
              </w:rPr>
            </w:pPr>
          </w:p>
        </w:tc>
      </w:tr>
      <w:tr w14:paraId="705F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14:paraId="1EE0272B">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w:t>
            </w:r>
          </w:p>
        </w:tc>
        <w:tc>
          <w:tcPr>
            <w:tcW w:w="575" w:type="pct"/>
            <w:vMerge w:val="restart"/>
            <w:tcBorders>
              <w:top w:val="single" w:color="auto" w:sz="4" w:space="0"/>
              <w:left w:val="single" w:color="auto" w:sz="4" w:space="0"/>
              <w:bottom w:val="single" w:color="auto" w:sz="4" w:space="0"/>
              <w:right w:val="single" w:color="auto" w:sz="4" w:space="0"/>
            </w:tcBorders>
            <w:noWrap/>
            <w:vAlign w:val="center"/>
          </w:tcPr>
          <w:p w14:paraId="07506632">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联系单、资料管理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20分</w:t>
            </w:r>
            <w:r>
              <w:rPr>
                <w:rFonts w:hint="eastAsia" w:ascii="新宋体" w:hAnsi="新宋体" w:eastAsia="新宋体" w:cs="新宋体"/>
                <w:color w:val="auto"/>
                <w:sz w:val="22"/>
                <w:szCs w:val="22"/>
                <w:highlight w:val="none"/>
                <w:lang w:eastAsia="zh-CN"/>
              </w:rPr>
              <w:t>）</w:t>
            </w:r>
          </w:p>
        </w:tc>
        <w:tc>
          <w:tcPr>
            <w:tcW w:w="2461" w:type="pct"/>
            <w:tcBorders>
              <w:top w:val="single" w:color="auto" w:sz="4" w:space="0"/>
              <w:left w:val="single" w:color="auto" w:sz="4" w:space="0"/>
              <w:bottom w:val="single" w:color="auto" w:sz="4" w:space="0"/>
              <w:right w:val="single" w:color="auto" w:sz="4" w:space="0"/>
            </w:tcBorders>
            <w:noWrap/>
            <w:vAlign w:val="center"/>
          </w:tcPr>
          <w:p w14:paraId="4E03167E">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（1）工作联系单填写不完整，不规范、不准确、资料不全，</w:t>
            </w:r>
          </w:p>
        </w:tc>
        <w:tc>
          <w:tcPr>
            <w:tcW w:w="1176" w:type="pct"/>
            <w:tcBorders>
              <w:top w:val="single" w:color="auto" w:sz="4" w:space="0"/>
              <w:left w:val="single" w:color="auto" w:sz="4" w:space="0"/>
              <w:bottom w:val="single" w:color="auto" w:sz="4" w:space="0"/>
              <w:right w:val="single" w:color="auto" w:sz="4" w:space="0"/>
            </w:tcBorders>
            <w:noWrap/>
            <w:vAlign w:val="center"/>
          </w:tcPr>
          <w:p w14:paraId="125AA2B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634C7E80">
            <w:pPr>
              <w:spacing w:line="360" w:lineRule="auto"/>
              <w:rPr>
                <w:rFonts w:ascii="新宋体" w:hAnsi="新宋体" w:eastAsia="新宋体" w:cs="新宋体"/>
                <w:color w:val="auto"/>
                <w:sz w:val="22"/>
                <w:szCs w:val="22"/>
                <w:highlight w:val="none"/>
              </w:rPr>
            </w:pPr>
          </w:p>
        </w:tc>
      </w:tr>
      <w:tr w14:paraId="16B7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5FA45024">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26734AB8">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3817C634">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（2）采购人根据监理向供应商核发的《问题告知单》扣分</w:t>
            </w:r>
          </w:p>
        </w:tc>
        <w:tc>
          <w:tcPr>
            <w:tcW w:w="1176" w:type="pct"/>
            <w:tcBorders>
              <w:top w:val="single" w:color="auto" w:sz="4" w:space="0"/>
              <w:left w:val="single" w:color="auto" w:sz="4" w:space="0"/>
              <w:bottom w:val="single" w:color="auto" w:sz="4" w:space="0"/>
              <w:right w:val="single" w:color="auto" w:sz="4" w:space="0"/>
            </w:tcBorders>
            <w:noWrap/>
            <w:vAlign w:val="center"/>
          </w:tcPr>
          <w:p w14:paraId="106FA219">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每张告知单扣一分，最多扣5分</w:t>
            </w:r>
          </w:p>
        </w:tc>
        <w:tc>
          <w:tcPr>
            <w:tcW w:w="441" w:type="pct"/>
            <w:tcBorders>
              <w:top w:val="single" w:color="auto" w:sz="4" w:space="0"/>
              <w:left w:val="single" w:color="auto" w:sz="4" w:space="0"/>
              <w:bottom w:val="single" w:color="auto" w:sz="4" w:space="0"/>
              <w:right w:val="single" w:color="auto" w:sz="4" w:space="0"/>
            </w:tcBorders>
            <w:noWrap/>
            <w:vAlign w:val="center"/>
          </w:tcPr>
          <w:p w14:paraId="197E8DE9">
            <w:pPr>
              <w:spacing w:line="360" w:lineRule="auto"/>
              <w:rPr>
                <w:rFonts w:ascii="新宋体" w:hAnsi="新宋体" w:eastAsia="新宋体" w:cs="新宋体"/>
                <w:color w:val="auto"/>
                <w:sz w:val="22"/>
                <w:szCs w:val="22"/>
                <w:highlight w:val="none"/>
              </w:rPr>
            </w:pPr>
          </w:p>
        </w:tc>
      </w:tr>
      <w:tr w14:paraId="1536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19D94559">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09AB471F">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5854F8D0">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（3）不每周上报巡查道路清单的。</w:t>
            </w:r>
          </w:p>
        </w:tc>
        <w:tc>
          <w:tcPr>
            <w:tcW w:w="1176" w:type="pct"/>
            <w:tcBorders>
              <w:top w:val="single" w:color="auto" w:sz="4" w:space="0"/>
              <w:left w:val="single" w:color="auto" w:sz="4" w:space="0"/>
              <w:bottom w:val="single" w:color="auto" w:sz="4" w:space="0"/>
              <w:right w:val="single" w:color="auto" w:sz="4" w:space="0"/>
            </w:tcBorders>
            <w:noWrap/>
            <w:vAlign w:val="center"/>
          </w:tcPr>
          <w:p w14:paraId="044CAF2F">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42F11EEB">
            <w:pPr>
              <w:spacing w:line="360" w:lineRule="auto"/>
              <w:rPr>
                <w:rFonts w:ascii="新宋体" w:hAnsi="新宋体" w:eastAsia="新宋体" w:cs="新宋体"/>
                <w:color w:val="auto"/>
                <w:sz w:val="22"/>
                <w:szCs w:val="22"/>
                <w:highlight w:val="none"/>
              </w:rPr>
            </w:pPr>
          </w:p>
        </w:tc>
      </w:tr>
      <w:tr w14:paraId="7CDC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253DA43B">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2C83D7B4">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3C2F1C2E">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（4）当月5日，未将上月巡查维护报告上交监理单位。</w:t>
            </w:r>
          </w:p>
        </w:tc>
        <w:tc>
          <w:tcPr>
            <w:tcW w:w="1176" w:type="pct"/>
            <w:tcBorders>
              <w:top w:val="single" w:color="auto" w:sz="4" w:space="0"/>
              <w:left w:val="single" w:color="auto" w:sz="4" w:space="0"/>
              <w:bottom w:val="single" w:color="auto" w:sz="4" w:space="0"/>
              <w:right w:val="single" w:color="auto" w:sz="4" w:space="0"/>
            </w:tcBorders>
            <w:noWrap/>
            <w:vAlign w:val="center"/>
          </w:tcPr>
          <w:p w14:paraId="353AFCF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5A60B33D">
            <w:pPr>
              <w:spacing w:line="360" w:lineRule="auto"/>
              <w:rPr>
                <w:rFonts w:ascii="新宋体" w:hAnsi="新宋体" w:eastAsia="新宋体" w:cs="新宋体"/>
                <w:color w:val="auto"/>
                <w:sz w:val="22"/>
                <w:szCs w:val="22"/>
                <w:highlight w:val="none"/>
              </w:rPr>
            </w:pPr>
          </w:p>
        </w:tc>
      </w:tr>
      <w:tr w14:paraId="7BD5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156AA972">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6517E148">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right w:val="single" w:color="auto" w:sz="4" w:space="0"/>
            </w:tcBorders>
            <w:noWrap/>
            <w:vAlign w:val="center"/>
          </w:tcPr>
          <w:p w14:paraId="7388CA92">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（5）次月5日不向采购人上报当月的工作量、工作数据、工作小结等</w:t>
            </w:r>
          </w:p>
        </w:tc>
        <w:tc>
          <w:tcPr>
            <w:tcW w:w="1176" w:type="pct"/>
            <w:tcBorders>
              <w:top w:val="single" w:color="auto" w:sz="4" w:space="0"/>
              <w:left w:val="single" w:color="auto" w:sz="4" w:space="0"/>
              <w:right w:val="single" w:color="auto" w:sz="4" w:space="0"/>
            </w:tcBorders>
            <w:noWrap/>
            <w:vAlign w:val="center"/>
          </w:tcPr>
          <w:p w14:paraId="54802D10">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268FD6CB">
            <w:pPr>
              <w:spacing w:line="360" w:lineRule="auto"/>
              <w:rPr>
                <w:rFonts w:ascii="新宋体" w:hAnsi="新宋体" w:eastAsia="新宋体" w:cs="新宋体"/>
                <w:color w:val="auto"/>
                <w:sz w:val="22"/>
                <w:szCs w:val="22"/>
                <w:highlight w:val="none"/>
              </w:rPr>
            </w:pPr>
          </w:p>
        </w:tc>
      </w:tr>
      <w:tr w14:paraId="6EFB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23BA56AB">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3D905124">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43B0C230">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（6)上报联系单内容与实际不符，或未按联系单最终意见要求办理的。</w:t>
            </w:r>
          </w:p>
        </w:tc>
        <w:tc>
          <w:tcPr>
            <w:tcW w:w="1176" w:type="pct"/>
            <w:tcBorders>
              <w:top w:val="single" w:color="auto" w:sz="4" w:space="0"/>
              <w:left w:val="single" w:color="auto" w:sz="4" w:space="0"/>
              <w:bottom w:val="single" w:color="auto" w:sz="4" w:space="0"/>
              <w:right w:val="single" w:color="auto" w:sz="4" w:space="0"/>
            </w:tcBorders>
            <w:noWrap/>
            <w:vAlign w:val="center"/>
          </w:tcPr>
          <w:p w14:paraId="074C3173">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14E94669">
            <w:pPr>
              <w:spacing w:line="360" w:lineRule="auto"/>
              <w:rPr>
                <w:rFonts w:ascii="新宋体" w:hAnsi="新宋体" w:eastAsia="新宋体" w:cs="新宋体"/>
                <w:color w:val="auto"/>
                <w:sz w:val="22"/>
                <w:szCs w:val="22"/>
                <w:highlight w:val="none"/>
              </w:rPr>
            </w:pPr>
          </w:p>
        </w:tc>
      </w:tr>
      <w:tr w14:paraId="6680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14:paraId="73375D8F">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w:t>
            </w:r>
          </w:p>
        </w:tc>
        <w:tc>
          <w:tcPr>
            <w:tcW w:w="575" w:type="pct"/>
            <w:vMerge w:val="restart"/>
            <w:tcBorders>
              <w:top w:val="single" w:color="auto" w:sz="4" w:space="0"/>
              <w:left w:val="single" w:color="auto" w:sz="4" w:space="0"/>
              <w:bottom w:val="single" w:color="auto" w:sz="4" w:space="0"/>
              <w:right w:val="single" w:color="auto" w:sz="4" w:space="0"/>
            </w:tcBorders>
            <w:noWrap/>
            <w:vAlign w:val="center"/>
          </w:tcPr>
          <w:p w14:paraId="5AA9CF34">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质量管理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15分</w:t>
            </w:r>
            <w:r>
              <w:rPr>
                <w:rFonts w:hint="eastAsia" w:ascii="新宋体" w:hAnsi="新宋体" w:eastAsia="新宋体" w:cs="新宋体"/>
                <w:color w:val="auto"/>
                <w:sz w:val="22"/>
                <w:szCs w:val="22"/>
                <w:highlight w:val="none"/>
                <w:lang w:eastAsia="zh-CN"/>
              </w:rPr>
              <w:t>）</w:t>
            </w:r>
          </w:p>
        </w:tc>
        <w:tc>
          <w:tcPr>
            <w:tcW w:w="2461" w:type="pct"/>
            <w:tcBorders>
              <w:top w:val="single" w:color="auto" w:sz="4" w:space="0"/>
              <w:left w:val="single" w:color="auto" w:sz="4" w:space="0"/>
              <w:bottom w:val="single" w:color="auto" w:sz="4" w:space="0"/>
              <w:right w:val="single" w:color="auto" w:sz="4" w:space="0"/>
            </w:tcBorders>
            <w:noWrap/>
            <w:vAlign w:val="center"/>
          </w:tcPr>
          <w:p w14:paraId="46E85163">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（1）施工工艺不规范，施工工序遗漏，设施修复、维护不达标准，施工超期</w:t>
            </w:r>
          </w:p>
        </w:tc>
        <w:tc>
          <w:tcPr>
            <w:tcW w:w="1176" w:type="pct"/>
            <w:tcBorders>
              <w:top w:val="single" w:color="auto" w:sz="4" w:space="0"/>
              <w:left w:val="single" w:color="auto" w:sz="4" w:space="0"/>
              <w:bottom w:val="single" w:color="auto" w:sz="4" w:space="0"/>
              <w:right w:val="single" w:color="auto" w:sz="4" w:space="0"/>
            </w:tcBorders>
            <w:noWrap/>
            <w:vAlign w:val="center"/>
          </w:tcPr>
          <w:p w14:paraId="6D8BB7CF">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每出现一次扣1分</w:t>
            </w:r>
          </w:p>
        </w:tc>
        <w:tc>
          <w:tcPr>
            <w:tcW w:w="441" w:type="pct"/>
            <w:tcBorders>
              <w:top w:val="single" w:color="auto" w:sz="4" w:space="0"/>
              <w:left w:val="single" w:color="auto" w:sz="4" w:space="0"/>
              <w:bottom w:val="single" w:color="auto" w:sz="4" w:space="0"/>
              <w:right w:val="single" w:color="auto" w:sz="4" w:space="0"/>
            </w:tcBorders>
            <w:noWrap/>
            <w:vAlign w:val="center"/>
          </w:tcPr>
          <w:p w14:paraId="166C078E">
            <w:pPr>
              <w:spacing w:line="360" w:lineRule="auto"/>
              <w:rPr>
                <w:rFonts w:ascii="新宋体" w:hAnsi="新宋体" w:eastAsia="新宋体" w:cs="新宋体"/>
                <w:color w:val="auto"/>
                <w:sz w:val="22"/>
                <w:szCs w:val="22"/>
                <w:highlight w:val="none"/>
              </w:rPr>
            </w:pPr>
          </w:p>
        </w:tc>
      </w:tr>
      <w:tr w14:paraId="752A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32347D6D">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704EDFE6">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041395A4">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（2）施工中所用材料与投标文件不符，或未达质量要求</w:t>
            </w:r>
          </w:p>
        </w:tc>
        <w:tc>
          <w:tcPr>
            <w:tcW w:w="1176" w:type="pct"/>
            <w:tcBorders>
              <w:top w:val="single" w:color="auto" w:sz="4" w:space="0"/>
              <w:left w:val="single" w:color="auto" w:sz="4" w:space="0"/>
              <w:bottom w:val="single" w:color="auto" w:sz="4" w:space="0"/>
              <w:right w:val="single" w:color="auto" w:sz="4" w:space="0"/>
            </w:tcBorders>
            <w:noWrap/>
            <w:vAlign w:val="center"/>
          </w:tcPr>
          <w:p w14:paraId="3102324D">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每出现一次扣3分</w:t>
            </w:r>
          </w:p>
        </w:tc>
        <w:tc>
          <w:tcPr>
            <w:tcW w:w="441" w:type="pct"/>
            <w:tcBorders>
              <w:top w:val="single" w:color="auto" w:sz="4" w:space="0"/>
              <w:left w:val="single" w:color="auto" w:sz="4" w:space="0"/>
              <w:bottom w:val="single" w:color="auto" w:sz="4" w:space="0"/>
              <w:right w:val="single" w:color="auto" w:sz="4" w:space="0"/>
            </w:tcBorders>
            <w:noWrap/>
            <w:vAlign w:val="center"/>
          </w:tcPr>
          <w:p w14:paraId="3940F07F">
            <w:pPr>
              <w:spacing w:line="360" w:lineRule="auto"/>
              <w:rPr>
                <w:rFonts w:ascii="新宋体" w:hAnsi="新宋体" w:eastAsia="新宋体" w:cs="新宋体"/>
                <w:color w:val="auto"/>
                <w:sz w:val="22"/>
                <w:szCs w:val="22"/>
                <w:highlight w:val="none"/>
              </w:rPr>
            </w:pPr>
          </w:p>
        </w:tc>
      </w:tr>
      <w:tr w14:paraId="24AB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65E958BD">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7544E90F">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4DBE3A93">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（3）发生交通设施损坏未及时到达现场妥善处置，引发事故</w:t>
            </w:r>
          </w:p>
        </w:tc>
        <w:tc>
          <w:tcPr>
            <w:tcW w:w="1176" w:type="pct"/>
            <w:tcBorders>
              <w:top w:val="single" w:color="auto" w:sz="4" w:space="0"/>
              <w:left w:val="single" w:color="auto" w:sz="4" w:space="0"/>
              <w:bottom w:val="single" w:color="auto" w:sz="4" w:space="0"/>
              <w:right w:val="single" w:color="auto" w:sz="4" w:space="0"/>
            </w:tcBorders>
            <w:noWrap/>
            <w:vAlign w:val="center"/>
          </w:tcPr>
          <w:p w14:paraId="724669B4">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每出现一次扣3分</w:t>
            </w:r>
          </w:p>
        </w:tc>
        <w:tc>
          <w:tcPr>
            <w:tcW w:w="441" w:type="pct"/>
            <w:tcBorders>
              <w:top w:val="single" w:color="auto" w:sz="4" w:space="0"/>
              <w:left w:val="single" w:color="auto" w:sz="4" w:space="0"/>
              <w:bottom w:val="single" w:color="auto" w:sz="4" w:space="0"/>
              <w:right w:val="single" w:color="auto" w:sz="4" w:space="0"/>
            </w:tcBorders>
            <w:noWrap/>
            <w:vAlign w:val="center"/>
          </w:tcPr>
          <w:p w14:paraId="7C0A07D9">
            <w:pPr>
              <w:spacing w:line="360" w:lineRule="auto"/>
              <w:rPr>
                <w:rFonts w:ascii="新宋体" w:hAnsi="新宋体" w:eastAsia="新宋体" w:cs="新宋体"/>
                <w:color w:val="auto"/>
                <w:sz w:val="22"/>
                <w:szCs w:val="22"/>
                <w:highlight w:val="none"/>
              </w:rPr>
            </w:pPr>
          </w:p>
        </w:tc>
      </w:tr>
      <w:tr w14:paraId="742E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5961C08D">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762B6DC3">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24A0CCAE">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（4）出现重大质量问题、施工安全问题</w:t>
            </w:r>
          </w:p>
        </w:tc>
        <w:tc>
          <w:tcPr>
            <w:tcW w:w="1176" w:type="pct"/>
            <w:tcBorders>
              <w:top w:val="single" w:color="auto" w:sz="4" w:space="0"/>
              <w:left w:val="single" w:color="auto" w:sz="4" w:space="0"/>
              <w:bottom w:val="single" w:color="auto" w:sz="4" w:space="0"/>
              <w:right w:val="single" w:color="auto" w:sz="4" w:space="0"/>
            </w:tcBorders>
            <w:noWrap/>
            <w:vAlign w:val="center"/>
          </w:tcPr>
          <w:p w14:paraId="7507FDB0">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直接解除合同</w:t>
            </w:r>
          </w:p>
        </w:tc>
        <w:tc>
          <w:tcPr>
            <w:tcW w:w="441" w:type="pct"/>
            <w:tcBorders>
              <w:top w:val="single" w:color="auto" w:sz="4" w:space="0"/>
              <w:left w:val="single" w:color="auto" w:sz="4" w:space="0"/>
              <w:bottom w:val="single" w:color="auto" w:sz="4" w:space="0"/>
              <w:right w:val="single" w:color="auto" w:sz="4" w:space="0"/>
            </w:tcBorders>
            <w:noWrap/>
            <w:vAlign w:val="center"/>
          </w:tcPr>
          <w:p w14:paraId="75678DE9">
            <w:pPr>
              <w:spacing w:line="360" w:lineRule="auto"/>
              <w:rPr>
                <w:rFonts w:ascii="新宋体" w:hAnsi="新宋体" w:eastAsia="新宋体" w:cs="新宋体"/>
                <w:color w:val="auto"/>
                <w:sz w:val="22"/>
                <w:szCs w:val="22"/>
                <w:highlight w:val="none"/>
              </w:rPr>
            </w:pPr>
          </w:p>
        </w:tc>
      </w:tr>
      <w:tr w14:paraId="5A70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tcBorders>
              <w:top w:val="single" w:color="auto" w:sz="4" w:space="0"/>
              <w:left w:val="single" w:color="auto" w:sz="4" w:space="0"/>
              <w:bottom w:val="single" w:color="auto" w:sz="4" w:space="0"/>
              <w:right w:val="single" w:color="auto" w:sz="4" w:space="0"/>
            </w:tcBorders>
            <w:noWrap/>
            <w:vAlign w:val="center"/>
          </w:tcPr>
          <w:p w14:paraId="3A329F9C">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w:t>
            </w:r>
          </w:p>
        </w:tc>
        <w:tc>
          <w:tcPr>
            <w:tcW w:w="575" w:type="pct"/>
            <w:tcBorders>
              <w:top w:val="single" w:color="auto" w:sz="4" w:space="0"/>
              <w:left w:val="single" w:color="auto" w:sz="4" w:space="0"/>
              <w:bottom w:val="single" w:color="auto" w:sz="4" w:space="0"/>
              <w:right w:val="single" w:color="auto" w:sz="4" w:space="0"/>
            </w:tcBorders>
            <w:noWrap/>
            <w:vAlign w:val="center"/>
          </w:tcPr>
          <w:p w14:paraId="4EA18C5A">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效率管理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5分</w:t>
            </w:r>
            <w:r>
              <w:rPr>
                <w:rFonts w:hint="eastAsia" w:ascii="新宋体" w:hAnsi="新宋体" w:eastAsia="新宋体" w:cs="新宋体"/>
                <w:color w:val="auto"/>
                <w:sz w:val="22"/>
                <w:szCs w:val="22"/>
                <w:highlight w:val="none"/>
                <w:lang w:eastAsia="zh-CN"/>
              </w:rPr>
              <w:t>）</w:t>
            </w:r>
          </w:p>
        </w:tc>
        <w:tc>
          <w:tcPr>
            <w:tcW w:w="2461" w:type="pct"/>
            <w:tcBorders>
              <w:top w:val="single" w:color="auto" w:sz="4" w:space="0"/>
              <w:left w:val="single" w:color="auto" w:sz="4" w:space="0"/>
              <w:bottom w:val="single" w:color="auto" w:sz="4" w:space="0"/>
              <w:right w:val="single" w:color="auto" w:sz="4" w:space="0"/>
            </w:tcBorders>
            <w:noWrap/>
            <w:vAlign w:val="center"/>
          </w:tcPr>
          <w:p w14:paraId="6CE3AA60">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（1）在工作期间通讯不畅，或突发紧急情况人员、车辆、设施未能按要求到达现场、规范处置的</w:t>
            </w:r>
          </w:p>
        </w:tc>
        <w:tc>
          <w:tcPr>
            <w:tcW w:w="1176" w:type="pct"/>
            <w:tcBorders>
              <w:top w:val="single" w:color="auto" w:sz="4" w:space="0"/>
              <w:left w:val="single" w:color="auto" w:sz="4" w:space="0"/>
              <w:bottom w:val="single" w:color="auto" w:sz="4" w:space="0"/>
              <w:right w:val="single" w:color="auto" w:sz="4" w:space="0"/>
            </w:tcBorders>
            <w:noWrap/>
            <w:vAlign w:val="center"/>
          </w:tcPr>
          <w:p w14:paraId="42B3D0B6">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每起扣2分；</w:t>
            </w:r>
          </w:p>
          <w:p w14:paraId="4708DB59">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造成工作贻误每起扣5分</w:t>
            </w:r>
          </w:p>
        </w:tc>
        <w:tc>
          <w:tcPr>
            <w:tcW w:w="441" w:type="pct"/>
            <w:tcBorders>
              <w:top w:val="single" w:color="auto" w:sz="4" w:space="0"/>
              <w:left w:val="single" w:color="auto" w:sz="4" w:space="0"/>
              <w:bottom w:val="single" w:color="auto" w:sz="4" w:space="0"/>
              <w:right w:val="single" w:color="auto" w:sz="4" w:space="0"/>
            </w:tcBorders>
            <w:noWrap/>
            <w:vAlign w:val="center"/>
          </w:tcPr>
          <w:p w14:paraId="0C65A0C8">
            <w:pPr>
              <w:spacing w:line="360" w:lineRule="auto"/>
              <w:rPr>
                <w:rFonts w:ascii="新宋体" w:hAnsi="新宋体" w:eastAsia="新宋体" w:cs="新宋体"/>
                <w:color w:val="auto"/>
                <w:sz w:val="22"/>
                <w:szCs w:val="22"/>
                <w:highlight w:val="none"/>
              </w:rPr>
            </w:pPr>
          </w:p>
        </w:tc>
      </w:tr>
      <w:tr w14:paraId="158E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14:paraId="29032204">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w:t>
            </w:r>
          </w:p>
        </w:tc>
        <w:tc>
          <w:tcPr>
            <w:tcW w:w="575" w:type="pct"/>
            <w:vMerge w:val="restart"/>
            <w:tcBorders>
              <w:top w:val="single" w:color="auto" w:sz="4" w:space="0"/>
              <w:left w:val="single" w:color="auto" w:sz="4" w:space="0"/>
              <w:bottom w:val="single" w:color="auto" w:sz="4" w:space="0"/>
              <w:right w:val="single" w:color="auto" w:sz="4" w:space="0"/>
            </w:tcBorders>
            <w:noWrap/>
            <w:vAlign w:val="center"/>
          </w:tcPr>
          <w:p w14:paraId="6A479EE0">
            <w:pPr>
              <w:spacing w:beforeLines="50"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保密管理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10分</w:t>
            </w:r>
            <w:r>
              <w:rPr>
                <w:rFonts w:hint="eastAsia" w:ascii="新宋体" w:hAnsi="新宋体" w:eastAsia="新宋体" w:cs="新宋体"/>
                <w:color w:val="auto"/>
                <w:sz w:val="22"/>
                <w:szCs w:val="22"/>
                <w:highlight w:val="none"/>
                <w:lang w:eastAsia="zh-CN"/>
              </w:rPr>
              <w:t>）</w:t>
            </w:r>
          </w:p>
        </w:tc>
        <w:tc>
          <w:tcPr>
            <w:tcW w:w="2461" w:type="pct"/>
            <w:tcBorders>
              <w:top w:val="single" w:color="auto" w:sz="4" w:space="0"/>
              <w:left w:val="single" w:color="auto" w:sz="4" w:space="0"/>
              <w:bottom w:val="single" w:color="auto" w:sz="4" w:space="0"/>
              <w:right w:val="single" w:color="auto" w:sz="4" w:space="0"/>
            </w:tcBorders>
            <w:noWrap/>
            <w:vAlign w:val="center"/>
          </w:tcPr>
          <w:p w14:paraId="56A259E8">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供应商及工作人员未签订安全保密承诺书的，或签订的安全保密承诺书未明确具体安全管理内容、安全保密义务和责任的。未按照采购人规定使用、存储、处理文档资料和数据。合同终止时，不交还全部公安资料和数据。</w:t>
            </w:r>
          </w:p>
        </w:tc>
        <w:tc>
          <w:tcPr>
            <w:tcW w:w="1176" w:type="pct"/>
            <w:tcBorders>
              <w:top w:val="single" w:color="auto" w:sz="4" w:space="0"/>
              <w:left w:val="single" w:color="auto" w:sz="4" w:space="0"/>
              <w:bottom w:val="single" w:color="auto" w:sz="4" w:space="0"/>
              <w:right w:val="single" w:color="auto" w:sz="4" w:space="0"/>
            </w:tcBorders>
            <w:noWrap/>
            <w:vAlign w:val="center"/>
          </w:tcPr>
          <w:p w14:paraId="50601047">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每发生一次扣5分</w:t>
            </w:r>
          </w:p>
        </w:tc>
        <w:tc>
          <w:tcPr>
            <w:tcW w:w="441" w:type="pct"/>
            <w:tcBorders>
              <w:top w:val="single" w:color="auto" w:sz="4" w:space="0"/>
              <w:left w:val="single" w:color="auto" w:sz="4" w:space="0"/>
              <w:bottom w:val="single" w:color="auto" w:sz="4" w:space="0"/>
              <w:right w:val="single" w:color="auto" w:sz="4" w:space="0"/>
            </w:tcBorders>
            <w:noWrap/>
            <w:vAlign w:val="center"/>
          </w:tcPr>
          <w:p w14:paraId="3690D632">
            <w:pPr>
              <w:spacing w:line="360" w:lineRule="auto"/>
              <w:rPr>
                <w:rFonts w:ascii="新宋体" w:hAnsi="新宋体" w:eastAsia="新宋体" w:cs="新宋体"/>
                <w:color w:val="auto"/>
                <w:sz w:val="22"/>
                <w:szCs w:val="22"/>
                <w:highlight w:val="none"/>
              </w:rPr>
            </w:pPr>
          </w:p>
        </w:tc>
      </w:tr>
      <w:tr w14:paraId="2430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196E5507">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0043ECCB">
            <w:pPr>
              <w:spacing w:beforeLines="50"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46D8A172">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供应商及工作人员违反安全管理要求，出现各类涉及业务的文字内容、影视资料等外流泄密，构成违法犯罪的，采购人应当及时报送本级政府采购和市场监督管理部门，提请列入政府采购严重违法失信行为记录名单、市场监督管理严重失信名单，并追究相关责任。</w:t>
            </w:r>
          </w:p>
        </w:tc>
        <w:tc>
          <w:tcPr>
            <w:tcW w:w="1176" w:type="pct"/>
            <w:tcBorders>
              <w:top w:val="single" w:color="auto" w:sz="4" w:space="0"/>
              <w:left w:val="single" w:color="auto" w:sz="4" w:space="0"/>
              <w:bottom w:val="single" w:color="auto" w:sz="4" w:space="0"/>
              <w:right w:val="single" w:color="auto" w:sz="4" w:space="0"/>
            </w:tcBorders>
            <w:noWrap/>
            <w:vAlign w:val="center"/>
          </w:tcPr>
          <w:p w14:paraId="1792790C">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没收全部履约保证金</w:t>
            </w:r>
          </w:p>
        </w:tc>
        <w:tc>
          <w:tcPr>
            <w:tcW w:w="441" w:type="pct"/>
            <w:tcBorders>
              <w:top w:val="single" w:color="auto" w:sz="4" w:space="0"/>
              <w:left w:val="single" w:color="auto" w:sz="4" w:space="0"/>
              <w:bottom w:val="single" w:color="auto" w:sz="4" w:space="0"/>
              <w:right w:val="single" w:color="auto" w:sz="4" w:space="0"/>
            </w:tcBorders>
            <w:noWrap/>
            <w:vAlign w:val="center"/>
          </w:tcPr>
          <w:p w14:paraId="5E66A059">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解除合同</w:t>
            </w:r>
          </w:p>
        </w:tc>
      </w:tr>
      <w:tr w14:paraId="4F7E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14:paraId="1908405E">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w:t>
            </w:r>
          </w:p>
        </w:tc>
        <w:tc>
          <w:tcPr>
            <w:tcW w:w="575" w:type="pct"/>
            <w:vMerge w:val="restart"/>
            <w:tcBorders>
              <w:top w:val="single" w:color="auto" w:sz="4" w:space="0"/>
              <w:left w:val="single" w:color="auto" w:sz="4" w:space="0"/>
              <w:bottom w:val="single" w:color="auto" w:sz="4" w:space="0"/>
              <w:right w:val="single" w:color="auto" w:sz="4" w:space="0"/>
            </w:tcBorders>
            <w:noWrap/>
            <w:vAlign w:val="center"/>
          </w:tcPr>
          <w:p w14:paraId="1F0EEB13">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其他</w:t>
            </w:r>
            <w:r>
              <w:rPr>
                <w:rFonts w:hint="eastAsia" w:ascii="新宋体" w:hAnsi="新宋体" w:eastAsia="新宋体" w:cs="新宋体"/>
                <w:color w:val="auto"/>
                <w:sz w:val="22"/>
                <w:szCs w:val="22"/>
                <w:highlight w:val="none"/>
                <w:lang w:val="en-US" w:eastAsia="zh-CN"/>
              </w:rPr>
              <w:t xml:space="preserve">   </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10分</w:t>
            </w:r>
            <w:r>
              <w:rPr>
                <w:rFonts w:hint="eastAsia" w:ascii="新宋体" w:hAnsi="新宋体" w:eastAsia="新宋体" w:cs="新宋体"/>
                <w:color w:val="auto"/>
                <w:sz w:val="22"/>
                <w:szCs w:val="22"/>
                <w:highlight w:val="none"/>
                <w:lang w:eastAsia="zh-CN"/>
              </w:rPr>
              <w:t>）</w:t>
            </w:r>
          </w:p>
          <w:p w14:paraId="360517C0">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16B70F68">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（1）上述所有问题，由媒体、信访、投诉曝光，或由上级部门、交警部门领导发现。</w:t>
            </w:r>
          </w:p>
        </w:tc>
        <w:tc>
          <w:tcPr>
            <w:tcW w:w="1176" w:type="pct"/>
            <w:tcBorders>
              <w:top w:val="single" w:color="auto" w:sz="4" w:space="0"/>
              <w:left w:val="single" w:color="auto" w:sz="4" w:space="0"/>
              <w:bottom w:val="single" w:color="auto" w:sz="4" w:space="0"/>
              <w:right w:val="single" w:color="auto" w:sz="4" w:space="0"/>
            </w:tcBorders>
            <w:noWrap/>
            <w:vAlign w:val="center"/>
          </w:tcPr>
          <w:p w14:paraId="2B165C25">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在原分值基础上二倍扣分</w:t>
            </w:r>
          </w:p>
        </w:tc>
        <w:tc>
          <w:tcPr>
            <w:tcW w:w="441" w:type="pct"/>
            <w:tcBorders>
              <w:top w:val="single" w:color="auto" w:sz="4" w:space="0"/>
              <w:left w:val="single" w:color="auto" w:sz="4" w:space="0"/>
              <w:bottom w:val="single" w:color="auto" w:sz="4" w:space="0"/>
              <w:right w:val="single" w:color="auto" w:sz="4" w:space="0"/>
            </w:tcBorders>
            <w:noWrap/>
            <w:vAlign w:val="center"/>
          </w:tcPr>
          <w:p w14:paraId="65DBAB4B">
            <w:pPr>
              <w:spacing w:line="360" w:lineRule="auto"/>
              <w:rPr>
                <w:rFonts w:ascii="新宋体" w:hAnsi="新宋体" w:eastAsia="新宋体" w:cs="新宋体"/>
                <w:color w:val="auto"/>
                <w:sz w:val="22"/>
                <w:szCs w:val="22"/>
                <w:highlight w:val="none"/>
              </w:rPr>
            </w:pPr>
          </w:p>
        </w:tc>
      </w:tr>
      <w:tr w14:paraId="7F30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4" w:type="pct"/>
            <w:vMerge w:val="continue"/>
            <w:tcBorders>
              <w:top w:val="single" w:color="auto" w:sz="4" w:space="0"/>
              <w:left w:val="single" w:color="auto" w:sz="4" w:space="0"/>
              <w:bottom w:val="single" w:color="auto" w:sz="4" w:space="0"/>
              <w:right w:val="single" w:color="auto" w:sz="4" w:space="0"/>
            </w:tcBorders>
            <w:noWrap/>
            <w:vAlign w:val="center"/>
          </w:tcPr>
          <w:p w14:paraId="7DEE82AC">
            <w:pPr>
              <w:spacing w:line="360" w:lineRule="auto"/>
              <w:rPr>
                <w:rFonts w:ascii="新宋体" w:hAnsi="新宋体" w:eastAsia="新宋体" w:cs="新宋体"/>
                <w:color w:val="auto"/>
                <w:sz w:val="22"/>
                <w:szCs w:val="22"/>
                <w:highlight w:val="none"/>
              </w:rPr>
            </w:pPr>
          </w:p>
        </w:tc>
        <w:tc>
          <w:tcPr>
            <w:tcW w:w="575" w:type="pct"/>
            <w:vMerge w:val="continue"/>
            <w:tcBorders>
              <w:top w:val="single" w:color="auto" w:sz="4" w:space="0"/>
              <w:left w:val="single" w:color="auto" w:sz="4" w:space="0"/>
              <w:bottom w:val="single" w:color="auto" w:sz="4" w:space="0"/>
              <w:right w:val="single" w:color="auto" w:sz="4" w:space="0"/>
            </w:tcBorders>
            <w:noWrap/>
            <w:vAlign w:val="center"/>
          </w:tcPr>
          <w:p w14:paraId="6942BFE1">
            <w:pPr>
              <w:spacing w:line="360" w:lineRule="auto"/>
              <w:rPr>
                <w:rFonts w:ascii="新宋体" w:hAnsi="新宋体" w:eastAsia="新宋体" w:cs="新宋体"/>
                <w:color w:val="auto"/>
                <w:sz w:val="22"/>
                <w:szCs w:val="22"/>
                <w:highlight w:val="none"/>
              </w:rPr>
            </w:pPr>
          </w:p>
        </w:tc>
        <w:tc>
          <w:tcPr>
            <w:tcW w:w="2461" w:type="pct"/>
            <w:tcBorders>
              <w:top w:val="single" w:color="auto" w:sz="4" w:space="0"/>
              <w:left w:val="single" w:color="auto" w:sz="4" w:space="0"/>
              <w:bottom w:val="single" w:color="auto" w:sz="4" w:space="0"/>
              <w:right w:val="single" w:color="auto" w:sz="4" w:space="0"/>
            </w:tcBorders>
            <w:noWrap/>
            <w:vAlign w:val="center"/>
          </w:tcPr>
          <w:p w14:paraId="1154B555">
            <w:pPr>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（2）上述所有问题，造成社会不良影响的</w:t>
            </w:r>
          </w:p>
        </w:tc>
        <w:tc>
          <w:tcPr>
            <w:tcW w:w="1176" w:type="pct"/>
            <w:tcBorders>
              <w:top w:val="single" w:color="auto" w:sz="4" w:space="0"/>
              <w:left w:val="single" w:color="auto" w:sz="4" w:space="0"/>
              <w:bottom w:val="single" w:color="auto" w:sz="4" w:space="0"/>
              <w:right w:val="single" w:color="auto" w:sz="4" w:space="0"/>
            </w:tcBorders>
            <w:noWrap/>
            <w:vAlign w:val="center"/>
          </w:tcPr>
          <w:p w14:paraId="0B645A9A">
            <w:pPr>
              <w:spacing w:line="360" w:lineRule="auto"/>
              <w:jc w:val="center"/>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在原分值基础上三倍扣分</w:t>
            </w:r>
          </w:p>
        </w:tc>
        <w:tc>
          <w:tcPr>
            <w:tcW w:w="441" w:type="pct"/>
            <w:tcBorders>
              <w:top w:val="single" w:color="auto" w:sz="4" w:space="0"/>
              <w:left w:val="single" w:color="auto" w:sz="4" w:space="0"/>
              <w:bottom w:val="single" w:color="auto" w:sz="4" w:space="0"/>
              <w:right w:val="single" w:color="auto" w:sz="4" w:space="0"/>
            </w:tcBorders>
            <w:noWrap/>
            <w:vAlign w:val="center"/>
          </w:tcPr>
          <w:p w14:paraId="460761BD">
            <w:pPr>
              <w:spacing w:line="360" w:lineRule="auto"/>
              <w:rPr>
                <w:rFonts w:ascii="新宋体" w:hAnsi="新宋体" w:eastAsia="新宋体" w:cs="新宋体"/>
                <w:color w:val="auto"/>
                <w:sz w:val="22"/>
                <w:szCs w:val="22"/>
                <w:highlight w:val="none"/>
              </w:rPr>
            </w:pPr>
          </w:p>
        </w:tc>
      </w:tr>
      <w:tr w14:paraId="7270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81" w:type="pct"/>
            <w:gridSpan w:val="3"/>
            <w:tcBorders>
              <w:top w:val="single" w:color="auto" w:sz="4" w:space="0"/>
              <w:left w:val="single" w:color="auto" w:sz="4" w:space="0"/>
              <w:bottom w:val="single" w:color="auto" w:sz="4" w:space="0"/>
              <w:right w:val="single" w:color="auto" w:sz="4" w:space="0"/>
            </w:tcBorders>
            <w:noWrap/>
            <w:vAlign w:val="center"/>
          </w:tcPr>
          <w:p w14:paraId="69C419F9">
            <w:pPr>
              <w:spacing w:line="360" w:lineRule="auto"/>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扣分总计</w:t>
            </w:r>
          </w:p>
        </w:tc>
        <w:tc>
          <w:tcPr>
            <w:tcW w:w="1618" w:type="pct"/>
            <w:gridSpan w:val="2"/>
            <w:tcBorders>
              <w:top w:val="single" w:color="auto" w:sz="4" w:space="0"/>
              <w:left w:val="single" w:color="auto" w:sz="4" w:space="0"/>
              <w:bottom w:val="single" w:color="auto" w:sz="4" w:space="0"/>
              <w:right w:val="single" w:color="auto" w:sz="4" w:space="0"/>
            </w:tcBorders>
            <w:noWrap/>
            <w:vAlign w:val="center"/>
          </w:tcPr>
          <w:p w14:paraId="3E074E44">
            <w:pPr>
              <w:spacing w:line="360" w:lineRule="auto"/>
              <w:ind w:firstLine="3300" w:firstLineChars="1500"/>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分</w:t>
            </w:r>
          </w:p>
        </w:tc>
      </w:tr>
      <w:tr w14:paraId="5FB2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5EE1C1BB">
            <w:pPr>
              <w:widowControl/>
              <w:spacing w:line="360" w:lineRule="auto"/>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采购人项目经办人（签字）：供应商（盖章）：</w:t>
            </w:r>
          </w:p>
          <w:p w14:paraId="34A41BB6">
            <w:pPr>
              <w:widowControl/>
              <w:spacing w:line="360" w:lineRule="auto"/>
              <w:textAlignment w:val="center"/>
              <w:rPr>
                <w:rFonts w:ascii="新宋体" w:hAnsi="新宋体" w:eastAsia="新宋体" w:cs="新宋体"/>
                <w:color w:val="auto"/>
                <w:kern w:val="0"/>
                <w:sz w:val="22"/>
                <w:szCs w:val="22"/>
                <w:highlight w:val="none"/>
              </w:rPr>
            </w:pPr>
          </w:p>
          <w:p w14:paraId="6C5F1A8D">
            <w:pPr>
              <w:widowControl/>
              <w:spacing w:line="360" w:lineRule="auto"/>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采购人项目审核人（签字、盖章）：供应商项目负责人（签字）：</w:t>
            </w:r>
          </w:p>
          <w:p w14:paraId="705A6FC5">
            <w:pPr>
              <w:widowControl/>
              <w:spacing w:line="360" w:lineRule="auto"/>
              <w:textAlignment w:val="center"/>
              <w:rPr>
                <w:rFonts w:ascii="新宋体" w:hAnsi="新宋体" w:eastAsia="新宋体" w:cs="新宋体"/>
                <w:color w:val="auto"/>
                <w:kern w:val="0"/>
                <w:sz w:val="22"/>
                <w:szCs w:val="22"/>
                <w:highlight w:val="none"/>
              </w:rPr>
            </w:pPr>
          </w:p>
          <w:p w14:paraId="1D474684">
            <w:pPr>
              <w:widowControl/>
              <w:spacing w:line="360" w:lineRule="auto"/>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监理单位（盖章）</w:t>
            </w:r>
          </w:p>
          <w:p w14:paraId="7111EEFC">
            <w:pPr>
              <w:widowControl/>
              <w:spacing w:line="360" w:lineRule="auto"/>
              <w:textAlignment w:val="center"/>
              <w:rPr>
                <w:rFonts w:ascii="新宋体" w:hAnsi="新宋体" w:eastAsia="新宋体" w:cs="新宋体"/>
                <w:color w:val="auto"/>
                <w:kern w:val="0"/>
                <w:sz w:val="22"/>
                <w:szCs w:val="22"/>
                <w:highlight w:val="none"/>
              </w:rPr>
            </w:pPr>
          </w:p>
          <w:p w14:paraId="206B8776">
            <w:pPr>
              <w:widowControl/>
              <w:spacing w:line="360" w:lineRule="auto"/>
              <w:textAlignment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监理项目负责人（签字）：</w:t>
            </w:r>
          </w:p>
          <w:p w14:paraId="006C0FEC">
            <w:pPr>
              <w:widowControl/>
              <w:spacing w:line="360" w:lineRule="auto"/>
              <w:textAlignment w:val="center"/>
              <w:rPr>
                <w:rFonts w:ascii="新宋体" w:hAnsi="新宋体" w:eastAsia="新宋体" w:cs="新宋体"/>
                <w:color w:val="auto"/>
                <w:sz w:val="22"/>
                <w:szCs w:val="22"/>
                <w:highlight w:val="none"/>
              </w:rPr>
            </w:pPr>
            <w:r>
              <w:rPr>
                <w:rFonts w:hint="eastAsia" w:ascii="新宋体" w:hAnsi="新宋体" w:eastAsia="新宋体" w:cs="新宋体"/>
                <w:color w:val="auto"/>
                <w:kern w:val="0"/>
                <w:sz w:val="22"/>
                <w:szCs w:val="22"/>
                <w:highlight w:val="none"/>
              </w:rPr>
              <w:t>日期：日期：</w:t>
            </w:r>
          </w:p>
        </w:tc>
      </w:tr>
    </w:tbl>
    <w:p w14:paraId="662E59E9">
      <w:pPr>
        <w:pStyle w:val="22"/>
        <w:spacing w:line="360" w:lineRule="auto"/>
        <w:ind w:left="442" w:hanging="442"/>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九、验收</w:t>
      </w:r>
    </w:p>
    <w:p w14:paraId="2E1B7985">
      <w:pPr>
        <w:tabs>
          <w:tab w:val="left" w:pos="904"/>
        </w:tabs>
        <w:snapToGrid w:val="0"/>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1、采购人按照相关规定组织对供应商履约的验收。验收方成员应当在验收书上签字，并承担相应的法律责任。如果发现与合同中要求不符，供应商须承担由此发生的一切损失和费用，并接受相应的处理。</w:t>
      </w:r>
    </w:p>
    <w:p w14:paraId="3C08D104">
      <w:pPr>
        <w:tabs>
          <w:tab w:val="left" w:pos="904"/>
        </w:tabs>
        <w:snapToGrid w:val="0"/>
        <w:spacing w:line="360" w:lineRule="auto"/>
        <w:ind w:firstLine="440" w:firstLineChars="200"/>
        <w:jc w:val="left"/>
        <w:rPr>
          <w:rFonts w:ascii="新宋体" w:hAnsi="新宋体" w:eastAsia="新宋体" w:cs="新宋体"/>
          <w:color w:val="auto"/>
          <w:sz w:val="22"/>
          <w:szCs w:val="22"/>
          <w:highlight w:val="none"/>
          <w:lang w:bidi="zh-CN"/>
        </w:rPr>
      </w:pPr>
      <w:r>
        <w:rPr>
          <w:rFonts w:hint="eastAsia" w:ascii="新宋体" w:hAnsi="新宋体" w:eastAsia="新宋体" w:cs="新宋体"/>
          <w:color w:val="auto"/>
          <w:sz w:val="22"/>
          <w:szCs w:val="22"/>
          <w:highlight w:val="none"/>
          <w:lang w:bidi="zh-CN"/>
        </w:rPr>
        <w:t>2、严格按照采购合同开展履约验收。采购人自行成立验收小组，验收小组共3人，由采购人1人、中标人1名，监理单位1人组成。按照采购合同的约定对供应商履约情况进行验收，验收时，按照采购合同的约定对每一项技术、服务、安全标准的履约情况进行确认，出具验收报告并经验收小组全体成员签字。采购人根据验收报告形成验收意见并经采购人与采购合同约定的资金支付及履约保证金返还条件挂钩。履约验收的各项资料应当存档备查。</w:t>
      </w:r>
    </w:p>
    <w:p w14:paraId="66002514">
      <w:pPr>
        <w:tabs>
          <w:tab w:val="left" w:pos="904"/>
        </w:tabs>
        <w:snapToGrid w:val="0"/>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bidi="zh-CN"/>
        </w:rPr>
        <w:t>3、验收合格的项目，采购人将根据采购合同的约定及时向供应商支付采购资金、退还履约保证金。验收不合格的项目，采购人将依法及时处理。</w:t>
      </w:r>
      <w:r>
        <w:rPr>
          <w:rFonts w:hint="eastAsia" w:ascii="新宋体" w:hAnsi="新宋体" w:eastAsia="新宋体" w:cs="新宋体"/>
          <w:color w:val="auto"/>
          <w:sz w:val="22"/>
          <w:szCs w:val="22"/>
          <w:highlight w:val="none"/>
        </w:rPr>
        <w:t>采购合同的履行、违约责任和解决争议的方式等适用《中华人民共和国民法典》。</w:t>
      </w:r>
    </w:p>
    <w:p w14:paraId="1B050C53">
      <w:pPr>
        <w:tabs>
          <w:tab w:val="left" w:pos="904"/>
        </w:tabs>
        <w:snapToGrid w:val="0"/>
        <w:spacing w:line="360" w:lineRule="auto"/>
        <w:ind w:firstLine="442" w:firstLineChars="200"/>
        <w:jc w:val="left"/>
        <w:rPr>
          <w:rFonts w:ascii="新宋体" w:hAnsi="新宋体" w:eastAsia="新宋体" w:cs="新宋体"/>
          <w:b/>
          <w:bCs/>
          <w:color w:val="auto"/>
          <w:sz w:val="22"/>
          <w:szCs w:val="22"/>
          <w:highlight w:val="none"/>
        </w:rPr>
      </w:pPr>
      <w:r>
        <w:rPr>
          <w:rFonts w:hint="eastAsia" w:ascii="新宋体" w:hAnsi="新宋体" w:eastAsia="新宋体" w:cs="新宋体"/>
          <w:b/>
          <w:bCs/>
          <w:color w:val="auto"/>
          <w:sz w:val="22"/>
          <w:szCs w:val="22"/>
          <w:highlight w:val="none"/>
        </w:rPr>
        <w:t>4、</w:t>
      </w:r>
      <w:r>
        <w:rPr>
          <w:rFonts w:hint="eastAsia" w:ascii="新宋体" w:hAnsi="新宋体" w:eastAsia="新宋体" w:cs="新宋体"/>
          <w:color w:val="auto"/>
          <w:sz w:val="22"/>
          <w:szCs w:val="22"/>
          <w:highlight w:val="none"/>
          <w:lang w:bidi="zh-CN"/>
        </w:rPr>
        <w:t>履约</w:t>
      </w:r>
      <w:r>
        <w:rPr>
          <w:rFonts w:hint="eastAsia" w:ascii="新宋体" w:hAnsi="新宋体" w:eastAsia="新宋体" w:cs="新宋体"/>
          <w:color w:val="auto"/>
          <w:sz w:val="22"/>
          <w:szCs w:val="22"/>
          <w:highlight w:val="none"/>
        </w:rPr>
        <w:t>验收时间：</w:t>
      </w:r>
      <w:r>
        <w:rPr>
          <w:rFonts w:hint="eastAsia" w:ascii="新宋体" w:hAnsi="新宋体" w:eastAsia="新宋体" w:cs="新宋体"/>
          <w:b w:val="0"/>
          <w:bCs w:val="0"/>
          <w:color w:val="auto"/>
          <w:sz w:val="22"/>
          <w:szCs w:val="22"/>
          <w:highlight w:val="none"/>
        </w:rPr>
        <w:t>合同签订</w:t>
      </w:r>
      <w:r>
        <w:rPr>
          <w:rFonts w:hint="eastAsia" w:ascii="新宋体" w:hAnsi="新宋体" w:eastAsia="新宋体" w:cs="新宋体"/>
          <w:color w:val="auto"/>
          <w:sz w:val="22"/>
          <w:szCs w:val="22"/>
          <w:highlight w:val="none"/>
        </w:rPr>
        <w:t>之日起</w:t>
      </w:r>
      <w:r>
        <w:rPr>
          <w:rFonts w:hint="eastAsia" w:ascii="新宋体" w:hAnsi="新宋体" w:eastAsia="新宋体" w:cs="新宋体"/>
          <w:color w:val="auto"/>
          <w:sz w:val="22"/>
          <w:szCs w:val="22"/>
          <w:highlight w:val="none"/>
          <w:lang w:val="en-US" w:eastAsia="zh-CN"/>
        </w:rPr>
        <w:t>8个月</w:t>
      </w:r>
      <w:r>
        <w:rPr>
          <w:rFonts w:hint="eastAsia" w:ascii="新宋体" w:hAnsi="新宋体" w:eastAsia="新宋体" w:cs="新宋体"/>
          <w:color w:val="auto"/>
          <w:sz w:val="22"/>
          <w:szCs w:val="22"/>
          <w:highlight w:val="none"/>
          <w:lang w:val="en-US" w:eastAsia="zh-CN"/>
        </w:rPr>
        <w:t>或采购金额达到预算金额</w:t>
      </w:r>
      <w:r>
        <w:rPr>
          <w:rFonts w:hint="eastAsia" w:ascii="新宋体" w:hAnsi="新宋体" w:eastAsia="新宋体" w:cs="新宋体"/>
          <w:color w:val="auto"/>
          <w:sz w:val="22"/>
          <w:szCs w:val="22"/>
          <w:highlight w:val="none"/>
        </w:rPr>
        <w:t>后，具体验收时间由采购人最终确定。</w:t>
      </w:r>
    </w:p>
    <w:p w14:paraId="1277FA00">
      <w:pPr>
        <w:tabs>
          <w:tab w:val="left" w:pos="904"/>
        </w:tabs>
        <w:snapToGrid w:val="0"/>
        <w:spacing w:line="360" w:lineRule="auto"/>
        <w:ind w:firstLine="440" w:firstLineChars="200"/>
        <w:jc w:val="left"/>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5、验收内容</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401"/>
        <w:gridCol w:w="7641"/>
      </w:tblGrid>
      <w:tr w14:paraId="5004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ign w:val="center"/>
          </w:tcPr>
          <w:p w14:paraId="043B9086">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序号</w:t>
            </w:r>
          </w:p>
        </w:tc>
        <w:tc>
          <w:tcPr>
            <w:tcW w:w="711" w:type="pct"/>
            <w:noWrap/>
            <w:vAlign w:val="center"/>
          </w:tcPr>
          <w:p w14:paraId="221152D9">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验收内容</w:t>
            </w:r>
          </w:p>
        </w:tc>
        <w:tc>
          <w:tcPr>
            <w:tcW w:w="3876" w:type="pct"/>
            <w:noWrap/>
            <w:vAlign w:val="center"/>
          </w:tcPr>
          <w:p w14:paraId="7F4ABE4F">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验收标准</w:t>
            </w:r>
          </w:p>
        </w:tc>
      </w:tr>
      <w:tr w14:paraId="6E9B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12" w:type="pct"/>
            <w:noWrap/>
            <w:vAlign w:val="center"/>
          </w:tcPr>
          <w:p w14:paraId="2B306647">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1</w:t>
            </w:r>
          </w:p>
        </w:tc>
        <w:tc>
          <w:tcPr>
            <w:tcW w:w="711" w:type="pct"/>
            <w:noWrap/>
            <w:vAlign w:val="center"/>
          </w:tcPr>
          <w:p w14:paraId="424018DD">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质量保证</w:t>
            </w:r>
          </w:p>
        </w:tc>
        <w:tc>
          <w:tcPr>
            <w:tcW w:w="3876" w:type="pct"/>
            <w:noWrap/>
            <w:vAlign w:val="center"/>
          </w:tcPr>
          <w:p w14:paraId="20831D02">
            <w:pPr>
              <w:widowControl/>
              <w:spacing w:line="360" w:lineRule="auto"/>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提供的产品品牌、型号、参数、数量、生产日期等是否与合同及投标文件承诺相符，检查资料是否提供了所有产品的产品拍照图片、产品说明书、产品合格证、质量保证书原件、原厂质保承诺函。</w:t>
            </w:r>
          </w:p>
        </w:tc>
      </w:tr>
      <w:tr w14:paraId="53FC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2" w:type="pct"/>
            <w:noWrap/>
            <w:vAlign w:val="center"/>
          </w:tcPr>
          <w:p w14:paraId="444ACBC3">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2</w:t>
            </w:r>
          </w:p>
        </w:tc>
        <w:tc>
          <w:tcPr>
            <w:tcW w:w="711" w:type="pct"/>
            <w:noWrap/>
            <w:vAlign w:val="center"/>
          </w:tcPr>
          <w:p w14:paraId="736BCBAA">
            <w:pPr>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服务要求</w:t>
            </w:r>
          </w:p>
        </w:tc>
        <w:tc>
          <w:tcPr>
            <w:tcW w:w="3876" w:type="pct"/>
            <w:noWrap/>
            <w:vAlign w:val="center"/>
          </w:tcPr>
          <w:p w14:paraId="26F5C41B">
            <w:pPr>
              <w:spacing w:line="360" w:lineRule="auto"/>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按投标文件响应内容提供服务。</w:t>
            </w:r>
          </w:p>
        </w:tc>
      </w:tr>
      <w:tr w14:paraId="12D0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12" w:type="pct"/>
            <w:vMerge w:val="restart"/>
            <w:noWrap/>
            <w:vAlign w:val="center"/>
          </w:tcPr>
          <w:p w14:paraId="029724CB">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3</w:t>
            </w:r>
          </w:p>
        </w:tc>
        <w:tc>
          <w:tcPr>
            <w:tcW w:w="711" w:type="pct"/>
            <w:vMerge w:val="restart"/>
            <w:noWrap/>
            <w:vAlign w:val="center"/>
          </w:tcPr>
          <w:p w14:paraId="303B1A09">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质量满意度</w:t>
            </w:r>
          </w:p>
        </w:tc>
        <w:tc>
          <w:tcPr>
            <w:tcW w:w="3876" w:type="pct"/>
            <w:noWrap/>
            <w:vAlign w:val="center"/>
          </w:tcPr>
          <w:p w14:paraId="5B49BD6C">
            <w:pPr>
              <w:widowControl/>
              <w:spacing w:line="360" w:lineRule="auto"/>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不定期对各区域内</w:t>
            </w:r>
            <w:r>
              <w:rPr>
                <w:rFonts w:hint="eastAsia" w:ascii="新宋体" w:hAnsi="新宋体" w:eastAsia="新宋体" w:cs="新宋体"/>
                <w:color w:val="auto"/>
                <w:sz w:val="22"/>
                <w:szCs w:val="22"/>
                <w:highlight w:val="none"/>
              </w:rPr>
              <w:t>标志标线护栏设施等维护</w:t>
            </w:r>
            <w:r>
              <w:rPr>
                <w:rFonts w:hint="eastAsia" w:ascii="新宋体" w:hAnsi="新宋体" w:eastAsia="新宋体" w:cs="新宋体"/>
                <w:color w:val="auto"/>
                <w:kern w:val="0"/>
                <w:sz w:val="22"/>
                <w:szCs w:val="22"/>
                <w:highlight w:val="none"/>
              </w:rPr>
              <w:t>情况进行</w:t>
            </w:r>
            <w:r>
              <w:rPr>
                <w:rFonts w:hint="eastAsia" w:ascii="新宋体" w:hAnsi="新宋体" w:eastAsia="新宋体" w:cs="新宋体"/>
                <w:color w:val="auto"/>
                <w:sz w:val="22"/>
                <w:szCs w:val="22"/>
                <w:highlight w:val="none"/>
              </w:rPr>
              <w:t>抽查检测</w:t>
            </w:r>
            <w:r>
              <w:rPr>
                <w:rFonts w:hint="eastAsia" w:ascii="新宋体" w:hAnsi="新宋体" w:eastAsia="新宋体" w:cs="新宋体"/>
                <w:color w:val="auto"/>
                <w:kern w:val="0"/>
                <w:sz w:val="22"/>
                <w:szCs w:val="22"/>
                <w:highlight w:val="none"/>
              </w:rPr>
              <w:t>，并结合出现问题作出整改措施</w:t>
            </w:r>
            <w:r>
              <w:rPr>
                <w:rFonts w:hint="eastAsia" w:ascii="新宋体" w:hAnsi="新宋体" w:eastAsia="新宋体" w:cs="新宋体"/>
                <w:color w:val="auto"/>
                <w:sz w:val="22"/>
                <w:szCs w:val="22"/>
                <w:highlight w:val="none"/>
              </w:rPr>
              <w:t>。</w:t>
            </w:r>
          </w:p>
        </w:tc>
      </w:tr>
      <w:tr w14:paraId="09DC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12" w:type="pct"/>
            <w:vMerge w:val="continue"/>
            <w:noWrap/>
            <w:vAlign w:val="center"/>
          </w:tcPr>
          <w:p w14:paraId="1FF1DFC5">
            <w:pPr>
              <w:widowControl/>
              <w:spacing w:line="360" w:lineRule="auto"/>
              <w:jc w:val="center"/>
              <w:rPr>
                <w:rFonts w:ascii="新宋体" w:hAnsi="新宋体" w:eastAsia="新宋体" w:cs="新宋体"/>
                <w:color w:val="auto"/>
                <w:kern w:val="0"/>
                <w:sz w:val="22"/>
                <w:szCs w:val="22"/>
                <w:highlight w:val="none"/>
              </w:rPr>
            </w:pPr>
          </w:p>
        </w:tc>
        <w:tc>
          <w:tcPr>
            <w:tcW w:w="711" w:type="pct"/>
            <w:vMerge w:val="continue"/>
            <w:noWrap/>
            <w:vAlign w:val="center"/>
          </w:tcPr>
          <w:p w14:paraId="0F2BFE85">
            <w:pPr>
              <w:widowControl/>
              <w:spacing w:line="360" w:lineRule="auto"/>
              <w:jc w:val="center"/>
              <w:rPr>
                <w:rFonts w:ascii="新宋体" w:hAnsi="新宋体" w:eastAsia="新宋体" w:cs="新宋体"/>
                <w:color w:val="auto"/>
                <w:kern w:val="0"/>
                <w:sz w:val="22"/>
                <w:szCs w:val="22"/>
                <w:highlight w:val="none"/>
              </w:rPr>
            </w:pPr>
          </w:p>
        </w:tc>
        <w:tc>
          <w:tcPr>
            <w:tcW w:w="3876" w:type="pct"/>
            <w:noWrap/>
            <w:vAlign w:val="center"/>
          </w:tcPr>
          <w:p w14:paraId="763A53D8">
            <w:pPr>
              <w:widowControl/>
              <w:spacing w:line="360" w:lineRule="auto"/>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采购人及监理的考核的满意情况</w:t>
            </w:r>
            <w:r>
              <w:rPr>
                <w:rFonts w:hint="eastAsia" w:ascii="新宋体" w:hAnsi="新宋体" w:eastAsia="新宋体" w:cs="新宋体"/>
                <w:color w:val="auto"/>
                <w:sz w:val="22"/>
                <w:szCs w:val="22"/>
                <w:highlight w:val="none"/>
              </w:rPr>
              <w:t>。</w:t>
            </w:r>
          </w:p>
        </w:tc>
      </w:tr>
      <w:tr w14:paraId="4D9F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12" w:type="pct"/>
            <w:noWrap/>
            <w:vAlign w:val="center"/>
          </w:tcPr>
          <w:p w14:paraId="658EE0CF">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4</w:t>
            </w:r>
          </w:p>
        </w:tc>
        <w:tc>
          <w:tcPr>
            <w:tcW w:w="711" w:type="pct"/>
            <w:noWrap/>
            <w:vAlign w:val="center"/>
          </w:tcPr>
          <w:p w14:paraId="0F2E3B35">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服务进度</w:t>
            </w:r>
          </w:p>
        </w:tc>
        <w:tc>
          <w:tcPr>
            <w:tcW w:w="3876" w:type="pct"/>
            <w:noWrap/>
            <w:vAlign w:val="center"/>
          </w:tcPr>
          <w:p w14:paraId="7B84061A">
            <w:pPr>
              <w:widowControl/>
              <w:spacing w:line="360" w:lineRule="auto"/>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服务响应的时间按投标文件落实到位</w:t>
            </w:r>
          </w:p>
        </w:tc>
      </w:tr>
      <w:tr w14:paraId="0AE2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12" w:type="pct"/>
            <w:noWrap/>
            <w:vAlign w:val="center"/>
          </w:tcPr>
          <w:p w14:paraId="2F3E5048">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5</w:t>
            </w:r>
          </w:p>
        </w:tc>
        <w:tc>
          <w:tcPr>
            <w:tcW w:w="711" w:type="pct"/>
            <w:noWrap/>
            <w:vAlign w:val="center"/>
          </w:tcPr>
          <w:p w14:paraId="19D316D3">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人员、设备、</w:t>
            </w:r>
            <w:r>
              <w:rPr>
                <w:rFonts w:hint="eastAsia" w:ascii="新宋体" w:hAnsi="新宋体" w:eastAsia="新宋体" w:cs="新宋体"/>
                <w:color w:val="auto"/>
                <w:sz w:val="22"/>
                <w:szCs w:val="22"/>
                <w:highlight w:val="none"/>
              </w:rPr>
              <w:t>车辆等</w:t>
            </w:r>
            <w:r>
              <w:rPr>
                <w:rFonts w:hint="eastAsia" w:ascii="新宋体" w:hAnsi="新宋体" w:eastAsia="新宋体" w:cs="新宋体"/>
                <w:color w:val="auto"/>
                <w:kern w:val="0"/>
                <w:sz w:val="22"/>
                <w:szCs w:val="22"/>
                <w:highlight w:val="none"/>
              </w:rPr>
              <w:t>配备情况</w:t>
            </w:r>
          </w:p>
        </w:tc>
        <w:tc>
          <w:tcPr>
            <w:tcW w:w="3876" w:type="pct"/>
            <w:noWrap/>
            <w:vAlign w:val="center"/>
          </w:tcPr>
          <w:p w14:paraId="0DA4B385">
            <w:pPr>
              <w:widowControl/>
              <w:spacing w:line="360" w:lineRule="auto"/>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人员、设备、</w:t>
            </w:r>
            <w:r>
              <w:rPr>
                <w:rFonts w:hint="eastAsia" w:ascii="新宋体" w:hAnsi="新宋体" w:eastAsia="新宋体" w:cs="新宋体"/>
                <w:color w:val="auto"/>
                <w:sz w:val="22"/>
                <w:szCs w:val="22"/>
                <w:highlight w:val="none"/>
              </w:rPr>
              <w:t>车辆</w:t>
            </w:r>
            <w:r>
              <w:rPr>
                <w:rFonts w:hint="eastAsia" w:ascii="新宋体" w:hAnsi="新宋体" w:eastAsia="新宋体" w:cs="新宋体"/>
                <w:color w:val="auto"/>
                <w:kern w:val="0"/>
                <w:sz w:val="22"/>
                <w:szCs w:val="22"/>
                <w:highlight w:val="none"/>
              </w:rPr>
              <w:t>按投标文件到位</w:t>
            </w:r>
          </w:p>
        </w:tc>
      </w:tr>
      <w:tr w14:paraId="244A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12" w:type="pct"/>
            <w:noWrap/>
            <w:vAlign w:val="center"/>
          </w:tcPr>
          <w:p w14:paraId="645A9467">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6</w:t>
            </w:r>
          </w:p>
        </w:tc>
        <w:tc>
          <w:tcPr>
            <w:tcW w:w="711" w:type="pct"/>
            <w:noWrap/>
            <w:vAlign w:val="center"/>
          </w:tcPr>
          <w:p w14:paraId="7D1B503C">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服务承诺实现</w:t>
            </w:r>
          </w:p>
        </w:tc>
        <w:tc>
          <w:tcPr>
            <w:tcW w:w="3876" w:type="pct"/>
            <w:noWrap/>
            <w:vAlign w:val="center"/>
          </w:tcPr>
          <w:p w14:paraId="5F7D36EE">
            <w:pPr>
              <w:widowControl/>
              <w:spacing w:line="360" w:lineRule="auto"/>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承诺按投标文件实施情况</w:t>
            </w:r>
          </w:p>
        </w:tc>
      </w:tr>
      <w:tr w14:paraId="3344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12" w:type="pct"/>
            <w:noWrap/>
            <w:vAlign w:val="center"/>
          </w:tcPr>
          <w:p w14:paraId="2A16FCB6">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7</w:t>
            </w:r>
          </w:p>
        </w:tc>
        <w:tc>
          <w:tcPr>
            <w:tcW w:w="711" w:type="pct"/>
            <w:noWrap/>
            <w:vAlign w:val="center"/>
          </w:tcPr>
          <w:p w14:paraId="2BD7E964">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安全和保密</w:t>
            </w:r>
          </w:p>
        </w:tc>
        <w:tc>
          <w:tcPr>
            <w:tcW w:w="3876" w:type="pct"/>
            <w:noWrap/>
            <w:vAlign w:val="center"/>
          </w:tcPr>
          <w:p w14:paraId="22BCA618">
            <w:pPr>
              <w:snapToGrid w:val="0"/>
              <w:spacing w:line="360" w:lineRule="auto"/>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1、公司签订保密协议，个人签订保密承诺书，保密措施完善。未发生敏感数据、资料丢失和泄漏问题。</w:t>
            </w:r>
          </w:p>
          <w:p w14:paraId="0C75F143">
            <w:pPr>
              <w:widowControl/>
              <w:spacing w:line="360" w:lineRule="auto"/>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sz w:val="22"/>
                <w:szCs w:val="22"/>
                <w:highlight w:val="none"/>
              </w:rPr>
              <w:t>2、严格按照采购人规定使用、存储、处理文档资料和数据。合同终止时，应当交还全部公安资料和数据。</w:t>
            </w:r>
          </w:p>
        </w:tc>
      </w:tr>
      <w:tr w14:paraId="63CB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12" w:type="pct"/>
            <w:noWrap/>
            <w:vAlign w:val="center"/>
          </w:tcPr>
          <w:p w14:paraId="6D0372EF">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8</w:t>
            </w:r>
          </w:p>
        </w:tc>
        <w:tc>
          <w:tcPr>
            <w:tcW w:w="711" w:type="pct"/>
            <w:noWrap/>
            <w:vAlign w:val="center"/>
          </w:tcPr>
          <w:p w14:paraId="0C0DF237">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台帐</w:t>
            </w:r>
          </w:p>
        </w:tc>
        <w:tc>
          <w:tcPr>
            <w:tcW w:w="3876" w:type="pct"/>
            <w:noWrap/>
            <w:vAlign w:val="center"/>
          </w:tcPr>
          <w:p w14:paraId="13F60F21">
            <w:pPr>
              <w:widowControl/>
              <w:spacing w:line="360" w:lineRule="auto"/>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要做好</w:t>
            </w:r>
            <w:r>
              <w:rPr>
                <w:rFonts w:hint="eastAsia" w:ascii="新宋体" w:hAnsi="新宋体" w:eastAsia="新宋体" w:cs="新宋体"/>
                <w:color w:val="auto"/>
                <w:sz w:val="22"/>
                <w:szCs w:val="22"/>
                <w:highlight w:val="none"/>
              </w:rPr>
              <w:t>工作量、工作数据、工作小结、周巡查登记记录报告、月巡查登记记录报告、月巡查维护报告、《问题告知单》等</w:t>
            </w:r>
            <w:r>
              <w:rPr>
                <w:rFonts w:hint="eastAsia" w:ascii="新宋体" w:hAnsi="新宋体" w:eastAsia="新宋体" w:cs="新宋体"/>
                <w:color w:val="auto"/>
                <w:kern w:val="0"/>
                <w:sz w:val="22"/>
                <w:szCs w:val="22"/>
                <w:highlight w:val="none"/>
              </w:rPr>
              <w:t>台账。</w:t>
            </w:r>
          </w:p>
        </w:tc>
      </w:tr>
      <w:tr w14:paraId="0905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12" w:type="pct"/>
            <w:noWrap/>
            <w:vAlign w:val="center"/>
          </w:tcPr>
          <w:p w14:paraId="534B54C7">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9</w:t>
            </w:r>
          </w:p>
        </w:tc>
        <w:tc>
          <w:tcPr>
            <w:tcW w:w="711" w:type="pct"/>
            <w:noWrap/>
            <w:vAlign w:val="center"/>
          </w:tcPr>
          <w:p w14:paraId="5D108F00">
            <w:pPr>
              <w:widowControl/>
              <w:spacing w:line="360" w:lineRule="auto"/>
              <w:jc w:val="center"/>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其他工作</w:t>
            </w:r>
          </w:p>
        </w:tc>
        <w:tc>
          <w:tcPr>
            <w:tcW w:w="3876" w:type="pct"/>
            <w:noWrap/>
            <w:vAlign w:val="center"/>
          </w:tcPr>
          <w:p w14:paraId="7ACC9E35">
            <w:pPr>
              <w:widowControl/>
              <w:spacing w:line="360" w:lineRule="auto"/>
              <w:jc w:val="left"/>
              <w:rPr>
                <w:rFonts w:ascii="新宋体" w:hAnsi="新宋体" w:eastAsia="新宋体" w:cs="新宋体"/>
                <w:color w:val="auto"/>
                <w:kern w:val="0"/>
                <w:sz w:val="22"/>
                <w:szCs w:val="22"/>
                <w:highlight w:val="none"/>
              </w:rPr>
            </w:pPr>
            <w:r>
              <w:rPr>
                <w:rFonts w:hint="eastAsia" w:ascii="新宋体" w:hAnsi="新宋体" w:eastAsia="新宋体" w:cs="新宋体"/>
                <w:color w:val="auto"/>
                <w:kern w:val="0"/>
                <w:sz w:val="22"/>
                <w:szCs w:val="22"/>
                <w:highlight w:val="none"/>
              </w:rPr>
              <w:t>履行项目采购文件、投标文件、合同条款中涉及的其他承诺的情况。</w:t>
            </w:r>
          </w:p>
        </w:tc>
      </w:tr>
    </w:tbl>
    <w:p w14:paraId="4239F46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6、验收资料要求包括（不限于）以下内容：</w:t>
      </w:r>
    </w:p>
    <w:p w14:paraId="7A2FD49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 xml:space="preserve">（1）招标文件 </w:t>
      </w:r>
    </w:p>
    <w:p w14:paraId="39FEEA99">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（2）投标文件</w:t>
      </w:r>
    </w:p>
    <w:p w14:paraId="66594161">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（3）中标通知书</w:t>
      </w:r>
    </w:p>
    <w:p w14:paraId="1227D98A">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（4）采购合同</w:t>
      </w:r>
    </w:p>
    <w:p w14:paraId="36E3AD04">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（5）考核表：须采购人经办人、审核人、供应商签字并盖章。</w:t>
      </w:r>
    </w:p>
    <w:p w14:paraId="4D162119">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（6）单位保密协议、个人保密承诺书；</w:t>
      </w:r>
    </w:p>
    <w:p w14:paraId="3880A312">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（7）人员清单、每月人员社保交纳清单、人员变更审批表（如有）、车辆信息；</w:t>
      </w:r>
    </w:p>
    <w:p w14:paraId="293CA8A5">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（8）维护方案、安装施工组织方案、安全防护措施方案</w:t>
      </w:r>
    </w:p>
    <w:p w14:paraId="2404F10D">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（9）工作量、工作数据、工作小结、周巡查登记记录报告、月巡查登记记录报告、月巡查维护报告、台账、设施维护前后照片、工作联系单：须经采购人、监理、供应商签字确认。</w:t>
      </w:r>
    </w:p>
    <w:p w14:paraId="3B4FDA2B">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eastAsia="zh-CN"/>
        </w:rPr>
        <w:t xml:space="preserve"> </w:t>
      </w: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0</w:t>
      </w:r>
      <w:r>
        <w:rPr>
          <w:rFonts w:hint="eastAsia" w:ascii="新宋体" w:hAnsi="新宋体" w:eastAsia="新宋体" w:cs="新宋体"/>
          <w:color w:val="auto"/>
          <w:sz w:val="22"/>
          <w:szCs w:val="22"/>
          <w:highlight w:val="none"/>
        </w:rPr>
        <w:t>）《问题告知单》</w:t>
      </w:r>
    </w:p>
    <w:p w14:paraId="03F03766">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）产品说明书、产品合格证、原厂质保承诺函、质量保证书原件、三包凭证、原配的附件（如有）、产品生产日期凭证等</w:t>
      </w:r>
    </w:p>
    <w:p w14:paraId="270A29C7">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）具有CMA资质第三方出具的检测报告</w:t>
      </w:r>
    </w:p>
    <w:p w14:paraId="47928E97">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）设施更换交接表（附设施更换前后对比照片）。须经采购人经办人及审核人、监理、供应商签字确认加盖公章。</w:t>
      </w:r>
    </w:p>
    <w:p w14:paraId="23924DF6">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）每季度抽测表：须采购人经办人、审核人、监理、供应商签字并盖章。</w:t>
      </w:r>
    </w:p>
    <w:p w14:paraId="76A12FA6">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5</w:t>
      </w:r>
      <w:r>
        <w:rPr>
          <w:rFonts w:hint="eastAsia" w:ascii="新宋体" w:hAnsi="新宋体" w:eastAsia="新宋体" w:cs="新宋体"/>
          <w:color w:val="auto"/>
          <w:sz w:val="22"/>
          <w:szCs w:val="22"/>
          <w:highlight w:val="none"/>
        </w:rPr>
        <w:t>）监理总结。监理总结中包含付款申请表、付款意见表。</w:t>
      </w:r>
    </w:p>
    <w:p w14:paraId="7C061DD2">
      <w:pPr>
        <w:spacing w:line="360" w:lineRule="auto"/>
        <w:ind w:firstLine="440" w:firstLineChars="200"/>
        <w:rPr>
          <w:rFonts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6</w:t>
      </w:r>
      <w:r>
        <w:rPr>
          <w:rFonts w:hint="eastAsia" w:ascii="新宋体" w:hAnsi="新宋体" w:eastAsia="新宋体" w:cs="新宋体"/>
          <w:color w:val="auto"/>
          <w:sz w:val="22"/>
          <w:szCs w:val="22"/>
          <w:highlight w:val="none"/>
        </w:rPr>
        <w:t>）验收总结报告。</w:t>
      </w:r>
    </w:p>
    <w:p w14:paraId="60ADE3EF">
      <w:pPr>
        <w:spacing w:line="360" w:lineRule="auto"/>
        <w:ind w:firstLine="440" w:firstLineChars="200"/>
        <w:rPr>
          <w:rFonts w:hint="eastAsia" w:ascii="宋体" w:hAnsi="宋体" w:eastAsia="宋体" w:cs="宋体"/>
          <w:b/>
          <w:color w:val="auto"/>
          <w:sz w:val="22"/>
          <w:highlight w:val="none"/>
        </w:rPr>
      </w:pP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en-US" w:eastAsia="zh-CN"/>
        </w:rPr>
        <w:t>7</w:t>
      </w:r>
      <w:r>
        <w:rPr>
          <w:rFonts w:hint="eastAsia" w:ascii="新宋体" w:hAnsi="新宋体" w:eastAsia="新宋体" w:cs="新宋体"/>
          <w:color w:val="auto"/>
          <w:sz w:val="22"/>
          <w:szCs w:val="22"/>
          <w:highlight w:val="none"/>
        </w:rPr>
        <w:t>）验收需提供的其他相关材料。</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14:paraId="5924F280">
      <w:pPr>
        <w:keepNext w:val="0"/>
        <w:keepLines w:val="0"/>
        <w:pageBreakBefore w:val="0"/>
        <w:widowControl w:val="0"/>
        <w:numPr>
          <w:ilvl w:val="0"/>
          <w:numId w:val="5"/>
        </w:numPr>
        <w:kinsoku/>
        <w:wordWrap/>
        <w:overflowPunct/>
        <w:topLinePunct w:val="0"/>
        <w:bidi w:val="0"/>
        <w:spacing w:line="460" w:lineRule="exact"/>
        <w:textAlignment w:val="auto"/>
        <w:rPr>
          <w:rFonts w:hint="eastAsia" w:ascii="宋体" w:hAnsi="宋体" w:eastAsia="宋体" w:cs="宋体"/>
          <w:color w:val="auto"/>
          <w:highlight w:val="none"/>
        </w:rPr>
      </w:pPr>
      <w:r>
        <w:rPr>
          <w:rFonts w:hint="eastAsia" w:ascii="宋体" w:hAnsi="宋体" w:eastAsia="宋体" w:cs="宋体"/>
          <w:b/>
          <w:color w:val="auto"/>
          <w:sz w:val="30"/>
          <w:highlight w:val="none"/>
        </w:rPr>
        <w:br w:type="page"/>
      </w:r>
    </w:p>
    <w:p w14:paraId="7C9D3E3E">
      <w:pPr>
        <w:pStyle w:val="2"/>
        <w:bidi w:val="0"/>
        <w:rPr>
          <w:rFonts w:hint="eastAsia" w:ascii="宋体" w:hAnsi="宋体" w:eastAsia="宋体" w:cs="宋体"/>
          <w:color w:val="auto"/>
          <w:highlight w:val="none"/>
        </w:rPr>
      </w:pPr>
      <w:bookmarkStart w:id="185" w:name="_Toc23518"/>
      <w:bookmarkStart w:id="186" w:name="_Toc30323"/>
      <w:r>
        <w:rPr>
          <w:rFonts w:hint="eastAsia" w:ascii="宋体" w:hAnsi="宋体" w:eastAsia="宋体" w:cs="宋体"/>
          <w:color w:val="auto"/>
          <w:highlight w:val="none"/>
        </w:rPr>
        <w:t>第五部分   评标原则及方法</w:t>
      </w:r>
      <w:bookmarkEnd w:id="185"/>
      <w:bookmarkEnd w:id="186"/>
    </w:p>
    <w:p w14:paraId="11B5E061">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根据《中华人民共和国政府采购法》、《政府采购货物和服务招标投标管理办法》、《中华人民共和国政府采购法实施条例》和《关于进一步规范政府采购活动的若干意见》等相关法规特制定以下评标办法。</w:t>
      </w:r>
    </w:p>
    <w:p w14:paraId="1F7F37D5">
      <w:pPr>
        <w:keepNext w:val="0"/>
        <w:keepLines w:val="0"/>
        <w:pageBreakBefore w:val="0"/>
        <w:widowControl w:val="0"/>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187" w:name="_Toc4407"/>
      <w:bookmarkStart w:id="188" w:name="_Toc18098"/>
      <w:r>
        <w:rPr>
          <w:rFonts w:hint="eastAsia" w:ascii="宋体" w:hAnsi="宋体" w:eastAsia="宋体" w:cs="宋体"/>
          <w:b/>
          <w:color w:val="auto"/>
          <w:sz w:val="22"/>
          <w:szCs w:val="22"/>
          <w:highlight w:val="none"/>
        </w:rPr>
        <w:t>一、总 则</w:t>
      </w:r>
      <w:bookmarkEnd w:id="187"/>
      <w:bookmarkEnd w:id="188"/>
    </w:p>
    <w:p w14:paraId="5940F88C">
      <w:pPr>
        <w:spacing w:line="460" w:lineRule="exact"/>
        <w:ind w:firstLine="539" w:firstLineChars="245"/>
        <w:rPr>
          <w:rFonts w:hint="eastAsia" w:ascii="宋体" w:hAnsi="宋体" w:eastAsia="宋体" w:cs="宋体"/>
          <w:b/>
          <w:color w:val="auto"/>
          <w:sz w:val="22"/>
          <w:highlight w:val="none"/>
        </w:rPr>
      </w:pPr>
      <w:r>
        <w:rPr>
          <w:rFonts w:hint="eastAsia" w:ascii="宋体" w:hAnsi="宋体" w:eastAsia="宋体" w:cs="宋体"/>
          <w:color w:val="auto"/>
          <w:sz w:val="22"/>
          <w:szCs w:val="22"/>
          <w:highlight w:val="none"/>
        </w:rPr>
        <w:t>评标工作遵循公平、公正、科学、择优原则和诚实、信誉、效率的服务原则。本着科学、严谨的态度，认真进行评标。择优选用，推进技术进步，确保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14:paraId="09F8B67B">
      <w:pPr>
        <w:keepNext w:val="0"/>
        <w:keepLines w:val="0"/>
        <w:pageBreakBefore w:val="0"/>
        <w:widowControl w:val="0"/>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189" w:name="_Toc24468"/>
      <w:bookmarkStart w:id="190" w:name="_Toc24892"/>
      <w:r>
        <w:rPr>
          <w:rFonts w:hint="eastAsia" w:ascii="宋体" w:hAnsi="宋体" w:eastAsia="宋体" w:cs="宋体"/>
          <w:b/>
          <w:color w:val="auto"/>
          <w:sz w:val="22"/>
          <w:szCs w:val="22"/>
          <w:highlight w:val="none"/>
        </w:rPr>
        <w:t>二、评标组织</w:t>
      </w:r>
      <w:bookmarkEnd w:id="189"/>
      <w:bookmarkEnd w:id="190"/>
    </w:p>
    <w:p w14:paraId="3C51BA9E">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评标工作由招标人组建的评标委员会负责，评标全过程由有关部门指导监督。</w:t>
      </w:r>
    </w:p>
    <w:p w14:paraId="47043BA8">
      <w:pPr>
        <w:keepNext w:val="0"/>
        <w:keepLines w:val="0"/>
        <w:pageBreakBefore w:val="0"/>
        <w:widowControl w:val="0"/>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191" w:name="_Toc5628"/>
      <w:bookmarkStart w:id="192" w:name="_Toc15153"/>
      <w:r>
        <w:rPr>
          <w:rFonts w:hint="eastAsia" w:ascii="宋体" w:hAnsi="宋体" w:eastAsia="宋体" w:cs="宋体"/>
          <w:b/>
          <w:color w:val="auto"/>
          <w:sz w:val="22"/>
          <w:szCs w:val="22"/>
          <w:highlight w:val="none"/>
        </w:rPr>
        <w:t>三、评标程序</w:t>
      </w:r>
      <w:bookmarkEnd w:id="191"/>
      <w:bookmarkEnd w:id="192"/>
    </w:p>
    <w:p w14:paraId="7CF13A15">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评标委员按照招标文件中规定的评标方法和标准，对投标文件进行商务和技术评估，综合比较与评价</w:t>
      </w:r>
      <w:r>
        <w:rPr>
          <w:rFonts w:hint="eastAsia" w:ascii="宋体" w:hAnsi="宋体" w:eastAsia="宋体" w:cs="宋体"/>
          <w:color w:val="auto"/>
          <w:sz w:val="22"/>
          <w:szCs w:val="22"/>
          <w:highlight w:val="none"/>
        </w:rPr>
        <w:t>，根据综合评审结果，提交评审报告。</w:t>
      </w:r>
    </w:p>
    <w:p w14:paraId="427490B8">
      <w:pPr>
        <w:keepNext w:val="0"/>
        <w:keepLines w:val="0"/>
        <w:pageBreakBefore w:val="0"/>
        <w:widowControl w:val="0"/>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193" w:name="_Toc27222"/>
      <w:bookmarkStart w:id="194" w:name="_Toc11306"/>
      <w:r>
        <w:rPr>
          <w:rFonts w:hint="eastAsia" w:ascii="宋体" w:hAnsi="宋体" w:eastAsia="宋体" w:cs="宋体"/>
          <w:b/>
          <w:color w:val="auto"/>
          <w:sz w:val="22"/>
          <w:szCs w:val="22"/>
          <w:highlight w:val="none"/>
        </w:rPr>
        <w:t>四、评标办法</w:t>
      </w:r>
      <w:bookmarkEnd w:id="193"/>
      <w:bookmarkEnd w:id="194"/>
    </w:p>
    <w:p w14:paraId="4241FB85">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本次采购采用百分制综合评分法，即投标人最大限度地满足招标文件实质性要求的基础上，按照招标文件的各项因素进行综合评审后，以评标总得分最高的投标人和次高的投标人作为第一和第二排序的中标候选人的评标方法。根据采购要求，</w:t>
      </w:r>
      <w:r>
        <w:rPr>
          <w:rFonts w:hint="eastAsia" w:ascii="宋体" w:hAnsi="宋体" w:eastAsia="宋体" w:cs="宋体"/>
          <w:b/>
          <w:color w:val="auto"/>
          <w:sz w:val="22"/>
          <w:szCs w:val="22"/>
          <w:highlight w:val="none"/>
        </w:rPr>
        <w:t>总分设定为100分：技术标</w:t>
      </w:r>
      <w:r>
        <w:rPr>
          <w:rFonts w:hint="eastAsia" w:ascii="宋体" w:hAnsi="宋体" w:cs="宋体"/>
          <w:b/>
          <w:color w:val="auto"/>
          <w:sz w:val="22"/>
          <w:szCs w:val="22"/>
          <w:highlight w:val="none"/>
          <w:lang w:val="en-US" w:eastAsia="zh-CN"/>
        </w:rPr>
        <w:t>9</w:t>
      </w:r>
      <w:r>
        <w:rPr>
          <w:rFonts w:hint="eastAsia" w:ascii="宋体" w:hAnsi="宋体" w:eastAsia="宋体" w:cs="宋体"/>
          <w:b/>
          <w:color w:val="auto"/>
          <w:sz w:val="22"/>
          <w:szCs w:val="22"/>
          <w:highlight w:val="none"/>
        </w:rPr>
        <w:t>0分（权值</w:t>
      </w:r>
      <w:r>
        <w:rPr>
          <w:rFonts w:hint="eastAsia" w:ascii="宋体" w:hAnsi="宋体" w:cs="宋体"/>
          <w:b/>
          <w:color w:val="auto"/>
          <w:sz w:val="22"/>
          <w:szCs w:val="22"/>
          <w:highlight w:val="none"/>
          <w:lang w:val="en-US" w:eastAsia="zh-CN"/>
        </w:rPr>
        <w:t>9</w:t>
      </w:r>
      <w:r>
        <w:rPr>
          <w:rFonts w:hint="eastAsia" w:ascii="宋体" w:hAnsi="宋体" w:eastAsia="宋体" w:cs="宋体"/>
          <w:b/>
          <w:color w:val="auto"/>
          <w:sz w:val="22"/>
          <w:szCs w:val="22"/>
          <w:highlight w:val="none"/>
        </w:rPr>
        <w:t>0%），商务标（报价）</w:t>
      </w:r>
      <w:r>
        <w:rPr>
          <w:rFonts w:hint="eastAsia" w:ascii="宋体" w:hAnsi="宋体" w:cs="宋体"/>
          <w:b/>
          <w:color w:val="auto"/>
          <w:sz w:val="22"/>
          <w:szCs w:val="22"/>
          <w:highlight w:val="none"/>
          <w:lang w:val="en-US" w:eastAsia="zh-CN"/>
        </w:rPr>
        <w:t>1</w:t>
      </w:r>
      <w:r>
        <w:rPr>
          <w:rFonts w:hint="eastAsia" w:ascii="宋体" w:hAnsi="宋体" w:eastAsia="宋体" w:cs="宋体"/>
          <w:b/>
          <w:color w:val="auto"/>
          <w:sz w:val="22"/>
          <w:szCs w:val="22"/>
          <w:highlight w:val="none"/>
        </w:rPr>
        <w:t>0分（权值</w:t>
      </w:r>
      <w:r>
        <w:rPr>
          <w:rFonts w:hint="eastAsia" w:ascii="宋体" w:hAnsi="宋体" w:cs="宋体"/>
          <w:b/>
          <w:color w:val="auto"/>
          <w:sz w:val="22"/>
          <w:szCs w:val="22"/>
          <w:highlight w:val="none"/>
          <w:lang w:val="en-US" w:eastAsia="zh-CN"/>
        </w:rPr>
        <w:t>1</w:t>
      </w:r>
      <w:r>
        <w:rPr>
          <w:rFonts w:hint="eastAsia" w:ascii="宋体" w:hAnsi="宋体" w:eastAsia="宋体" w:cs="宋体"/>
          <w:b/>
          <w:color w:val="auto"/>
          <w:sz w:val="22"/>
          <w:szCs w:val="22"/>
          <w:highlight w:val="none"/>
        </w:rPr>
        <w:t>0%）。</w:t>
      </w:r>
    </w:p>
    <w:p w14:paraId="6FAD8A37">
      <w:pPr>
        <w:keepNext w:val="0"/>
        <w:keepLines w:val="0"/>
        <w:pageBreakBefore w:val="0"/>
        <w:widowControl w:val="0"/>
        <w:numPr>
          <w:ilvl w:val="0"/>
          <w:numId w:val="6"/>
        </w:numPr>
        <w:kinsoku/>
        <w:wordWrap/>
        <w:overflowPunct/>
        <w:topLinePunct w:val="0"/>
        <w:autoSpaceDE/>
        <w:autoSpaceDN/>
        <w:bidi w:val="0"/>
        <w:adjustRightInd/>
        <w:snapToGrid/>
        <w:spacing w:line="460" w:lineRule="exact"/>
        <w:ind w:firstLine="541" w:firstLineChars="245"/>
        <w:textAlignment w:val="auto"/>
        <w:outlineLvl w:val="1"/>
        <w:rPr>
          <w:rFonts w:hint="eastAsia" w:ascii="宋体" w:hAnsi="宋体" w:eastAsia="宋体" w:cs="宋体"/>
          <w:b/>
          <w:color w:val="auto"/>
          <w:sz w:val="22"/>
          <w:szCs w:val="22"/>
          <w:highlight w:val="none"/>
        </w:rPr>
      </w:pPr>
      <w:bookmarkStart w:id="195" w:name="_Toc22118"/>
      <w:bookmarkStart w:id="196" w:name="_Toc1535"/>
      <w:r>
        <w:rPr>
          <w:rFonts w:hint="eastAsia" w:ascii="宋体" w:hAnsi="宋体" w:eastAsia="宋体" w:cs="宋体"/>
          <w:b/>
          <w:color w:val="auto"/>
          <w:sz w:val="22"/>
          <w:szCs w:val="22"/>
          <w:highlight w:val="none"/>
        </w:rPr>
        <w:t>评分细则</w:t>
      </w:r>
      <w:bookmarkEnd w:id="195"/>
      <w:bookmarkEnd w:id="196"/>
    </w:p>
    <w:p w14:paraId="2DBA2B33">
      <w:pPr>
        <w:spacing w:line="460" w:lineRule="exact"/>
        <w:ind w:firstLine="541" w:firstLineChars="24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1、技术分的评定：技术标</w:t>
      </w:r>
      <w:r>
        <w:rPr>
          <w:rFonts w:hint="eastAsia" w:ascii="宋体" w:hAnsi="宋体" w:cs="宋体"/>
          <w:b/>
          <w:color w:val="auto"/>
          <w:sz w:val="22"/>
          <w:szCs w:val="22"/>
          <w:highlight w:val="none"/>
          <w:lang w:val="en-US" w:eastAsia="zh-CN"/>
        </w:rPr>
        <w:t>9</w:t>
      </w:r>
      <w:r>
        <w:rPr>
          <w:rFonts w:hint="eastAsia" w:ascii="宋体" w:hAnsi="宋体" w:eastAsia="宋体" w:cs="宋体"/>
          <w:b/>
          <w:color w:val="auto"/>
          <w:sz w:val="22"/>
          <w:szCs w:val="22"/>
          <w:highlight w:val="none"/>
        </w:rPr>
        <w:t>0分（权值</w:t>
      </w:r>
      <w:r>
        <w:rPr>
          <w:rFonts w:hint="eastAsia" w:ascii="宋体" w:hAnsi="宋体" w:cs="宋体"/>
          <w:b/>
          <w:color w:val="auto"/>
          <w:sz w:val="22"/>
          <w:szCs w:val="22"/>
          <w:highlight w:val="none"/>
          <w:lang w:val="en-US" w:eastAsia="zh-CN"/>
        </w:rPr>
        <w:t>9</w:t>
      </w:r>
      <w:r>
        <w:rPr>
          <w:rFonts w:hint="eastAsia" w:ascii="宋体" w:hAnsi="宋体" w:eastAsia="宋体" w:cs="宋体"/>
          <w:b/>
          <w:color w:val="auto"/>
          <w:sz w:val="22"/>
          <w:szCs w:val="22"/>
          <w:highlight w:val="none"/>
        </w:rPr>
        <w:t>0%）</w:t>
      </w:r>
    </w:p>
    <w:p w14:paraId="2E0CBF93">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各评委成员按下列评分项目进行评判，每人一张评分计算票，并记名。投标文件各项评分内容由评标委员会成员各自评分，如某张票的一个因素项目超过规定的范围，则该张票无效。</w:t>
      </w:r>
      <w:r>
        <w:rPr>
          <w:rFonts w:hint="eastAsia" w:ascii="宋体" w:hAnsi="宋体" w:eastAsia="宋体" w:cs="宋体"/>
          <w:color w:val="auto"/>
          <w:sz w:val="22"/>
          <w:highlight w:val="none"/>
        </w:rPr>
        <w:t>各评标委员会成员对各投标人的各项评分内容评分的算术平均值为各投标人技术分得分</w:t>
      </w:r>
      <w:r>
        <w:rPr>
          <w:rFonts w:hint="eastAsia" w:ascii="宋体" w:hAnsi="宋体" w:eastAsia="宋体" w:cs="宋体"/>
          <w:color w:val="auto"/>
          <w:sz w:val="22"/>
          <w:szCs w:val="22"/>
          <w:highlight w:val="none"/>
        </w:rPr>
        <w:t>（小数点后按四舍五入保留2位）。</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397"/>
        <w:gridCol w:w="6786"/>
        <w:gridCol w:w="783"/>
      </w:tblGrid>
      <w:tr w14:paraId="4ADE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Align w:val="center"/>
          </w:tcPr>
          <w:p w14:paraId="46496A6E">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序号</w:t>
            </w:r>
          </w:p>
        </w:tc>
        <w:tc>
          <w:tcPr>
            <w:tcW w:w="1397" w:type="dxa"/>
            <w:vAlign w:val="center"/>
          </w:tcPr>
          <w:p w14:paraId="4069BF81">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评分项目</w:t>
            </w:r>
          </w:p>
        </w:tc>
        <w:tc>
          <w:tcPr>
            <w:tcW w:w="6786" w:type="dxa"/>
            <w:vAlign w:val="center"/>
          </w:tcPr>
          <w:p w14:paraId="01CF0CAC">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细则</w:t>
            </w:r>
          </w:p>
        </w:tc>
        <w:tc>
          <w:tcPr>
            <w:tcW w:w="783" w:type="dxa"/>
            <w:vAlign w:val="center"/>
          </w:tcPr>
          <w:p w14:paraId="01F3B5AF">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分值</w:t>
            </w:r>
          </w:p>
        </w:tc>
      </w:tr>
      <w:tr w14:paraId="3611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Align w:val="center"/>
          </w:tcPr>
          <w:p w14:paraId="2E3193EC">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w:t>
            </w:r>
          </w:p>
        </w:tc>
        <w:tc>
          <w:tcPr>
            <w:tcW w:w="1397" w:type="dxa"/>
            <w:vAlign w:val="center"/>
          </w:tcPr>
          <w:p w14:paraId="00D490F5">
            <w:pPr>
              <w:keepNext w:val="0"/>
              <w:keepLines w:val="0"/>
              <w:pageBreakBefore w:val="0"/>
              <w:kinsoku/>
              <w:wordWrap/>
              <w:overflowPunct/>
              <w:topLinePunct w:val="0"/>
              <w:autoSpaceDE/>
              <w:autoSpaceDN/>
              <w:bidi w:val="0"/>
              <w:spacing w:line="460" w:lineRule="exact"/>
              <w:jc w:val="center"/>
              <w:textAlignment w:val="auto"/>
              <w:outlineLvl w:val="0"/>
              <w:rPr>
                <w:rFonts w:hint="eastAsia" w:ascii="新宋体" w:hAnsi="新宋体" w:eastAsia="新宋体" w:cs="新宋体"/>
                <w:b/>
                <w:color w:val="auto"/>
                <w:sz w:val="22"/>
                <w:szCs w:val="22"/>
                <w:highlight w:val="none"/>
              </w:rPr>
            </w:pPr>
            <w:bookmarkStart w:id="197" w:name="_Toc21516"/>
            <w:r>
              <w:rPr>
                <w:rFonts w:hint="eastAsia" w:ascii="新宋体" w:hAnsi="新宋体" w:eastAsia="新宋体" w:cs="新宋体"/>
                <w:color w:val="auto"/>
                <w:sz w:val="22"/>
                <w:szCs w:val="22"/>
                <w:highlight w:val="none"/>
                <w:lang w:val="zh-CN"/>
              </w:rPr>
              <w:t>投标产品的性能与需求的吻合程度</w:t>
            </w:r>
            <w:bookmarkEnd w:id="197"/>
          </w:p>
        </w:tc>
        <w:tc>
          <w:tcPr>
            <w:tcW w:w="6786" w:type="dxa"/>
            <w:vAlign w:val="center"/>
          </w:tcPr>
          <w:p w14:paraId="6FD3BF3B">
            <w:pPr>
              <w:keepNext w:val="0"/>
              <w:keepLines w:val="0"/>
              <w:pageBreakBefore w:val="0"/>
              <w:kinsoku/>
              <w:wordWrap/>
              <w:overflowPunct/>
              <w:topLinePunct w:val="0"/>
              <w:autoSpaceDE/>
              <w:autoSpaceDN/>
              <w:bidi w:val="0"/>
              <w:spacing w:line="460" w:lineRule="exact"/>
              <w:jc w:val="left"/>
              <w:textAlignment w:val="auto"/>
              <w:outlineLvl w:val="0"/>
              <w:rPr>
                <w:rFonts w:hint="eastAsia" w:ascii="新宋体" w:hAnsi="新宋体" w:eastAsia="新宋体" w:cs="新宋体"/>
                <w:color w:val="auto"/>
                <w:sz w:val="22"/>
                <w:szCs w:val="22"/>
                <w:highlight w:val="none"/>
                <w:lang w:val="zh-CN"/>
              </w:rPr>
            </w:pPr>
            <w:bookmarkStart w:id="198" w:name="_Toc24068"/>
            <w:r>
              <w:rPr>
                <w:rFonts w:hint="eastAsia" w:ascii="新宋体" w:hAnsi="新宋体" w:eastAsia="新宋体" w:cs="新宋体"/>
                <w:color w:val="auto"/>
                <w:sz w:val="22"/>
                <w:szCs w:val="22"/>
                <w:highlight w:val="none"/>
                <w:lang w:val="zh-CN"/>
              </w:rPr>
              <w:t>投标产品的性能与需求的吻合程度：投标产品的性能与需求的吻合程度。</w:t>
            </w:r>
            <w:bookmarkEnd w:id="198"/>
          </w:p>
          <w:p w14:paraId="4EB2AD20">
            <w:pPr>
              <w:keepNext w:val="0"/>
              <w:keepLines w:val="0"/>
              <w:pageBreakBefore w:val="0"/>
              <w:kinsoku/>
              <w:wordWrap/>
              <w:overflowPunct/>
              <w:topLinePunct w:val="0"/>
              <w:autoSpaceDE/>
              <w:autoSpaceDN/>
              <w:bidi w:val="0"/>
              <w:spacing w:line="460" w:lineRule="exact"/>
              <w:jc w:val="left"/>
              <w:textAlignment w:val="auto"/>
              <w:outlineLvl w:val="0"/>
              <w:rPr>
                <w:rFonts w:hint="eastAsia" w:ascii="新宋体" w:hAnsi="新宋体" w:eastAsia="新宋体" w:cs="新宋体"/>
                <w:snapToGrid w:val="0"/>
                <w:color w:val="auto"/>
                <w:sz w:val="22"/>
                <w:szCs w:val="22"/>
                <w:highlight w:val="none"/>
                <w:lang w:val="zh-CN"/>
              </w:rPr>
            </w:pPr>
            <w:bookmarkStart w:id="199" w:name="_Toc7695"/>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zh-CN"/>
              </w:rPr>
              <w:t>提供的“标线类”技术指标完全满足采购需求明确的全部技术条款要求的得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lang w:val="zh-CN"/>
              </w:rPr>
              <w:t>分</w:t>
            </w:r>
            <w:r>
              <w:rPr>
                <w:rFonts w:hint="eastAsia" w:ascii="新宋体" w:hAnsi="新宋体" w:eastAsia="新宋体" w:cs="新宋体"/>
                <w:color w:val="auto"/>
                <w:kern w:val="0"/>
                <w:sz w:val="22"/>
                <w:szCs w:val="22"/>
                <w:highlight w:val="none"/>
              </w:rPr>
              <w:t>、</w:t>
            </w:r>
            <w:r>
              <w:rPr>
                <w:rFonts w:hint="eastAsia" w:ascii="新宋体" w:hAnsi="新宋体" w:eastAsia="新宋体" w:cs="新宋体"/>
                <w:snapToGrid w:val="0"/>
                <w:color w:val="auto"/>
                <w:sz w:val="22"/>
                <w:szCs w:val="22"/>
                <w:highlight w:val="none"/>
                <w:lang w:val="zh-CN"/>
              </w:rPr>
              <w:t>低于技术要求（负偏离）的每项扣</w:t>
            </w:r>
            <w:r>
              <w:rPr>
                <w:rFonts w:hint="eastAsia" w:ascii="新宋体" w:hAnsi="新宋体" w:eastAsia="新宋体" w:cs="新宋体"/>
                <w:snapToGrid w:val="0"/>
                <w:color w:val="auto"/>
                <w:sz w:val="22"/>
                <w:szCs w:val="22"/>
                <w:highlight w:val="none"/>
                <w:lang w:val="en-US" w:eastAsia="zh-CN"/>
              </w:rPr>
              <w:t>0.5</w:t>
            </w:r>
            <w:r>
              <w:rPr>
                <w:rFonts w:hint="eastAsia" w:ascii="新宋体" w:hAnsi="新宋体" w:eastAsia="新宋体" w:cs="新宋体"/>
                <w:snapToGrid w:val="0"/>
                <w:color w:val="auto"/>
                <w:sz w:val="22"/>
                <w:szCs w:val="22"/>
                <w:highlight w:val="none"/>
                <w:lang w:val="zh-CN"/>
              </w:rPr>
              <w:t>分；扣完为止；</w:t>
            </w:r>
            <w:bookmarkEnd w:id="199"/>
          </w:p>
          <w:p w14:paraId="7D9C8920">
            <w:pPr>
              <w:keepNext w:val="0"/>
              <w:keepLines w:val="0"/>
              <w:pageBreakBefore w:val="0"/>
              <w:kinsoku/>
              <w:wordWrap/>
              <w:overflowPunct/>
              <w:topLinePunct w:val="0"/>
              <w:autoSpaceDE/>
              <w:autoSpaceDN/>
              <w:bidi w:val="0"/>
              <w:spacing w:line="460" w:lineRule="exact"/>
              <w:jc w:val="left"/>
              <w:textAlignment w:val="auto"/>
              <w:outlineLvl w:val="0"/>
              <w:rPr>
                <w:rFonts w:hint="eastAsia" w:ascii="新宋体" w:hAnsi="新宋体" w:eastAsia="新宋体" w:cs="新宋体"/>
                <w:snapToGrid w:val="0"/>
                <w:color w:val="auto"/>
                <w:sz w:val="22"/>
                <w:szCs w:val="22"/>
                <w:highlight w:val="none"/>
                <w:lang w:val="zh-CN"/>
              </w:rPr>
            </w:pPr>
            <w:bookmarkStart w:id="200" w:name="_Toc20489"/>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zh-CN"/>
              </w:rPr>
              <w:t>提供的“标志</w:t>
            </w:r>
            <w:r>
              <w:rPr>
                <w:rFonts w:hint="eastAsia" w:ascii="新宋体" w:hAnsi="新宋体" w:eastAsia="新宋体" w:cs="新宋体"/>
                <w:color w:val="auto"/>
                <w:sz w:val="22"/>
                <w:szCs w:val="22"/>
                <w:highlight w:val="none"/>
              </w:rPr>
              <w:t>类</w:t>
            </w:r>
            <w:r>
              <w:rPr>
                <w:rFonts w:hint="eastAsia" w:ascii="新宋体" w:hAnsi="新宋体" w:eastAsia="新宋体" w:cs="新宋体"/>
                <w:color w:val="auto"/>
                <w:sz w:val="22"/>
                <w:szCs w:val="22"/>
                <w:highlight w:val="none"/>
                <w:lang w:val="zh-CN"/>
              </w:rPr>
              <w:t>”技术指标完全满足采购需求明确的全部技术条款要求的得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lang w:val="zh-CN"/>
              </w:rPr>
              <w:t>分</w:t>
            </w:r>
            <w:r>
              <w:rPr>
                <w:rFonts w:hint="eastAsia" w:ascii="新宋体" w:hAnsi="新宋体" w:eastAsia="新宋体" w:cs="新宋体"/>
                <w:color w:val="auto"/>
                <w:kern w:val="0"/>
                <w:sz w:val="22"/>
                <w:szCs w:val="22"/>
                <w:highlight w:val="none"/>
              </w:rPr>
              <w:t>、</w:t>
            </w:r>
            <w:r>
              <w:rPr>
                <w:rFonts w:hint="eastAsia" w:ascii="新宋体" w:hAnsi="新宋体" w:eastAsia="新宋体" w:cs="新宋体"/>
                <w:snapToGrid w:val="0"/>
                <w:color w:val="auto"/>
                <w:sz w:val="22"/>
                <w:szCs w:val="22"/>
                <w:highlight w:val="none"/>
                <w:lang w:val="zh-CN"/>
              </w:rPr>
              <w:t>低于技术要求（负偏离）的每项扣</w:t>
            </w:r>
            <w:r>
              <w:rPr>
                <w:rFonts w:hint="eastAsia" w:ascii="新宋体" w:hAnsi="新宋体" w:eastAsia="新宋体" w:cs="新宋体"/>
                <w:snapToGrid w:val="0"/>
                <w:color w:val="auto"/>
                <w:sz w:val="22"/>
                <w:szCs w:val="22"/>
                <w:highlight w:val="none"/>
              </w:rPr>
              <w:t>0.5</w:t>
            </w:r>
            <w:r>
              <w:rPr>
                <w:rFonts w:hint="eastAsia" w:ascii="新宋体" w:hAnsi="新宋体" w:eastAsia="新宋体" w:cs="新宋体"/>
                <w:snapToGrid w:val="0"/>
                <w:color w:val="auto"/>
                <w:sz w:val="22"/>
                <w:szCs w:val="22"/>
                <w:highlight w:val="none"/>
                <w:lang w:val="zh-CN"/>
              </w:rPr>
              <w:t>分；扣完为止；</w:t>
            </w:r>
            <w:bookmarkEnd w:id="200"/>
          </w:p>
          <w:p w14:paraId="10737776">
            <w:pPr>
              <w:keepNext w:val="0"/>
              <w:keepLines w:val="0"/>
              <w:pageBreakBefore w:val="0"/>
              <w:kinsoku/>
              <w:wordWrap/>
              <w:overflowPunct/>
              <w:topLinePunct w:val="0"/>
              <w:autoSpaceDE/>
              <w:autoSpaceDN/>
              <w:bidi w:val="0"/>
              <w:spacing w:line="460" w:lineRule="exact"/>
              <w:jc w:val="left"/>
              <w:textAlignment w:val="auto"/>
              <w:outlineLvl w:val="0"/>
              <w:rPr>
                <w:rFonts w:hint="eastAsia" w:ascii="新宋体" w:hAnsi="新宋体" w:eastAsia="新宋体" w:cs="新宋体"/>
                <w:color w:val="auto"/>
                <w:sz w:val="22"/>
                <w:szCs w:val="22"/>
                <w:highlight w:val="none"/>
              </w:rPr>
            </w:pPr>
            <w:bookmarkStart w:id="201" w:name="_Toc32766"/>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zh-CN"/>
              </w:rPr>
              <w:t>提供的“</w:t>
            </w:r>
            <w:r>
              <w:rPr>
                <w:rFonts w:hint="eastAsia" w:ascii="新宋体" w:hAnsi="新宋体" w:eastAsia="新宋体" w:cs="新宋体"/>
                <w:color w:val="auto"/>
                <w:sz w:val="22"/>
                <w:szCs w:val="22"/>
                <w:highlight w:val="none"/>
              </w:rPr>
              <w:t>立杆</w:t>
            </w:r>
            <w:r>
              <w:rPr>
                <w:rFonts w:hint="eastAsia" w:ascii="新宋体" w:hAnsi="新宋体" w:eastAsia="新宋体" w:cs="新宋体"/>
                <w:color w:val="auto"/>
                <w:sz w:val="22"/>
                <w:szCs w:val="22"/>
                <w:highlight w:val="none"/>
                <w:lang w:val="zh-CN"/>
              </w:rPr>
              <w:t>”技术指标完全满足采购需求明确的全部技术条款要求的得</w:t>
            </w: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val="zh-CN"/>
              </w:rPr>
              <w:t>分</w:t>
            </w:r>
            <w:r>
              <w:rPr>
                <w:rFonts w:hint="eastAsia" w:ascii="新宋体" w:hAnsi="新宋体" w:eastAsia="新宋体" w:cs="新宋体"/>
                <w:color w:val="auto"/>
                <w:kern w:val="0"/>
                <w:sz w:val="22"/>
                <w:szCs w:val="22"/>
                <w:highlight w:val="none"/>
              </w:rPr>
              <w:t>、</w:t>
            </w:r>
            <w:r>
              <w:rPr>
                <w:rFonts w:hint="eastAsia" w:ascii="新宋体" w:hAnsi="新宋体" w:eastAsia="新宋体" w:cs="新宋体"/>
                <w:snapToGrid w:val="0"/>
                <w:color w:val="auto"/>
                <w:sz w:val="22"/>
                <w:szCs w:val="22"/>
                <w:highlight w:val="none"/>
                <w:lang w:val="zh-CN"/>
              </w:rPr>
              <w:t>低于技术要求（负偏离）的每项扣</w:t>
            </w:r>
            <w:r>
              <w:rPr>
                <w:rFonts w:hint="eastAsia" w:ascii="新宋体" w:hAnsi="新宋体" w:eastAsia="新宋体" w:cs="新宋体"/>
                <w:snapToGrid w:val="0"/>
                <w:color w:val="auto"/>
                <w:sz w:val="22"/>
                <w:szCs w:val="22"/>
                <w:highlight w:val="none"/>
              </w:rPr>
              <w:t>0.5</w:t>
            </w:r>
            <w:r>
              <w:rPr>
                <w:rFonts w:hint="eastAsia" w:ascii="新宋体" w:hAnsi="新宋体" w:eastAsia="新宋体" w:cs="新宋体"/>
                <w:snapToGrid w:val="0"/>
                <w:color w:val="auto"/>
                <w:sz w:val="22"/>
                <w:szCs w:val="22"/>
                <w:highlight w:val="none"/>
                <w:lang w:val="zh-CN"/>
              </w:rPr>
              <w:t>分</w:t>
            </w:r>
            <w:r>
              <w:rPr>
                <w:rFonts w:hint="eastAsia" w:ascii="新宋体" w:hAnsi="新宋体" w:eastAsia="新宋体" w:cs="新宋体"/>
                <w:color w:val="auto"/>
                <w:sz w:val="22"/>
                <w:szCs w:val="22"/>
                <w:highlight w:val="none"/>
              </w:rPr>
              <w:t>；扣完为止；</w:t>
            </w:r>
            <w:bookmarkEnd w:id="201"/>
          </w:p>
          <w:p w14:paraId="40A0FC2F">
            <w:pPr>
              <w:keepNext w:val="0"/>
              <w:keepLines w:val="0"/>
              <w:pageBreakBefore w:val="0"/>
              <w:kinsoku/>
              <w:wordWrap/>
              <w:overflowPunct/>
              <w:topLinePunct w:val="0"/>
              <w:autoSpaceDE/>
              <w:autoSpaceDN/>
              <w:bidi w:val="0"/>
              <w:spacing w:line="460" w:lineRule="exact"/>
              <w:jc w:val="left"/>
              <w:textAlignment w:val="auto"/>
              <w:outlineLvl w:val="0"/>
              <w:rPr>
                <w:rFonts w:hint="eastAsia" w:ascii="新宋体" w:hAnsi="新宋体" w:eastAsia="新宋体" w:cs="新宋体"/>
                <w:color w:val="auto"/>
                <w:sz w:val="22"/>
                <w:szCs w:val="22"/>
                <w:highlight w:val="none"/>
              </w:rPr>
            </w:pPr>
            <w:bookmarkStart w:id="202" w:name="_Toc2532"/>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zh-CN"/>
              </w:rPr>
              <w:t>提供的“</w:t>
            </w:r>
            <w:r>
              <w:rPr>
                <w:rFonts w:hint="eastAsia" w:ascii="新宋体" w:hAnsi="新宋体" w:eastAsia="新宋体" w:cs="新宋体"/>
                <w:color w:val="auto"/>
                <w:sz w:val="22"/>
                <w:szCs w:val="22"/>
                <w:highlight w:val="none"/>
                <w:lang w:val="en-US" w:eastAsia="zh-CN"/>
              </w:rPr>
              <w:t>信号灯</w:t>
            </w:r>
            <w:r>
              <w:rPr>
                <w:rFonts w:hint="eastAsia" w:ascii="新宋体" w:hAnsi="新宋体" w:eastAsia="新宋体" w:cs="新宋体"/>
                <w:color w:val="auto"/>
                <w:sz w:val="22"/>
                <w:szCs w:val="22"/>
                <w:highlight w:val="none"/>
                <w:lang w:val="zh-CN"/>
              </w:rPr>
              <w:t>”技术指标完全满足采购需求明确的全部技术条款要求的得</w:t>
            </w: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val="zh-CN"/>
              </w:rPr>
              <w:t>分</w:t>
            </w:r>
            <w:r>
              <w:rPr>
                <w:rFonts w:hint="eastAsia" w:ascii="新宋体" w:hAnsi="新宋体" w:eastAsia="新宋体" w:cs="新宋体"/>
                <w:color w:val="auto"/>
                <w:kern w:val="0"/>
                <w:sz w:val="22"/>
                <w:szCs w:val="22"/>
                <w:highlight w:val="none"/>
              </w:rPr>
              <w:t>、</w:t>
            </w:r>
            <w:r>
              <w:rPr>
                <w:rFonts w:hint="eastAsia" w:ascii="新宋体" w:hAnsi="新宋体" w:eastAsia="新宋体" w:cs="新宋体"/>
                <w:snapToGrid w:val="0"/>
                <w:color w:val="auto"/>
                <w:sz w:val="22"/>
                <w:szCs w:val="22"/>
                <w:highlight w:val="none"/>
                <w:lang w:val="zh-CN"/>
              </w:rPr>
              <w:t>低于技术要求（负偏离）的每项扣</w:t>
            </w:r>
            <w:r>
              <w:rPr>
                <w:rFonts w:hint="eastAsia" w:ascii="新宋体" w:hAnsi="新宋体" w:eastAsia="新宋体" w:cs="新宋体"/>
                <w:snapToGrid w:val="0"/>
                <w:color w:val="auto"/>
                <w:sz w:val="22"/>
                <w:szCs w:val="22"/>
                <w:highlight w:val="none"/>
              </w:rPr>
              <w:t>0.5</w:t>
            </w:r>
            <w:r>
              <w:rPr>
                <w:rFonts w:hint="eastAsia" w:ascii="新宋体" w:hAnsi="新宋体" w:eastAsia="新宋体" w:cs="新宋体"/>
                <w:snapToGrid w:val="0"/>
                <w:color w:val="auto"/>
                <w:sz w:val="22"/>
                <w:szCs w:val="22"/>
                <w:highlight w:val="none"/>
                <w:lang w:val="zh-CN"/>
              </w:rPr>
              <w:t>分</w:t>
            </w:r>
            <w:r>
              <w:rPr>
                <w:rFonts w:hint="eastAsia" w:ascii="新宋体" w:hAnsi="新宋体" w:eastAsia="新宋体" w:cs="新宋体"/>
                <w:color w:val="auto"/>
                <w:sz w:val="22"/>
                <w:szCs w:val="22"/>
                <w:highlight w:val="none"/>
              </w:rPr>
              <w:t>；扣完为止。</w:t>
            </w:r>
            <w:bookmarkEnd w:id="202"/>
          </w:p>
          <w:p w14:paraId="29DF9A43">
            <w:pPr>
              <w:keepNext w:val="0"/>
              <w:keepLines w:val="0"/>
              <w:pageBreakBefore w:val="0"/>
              <w:kinsoku/>
              <w:wordWrap/>
              <w:overflowPunct/>
              <w:topLinePunct w:val="0"/>
              <w:autoSpaceDE/>
              <w:autoSpaceDN/>
              <w:bidi w:val="0"/>
              <w:spacing w:line="460" w:lineRule="exact"/>
              <w:jc w:val="left"/>
              <w:textAlignment w:val="auto"/>
              <w:outlineLvl w:val="0"/>
              <w:rPr>
                <w:rFonts w:hint="eastAsia" w:ascii="新宋体" w:hAnsi="新宋体" w:eastAsia="新宋体" w:cs="新宋体"/>
                <w:color w:val="auto"/>
                <w:sz w:val="22"/>
                <w:szCs w:val="22"/>
                <w:highlight w:val="none"/>
              </w:rPr>
            </w:pPr>
            <w:bookmarkStart w:id="203" w:name="_Toc7318"/>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zh-CN"/>
              </w:rPr>
              <w:t>提供的“护栏”技术指标完全满足采购需求明确的全部技术条款要求的得</w:t>
            </w: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val="zh-CN"/>
              </w:rPr>
              <w:t>分</w:t>
            </w:r>
            <w:r>
              <w:rPr>
                <w:rFonts w:hint="eastAsia" w:ascii="新宋体" w:hAnsi="新宋体" w:eastAsia="新宋体" w:cs="新宋体"/>
                <w:color w:val="auto"/>
                <w:kern w:val="0"/>
                <w:sz w:val="22"/>
                <w:szCs w:val="22"/>
                <w:highlight w:val="none"/>
              </w:rPr>
              <w:t>、</w:t>
            </w:r>
            <w:r>
              <w:rPr>
                <w:rFonts w:hint="eastAsia" w:ascii="新宋体" w:hAnsi="新宋体" w:eastAsia="新宋体" w:cs="新宋体"/>
                <w:snapToGrid w:val="0"/>
                <w:color w:val="auto"/>
                <w:sz w:val="22"/>
                <w:szCs w:val="22"/>
                <w:highlight w:val="none"/>
                <w:lang w:val="zh-CN"/>
              </w:rPr>
              <w:t>低于技术要求（负偏离）的每项扣</w:t>
            </w:r>
            <w:r>
              <w:rPr>
                <w:rFonts w:hint="eastAsia" w:ascii="新宋体" w:hAnsi="新宋体" w:eastAsia="新宋体" w:cs="新宋体"/>
                <w:snapToGrid w:val="0"/>
                <w:color w:val="auto"/>
                <w:sz w:val="22"/>
                <w:szCs w:val="22"/>
                <w:highlight w:val="none"/>
              </w:rPr>
              <w:t>0.5</w:t>
            </w:r>
            <w:r>
              <w:rPr>
                <w:rFonts w:hint="eastAsia" w:ascii="新宋体" w:hAnsi="新宋体" w:eastAsia="新宋体" w:cs="新宋体"/>
                <w:snapToGrid w:val="0"/>
                <w:color w:val="auto"/>
                <w:sz w:val="22"/>
                <w:szCs w:val="22"/>
                <w:highlight w:val="none"/>
                <w:lang w:val="zh-CN"/>
              </w:rPr>
              <w:t>分</w:t>
            </w:r>
            <w:r>
              <w:rPr>
                <w:rFonts w:hint="eastAsia" w:ascii="新宋体" w:hAnsi="新宋体" w:eastAsia="新宋体" w:cs="新宋体"/>
                <w:color w:val="auto"/>
                <w:sz w:val="22"/>
                <w:szCs w:val="22"/>
                <w:highlight w:val="none"/>
              </w:rPr>
              <w:t>；扣完为止。</w:t>
            </w:r>
            <w:bookmarkEnd w:id="203"/>
          </w:p>
        </w:tc>
        <w:tc>
          <w:tcPr>
            <w:tcW w:w="783" w:type="dxa"/>
            <w:vAlign w:val="center"/>
          </w:tcPr>
          <w:p w14:paraId="3B9BCADE">
            <w:pPr>
              <w:keepNext w:val="0"/>
              <w:keepLines w:val="0"/>
              <w:pageBreakBefore w:val="0"/>
              <w:kinsoku/>
              <w:wordWrap/>
              <w:overflowPunct/>
              <w:topLinePunct w:val="0"/>
              <w:autoSpaceDE/>
              <w:autoSpaceDN/>
              <w:bidi w:val="0"/>
              <w:spacing w:line="460" w:lineRule="exact"/>
              <w:jc w:val="center"/>
              <w:textAlignment w:val="auto"/>
              <w:outlineLvl w:val="0"/>
              <w:rPr>
                <w:rFonts w:hint="eastAsia" w:ascii="新宋体" w:hAnsi="新宋体" w:eastAsia="新宋体" w:cs="新宋体"/>
                <w:b/>
                <w:color w:val="auto"/>
                <w:sz w:val="22"/>
                <w:szCs w:val="22"/>
                <w:highlight w:val="none"/>
              </w:rPr>
            </w:pPr>
            <w:bookmarkStart w:id="204" w:name="_Toc6722"/>
            <w:r>
              <w:rPr>
                <w:rFonts w:hint="eastAsia" w:ascii="新宋体" w:hAnsi="新宋体" w:eastAsia="新宋体" w:cs="新宋体"/>
                <w:color w:val="auto"/>
                <w:sz w:val="22"/>
                <w:szCs w:val="22"/>
                <w:highlight w:val="none"/>
              </w:rPr>
              <w:t>10分</w:t>
            </w:r>
            <w:bookmarkEnd w:id="204"/>
          </w:p>
        </w:tc>
      </w:tr>
      <w:tr w14:paraId="3D86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Merge w:val="restart"/>
            <w:vAlign w:val="center"/>
          </w:tcPr>
          <w:p w14:paraId="75683697">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2</w:t>
            </w:r>
          </w:p>
        </w:tc>
        <w:tc>
          <w:tcPr>
            <w:tcW w:w="1397" w:type="dxa"/>
            <w:vMerge w:val="restart"/>
            <w:vAlign w:val="center"/>
          </w:tcPr>
          <w:p w14:paraId="08DF41F9">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zh-CN"/>
              </w:rPr>
              <w:t>投标方案优势情况</w:t>
            </w:r>
          </w:p>
        </w:tc>
        <w:tc>
          <w:tcPr>
            <w:tcW w:w="6786" w:type="dxa"/>
            <w:vAlign w:val="center"/>
          </w:tcPr>
          <w:p w14:paraId="19BD1996">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en-US"/>
              </w:rPr>
            </w:pP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lang w:val="en-US" w:eastAsia="zh-CN"/>
              </w:rPr>
              <w:t>投标人针对本项目标线、标志、立杆、护栏、信号灯的</w:t>
            </w:r>
            <w:r>
              <w:rPr>
                <w:rFonts w:hint="eastAsia" w:ascii="新宋体" w:hAnsi="新宋体" w:eastAsia="新宋体" w:cs="新宋体"/>
                <w:color w:val="auto"/>
                <w:sz w:val="22"/>
                <w:szCs w:val="22"/>
                <w:highlight w:val="none"/>
                <w:lang w:val="zh-CN"/>
              </w:rPr>
              <w:t>维护方案：包括</w:t>
            </w:r>
            <w:r>
              <w:rPr>
                <w:rFonts w:hint="eastAsia" w:ascii="新宋体" w:hAnsi="新宋体" w:eastAsia="新宋体" w:cs="新宋体"/>
                <w:color w:val="auto"/>
                <w:sz w:val="22"/>
                <w:szCs w:val="22"/>
                <w:highlight w:val="none"/>
              </w:rPr>
              <w:t>①</w:t>
            </w:r>
            <w:r>
              <w:rPr>
                <w:rFonts w:hint="eastAsia" w:ascii="新宋体" w:hAnsi="新宋体" w:eastAsia="新宋体" w:cs="新宋体"/>
                <w:color w:val="auto"/>
                <w:sz w:val="22"/>
                <w:szCs w:val="22"/>
                <w:highlight w:val="none"/>
                <w:lang w:val="zh-CN"/>
              </w:rPr>
              <w:t>“技术水平”</w:t>
            </w:r>
            <w:r>
              <w:rPr>
                <w:rFonts w:hint="eastAsia" w:ascii="新宋体" w:hAnsi="新宋体" w:eastAsia="新宋体" w:cs="新宋体"/>
                <w:color w:val="auto"/>
                <w:sz w:val="22"/>
                <w:szCs w:val="22"/>
                <w:highlight w:val="none"/>
              </w:rPr>
              <w:t>②</w:t>
            </w: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lang w:val="en-US" w:eastAsia="zh-CN"/>
              </w:rPr>
              <w:t>施工装备</w:t>
            </w: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③</w:t>
            </w:r>
            <w:r>
              <w:rPr>
                <w:rFonts w:hint="eastAsia" w:ascii="新宋体" w:hAnsi="新宋体" w:eastAsia="新宋体" w:cs="新宋体"/>
                <w:color w:val="auto"/>
                <w:sz w:val="22"/>
                <w:szCs w:val="22"/>
                <w:highlight w:val="none"/>
                <w:lang w:val="zh-CN"/>
              </w:rPr>
              <w:t>“维护抢修”</w:t>
            </w:r>
            <w:r>
              <w:rPr>
                <w:rFonts w:hint="eastAsia" w:ascii="新宋体" w:hAnsi="新宋体" w:eastAsia="新宋体" w:cs="新宋体"/>
                <w:color w:val="auto"/>
                <w:sz w:val="22"/>
                <w:szCs w:val="22"/>
                <w:highlight w:val="none"/>
              </w:rPr>
              <w:t>等</w:t>
            </w:r>
            <w:r>
              <w:rPr>
                <w:rFonts w:hint="eastAsia" w:ascii="新宋体" w:hAnsi="新宋体" w:eastAsia="新宋体" w:cs="新宋体"/>
                <w:color w:val="auto"/>
                <w:sz w:val="22"/>
                <w:szCs w:val="22"/>
                <w:highlight w:val="none"/>
                <w:lang w:val="en-US" w:eastAsia="zh-CN"/>
              </w:rPr>
              <w:t>方面</w:t>
            </w:r>
            <w:r>
              <w:rPr>
                <w:rFonts w:hint="eastAsia" w:ascii="新宋体" w:hAnsi="新宋体" w:eastAsia="新宋体" w:cs="新宋体"/>
                <w:color w:val="auto"/>
                <w:sz w:val="22"/>
                <w:szCs w:val="22"/>
                <w:highlight w:val="none"/>
              </w:rPr>
              <w:t>，根据提供的每一方案内容完整、措施有效、符合采购人实际情况</w:t>
            </w:r>
            <w:r>
              <w:rPr>
                <w:rFonts w:hint="eastAsia" w:ascii="新宋体" w:hAnsi="新宋体" w:eastAsia="新宋体" w:cs="新宋体"/>
                <w:color w:val="auto"/>
                <w:sz w:val="22"/>
                <w:szCs w:val="22"/>
                <w:highlight w:val="none"/>
                <w:lang w:val="en-US" w:eastAsia="zh-CN"/>
              </w:rPr>
              <w:t>进行打分。分值范围（5、4、3、2、1、0分）。</w:t>
            </w:r>
          </w:p>
          <w:p w14:paraId="2A58B6E6">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投标人所投项目</w:t>
            </w:r>
            <w:r>
              <w:rPr>
                <w:rFonts w:hint="eastAsia" w:ascii="新宋体" w:hAnsi="新宋体" w:eastAsia="新宋体" w:cs="新宋体"/>
                <w:color w:val="auto"/>
                <w:sz w:val="22"/>
                <w:szCs w:val="22"/>
                <w:highlight w:val="none"/>
                <w:lang w:val="zh-CN"/>
              </w:rPr>
              <w:t>安装施工组织方案：包括</w:t>
            </w:r>
            <w:r>
              <w:rPr>
                <w:rFonts w:hint="eastAsia" w:ascii="新宋体" w:hAnsi="新宋体" w:eastAsia="新宋体" w:cs="新宋体"/>
                <w:color w:val="auto"/>
                <w:sz w:val="22"/>
                <w:szCs w:val="22"/>
                <w:highlight w:val="none"/>
              </w:rPr>
              <w:t>①</w:t>
            </w:r>
            <w:r>
              <w:rPr>
                <w:rFonts w:hint="eastAsia" w:ascii="新宋体" w:hAnsi="新宋体" w:eastAsia="新宋体" w:cs="新宋体"/>
                <w:color w:val="auto"/>
                <w:sz w:val="22"/>
                <w:szCs w:val="22"/>
                <w:highlight w:val="none"/>
                <w:lang w:val="zh-CN"/>
              </w:rPr>
              <w:t>“施工（含基础）技术方案”</w:t>
            </w:r>
            <w:r>
              <w:rPr>
                <w:rFonts w:hint="eastAsia" w:ascii="新宋体" w:hAnsi="新宋体" w:eastAsia="新宋体" w:cs="新宋体"/>
                <w:color w:val="auto"/>
                <w:sz w:val="22"/>
                <w:szCs w:val="22"/>
                <w:highlight w:val="none"/>
              </w:rPr>
              <w:t>②</w:t>
            </w:r>
            <w:r>
              <w:rPr>
                <w:rFonts w:hint="eastAsia" w:ascii="新宋体" w:hAnsi="新宋体" w:eastAsia="新宋体" w:cs="新宋体"/>
                <w:color w:val="auto"/>
                <w:sz w:val="22"/>
                <w:szCs w:val="22"/>
                <w:highlight w:val="none"/>
                <w:lang w:val="zh-CN"/>
              </w:rPr>
              <w:t>“安装</w:t>
            </w:r>
            <w:r>
              <w:rPr>
                <w:rFonts w:hint="eastAsia" w:ascii="新宋体" w:hAnsi="新宋体" w:eastAsia="新宋体" w:cs="新宋体"/>
                <w:color w:val="auto"/>
                <w:sz w:val="22"/>
                <w:szCs w:val="22"/>
                <w:highlight w:val="none"/>
              </w:rPr>
              <w:t>调试</w:t>
            </w:r>
            <w:r>
              <w:rPr>
                <w:rFonts w:hint="eastAsia" w:ascii="新宋体" w:hAnsi="新宋体" w:eastAsia="新宋体" w:cs="新宋体"/>
                <w:color w:val="auto"/>
                <w:sz w:val="22"/>
                <w:szCs w:val="22"/>
                <w:highlight w:val="none"/>
                <w:lang w:val="zh-CN"/>
              </w:rPr>
              <w:t>方案”</w:t>
            </w:r>
            <w:r>
              <w:rPr>
                <w:rFonts w:hint="eastAsia" w:ascii="新宋体" w:hAnsi="新宋体" w:eastAsia="新宋体" w:cs="新宋体"/>
                <w:color w:val="auto"/>
                <w:sz w:val="22"/>
                <w:szCs w:val="22"/>
                <w:highlight w:val="none"/>
              </w:rPr>
              <w:t>③</w:t>
            </w:r>
            <w:r>
              <w:rPr>
                <w:rFonts w:hint="eastAsia" w:ascii="新宋体" w:hAnsi="新宋体" w:eastAsia="新宋体" w:cs="新宋体"/>
                <w:color w:val="auto"/>
                <w:sz w:val="22"/>
                <w:szCs w:val="22"/>
                <w:highlight w:val="none"/>
                <w:lang w:val="zh-CN"/>
              </w:rPr>
              <w:t>“施工组织方案”</w:t>
            </w:r>
            <w:r>
              <w:rPr>
                <w:rFonts w:hint="eastAsia" w:ascii="新宋体" w:hAnsi="新宋体" w:eastAsia="新宋体" w:cs="新宋体"/>
                <w:color w:val="auto"/>
                <w:sz w:val="22"/>
                <w:szCs w:val="22"/>
                <w:highlight w:val="none"/>
              </w:rPr>
              <w:t>根据提供</w:t>
            </w:r>
            <w:r>
              <w:rPr>
                <w:rFonts w:hint="eastAsia" w:ascii="新宋体" w:hAnsi="新宋体" w:eastAsia="新宋体" w:cs="新宋体"/>
                <w:color w:val="auto"/>
                <w:sz w:val="22"/>
                <w:szCs w:val="22"/>
                <w:highlight w:val="none"/>
                <w:lang w:eastAsia="zh-CN"/>
              </w:rPr>
              <w:t>的</w:t>
            </w:r>
            <w:r>
              <w:rPr>
                <w:rFonts w:hint="eastAsia" w:ascii="新宋体" w:hAnsi="新宋体" w:eastAsia="新宋体" w:cs="新宋体"/>
                <w:color w:val="auto"/>
                <w:sz w:val="22"/>
                <w:szCs w:val="22"/>
                <w:highlight w:val="none"/>
              </w:rPr>
              <w:t>每一方案内容完整、措施有效、符合采购人实际情况</w:t>
            </w:r>
            <w:r>
              <w:rPr>
                <w:rFonts w:hint="eastAsia" w:ascii="新宋体" w:hAnsi="新宋体" w:eastAsia="新宋体" w:cs="新宋体"/>
                <w:color w:val="auto"/>
                <w:sz w:val="22"/>
                <w:szCs w:val="22"/>
                <w:highlight w:val="none"/>
                <w:lang w:val="en-US" w:eastAsia="zh-CN"/>
              </w:rPr>
              <w:t>进行打分。</w:t>
            </w:r>
            <w:r>
              <w:rPr>
                <w:rFonts w:hint="eastAsia" w:ascii="新宋体" w:hAnsi="新宋体" w:eastAsia="新宋体" w:cs="新宋体"/>
                <w:color w:val="auto"/>
                <w:sz w:val="22"/>
                <w:szCs w:val="22"/>
                <w:highlight w:val="none"/>
                <w:lang w:val="en-US" w:eastAsia="zh-CN"/>
              </w:rPr>
              <w:t>分值范围（5、4、3、2、1、0分）。</w:t>
            </w:r>
          </w:p>
          <w:p w14:paraId="75F76B73">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投标人交通设施更换方案：根据采购需求提供设施更换方案，</w:t>
            </w:r>
            <w:r>
              <w:rPr>
                <w:rFonts w:hint="eastAsia" w:ascii="新宋体" w:hAnsi="新宋体" w:eastAsia="新宋体" w:cs="新宋体"/>
                <w:color w:val="auto"/>
                <w:sz w:val="22"/>
                <w:szCs w:val="22"/>
                <w:highlight w:val="none"/>
                <w:lang w:val="en-US" w:eastAsia="zh-CN"/>
              </w:rPr>
              <w:t>更换方案能够及时、能否满足采购人需求情况进行打分。</w:t>
            </w:r>
            <w:r>
              <w:rPr>
                <w:rFonts w:hint="eastAsia" w:ascii="新宋体" w:hAnsi="新宋体" w:eastAsia="新宋体" w:cs="新宋体"/>
                <w:color w:val="auto"/>
                <w:sz w:val="22"/>
                <w:szCs w:val="22"/>
                <w:highlight w:val="none"/>
                <w:lang w:val="en-US" w:eastAsia="zh-CN"/>
              </w:rPr>
              <w:t>分值范围（5、4、3、2、1、0分）。</w:t>
            </w:r>
          </w:p>
          <w:p w14:paraId="62503368">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●投标人所投项目安全防护措施方案（安装安全、维护安全、围挡安全措施）根据提供的方案内容完整、措施有效、符合采购人实际情况进行评分。</w:t>
            </w:r>
            <w:r>
              <w:rPr>
                <w:rFonts w:hint="eastAsia" w:ascii="新宋体" w:hAnsi="新宋体" w:eastAsia="新宋体" w:cs="新宋体"/>
                <w:color w:val="auto"/>
                <w:sz w:val="22"/>
                <w:szCs w:val="22"/>
                <w:highlight w:val="none"/>
                <w:lang w:val="en-US" w:eastAsia="zh-CN"/>
              </w:rPr>
              <w:t>分值范围（5、4、3、2、1、0分）。</w:t>
            </w:r>
          </w:p>
        </w:tc>
        <w:tc>
          <w:tcPr>
            <w:tcW w:w="783" w:type="dxa"/>
            <w:vAlign w:val="center"/>
          </w:tcPr>
          <w:p w14:paraId="55394D2D">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en-US" w:eastAsia="zh-CN"/>
              </w:rPr>
              <w:t>20</w:t>
            </w:r>
            <w:r>
              <w:rPr>
                <w:rFonts w:hint="eastAsia" w:ascii="新宋体" w:hAnsi="新宋体" w:eastAsia="新宋体" w:cs="新宋体"/>
                <w:color w:val="auto"/>
                <w:sz w:val="22"/>
                <w:szCs w:val="22"/>
                <w:highlight w:val="none"/>
              </w:rPr>
              <w:t>分</w:t>
            </w:r>
          </w:p>
        </w:tc>
      </w:tr>
      <w:tr w14:paraId="2614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Merge w:val="continue"/>
            <w:vAlign w:val="center"/>
          </w:tcPr>
          <w:p w14:paraId="2DC56C1C">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p>
        </w:tc>
        <w:tc>
          <w:tcPr>
            <w:tcW w:w="1397" w:type="dxa"/>
            <w:vMerge w:val="continue"/>
            <w:vAlign w:val="center"/>
          </w:tcPr>
          <w:p w14:paraId="0CA3512A">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color w:val="auto"/>
                <w:sz w:val="22"/>
                <w:szCs w:val="22"/>
                <w:highlight w:val="none"/>
                <w:lang w:val="zh-CN"/>
              </w:rPr>
            </w:pPr>
          </w:p>
        </w:tc>
        <w:tc>
          <w:tcPr>
            <w:tcW w:w="6786" w:type="dxa"/>
            <w:vAlign w:val="center"/>
          </w:tcPr>
          <w:p w14:paraId="3EE4F8E5">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投标人所投项目</w:t>
            </w:r>
            <w:r>
              <w:rPr>
                <w:rFonts w:hint="eastAsia" w:ascii="新宋体" w:hAnsi="新宋体" w:eastAsia="新宋体" w:cs="新宋体"/>
                <w:color w:val="auto"/>
                <w:sz w:val="22"/>
                <w:szCs w:val="22"/>
                <w:highlight w:val="none"/>
                <w:lang w:val="zh-CN"/>
              </w:rPr>
              <w:t>现场施工车辆方案（</w:t>
            </w:r>
            <w:r>
              <w:rPr>
                <w:rFonts w:hint="eastAsia" w:ascii="新宋体" w:hAnsi="新宋体" w:eastAsia="新宋体" w:cs="新宋体"/>
                <w:color w:val="auto"/>
                <w:sz w:val="22"/>
                <w:szCs w:val="22"/>
                <w:highlight w:val="none"/>
              </w:rPr>
              <w:t>同一车辆最多只能投两个</w:t>
            </w:r>
            <w:r>
              <w:rPr>
                <w:rFonts w:hint="eastAsia" w:ascii="新宋体" w:hAnsi="新宋体" w:eastAsia="新宋体" w:cs="新宋体"/>
                <w:color w:val="auto"/>
                <w:sz w:val="22"/>
                <w:szCs w:val="22"/>
                <w:highlight w:val="none"/>
                <w:lang w:eastAsia="zh-CN"/>
              </w:rPr>
              <w:t>标项</w:t>
            </w:r>
            <w:r>
              <w:rPr>
                <w:rFonts w:hint="eastAsia" w:ascii="新宋体" w:hAnsi="新宋体" w:eastAsia="新宋体" w:cs="新宋体"/>
                <w:color w:val="auto"/>
                <w:sz w:val="22"/>
                <w:szCs w:val="22"/>
                <w:highlight w:val="none"/>
                <w:lang w:val="zh-CN"/>
              </w:rPr>
              <w:t>）：</w:t>
            </w:r>
          </w:p>
          <w:p w14:paraId="02E4698C">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一（市本级）、</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三（瓯海区）</w:t>
            </w:r>
            <w:r>
              <w:rPr>
                <w:rFonts w:hint="eastAsia" w:ascii="新宋体" w:hAnsi="新宋体" w:eastAsia="新宋体" w:cs="新宋体"/>
                <w:color w:val="auto"/>
                <w:sz w:val="22"/>
                <w:szCs w:val="22"/>
                <w:highlight w:val="none"/>
                <w:lang w:val="en-US" w:eastAsia="zh-CN"/>
              </w:rPr>
              <w:t>每辆</w:t>
            </w:r>
            <w:r>
              <w:rPr>
                <w:rFonts w:hint="eastAsia" w:ascii="新宋体" w:hAnsi="新宋体" w:eastAsia="新宋体" w:cs="新宋体"/>
                <w:color w:val="auto"/>
                <w:sz w:val="22"/>
                <w:szCs w:val="22"/>
                <w:highlight w:val="none"/>
              </w:rPr>
              <w:t>轻型非载货专项作业车（具有升降功能）得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最多1分；每辆</w:t>
            </w:r>
            <w:r>
              <w:rPr>
                <w:rFonts w:hint="eastAsia" w:ascii="新宋体" w:hAnsi="新宋体" w:eastAsia="新宋体" w:cs="新宋体"/>
                <w:color w:val="auto"/>
                <w:sz w:val="22"/>
                <w:szCs w:val="22"/>
                <w:highlight w:val="none"/>
              </w:rPr>
              <w:t>重型货车（具有吊车功能）得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最多1分；每辆</w:t>
            </w:r>
            <w:r>
              <w:rPr>
                <w:rFonts w:hint="eastAsia" w:ascii="新宋体" w:hAnsi="新宋体" w:eastAsia="新宋体" w:cs="新宋体"/>
                <w:color w:val="auto"/>
                <w:sz w:val="22"/>
                <w:szCs w:val="22"/>
                <w:highlight w:val="none"/>
              </w:rPr>
              <w:t>中型非载货专项作业车（具有升降功能）得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最多1分；2辆</w:t>
            </w:r>
            <w:r>
              <w:rPr>
                <w:rFonts w:hint="eastAsia" w:ascii="新宋体" w:hAnsi="新宋体" w:eastAsia="新宋体" w:cs="新宋体"/>
                <w:color w:val="auto"/>
                <w:sz w:val="22"/>
                <w:szCs w:val="22"/>
                <w:highlight w:val="none"/>
              </w:rPr>
              <w:t>1.5T（含）以上轻型栏板货车得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最多1分，</w:t>
            </w:r>
            <w:r>
              <w:rPr>
                <w:rFonts w:hint="eastAsia" w:ascii="新宋体" w:hAnsi="新宋体" w:eastAsia="新宋体" w:cs="新宋体"/>
                <w:color w:val="auto"/>
                <w:sz w:val="22"/>
                <w:szCs w:val="22"/>
                <w:highlight w:val="none"/>
              </w:rPr>
              <w:t>本项最多</w:t>
            </w: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分。</w:t>
            </w:r>
          </w:p>
          <w:p w14:paraId="312DEE55">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二（鹿城区）、</w:t>
            </w:r>
            <w:r>
              <w:rPr>
                <w:rFonts w:hint="eastAsia" w:ascii="新宋体" w:hAnsi="新宋体" w:eastAsia="新宋体" w:cs="新宋体"/>
                <w:b/>
                <w:bCs/>
                <w:color w:val="auto"/>
                <w:sz w:val="22"/>
                <w:szCs w:val="22"/>
                <w:highlight w:val="none"/>
                <w:u w:val="single"/>
                <w:lang w:eastAsia="zh-CN"/>
              </w:rPr>
              <w:t>标项</w:t>
            </w:r>
            <w:r>
              <w:rPr>
                <w:rFonts w:hint="eastAsia" w:ascii="新宋体" w:hAnsi="新宋体" w:eastAsia="新宋体" w:cs="新宋体"/>
                <w:b/>
                <w:bCs/>
                <w:color w:val="auto"/>
                <w:sz w:val="22"/>
                <w:szCs w:val="22"/>
                <w:highlight w:val="none"/>
                <w:u w:val="single"/>
              </w:rPr>
              <w:t>四（龙湾区</w:t>
            </w:r>
            <w:r>
              <w:rPr>
                <w:rFonts w:hint="eastAsia" w:ascii="新宋体" w:hAnsi="新宋体" w:eastAsia="新宋体" w:cs="新宋体"/>
                <w:b/>
                <w:bCs/>
                <w:color w:val="auto"/>
                <w:sz w:val="22"/>
                <w:szCs w:val="22"/>
                <w:highlight w:val="none"/>
                <w:u w:val="single"/>
                <w:lang w:eastAsia="zh-CN"/>
              </w:rPr>
              <w:t>）</w:t>
            </w:r>
            <w:r>
              <w:rPr>
                <w:rFonts w:hint="eastAsia" w:ascii="新宋体" w:hAnsi="新宋体" w:eastAsia="新宋体" w:cs="新宋体"/>
                <w:b/>
                <w:bCs/>
                <w:color w:val="auto"/>
                <w:sz w:val="22"/>
                <w:szCs w:val="22"/>
                <w:highlight w:val="none"/>
                <w:u w:val="none"/>
                <w:lang w:val="en-US" w:eastAsia="zh-CN"/>
              </w:rPr>
              <w:t>2</w:t>
            </w:r>
            <w:r>
              <w:rPr>
                <w:rFonts w:hint="eastAsia" w:ascii="新宋体" w:hAnsi="新宋体" w:eastAsia="新宋体" w:cs="新宋体"/>
                <w:color w:val="auto"/>
                <w:sz w:val="22"/>
                <w:szCs w:val="22"/>
                <w:highlight w:val="none"/>
                <w:u w:val="none"/>
                <w:lang w:val="en-US" w:eastAsia="zh-CN"/>
              </w:rPr>
              <w:t>辆及以上</w:t>
            </w:r>
            <w:r>
              <w:rPr>
                <w:rFonts w:hint="eastAsia" w:ascii="新宋体" w:hAnsi="新宋体" w:eastAsia="新宋体" w:cs="新宋体"/>
                <w:color w:val="auto"/>
                <w:sz w:val="22"/>
                <w:szCs w:val="22"/>
                <w:highlight w:val="none"/>
              </w:rPr>
              <w:t>轻型非载货专项作业车（具有升降功能）得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最多1分；</w:t>
            </w:r>
            <w:r>
              <w:rPr>
                <w:rFonts w:hint="eastAsia" w:ascii="新宋体" w:hAnsi="新宋体" w:eastAsia="新宋体" w:cs="新宋体"/>
                <w:b/>
                <w:bCs/>
                <w:color w:val="auto"/>
                <w:sz w:val="22"/>
                <w:szCs w:val="22"/>
                <w:highlight w:val="none"/>
                <w:u w:val="none"/>
                <w:lang w:val="en-US" w:eastAsia="zh-CN"/>
              </w:rPr>
              <w:t>2</w:t>
            </w:r>
            <w:r>
              <w:rPr>
                <w:rFonts w:hint="eastAsia" w:ascii="新宋体" w:hAnsi="新宋体" w:eastAsia="新宋体" w:cs="新宋体"/>
                <w:color w:val="auto"/>
                <w:sz w:val="22"/>
                <w:szCs w:val="22"/>
                <w:highlight w:val="none"/>
                <w:u w:val="none"/>
                <w:lang w:val="en-US" w:eastAsia="zh-CN"/>
              </w:rPr>
              <w:t>辆及以上</w:t>
            </w:r>
            <w:r>
              <w:rPr>
                <w:rFonts w:hint="eastAsia" w:ascii="新宋体" w:hAnsi="新宋体" w:eastAsia="新宋体" w:cs="新宋体"/>
                <w:color w:val="auto"/>
                <w:sz w:val="22"/>
                <w:szCs w:val="22"/>
                <w:highlight w:val="none"/>
              </w:rPr>
              <w:t>重型货车（具有吊车功能）得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最多1分；</w:t>
            </w:r>
            <w:r>
              <w:rPr>
                <w:rFonts w:hint="eastAsia" w:ascii="新宋体" w:hAnsi="新宋体" w:eastAsia="新宋体" w:cs="新宋体"/>
                <w:b/>
                <w:bCs/>
                <w:color w:val="auto"/>
                <w:sz w:val="22"/>
                <w:szCs w:val="22"/>
                <w:highlight w:val="none"/>
                <w:u w:val="none"/>
                <w:lang w:val="en-US" w:eastAsia="zh-CN"/>
              </w:rPr>
              <w:t>2</w:t>
            </w:r>
            <w:r>
              <w:rPr>
                <w:rFonts w:hint="eastAsia" w:ascii="新宋体" w:hAnsi="新宋体" w:eastAsia="新宋体" w:cs="新宋体"/>
                <w:color w:val="auto"/>
                <w:sz w:val="22"/>
                <w:szCs w:val="22"/>
                <w:highlight w:val="none"/>
                <w:u w:val="none"/>
                <w:lang w:val="en-US" w:eastAsia="zh-CN"/>
              </w:rPr>
              <w:t>辆及以上</w:t>
            </w:r>
            <w:r>
              <w:rPr>
                <w:rFonts w:hint="eastAsia" w:ascii="新宋体" w:hAnsi="新宋体" w:eastAsia="新宋体" w:cs="新宋体"/>
                <w:color w:val="auto"/>
                <w:sz w:val="22"/>
                <w:szCs w:val="22"/>
                <w:highlight w:val="none"/>
              </w:rPr>
              <w:t>中型非载货专项作业车（具有升降功能）得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最多1分；4辆</w:t>
            </w:r>
            <w:r>
              <w:rPr>
                <w:rFonts w:hint="eastAsia" w:ascii="新宋体" w:hAnsi="新宋体" w:eastAsia="新宋体" w:cs="新宋体"/>
                <w:color w:val="auto"/>
                <w:sz w:val="22"/>
                <w:szCs w:val="22"/>
                <w:highlight w:val="none"/>
                <w:u w:val="none"/>
                <w:lang w:val="en-US" w:eastAsia="zh-CN"/>
              </w:rPr>
              <w:t>及以上</w:t>
            </w:r>
            <w:r>
              <w:rPr>
                <w:rFonts w:hint="eastAsia" w:ascii="新宋体" w:hAnsi="新宋体" w:eastAsia="新宋体" w:cs="新宋体"/>
                <w:color w:val="auto"/>
                <w:sz w:val="22"/>
                <w:szCs w:val="22"/>
                <w:highlight w:val="none"/>
              </w:rPr>
              <w:t>1.5T（含）以上轻型栏板货车得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最多1分，</w:t>
            </w:r>
            <w:r>
              <w:rPr>
                <w:rFonts w:hint="eastAsia" w:ascii="新宋体" w:hAnsi="新宋体" w:eastAsia="新宋体" w:cs="新宋体"/>
                <w:color w:val="auto"/>
                <w:sz w:val="22"/>
                <w:szCs w:val="22"/>
                <w:highlight w:val="none"/>
              </w:rPr>
              <w:t>本项最多</w:t>
            </w: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分。</w:t>
            </w:r>
          </w:p>
          <w:p w14:paraId="2CAB731E">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注：</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lang w:val="zh-CN"/>
              </w:rPr>
              <w:t>车辆须提供车辆行驶证（投标供应商名下），如是租赁提供租赁合同复印件</w:t>
            </w:r>
            <w:r>
              <w:rPr>
                <w:rFonts w:hint="eastAsia" w:ascii="新宋体" w:hAnsi="新宋体" w:eastAsia="新宋体" w:cs="新宋体"/>
                <w:color w:val="auto"/>
                <w:sz w:val="22"/>
                <w:szCs w:val="22"/>
                <w:highlight w:val="none"/>
              </w:rPr>
              <w:t>及租赁发票</w:t>
            </w:r>
            <w:r>
              <w:rPr>
                <w:rFonts w:hint="eastAsia" w:ascii="新宋体" w:hAnsi="新宋体" w:eastAsia="新宋体" w:cs="新宋体"/>
                <w:color w:val="auto"/>
                <w:sz w:val="22"/>
                <w:szCs w:val="22"/>
                <w:highlight w:val="none"/>
                <w:lang w:val="zh-CN"/>
              </w:rPr>
              <w:t>复印件且租赁期长于</w:t>
            </w:r>
            <w:r>
              <w:rPr>
                <w:rFonts w:hint="eastAsia" w:ascii="新宋体" w:hAnsi="新宋体" w:eastAsia="新宋体" w:cs="新宋体"/>
                <w:color w:val="auto"/>
                <w:sz w:val="22"/>
                <w:szCs w:val="22"/>
                <w:highlight w:val="none"/>
              </w:rPr>
              <w:t>本项目</w:t>
            </w:r>
            <w:r>
              <w:rPr>
                <w:rFonts w:hint="eastAsia" w:ascii="新宋体" w:hAnsi="新宋体" w:eastAsia="新宋体" w:cs="新宋体"/>
                <w:color w:val="auto"/>
                <w:sz w:val="22"/>
                <w:szCs w:val="22"/>
                <w:highlight w:val="none"/>
                <w:lang w:val="zh-CN"/>
              </w:rPr>
              <w:t>服务期相关证明材料</w:t>
            </w:r>
            <w:r>
              <w:rPr>
                <w:rFonts w:hint="eastAsia" w:ascii="新宋体" w:hAnsi="新宋体" w:eastAsia="新宋体" w:cs="新宋体"/>
                <w:color w:val="auto"/>
                <w:sz w:val="22"/>
                <w:szCs w:val="22"/>
                <w:highlight w:val="none"/>
              </w:rPr>
              <w:t>等</w:t>
            </w:r>
            <w:r>
              <w:rPr>
                <w:rFonts w:hint="eastAsia" w:ascii="新宋体" w:hAnsi="新宋体" w:eastAsia="新宋体" w:cs="新宋体"/>
                <w:color w:val="auto"/>
                <w:sz w:val="22"/>
                <w:szCs w:val="22"/>
                <w:highlight w:val="none"/>
                <w:lang w:val="zh-CN"/>
              </w:rPr>
              <w:t>，提供投标人自有的机动车车辆行驶证复印件和车辆的购置发票复印件</w:t>
            </w:r>
            <w:r>
              <w:rPr>
                <w:rFonts w:hint="eastAsia" w:ascii="新宋体" w:hAnsi="新宋体" w:eastAsia="新宋体" w:cs="新宋体"/>
                <w:color w:val="auto"/>
                <w:sz w:val="22"/>
                <w:szCs w:val="22"/>
                <w:highlight w:val="none"/>
              </w:rPr>
              <w:t>或租赁合同复印件及租赁发票复印件照片清晰</w:t>
            </w:r>
            <w:r>
              <w:rPr>
                <w:rFonts w:hint="eastAsia" w:ascii="新宋体" w:hAnsi="新宋体" w:eastAsia="新宋体" w:cs="新宋体"/>
                <w:color w:val="auto"/>
                <w:sz w:val="22"/>
                <w:szCs w:val="22"/>
                <w:highlight w:val="none"/>
                <w:lang w:val="zh-CN"/>
              </w:rPr>
              <w:t>，否则不得分。</w:t>
            </w:r>
          </w:p>
        </w:tc>
        <w:tc>
          <w:tcPr>
            <w:tcW w:w="783" w:type="dxa"/>
            <w:vAlign w:val="center"/>
          </w:tcPr>
          <w:p w14:paraId="22704689">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4分</w:t>
            </w:r>
          </w:p>
        </w:tc>
      </w:tr>
      <w:tr w14:paraId="687A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Align w:val="center"/>
          </w:tcPr>
          <w:p w14:paraId="46B3A25F">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3</w:t>
            </w:r>
          </w:p>
        </w:tc>
        <w:tc>
          <w:tcPr>
            <w:tcW w:w="1397" w:type="dxa"/>
            <w:vAlign w:val="center"/>
          </w:tcPr>
          <w:p w14:paraId="3BF0052D">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zh-CN"/>
              </w:rPr>
              <w:t>设备材料制作</w:t>
            </w:r>
            <w:r>
              <w:rPr>
                <w:rFonts w:hint="eastAsia" w:ascii="新宋体" w:hAnsi="新宋体" w:eastAsia="新宋体" w:cs="新宋体"/>
                <w:color w:val="auto"/>
                <w:sz w:val="22"/>
                <w:szCs w:val="22"/>
                <w:highlight w:val="none"/>
              </w:rPr>
              <w:t>车间情况</w:t>
            </w:r>
          </w:p>
        </w:tc>
        <w:tc>
          <w:tcPr>
            <w:tcW w:w="6786" w:type="dxa"/>
            <w:vAlign w:val="center"/>
          </w:tcPr>
          <w:p w14:paraId="2F04F6D9">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●投标人所投项目</w:t>
            </w:r>
            <w:r>
              <w:rPr>
                <w:rFonts w:hint="eastAsia" w:ascii="新宋体" w:hAnsi="新宋体" w:eastAsia="新宋体" w:cs="新宋体"/>
                <w:color w:val="auto"/>
                <w:sz w:val="22"/>
                <w:szCs w:val="22"/>
                <w:highlight w:val="none"/>
                <w:lang w:val="zh-CN"/>
              </w:rPr>
              <w:t>“设备材料制作”</w:t>
            </w:r>
            <w:r>
              <w:rPr>
                <w:rFonts w:hint="eastAsia" w:ascii="新宋体" w:hAnsi="新宋体" w:eastAsia="新宋体" w:cs="新宋体"/>
                <w:color w:val="auto"/>
                <w:sz w:val="22"/>
                <w:szCs w:val="22"/>
                <w:highlight w:val="none"/>
              </w:rPr>
              <w:t>车间情况：</w:t>
            </w:r>
            <w:r>
              <w:rPr>
                <w:rFonts w:hint="eastAsia" w:ascii="新宋体" w:hAnsi="新宋体" w:eastAsia="新宋体" w:cs="新宋体"/>
                <w:color w:val="auto"/>
                <w:sz w:val="22"/>
                <w:szCs w:val="22"/>
                <w:highlight w:val="none"/>
                <w:lang w:val="zh-CN"/>
              </w:rPr>
              <w:t>包括</w:t>
            </w:r>
            <w:r>
              <w:rPr>
                <w:rFonts w:hint="eastAsia" w:ascii="新宋体" w:hAnsi="新宋体" w:eastAsia="新宋体" w:cs="新宋体"/>
                <w:color w:val="auto"/>
                <w:sz w:val="22"/>
                <w:szCs w:val="22"/>
                <w:highlight w:val="none"/>
              </w:rPr>
              <w:t>原材料制作标志牌，基础预埋件，钢支架</w:t>
            </w:r>
            <w:r>
              <w:rPr>
                <w:rFonts w:hint="eastAsia" w:ascii="新宋体" w:hAnsi="新宋体" w:eastAsia="新宋体" w:cs="新宋体"/>
                <w:color w:val="auto"/>
                <w:sz w:val="22"/>
                <w:szCs w:val="22"/>
                <w:highlight w:val="none"/>
                <w:lang w:val="zh-CN"/>
              </w:rPr>
              <w:t>等。提供车间制作场景资料，</w:t>
            </w:r>
            <w:r>
              <w:rPr>
                <w:rFonts w:hint="eastAsia" w:ascii="新宋体" w:hAnsi="新宋体" w:eastAsia="新宋体" w:cs="新宋体"/>
                <w:color w:val="auto"/>
                <w:sz w:val="22"/>
                <w:szCs w:val="22"/>
                <w:highlight w:val="none"/>
              </w:rPr>
              <w:t>满足采购需求的得5分，不满足不得分；</w:t>
            </w:r>
            <w:r>
              <w:rPr>
                <w:rFonts w:hint="eastAsia" w:ascii="新宋体" w:hAnsi="新宋体" w:eastAsia="新宋体" w:cs="新宋体"/>
                <w:color w:val="auto"/>
                <w:sz w:val="22"/>
                <w:szCs w:val="22"/>
                <w:highlight w:val="none"/>
                <w:lang w:val="zh-CN"/>
              </w:rPr>
              <w:t>（提供产权证明（产权为</w:t>
            </w:r>
            <w:r>
              <w:rPr>
                <w:rFonts w:hint="eastAsia" w:ascii="新宋体" w:hAnsi="新宋体" w:eastAsia="新宋体" w:cs="新宋体"/>
                <w:color w:val="auto"/>
                <w:sz w:val="22"/>
                <w:szCs w:val="22"/>
                <w:highlight w:val="none"/>
              </w:rPr>
              <w:t>投标人</w:t>
            </w:r>
            <w:r>
              <w:rPr>
                <w:rFonts w:hint="eastAsia" w:ascii="新宋体" w:hAnsi="新宋体" w:eastAsia="新宋体" w:cs="新宋体"/>
                <w:color w:val="auto"/>
                <w:sz w:val="22"/>
                <w:szCs w:val="22"/>
                <w:highlight w:val="none"/>
                <w:lang w:val="zh-CN"/>
              </w:rPr>
              <w:t>所有的提供产权证，如非</w:t>
            </w:r>
            <w:r>
              <w:rPr>
                <w:rFonts w:hint="eastAsia" w:ascii="新宋体" w:hAnsi="新宋体" w:eastAsia="新宋体" w:cs="新宋体"/>
                <w:color w:val="auto"/>
                <w:sz w:val="22"/>
                <w:szCs w:val="22"/>
                <w:highlight w:val="none"/>
              </w:rPr>
              <w:t>投标人</w:t>
            </w:r>
            <w:r>
              <w:rPr>
                <w:rFonts w:hint="eastAsia" w:ascii="新宋体" w:hAnsi="新宋体" w:eastAsia="新宋体" w:cs="新宋体"/>
                <w:color w:val="auto"/>
                <w:sz w:val="22"/>
                <w:szCs w:val="22"/>
                <w:highlight w:val="none"/>
                <w:lang w:val="zh-CN"/>
              </w:rPr>
              <w:t>所有的，提供房屋产权证</w:t>
            </w:r>
            <w:r>
              <w:rPr>
                <w:rFonts w:hint="eastAsia" w:ascii="新宋体" w:hAnsi="新宋体" w:eastAsia="新宋体" w:cs="新宋体"/>
                <w:color w:val="auto"/>
                <w:sz w:val="22"/>
                <w:szCs w:val="22"/>
                <w:highlight w:val="none"/>
              </w:rPr>
              <w:t>或</w:t>
            </w:r>
            <w:r>
              <w:rPr>
                <w:rFonts w:hint="eastAsia" w:ascii="新宋体" w:hAnsi="新宋体" w:eastAsia="新宋体" w:cs="新宋体"/>
                <w:color w:val="auto"/>
                <w:sz w:val="22"/>
                <w:szCs w:val="22"/>
                <w:highlight w:val="none"/>
                <w:lang w:val="zh-CN"/>
              </w:rPr>
              <w:t>租赁合同复印件</w:t>
            </w:r>
            <w:r>
              <w:rPr>
                <w:rFonts w:hint="eastAsia" w:ascii="新宋体" w:hAnsi="新宋体" w:eastAsia="新宋体" w:cs="新宋体"/>
                <w:color w:val="auto"/>
                <w:sz w:val="22"/>
                <w:szCs w:val="22"/>
                <w:highlight w:val="none"/>
              </w:rPr>
              <w:t>及租赁发票</w:t>
            </w:r>
            <w:r>
              <w:rPr>
                <w:rFonts w:hint="eastAsia" w:ascii="新宋体" w:hAnsi="新宋体" w:eastAsia="新宋体" w:cs="新宋体"/>
                <w:color w:val="auto"/>
                <w:sz w:val="22"/>
                <w:szCs w:val="22"/>
                <w:highlight w:val="none"/>
                <w:lang w:val="zh-CN"/>
              </w:rPr>
              <w:t>复印件且租赁期长于</w:t>
            </w:r>
            <w:r>
              <w:rPr>
                <w:rFonts w:hint="eastAsia" w:ascii="新宋体" w:hAnsi="新宋体" w:eastAsia="新宋体" w:cs="新宋体"/>
                <w:color w:val="auto"/>
                <w:sz w:val="22"/>
                <w:szCs w:val="22"/>
                <w:highlight w:val="none"/>
              </w:rPr>
              <w:t>本项目</w:t>
            </w:r>
            <w:r>
              <w:rPr>
                <w:rFonts w:hint="eastAsia" w:ascii="新宋体" w:hAnsi="新宋体" w:eastAsia="新宋体" w:cs="新宋体"/>
                <w:color w:val="auto"/>
                <w:sz w:val="22"/>
                <w:szCs w:val="22"/>
                <w:highlight w:val="none"/>
                <w:lang w:val="zh-CN"/>
              </w:rPr>
              <w:t>服务期相关证明材料</w:t>
            </w:r>
            <w:r>
              <w:rPr>
                <w:rFonts w:hint="eastAsia" w:ascii="新宋体" w:hAnsi="新宋体" w:eastAsia="新宋体" w:cs="新宋体"/>
                <w:color w:val="auto"/>
                <w:sz w:val="22"/>
                <w:szCs w:val="22"/>
                <w:highlight w:val="none"/>
              </w:rPr>
              <w:t>等</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如无产权证及租赁协议的，须提供有关有效的场地使用证明材料</w:t>
            </w: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w:t>
            </w:r>
          </w:p>
        </w:tc>
        <w:tc>
          <w:tcPr>
            <w:tcW w:w="783" w:type="dxa"/>
            <w:vAlign w:val="center"/>
          </w:tcPr>
          <w:p w14:paraId="02E1A2A8">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5分</w:t>
            </w:r>
          </w:p>
        </w:tc>
      </w:tr>
      <w:tr w14:paraId="2D4E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Align w:val="center"/>
          </w:tcPr>
          <w:p w14:paraId="3332A971">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4</w:t>
            </w:r>
          </w:p>
        </w:tc>
        <w:tc>
          <w:tcPr>
            <w:tcW w:w="1397" w:type="dxa"/>
            <w:vAlign w:val="center"/>
          </w:tcPr>
          <w:p w14:paraId="768FD392">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样品</w:t>
            </w:r>
          </w:p>
        </w:tc>
        <w:tc>
          <w:tcPr>
            <w:tcW w:w="6786" w:type="dxa"/>
            <w:vAlign w:val="center"/>
          </w:tcPr>
          <w:p w14:paraId="12DC62AB">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●本项目投标样品：</w:t>
            </w:r>
          </w:p>
          <w:p w14:paraId="3C6FF68E">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①产品主要尺寸公差：</w:t>
            </w:r>
            <w:r>
              <w:rPr>
                <w:rFonts w:hint="eastAsia" w:ascii="新宋体" w:hAnsi="新宋体" w:eastAsia="新宋体" w:cs="新宋体"/>
                <w:color w:val="auto"/>
                <w:sz w:val="22"/>
                <w:szCs w:val="22"/>
                <w:highlight w:val="none"/>
                <w:lang w:val="en-US" w:eastAsia="zh-CN"/>
              </w:rPr>
              <w:t>无偏差不扣分，任一</w:t>
            </w:r>
            <w:r>
              <w:rPr>
                <w:rFonts w:hint="eastAsia" w:ascii="新宋体" w:hAnsi="新宋体" w:eastAsia="新宋体" w:cs="新宋体"/>
                <w:color w:val="auto"/>
                <w:sz w:val="22"/>
                <w:szCs w:val="22"/>
                <w:highlight w:val="none"/>
                <w:lang w:val="zh-CN"/>
              </w:rPr>
              <w:t>产品尺寸</w:t>
            </w:r>
            <w:r>
              <w:rPr>
                <w:rFonts w:hint="eastAsia" w:ascii="新宋体" w:hAnsi="新宋体" w:eastAsia="新宋体" w:cs="新宋体"/>
                <w:color w:val="auto"/>
                <w:sz w:val="22"/>
                <w:szCs w:val="22"/>
                <w:highlight w:val="none"/>
              </w:rPr>
              <w:t>偏差</w:t>
            </w: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val="zh-CN"/>
              </w:rPr>
              <w:t>mm</w:t>
            </w:r>
            <w:r>
              <w:rPr>
                <w:rFonts w:hint="eastAsia" w:ascii="新宋体" w:hAnsi="新宋体" w:eastAsia="新宋体" w:cs="新宋体"/>
                <w:color w:val="auto"/>
                <w:sz w:val="22"/>
                <w:szCs w:val="22"/>
                <w:highlight w:val="none"/>
                <w:lang w:val="en-US" w:eastAsia="zh-CN"/>
              </w:rPr>
              <w:t>以内扣</w:t>
            </w:r>
            <w:r>
              <w:rPr>
                <w:rFonts w:hint="eastAsia" w:ascii="新宋体" w:hAnsi="新宋体" w:eastAsia="新宋体" w:cs="新宋体"/>
                <w:color w:val="auto"/>
                <w:sz w:val="22"/>
                <w:szCs w:val="22"/>
                <w:highlight w:val="none"/>
              </w:rPr>
              <w:t>0.5分，</w:t>
            </w:r>
            <w:r>
              <w:rPr>
                <w:rFonts w:hint="eastAsia" w:ascii="新宋体" w:hAnsi="新宋体" w:eastAsia="新宋体" w:cs="新宋体"/>
                <w:color w:val="auto"/>
                <w:sz w:val="22"/>
                <w:szCs w:val="22"/>
                <w:highlight w:val="none"/>
                <w:lang w:val="zh-CN"/>
              </w:rPr>
              <w:t>偏差±</w:t>
            </w:r>
            <w:r>
              <w:rPr>
                <w:rFonts w:hint="eastAsia" w:ascii="新宋体" w:hAnsi="新宋体" w:eastAsia="新宋体" w:cs="新宋体"/>
                <w:color w:val="auto"/>
                <w:sz w:val="22"/>
                <w:szCs w:val="22"/>
                <w:highlight w:val="none"/>
              </w:rPr>
              <w:t>2</w:t>
            </w:r>
            <w:r>
              <w:rPr>
                <w:rFonts w:hint="eastAsia" w:ascii="新宋体" w:hAnsi="新宋体" w:eastAsia="新宋体" w:cs="新宋体"/>
                <w:color w:val="auto"/>
                <w:sz w:val="22"/>
                <w:szCs w:val="22"/>
                <w:highlight w:val="none"/>
                <w:lang w:val="zh-CN"/>
              </w:rPr>
              <w:t>mm以</w:t>
            </w:r>
            <w:r>
              <w:rPr>
                <w:rFonts w:hint="eastAsia" w:ascii="新宋体" w:hAnsi="新宋体" w:eastAsia="新宋体" w:cs="新宋体"/>
                <w:color w:val="auto"/>
                <w:sz w:val="22"/>
                <w:szCs w:val="22"/>
                <w:highlight w:val="none"/>
              </w:rPr>
              <w:t>外不得分，</w:t>
            </w:r>
            <w:r>
              <w:rPr>
                <w:rFonts w:hint="eastAsia" w:ascii="新宋体" w:hAnsi="新宋体" w:eastAsia="新宋体" w:cs="新宋体"/>
                <w:color w:val="auto"/>
                <w:sz w:val="22"/>
                <w:szCs w:val="22"/>
                <w:highlight w:val="none"/>
                <w:lang w:val="en-US" w:eastAsia="zh-CN"/>
              </w:rPr>
              <w:t>最多1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扣完为止。</w:t>
            </w:r>
          </w:p>
          <w:p w14:paraId="437BDECB">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②材料要求：</w:t>
            </w:r>
            <w:r>
              <w:rPr>
                <w:rFonts w:hint="eastAsia" w:ascii="新宋体" w:hAnsi="新宋体" w:eastAsia="新宋体" w:cs="新宋体"/>
                <w:color w:val="auto"/>
                <w:sz w:val="22"/>
                <w:szCs w:val="22"/>
                <w:highlight w:val="none"/>
                <w:lang w:val="en-US" w:eastAsia="zh-CN"/>
              </w:rPr>
              <w:t>无偏差不扣分，任一</w:t>
            </w:r>
            <w:r>
              <w:rPr>
                <w:rFonts w:hint="eastAsia" w:ascii="新宋体" w:hAnsi="新宋体" w:eastAsia="新宋体" w:cs="新宋体"/>
                <w:color w:val="auto"/>
                <w:sz w:val="22"/>
                <w:szCs w:val="22"/>
                <w:highlight w:val="none"/>
              </w:rPr>
              <w:t>产品所选用的材料与采购需求</w:t>
            </w:r>
            <w:r>
              <w:rPr>
                <w:rFonts w:hint="eastAsia" w:ascii="新宋体" w:hAnsi="新宋体" w:eastAsia="新宋体" w:cs="新宋体"/>
                <w:color w:val="auto"/>
                <w:sz w:val="22"/>
                <w:szCs w:val="22"/>
                <w:highlight w:val="none"/>
                <w:lang w:val="en-US" w:eastAsia="zh-CN"/>
              </w:rPr>
              <w:t>不</w:t>
            </w:r>
            <w:r>
              <w:rPr>
                <w:rFonts w:hint="eastAsia" w:ascii="新宋体" w:hAnsi="新宋体" w:eastAsia="新宋体" w:cs="新宋体"/>
                <w:color w:val="auto"/>
                <w:sz w:val="22"/>
                <w:szCs w:val="22"/>
                <w:highlight w:val="none"/>
              </w:rPr>
              <w:t>一致</w:t>
            </w:r>
            <w:r>
              <w:rPr>
                <w:rFonts w:hint="eastAsia" w:ascii="新宋体" w:hAnsi="新宋体" w:eastAsia="新宋体" w:cs="新宋体"/>
                <w:color w:val="auto"/>
                <w:sz w:val="22"/>
                <w:szCs w:val="22"/>
                <w:highlight w:val="none"/>
                <w:lang w:val="en-US" w:eastAsia="zh-CN"/>
              </w:rPr>
              <w:t>扣0.5分</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最多1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扣完为止。</w:t>
            </w:r>
          </w:p>
          <w:p w14:paraId="2381B6A3">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③样品工艺：</w:t>
            </w:r>
            <w:r>
              <w:rPr>
                <w:rFonts w:hint="eastAsia" w:ascii="新宋体" w:hAnsi="新宋体" w:eastAsia="新宋体" w:cs="新宋体"/>
                <w:color w:val="auto"/>
                <w:sz w:val="22"/>
                <w:szCs w:val="22"/>
                <w:highlight w:val="none"/>
                <w:lang w:val="en-US" w:eastAsia="zh-CN"/>
              </w:rPr>
              <w:t>无偏差不扣分，任一</w:t>
            </w:r>
            <w:r>
              <w:rPr>
                <w:rFonts w:hint="eastAsia" w:ascii="新宋体" w:hAnsi="新宋体" w:eastAsia="新宋体" w:cs="新宋体"/>
                <w:color w:val="auto"/>
                <w:sz w:val="22"/>
                <w:szCs w:val="22"/>
                <w:highlight w:val="none"/>
              </w:rPr>
              <w:t>产品的工艺与采购需求</w:t>
            </w:r>
            <w:r>
              <w:rPr>
                <w:rFonts w:hint="eastAsia" w:ascii="新宋体" w:hAnsi="新宋体" w:eastAsia="新宋体" w:cs="新宋体"/>
                <w:color w:val="auto"/>
                <w:sz w:val="22"/>
                <w:szCs w:val="22"/>
                <w:highlight w:val="none"/>
                <w:lang w:val="en-US" w:eastAsia="zh-CN"/>
              </w:rPr>
              <w:t>不</w:t>
            </w:r>
            <w:r>
              <w:rPr>
                <w:rFonts w:hint="eastAsia" w:ascii="新宋体" w:hAnsi="新宋体" w:eastAsia="新宋体" w:cs="新宋体"/>
                <w:color w:val="auto"/>
                <w:sz w:val="22"/>
                <w:szCs w:val="22"/>
                <w:highlight w:val="none"/>
              </w:rPr>
              <w:t>一致</w:t>
            </w:r>
            <w:r>
              <w:rPr>
                <w:rFonts w:hint="eastAsia" w:ascii="新宋体" w:hAnsi="新宋体" w:eastAsia="新宋体" w:cs="新宋体"/>
                <w:color w:val="auto"/>
                <w:sz w:val="22"/>
                <w:szCs w:val="22"/>
                <w:highlight w:val="none"/>
                <w:lang w:val="en-US" w:eastAsia="zh-CN"/>
              </w:rPr>
              <w:t>扣</w:t>
            </w:r>
            <w:r>
              <w:rPr>
                <w:rFonts w:hint="eastAsia" w:ascii="新宋体" w:hAnsi="新宋体" w:eastAsia="新宋体" w:cs="新宋体"/>
                <w:color w:val="auto"/>
                <w:sz w:val="22"/>
                <w:szCs w:val="22"/>
                <w:highlight w:val="none"/>
              </w:rPr>
              <w:t>0.5分，</w:t>
            </w:r>
            <w:r>
              <w:rPr>
                <w:rFonts w:hint="eastAsia" w:ascii="新宋体" w:hAnsi="新宋体" w:eastAsia="新宋体" w:cs="新宋体"/>
                <w:color w:val="auto"/>
                <w:sz w:val="22"/>
                <w:szCs w:val="22"/>
                <w:highlight w:val="none"/>
                <w:lang w:val="en-US" w:eastAsia="zh-CN"/>
              </w:rPr>
              <w:t>最多1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扣完为止。</w:t>
            </w:r>
          </w:p>
          <w:p w14:paraId="1B5E150E">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④检测报告：每个产品</w:t>
            </w:r>
            <w:r>
              <w:rPr>
                <w:rFonts w:hint="eastAsia" w:ascii="新宋体" w:hAnsi="新宋体" w:eastAsia="新宋体" w:cs="新宋体"/>
                <w:color w:val="auto"/>
                <w:sz w:val="22"/>
                <w:szCs w:val="22"/>
                <w:highlight w:val="none"/>
                <w:lang w:val="zh-CN"/>
              </w:rPr>
              <w:t>提供第三方检测机构出具的CMA检测报告</w:t>
            </w:r>
            <w:r>
              <w:rPr>
                <w:rFonts w:hint="eastAsia" w:ascii="新宋体" w:hAnsi="新宋体" w:eastAsia="新宋体" w:cs="新宋体"/>
                <w:color w:val="auto"/>
                <w:sz w:val="22"/>
                <w:szCs w:val="22"/>
                <w:highlight w:val="none"/>
              </w:rPr>
              <w:t>复印件</w:t>
            </w:r>
            <w:r>
              <w:rPr>
                <w:rFonts w:hint="eastAsia" w:ascii="新宋体" w:hAnsi="新宋体" w:eastAsia="新宋体" w:cs="新宋体"/>
                <w:color w:val="auto"/>
                <w:sz w:val="22"/>
                <w:szCs w:val="22"/>
                <w:highlight w:val="none"/>
                <w:lang w:val="zh-CN"/>
              </w:rPr>
              <w:t>核对，</w:t>
            </w:r>
            <w:r>
              <w:rPr>
                <w:rFonts w:hint="eastAsia" w:ascii="新宋体" w:hAnsi="新宋体" w:eastAsia="新宋体" w:cs="新宋体"/>
                <w:color w:val="auto"/>
                <w:sz w:val="22"/>
                <w:szCs w:val="22"/>
                <w:highlight w:val="none"/>
                <w:lang w:val="en-US" w:eastAsia="zh-CN"/>
              </w:rPr>
              <w:t>每缺一份检测报告扣0.5</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en-US" w:eastAsia="zh-CN"/>
              </w:rPr>
              <w:t>最多2</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扣完为止。</w:t>
            </w:r>
          </w:p>
        </w:tc>
        <w:tc>
          <w:tcPr>
            <w:tcW w:w="783" w:type="dxa"/>
            <w:vAlign w:val="center"/>
          </w:tcPr>
          <w:p w14:paraId="1804AADF">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5</w:t>
            </w:r>
            <w:r>
              <w:rPr>
                <w:rFonts w:hint="eastAsia" w:ascii="新宋体" w:hAnsi="新宋体" w:eastAsia="新宋体" w:cs="新宋体"/>
                <w:color w:val="auto"/>
                <w:sz w:val="22"/>
                <w:szCs w:val="22"/>
                <w:highlight w:val="none"/>
              </w:rPr>
              <w:t>分</w:t>
            </w:r>
          </w:p>
        </w:tc>
      </w:tr>
      <w:tr w14:paraId="2B32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50" w:type="dxa"/>
            <w:vMerge w:val="restart"/>
            <w:vAlign w:val="center"/>
          </w:tcPr>
          <w:p w14:paraId="20D2EE3A">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5</w:t>
            </w:r>
          </w:p>
        </w:tc>
        <w:tc>
          <w:tcPr>
            <w:tcW w:w="1397" w:type="dxa"/>
            <w:vMerge w:val="restart"/>
            <w:vAlign w:val="center"/>
          </w:tcPr>
          <w:p w14:paraId="4AC280A2">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设施巡查</w:t>
            </w:r>
            <w:r>
              <w:rPr>
                <w:rFonts w:hint="eastAsia" w:ascii="新宋体" w:hAnsi="新宋体" w:eastAsia="新宋体" w:cs="新宋体"/>
                <w:color w:val="auto"/>
                <w:sz w:val="22"/>
                <w:szCs w:val="22"/>
                <w:highlight w:val="none"/>
                <w:lang w:val="zh-CN"/>
              </w:rPr>
              <w:t>方案</w:t>
            </w:r>
          </w:p>
        </w:tc>
        <w:tc>
          <w:tcPr>
            <w:tcW w:w="6786" w:type="dxa"/>
            <w:vAlign w:val="center"/>
          </w:tcPr>
          <w:p w14:paraId="2D41147C">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设施巡查</w:t>
            </w:r>
            <w:r>
              <w:rPr>
                <w:rFonts w:hint="eastAsia" w:ascii="新宋体" w:hAnsi="新宋体" w:eastAsia="新宋体" w:cs="新宋体"/>
                <w:color w:val="auto"/>
                <w:sz w:val="22"/>
                <w:szCs w:val="22"/>
                <w:highlight w:val="none"/>
                <w:lang w:val="zh-CN"/>
              </w:rPr>
              <w:t>方案，内容应包含</w:t>
            </w:r>
            <w:r>
              <w:rPr>
                <w:rFonts w:hint="eastAsia" w:ascii="新宋体" w:hAnsi="新宋体" w:eastAsia="新宋体" w:cs="新宋体"/>
                <w:color w:val="auto"/>
                <w:sz w:val="22"/>
                <w:szCs w:val="22"/>
                <w:highlight w:val="none"/>
              </w:rPr>
              <w:t>对区域内交通设施的基础、交通标志、标牌和设施杆件等交通设施的安全检查、设施排查、统计及登记造册</w:t>
            </w:r>
            <w:r>
              <w:rPr>
                <w:rFonts w:hint="eastAsia" w:ascii="新宋体" w:hAnsi="新宋体" w:eastAsia="新宋体" w:cs="新宋体"/>
                <w:color w:val="auto"/>
                <w:sz w:val="22"/>
                <w:szCs w:val="22"/>
                <w:highlight w:val="none"/>
                <w:lang w:val="zh-CN"/>
              </w:rPr>
              <w:t>；巡查后发现问题的处理方案</w:t>
            </w:r>
            <w:r>
              <w:rPr>
                <w:rFonts w:hint="eastAsia" w:ascii="新宋体" w:hAnsi="新宋体" w:eastAsia="新宋体" w:cs="新宋体"/>
                <w:color w:val="auto"/>
                <w:sz w:val="22"/>
                <w:szCs w:val="22"/>
                <w:highlight w:val="none"/>
                <w:lang w:val="en-US" w:eastAsia="zh-CN"/>
              </w:rPr>
              <w:t>进行打分。</w:t>
            </w:r>
            <w:r>
              <w:rPr>
                <w:rFonts w:hint="eastAsia" w:ascii="新宋体" w:hAnsi="新宋体" w:eastAsia="新宋体" w:cs="新宋体"/>
                <w:color w:val="auto"/>
                <w:sz w:val="22"/>
                <w:szCs w:val="22"/>
                <w:highlight w:val="none"/>
                <w:lang w:val="en-US" w:eastAsia="zh-CN"/>
              </w:rPr>
              <w:t>分值范围（4、3、2、1、0分）</w:t>
            </w:r>
          </w:p>
        </w:tc>
        <w:tc>
          <w:tcPr>
            <w:tcW w:w="783" w:type="dxa"/>
            <w:vAlign w:val="center"/>
          </w:tcPr>
          <w:p w14:paraId="601B9FDF">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分</w:t>
            </w:r>
          </w:p>
        </w:tc>
      </w:tr>
      <w:tr w14:paraId="0CF5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750" w:type="dxa"/>
            <w:vMerge w:val="continue"/>
            <w:vAlign w:val="center"/>
          </w:tcPr>
          <w:p w14:paraId="3FF8EE15">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p>
        </w:tc>
        <w:tc>
          <w:tcPr>
            <w:tcW w:w="1397" w:type="dxa"/>
            <w:vMerge w:val="continue"/>
            <w:vAlign w:val="center"/>
          </w:tcPr>
          <w:p w14:paraId="58A5E395">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color w:val="auto"/>
                <w:sz w:val="22"/>
                <w:szCs w:val="22"/>
                <w:highlight w:val="none"/>
              </w:rPr>
            </w:pPr>
          </w:p>
        </w:tc>
        <w:tc>
          <w:tcPr>
            <w:tcW w:w="6786" w:type="dxa"/>
            <w:vAlign w:val="center"/>
          </w:tcPr>
          <w:p w14:paraId="2DB19E53">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default" w:ascii="新宋体" w:hAnsi="新宋体" w:eastAsia="新宋体" w:cs="新宋体"/>
                <w:color w:val="auto"/>
                <w:sz w:val="22"/>
                <w:szCs w:val="22"/>
                <w:highlight w:val="none"/>
                <w:lang w:val="en-US"/>
              </w:rPr>
            </w:pPr>
            <w:r>
              <w:rPr>
                <w:rFonts w:hint="eastAsia" w:ascii="新宋体" w:hAnsi="新宋体" w:eastAsia="新宋体" w:cs="新宋体"/>
                <w:color w:val="auto"/>
                <w:sz w:val="22"/>
                <w:szCs w:val="22"/>
                <w:highlight w:val="none"/>
                <w:lang w:val="zh-CN"/>
              </w:rPr>
              <w:t>●车辆须提供车辆</w:t>
            </w:r>
            <w:r>
              <w:rPr>
                <w:rFonts w:hint="eastAsia" w:ascii="新宋体" w:hAnsi="新宋体" w:eastAsia="新宋体" w:cs="新宋体"/>
                <w:color w:val="auto"/>
                <w:kern w:val="2"/>
                <w:sz w:val="22"/>
                <w:szCs w:val="22"/>
                <w:highlight w:val="none"/>
                <w:lang w:val="zh-CN" w:eastAsia="zh-CN" w:bidi="ar"/>
              </w:rPr>
              <w:t>车载定位服务协议</w:t>
            </w:r>
            <w:r>
              <w:rPr>
                <w:rFonts w:hint="eastAsia" w:ascii="新宋体" w:hAnsi="新宋体" w:eastAsia="新宋体" w:cs="新宋体"/>
                <w:color w:val="auto"/>
                <w:kern w:val="2"/>
                <w:sz w:val="22"/>
                <w:szCs w:val="22"/>
                <w:highlight w:val="none"/>
                <w:lang w:val="en-US" w:eastAsia="zh-CN" w:bidi="ar"/>
              </w:rPr>
              <w:t>以及车辆GPS运行平台，需要具备以下功能：</w:t>
            </w:r>
            <w:r>
              <w:rPr>
                <w:rFonts w:hint="eastAsia" w:ascii="新宋体" w:hAnsi="新宋体" w:eastAsia="新宋体" w:cs="新宋体"/>
                <w:color w:val="auto"/>
                <w:sz w:val="22"/>
                <w:szCs w:val="22"/>
                <w:highlight w:val="none"/>
              </w:rPr>
              <w:t>①</w:t>
            </w:r>
            <w:r>
              <w:rPr>
                <w:rFonts w:hint="eastAsia" w:ascii="新宋体" w:hAnsi="新宋体" w:eastAsia="新宋体" w:cs="新宋体"/>
                <w:color w:val="auto"/>
                <w:sz w:val="22"/>
                <w:szCs w:val="22"/>
                <w:highlight w:val="none"/>
                <w:lang w:eastAsia="zh-CN"/>
              </w:rPr>
              <w:t>安全驾驶管理</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0.5</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②</w:t>
            </w:r>
            <w:r>
              <w:rPr>
                <w:rFonts w:hint="eastAsia" w:ascii="新宋体" w:hAnsi="新宋体" w:eastAsia="新宋体" w:cs="新宋体"/>
                <w:color w:val="auto"/>
                <w:sz w:val="22"/>
                <w:szCs w:val="22"/>
                <w:highlight w:val="none"/>
                <w:lang w:eastAsia="zh-CN"/>
              </w:rPr>
              <w:t>报警配置</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0.5</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③</w:t>
            </w:r>
            <w:r>
              <w:rPr>
                <w:rFonts w:hint="eastAsia" w:ascii="新宋体" w:hAnsi="新宋体" w:eastAsia="新宋体" w:cs="新宋体"/>
                <w:color w:val="auto"/>
                <w:sz w:val="22"/>
                <w:szCs w:val="22"/>
                <w:highlight w:val="none"/>
                <w:lang w:eastAsia="zh-CN"/>
              </w:rPr>
              <w:t>运营数据分析</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0.5</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④</w:t>
            </w:r>
            <w:r>
              <w:rPr>
                <w:rFonts w:hint="eastAsia" w:ascii="新宋体" w:hAnsi="新宋体" w:eastAsia="新宋体" w:cs="新宋体"/>
                <w:color w:val="auto"/>
                <w:sz w:val="22"/>
                <w:szCs w:val="22"/>
                <w:highlight w:val="none"/>
                <w:lang w:eastAsia="zh-CN"/>
              </w:rPr>
              <w:t>车辆运行监控</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0.5</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kern w:val="2"/>
                <w:sz w:val="22"/>
                <w:szCs w:val="22"/>
                <w:highlight w:val="none"/>
                <w:lang w:val="en-US" w:eastAsia="zh-CN" w:bidi="ar"/>
              </w:rPr>
              <w:t>,</w:t>
            </w:r>
            <w:r>
              <w:rPr>
                <w:rFonts w:hint="eastAsia" w:ascii="新宋体" w:hAnsi="新宋体" w:eastAsia="新宋体" w:cs="新宋体"/>
                <w:color w:val="auto"/>
                <w:sz w:val="22"/>
                <w:szCs w:val="22"/>
                <w:highlight w:val="none"/>
                <w:lang w:val="zh-CN"/>
              </w:rPr>
              <w:t>最高</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lang w:val="zh-CN"/>
              </w:rPr>
              <w:t>分。</w:t>
            </w:r>
            <w:r>
              <w:rPr>
                <w:rFonts w:hint="eastAsia" w:ascii="新宋体" w:hAnsi="新宋体" w:eastAsia="新宋体" w:cs="新宋体"/>
                <w:color w:val="auto"/>
                <w:sz w:val="22"/>
                <w:szCs w:val="22"/>
                <w:highlight w:val="none"/>
                <w:lang w:val="en-US" w:eastAsia="zh-CN"/>
              </w:rPr>
              <w:t>注：GPS</w:t>
            </w:r>
            <w:r>
              <w:rPr>
                <w:rFonts w:hint="eastAsia" w:ascii="新宋体" w:hAnsi="新宋体" w:eastAsia="新宋体" w:cs="新宋体"/>
                <w:color w:val="auto"/>
                <w:sz w:val="22"/>
                <w:szCs w:val="22"/>
                <w:highlight w:val="none"/>
              </w:rPr>
              <w:t>系统</w:t>
            </w:r>
            <w:r>
              <w:rPr>
                <w:rFonts w:hint="eastAsia" w:ascii="新宋体" w:hAnsi="新宋体" w:eastAsia="新宋体" w:cs="新宋体"/>
                <w:color w:val="auto"/>
                <w:sz w:val="22"/>
                <w:szCs w:val="22"/>
                <w:highlight w:val="none"/>
                <w:lang w:val="en-US" w:eastAsia="zh-CN"/>
              </w:rPr>
              <w:t>需提供平台运行视频展示，视频存入U盘，开标当天投标文件递交截止时间前密封递交。</w:t>
            </w:r>
          </w:p>
        </w:tc>
        <w:tc>
          <w:tcPr>
            <w:tcW w:w="783" w:type="dxa"/>
            <w:vAlign w:val="center"/>
          </w:tcPr>
          <w:p w14:paraId="22B6A990">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2分</w:t>
            </w:r>
          </w:p>
        </w:tc>
      </w:tr>
      <w:tr w14:paraId="3490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Align w:val="center"/>
          </w:tcPr>
          <w:p w14:paraId="1E482905">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6</w:t>
            </w:r>
          </w:p>
        </w:tc>
        <w:tc>
          <w:tcPr>
            <w:tcW w:w="1397" w:type="dxa"/>
            <w:vAlign w:val="center"/>
          </w:tcPr>
          <w:p w14:paraId="7C57DE08">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应急方案</w:t>
            </w:r>
          </w:p>
        </w:tc>
        <w:tc>
          <w:tcPr>
            <w:tcW w:w="6786" w:type="dxa"/>
            <w:vAlign w:val="center"/>
          </w:tcPr>
          <w:p w14:paraId="098257C1">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●投标人所投项目应急方案</w:t>
            </w: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提供</w:t>
            </w:r>
            <w:r>
              <w:rPr>
                <w:rFonts w:hint="eastAsia" w:ascii="新宋体" w:hAnsi="新宋体" w:eastAsia="新宋体" w:cs="新宋体"/>
                <w:color w:val="auto"/>
                <w:sz w:val="22"/>
                <w:szCs w:val="22"/>
                <w:highlight w:val="none"/>
                <w:lang w:val="zh-CN"/>
              </w:rPr>
              <w:t>投标</w:t>
            </w:r>
            <w:r>
              <w:rPr>
                <w:rFonts w:hint="eastAsia" w:ascii="新宋体" w:hAnsi="新宋体" w:eastAsia="新宋体" w:cs="新宋体"/>
                <w:color w:val="auto"/>
                <w:sz w:val="22"/>
                <w:szCs w:val="22"/>
                <w:highlight w:val="none"/>
              </w:rPr>
              <w:t>人</w:t>
            </w:r>
            <w:r>
              <w:rPr>
                <w:rFonts w:hint="eastAsia" w:ascii="新宋体" w:hAnsi="新宋体" w:eastAsia="新宋体" w:cs="新宋体"/>
                <w:color w:val="auto"/>
                <w:sz w:val="22"/>
                <w:szCs w:val="22"/>
                <w:highlight w:val="none"/>
                <w:lang w:val="zh-CN"/>
              </w:rPr>
              <w:t>的维护机构</w:t>
            </w:r>
            <w:r>
              <w:rPr>
                <w:rFonts w:hint="eastAsia" w:ascii="新宋体" w:hAnsi="新宋体" w:eastAsia="新宋体" w:cs="新宋体"/>
                <w:color w:val="auto"/>
                <w:sz w:val="22"/>
                <w:szCs w:val="22"/>
                <w:highlight w:val="none"/>
              </w:rPr>
              <w:t>出发至应急地方大致的响应时间及应急处理的措施流程</w:t>
            </w:r>
            <w:r>
              <w:rPr>
                <w:rFonts w:hint="eastAsia" w:ascii="新宋体" w:hAnsi="新宋体" w:eastAsia="新宋体" w:cs="新宋体"/>
                <w:color w:val="auto"/>
                <w:sz w:val="22"/>
                <w:szCs w:val="22"/>
                <w:highlight w:val="none"/>
                <w:lang w:val="en-US" w:eastAsia="zh-CN"/>
              </w:rPr>
              <w:t>进行打分。</w:t>
            </w:r>
            <w:r>
              <w:rPr>
                <w:rFonts w:hint="eastAsia" w:ascii="新宋体" w:hAnsi="新宋体" w:eastAsia="新宋体" w:cs="新宋体"/>
                <w:color w:val="auto"/>
                <w:sz w:val="22"/>
                <w:szCs w:val="22"/>
                <w:highlight w:val="none"/>
                <w:lang w:val="en-US" w:eastAsia="zh-CN"/>
              </w:rPr>
              <w:t>分值范围（3、2、1、0分）</w:t>
            </w:r>
          </w:p>
        </w:tc>
        <w:tc>
          <w:tcPr>
            <w:tcW w:w="783" w:type="dxa"/>
            <w:vAlign w:val="center"/>
          </w:tcPr>
          <w:p w14:paraId="7064E46F">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分</w:t>
            </w:r>
          </w:p>
        </w:tc>
      </w:tr>
      <w:tr w14:paraId="280E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trPr>
        <w:tc>
          <w:tcPr>
            <w:tcW w:w="750" w:type="dxa"/>
            <w:vMerge w:val="restart"/>
            <w:vAlign w:val="center"/>
          </w:tcPr>
          <w:p w14:paraId="0B0003FC">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7</w:t>
            </w:r>
          </w:p>
        </w:tc>
        <w:tc>
          <w:tcPr>
            <w:tcW w:w="1397" w:type="dxa"/>
            <w:vMerge w:val="restart"/>
            <w:vAlign w:val="center"/>
          </w:tcPr>
          <w:p w14:paraId="520BAE8B">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备品备件</w:t>
            </w:r>
          </w:p>
        </w:tc>
        <w:tc>
          <w:tcPr>
            <w:tcW w:w="6786" w:type="dxa"/>
            <w:vAlign w:val="center"/>
          </w:tcPr>
          <w:p w14:paraId="533AB154">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●提供的备品备件库满足采购需求的得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分，不满足不得分，最高得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val="zh-CN"/>
              </w:rPr>
              <w:t>（提供产权证明（产权为</w:t>
            </w:r>
            <w:r>
              <w:rPr>
                <w:rFonts w:hint="eastAsia" w:ascii="新宋体" w:hAnsi="新宋体" w:eastAsia="新宋体" w:cs="新宋体"/>
                <w:color w:val="auto"/>
                <w:sz w:val="22"/>
                <w:szCs w:val="22"/>
                <w:highlight w:val="none"/>
              </w:rPr>
              <w:t>投标人</w:t>
            </w:r>
            <w:r>
              <w:rPr>
                <w:rFonts w:hint="eastAsia" w:ascii="新宋体" w:hAnsi="新宋体" w:eastAsia="新宋体" w:cs="新宋体"/>
                <w:color w:val="auto"/>
                <w:sz w:val="22"/>
                <w:szCs w:val="22"/>
                <w:highlight w:val="none"/>
                <w:lang w:val="zh-CN"/>
              </w:rPr>
              <w:t>所有的提供产权证，如非</w:t>
            </w:r>
            <w:r>
              <w:rPr>
                <w:rFonts w:hint="eastAsia" w:ascii="新宋体" w:hAnsi="新宋体" w:eastAsia="新宋体" w:cs="新宋体"/>
                <w:color w:val="auto"/>
                <w:sz w:val="22"/>
                <w:szCs w:val="22"/>
                <w:highlight w:val="none"/>
              </w:rPr>
              <w:t>投标人</w:t>
            </w:r>
            <w:r>
              <w:rPr>
                <w:rFonts w:hint="eastAsia" w:ascii="新宋体" w:hAnsi="新宋体" w:eastAsia="新宋体" w:cs="新宋体"/>
                <w:color w:val="auto"/>
                <w:sz w:val="22"/>
                <w:szCs w:val="22"/>
                <w:highlight w:val="none"/>
                <w:lang w:val="zh-CN"/>
              </w:rPr>
              <w:t>所有的，提供</w:t>
            </w:r>
            <w:r>
              <w:rPr>
                <w:rFonts w:hint="eastAsia" w:ascii="新宋体" w:hAnsi="新宋体" w:eastAsia="新宋体" w:cs="新宋体"/>
                <w:color w:val="auto"/>
                <w:sz w:val="22"/>
                <w:szCs w:val="22"/>
                <w:highlight w:val="none"/>
                <w:lang w:val="en-US" w:eastAsia="zh-CN"/>
              </w:rPr>
              <w:t>使用证明</w:t>
            </w:r>
            <w:r>
              <w:rPr>
                <w:rFonts w:hint="eastAsia" w:ascii="新宋体" w:hAnsi="新宋体" w:eastAsia="新宋体" w:cs="新宋体"/>
                <w:color w:val="auto"/>
                <w:sz w:val="22"/>
                <w:szCs w:val="22"/>
                <w:highlight w:val="none"/>
              </w:rPr>
              <w:t>或</w:t>
            </w:r>
            <w:r>
              <w:rPr>
                <w:rFonts w:hint="eastAsia" w:ascii="新宋体" w:hAnsi="新宋体" w:eastAsia="新宋体" w:cs="新宋体"/>
                <w:color w:val="auto"/>
                <w:sz w:val="22"/>
                <w:szCs w:val="22"/>
                <w:highlight w:val="none"/>
                <w:lang w:val="zh-CN"/>
              </w:rPr>
              <w:t>租赁合同复印件</w:t>
            </w:r>
            <w:r>
              <w:rPr>
                <w:rFonts w:hint="eastAsia" w:ascii="新宋体" w:hAnsi="新宋体" w:eastAsia="新宋体" w:cs="新宋体"/>
                <w:color w:val="auto"/>
                <w:sz w:val="22"/>
                <w:szCs w:val="22"/>
                <w:highlight w:val="none"/>
              </w:rPr>
              <w:t>及租赁发票</w:t>
            </w:r>
            <w:r>
              <w:rPr>
                <w:rFonts w:hint="eastAsia" w:ascii="新宋体" w:hAnsi="新宋体" w:eastAsia="新宋体" w:cs="新宋体"/>
                <w:color w:val="auto"/>
                <w:sz w:val="22"/>
                <w:szCs w:val="22"/>
                <w:highlight w:val="none"/>
                <w:lang w:val="zh-CN"/>
              </w:rPr>
              <w:t>复印件且租赁期长于</w:t>
            </w:r>
            <w:r>
              <w:rPr>
                <w:rFonts w:hint="eastAsia" w:ascii="新宋体" w:hAnsi="新宋体" w:eastAsia="新宋体" w:cs="新宋体"/>
                <w:color w:val="auto"/>
                <w:sz w:val="22"/>
                <w:szCs w:val="22"/>
                <w:highlight w:val="none"/>
              </w:rPr>
              <w:t>本项目</w:t>
            </w:r>
            <w:r>
              <w:rPr>
                <w:rFonts w:hint="eastAsia" w:ascii="新宋体" w:hAnsi="新宋体" w:eastAsia="新宋体" w:cs="新宋体"/>
                <w:color w:val="auto"/>
                <w:sz w:val="22"/>
                <w:szCs w:val="22"/>
                <w:highlight w:val="none"/>
                <w:lang w:val="zh-CN"/>
              </w:rPr>
              <w:t>服务期相关证明材料</w:t>
            </w:r>
            <w:r>
              <w:rPr>
                <w:rFonts w:hint="eastAsia" w:ascii="新宋体" w:hAnsi="新宋体" w:eastAsia="新宋体" w:cs="新宋体"/>
                <w:color w:val="auto"/>
                <w:sz w:val="22"/>
                <w:szCs w:val="22"/>
                <w:highlight w:val="none"/>
              </w:rPr>
              <w:t>等</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如无产权证及租赁协议的，须提供有关政府部门的场地使用证明材料</w:t>
            </w:r>
            <w:r>
              <w:rPr>
                <w:rFonts w:hint="eastAsia" w:ascii="新宋体" w:hAnsi="新宋体" w:eastAsia="新宋体" w:cs="新宋体"/>
                <w:color w:val="auto"/>
                <w:sz w:val="22"/>
                <w:szCs w:val="22"/>
                <w:highlight w:val="none"/>
                <w:lang w:val="zh-CN"/>
              </w:rPr>
              <w:t>））；</w:t>
            </w:r>
          </w:p>
        </w:tc>
        <w:tc>
          <w:tcPr>
            <w:tcW w:w="783" w:type="dxa"/>
            <w:vAlign w:val="center"/>
          </w:tcPr>
          <w:p w14:paraId="5561AC16">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p>
        </w:tc>
      </w:tr>
      <w:tr w14:paraId="165D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50" w:type="dxa"/>
            <w:vMerge w:val="continue"/>
            <w:vAlign w:val="center"/>
          </w:tcPr>
          <w:p w14:paraId="61413A8C">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p>
        </w:tc>
        <w:tc>
          <w:tcPr>
            <w:tcW w:w="1397" w:type="dxa"/>
            <w:vMerge w:val="continue"/>
            <w:vAlign w:val="center"/>
          </w:tcPr>
          <w:p w14:paraId="1C316C7B">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color w:val="auto"/>
                <w:sz w:val="22"/>
                <w:szCs w:val="22"/>
                <w:highlight w:val="none"/>
              </w:rPr>
            </w:pPr>
          </w:p>
        </w:tc>
        <w:tc>
          <w:tcPr>
            <w:tcW w:w="6786" w:type="dxa"/>
            <w:vAlign w:val="center"/>
          </w:tcPr>
          <w:p w14:paraId="76CE9980">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提供相应方案，承诺</w:t>
            </w:r>
            <w:r>
              <w:rPr>
                <w:rFonts w:hint="eastAsia" w:ascii="新宋体" w:hAnsi="新宋体" w:eastAsia="新宋体" w:cs="新宋体"/>
                <w:color w:val="auto"/>
                <w:sz w:val="22"/>
                <w:szCs w:val="22"/>
                <w:highlight w:val="none"/>
              </w:rPr>
              <w:t>在6小时内提供必要的备品备件，满足采购需求得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分，不满足的不得分，最高得1分</w:t>
            </w:r>
            <w:r>
              <w:rPr>
                <w:rFonts w:hint="eastAsia" w:ascii="新宋体" w:hAnsi="新宋体" w:eastAsia="新宋体" w:cs="新宋体"/>
                <w:color w:val="auto"/>
                <w:sz w:val="22"/>
                <w:szCs w:val="22"/>
                <w:highlight w:val="none"/>
                <w:lang w:eastAsia="zh-CN"/>
              </w:rPr>
              <w:t>。</w:t>
            </w:r>
          </w:p>
        </w:tc>
        <w:tc>
          <w:tcPr>
            <w:tcW w:w="783" w:type="dxa"/>
            <w:vAlign w:val="center"/>
          </w:tcPr>
          <w:p w14:paraId="77AAF939">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1分</w:t>
            </w:r>
          </w:p>
        </w:tc>
      </w:tr>
      <w:tr w14:paraId="3FE7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Merge w:val="continue"/>
            <w:vAlign w:val="center"/>
          </w:tcPr>
          <w:p w14:paraId="15DFC97C">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p>
        </w:tc>
        <w:tc>
          <w:tcPr>
            <w:tcW w:w="1397" w:type="dxa"/>
            <w:vMerge w:val="continue"/>
            <w:vAlign w:val="center"/>
          </w:tcPr>
          <w:p w14:paraId="5ED8EA66">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color w:val="auto"/>
                <w:sz w:val="22"/>
                <w:szCs w:val="22"/>
                <w:highlight w:val="none"/>
              </w:rPr>
            </w:pPr>
          </w:p>
        </w:tc>
        <w:tc>
          <w:tcPr>
            <w:tcW w:w="6786" w:type="dxa"/>
            <w:vAlign w:val="center"/>
          </w:tcPr>
          <w:p w14:paraId="0B754693">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eastAsia="zh-CN"/>
              </w:rPr>
              <w:t>需对</w:t>
            </w:r>
            <w:r>
              <w:rPr>
                <w:rFonts w:hint="eastAsia" w:ascii="新宋体" w:hAnsi="新宋体" w:eastAsia="新宋体" w:cs="新宋体"/>
                <w:color w:val="auto"/>
                <w:sz w:val="22"/>
                <w:szCs w:val="22"/>
                <w:highlight w:val="none"/>
                <w:lang w:val="en-US" w:eastAsia="zh-CN"/>
              </w:rPr>
              <w:t>杆件、标志牌等高价值设施</w:t>
            </w:r>
            <w:r>
              <w:rPr>
                <w:rFonts w:hint="eastAsia" w:ascii="新宋体" w:hAnsi="新宋体" w:eastAsia="新宋体" w:cs="新宋体"/>
                <w:color w:val="auto"/>
                <w:sz w:val="22"/>
                <w:szCs w:val="22"/>
                <w:highlight w:val="none"/>
                <w:lang w:eastAsia="zh-CN"/>
              </w:rPr>
              <w:t>设置</w:t>
            </w:r>
            <w:r>
              <w:rPr>
                <w:rFonts w:hint="eastAsia" w:ascii="新宋体" w:hAnsi="新宋体" w:eastAsia="新宋体" w:cs="新宋体"/>
                <w:color w:val="auto"/>
                <w:sz w:val="22"/>
                <w:szCs w:val="22"/>
                <w:highlight w:val="none"/>
                <w:lang w:val="en-US" w:eastAsia="zh-CN"/>
              </w:rPr>
              <w:t>RFID电子标签，同时提供对应资产设备管理平台的</w:t>
            </w:r>
            <w:r>
              <w:rPr>
                <w:rFonts w:hint="eastAsia" w:ascii="新宋体" w:hAnsi="新宋体" w:eastAsia="新宋体" w:cs="新宋体"/>
                <w:color w:val="auto"/>
                <w:sz w:val="22"/>
                <w:szCs w:val="22"/>
                <w:highlight w:val="none"/>
              </w:rPr>
              <w:t>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分，不满足的不得分，最高得</w:t>
            </w:r>
            <w:r>
              <w:rPr>
                <w:rFonts w:hint="eastAsia" w:ascii="新宋体" w:hAnsi="新宋体" w:eastAsia="新宋体" w:cs="新宋体"/>
                <w:color w:val="auto"/>
                <w:sz w:val="22"/>
                <w:szCs w:val="22"/>
                <w:highlight w:val="none"/>
                <w:lang w:eastAsia="zh-CN"/>
              </w:rPr>
              <w:t>2</w:t>
            </w:r>
            <w:r>
              <w:rPr>
                <w:rFonts w:hint="eastAsia" w:ascii="新宋体" w:hAnsi="新宋体" w:eastAsia="新宋体" w:cs="新宋体"/>
                <w:color w:val="auto"/>
                <w:sz w:val="22"/>
                <w:szCs w:val="22"/>
                <w:highlight w:val="none"/>
              </w:rPr>
              <w:t>分</w:t>
            </w:r>
          </w:p>
        </w:tc>
        <w:tc>
          <w:tcPr>
            <w:tcW w:w="783" w:type="dxa"/>
            <w:vAlign w:val="center"/>
          </w:tcPr>
          <w:p w14:paraId="140EFEC2">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2分</w:t>
            </w:r>
          </w:p>
        </w:tc>
      </w:tr>
      <w:tr w14:paraId="29FA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Align w:val="center"/>
          </w:tcPr>
          <w:p w14:paraId="0187D394">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8</w:t>
            </w:r>
          </w:p>
        </w:tc>
        <w:tc>
          <w:tcPr>
            <w:tcW w:w="1397" w:type="dxa"/>
            <w:vAlign w:val="center"/>
          </w:tcPr>
          <w:p w14:paraId="15217EA2">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质量保证措施</w:t>
            </w:r>
          </w:p>
        </w:tc>
        <w:tc>
          <w:tcPr>
            <w:tcW w:w="6786" w:type="dxa"/>
            <w:vAlign w:val="center"/>
          </w:tcPr>
          <w:p w14:paraId="2247EC88">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 投标人承诺：①明确的质量目标</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②质量保证措施</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③提供质量保证承诺书等。每项满足采购需求的得1分，不满足不得分。本项最高得3分。</w:t>
            </w:r>
          </w:p>
        </w:tc>
        <w:tc>
          <w:tcPr>
            <w:tcW w:w="783" w:type="dxa"/>
            <w:vAlign w:val="center"/>
          </w:tcPr>
          <w:p w14:paraId="5AB0C16D">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3分</w:t>
            </w:r>
          </w:p>
        </w:tc>
      </w:tr>
      <w:tr w14:paraId="2F75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Align w:val="center"/>
          </w:tcPr>
          <w:p w14:paraId="1579FFDE">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9</w:t>
            </w:r>
          </w:p>
        </w:tc>
        <w:tc>
          <w:tcPr>
            <w:tcW w:w="1397" w:type="dxa"/>
            <w:vAlign w:val="center"/>
          </w:tcPr>
          <w:p w14:paraId="74394367">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售后服务要求</w:t>
            </w:r>
          </w:p>
        </w:tc>
        <w:tc>
          <w:tcPr>
            <w:tcW w:w="6786" w:type="dxa"/>
            <w:vAlign w:val="center"/>
          </w:tcPr>
          <w:p w14:paraId="41B71C46">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rPr>
              <w:t>●根据投标人服务机构的便利性，售后服务技术力量、设备设施配置等</w:t>
            </w:r>
            <w:r>
              <w:rPr>
                <w:rFonts w:hint="eastAsia" w:ascii="新宋体" w:hAnsi="新宋体" w:eastAsia="新宋体" w:cs="新宋体"/>
                <w:color w:val="auto"/>
                <w:sz w:val="22"/>
                <w:szCs w:val="22"/>
                <w:highlight w:val="none"/>
                <w:lang w:val="en-US" w:eastAsia="zh-CN"/>
              </w:rPr>
              <w:t>情况进行打分</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分值范围（4、3、2、1、0分）</w:t>
            </w:r>
          </w:p>
        </w:tc>
        <w:tc>
          <w:tcPr>
            <w:tcW w:w="783" w:type="dxa"/>
            <w:vAlign w:val="center"/>
          </w:tcPr>
          <w:p w14:paraId="1BF16B33">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分</w:t>
            </w:r>
          </w:p>
        </w:tc>
      </w:tr>
      <w:tr w14:paraId="18E3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8" w:hRule="atLeast"/>
        </w:trPr>
        <w:tc>
          <w:tcPr>
            <w:tcW w:w="750" w:type="dxa"/>
            <w:vAlign w:val="center"/>
          </w:tcPr>
          <w:p w14:paraId="77819718">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10</w:t>
            </w:r>
          </w:p>
        </w:tc>
        <w:tc>
          <w:tcPr>
            <w:tcW w:w="1397" w:type="dxa"/>
            <w:vAlign w:val="center"/>
          </w:tcPr>
          <w:p w14:paraId="7724B879">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zh-CN"/>
              </w:rPr>
              <w:t>人员情况</w:t>
            </w:r>
          </w:p>
        </w:tc>
        <w:tc>
          <w:tcPr>
            <w:tcW w:w="6786" w:type="dxa"/>
            <w:vAlign w:val="center"/>
          </w:tcPr>
          <w:p w14:paraId="6CD57C92">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zh-CN"/>
              </w:rPr>
            </w:pPr>
            <w:r>
              <w:rPr>
                <w:rFonts w:hint="eastAsia" w:ascii="新宋体" w:hAnsi="新宋体" w:eastAsia="新宋体" w:cs="新宋体"/>
                <w:color w:val="auto"/>
                <w:sz w:val="22"/>
                <w:szCs w:val="22"/>
                <w:highlight w:val="none"/>
                <w:lang w:val="zh-CN"/>
              </w:rPr>
              <w:t>针对本项目的人员</w:t>
            </w:r>
            <w:r>
              <w:rPr>
                <w:rFonts w:hint="eastAsia" w:ascii="新宋体" w:hAnsi="新宋体" w:eastAsia="新宋体" w:cs="新宋体"/>
                <w:color w:val="auto"/>
                <w:sz w:val="22"/>
                <w:szCs w:val="22"/>
                <w:highlight w:val="none"/>
              </w:rPr>
              <w:t>要求</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u w:val="single"/>
                <w:lang w:val="en-US" w:eastAsia="zh-CN"/>
              </w:rPr>
              <w:t>最低标准人数</w:t>
            </w:r>
            <w:r>
              <w:rPr>
                <w:rFonts w:hint="eastAsia" w:ascii="新宋体" w:hAnsi="新宋体" w:eastAsia="新宋体" w:cs="新宋体"/>
                <w:color w:val="auto"/>
                <w:sz w:val="22"/>
                <w:szCs w:val="22"/>
                <w:highlight w:val="none"/>
                <w:u w:val="single"/>
              </w:rPr>
              <w:t>各标项人员不能重复</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zh-CN"/>
              </w:rPr>
              <w:t>：</w:t>
            </w:r>
          </w:p>
          <w:p w14:paraId="002D7D68">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拟担任本项目项目负责人的技术能力、经验等情况</w:t>
            </w:r>
            <w:r>
              <w:rPr>
                <w:rFonts w:hint="eastAsia" w:ascii="新宋体" w:hAnsi="新宋体" w:eastAsia="新宋体" w:cs="新宋体"/>
                <w:color w:val="auto"/>
                <w:sz w:val="22"/>
                <w:szCs w:val="22"/>
                <w:highlight w:val="none"/>
                <w:lang w:val="zh-CN"/>
              </w:rPr>
              <w:t>。①</w:t>
            </w:r>
            <w:r>
              <w:rPr>
                <w:rFonts w:hint="eastAsia" w:ascii="新宋体" w:hAnsi="新宋体" w:eastAsia="新宋体" w:cs="新宋体"/>
                <w:color w:val="auto"/>
                <w:sz w:val="22"/>
                <w:szCs w:val="22"/>
                <w:highlight w:val="none"/>
              </w:rPr>
              <w:t>具有二级建造师及以上职称</w:t>
            </w:r>
            <w:r>
              <w:rPr>
                <w:rFonts w:hint="eastAsia" w:ascii="新宋体" w:hAnsi="新宋体" w:eastAsia="新宋体" w:cs="新宋体"/>
                <w:color w:val="auto"/>
                <w:sz w:val="22"/>
                <w:szCs w:val="22"/>
                <w:highlight w:val="none"/>
                <w:lang w:val="zh-CN"/>
              </w:rPr>
              <w:t>得</w:t>
            </w:r>
            <w:r>
              <w:rPr>
                <w:rFonts w:hint="eastAsia" w:ascii="新宋体" w:hAnsi="新宋体" w:eastAsia="新宋体" w:cs="新宋体"/>
                <w:color w:val="auto"/>
                <w:sz w:val="22"/>
                <w:szCs w:val="22"/>
                <w:highlight w:val="none"/>
              </w:rPr>
              <w:t>3分，</w:t>
            </w:r>
            <w:r>
              <w:rPr>
                <w:rFonts w:hint="eastAsia" w:ascii="新宋体" w:hAnsi="新宋体" w:eastAsia="新宋体" w:cs="新宋体"/>
                <w:color w:val="auto"/>
                <w:sz w:val="22"/>
                <w:szCs w:val="22"/>
                <w:highlight w:val="none"/>
                <w:lang w:val="zh-CN"/>
              </w:rPr>
              <w:t>不</w:t>
            </w:r>
            <w:r>
              <w:rPr>
                <w:rFonts w:hint="eastAsia" w:ascii="新宋体" w:hAnsi="新宋体" w:eastAsia="新宋体" w:cs="新宋体"/>
                <w:color w:val="auto"/>
                <w:sz w:val="22"/>
                <w:szCs w:val="22"/>
                <w:highlight w:val="none"/>
              </w:rPr>
              <w:t>提供</w:t>
            </w:r>
            <w:r>
              <w:rPr>
                <w:rFonts w:hint="eastAsia" w:ascii="新宋体" w:hAnsi="新宋体" w:eastAsia="新宋体" w:cs="新宋体"/>
                <w:color w:val="auto"/>
                <w:sz w:val="22"/>
                <w:szCs w:val="22"/>
                <w:highlight w:val="none"/>
                <w:lang w:val="zh-CN"/>
              </w:rPr>
              <w:t>不得分。②</w:t>
            </w:r>
            <w:r>
              <w:rPr>
                <w:rFonts w:hint="eastAsia" w:ascii="新宋体" w:hAnsi="新宋体" w:eastAsia="新宋体" w:cs="新宋体"/>
                <w:color w:val="auto"/>
                <w:sz w:val="22"/>
                <w:szCs w:val="22"/>
                <w:highlight w:val="none"/>
              </w:rPr>
              <w:t>具有交通设施项目经验。（需提供项目合同（项目合同如不能体现项目负责人信息需同时提供业主证明材料）提供得3分，不提供不得分。本项最高得6分</w:t>
            </w:r>
            <w:r>
              <w:rPr>
                <w:rFonts w:hint="eastAsia" w:ascii="新宋体" w:hAnsi="新宋体" w:eastAsia="新宋体" w:cs="新宋体"/>
                <w:color w:val="auto"/>
                <w:sz w:val="22"/>
                <w:szCs w:val="22"/>
                <w:highlight w:val="none"/>
                <w:lang w:eastAsia="zh-CN"/>
              </w:rPr>
              <w:t>。</w:t>
            </w:r>
          </w:p>
          <w:p w14:paraId="55C8BBDF">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color w:val="auto"/>
                <w:sz w:val="22"/>
                <w:szCs w:val="22"/>
                <w:highlight w:val="none"/>
                <w:lang w:val="zh-CN" w:eastAsia="zh-CN"/>
              </w:rPr>
            </w:pP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拟担任本项目</w:t>
            </w:r>
            <w:r>
              <w:rPr>
                <w:rFonts w:hint="eastAsia" w:ascii="新宋体" w:hAnsi="新宋体" w:eastAsia="新宋体" w:cs="新宋体"/>
                <w:color w:val="auto"/>
                <w:sz w:val="22"/>
                <w:szCs w:val="22"/>
                <w:highlight w:val="none"/>
                <w:lang w:eastAsia="zh-CN"/>
              </w:rPr>
              <w:t>专职</w:t>
            </w:r>
            <w:r>
              <w:rPr>
                <w:rFonts w:hint="eastAsia" w:ascii="新宋体" w:hAnsi="新宋体" w:eastAsia="新宋体" w:cs="新宋体"/>
                <w:color w:val="auto"/>
                <w:sz w:val="22"/>
                <w:szCs w:val="22"/>
                <w:highlight w:val="none"/>
              </w:rPr>
              <w:t>人员的经验等情况</w:t>
            </w:r>
            <w:r>
              <w:rPr>
                <w:rFonts w:hint="eastAsia" w:ascii="新宋体" w:hAnsi="新宋体" w:eastAsia="新宋体" w:cs="新宋体"/>
                <w:color w:val="auto"/>
                <w:sz w:val="22"/>
                <w:szCs w:val="22"/>
                <w:highlight w:val="none"/>
                <w:lang w:val="zh-CN"/>
              </w:rPr>
              <w:t>。①</w:t>
            </w:r>
            <w:r>
              <w:rPr>
                <w:rFonts w:hint="eastAsia" w:ascii="新宋体" w:hAnsi="新宋体" w:eastAsia="新宋体" w:cs="新宋体"/>
                <w:color w:val="auto"/>
                <w:sz w:val="22"/>
                <w:szCs w:val="22"/>
                <w:highlight w:val="none"/>
              </w:rPr>
              <w:t>具有相关交通设施项目经验（需提供项目合同（项目合同如不能体现</w:t>
            </w:r>
            <w:r>
              <w:rPr>
                <w:rFonts w:hint="eastAsia" w:ascii="新宋体" w:hAnsi="新宋体" w:eastAsia="新宋体" w:cs="新宋体"/>
                <w:color w:val="auto"/>
                <w:sz w:val="22"/>
                <w:szCs w:val="22"/>
                <w:highlight w:val="none"/>
                <w:lang w:eastAsia="zh-CN"/>
              </w:rPr>
              <w:t>专职</w:t>
            </w:r>
            <w:r>
              <w:rPr>
                <w:rFonts w:hint="eastAsia" w:ascii="新宋体" w:hAnsi="新宋体" w:eastAsia="新宋体" w:cs="新宋体"/>
                <w:color w:val="auto"/>
                <w:sz w:val="22"/>
                <w:szCs w:val="22"/>
                <w:highlight w:val="none"/>
              </w:rPr>
              <w:t>人员信息需同时提供业主证明材料），提供得3分，不提供不得分。</w:t>
            </w:r>
            <w:r>
              <w:rPr>
                <w:rFonts w:hint="eastAsia" w:ascii="新宋体" w:hAnsi="新宋体" w:eastAsia="新宋体" w:cs="新宋体"/>
                <w:color w:val="auto"/>
                <w:sz w:val="22"/>
                <w:szCs w:val="22"/>
                <w:highlight w:val="none"/>
                <w:lang w:val="zh-CN"/>
              </w:rPr>
              <w:t>（</w:t>
            </w:r>
            <w:r>
              <w:rPr>
                <w:rFonts w:hint="eastAsia" w:ascii="新宋体" w:hAnsi="新宋体" w:eastAsia="新宋体" w:cs="新宋体"/>
                <w:b/>
                <w:bCs/>
                <w:color w:val="auto"/>
                <w:sz w:val="22"/>
                <w:szCs w:val="22"/>
                <w:highlight w:val="none"/>
                <w:lang w:eastAsia="zh-CN"/>
              </w:rPr>
              <w:t>标项</w:t>
            </w:r>
            <w:r>
              <w:rPr>
                <w:rFonts w:hint="eastAsia" w:ascii="新宋体" w:hAnsi="新宋体" w:eastAsia="新宋体" w:cs="新宋体"/>
                <w:b/>
                <w:bCs/>
                <w:color w:val="auto"/>
                <w:sz w:val="22"/>
                <w:szCs w:val="22"/>
                <w:highlight w:val="none"/>
              </w:rPr>
              <w:t>二（鹿城区）、</w:t>
            </w:r>
            <w:r>
              <w:rPr>
                <w:rFonts w:hint="eastAsia" w:ascii="新宋体" w:hAnsi="新宋体" w:eastAsia="新宋体" w:cs="新宋体"/>
                <w:b/>
                <w:bCs/>
                <w:color w:val="auto"/>
                <w:sz w:val="22"/>
                <w:szCs w:val="22"/>
                <w:highlight w:val="none"/>
                <w:lang w:eastAsia="zh-CN"/>
              </w:rPr>
              <w:t>标项</w:t>
            </w:r>
            <w:r>
              <w:rPr>
                <w:rFonts w:hint="eastAsia" w:ascii="新宋体" w:hAnsi="新宋体" w:eastAsia="新宋体" w:cs="新宋体"/>
                <w:b/>
                <w:bCs/>
                <w:color w:val="auto"/>
                <w:sz w:val="22"/>
                <w:szCs w:val="22"/>
                <w:highlight w:val="none"/>
              </w:rPr>
              <w:t>四（龙湾区）</w:t>
            </w:r>
            <w:r>
              <w:rPr>
                <w:rFonts w:hint="eastAsia" w:ascii="新宋体" w:hAnsi="新宋体" w:eastAsia="新宋体" w:cs="新宋体"/>
                <w:color w:val="auto"/>
                <w:sz w:val="22"/>
                <w:szCs w:val="22"/>
                <w:highlight w:val="none"/>
              </w:rPr>
              <w:t>，须提供2位，</w:t>
            </w:r>
            <w:r>
              <w:rPr>
                <w:rFonts w:hint="eastAsia" w:ascii="新宋体" w:hAnsi="新宋体" w:eastAsia="新宋体" w:cs="新宋体"/>
                <w:color w:val="auto"/>
                <w:sz w:val="22"/>
                <w:szCs w:val="22"/>
                <w:highlight w:val="none"/>
                <w:lang w:val="en-US" w:eastAsia="zh-CN"/>
              </w:rPr>
              <w:t>仅提供</w:t>
            </w:r>
            <w:r>
              <w:rPr>
                <w:rFonts w:hint="eastAsia" w:ascii="新宋体" w:hAnsi="新宋体" w:eastAsia="新宋体" w:cs="新宋体"/>
                <w:color w:val="auto"/>
                <w:sz w:val="22"/>
                <w:szCs w:val="22"/>
                <w:highlight w:val="none"/>
              </w:rPr>
              <w:t>1位不得分</w:t>
            </w: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），本项最高得3分</w:t>
            </w:r>
            <w:r>
              <w:rPr>
                <w:rFonts w:hint="eastAsia" w:ascii="新宋体" w:hAnsi="新宋体" w:eastAsia="新宋体" w:cs="新宋体"/>
                <w:color w:val="auto"/>
                <w:sz w:val="22"/>
                <w:szCs w:val="22"/>
                <w:highlight w:val="none"/>
                <w:lang w:eastAsia="zh-CN"/>
              </w:rPr>
              <w:t>。</w:t>
            </w:r>
          </w:p>
          <w:p w14:paraId="4393066A">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default"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拟担任本项目实施团队人员（维护、抢修技术人员）的技术能力等情况、经验等情况</w:t>
            </w:r>
            <w:r>
              <w:rPr>
                <w:rFonts w:hint="eastAsia" w:ascii="新宋体" w:hAnsi="新宋体" w:eastAsia="新宋体" w:cs="新宋体"/>
                <w:color w:val="auto"/>
                <w:sz w:val="22"/>
                <w:szCs w:val="22"/>
                <w:highlight w:val="none"/>
                <w:lang w:val="zh-CN"/>
              </w:rPr>
              <w:t>。①</w:t>
            </w:r>
            <w:r>
              <w:rPr>
                <w:rFonts w:hint="eastAsia" w:ascii="新宋体" w:hAnsi="新宋体" w:eastAsia="新宋体" w:cs="新宋体"/>
                <w:color w:val="auto"/>
                <w:sz w:val="22"/>
                <w:szCs w:val="22"/>
                <w:highlight w:val="none"/>
              </w:rPr>
              <w:t>需不少于</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位</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b/>
                <w:bCs/>
                <w:color w:val="auto"/>
                <w:sz w:val="22"/>
                <w:szCs w:val="22"/>
                <w:highlight w:val="none"/>
                <w:lang w:eastAsia="zh-CN"/>
              </w:rPr>
              <w:t>标项</w:t>
            </w:r>
            <w:r>
              <w:rPr>
                <w:rFonts w:hint="eastAsia" w:ascii="新宋体" w:hAnsi="新宋体" w:eastAsia="新宋体" w:cs="新宋体"/>
                <w:b/>
                <w:bCs/>
                <w:color w:val="auto"/>
                <w:sz w:val="22"/>
                <w:szCs w:val="22"/>
                <w:highlight w:val="none"/>
              </w:rPr>
              <w:t>二（鹿城区）</w:t>
            </w:r>
            <w:r>
              <w:rPr>
                <w:rFonts w:hint="eastAsia" w:ascii="新宋体" w:hAnsi="新宋体" w:eastAsia="新宋体" w:cs="新宋体"/>
                <w:b/>
                <w:bCs/>
                <w:color w:val="auto"/>
                <w:sz w:val="22"/>
                <w:szCs w:val="22"/>
                <w:highlight w:val="none"/>
                <w:lang w:val="en-US" w:eastAsia="zh-CN"/>
              </w:rPr>
              <w:t>、</w:t>
            </w:r>
            <w:r>
              <w:rPr>
                <w:rFonts w:hint="eastAsia" w:ascii="新宋体" w:hAnsi="新宋体" w:eastAsia="新宋体" w:cs="新宋体"/>
                <w:b/>
                <w:bCs/>
                <w:color w:val="auto"/>
                <w:sz w:val="22"/>
                <w:szCs w:val="22"/>
                <w:highlight w:val="none"/>
                <w:lang w:eastAsia="zh-CN"/>
              </w:rPr>
              <w:t>标项</w:t>
            </w:r>
            <w:r>
              <w:rPr>
                <w:rFonts w:hint="eastAsia" w:ascii="新宋体" w:hAnsi="新宋体" w:eastAsia="新宋体" w:cs="新宋体"/>
                <w:b/>
                <w:bCs/>
                <w:color w:val="auto"/>
                <w:sz w:val="22"/>
                <w:szCs w:val="22"/>
                <w:highlight w:val="none"/>
              </w:rPr>
              <w:t>四（龙湾区）</w:t>
            </w:r>
            <w:r>
              <w:rPr>
                <w:rFonts w:hint="eastAsia" w:ascii="新宋体" w:hAnsi="新宋体" w:eastAsia="新宋体" w:cs="新宋体"/>
                <w:color w:val="auto"/>
                <w:sz w:val="22"/>
                <w:szCs w:val="22"/>
                <w:highlight w:val="none"/>
              </w:rPr>
              <w:t>须</w:t>
            </w:r>
            <w:r>
              <w:rPr>
                <w:rFonts w:hint="eastAsia" w:ascii="新宋体" w:hAnsi="新宋体" w:eastAsia="新宋体" w:cs="新宋体"/>
                <w:color w:val="auto"/>
                <w:sz w:val="22"/>
                <w:szCs w:val="22"/>
                <w:highlight w:val="none"/>
                <w:lang w:val="en-US" w:eastAsia="zh-CN"/>
              </w:rPr>
              <w:t>各</w:t>
            </w:r>
            <w:r>
              <w:rPr>
                <w:rFonts w:hint="eastAsia" w:ascii="新宋体" w:hAnsi="新宋体" w:eastAsia="新宋体" w:cs="新宋体"/>
                <w:color w:val="auto"/>
                <w:sz w:val="22"/>
                <w:szCs w:val="22"/>
                <w:highlight w:val="none"/>
              </w:rPr>
              <w:t>提供</w:t>
            </w:r>
            <w:r>
              <w:rPr>
                <w:rFonts w:hint="eastAsia" w:ascii="新宋体" w:hAnsi="新宋体" w:eastAsia="新宋体" w:cs="新宋体"/>
                <w:color w:val="auto"/>
                <w:sz w:val="22"/>
                <w:szCs w:val="22"/>
                <w:highlight w:val="none"/>
                <w:lang w:val="en-US" w:eastAsia="zh-CN"/>
              </w:rPr>
              <w:t>不少于</w:t>
            </w:r>
            <w:r>
              <w:rPr>
                <w:rFonts w:hint="eastAsia" w:ascii="新宋体" w:hAnsi="新宋体" w:eastAsia="新宋体" w:cs="新宋体"/>
                <w:color w:val="auto"/>
                <w:sz w:val="22"/>
                <w:szCs w:val="22"/>
                <w:highlight w:val="none"/>
              </w:rPr>
              <w:t>2位</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否则不得分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持有电工证，提供得3分，不提供不得分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zh-CN"/>
              </w:rPr>
              <w:t>②</w:t>
            </w:r>
            <w:r>
              <w:rPr>
                <w:rFonts w:hint="eastAsia" w:ascii="新宋体" w:hAnsi="新宋体" w:eastAsia="新宋体" w:cs="新宋体"/>
                <w:color w:val="auto"/>
                <w:sz w:val="22"/>
                <w:szCs w:val="22"/>
                <w:highlight w:val="none"/>
              </w:rPr>
              <w:t>需不少于</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位</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b/>
                <w:bCs/>
                <w:color w:val="auto"/>
                <w:sz w:val="22"/>
                <w:szCs w:val="22"/>
                <w:highlight w:val="none"/>
                <w:lang w:eastAsia="zh-CN"/>
              </w:rPr>
              <w:t>标项</w:t>
            </w:r>
            <w:r>
              <w:rPr>
                <w:rFonts w:hint="eastAsia" w:ascii="新宋体" w:hAnsi="新宋体" w:eastAsia="新宋体" w:cs="新宋体"/>
                <w:b/>
                <w:bCs/>
                <w:color w:val="auto"/>
                <w:sz w:val="22"/>
                <w:szCs w:val="22"/>
                <w:highlight w:val="none"/>
              </w:rPr>
              <w:t>二（鹿城区）</w:t>
            </w:r>
            <w:r>
              <w:rPr>
                <w:rFonts w:hint="eastAsia" w:ascii="新宋体" w:hAnsi="新宋体" w:eastAsia="新宋体" w:cs="新宋体"/>
                <w:b/>
                <w:bCs/>
                <w:color w:val="auto"/>
                <w:sz w:val="22"/>
                <w:szCs w:val="22"/>
                <w:highlight w:val="none"/>
                <w:lang w:val="en-US" w:eastAsia="zh-CN"/>
              </w:rPr>
              <w:t>、</w:t>
            </w:r>
            <w:r>
              <w:rPr>
                <w:rFonts w:hint="eastAsia" w:ascii="新宋体" w:hAnsi="新宋体" w:eastAsia="新宋体" w:cs="新宋体"/>
                <w:b/>
                <w:bCs/>
                <w:color w:val="auto"/>
                <w:sz w:val="22"/>
                <w:szCs w:val="22"/>
                <w:highlight w:val="none"/>
                <w:lang w:eastAsia="zh-CN"/>
              </w:rPr>
              <w:t>标项</w:t>
            </w:r>
            <w:r>
              <w:rPr>
                <w:rFonts w:hint="eastAsia" w:ascii="新宋体" w:hAnsi="新宋体" w:eastAsia="新宋体" w:cs="新宋体"/>
                <w:b/>
                <w:bCs/>
                <w:color w:val="auto"/>
                <w:sz w:val="22"/>
                <w:szCs w:val="22"/>
                <w:highlight w:val="none"/>
              </w:rPr>
              <w:t>四（龙湾区）</w:t>
            </w:r>
            <w:r>
              <w:rPr>
                <w:rFonts w:hint="eastAsia" w:ascii="新宋体" w:hAnsi="新宋体" w:eastAsia="新宋体" w:cs="新宋体"/>
                <w:color w:val="auto"/>
                <w:sz w:val="22"/>
                <w:szCs w:val="22"/>
                <w:highlight w:val="none"/>
              </w:rPr>
              <w:t>须</w:t>
            </w:r>
            <w:r>
              <w:rPr>
                <w:rFonts w:hint="eastAsia" w:ascii="新宋体" w:hAnsi="新宋体" w:eastAsia="新宋体" w:cs="新宋体"/>
                <w:color w:val="auto"/>
                <w:sz w:val="22"/>
                <w:szCs w:val="22"/>
                <w:highlight w:val="none"/>
                <w:lang w:val="en-US" w:eastAsia="zh-CN"/>
              </w:rPr>
              <w:t>各</w:t>
            </w:r>
            <w:r>
              <w:rPr>
                <w:rFonts w:hint="eastAsia" w:ascii="新宋体" w:hAnsi="新宋体" w:eastAsia="新宋体" w:cs="新宋体"/>
                <w:color w:val="auto"/>
                <w:sz w:val="22"/>
                <w:szCs w:val="22"/>
                <w:highlight w:val="none"/>
              </w:rPr>
              <w:t>提供</w:t>
            </w:r>
            <w:r>
              <w:rPr>
                <w:rFonts w:hint="eastAsia" w:ascii="新宋体" w:hAnsi="新宋体" w:eastAsia="新宋体" w:cs="新宋体"/>
                <w:color w:val="auto"/>
                <w:sz w:val="22"/>
                <w:szCs w:val="22"/>
                <w:highlight w:val="none"/>
                <w:lang w:val="en-US" w:eastAsia="zh-CN"/>
              </w:rPr>
              <w:t>不少于</w:t>
            </w:r>
            <w:r>
              <w:rPr>
                <w:rFonts w:hint="eastAsia" w:ascii="新宋体" w:hAnsi="新宋体" w:eastAsia="新宋体" w:cs="新宋体"/>
                <w:color w:val="auto"/>
                <w:sz w:val="22"/>
                <w:szCs w:val="22"/>
                <w:highlight w:val="none"/>
              </w:rPr>
              <w:t>2位</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否则不得分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持有高空作业证，提供得3分，不提供不得分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③</w:t>
            </w:r>
            <w:r>
              <w:rPr>
                <w:rFonts w:hint="eastAsia" w:ascii="新宋体" w:hAnsi="新宋体" w:eastAsia="新宋体" w:cs="新宋体"/>
                <w:color w:val="auto"/>
                <w:sz w:val="22"/>
                <w:szCs w:val="22"/>
                <w:highlight w:val="none"/>
              </w:rPr>
              <w:t>具有相关交通设施项目经验（需提供项目合同（项目合同如不能体现实施团队人员信息需同时提供业主证明材料），提供得</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分，不提供不得分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本项最高得</w:t>
            </w:r>
            <w:r>
              <w:rPr>
                <w:rFonts w:hint="eastAsia" w:ascii="新宋体" w:hAnsi="新宋体" w:eastAsia="新宋体" w:cs="新宋体"/>
                <w:color w:val="auto"/>
                <w:sz w:val="22"/>
                <w:szCs w:val="22"/>
                <w:highlight w:val="none"/>
                <w:lang w:val="en-US" w:eastAsia="zh-CN"/>
              </w:rPr>
              <w:t>9</w:t>
            </w:r>
            <w:r>
              <w:rPr>
                <w:rFonts w:hint="eastAsia" w:ascii="新宋体" w:hAnsi="新宋体" w:eastAsia="新宋体" w:cs="新宋体"/>
                <w:color w:val="auto"/>
                <w:sz w:val="22"/>
                <w:szCs w:val="22"/>
                <w:highlight w:val="none"/>
              </w:rPr>
              <w:t>分</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lang w:val="en-US" w:eastAsia="zh-CN"/>
              </w:rPr>
              <w:t xml:space="preserve"> </w:t>
            </w:r>
          </w:p>
          <w:p w14:paraId="7935B2BC">
            <w:pPr>
              <w:keepNext w:val="0"/>
              <w:keepLines w:val="0"/>
              <w:pageBreakBefore w:val="0"/>
              <w:kinsoku/>
              <w:wordWrap/>
              <w:overflowPunct/>
              <w:topLinePunct w:val="0"/>
              <w:autoSpaceDE/>
              <w:autoSpaceDN/>
              <w:bidi w:val="0"/>
              <w:spacing w:line="460" w:lineRule="exact"/>
              <w:jc w:val="left"/>
              <w:textAlignment w:val="auto"/>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zh-CN"/>
              </w:rPr>
              <w:t>●</w:t>
            </w:r>
            <w:r>
              <w:rPr>
                <w:rFonts w:hint="eastAsia" w:ascii="新宋体" w:hAnsi="新宋体" w:eastAsia="新宋体" w:cs="新宋体"/>
                <w:color w:val="auto"/>
                <w:sz w:val="22"/>
                <w:szCs w:val="22"/>
                <w:highlight w:val="none"/>
              </w:rPr>
              <w:t>拟担任本项目实施团队人员（维护、抢修技术人员）在满足采购需求的情况下，每增加1人得1分（</w:t>
            </w:r>
            <w:r>
              <w:rPr>
                <w:rFonts w:hint="eastAsia" w:ascii="新宋体" w:hAnsi="新宋体" w:eastAsia="新宋体" w:cs="新宋体"/>
                <w:b/>
                <w:bCs/>
                <w:color w:val="auto"/>
                <w:sz w:val="22"/>
                <w:szCs w:val="22"/>
                <w:highlight w:val="none"/>
                <w:lang w:eastAsia="zh-CN"/>
              </w:rPr>
              <w:t>标项</w:t>
            </w:r>
            <w:r>
              <w:rPr>
                <w:rFonts w:hint="eastAsia" w:ascii="新宋体" w:hAnsi="新宋体" w:eastAsia="新宋体" w:cs="新宋体"/>
                <w:b/>
                <w:bCs/>
                <w:color w:val="auto"/>
                <w:sz w:val="22"/>
                <w:szCs w:val="22"/>
                <w:highlight w:val="none"/>
              </w:rPr>
              <w:t>二（鹿城区）</w:t>
            </w:r>
            <w:r>
              <w:rPr>
                <w:rFonts w:hint="eastAsia" w:ascii="新宋体" w:hAnsi="新宋体" w:eastAsia="新宋体" w:cs="新宋体"/>
                <w:b/>
                <w:bCs/>
                <w:color w:val="auto"/>
                <w:sz w:val="22"/>
                <w:szCs w:val="22"/>
                <w:highlight w:val="none"/>
                <w:lang w:eastAsia="zh-CN"/>
              </w:rPr>
              <w:t>、标项</w:t>
            </w:r>
            <w:r>
              <w:rPr>
                <w:rFonts w:hint="eastAsia" w:ascii="新宋体" w:hAnsi="新宋体" w:eastAsia="新宋体" w:cs="新宋体"/>
                <w:b/>
                <w:bCs/>
                <w:color w:val="auto"/>
                <w:sz w:val="22"/>
                <w:szCs w:val="22"/>
                <w:highlight w:val="none"/>
              </w:rPr>
              <w:t>四（龙湾区</w:t>
            </w:r>
            <w:r>
              <w:rPr>
                <w:rFonts w:hint="eastAsia" w:ascii="新宋体" w:hAnsi="新宋体" w:eastAsia="新宋体" w:cs="新宋体"/>
                <w:color w:val="auto"/>
                <w:sz w:val="22"/>
                <w:szCs w:val="22"/>
                <w:highlight w:val="none"/>
              </w:rPr>
              <w:t>）每增加1人得0.5分），不提供不得分，本项最高得4分</w:t>
            </w:r>
            <w:r>
              <w:rPr>
                <w:rFonts w:hint="eastAsia" w:ascii="新宋体" w:hAnsi="新宋体" w:eastAsia="新宋体" w:cs="新宋体"/>
                <w:color w:val="auto"/>
                <w:sz w:val="22"/>
                <w:szCs w:val="22"/>
                <w:highlight w:val="none"/>
                <w:lang w:eastAsia="zh-CN"/>
              </w:rPr>
              <w:t>。</w:t>
            </w:r>
          </w:p>
          <w:p w14:paraId="17F38CA3">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注：</w:t>
            </w:r>
            <w:r>
              <w:rPr>
                <w:rFonts w:hint="eastAsia" w:ascii="新宋体" w:hAnsi="新宋体" w:eastAsia="新宋体" w:cs="新宋体"/>
                <w:color w:val="auto"/>
                <w:sz w:val="22"/>
                <w:szCs w:val="22"/>
                <w:highlight w:val="none"/>
              </w:rPr>
              <w:t>所有人员均需提供近一个月的社保缴纳证明复印件</w:t>
            </w:r>
            <w:r>
              <w:rPr>
                <w:rFonts w:hint="eastAsia" w:ascii="新宋体" w:hAnsi="新宋体" w:eastAsia="新宋体" w:cs="新宋体"/>
                <w:color w:val="auto"/>
                <w:sz w:val="22"/>
                <w:szCs w:val="22"/>
                <w:highlight w:val="none"/>
              </w:rPr>
              <w:t>及提供本项目服务期间为本项目提供服务的承诺函，否则不得分。</w:t>
            </w:r>
          </w:p>
        </w:tc>
        <w:tc>
          <w:tcPr>
            <w:tcW w:w="783" w:type="dxa"/>
            <w:vAlign w:val="center"/>
          </w:tcPr>
          <w:p w14:paraId="58CB73C1">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22分</w:t>
            </w:r>
          </w:p>
        </w:tc>
      </w:tr>
      <w:tr w14:paraId="0945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750" w:type="dxa"/>
            <w:vMerge w:val="restart"/>
            <w:vAlign w:val="center"/>
          </w:tcPr>
          <w:p w14:paraId="238F6D69">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11</w:t>
            </w:r>
          </w:p>
        </w:tc>
        <w:tc>
          <w:tcPr>
            <w:tcW w:w="1397" w:type="dxa"/>
            <w:vMerge w:val="restart"/>
            <w:vAlign w:val="center"/>
          </w:tcPr>
          <w:p w14:paraId="15D6D7DD">
            <w:pPr>
              <w:keepNext w:val="0"/>
              <w:keepLines w:val="0"/>
              <w:pageBreakBefore w:val="0"/>
              <w:kinsoku/>
              <w:wordWrap/>
              <w:overflowPunct/>
              <w:topLinePunct w:val="0"/>
              <w:autoSpaceDE/>
              <w:autoSpaceDN/>
              <w:bidi w:val="0"/>
              <w:snapToGrid w:val="0"/>
              <w:spacing w:before="120"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保密承诺</w:t>
            </w:r>
          </w:p>
        </w:tc>
        <w:tc>
          <w:tcPr>
            <w:tcW w:w="6786" w:type="dxa"/>
            <w:vAlign w:val="center"/>
          </w:tcPr>
          <w:p w14:paraId="644F579D">
            <w:pPr>
              <w:keepNext w:val="0"/>
              <w:keepLines w:val="0"/>
              <w:pageBreakBefore w:val="0"/>
              <w:kinsoku/>
              <w:wordWrap/>
              <w:overflowPunct/>
              <w:topLinePunct w:val="0"/>
              <w:autoSpaceDE/>
              <w:autoSpaceDN/>
              <w:bidi w:val="0"/>
              <w:snapToGrid w:val="0"/>
              <w:spacing w:before="120" w:line="460" w:lineRule="exact"/>
              <w:jc w:val="left"/>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●投标人保密</w:t>
            </w:r>
            <w:r>
              <w:rPr>
                <w:rFonts w:hint="eastAsia" w:ascii="新宋体" w:hAnsi="新宋体" w:eastAsia="新宋体" w:cs="新宋体"/>
                <w:color w:val="auto"/>
                <w:sz w:val="22"/>
                <w:szCs w:val="22"/>
                <w:highlight w:val="none"/>
                <w:lang w:val="en-US" w:eastAsia="zh-CN"/>
              </w:rPr>
              <w:t>方案进行打分</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能够定期</w:t>
            </w:r>
            <w:r>
              <w:rPr>
                <w:rFonts w:hint="eastAsia" w:ascii="新宋体" w:hAnsi="新宋体" w:eastAsia="新宋体" w:cs="新宋体"/>
                <w:color w:val="auto"/>
                <w:sz w:val="22"/>
                <w:szCs w:val="22"/>
                <w:highlight w:val="none"/>
              </w:rPr>
              <w:t>对投标人及工作人员开展常态化安全保密教育</w:t>
            </w:r>
            <w:r>
              <w:rPr>
                <w:rFonts w:hint="eastAsia" w:ascii="新宋体" w:hAnsi="新宋体" w:eastAsia="新宋体" w:cs="新宋体"/>
                <w:color w:val="auto"/>
                <w:sz w:val="22"/>
                <w:szCs w:val="22"/>
                <w:highlight w:val="none"/>
                <w:lang w:eastAsia="zh-CN"/>
              </w:rPr>
              <w:t>，</w:t>
            </w:r>
            <w:r>
              <w:rPr>
                <w:rFonts w:hint="eastAsia" w:ascii="新宋体" w:hAnsi="新宋体" w:eastAsia="新宋体" w:cs="新宋体"/>
                <w:color w:val="auto"/>
                <w:sz w:val="22"/>
                <w:szCs w:val="22"/>
                <w:highlight w:val="none"/>
              </w:rPr>
              <w:t>明确具体安全管理内容、安全保密义务和责任的安排。确保网络安全，不发生数据泄露。严格按照采购人规定使用、存储、处理文档资料和数据</w:t>
            </w:r>
            <w:r>
              <w:rPr>
                <w:rFonts w:hint="eastAsia" w:ascii="新宋体" w:hAnsi="新宋体" w:eastAsia="新宋体" w:cs="新宋体"/>
                <w:bCs/>
                <w:color w:val="auto"/>
                <w:sz w:val="22"/>
                <w:szCs w:val="22"/>
                <w:highlight w:val="none"/>
              </w:rPr>
              <w:t>。</w:t>
            </w:r>
            <w:r>
              <w:rPr>
                <w:rFonts w:hint="eastAsia" w:ascii="新宋体" w:hAnsi="新宋体" w:eastAsia="新宋体" w:cs="新宋体"/>
                <w:bCs/>
                <w:color w:val="auto"/>
                <w:sz w:val="22"/>
                <w:szCs w:val="22"/>
                <w:highlight w:val="none"/>
                <w:lang w:val="en-US" w:eastAsia="zh-CN"/>
              </w:rPr>
              <w:t>分值范围（2、1、0分）</w:t>
            </w:r>
          </w:p>
        </w:tc>
        <w:tc>
          <w:tcPr>
            <w:tcW w:w="783" w:type="dxa"/>
            <w:vAlign w:val="center"/>
          </w:tcPr>
          <w:p w14:paraId="34F9455F">
            <w:pPr>
              <w:keepNext w:val="0"/>
              <w:keepLines w:val="0"/>
              <w:pageBreakBefore w:val="0"/>
              <w:kinsoku/>
              <w:wordWrap/>
              <w:overflowPunct/>
              <w:topLinePunct w:val="0"/>
              <w:autoSpaceDE/>
              <w:autoSpaceDN/>
              <w:bidi w:val="0"/>
              <w:snapToGrid w:val="0"/>
              <w:spacing w:before="120"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分</w:t>
            </w:r>
          </w:p>
        </w:tc>
      </w:tr>
      <w:tr w14:paraId="1324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750" w:type="dxa"/>
            <w:vMerge w:val="continue"/>
            <w:vAlign w:val="center"/>
          </w:tcPr>
          <w:p w14:paraId="6D4D136F">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p>
        </w:tc>
        <w:tc>
          <w:tcPr>
            <w:tcW w:w="1397" w:type="dxa"/>
            <w:vMerge w:val="continue"/>
            <w:vAlign w:val="center"/>
          </w:tcPr>
          <w:p w14:paraId="13EC6020">
            <w:pPr>
              <w:keepNext w:val="0"/>
              <w:keepLines w:val="0"/>
              <w:pageBreakBefore w:val="0"/>
              <w:kinsoku/>
              <w:wordWrap/>
              <w:overflowPunct/>
              <w:topLinePunct w:val="0"/>
              <w:autoSpaceDE/>
              <w:autoSpaceDN/>
              <w:bidi w:val="0"/>
              <w:snapToGrid w:val="0"/>
              <w:spacing w:before="120" w:line="460" w:lineRule="exact"/>
              <w:jc w:val="center"/>
              <w:textAlignment w:val="auto"/>
              <w:rPr>
                <w:rFonts w:hint="eastAsia" w:ascii="新宋体" w:hAnsi="新宋体" w:eastAsia="新宋体" w:cs="新宋体"/>
                <w:color w:val="auto"/>
                <w:sz w:val="22"/>
                <w:szCs w:val="22"/>
                <w:highlight w:val="none"/>
              </w:rPr>
            </w:pPr>
          </w:p>
        </w:tc>
        <w:tc>
          <w:tcPr>
            <w:tcW w:w="6786" w:type="dxa"/>
            <w:vAlign w:val="center"/>
          </w:tcPr>
          <w:p w14:paraId="09496ECA">
            <w:pPr>
              <w:keepNext w:val="0"/>
              <w:keepLines w:val="0"/>
              <w:pageBreakBefore w:val="0"/>
              <w:kinsoku/>
              <w:wordWrap/>
              <w:overflowPunct/>
              <w:topLinePunct w:val="0"/>
              <w:autoSpaceDE/>
              <w:autoSpaceDN/>
              <w:bidi w:val="0"/>
              <w:snapToGrid w:val="0"/>
              <w:spacing w:before="120" w:line="460" w:lineRule="exact"/>
              <w:jc w:val="left"/>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●投标人承诺</w:t>
            </w:r>
            <w:r>
              <w:rPr>
                <w:rFonts w:hint="eastAsia" w:ascii="新宋体" w:hAnsi="新宋体" w:eastAsia="新宋体" w:cs="新宋体"/>
                <w:color w:val="auto"/>
                <w:sz w:val="22"/>
                <w:szCs w:val="22"/>
                <w:highlight w:val="none"/>
                <w:lang w:val="en-US" w:eastAsia="zh-CN"/>
              </w:rPr>
              <w:t>若</w:t>
            </w:r>
            <w:r>
              <w:rPr>
                <w:rFonts w:hint="eastAsia" w:ascii="新宋体" w:hAnsi="新宋体" w:eastAsia="新宋体" w:cs="新宋体"/>
                <w:color w:val="auto"/>
                <w:sz w:val="22"/>
                <w:szCs w:val="22"/>
                <w:highlight w:val="none"/>
              </w:rPr>
              <w:t>工作人员违反安全管理要求，构成违法犯罪的，接受采购人及时报送本级政府采购和市场监督管理部门，提请列入政府采购严重违法失信行为记录名单、市场监督管理严重失信名单，并追究相关责任。</w:t>
            </w:r>
            <w:r>
              <w:rPr>
                <w:rFonts w:hint="eastAsia" w:ascii="新宋体" w:hAnsi="新宋体" w:eastAsia="新宋体" w:cs="新宋体"/>
                <w:bCs/>
                <w:color w:val="auto"/>
                <w:sz w:val="22"/>
                <w:szCs w:val="22"/>
                <w:highlight w:val="none"/>
              </w:rPr>
              <w:t>满足</w:t>
            </w:r>
            <w:r>
              <w:rPr>
                <w:rFonts w:hint="eastAsia" w:ascii="新宋体" w:hAnsi="新宋体" w:eastAsia="新宋体" w:cs="新宋体"/>
                <w:color w:val="auto"/>
                <w:sz w:val="22"/>
                <w:szCs w:val="22"/>
                <w:highlight w:val="none"/>
              </w:rPr>
              <w:t>采购需求的</w:t>
            </w:r>
            <w:r>
              <w:rPr>
                <w:rFonts w:hint="eastAsia" w:ascii="新宋体" w:hAnsi="新宋体" w:eastAsia="新宋体" w:cs="新宋体"/>
                <w:bCs/>
                <w:color w:val="auto"/>
                <w:sz w:val="22"/>
                <w:szCs w:val="22"/>
                <w:highlight w:val="none"/>
              </w:rPr>
              <w:t>得1分，不满足不得分。本项最高得1分。</w:t>
            </w:r>
          </w:p>
        </w:tc>
        <w:tc>
          <w:tcPr>
            <w:tcW w:w="783" w:type="dxa"/>
            <w:vAlign w:val="center"/>
          </w:tcPr>
          <w:p w14:paraId="6E8E6E23">
            <w:pPr>
              <w:keepNext w:val="0"/>
              <w:keepLines w:val="0"/>
              <w:pageBreakBefore w:val="0"/>
              <w:kinsoku/>
              <w:wordWrap/>
              <w:overflowPunct/>
              <w:topLinePunct w:val="0"/>
              <w:autoSpaceDE/>
              <w:autoSpaceDN/>
              <w:bidi w:val="0"/>
              <w:snapToGrid w:val="0"/>
              <w:spacing w:before="120" w:line="460" w:lineRule="exact"/>
              <w:jc w:val="center"/>
              <w:textAlignment w:val="auto"/>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分</w:t>
            </w:r>
          </w:p>
        </w:tc>
      </w:tr>
      <w:tr w14:paraId="0C34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50" w:type="dxa"/>
            <w:vAlign w:val="center"/>
          </w:tcPr>
          <w:p w14:paraId="1C36F9B8">
            <w:pPr>
              <w:pStyle w:val="22"/>
              <w:keepNext w:val="0"/>
              <w:keepLines w:val="0"/>
              <w:pageBreakBefore w:val="0"/>
              <w:kinsoku/>
              <w:wordWrap/>
              <w:overflowPunct/>
              <w:topLinePunct w:val="0"/>
              <w:autoSpaceDE/>
              <w:autoSpaceDN/>
              <w:bidi w:val="0"/>
              <w:spacing w:line="460" w:lineRule="exact"/>
              <w:ind w:left="442" w:hanging="442"/>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b/>
                <w:color w:val="auto"/>
                <w:sz w:val="22"/>
                <w:szCs w:val="22"/>
                <w:highlight w:val="none"/>
              </w:rPr>
              <w:t>12</w:t>
            </w:r>
          </w:p>
        </w:tc>
        <w:tc>
          <w:tcPr>
            <w:tcW w:w="1397" w:type="dxa"/>
            <w:vAlign w:val="center"/>
          </w:tcPr>
          <w:p w14:paraId="118E7190">
            <w:pPr>
              <w:keepNext w:val="0"/>
              <w:keepLines w:val="0"/>
              <w:pageBreakBefore w:val="0"/>
              <w:kinsoku/>
              <w:wordWrap/>
              <w:overflowPunct/>
              <w:topLinePunct w:val="0"/>
              <w:autoSpaceDE/>
              <w:autoSpaceDN/>
              <w:bidi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zh-CN"/>
              </w:rPr>
              <w:t>投标人的业绩</w:t>
            </w:r>
          </w:p>
        </w:tc>
        <w:tc>
          <w:tcPr>
            <w:tcW w:w="6786" w:type="dxa"/>
            <w:vAlign w:val="center"/>
          </w:tcPr>
          <w:p w14:paraId="0E86A79D">
            <w:pPr>
              <w:keepNext w:val="0"/>
              <w:keepLines w:val="0"/>
              <w:pageBreakBefore w:val="0"/>
              <w:kinsoku/>
              <w:wordWrap/>
              <w:overflowPunct/>
              <w:topLinePunct w:val="0"/>
              <w:autoSpaceDE/>
              <w:autoSpaceDN/>
              <w:bidi w:val="0"/>
              <w:spacing w:line="460" w:lineRule="exact"/>
              <w:jc w:val="left"/>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lang w:val="zh-CN"/>
              </w:rPr>
              <w:t>投标人类似项目建设的经验：</w:t>
            </w:r>
            <w:r>
              <w:rPr>
                <w:rFonts w:hint="eastAsia" w:ascii="新宋体" w:hAnsi="新宋体" w:eastAsia="新宋体" w:cs="新宋体"/>
                <w:color w:val="auto"/>
                <w:sz w:val="22"/>
                <w:szCs w:val="22"/>
                <w:highlight w:val="none"/>
              </w:rPr>
              <w:t>202</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年1月1日以来</w:t>
            </w:r>
            <w:r>
              <w:rPr>
                <w:rFonts w:hint="eastAsia" w:ascii="新宋体" w:hAnsi="新宋体" w:eastAsia="新宋体" w:cs="新宋体"/>
                <w:color w:val="auto"/>
                <w:sz w:val="22"/>
                <w:szCs w:val="22"/>
                <w:highlight w:val="none"/>
                <w:lang w:val="zh-CN"/>
              </w:rPr>
              <w:t>（以合同签订时间为准），具有</w:t>
            </w:r>
            <w:r>
              <w:rPr>
                <w:rFonts w:hint="eastAsia" w:ascii="新宋体" w:hAnsi="新宋体" w:eastAsia="新宋体" w:cs="新宋体"/>
                <w:color w:val="auto"/>
                <w:sz w:val="22"/>
                <w:szCs w:val="22"/>
                <w:highlight w:val="none"/>
              </w:rPr>
              <w:t>交通设施</w:t>
            </w:r>
            <w:r>
              <w:rPr>
                <w:rFonts w:hint="eastAsia" w:ascii="新宋体" w:hAnsi="新宋体" w:eastAsia="新宋体" w:cs="新宋体"/>
                <w:color w:val="auto"/>
                <w:sz w:val="22"/>
                <w:szCs w:val="22"/>
                <w:highlight w:val="none"/>
                <w:lang w:val="zh-CN"/>
              </w:rPr>
              <w:t>项目案例，每个合同得0.5分；最高得</w:t>
            </w:r>
            <w:r>
              <w:rPr>
                <w:rFonts w:hint="eastAsia" w:ascii="新宋体" w:hAnsi="新宋体" w:eastAsia="新宋体" w:cs="新宋体"/>
                <w:color w:val="auto"/>
                <w:sz w:val="22"/>
                <w:szCs w:val="22"/>
                <w:highlight w:val="none"/>
              </w:rPr>
              <w:t>1</w:t>
            </w:r>
            <w:r>
              <w:rPr>
                <w:rFonts w:hint="eastAsia" w:ascii="新宋体" w:hAnsi="新宋体" w:eastAsia="新宋体" w:cs="新宋体"/>
                <w:color w:val="auto"/>
                <w:sz w:val="22"/>
                <w:szCs w:val="22"/>
                <w:highlight w:val="none"/>
                <w:lang w:val="zh-CN"/>
              </w:rPr>
              <w:t>分。（采购人在项目评审直至合同签订、履约期间，有权要求投标人出具投标文件中的主要业绩证明原件：如合同及用户验收报告等，予以确认其的真实性和有效性，如出现与事实不符等情况，将根据有关规定以“提供虚假材料谋取中标”予以处罚）。</w:t>
            </w:r>
          </w:p>
        </w:tc>
        <w:tc>
          <w:tcPr>
            <w:tcW w:w="783" w:type="dxa"/>
            <w:vAlign w:val="center"/>
          </w:tcPr>
          <w:p w14:paraId="2B3BCB5D">
            <w:pPr>
              <w:keepNext w:val="0"/>
              <w:keepLines w:val="0"/>
              <w:pageBreakBefore w:val="0"/>
              <w:kinsoku/>
              <w:wordWrap/>
              <w:overflowPunct/>
              <w:topLinePunct w:val="0"/>
              <w:autoSpaceDE/>
              <w:autoSpaceDN/>
              <w:bidi w:val="0"/>
              <w:spacing w:line="460" w:lineRule="exact"/>
              <w:jc w:val="center"/>
              <w:textAlignment w:val="auto"/>
              <w:rPr>
                <w:rFonts w:hint="eastAsia" w:ascii="新宋体" w:hAnsi="新宋体" w:eastAsia="新宋体" w:cs="新宋体"/>
                <w:b/>
                <w:color w:val="auto"/>
                <w:sz w:val="22"/>
                <w:szCs w:val="22"/>
                <w:highlight w:val="none"/>
              </w:rPr>
            </w:pPr>
            <w:r>
              <w:rPr>
                <w:rFonts w:hint="eastAsia" w:ascii="新宋体" w:hAnsi="新宋体" w:eastAsia="新宋体" w:cs="新宋体"/>
                <w:color w:val="auto"/>
                <w:sz w:val="22"/>
                <w:szCs w:val="22"/>
                <w:highlight w:val="none"/>
              </w:rPr>
              <w:t>1分</w:t>
            </w:r>
          </w:p>
        </w:tc>
      </w:tr>
    </w:tbl>
    <w:p w14:paraId="333536B8">
      <w:pPr>
        <w:pStyle w:val="22"/>
        <w:spacing w:line="460" w:lineRule="exact"/>
        <w:ind w:firstLine="0" w:firstLine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2、报价评分（</w:t>
      </w:r>
      <w:r>
        <w:rPr>
          <w:rFonts w:hint="eastAsia" w:ascii="宋体" w:hAnsi="宋体" w:cs="宋体"/>
          <w:b/>
          <w:color w:val="auto"/>
          <w:sz w:val="22"/>
          <w:szCs w:val="22"/>
          <w:highlight w:val="none"/>
          <w:lang w:val="en-US" w:eastAsia="zh-CN"/>
        </w:rPr>
        <w:t>1</w:t>
      </w:r>
      <w:r>
        <w:rPr>
          <w:rFonts w:hint="eastAsia" w:ascii="宋体" w:hAnsi="宋体" w:eastAsia="宋体" w:cs="宋体"/>
          <w:b/>
          <w:color w:val="auto"/>
          <w:sz w:val="22"/>
          <w:szCs w:val="22"/>
          <w:highlight w:val="none"/>
        </w:rPr>
        <w:t>0分）（权值</w:t>
      </w:r>
      <w:r>
        <w:rPr>
          <w:rFonts w:hint="eastAsia" w:ascii="宋体" w:hAnsi="宋体" w:cs="宋体"/>
          <w:b/>
          <w:color w:val="auto"/>
          <w:sz w:val="22"/>
          <w:szCs w:val="22"/>
          <w:highlight w:val="none"/>
          <w:lang w:val="en-US" w:eastAsia="zh-CN"/>
        </w:rPr>
        <w:t>1</w:t>
      </w:r>
      <w:r>
        <w:rPr>
          <w:rFonts w:hint="eastAsia" w:ascii="宋体" w:hAnsi="宋体" w:eastAsia="宋体" w:cs="宋体"/>
          <w:b/>
          <w:color w:val="auto"/>
          <w:sz w:val="22"/>
          <w:szCs w:val="22"/>
          <w:highlight w:val="none"/>
        </w:rPr>
        <w:t>0%）：</w:t>
      </w:r>
    </w:p>
    <w:p w14:paraId="386619B1">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满足招标文件要求且投标报价最低的投标报价为评标基准价，其余投标人投标报价与该基准价对比，计算出商务报价评分值（保留小数2位）：</w:t>
      </w:r>
    </w:p>
    <w:p w14:paraId="0BC8869B">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1）有效投标人的投标报价等于评标基准价时其报价分为满分</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0分；</w:t>
      </w:r>
    </w:p>
    <w:p w14:paraId="1513EAD1">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2）其他投标人的价格分按以下公式计算：</w:t>
      </w:r>
    </w:p>
    <w:p w14:paraId="61B73874">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投标报价得分=（评分基准价/投标人投标报价）× 价格权值 ×100（保留小数2位）</w:t>
      </w:r>
    </w:p>
    <w:p w14:paraId="1EE98FA8">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3、有效投标人的综合得分为技术分和商务（报价）分的总和。</w:t>
      </w:r>
    </w:p>
    <w:p w14:paraId="3FD714C4">
      <w:pPr>
        <w:spacing w:line="460" w:lineRule="exact"/>
        <w:ind w:firstLine="539" w:firstLineChars="245"/>
        <w:rPr>
          <w:rFonts w:hint="eastAsia" w:ascii="新宋体" w:hAnsi="新宋体" w:eastAsia="新宋体"/>
          <w:b w:val="0"/>
          <w:bCs w:val="0"/>
          <w:color w:val="auto"/>
          <w:sz w:val="22"/>
          <w:szCs w:val="22"/>
          <w:highlight w:val="none"/>
          <w:lang w:val="zh-CN"/>
        </w:rPr>
      </w:pPr>
      <w:r>
        <w:rPr>
          <w:rFonts w:hint="eastAsia" w:ascii="新宋体" w:hAnsi="新宋体" w:eastAsia="新宋体"/>
          <w:b w:val="0"/>
          <w:bCs w:val="0"/>
          <w:color w:val="auto"/>
          <w:sz w:val="22"/>
          <w:szCs w:val="22"/>
          <w:highlight w:val="none"/>
          <w:lang w:val="zh-CN"/>
        </w:rPr>
        <w:t>根据</w:t>
      </w:r>
      <w:r>
        <w:rPr>
          <w:rFonts w:hint="eastAsia" w:ascii="新宋体" w:hAnsi="新宋体" w:eastAsia="新宋体" w:cs="新宋体"/>
          <w:b w:val="0"/>
          <w:bCs w:val="0"/>
          <w:color w:val="auto"/>
          <w:kern w:val="0"/>
          <w:sz w:val="22"/>
          <w:szCs w:val="22"/>
          <w:highlight w:val="none"/>
        </w:rPr>
        <w:t>《政府采购促进中小企业发展管理办法》（财库〔2020〕46号）</w:t>
      </w:r>
      <w:r>
        <w:rPr>
          <w:rFonts w:hint="eastAsia" w:ascii="新宋体" w:hAnsi="新宋体" w:eastAsia="新宋体" w:cs="新宋体"/>
          <w:b w:val="0"/>
          <w:bCs w:val="0"/>
          <w:color w:val="auto"/>
          <w:kern w:val="0"/>
          <w:sz w:val="22"/>
          <w:szCs w:val="22"/>
          <w:highlight w:val="none"/>
          <w:lang w:eastAsia="zh-CN"/>
        </w:rPr>
        <w:t>、</w:t>
      </w:r>
      <w:r>
        <w:rPr>
          <w:rFonts w:hint="eastAsia" w:ascii="新宋体" w:hAnsi="新宋体" w:eastAsia="新宋体" w:cs="新宋体"/>
          <w:b w:val="0"/>
          <w:bCs w:val="0"/>
          <w:color w:val="auto"/>
          <w:kern w:val="0"/>
          <w:sz w:val="22"/>
          <w:szCs w:val="22"/>
          <w:highlight w:val="none"/>
        </w:rPr>
        <w:t>《财政部关于进一步加大政府采购支持中小企业力度的通知》（财库〔2022〕19号）</w:t>
      </w:r>
      <w:r>
        <w:rPr>
          <w:rFonts w:hint="eastAsia" w:ascii="新宋体" w:hAnsi="新宋体" w:eastAsia="新宋体" w:cs="新宋体"/>
          <w:b w:val="0"/>
          <w:bCs w:val="0"/>
          <w:color w:val="auto"/>
          <w:kern w:val="0"/>
          <w:sz w:val="22"/>
          <w:szCs w:val="22"/>
          <w:highlight w:val="none"/>
          <w:lang w:eastAsia="zh-CN"/>
        </w:rPr>
        <w:t>、《浙江省财政厅关于进一步加大政府采购支持中小企业力度助力扎实稳住经济的通知》（</w:t>
      </w:r>
      <w:r>
        <w:rPr>
          <w:rFonts w:hint="eastAsia" w:ascii="新宋体" w:hAnsi="新宋体" w:eastAsia="新宋体" w:cs="新宋体"/>
          <w:b w:val="0"/>
          <w:bCs w:val="0"/>
          <w:color w:val="auto"/>
          <w:kern w:val="0"/>
          <w:sz w:val="22"/>
          <w:szCs w:val="22"/>
          <w:highlight w:val="none"/>
        </w:rPr>
        <w:t>浙财采监〔2022〕8号</w:t>
      </w:r>
      <w:r>
        <w:rPr>
          <w:rFonts w:hint="eastAsia" w:ascii="新宋体" w:hAnsi="新宋体" w:eastAsia="新宋体" w:cs="新宋体"/>
          <w:b w:val="0"/>
          <w:bCs w:val="0"/>
          <w:color w:val="auto"/>
          <w:kern w:val="0"/>
          <w:sz w:val="22"/>
          <w:szCs w:val="22"/>
          <w:highlight w:val="none"/>
          <w:lang w:eastAsia="zh-CN"/>
        </w:rPr>
        <w:t>）</w:t>
      </w:r>
      <w:r>
        <w:rPr>
          <w:rFonts w:hint="eastAsia" w:ascii="新宋体" w:hAnsi="新宋体" w:eastAsia="新宋体" w:cs="新宋体"/>
          <w:b w:val="0"/>
          <w:bCs w:val="0"/>
          <w:color w:val="auto"/>
          <w:kern w:val="0"/>
          <w:sz w:val="22"/>
          <w:szCs w:val="22"/>
          <w:highlight w:val="none"/>
          <w:lang w:val="en-US" w:eastAsia="zh-CN"/>
        </w:rPr>
        <w:t>等</w:t>
      </w:r>
      <w:r>
        <w:rPr>
          <w:rFonts w:hint="eastAsia" w:ascii="新宋体" w:hAnsi="新宋体" w:eastAsia="新宋体" w:cs="新宋体"/>
          <w:b w:val="0"/>
          <w:bCs w:val="0"/>
          <w:color w:val="auto"/>
          <w:kern w:val="0"/>
          <w:sz w:val="22"/>
          <w:szCs w:val="22"/>
          <w:highlight w:val="none"/>
        </w:rPr>
        <w:t>有关规定</w:t>
      </w:r>
      <w:r>
        <w:rPr>
          <w:rFonts w:hint="eastAsia" w:ascii="新宋体" w:hAnsi="新宋体" w:eastAsia="新宋体"/>
          <w:b w:val="0"/>
          <w:bCs w:val="0"/>
          <w:color w:val="auto"/>
          <w:sz w:val="22"/>
          <w:szCs w:val="22"/>
          <w:highlight w:val="none"/>
          <w:lang w:val="zh-CN"/>
        </w:rPr>
        <w:t>，对</w:t>
      </w:r>
      <w:r>
        <w:rPr>
          <w:rFonts w:hint="eastAsia" w:ascii="新宋体" w:hAnsi="新宋体" w:eastAsia="新宋体"/>
          <w:b w:val="0"/>
          <w:bCs w:val="0"/>
          <w:color w:val="auto"/>
          <w:sz w:val="22"/>
          <w:szCs w:val="22"/>
          <w:highlight w:val="none"/>
          <w:lang w:val="en-US" w:eastAsia="zh-CN"/>
        </w:rPr>
        <w:t>货物类项目</w:t>
      </w:r>
      <w:r>
        <w:rPr>
          <w:rFonts w:hint="eastAsia" w:ascii="新宋体" w:hAnsi="新宋体" w:eastAsia="新宋体"/>
          <w:b w:val="0"/>
          <w:bCs w:val="0"/>
          <w:color w:val="auto"/>
          <w:sz w:val="22"/>
          <w:szCs w:val="22"/>
          <w:highlight w:val="none"/>
          <w:lang w:val="zh-CN"/>
        </w:rPr>
        <w:t>投标产品为小型或微型企业生产的，</w:t>
      </w:r>
      <w:r>
        <w:rPr>
          <w:rFonts w:hint="eastAsia" w:ascii="新宋体" w:hAnsi="新宋体" w:eastAsia="新宋体"/>
          <w:b w:val="0"/>
          <w:bCs w:val="0"/>
          <w:color w:val="auto"/>
          <w:sz w:val="22"/>
          <w:szCs w:val="22"/>
          <w:highlight w:val="none"/>
          <w:lang w:val="en-US" w:eastAsia="zh-CN"/>
        </w:rPr>
        <w:t>工程、服务类项目由小型或微型企业承建、承接的</w:t>
      </w:r>
      <w:r>
        <w:rPr>
          <w:rFonts w:hint="eastAsia" w:ascii="新宋体" w:hAnsi="新宋体" w:eastAsia="新宋体"/>
          <w:b w:val="0"/>
          <w:bCs w:val="0"/>
          <w:color w:val="auto"/>
          <w:sz w:val="22"/>
          <w:szCs w:val="22"/>
          <w:highlight w:val="none"/>
          <w:lang w:val="zh-CN"/>
        </w:rPr>
        <w:t>，</w:t>
      </w:r>
      <w:r>
        <w:rPr>
          <w:rFonts w:hint="eastAsia" w:ascii="新宋体" w:hAnsi="新宋体" w:eastAsia="新宋体"/>
          <w:b w:val="0"/>
          <w:bCs w:val="0"/>
          <w:color w:val="auto"/>
          <w:sz w:val="22"/>
          <w:szCs w:val="22"/>
          <w:highlight w:val="none"/>
          <w:u w:val="single"/>
          <w:lang w:val="zh-CN"/>
        </w:rPr>
        <w:t>价格给予</w:t>
      </w:r>
      <w:r>
        <w:rPr>
          <w:rFonts w:hint="eastAsia" w:ascii="新宋体" w:hAnsi="新宋体" w:eastAsia="新宋体"/>
          <w:b w:val="0"/>
          <w:bCs w:val="0"/>
          <w:color w:val="auto"/>
          <w:sz w:val="22"/>
          <w:szCs w:val="22"/>
          <w:highlight w:val="none"/>
          <w:u w:val="single"/>
          <w:lang w:val="en-US" w:eastAsia="zh-CN"/>
        </w:rPr>
        <w:t>1</w:t>
      </w:r>
      <w:r>
        <w:rPr>
          <w:rFonts w:hint="eastAsia" w:ascii="新宋体" w:hAnsi="新宋体" w:eastAsia="新宋体"/>
          <w:b w:val="0"/>
          <w:bCs w:val="0"/>
          <w:color w:val="auto"/>
          <w:sz w:val="22"/>
          <w:szCs w:val="22"/>
          <w:highlight w:val="none"/>
          <w:u w:val="single"/>
        </w:rPr>
        <w:t>0</w:t>
      </w:r>
      <w:r>
        <w:rPr>
          <w:rFonts w:hint="eastAsia" w:ascii="新宋体" w:hAnsi="新宋体" w:eastAsia="新宋体"/>
          <w:b w:val="0"/>
          <w:bCs w:val="0"/>
          <w:color w:val="auto"/>
          <w:sz w:val="22"/>
          <w:szCs w:val="22"/>
          <w:highlight w:val="none"/>
          <w:u w:val="single"/>
          <w:lang w:val="zh-CN"/>
        </w:rPr>
        <w:t>%的扣除</w:t>
      </w:r>
      <w:r>
        <w:rPr>
          <w:rFonts w:hint="eastAsia" w:ascii="新宋体" w:hAnsi="新宋体" w:eastAsia="新宋体"/>
          <w:b w:val="0"/>
          <w:bCs w:val="0"/>
          <w:color w:val="auto"/>
          <w:sz w:val="22"/>
          <w:szCs w:val="22"/>
          <w:highlight w:val="none"/>
          <w:lang w:val="zh-CN"/>
        </w:rPr>
        <w:t>，用扣除后的价格参与价格评分。</w:t>
      </w:r>
    </w:p>
    <w:p w14:paraId="1038B6BC">
      <w:pPr>
        <w:spacing w:line="460" w:lineRule="exact"/>
        <w:ind w:firstLine="539" w:firstLineChars="245"/>
        <w:rPr>
          <w:rFonts w:hint="eastAsia" w:ascii="宋体" w:hAnsi="宋体" w:eastAsia="宋体" w:cs="宋体"/>
          <w:b w:val="0"/>
          <w:bCs w:val="0"/>
          <w:color w:val="auto"/>
          <w:sz w:val="22"/>
          <w:szCs w:val="22"/>
          <w:highlight w:val="none"/>
          <w:lang w:val="zh-CN"/>
        </w:rPr>
      </w:pPr>
      <w:r>
        <w:rPr>
          <w:rFonts w:hint="eastAsia" w:ascii="宋体" w:hAnsi="宋体" w:eastAsia="宋体" w:cs="宋体"/>
          <w:b w:val="0"/>
          <w:bCs w:val="0"/>
          <w:color w:val="auto"/>
          <w:sz w:val="22"/>
          <w:szCs w:val="22"/>
          <w:highlight w:val="none"/>
          <w:lang w:val="zh-CN"/>
        </w:rPr>
        <w:t>监狱企业视同小微企业，其产品参加本项目投标的，享受小微企业同等的价格扣除。</w:t>
      </w:r>
    </w:p>
    <w:p w14:paraId="547897FB">
      <w:pPr>
        <w:pStyle w:val="21"/>
        <w:keepNext w:val="0"/>
        <w:keepLines w:val="0"/>
        <w:pageBreakBefore w:val="0"/>
        <w:widowControl w:val="0"/>
        <w:kinsoku/>
        <w:wordWrap/>
        <w:overflowPunct/>
        <w:topLinePunct w:val="0"/>
        <w:autoSpaceDE/>
        <w:autoSpaceDN/>
        <w:bidi w:val="0"/>
        <w:adjustRightInd/>
        <w:snapToGrid/>
        <w:spacing w:line="460" w:lineRule="exact"/>
        <w:ind w:firstLine="442" w:firstLineChars="200"/>
        <w:textAlignment w:val="auto"/>
        <w:rPr>
          <w:rFonts w:hint="eastAsia" w:ascii="宋体" w:hAnsi="宋体" w:eastAsia="宋体" w:cs="宋体"/>
          <w:b/>
          <w:bCs/>
          <w:color w:val="auto"/>
          <w:kern w:val="2"/>
          <w:sz w:val="22"/>
          <w:szCs w:val="22"/>
          <w:highlight w:val="none"/>
          <w:u w:val="single"/>
          <w:lang w:val="en-US" w:eastAsia="zh-CN" w:bidi="ar-SA"/>
        </w:rPr>
      </w:pPr>
      <w:r>
        <w:rPr>
          <w:rFonts w:hint="eastAsia" w:ascii="宋体" w:hAnsi="宋体" w:eastAsia="宋体" w:cs="宋体"/>
          <w:b/>
          <w:bCs/>
          <w:color w:val="auto"/>
          <w:kern w:val="2"/>
          <w:sz w:val="22"/>
          <w:szCs w:val="22"/>
          <w:highlight w:val="none"/>
          <w:u w:val="none"/>
          <w:lang w:val="en-US" w:eastAsia="zh-CN" w:bidi="ar-SA"/>
        </w:rPr>
        <w:t>4、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p>
    <w:p w14:paraId="5F246577">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z w:val="22"/>
          <w:szCs w:val="22"/>
          <w:highlight w:val="none"/>
          <w:u w:val="single"/>
        </w:rPr>
      </w:pPr>
      <w:r>
        <w:rPr>
          <w:rFonts w:hint="eastAsia" w:ascii="宋体" w:hAnsi="宋体" w:eastAsia="宋体" w:cs="宋体"/>
          <w:b w:val="0"/>
          <w:bCs w:val="0"/>
          <w:color w:val="auto"/>
          <w:kern w:val="2"/>
          <w:sz w:val="22"/>
          <w:szCs w:val="22"/>
          <w:highlight w:val="none"/>
          <w:u w:val="none"/>
          <w:lang w:val="en-US" w:eastAsia="zh-CN" w:bidi="ar-SA"/>
        </w:rPr>
        <w:t xml:space="preserve">   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1847966">
      <w:pPr>
        <w:spacing w:line="460" w:lineRule="exact"/>
        <w:ind w:firstLine="541" w:firstLineChars="245"/>
        <w:outlineLvl w:val="1"/>
        <w:rPr>
          <w:rFonts w:hint="eastAsia" w:ascii="宋体" w:hAnsi="宋体" w:eastAsia="宋体" w:cs="宋体"/>
          <w:b/>
          <w:bCs/>
          <w:color w:val="auto"/>
          <w:sz w:val="22"/>
          <w:szCs w:val="22"/>
          <w:highlight w:val="none"/>
        </w:rPr>
      </w:pPr>
      <w:bookmarkStart w:id="205" w:name="_Toc27433"/>
      <w:bookmarkStart w:id="206" w:name="_Toc2482"/>
      <w:r>
        <w:rPr>
          <w:rFonts w:hint="eastAsia" w:ascii="宋体" w:hAnsi="宋体" w:eastAsia="宋体" w:cs="宋体"/>
          <w:b/>
          <w:bCs/>
          <w:color w:val="auto"/>
          <w:sz w:val="22"/>
          <w:szCs w:val="22"/>
          <w:highlight w:val="none"/>
        </w:rPr>
        <w:t>六、定标办法</w:t>
      </w:r>
      <w:bookmarkEnd w:id="205"/>
      <w:bookmarkEnd w:id="206"/>
    </w:p>
    <w:p w14:paraId="14770A8F">
      <w:pPr>
        <w:spacing w:line="460" w:lineRule="exact"/>
        <w:ind w:firstLine="539" w:firstLineChars="245"/>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确定中标候选人</w:t>
      </w:r>
    </w:p>
    <w:p w14:paraId="08D85519">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1.1由评标委员会确定中标候选人。</w:t>
      </w:r>
    </w:p>
    <w:p w14:paraId="3370C8A0">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评标委员会依据法律、法规及招标文件有关规定按评审后得分（即商务技术分与报价得分之和）由高到低顺序排序，得分前二名的投标人确定为该项目的第一和第二中标候选人（得分相同的，按投标报价由低到高顺序排列。得分且投标报价相同的并列。）向招标人推荐。</w:t>
      </w:r>
    </w:p>
    <w:p w14:paraId="7C8CB24B">
      <w:pPr>
        <w:spacing w:line="460" w:lineRule="exact"/>
        <w:ind w:firstLine="539" w:firstLineChars="245"/>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2、确定中标人</w:t>
      </w:r>
    </w:p>
    <w:p w14:paraId="485910A5">
      <w:pPr>
        <w:spacing w:line="460" w:lineRule="exac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 xml:space="preserve">     2.1招标人按照评标报告中推荐的中标候选供应商顺序确定中标人；也可以事先授权评标委员会按照推荐的中标候选供应商顺序直接确定中标人。中标候选人并列的，由评标委员会全体成员记名投票按少数服从多数的原则确定排名。</w:t>
      </w:r>
    </w:p>
    <w:p w14:paraId="31FC4621">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2.2如中标人放弃中标；或未能在规定时间内与招标人签订合同的；或者经质疑，招标人审查后，确因排名第一的候选人在本次采购活动中存在违法违规行为或其他原因使质疑成立的，招标人可以</w:t>
      </w:r>
      <w:r>
        <w:rPr>
          <w:rFonts w:hint="eastAsia" w:ascii="宋体" w:hAnsi="宋体" w:cs="宋体"/>
          <w:color w:val="auto"/>
          <w:sz w:val="22"/>
          <w:szCs w:val="22"/>
          <w:highlight w:val="none"/>
          <w:lang w:val="en-US" w:eastAsia="zh-CN"/>
        </w:rPr>
        <w:t>依法</w:t>
      </w:r>
      <w:r>
        <w:rPr>
          <w:rFonts w:hint="eastAsia" w:ascii="宋体" w:hAnsi="宋体" w:eastAsia="宋体" w:cs="宋体"/>
          <w:color w:val="auto"/>
          <w:sz w:val="22"/>
          <w:szCs w:val="22"/>
          <w:highlight w:val="none"/>
        </w:rPr>
        <w:t>视情况直接确定排名第二的候选人为中标人或重新组织招标。</w:t>
      </w:r>
    </w:p>
    <w:p w14:paraId="7D6F3E0F">
      <w:pPr>
        <w:spacing w:line="460" w:lineRule="exact"/>
        <w:ind w:firstLine="539" w:firstLineChars="24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中标人确定后，招标人将在指定媒体公告中标结果，招标人向中标人发出中标通知书。</w:t>
      </w:r>
    </w:p>
    <w:p w14:paraId="586D3643">
      <w:pPr>
        <w:spacing w:line="460" w:lineRule="exact"/>
        <w:ind w:firstLine="541" w:firstLineChars="245"/>
        <w:outlineLvl w:val="1"/>
        <w:rPr>
          <w:rFonts w:hint="eastAsia" w:ascii="宋体" w:hAnsi="宋体" w:eastAsia="宋体" w:cs="宋体"/>
          <w:b/>
          <w:color w:val="auto"/>
          <w:sz w:val="22"/>
          <w:szCs w:val="22"/>
          <w:highlight w:val="none"/>
        </w:rPr>
      </w:pPr>
      <w:bookmarkStart w:id="207" w:name="_Toc6429"/>
      <w:bookmarkStart w:id="208" w:name="_Toc17587"/>
      <w:r>
        <w:rPr>
          <w:rFonts w:hint="eastAsia" w:ascii="宋体" w:hAnsi="宋体" w:eastAsia="宋体" w:cs="宋体"/>
          <w:b/>
          <w:color w:val="auto"/>
          <w:sz w:val="22"/>
          <w:szCs w:val="22"/>
          <w:highlight w:val="none"/>
        </w:rPr>
        <w:t>七、投标人义务</w:t>
      </w:r>
      <w:bookmarkEnd w:id="207"/>
      <w:bookmarkEnd w:id="208"/>
    </w:p>
    <w:p w14:paraId="1DF4D21C">
      <w:pPr>
        <w:spacing w:line="460" w:lineRule="exact"/>
        <w:ind w:firstLine="539" w:firstLineChars="245"/>
        <w:rPr>
          <w:rFonts w:hint="eastAsia" w:ascii="宋体" w:hAnsi="宋体" w:eastAsia="宋体" w:cs="宋体"/>
          <w:color w:val="auto"/>
          <w:highlight w:val="none"/>
        </w:rPr>
      </w:pPr>
      <w:r>
        <w:rPr>
          <w:rFonts w:hint="eastAsia" w:ascii="宋体" w:hAnsi="宋体" w:eastAsia="宋体" w:cs="宋体"/>
          <w:color w:val="auto"/>
          <w:sz w:val="22"/>
          <w:szCs w:val="22"/>
          <w:highlight w:val="none"/>
        </w:rPr>
        <w:t>投标人应随时接受评标委员会的询标，解答包括有关的商务、技术问题等。评标结束，所有评标资料存招标机构备查。</w:t>
      </w:r>
    </w:p>
    <w:p w14:paraId="006DB100">
      <w:pPr>
        <w:spacing w:line="460" w:lineRule="exact"/>
        <w:jc w:val="center"/>
        <w:rPr>
          <w:rFonts w:hint="eastAsia" w:ascii="宋体" w:hAnsi="宋体" w:eastAsia="宋体" w:cs="宋体"/>
          <w:b/>
          <w:color w:val="auto"/>
          <w:sz w:val="32"/>
          <w:szCs w:val="32"/>
          <w:highlight w:val="none"/>
        </w:rPr>
      </w:pPr>
    </w:p>
    <w:bookmarkEnd w:id="209"/>
    <w:sectPr>
      <w:pgSz w:w="11906" w:h="16838"/>
      <w:pgMar w:top="1134" w:right="1134" w:bottom="1134" w:left="1134" w:header="850" w:footer="992" w:gutter="0"/>
      <w:cols w:space="72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Century Gothic">
    <w:altName w:val="Yu Gothic UI"/>
    <w:panose1 w:val="020B0502020202020204"/>
    <w:charset w:val="00"/>
    <w:family w:val="swiss"/>
    <w:pitch w:val="default"/>
    <w:sig w:usb0="00000000" w:usb1="000000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Lucida Sans">
    <w:altName w:val="Lucida Sans Unicode"/>
    <w:panose1 w:val="020B0602030504020204"/>
    <w:charset w:val="00"/>
    <w:family w:val="swiss"/>
    <w:pitch w:val="default"/>
    <w:sig w:usb0="00000000" w:usb1="00000000" w:usb2="00000000" w:usb3="00000000" w:csb0="20000001" w:csb1="00000000"/>
  </w:font>
  <w:font w:name="Wingdings">
    <w:panose1 w:val="05000000000000000000"/>
    <w:charset w:val="00"/>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5D738">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3695B">
                          <w:pPr>
                            <w:pStyle w:val="3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Er5I5AgAAc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tpb1+zq&#10;/gLm0LKw0feWxzRRKm+X+wBpk+JRoF4VdCpuMImpZ+dXE0f9z32Kevx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GZEr5I5AgAAcQQAAA4AAAAAAAAAAQAgAAAAHwEAAGRycy9lMm9Eb2Mu&#10;eG1sUEsFBgAAAAAGAAYAWQEAAMoFAAAAAA==&#10;">
              <v:fill on="f" focussize="0,0"/>
              <v:stroke on="f" weight="0.5pt"/>
              <v:imagedata o:title=""/>
              <o:lock v:ext="edit" aspectratio="f"/>
              <v:textbox inset="0mm,0mm,0mm,0mm" style="mso-fit-shape-to-text:t;">
                <w:txbxContent>
                  <w:p w14:paraId="1673695B">
                    <w:pPr>
                      <w:pStyle w:val="3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6EDC6">
    <w:pPr>
      <w:pStyle w:val="34"/>
      <w:framePr w:wrap="around" w:vAnchor="text" w:hAnchor="margin" w:xAlign="center" w:y="1"/>
      <w:rPr>
        <w:rStyle w:val="56"/>
      </w:rPr>
    </w:pPr>
    <w:r>
      <w:fldChar w:fldCharType="begin"/>
    </w:r>
    <w:r>
      <w:rPr>
        <w:rStyle w:val="56"/>
      </w:rPr>
      <w:instrText xml:space="preserve">PAGE  </w:instrText>
    </w:r>
    <w:r>
      <w:fldChar w:fldCharType="separate"/>
    </w:r>
    <w:r>
      <w:rPr>
        <w:rStyle w:val="56"/>
      </w:rPr>
      <w:t>28</w:t>
    </w:r>
    <w:r>
      <w:fldChar w:fldCharType="end"/>
    </w:r>
  </w:p>
  <w:p w14:paraId="7E70A7D8">
    <w:pPr>
      <w:pStyle w:val="34"/>
      <w:ind w:right="360" w:firstLine="4500" w:firstLineChars="25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83750">
    <w:pPr>
      <w:pStyle w:val="34"/>
      <w:framePr w:wrap="around" w:vAnchor="text" w:hAnchor="margin" w:xAlign="center" w:y="1"/>
      <w:rPr>
        <w:rStyle w:val="56"/>
      </w:rPr>
    </w:pPr>
    <w:r>
      <w:fldChar w:fldCharType="begin"/>
    </w:r>
    <w:r>
      <w:rPr>
        <w:rStyle w:val="56"/>
      </w:rPr>
      <w:instrText xml:space="preserve">PAGE  </w:instrText>
    </w:r>
    <w:r>
      <w:fldChar w:fldCharType="separate"/>
    </w:r>
    <w:r>
      <w:rPr>
        <w:rStyle w:val="56"/>
      </w:rPr>
      <w:t>72</w:t>
    </w:r>
    <w:r>
      <w:fldChar w:fldCharType="end"/>
    </w:r>
  </w:p>
  <w:p w14:paraId="51A43AEF">
    <w:pPr>
      <w:pStyle w:val="34"/>
      <w:ind w:right="360" w:firstLine="4500" w:firstLineChars="250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44C57">
    <w:pPr>
      <w:pStyle w:val="35"/>
      <w:pBdr>
        <w:bottom w:val="single" w:color="auto" w:sz="6" w:space="0"/>
      </w:pBdr>
      <w:jc w:val="both"/>
    </w:pPr>
    <w:r>
      <w:rPr>
        <w:rFonts w:hint="eastAsia"/>
      </w:rPr>
      <w:t>温州市政府（分散）采购招标文件                                             项目编号：</w:t>
    </w:r>
    <w:r>
      <w:rPr>
        <w:rFonts w:hint="eastAsia"/>
        <w:lang w:eastAsia="zh-CN"/>
      </w:rPr>
      <w:t xml:space="preserve">WZLCZB（Z）-2025-01034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8E8EA">
    <w:pPr>
      <w:pStyle w:val="35"/>
      <w:pBdr>
        <w:bottom w:val="single" w:color="auto" w:sz="6" w:space="0"/>
      </w:pBdr>
      <w:jc w:val="both"/>
    </w:pPr>
    <w:r>
      <w:rPr>
        <w:rFonts w:hint="eastAsia"/>
      </w:rPr>
      <w:t>温州市政府（分散）采购招标文件                                             项目编号：</w:t>
    </w:r>
    <w:r>
      <w:rPr>
        <w:rFonts w:hint="eastAsia"/>
        <w:lang w:eastAsia="zh-CN"/>
      </w:rPr>
      <w:t xml:space="preserve">WZLCZB（Z）-2025-01034 </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77E09">
    <w:pPr>
      <w:pStyle w:val="35"/>
      <w:pBdr>
        <w:bottom w:val="single" w:color="auto" w:sz="6" w:space="0"/>
      </w:pBdr>
      <w:jc w:val="both"/>
    </w:pPr>
    <w:r>
      <w:rPr>
        <w:rFonts w:hint="eastAsia"/>
      </w:rPr>
      <w:t>温州市政府（分散）采购招标文件                                             项目编号：</w:t>
    </w:r>
    <w:r>
      <w:rPr>
        <w:rFonts w:hint="eastAsia"/>
        <w:lang w:eastAsia="zh-CN"/>
      </w:rPr>
      <w:t xml:space="preserve">WZLCZB（Z）-2025-01034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C0EE6B"/>
    <w:multiLevelType w:val="singleLevel"/>
    <w:tmpl w:val="B1C0EE6B"/>
    <w:lvl w:ilvl="0" w:tentative="0">
      <w:start w:val="5"/>
      <w:numFmt w:val="chineseCounting"/>
      <w:suff w:val="nothing"/>
      <w:lvlText w:val="%1、"/>
      <w:lvlJc w:val="left"/>
      <w:rPr>
        <w:rFonts w:hint="eastAsia"/>
      </w:rPr>
    </w:lvl>
  </w:abstractNum>
  <w:abstractNum w:abstractNumId="1">
    <w:nsid w:val="BAF9EC89"/>
    <w:multiLevelType w:val="singleLevel"/>
    <w:tmpl w:val="BAF9EC89"/>
    <w:lvl w:ilvl="0" w:tentative="0">
      <w:start w:val="1"/>
      <w:numFmt w:val="chineseCounting"/>
      <w:suff w:val="nothing"/>
      <w:lvlText w:val="（%1）"/>
      <w:lvlJc w:val="left"/>
      <w:rPr>
        <w:rFonts w:hint="eastAsia"/>
      </w:rPr>
    </w:lvl>
  </w:abstractNum>
  <w:abstractNum w:abstractNumId="2">
    <w:nsid w:val="F79998F6"/>
    <w:multiLevelType w:val="singleLevel"/>
    <w:tmpl w:val="F79998F6"/>
    <w:lvl w:ilvl="0" w:tentative="0">
      <w:start w:val="4"/>
      <w:numFmt w:val="decimal"/>
      <w:suff w:val="nothing"/>
      <w:lvlText w:val="%1、"/>
      <w:lvlJc w:val="left"/>
    </w:lvl>
  </w:abstractNum>
  <w:abstractNum w:abstractNumId="3">
    <w:nsid w:val="F9A2F8A5"/>
    <w:multiLevelType w:val="singleLevel"/>
    <w:tmpl w:val="F9A2F8A5"/>
    <w:lvl w:ilvl="0" w:tentative="0">
      <w:start w:val="8"/>
      <w:numFmt w:val="decimal"/>
      <w:suff w:val="nothing"/>
      <w:lvlText w:val="%1、"/>
      <w:lvlJc w:val="left"/>
    </w:lvl>
  </w:abstractNum>
  <w:abstractNum w:abstractNumId="4">
    <w:nsid w:val="59DE7C9A"/>
    <w:multiLevelType w:val="singleLevel"/>
    <w:tmpl w:val="59DE7C9A"/>
    <w:lvl w:ilvl="0" w:tentative="0">
      <w:start w:val="3"/>
      <w:numFmt w:val="chineseCounting"/>
      <w:suff w:val="nothing"/>
      <w:lvlText w:val="%1、"/>
      <w:lvlJc w:val="left"/>
      <w:rPr>
        <w:rFonts w:hint="eastAsia"/>
      </w:rPr>
    </w:lvl>
  </w:abstractNum>
  <w:abstractNum w:abstractNumId="5">
    <w:nsid w:val="6F641B95"/>
    <w:multiLevelType w:val="singleLevel"/>
    <w:tmpl w:val="6F641B95"/>
    <w:lvl w:ilvl="0" w:tentative="0">
      <w:start w:val="12"/>
      <w:numFmt w:val="decimal"/>
      <w:suff w:val="nothing"/>
      <w:lvlText w:val="%1、"/>
      <w:lvlJc w:val="left"/>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forms" w:enforcement="0"/>
  <w:defaultTabStop w:val="420"/>
  <w:drawingGridHorizontalSpacing w:val="210"/>
  <w:drawingGridVerticalSpacing w:val="16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kMDU2YjljNjFkZWFlNzkxZjE4MTdlMTg1NWY3MDkifQ=="/>
  </w:docVars>
  <w:rsids>
    <w:rsidRoot w:val="00172A27"/>
    <w:rsid w:val="000149E3"/>
    <w:rsid w:val="00020693"/>
    <w:rsid w:val="000217C7"/>
    <w:rsid w:val="00026A46"/>
    <w:rsid w:val="00027D0D"/>
    <w:rsid w:val="00031F49"/>
    <w:rsid w:val="00037B6F"/>
    <w:rsid w:val="000474B4"/>
    <w:rsid w:val="00063600"/>
    <w:rsid w:val="000A6326"/>
    <w:rsid w:val="000B2878"/>
    <w:rsid w:val="0010260A"/>
    <w:rsid w:val="0013451B"/>
    <w:rsid w:val="00146E35"/>
    <w:rsid w:val="00172A27"/>
    <w:rsid w:val="00176791"/>
    <w:rsid w:val="0019644F"/>
    <w:rsid w:val="001B0F17"/>
    <w:rsid w:val="001B2275"/>
    <w:rsid w:val="001D4048"/>
    <w:rsid w:val="001D49A1"/>
    <w:rsid w:val="001E7897"/>
    <w:rsid w:val="001F5D2B"/>
    <w:rsid w:val="002018F6"/>
    <w:rsid w:val="002044B9"/>
    <w:rsid w:val="00212172"/>
    <w:rsid w:val="00223CC1"/>
    <w:rsid w:val="00227214"/>
    <w:rsid w:val="00230913"/>
    <w:rsid w:val="00243D5B"/>
    <w:rsid w:val="002447E7"/>
    <w:rsid w:val="00261F3C"/>
    <w:rsid w:val="00270294"/>
    <w:rsid w:val="00271C2D"/>
    <w:rsid w:val="002843F3"/>
    <w:rsid w:val="00296547"/>
    <w:rsid w:val="002A31D6"/>
    <w:rsid w:val="002B5782"/>
    <w:rsid w:val="002C08AE"/>
    <w:rsid w:val="002C09AD"/>
    <w:rsid w:val="002D20EE"/>
    <w:rsid w:val="002D2D3D"/>
    <w:rsid w:val="002E7DAB"/>
    <w:rsid w:val="003058EA"/>
    <w:rsid w:val="00327AB8"/>
    <w:rsid w:val="00350DF6"/>
    <w:rsid w:val="00351F86"/>
    <w:rsid w:val="00352124"/>
    <w:rsid w:val="0035435E"/>
    <w:rsid w:val="00357388"/>
    <w:rsid w:val="00357A7B"/>
    <w:rsid w:val="003654EF"/>
    <w:rsid w:val="00372FCF"/>
    <w:rsid w:val="00373BB2"/>
    <w:rsid w:val="00380B23"/>
    <w:rsid w:val="00383F1F"/>
    <w:rsid w:val="003B0A15"/>
    <w:rsid w:val="003B1471"/>
    <w:rsid w:val="003B5050"/>
    <w:rsid w:val="003C713C"/>
    <w:rsid w:val="00405F28"/>
    <w:rsid w:val="0041137E"/>
    <w:rsid w:val="00430AB9"/>
    <w:rsid w:val="00441256"/>
    <w:rsid w:val="0045663E"/>
    <w:rsid w:val="00461389"/>
    <w:rsid w:val="0046542D"/>
    <w:rsid w:val="00481BD3"/>
    <w:rsid w:val="004B66F1"/>
    <w:rsid w:val="004C013A"/>
    <w:rsid w:val="004C7034"/>
    <w:rsid w:val="005001D6"/>
    <w:rsid w:val="00522EF2"/>
    <w:rsid w:val="005238A3"/>
    <w:rsid w:val="00526065"/>
    <w:rsid w:val="00532669"/>
    <w:rsid w:val="00533C40"/>
    <w:rsid w:val="00555FA3"/>
    <w:rsid w:val="00561E5D"/>
    <w:rsid w:val="0056534C"/>
    <w:rsid w:val="00565E01"/>
    <w:rsid w:val="005674BB"/>
    <w:rsid w:val="00572B8A"/>
    <w:rsid w:val="00582AEF"/>
    <w:rsid w:val="00586839"/>
    <w:rsid w:val="00587A14"/>
    <w:rsid w:val="005A1DD3"/>
    <w:rsid w:val="005A3AA2"/>
    <w:rsid w:val="005A65DF"/>
    <w:rsid w:val="005B3595"/>
    <w:rsid w:val="005C388F"/>
    <w:rsid w:val="00607A59"/>
    <w:rsid w:val="00631E7A"/>
    <w:rsid w:val="0064398C"/>
    <w:rsid w:val="00644CD7"/>
    <w:rsid w:val="00647AB1"/>
    <w:rsid w:val="00654A9F"/>
    <w:rsid w:val="00692D32"/>
    <w:rsid w:val="00696C82"/>
    <w:rsid w:val="006A1CF7"/>
    <w:rsid w:val="006B3E1C"/>
    <w:rsid w:val="006D6C7C"/>
    <w:rsid w:val="006E2672"/>
    <w:rsid w:val="007068AC"/>
    <w:rsid w:val="00722BB3"/>
    <w:rsid w:val="00740E65"/>
    <w:rsid w:val="00753072"/>
    <w:rsid w:val="007546B0"/>
    <w:rsid w:val="007671B7"/>
    <w:rsid w:val="00774E3F"/>
    <w:rsid w:val="00776F48"/>
    <w:rsid w:val="00780CBF"/>
    <w:rsid w:val="00781B95"/>
    <w:rsid w:val="007A21E8"/>
    <w:rsid w:val="007A62BD"/>
    <w:rsid w:val="007B564B"/>
    <w:rsid w:val="007B769B"/>
    <w:rsid w:val="007E29D6"/>
    <w:rsid w:val="007F2164"/>
    <w:rsid w:val="00800A72"/>
    <w:rsid w:val="00804ACD"/>
    <w:rsid w:val="0080543D"/>
    <w:rsid w:val="00817CE2"/>
    <w:rsid w:val="00831C7B"/>
    <w:rsid w:val="00832D9C"/>
    <w:rsid w:val="00836E00"/>
    <w:rsid w:val="00846CC5"/>
    <w:rsid w:val="00850622"/>
    <w:rsid w:val="00870DFA"/>
    <w:rsid w:val="00871EBE"/>
    <w:rsid w:val="00873949"/>
    <w:rsid w:val="00875629"/>
    <w:rsid w:val="00877499"/>
    <w:rsid w:val="00892732"/>
    <w:rsid w:val="00893202"/>
    <w:rsid w:val="0089599B"/>
    <w:rsid w:val="008A127E"/>
    <w:rsid w:val="008B2FA9"/>
    <w:rsid w:val="008C2D7B"/>
    <w:rsid w:val="008C31BC"/>
    <w:rsid w:val="008D62C9"/>
    <w:rsid w:val="008D75C3"/>
    <w:rsid w:val="008E0B76"/>
    <w:rsid w:val="008E26D5"/>
    <w:rsid w:val="008F4E37"/>
    <w:rsid w:val="008F7BE3"/>
    <w:rsid w:val="008F7D27"/>
    <w:rsid w:val="00902AA2"/>
    <w:rsid w:val="009254A6"/>
    <w:rsid w:val="0093089E"/>
    <w:rsid w:val="00933974"/>
    <w:rsid w:val="00936127"/>
    <w:rsid w:val="00945DCB"/>
    <w:rsid w:val="009652E5"/>
    <w:rsid w:val="00973F7A"/>
    <w:rsid w:val="0097671D"/>
    <w:rsid w:val="00977673"/>
    <w:rsid w:val="00987F54"/>
    <w:rsid w:val="00991B38"/>
    <w:rsid w:val="00996305"/>
    <w:rsid w:val="009C748F"/>
    <w:rsid w:val="009E4D45"/>
    <w:rsid w:val="00A24A5C"/>
    <w:rsid w:val="00A42424"/>
    <w:rsid w:val="00A45873"/>
    <w:rsid w:val="00A56219"/>
    <w:rsid w:val="00A61866"/>
    <w:rsid w:val="00A77176"/>
    <w:rsid w:val="00A92B83"/>
    <w:rsid w:val="00A957CF"/>
    <w:rsid w:val="00AA3DA6"/>
    <w:rsid w:val="00AA7C87"/>
    <w:rsid w:val="00AD66E6"/>
    <w:rsid w:val="00AE4B39"/>
    <w:rsid w:val="00AF7BEB"/>
    <w:rsid w:val="00B06E43"/>
    <w:rsid w:val="00B2584A"/>
    <w:rsid w:val="00B41362"/>
    <w:rsid w:val="00B43A9E"/>
    <w:rsid w:val="00B44537"/>
    <w:rsid w:val="00B5466C"/>
    <w:rsid w:val="00B74039"/>
    <w:rsid w:val="00B87E26"/>
    <w:rsid w:val="00B9767A"/>
    <w:rsid w:val="00BA78D1"/>
    <w:rsid w:val="00BC0A13"/>
    <w:rsid w:val="00BC2B54"/>
    <w:rsid w:val="00BC4AC5"/>
    <w:rsid w:val="00BC66D1"/>
    <w:rsid w:val="00BF1399"/>
    <w:rsid w:val="00BF32BD"/>
    <w:rsid w:val="00C12358"/>
    <w:rsid w:val="00C232C8"/>
    <w:rsid w:val="00C468B7"/>
    <w:rsid w:val="00C67C97"/>
    <w:rsid w:val="00C70CE6"/>
    <w:rsid w:val="00C758F7"/>
    <w:rsid w:val="00C816DD"/>
    <w:rsid w:val="00C95163"/>
    <w:rsid w:val="00CB584C"/>
    <w:rsid w:val="00CC06DE"/>
    <w:rsid w:val="00CC3B91"/>
    <w:rsid w:val="00CE590D"/>
    <w:rsid w:val="00CF5C76"/>
    <w:rsid w:val="00D00FFE"/>
    <w:rsid w:val="00D13A1C"/>
    <w:rsid w:val="00D224FF"/>
    <w:rsid w:val="00D27DB2"/>
    <w:rsid w:val="00D3078D"/>
    <w:rsid w:val="00D30E82"/>
    <w:rsid w:val="00D47AC2"/>
    <w:rsid w:val="00D56369"/>
    <w:rsid w:val="00D70EBE"/>
    <w:rsid w:val="00D73718"/>
    <w:rsid w:val="00D7763D"/>
    <w:rsid w:val="00D844F8"/>
    <w:rsid w:val="00DB09B7"/>
    <w:rsid w:val="00DB2DE0"/>
    <w:rsid w:val="00DB41D0"/>
    <w:rsid w:val="00DF073C"/>
    <w:rsid w:val="00DF0B3F"/>
    <w:rsid w:val="00E02244"/>
    <w:rsid w:val="00E05AD1"/>
    <w:rsid w:val="00E11D98"/>
    <w:rsid w:val="00E15CD1"/>
    <w:rsid w:val="00E22045"/>
    <w:rsid w:val="00E248CD"/>
    <w:rsid w:val="00E36483"/>
    <w:rsid w:val="00E53874"/>
    <w:rsid w:val="00E56BD4"/>
    <w:rsid w:val="00E57D1E"/>
    <w:rsid w:val="00E72ABC"/>
    <w:rsid w:val="00E74DBC"/>
    <w:rsid w:val="00E76E5A"/>
    <w:rsid w:val="00EC182D"/>
    <w:rsid w:val="00EC6C26"/>
    <w:rsid w:val="00EC7DF8"/>
    <w:rsid w:val="00ED2873"/>
    <w:rsid w:val="00ED3B24"/>
    <w:rsid w:val="00ED7497"/>
    <w:rsid w:val="00EE45C7"/>
    <w:rsid w:val="00EF4A4C"/>
    <w:rsid w:val="00F03D32"/>
    <w:rsid w:val="00F06ABE"/>
    <w:rsid w:val="00F270F8"/>
    <w:rsid w:val="00F27576"/>
    <w:rsid w:val="00F36312"/>
    <w:rsid w:val="00F5082C"/>
    <w:rsid w:val="00F52CCB"/>
    <w:rsid w:val="00F52CD3"/>
    <w:rsid w:val="00F52E99"/>
    <w:rsid w:val="00F60DCB"/>
    <w:rsid w:val="00F80AAA"/>
    <w:rsid w:val="00F93BBA"/>
    <w:rsid w:val="00F95280"/>
    <w:rsid w:val="00FA662A"/>
    <w:rsid w:val="00FB0E0C"/>
    <w:rsid w:val="00FB1229"/>
    <w:rsid w:val="00FC44CE"/>
    <w:rsid w:val="00FD52B1"/>
    <w:rsid w:val="00FF3A66"/>
    <w:rsid w:val="00FF6977"/>
    <w:rsid w:val="0116709E"/>
    <w:rsid w:val="01606883"/>
    <w:rsid w:val="020D29B1"/>
    <w:rsid w:val="021F7DAD"/>
    <w:rsid w:val="0224444B"/>
    <w:rsid w:val="022D7429"/>
    <w:rsid w:val="02451328"/>
    <w:rsid w:val="027D25C0"/>
    <w:rsid w:val="02841565"/>
    <w:rsid w:val="02B3222E"/>
    <w:rsid w:val="02F63BA4"/>
    <w:rsid w:val="031D0871"/>
    <w:rsid w:val="03283281"/>
    <w:rsid w:val="03331487"/>
    <w:rsid w:val="034A64CB"/>
    <w:rsid w:val="039714E5"/>
    <w:rsid w:val="03BE392F"/>
    <w:rsid w:val="03E13A1E"/>
    <w:rsid w:val="04156ACE"/>
    <w:rsid w:val="042A5AFC"/>
    <w:rsid w:val="043D6DF1"/>
    <w:rsid w:val="043F2279"/>
    <w:rsid w:val="044865A2"/>
    <w:rsid w:val="048D46D7"/>
    <w:rsid w:val="04A01243"/>
    <w:rsid w:val="04C27070"/>
    <w:rsid w:val="04E23C80"/>
    <w:rsid w:val="04FD6D0A"/>
    <w:rsid w:val="05057256"/>
    <w:rsid w:val="050751FC"/>
    <w:rsid w:val="05166806"/>
    <w:rsid w:val="0529508C"/>
    <w:rsid w:val="053A30CA"/>
    <w:rsid w:val="057D25F0"/>
    <w:rsid w:val="05936339"/>
    <w:rsid w:val="05D76F02"/>
    <w:rsid w:val="062F7E7F"/>
    <w:rsid w:val="0650016B"/>
    <w:rsid w:val="06695ADA"/>
    <w:rsid w:val="067F52AB"/>
    <w:rsid w:val="068E5B46"/>
    <w:rsid w:val="06E17425"/>
    <w:rsid w:val="06E81491"/>
    <w:rsid w:val="07081502"/>
    <w:rsid w:val="072046E3"/>
    <w:rsid w:val="07373C8C"/>
    <w:rsid w:val="074234A9"/>
    <w:rsid w:val="0747552D"/>
    <w:rsid w:val="07592C30"/>
    <w:rsid w:val="07791E20"/>
    <w:rsid w:val="078177D5"/>
    <w:rsid w:val="07924879"/>
    <w:rsid w:val="079C0E64"/>
    <w:rsid w:val="07D37D83"/>
    <w:rsid w:val="07D60F62"/>
    <w:rsid w:val="08621901"/>
    <w:rsid w:val="08911C02"/>
    <w:rsid w:val="08913549"/>
    <w:rsid w:val="08A302D0"/>
    <w:rsid w:val="08B53A61"/>
    <w:rsid w:val="08E76FD5"/>
    <w:rsid w:val="08FD20E7"/>
    <w:rsid w:val="09101BCD"/>
    <w:rsid w:val="09310790"/>
    <w:rsid w:val="09315C91"/>
    <w:rsid w:val="093D09BC"/>
    <w:rsid w:val="09510BFE"/>
    <w:rsid w:val="097E368B"/>
    <w:rsid w:val="097E7637"/>
    <w:rsid w:val="09816EE6"/>
    <w:rsid w:val="099757EE"/>
    <w:rsid w:val="09A34824"/>
    <w:rsid w:val="09B85302"/>
    <w:rsid w:val="09B94936"/>
    <w:rsid w:val="09D26DBF"/>
    <w:rsid w:val="09F65854"/>
    <w:rsid w:val="0A07422F"/>
    <w:rsid w:val="0A1B49C1"/>
    <w:rsid w:val="0A3D0590"/>
    <w:rsid w:val="0A7416D8"/>
    <w:rsid w:val="0A7D7140"/>
    <w:rsid w:val="0A8945EB"/>
    <w:rsid w:val="0BAC1F4C"/>
    <w:rsid w:val="0BBE4F63"/>
    <w:rsid w:val="0BDA530A"/>
    <w:rsid w:val="0C0247C0"/>
    <w:rsid w:val="0C3408BA"/>
    <w:rsid w:val="0C353302"/>
    <w:rsid w:val="0C496297"/>
    <w:rsid w:val="0C660E5E"/>
    <w:rsid w:val="0C9A109E"/>
    <w:rsid w:val="0CA74D09"/>
    <w:rsid w:val="0CA9483B"/>
    <w:rsid w:val="0CC51217"/>
    <w:rsid w:val="0CCB1484"/>
    <w:rsid w:val="0D0A01F7"/>
    <w:rsid w:val="0D1F1C9D"/>
    <w:rsid w:val="0D2D5470"/>
    <w:rsid w:val="0D735BCC"/>
    <w:rsid w:val="0D7C2119"/>
    <w:rsid w:val="0D920730"/>
    <w:rsid w:val="0DE33D9A"/>
    <w:rsid w:val="0E022677"/>
    <w:rsid w:val="0E064CB1"/>
    <w:rsid w:val="0E4706D1"/>
    <w:rsid w:val="0E4B6575"/>
    <w:rsid w:val="0E5C2643"/>
    <w:rsid w:val="0E6537C4"/>
    <w:rsid w:val="0E701E1B"/>
    <w:rsid w:val="0E750CB0"/>
    <w:rsid w:val="0E8E6882"/>
    <w:rsid w:val="0EDB4D40"/>
    <w:rsid w:val="0EE50D43"/>
    <w:rsid w:val="0F0377AE"/>
    <w:rsid w:val="0F0E6EE3"/>
    <w:rsid w:val="0F706416"/>
    <w:rsid w:val="0FCD5779"/>
    <w:rsid w:val="0FD03A0D"/>
    <w:rsid w:val="100815E0"/>
    <w:rsid w:val="10381F40"/>
    <w:rsid w:val="104869BA"/>
    <w:rsid w:val="10575CC4"/>
    <w:rsid w:val="10D75E1E"/>
    <w:rsid w:val="10F47168"/>
    <w:rsid w:val="110264F1"/>
    <w:rsid w:val="1104198D"/>
    <w:rsid w:val="1105049E"/>
    <w:rsid w:val="115434FF"/>
    <w:rsid w:val="115D3896"/>
    <w:rsid w:val="11B62E53"/>
    <w:rsid w:val="12103D4D"/>
    <w:rsid w:val="12345EA5"/>
    <w:rsid w:val="124027F2"/>
    <w:rsid w:val="125A673E"/>
    <w:rsid w:val="12775E6D"/>
    <w:rsid w:val="129B2E46"/>
    <w:rsid w:val="12A01322"/>
    <w:rsid w:val="12AB0828"/>
    <w:rsid w:val="12E05DF5"/>
    <w:rsid w:val="133616DD"/>
    <w:rsid w:val="13582BF6"/>
    <w:rsid w:val="13583E3E"/>
    <w:rsid w:val="138356B4"/>
    <w:rsid w:val="13884680"/>
    <w:rsid w:val="13996DA4"/>
    <w:rsid w:val="13A56966"/>
    <w:rsid w:val="13B56A40"/>
    <w:rsid w:val="13D309B3"/>
    <w:rsid w:val="13E26EA1"/>
    <w:rsid w:val="13EC3F05"/>
    <w:rsid w:val="13FF0438"/>
    <w:rsid w:val="14077D57"/>
    <w:rsid w:val="14342819"/>
    <w:rsid w:val="14965811"/>
    <w:rsid w:val="14D92610"/>
    <w:rsid w:val="15001500"/>
    <w:rsid w:val="154A25D7"/>
    <w:rsid w:val="15503788"/>
    <w:rsid w:val="15525604"/>
    <w:rsid w:val="156E5828"/>
    <w:rsid w:val="15B36E57"/>
    <w:rsid w:val="15B43A33"/>
    <w:rsid w:val="15C02CFA"/>
    <w:rsid w:val="15C07FB3"/>
    <w:rsid w:val="15D02588"/>
    <w:rsid w:val="163004AD"/>
    <w:rsid w:val="164356BB"/>
    <w:rsid w:val="166F777C"/>
    <w:rsid w:val="169C21B8"/>
    <w:rsid w:val="169C6B59"/>
    <w:rsid w:val="16BB60A4"/>
    <w:rsid w:val="16D604C4"/>
    <w:rsid w:val="16EF3C99"/>
    <w:rsid w:val="171E6AF8"/>
    <w:rsid w:val="173A5387"/>
    <w:rsid w:val="17725C57"/>
    <w:rsid w:val="17755246"/>
    <w:rsid w:val="17800AEC"/>
    <w:rsid w:val="18245E40"/>
    <w:rsid w:val="186B461D"/>
    <w:rsid w:val="188456C2"/>
    <w:rsid w:val="188B4950"/>
    <w:rsid w:val="18AD0824"/>
    <w:rsid w:val="18C50468"/>
    <w:rsid w:val="18C7387D"/>
    <w:rsid w:val="18C76564"/>
    <w:rsid w:val="19087A11"/>
    <w:rsid w:val="191B7534"/>
    <w:rsid w:val="196C6250"/>
    <w:rsid w:val="196E2C37"/>
    <w:rsid w:val="1974690A"/>
    <w:rsid w:val="19C072D3"/>
    <w:rsid w:val="1A25720B"/>
    <w:rsid w:val="1A510684"/>
    <w:rsid w:val="1A6171B2"/>
    <w:rsid w:val="1AA65F2A"/>
    <w:rsid w:val="1AA666F2"/>
    <w:rsid w:val="1ADC340E"/>
    <w:rsid w:val="1AED2C78"/>
    <w:rsid w:val="1AEF15D5"/>
    <w:rsid w:val="1B1F6B22"/>
    <w:rsid w:val="1B343FD0"/>
    <w:rsid w:val="1B356551"/>
    <w:rsid w:val="1B377F92"/>
    <w:rsid w:val="1B3E4ABA"/>
    <w:rsid w:val="1B9D2D2C"/>
    <w:rsid w:val="1BAB13EA"/>
    <w:rsid w:val="1BE02644"/>
    <w:rsid w:val="1BF27CE6"/>
    <w:rsid w:val="1BF47F6B"/>
    <w:rsid w:val="1BF57F17"/>
    <w:rsid w:val="1C13053F"/>
    <w:rsid w:val="1C162BF5"/>
    <w:rsid w:val="1C212DFA"/>
    <w:rsid w:val="1C3065A1"/>
    <w:rsid w:val="1C32514E"/>
    <w:rsid w:val="1C8449C2"/>
    <w:rsid w:val="1C8676F7"/>
    <w:rsid w:val="1C8B5EF5"/>
    <w:rsid w:val="1C9B7764"/>
    <w:rsid w:val="1C9C37E6"/>
    <w:rsid w:val="1CA0162A"/>
    <w:rsid w:val="1CA3081A"/>
    <w:rsid w:val="1CB81673"/>
    <w:rsid w:val="1CEB7EC5"/>
    <w:rsid w:val="1D0A50BD"/>
    <w:rsid w:val="1D184A21"/>
    <w:rsid w:val="1D2A3DAB"/>
    <w:rsid w:val="1D2C5A80"/>
    <w:rsid w:val="1D46542E"/>
    <w:rsid w:val="1D6359BB"/>
    <w:rsid w:val="1D664936"/>
    <w:rsid w:val="1D71729C"/>
    <w:rsid w:val="1D981331"/>
    <w:rsid w:val="1DAB3C89"/>
    <w:rsid w:val="1DC06E93"/>
    <w:rsid w:val="1DCC77C2"/>
    <w:rsid w:val="1DCF4890"/>
    <w:rsid w:val="1DFB57EB"/>
    <w:rsid w:val="1E0062C5"/>
    <w:rsid w:val="1E4F15C4"/>
    <w:rsid w:val="1E665E93"/>
    <w:rsid w:val="1E6D0B8E"/>
    <w:rsid w:val="1E740910"/>
    <w:rsid w:val="1E8A1B7B"/>
    <w:rsid w:val="1ED05FDD"/>
    <w:rsid w:val="1EDA4565"/>
    <w:rsid w:val="1F0115E6"/>
    <w:rsid w:val="1F8B73B9"/>
    <w:rsid w:val="1F8F25D3"/>
    <w:rsid w:val="1FC0508F"/>
    <w:rsid w:val="1FD17519"/>
    <w:rsid w:val="1FDE37FF"/>
    <w:rsid w:val="1FE87CF6"/>
    <w:rsid w:val="20142293"/>
    <w:rsid w:val="202875D1"/>
    <w:rsid w:val="203B6405"/>
    <w:rsid w:val="204042C4"/>
    <w:rsid w:val="204434A6"/>
    <w:rsid w:val="208E2CB0"/>
    <w:rsid w:val="20C7192F"/>
    <w:rsid w:val="20C94ACB"/>
    <w:rsid w:val="20CC6F0F"/>
    <w:rsid w:val="20F3606E"/>
    <w:rsid w:val="2117534C"/>
    <w:rsid w:val="213009EF"/>
    <w:rsid w:val="213D75BE"/>
    <w:rsid w:val="213F7AB1"/>
    <w:rsid w:val="217A33A1"/>
    <w:rsid w:val="21872636"/>
    <w:rsid w:val="218F2648"/>
    <w:rsid w:val="21AB5C9B"/>
    <w:rsid w:val="21B427AB"/>
    <w:rsid w:val="21BD46E0"/>
    <w:rsid w:val="2276778F"/>
    <w:rsid w:val="227C0C68"/>
    <w:rsid w:val="227D1F07"/>
    <w:rsid w:val="22AE5DFE"/>
    <w:rsid w:val="22C13E16"/>
    <w:rsid w:val="23025E80"/>
    <w:rsid w:val="235C31B0"/>
    <w:rsid w:val="237A644B"/>
    <w:rsid w:val="23C16FD2"/>
    <w:rsid w:val="242C445B"/>
    <w:rsid w:val="247E04BE"/>
    <w:rsid w:val="248B6BF0"/>
    <w:rsid w:val="24975A35"/>
    <w:rsid w:val="24A451C8"/>
    <w:rsid w:val="24B0777F"/>
    <w:rsid w:val="24B80E3D"/>
    <w:rsid w:val="24BA3A6C"/>
    <w:rsid w:val="24C14262"/>
    <w:rsid w:val="24DB11B1"/>
    <w:rsid w:val="24DB1DC1"/>
    <w:rsid w:val="254579AD"/>
    <w:rsid w:val="25482804"/>
    <w:rsid w:val="25550995"/>
    <w:rsid w:val="25916749"/>
    <w:rsid w:val="25B15AD3"/>
    <w:rsid w:val="25E5097B"/>
    <w:rsid w:val="25ED1CE2"/>
    <w:rsid w:val="260366CA"/>
    <w:rsid w:val="26190B1E"/>
    <w:rsid w:val="261954E5"/>
    <w:rsid w:val="26356690"/>
    <w:rsid w:val="26460131"/>
    <w:rsid w:val="26B25A04"/>
    <w:rsid w:val="26E86A48"/>
    <w:rsid w:val="27101EDB"/>
    <w:rsid w:val="27322C55"/>
    <w:rsid w:val="27450F96"/>
    <w:rsid w:val="27A03254"/>
    <w:rsid w:val="27A230C5"/>
    <w:rsid w:val="27A851CF"/>
    <w:rsid w:val="27F6755B"/>
    <w:rsid w:val="2835156C"/>
    <w:rsid w:val="285E7742"/>
    <w:rsid w:val="285F589C"/>
    <w:rsid w:val="2860075F"/>
    <w:rsid w:val="288E7537"/>
    <w:rsid w:val="28D51CE9"/>
    <w:rsid w:val="28E0382C"/>
    <w:rsid w:val="28FB2940"/>
    <w:rsid w:val="29196D27"/>
    <w:rsid w:val="2935387C"/>
    <w:rsid w:val="295642C7"/>
    <w:rsid w:val="29923BE6"/>
    <w:rsid w:val="29A32671"/>
    <w:rsid w:val="29C74D12"/>
    <w:rsid w:val="29D70027"/>
    <w:rsid w:val="29DA51F1"/>
    <w:rsid w:val="29E4565C"/>
    <w:rsid w:val="2A217644"/>
    <w:rsid w:val="2A5522DC"/>
    <w:rsid w:val="2A6D7AE4"/>
    <w:rsid w:val="2A81126C"/>
    <w:rsid w:val="2A9A509F"/>
    <w:rsid w:val="2ABE75C5"/>
    <w:rsid w:val="2AC54EDF"/>
    <w:rsid w:val="2AD94E58"/>
    <w:rsid w:val="2ADE1592"/>
    <w:rsid w:val="2AE72478"/>
    <w:rsid w:val="2AFE6BB2"/>
    <w:rsid w:val="2AFF547A"/>
    <w:rsid w:val="2B0F5BE3"/>
    <w:rsid w:val="2B194010"/>
    <w:rsid w:val="2B1A0A86"/>
    <w:rsid w:val="2B766889"/>
    <w:rsid w:val="2B8F7412"/>
    <w:rsid w:val="2BB62C14"/>
    <w:rsid w:val="2BB82208"/>
    <w:rsid w:val="2BC1544C"/>
    <w:rsid w:val="2BF25A55"/>
    <w:rsid w:val="2BF83122"/>
    <w:rsid w:val="2C4D4422"/>
    <w:rsid w:val="2C61592A"/>
    <w:rsid w:val="2C8E617D"/>
    <w:rsid w:val="2CF23348"/>
    <w:rsid w:val="2D0212AF"/>
    <w:rsid w:val="2D0721CE"/>
    <w:rsid w:val="2D2D0FB8"/>
    <w:rsid w:val="2D5369A4"/>
    <w:rsid w:val="2D553E12"/>
    <w:rsid w:val="2D563294"/>
    <w:rsid w:val="2D572DE8"/>
    <w:rsid w:val="2D7657B0"/>
    <w:rsid w:val="2DA92533"/>
    <w:rsid w:val="2DC542FD"/>
    <w:rsid w:val="2DE82850"/>
    <w:rsid w:val="2E027319"/>
    <w:rsid w:val="2E122D5F"/>
    <w:rsid w:val="2E2B3AF8"/>
    <w:rsid w:val="2E740C9C"/>
    <w:rsid w:val="2E912614"/>
    <w:rsid w:val="2EB82B9B"/>
    <w:rsid w:val="2EDB211E"/>
    <w:rsid w:val="2F9C03F4"/>
    <w:rsid w:val="2FAF734F"/>
    <w:rsid w:val="2FB74538"/>
    <w:rsid w:val="2FC85BC4"/>
    <w:rsid w:val="2FF16930"/>
    <w:rsid w:val="2FFF1601"/>
    <w:rsid w:val="30255652"/>
    <w:rsid w:val="302A5959"/>
    <w:rsid w:val="305B0C4B"/>
    <w:rsid w:val="306F34C7"/>
    <w:rsid w:val="30F2409A"/>
    <w:rsid w:val="31024AE6"/>
    <w:rsid w:val="31232744"/>
    <w:rsid w:val="313F60CD"/>
    <w:rsid w:val="314362AE"/>
    <w:rsid w:val="316C164E"/>
    <w:rsid w:val="31AC33EA"/>
    <w:rsid w:val="31B469D0"/>
    <w:rsid w:val="31D64F96"/>
    <w:rsid w:val="32017181"/>
    <w:rsid w:val="3202578C"/>
    <w:rsid w:val="326D3B31"/>
    <w:rsid w:val="327021FA"/>
    <w:rsid w:val="32706248"/>
    <w:rsid w:val="329C1DF0"/>
    <w:rsid w:val="329E2BA3"/>
    <w:rsid w:val="32AE7A75"/>
    <w:rsid w:val="32D13ACA"/>
    <w:rsid w:val="32E032B1"/>
    <w:rsid w:val="32EF11A3"/>
    <w:rsid w:val="32EF2028"/>
    <w:rsid w:val="33011C41"/>
    <w:rsid w:val="333C6A3D"/>
    <w:rsid w:val="33644CFD"/>
    <w:rsid w:val="33774568"/>
    <w:rsid w:val="33A0028D"/>
    <w:rsid w:val="33A570FA"/>
    <w:rsid w:val="33D32C1C"/>
    <w:rsid w:val="33D92429"/>
    <w:rsid w:val="343B3818"/>
    <w:rsid w:val="343C1893"/>
    <w:rsid w:val="358526AE"/>
    <w:rsid w:val="35B43FF1"/>
    <w:rsid w:val="35B54B22"/>
    <w:rsid w:val="35DF0F8E"/>
    <w:rsid w:val="35E83CBD"/>
    <w:rsid w:val="35EF293B"/>
    <w:rsid w:val="35F13A2A"/>
    <w:rsid w:val="3604326E"/>
    <w:rsid w:val="360453EB"/>
    <w:rsid w:val="361633A9"/>
    <w:rsid w:val="362C0965"/>
    <w:rsid w:val="36495F37"/>
    <w:rsid w:val="36523501"/>
    <w:rsid w:val="366A6E58"/>
    <w:rsid w:val="37366041"/>
    <w:rsid w:val="373D0F4E"/>
    <w:rsid w:val="375D41E8"/>
    <w:rsid w:val="37625DAE"/>
    <w:rsid w:val="377717B0"/>
    <w:rsid w:val="379D7A74"/>
    <w:rsid w:val="37A03DDA"/>
    <w:rsid w:val="37DC389E"/>
    <w:rsid w:val="37E41DF1"/>
    <w:rsid w:val="37FC364E"/>
    <w:rsid w:val="38435B91"/>
    <w:rsid w:val="38463090"/>
    <w:rsid w:val="387842BB"/>
    <w:rsid w:val="3882116E"/>
    <w:rsid w:val="388234B9"/>
    <w:rsid w:val="38973473"/>
    <w:rsid w:val="38A56CC9"/>
    <w:rsid w:val="38C05F24"/>
    <w:rsid w:val="38D750B8"/>
    <w:rsid w:val="38F2240C"/>
    <w:rsid w:val="39171CC0"/>
    <w:rsid w:val="393F39C1"/>
    <w:rsid w:val="3941283A"/>
    <w:rsid w:val="395212E1"/>
    <w:rsid w:val="39976574"/>
    <w:rsid w:val="39A165F9"/>
    <w:rsid w:val="39B72706"/>
    <w:rsid w:val="39C63250"/>
    <w:rsid w:val="39C84E5A"/>
    <w:rsid w:val="39FA0921"/>
    <w:rsid w:val="3A3457E8"/>
    <w:rsid w:val="3A3F0320"/>
    <w:rsid w:val="3A536E24"/>
    <w:rsid w:val="3A565A98"/>
    <w:rsid w:val="3A810ECA"/>
    <w:rsid w:val="3A871F8A"/>
    <w:rsid w:val="3AA31206"/>
    <w:rsid w:val="3AB57780"/>
    <w:rsid w:val="3AC65AD2"/>
    <w:rsid w:val="3ACF5A26"/>
    <w:rsid w:val="3B1B509F"/>
    <w:rsid w:val="3B3575B2"/>
    <w:rsid w:val="3B4764C1"/>
    <w:rsid w:val="3B54731C"/>
    <w:rsid w:val="3B67428D"/>
    <w:rsid w:val="3B713350"/>
    <w:rsid w:val="3B7A26BE"/>
    <w:rsid w:val="3BE767A5"/>
    <w:rsid w:val="3C1701DB"/>
    <w:rsid w:val="3C187C37"/>
    <w:rsid w:val="3C2E25AC"/>
    <w:rsid w:val="3C33699A"/>
    <w:rsid w:val="3C41291B"/>
    <w:rsid w:val="3C447C27"/>
    <w:rsid w:val="3C4E3440"/>
    <w:rsid w:val="3C5E660C"/>
    <w:rsid w:val="3D7669BA"/>
    <w:rsid w:val="3DCA247C"/>
    <w:rsid w:val="3E225ED0"/>
    <w:rsid w:val="3E29108F"/>
    <w:rsid w:val="3E65209B"/>
    <w:rsid w:val="3E763568"/>
    <w:rsid w:val="3EB341AB"/>
    <w:rsid w:val="3EC20226"/>
    <w:rsid w:val="3EC24A8F"/>
    <w:rsid w:val="3EC451E1"/>
    <w:rsid w:val="3EC47F80"/>
    <w:rsid w:val="3F1E63B0"/>
    <w:rsid w:val="3F2226EC"/>
    <w:rsid w:val="3F601C75"/>
    <w:rsid w:val="3FAC6CE4"/>
    <w:rsid w:val="3FB04B06"/>
    <w:rsid w:val="3FDA48AC"/>
    <w:rsid w:val="4004626D"/>
    <w:rsid w:val="402A3DD6"/>
    <w:rsid w:val="402E363B"/>
    <w:rsid w:val="403A7A13"/>
    <w:rsid w:val="40883F9A"/>
    <w:rsid w:val="40A6403B"/>
    <w:rsid w:val="40C31767"/>
    <w:rsid w:val="40D11C13"/>
    <w:rsid w:val="40D14228"/>
    <w:rsid w:val="40E32648"/>
    <w:rsid w:val="4112135F"/>
    <w:rsid w:val="413F338F"/>
    <w:rsid w:val="415D3A83"/>
    <w:rsid w:val="419659D4"/>
    <w:rsid w:val="41A50FA5"/>
    <w:rsid w:val="41AF222E"/>
    <w:rsid w:val="41CC07BC"/>
    <w:rsid w:val="41DD5AAF"/>
    <w:rsid w:val="420569A4"/>
    <w:rsid w:val="424348AC"/>
    <w:rsid w:val="4246080B"/>
    <w:rsid w:val="42CE24FD"/>
    <w:rsid w:val="42F302DD"/>
    <w:rsid w:val="43260C43"/>
    <w:rsid w:val="437B3D76"/>
    <w:rsid w:val="438034F8"/>
    <w:rsid w:val="4388321A"/>
    <w:rsid w:val="441A31FF"/>
    <w:rsid w:val="443F03D6"/>
    <w:rsid w:val="446A3759"/>
    <w:rsid w:val="446B4961"/>
    <w:rsid w:val="44766C00"/>
    <w:rsid w:val="449428DA"/>
    <w:rsid w:val="45132E7E"/>
    <w:rsid w:val="45797DA1"/>
    <w:rsid w:val="45A046DF"/>
    <w:rsid w:val="45B725A0"/>
    <w:rsid w:val="45D33008"/>
    <w:rsid w:val="45D53422"/>
    <w:rsid w:val="462E25CA"/>
    <w:rsid w:val="46303A17"/>
    <w:rsid w:val="465A58CC"/>
    <w:rsid w:val="46931FE6"/>
    <w:rsid w:val="46D637ED"/>
    <w:rsid w:val="46DD3F38"/>
    <w:rsid w:val="46F16F1D"/>
    <w:rsid w:val="46FD2CBF"/>
    <w:rsid w:val="470731AB"/>
    <w:rsid w:val="472910BD"/>
    <w:rsid w:val="47471595"/>
    <w:rsid w:val="47553E8E"/>
    <w:rsid w:val="477C293C"/>
    <w:rsid w:val="47CA2F97"/>
    <w:rsid w:val="47D84675"/>
    <w:rsid w:val="47E17B3A"/>
    <w:rsid w:val="481379C4"/>
    <w:rsid w:val="481947FE"/>
    <w:rsid w:val="483B043E"/>
    <w:rsid w:val="486B0826"/>
    <w:rsid w:val="486B1D8E"/>
    <w:rsid w:val="48A93D74"/>
    <w:rsid w:val="48D139F6"/>
    <w:rsid w:val="48F56DD6"/>
    <w:rsid w:val="49107A31"/>
    <w:rsid w:val="491916C6"/>
    <w:rsid w:val="493D0114"/>
    <w:rsid w:val="49573AC8"/>
    <w:rsid w:val="49AA7971"/>
    <w:rsid w:val="49FE240E"/>
    <w:rsid w:val="4A141151"/>
    <w:rsid w:val="4A316318"/>
    <w:rsid w:val="4A5950C6"/>
    <w:rsid w:val="4A643B84"/>
    <w:rsid w:val="4A777A6A"/>
    <w:rsid w:val="4A843548"/>
    <w:rsid w:val="4AC9062D"/>
    <w:rsid w:val="4AE52C42"/>
    <w:rsid w:val="4AF2187D"/>
    <w:rsid w:val="4AFC3953"/>
    <w:rsid w:val="4B1E385E"/>
    <w:rsid w:val="4B6870F9"/>
    <w:rsid w:val="4B6C2969"/>
    <w:rsid w:val="4BCF6DCB"/>
    <w:rsid w:val="4BD06B38"/>
    <w:rsid w:val="4BDF321A"/>
    <w:rsid w:val="4C0065CE"/>
    <w:rsid w:val="4C18241E"/>
    <w:rsid w:val="4C227943"/>
    <w:rsid w:val="4C4373DD"/>
    <w:rsid w:val="4C472142"/>
    <w:rsid w:val="4C5F22C4"/>
    <w:rsid w:val="4CDD603C"/>
    <w:rsid w:val="4DC86CD0"/>
    <w:rsid w:val="4DD62C1F"/>
    <w:rsid w:val="4DF46D27"/>
    <w:rsid w:val="4E367509"/>
    <w:rsid w:val="4E5211BA"/>
    <w:rsid w:val="4E90713C"/>
    <w:rsid w:val="4E9D1D1E"/>
    <w:rsid w:val="4F0E0B1D"/>
    <w:rsid w:val="4F17149E"/>
    <w:rsid w:val="4F563CC4"/>
    <w:rsid w:val="4FBD41CA"/>
    <w:rsid w:val="4FD246D2"/>
    <w:rsid w:val="50077D56"/>
    <w:rsid w:val="50131451"/>
    <w:rsid w:val="50831BFE"/>
    <w:rsid w:val="50B52FE4"/>
    <w:rsid w:val="50BF2E54"/>
    <w:rsid w:val="51390BE4"/>
    <w:rsid w:val="51C804DE"/>
    <w:rsid w:val="51CF0D4C"/>
    <w:rsid w:val="51E12FF8"/>
    <w:rsid w:val="51E33826"/>
    <w:rsid w:val="51E71C22"/>
    <w:rsid w:val="520C6B50"/>
    <w:rsid w:val="522E62F3"/>
    <w:rsid w:val="52A33960"/>
    <w:rsid w:val="52B476CE"/>
    <w:rsid w:val="52F47A95"/>
    <w:rsid w:val="531645CA"/>
    <w:rsid w:val="531F2A96"/>
    <w:rsid w:val="53262EC9"/>
    <w:rsid w:val="53734149"/>
    <w:rsid w:val="53932760"/>
    <w:rsid w:val="539873E7"/>
    <w:rsid w:val="53B46D0C"/>
    <w:rsid w:val="54087353"/>
    <w:rsid w:val="54375044"/>
    <w:rsid w:val="544232E7"/>
    <w:rsid w:val="54557110"/>
    <w:rsid w:val="549661B6"/>
    <w:rsid w:val="54994A4A"/>
    <w:rsid w:val="54D24E79"/>
    <w:rsid w:val="5503429F"/>
    <w:rsid w:val="550A61E2"/>
    <w:rsid w:val="551027C6"/>
    <w:rsid w:val="552F7315"/>
    <w:rsid w:val="554B0FDD"/>
    <w:rsid w:val="55631D2D"/>
    <w:rsid w:val="55BB1E97"/>
    <w:rsid w:val="55C8709D"/>
    <w:rsid w:val="560509A3"/>
    <w:rsid w:val="56050C0A"/>
    <w:rsid w:val="56250237"/>
    <w:rsid w:val="564516DC"/>
    <w:rsid w:val="564569EB"/>
    <w:rsid w:val="565C75D3"/>
    <w:rsid w:val="56AB5944"/>
    <w:rsid w:val="56F645A2"/>
    <w:rsid w:val="57214861"/>
    <w:rsid w:val="572B4616"/>
    <w:rsid w:val="57541EAD"/>
    <w:rsid w:val="57645775"/>
    <w:rsid w:val="576D2C98"/>
    <w:rsid w:val="577465D8"/>
    <w:rsid w:val="57AE5029"/>
    <w:rsid w:val="57C23486"/>
    <w:rsid w:val="57D123D3"/>
    <w:rsid w:val="5807247D"/>
    <w:rsid w:val="58117CC1"/>
    <w:rsid w:val="582C3384"/>
    <w:rsid w:val="58624A55"/>
    <w:rsid w:val="59162EF2"/>
    <w:rsid w:val="59216A89"/>
    <w:rsid w:val="59A175DF"/>
    <w:rsid w:val="59B819C2"/>
    <w:rsid w:val="59C7668D"/>
    <w:rsid w:val="59F91244"/>
    <w:rsid w:val="59FC4729"/>
    <w:rsid w:val="59FF697B"/>
    <w:rsid w:val="5A0B75E4"/>
    <w:rsid w:val="5A575BFF"/>
    <w:rsid w:val="5A77586F"/>
    <w:rsid w:val="5A972DE2"/>
    <w:rsid w:val="5AA12CBD"/>
    <w:rsid w:val="5AB013A7"/>
    <w:rsid w:val="5ACA65CD"/>
    <w:rsid w:val="5ACC7A53"/>
    <w:rsid w:val="5AE51758"/>
    <w:rsid w:val="5B581F93"/>
    <w:rsid w:val="5B6B529B"/>
    <w:rsid w:val="5BB250E2"/>
    <w:rsid w:val="5BB3320D"/>
    <w:rsid w:val="5BC31A45"/>
    <w:rsid w:val="5BC772C9"/>
    <w:rsid w:val="5BF50377"/>
    <w:rsid w:val="5C0E26B3"/>
    <w:rsid w:val="5C465FA2"/>
    <w:rsid w:val="5C544090"/>
    <w:rsid w:val="5C726BB6"/>
    <w:rsid w:val="5C7322D1"/>
    <w:rsid w:val="5CEF4070"/>
    <w:rsid w:val="5CFC28A8"/>
    <w:rsid w:val="5D246FFC"/>
    <w:rsid w:val="5D36426B"/>
    <w:rsid w:val="5DDA696A"/>
    <w:rsid w:val="5E402557"/>
    <w:rsid w:val="5E410FFD"/>
    <w:rsid w:val="5E544606"/>
    <w:rsid w:val="5E8E05EA"/>
    <w:rsid w:val="5EFA6F32"/>
    <w:rsid w:val="5EFB61FA"/>
    <w:rsid w:val="5F0D453E"/>
    <w:rsid w:val="5F2C7D02"/>
    <w:rsid w:val="5F31206E"/>
    <w:rsid w:val="5F7663E9"/>
    <w:rsid w:val="5FB656F9"/>
    <w:rsid w:val="5FBC2CFA"/>
    <w:rsid w:val="5FC53466"/>
    <w:rsid w:val="5FD13015"/>
    <w:rsid w:val="5FF56DB4"/>
    <w:rsid w:val="60190EE3"/>
    <w:rsid w:val="601D48F2"/>
    <w:rsid w:val="601E31F8"/>
    <w:rsid w:val="602832C7"/>
    <w:rsid w:val="603D1F50"/>
    <w:rsid w:val="603F673E"/>
    <w:rsid w:val="605467C6"/>
    <w:rsid w:val="60D605A1"/>
    <w:rsid w:val="612C537D"/>
    <w:rsid w:val="61464F6C"/>
    <w:rsid w:val="61515A7F"/>
    <w:rsid w:val="61633E93"/>
    <w:rsid w:val="61A4558D"/>
    <w:rsid w:val="61B30AF0"/>
    <w:rsid w:val="61C32B70"/>
    <w:rsid w:val="61D54EA8"/>
    <w:rsid w:val="61E045CD"/>
    <w:rsid w:val="61E23930"/>
    <w:rsid w:val="62016875"/>
    <w:rsid w:val="621962C3"/>
    <w:rsid w:val="623E052A"/>
    <w:rsid w:val="628B7263"/>
    <w:rsid w:val="62902D58"/>
    <w:rsid w:val="62AE4BDA"/>
    <w:rsid w:val="62C97640"/>
    <w:rsid w:val="62D27C48"/>
    <w:rsid w:val="62FE5BAA"/>
    <w:rsid w:val="6307315E"/>
    <w:rsid w:val="63184211"/>
    <w:rsid w:val="631B5AD9"/>
    <w:rsid w:val="635514AC"/>
    <w:rsid w:val="635C575B"/>
    <w:rsid w:val="63617022"/>
    <w:rsid w:val="63672302"/>
    <w:rsid w:val="636863CF"/>
    <w:rsid w:val="63715219"/>
    <w:rsid w:val="63752C12"/>
    <w:rsid w:val="638C1080"/>
    <w:rsid w:val="63B413CF"/>
    <w:rsid w:val="63D4721A"/>
    <w:rsid w:val="63FF6C27"/>
    <w:rsid w:val="6405263C"/>
    <w:rsid w:val="642454D9"/>
    <w:rsid w:val="6464336B"/>
    <w:rsid w:val="653C5193"/>
    <w:rsid w:val="655C7828"/>
    <w:rsid w:val="658B4967"/>
    <w:rsid w:val="65CB1350"/>
    <w:rsid w:val="66330E7B"/>
    <w:rsid w:val="66351622"/>
    <w:rsid w:val="665A2304"/>
    <w:rsid w:val="669C6349"/>
    <w:rsid w:val="66A80AC6"/>
    <w:rsid w:val="67144976"/>
    <w:rsid w:val="67202357"/>
    <w:rsid w:val="67603F26"/>
    <w:rsid w:val="67D3264E"/>
    <w:rsid w:val="67D63720"/>
    <w:rsid w:val="67EC027D"/>
    <w:rsid w:val="68024DD3"/>
    <w:rsid w:val="680F332B"/>
    <w:rsid w:val="6832253F"/>
    <w:rsid w:val="685C3C4D"/>
    <w:rsid w:val="687102AD"/>
    <w:rsid w:val="68724B40"/>
    <w:rsid w:val="68902798"/>
    <w:rsid w:val="690C7142"/>
    <w:rsid w:val="693B5FD8"/>
    <w:rsid w:val="69412846"/>
    <w:rsid w:val="695907E9"/>
    <w:rsid w:val="6964290E"/>
    <w:rsid w:val="698304CD"/>
    <w:rsid w:val="69932BAE"/>
    <w:rsid w:val="69A16FDB"/>
    <w:rsid w:val="69BA6060"/>
    <w:rsid w:val="69ED5B2B"/>
    <w:rsid w:val="6A223F21"/>
    <w:rsid w:val="6A4771F0"/>
    <w:rsid w:val="6A641277"/>
    <w:rsid w:val="6A643087"/>
    <w:rsid w:val="6A985E45"/>
    <w:rsid w:val="6AAD0001"/>
    <w:rsid w:val="6ACC3B62"/>
    <w:rsid w:val="6AE30427"/>
    <w:rsid w:val="6B1B05C6"/>
    <w:rsid w:val="6B35684E"/>
    <w:rsid w:val="6B5775BA"/>
    <w:rsid w:val="6B6C1D6A"/>
    <w:rsid w:val="6B706DFD"/>
    <w:rsid w:val="6B735145"/>
    <w:rsid w:val="6B76701F"/>
    <w:rsid w:val="6BAA63F6"/>
    <w:rsid w:val="6BB64940"/>
    <w:rsid w:val="6BBA5ABD"/>
    <w:rsid w:val="6BC04151"/>
    <w:rsid w:val="6BD30EC7"/>
    <w:rsid w:val="6BFF6B53"/>
    <w:rsid w:val="6C011998"/>
    <w:rsid w:val="6C161EDD"/>
    <w:rsid w:val="6C17534B"/>
    <w:rsid w:val="6C52384A"/>
    <w:rsid w:val="6C5F577B"/>
    <w:rsid w:val="6C5F6B13"/>
    <w:rsid w:val="6C831486"/>
    <w:rsid w:val="6C8C7141"/>
    <w:rsid w:val="6C903E5F"/>
    <w:rsid w:val="6C92595F"/>
    <w:rsid w:val="6CA31D11"/>
    <w:rsid w:val="6CE513BE"/>
    <w:rsid w:val="6CEE595E"/>
    <w:rsid w:val="6CF145B6"/>
    <w:rsid w:val="6CF82160"/>
    <w:rsid w:val="6D094BFA"/>
    <w:rsid w:val="6D1D7324"/>
    <w:rsid w:val="6D283EB3"/>
    <w:rsid w:val="6D2A57EE"/>
    <w:rsid w:val="6D476F5C"/>
    <w:rsid w:val="6D524D35"/>
    <w:rsid w:val="6D631E8B"/>
    <w:rsid w:val="6DA45721"/>
    <w:rsid w:val="6DEF5724"/>
    <w:rsid w:val="6E2D7396"/>
    <w:rsid w:val="6E977E1E"/>
    <w:rsid w:val="6E9A083E"/>
    <w:rsid w:val="6F1013D6"/>
    <w:rsid w:val="6F1830F3"/>
    <w:rsid w:val="6F2C4E6B"/>
    <w:rsid w:val="6F7502BE"/>
    <w:rsid w:val="6F8E346E"/>
    <w:rsid w:val="6F922D77"/>
    <w:rsid w:val="6FA85985"/>
    <w:rsid w:val="6FC52AC4"/>
    <w:rsid w:val="6FD7718C"/>
    <w:rsid w:val="6FEA2DEF"/>
    <w:rsid w:val="6FED3FA7"/>
    <w:rsid w:val="70231C9D"/>
    <w:rsid w:val="70340718"/>
    <w:rsid w:val="70411BFE"/>
    <w:rsid w:val="704768DE"/>
    <w:rsid w:val="707B5C7D"/>
    <w:rsid w:val="708C386D"/>
    <w:rsid w:val="7093353E"/>
    <w:rsid w:val="70A25D2A"/>
    <w:rsid w:val="70EC15F1"/>
    <w:rsid w:val="70F606D1"/>
    <w:rsid w:val="710C3141"/>
    <w:rsid w:val="71104E62"/>
    <w:rsid w:val="713927A1"/>
    <w:rsid w:val="71426CAF"/>
    <w:rsid w:val="71484DC4"/>
    <w:rsid w:val="719525E5"/>
    <w:rsid w:val="71C43EDF"/>
    <w:rsid w:val="71D12B7B"/>
    <w:rsid w:val="72047D57"/>
    <w:rsid w:val="72167F1F"/>
    <w:rsid w:val="72181581"/>
    <w:rsid w:val="7254510E"/>
    <w:rsid w:val="72563FB1"/>
    <w:rsid w:val="726E28BC"/>
    <w:rsid w:val="727E1867"/>
    <w:rsid w:val="729701F7"/>
    <w:rsid w:val="72C13435"/>
    <w:rsid w:val="7332304C"/>
    <w:rsid w:val="73460DCF"/>
    <w:rsid w:val="736F51CC"/>
    <w:rsid w:val="73765DF7"/>
    <w:rsid w:val="739C093C"/>
    <w:rsid w:val="739D0315"/>
    <w:rsid w:val="73CE4F10"/>
    <w:rsid w:val="73DE0BF4"/>
    <w:rsid w:val="73EF72A5"/>
    <w:rsid w:val="740166CA"/>
    <w:rsid w:val="741358B7"/>
    <w:rsid w:val="741606DE"/>
    <w:rsid w:val="746B4618"/>
    <w:rsid w:val="746F2FAE"/>
    <w:rsid w:val="748E187D"/>
    <w:rsid w:val="74F727ED"/>
    <w:rsid w:val="752E6C2B"/>
    <w:rsid w:val="75395A4F"/>
    <w:rsid w:val="755F776C"/>
    <w:rsid w:val="75A62599"/>
    <w:rsid w:val="75C718AC"/>
    <w:rsid w:val="75E5168E"/>
    <w:rsid w:val="75E65018"/>
    <w:rsid w:val="75FD7923"/>
    <w:rsid w:val="764536B8"/>
    <w:rsid w:val="764C1E95"/>
    <w:rsid w:val="765340BE"/>
    <w:rsid w:val="76547919"/>
    <w:rsid w:val="76600B0B"/>
    <w:rsid w:val="769D4729"/>
    <w:rsid w:val="76EC025F"/>
    <w:rsid w:val="77104195"/>
    <w:rsid w:val="77532B5B"/>
    <w:rsid w:val="77A72B49"/>
    <w:rsid w:val="77BA48A1"/>
    <w:rsid w:val="77EA45C3"/>
    <w:rsid w:val="77F3515D"/>
    <w:rsid w:val="77F537AF"/>
    <w:rsid w:val="78427D95"/>
    <w:rsid w:val="789B3619"/>
    <w:rsid w:val="78CE3373"/>
    <w:rsid w:val="78EA06B1"/>
    <w:rsid w:val="79303653"/>
    <w:rsid w:val="79332894"/>
    <w:rsid w:val="79432FDA"/>
    <w:rsid w:val="794E031B"/>
    <w:rsid w:val="796340FE"/>
    <w:rsid w:val="79683F00"/>
    <w:rsid w:val="79F651E3"/>
    <w:rsid w:val="7A4A0DFD"/>
    <w:rsid w:val="7A552236"/>
    <w:rsid w:val="7A735659"/>
    <w:rsid w:val="7A7E0068"/>
    <w:rsid w:val="7AB60141"/>
    <w:rsid w:val="7AB7745D"/>
    <w:rsid w:val="7AC17447"/>
    <w:rsid w:val="7AD70C9B"/>
    <w:rsid w:val="7ADA5B3C"/>
    <w:rsid w:val="7B4531F1"/>
    <w:rsid w:val="7B4D07FD"/>
    <w:rsid w:val="7BAB3DF5"/>
    <w:rsid w:val="7BD26364"/>
    <w:rsid w:val="7BDB29F1"/>
    <w:rsid w:val="7C2F53CB"/>
    <w:rsid w:val="7C3A3603"/>
    <w:rsid w:val="7C461D0D"/>
    <w:rsid w:val="7C485C63"/>
    <w:rsid w:val="7CA834CE"/>
    <w:rsid w:val="7CB9036C"/>
    <w:rsid w:val="7D047631"/>
    <w:rsid w:val="7D3475DB"/>
    <w:rsid w:val="7D771F95"/>
    <w:rsid w:val="7D942460"/>
    <w:rsid w:val="7DDD5D1F"/>
    <w:rsid w:val="7E0B3754"/>
    <w:rsid w:val="7E22591C"/>
    <w:rsid w:val="7E2D6DB0"/>
    <w:rsid w:val="7E3C4D54"/>
    <w:rsid w:val="7E563F68"/>
    <w:rsid w:val="7EC40A24"/>
    <w:rsid w:val="7EF33583"/>
    <w:rsid w:val="7F5F072D"/>
    <w:rsid w:val="7F711C25"/>
    <w:rsid w:val="7F9A1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8"/>
    <w:qFormat/>
    <w:uiPriority w:val="0"/>
    <w:pPr>
      <w:keepNext/>
      <w:jc w:val="center"/>
      <w:outlineLvl w:val="0"/>
    </w:pPr>
    <w:rPr>
      <w:rFonts w:eastAsia="黑体"/>
      <w:b/>
      <w:sz w:val="32"/>
      <w:szCs w:val="20"/>
    </w:rPr>
  </w:style>
  <w:style w:type="paragraph" w:styleId="4">
    <w:name w:val="heading 2"/>
    <w:basedOn w:val="1"/>
    <w:next w:val="1"/>
    <w:link w:val="66"/>
    <w:qFormat/>
    <w:uiPriority w:val="0"/>
    <w:pPr>
      <w:keepNext/>
      <w:outlineLvl w:val="1"/>
    </w:pPr>
    <w:rPr>
      <w:rFonts w:ascii="仿宋_GB2312"/>
      <w:b/>
      <w:sz w:val="28"/>
      <w:szCs w:val="32"/>
    </w:rPr>
  </w:style>
  <w:style w:type="paragraph" w:styleId="5">
    <w:name w:val="heading 3"/>
    <w:basedOn w:val="1"/>
    <w:next w:val="1"/>
    <w:link w:val="151"/>
    <w:qFormat/>
    <w:uiPriority w:val="0"/>
    <w:pPr>
      <w:keepNext/>
      <w:keepLines/>
      <w:spacing w:line="540" w:lineRule="atLeast"/>
      <w:outlineLvl w:val="2"/>
    </w:pPr>
    <w:rPr>
      <w:rFonts w:eastAsia="黑体"/>
      <w:b/>
      <w:sz w:val="28"/>
      <w:szCs w:val="20"/>
    </w:rPr>
  </w:style>
  <w:style w:type="paragraph" w:styleId="6">
    <w:name w:val="heading 4"/>
    <w:basedOn w:val="1"/>
    <w:next w:val="1"/>
    <w:link w:val="148"/>
    <w:autoRedefine/>
    <w:qFormat/>
    <w:uiPriority w:val="0"/>
    <w:pPr>
      <w:keepNext/>
      <w:keepLines/>
      <w:spacing w:line="540" w:lineRule="atLeast"/>
      <w:outlineLvl w:val="3"/>
    </w:pPr>
    <w:rPr>
      <w:sz w:val="28"/>
      <w:szCs w:val="28"/>
    </w:rPr>
  </w:style>
  <w:style w:type="paragraph" w:styleId="7">
    <w:name w:val="heading 5"/>
    <w:basedOn w:val="1"/>
    <w:next w:val="1"/>
    <w:link w:val="131"/>
    <w:autoRedefine/>
    <w:qFormat/>
    <w:uiPriority w:val="0"/>
    <w:pPr>
      <w:keepNext/>
      <w:keepLines/>
      <w:spacing w:before="280" w:after="290" w:line="372" w:lineRule="auto"/>
      <w:outlineLvl w:val="4"/>
    </w:pPr>
    <w:rPr>
      <w:b/>
      <w:bCs/>
      <w:kern w:val="0"/>
      <w:sz w:val="28"/>
      <w:szCs w:val="28"/>
    </w:rPr>
  </w:style>
  <w:style w:type="paragraph" w:styleId="8">
    <w:name w:val="heading 6"/>
    <w:basedOn w:val="1"/>
    <w:next w:val="9"/>
    <w:link w:val="172"/>
    <w:qFormat/>
    <w:uiPriority w:val="0"/>
    <w:pPr>
      <w:keepNext/>
      <w:keepLines/>
      <w:spacing w:before="240" w:after="64" w:line="317" w:lineRule="auto"/>
      <w:outlineLvl w:val="5"/>
    </w:pPr>
    <w:rPr>
      <w:rFonts w:ascii="Arial" w:hAnsi="Arial" w:eastAsia="黑体"/>
      <w:b/>
      <w:sz w:val="24"/>
      <w:szCs w:val="20"/>
    </w:rPr>
  </w:style>
  <w:style w:type="paragraph" w:styleId="10">
    <w:name w:val="heading 7"/>
    <w:basedOn w:val="1"/>
    <w:next w:val="9"/>
    <w:link w:val="69"/>
    <w:autoRedefine/>
    <w:qFormat/>
    <w:uiPriority w:val="0"/>
    <w:pPr>
      <w:keepNext/>
      <w:keepLines/>
      <w:spacing w:before="240" w:after="64" w:line="317" w:lineRule="auto"/>
      <w:outlineLvl w:val="6"/>
    </w:pPr>
    <w:rPr>
      <w:b/>
      <w:sz w:val="24"/>
      <w:szCs w:val="20"/>
    </w:rPr>
  </w:style>
  <w:style w:type="paragraph" w:styleId="11">
    <w:name w:val="heading 8"/>
    <w:basedOn w:val="1"/>
    <w:next w:val="9"/>
    <w:link w:val="175"/>
    <w:autoRedefine/>
    <w:qFormat/>
    <w:uiPriority w:val="0"/>
    <w:pPr>
      <w:keepNext/>
      <w:keepLines/>
      <w:spacing w:before="240" w:after="64" w:line="317" w:lineRule="auto"/>
      <w:outlineLvl w:val="7"/>
    </w:pPr>
    <w:rPr>
      <w:rFonts w:ascii="Arial" w:hAnsi="Arial" w:eastAsia="黑体"/>
      <w:sz w:val="24"/>
      <w:szCs w:val="20"/>
    </w:rPr>
  </w:style>
  <w:style w:type="paragraph" w:styleId="12">
    <w:name w:val="heading 9"/>
    <w:basedOn w:val="1"/>
    <w:next w:val="9"/>
    <w:link w:val="162"/>
    <w:autoRedefine/>
    <w:qFormat/>
    <w:uiPriority w:val="0"/>
    <w:pPr>
      <w:keepNext/>
      <w:keepLines/>
      <w:spacing w:before="240" w:after="64" w:line="317" w:lineRule="auto"/>
      <w:outlineLvl w:val="8"/>
    </w:pPr>
    <w:rPr>
      <w:rFonts w:ascii="Arial" w:hAnsi="Arial" w:eastAsia="黑体"/>
      <w:szCs w:val="20"/>
    </w:rPr>
  </w:style>
  <w:style w:type="character" w:default="1" w:styleId="54">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3">
    <w:name w:val="macro"/>
    <w:link w:val="117"/>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Times New Roman"/>
      <w:kern w:val="2"/>
      <w:sz w:val="24"/>
      <w:szCs w:val="24"/>
      <w:lang w:val="en-US" w:eastAsia="zh-CN" w:bidi="ar-SA"/>
    </w:rPr>
  </w:style>
  <w:style w:type="paragraph" w:styleId="9">
    <w:name w:val="Normal Indent"/>
    <w:basedOn w:val="1"/>
    <w:next w:val="1"/>
    <w:link w:val="104"/>
    <w:autoRedefine/>
    <w:qFormat/>
    <w:uiPriority w:val="0"/>
    <w:pPr>
      <w:adjustRightInd w:val="0"/>
      <w:spacing w:line="312" w:lineRule="atLeast"/>
      <w:ind w:firstLine="420"/>
      <w:textAlignment w:val="baseline"/>
    </w:pPr>
    <w:rPr>
      <w:rFonts w:ascii="仿宋_GB2312"/>
      <w:b/>
      <w:kern w:val="0"/>
      <w:szCs w:val="32"/>
    </w:rPr>
  </w:style>
  <w:style w:type="paragraph" w:styleId="13">
    <w:name w:val="toc 7"/>
    <w:basedOn w:val="1"/>
    <w:next w:val="1"/>
    <w:autoRedefine/>
    <w:qFormat/>
    <w:uiPriority w:val="0"/>
    <w:pPr>
      <w:autoSpaceDE w:val="0"/>
      <w:autoSpaceDN w:val="0"/>
      <w:adjustRightInd w:val="0"/>
      <w:ind w:left="2520" w:leftChars="1200"/>
      <w:jc w:val="left"/>
    </w:pPr>
    <w:rPr>
      <w:kern w:val="0"/>
      <w:sz w:val="20"/>
      <w:szCs w:val="20"/>
    </w:rPr>
  </w:style>
  <w:style w:type="paragraph" w:styleId="14">
    <w:name w:val="List Number"/>
    <w:basedOn w:val="1"/>
    <w:autoRedefine/>
    <w:qFormat/>
    <w:uiPriority w:val="0"/>
    <w:pPr>
      <w:tabs>
        <w:tab w:val="left" w:pos="360"/>
      </w:tabs>
      <w:ind w:left="360" w:hanging="360" w:hangingChars="200"/>
    </w:pPr>
  </w:style>
  <w:style w:type="paragraph" w:styleId="15">
    <w:name w:val="caption"/>
    <w:basedOn w:val="1"/>
    <w:next w:val="1"/>
    <w:autoRedefine/>
    <w:qFormat/>
    <w:uiPriority w:val="0"/>
    <w:pPr>
      <w:autoSpaceDE w:val="0"/>
      <w:autoSpaceDN w:val="0"/>
      <w:adjustRightInd w:val="0"/>
      <w:jc w:val="left"/>
    </w:pPr>
    <w:rPr>
      <w:rFonts w:ascii="Arial" w:hAnsi="Arial" w:eastAsia="黑体" w:cs="Arial"/>
      <w:kern w:val="0"/>
      <w:sz w:val="20"/>
      <w:szCs w:val="20"/>
    </w:rPr>
  </w:style>
  <w:style w:type="paragraph" w:styleId="16">
    <w:name w:val="List Bullet"/>
    <w:basedOn w:val="1"/>
    <w:autoRedefine/>
    <w:qFormat/>
    <w:uiPriority w:val="0"/>
    <w:pPr>
      <w:tabs>
        <w:tab w:val="left" w:pos="360"/>
      </w:tabs>
    </w:pPr>
    <w:rPr>
      <w:rFonts w:ascii="Calibri" w:hAnsi="Calibri"/>
      <w:szCs w:val="22"/>
    </w:rPr>
  </w:style>
  <w:style w:type="paragraph" w:styleId="17">
    <w:name w:val="Document Map"/>
    <w:basedOn w:val="1"/>
    <w:link w:val="130"/>
    <w:autoRedefine/>
    <w:qFormat/>
    <w:uiPriority w:val="0"/>
    <w:pPr>
      <w:shd w:val="clear" w:color="auto" w:fill="000080"/>
    </w:pPr>
  </w:style>
  <w:style w:type="paragraph" w:styleId="18">
    <w:name w:val="annotation text"/>
    <w:basedOn w:val="1"/>
    <w:link w:val="90"/>
    <w:autoRedefine/>
    <w:qFormat/>
    <w:uiPriority w:val="0"/>
    <w:pPr>
      <w:jc w:val="left"/>
    </w:pPr>
  </w:style>
  <w:style w:type="paragraph" w:styleId="19">
    <w:name w:val="Salutation"/>
    <w:basedOn w:val="1"/>
    <w:next w:val="1"/>
    <w:link w:val="78"/>
    <w:autoRedefine/>
    <w:qFormat/>
    <w:uiPriority w:val="0"/>
    <w:pPr>
      <w:tabs>
        <w:tab w:val="left" w:pos="840"/>
      </w:tabs>
      <w:autoSpaceDE w:val="0"/>
      <w:autoSpaceDN w:val="0"/>
      <w:adjustRightInd w:val="0"/>
      <w:jc w:val="left"/>
    </w:pPr>
    <w:rPr>
      <w:rFonts w:ascii="仿宋_GB2312" w:eastAsia="仿宋_GB2312"/>
      <w:b/>
      <w:kern w:val="0"/>
      <w:sz w:val="24"/>
      <w:szCs w:val="32"/>
    </w:rPr>
  </w:style>
  <w:style w:type="paragraph" w:styleId="20">
    <w:name w:val="Body Text 3"/>
    <w:basedOn w:val="1"/>
    <w:link w:val="94"/>
    <w:autoRedefine/>
    <w:qFormat/>
    <w:uiPriority w:val="0"/>
    <w:pPr>
      <w:autoSpaceDE w:val="0"/>
      <w:autoSpaceDN w:val="0"/>
      <w:adjustRightInd w:val="0"/>
      <w:jc w:val="center"/>
    </w:pPr>
  </w:style>
  <w:style w:type="paragraph" w:styleId="21">
    <w:name w:val="Body Text"/>
    <w:basedOn w:val="1"/>
    <w:next w:val="1"/>
    <w:link w:val="163"/>
    <w:autoRedefine/>
    <w:qFormat/>
    <w:uiPriority w:val="0"/>
    <w:pPr>
      <w:spacing w:after="120"/>
    </w:pPr>
    <w:rPr>
      <w:rFonts w:ascii="仿宋_GB2312"/>
      <w:b/>
    </w:rPr>
  </w:style>
  <w:style w:type="paragraph" w:styleId="22">
    <w:name w:val="Body Text Indent"/>
    <w:basedOn w:val="1"/>
    <w:next w:val="1"/>
    <w:link w:val="143"/>
    <w:autoRedefine/>
    <w:qFormat/>
    <w:uiPriority w:val="0"/>
    <w:pPr>
      <w:ind w:left="480" w:hanging="480" w:hangingChars="200"/>
    </w:pPr>
    <w:rPr>
      <w:sz w:val="24"/>
    </w:rPr>
  </w:style>
  <w:style w:type="paragraph" w:styleId="23">
    <w:name w:val="List Number 3"/>
    <w:basedOn w:val="1"/>
    <w:autoRedefine/>
    <w:qFormat/>
    <w:uiPriority w:val="0"/>
    <w:pPr>
      <w:tabs>
        <w:tab w:val="left" w:pos="1200"/>
      </w:tabs>
      <w:ind w:left="1200" w:leftChars="400" w:hanging="360" w:hangingChars="200"/>
    </w:pPr>
  </w:style>
  <w:style w:type="paragraph" w:styleId="24">
    <w:name w:val="Block Text"/>
    <w:basedOn w:val="1"/>
    <w:autoRedefine/>
    <w:qFormat/>
    <w:uiPriority w:val="0"/>
    <w:pPr>
      <w:spacing w:line="520" w:lineRule="exact"/>
      <w:ind w:left="540" w:leftChars="257" w:right="-514"/>
    </w:pPr>
    <w:rPr>
      <w:rFonts w:ascii="宋体" w:hAnsi="宋体"/>
      <w:sz w:val="24"/>
    </w:rPr>
  </w:style>
  <w:style w:type="paragraph" w:styleId="25">
    <w:name w:val="List Bullet 2"/>
    <w:basedOn w:val="1"/>
    <w:autoRedefine/>
    <w:qFormat/>
    <w:uiPriority w:val="0"/>
    <w:pPr>
      <w:tabs>
        <w:tab w:val="left" w:pos="780"/>
      </w:tabs>
      <w:spacing w:line="360" w:lineRule="auto"/>
      <w:ind w:left="780" w:leftChars="200" w:hanging="360" w:hangingChars="200"/>
    </w:pPr>
  </w:style>
  <w:style w:type="paragraph" w:styleId="26">
    <w:name w:val="toc 5"/>
    <w:basedOn w:val="1"/>
    <w:next w:val="1"/>
    <w:autoRedefine/>
    <w:qFormat/>
    <w:uiPriority w:val="0"/>
    <w:pPr>
      <w:autoSpaceDE w:val="0"/>
      <w:autoSpaceDN w:val="0"/>
      <w:adjustRightInd w:val="0"/>
      <w:ind w:left="1680" w:leftChars="800"/>
      <w:jc w:val="left"/>
    </w:pPr>
    <w:rPr>
      <w:kern w:val="0"/>
      <w:sz w:val="20"/>
      <w:szCs w:val="20"/>
    </w:rPr>
  </w:style>
  <w:style w:type="paragraph" w:styleId="27">
    <w:name w:val="toc 3"/>
    <w:basedOn w:val="1"/>
    <w:next w:val="1"/>
    <w:autoRedefine/>
    <w:qFormat/>
    <w:uiPriority w:val="0"/>
    <w:pPr>
      <w:ind w:left="840" w:leftChars="400"/>
    </w:pPr>
  </w:style>
  <w:style w:type="paragraph" w:styleId="28">
    <w:name w:val="Plain Text"/>
    <w:basedOn w:val="1"/>
    <w:link w:val="191"/>
    <w:qFormat/>
    <w:uiPriority w:val="0"/>
    <w:pPr>
      <w:widowControl/>
      <w:overflowPunct w:val="0"/>
      <w:autoSpaceDE w:val="0"/>
      <w:autoSpaceDN w:val="0"/>
      <w:adjustRightInd w:val="0"/>
      <w:jc w:val="left"/>
      <w:textAlignment w:val="baseline"/>
    </w:pPr>
    <w:rPr>
      <w:rFonts w:ascii="宋体" w:hAnsi="Courier New"/>
      <w:b/>
      <w:kern w:val="0"/>
      <w:szCs w:val="21"/>
    </w:rPr>
  </w:style>
  <w:style w:type="paragraph" w:styleId="29">
    <w:name w:val="List Number 4"/>
    <w:basedOn w:val="1"/>
    <w:autoRedefine/>
    <w:qFormat/>
    <w:uiPriority w:val="0"/>
    <w:pPr>
      <w:tabs>
        <w:tab w:val="left" w:pos="840"/>
      </w:tabs>
      <w:autoSpaceDE w:val="0"/>
      <w:autoSpaceDN w:val="0"/>
      <w:adjustRightInd w:val="0"/>
      <w:spacing w:line="360" w:lineRule="atLeast"/>
      <w:ind w:left="840" w:hanging="420"/>
      <w:jc w:val="left"/>
    </w:pPr>
    <w:rPr>
      <w:kern w:val="0"/>
      <w:sz w:val="24"/>
      <w:szCs w:val="20"/>
    </w:rPr>
  </w:style>
  <w:style w:type="paragraph" w:styleId="30">
    <w:name w:val="toc 8"/>
    <w:basedOn w:val="1"/>
    <w:next w:val="1"/>
    <w:autoRedefine/>
    <w:qFormat/>
    <w:uiPriority w:val="0"/>
    <w:pPr>
      <w:autoSpaceDE w:val="0"/>
      <w:autoSpaceDN w:val="0"/>
      <w:adjustRightInd w:val="0"/>
      <w:ind w:left="2940" w:leftChars="1400"/>
      <w:jc w:val="left"/>
    </w:pPr>
    <w:rPr>
      <w:kern w:val="0"/>
      <w:sz w:val="20"/>
      <w:szCs w:val="20"/>
    </w:rPr>
  </w:style>
  <w:style w:type="paragraph" w:styleId="31">
    <w:name w:val="Date"/>
    <w:basedOn w:val="1"/>
    <w:next w:val="1"/>
    <w:link w:val="132"/>
    <w:autoRedefine/>
    <w:qFormat/>
    <w:uiPriority w:val="0"/>
    <w:pPr>
      <w:ind w:left="100" w:leftChars="2500"/>
    </w:pPr>
  </w:style>
  <w:style w:type="paragraph" w:styleId="32">
    <w:name w:val="Body Text Indent 2"/>
    <w:basedOn w:val="1"/>
    <w:link w:val="177"/>
    <w:autoRedefine/>
    <w:qFormat/>
    <w:uiPriority w:val="0"/>
    <w:pPr>
      <w:spacing w:line="500" w:lineRule="exact"/>
      <w:ind w:firstLine="511" w:firstLineChars="213"/>
    </w:pPr>
    <w:rPr>
      <w:sz w:val="24"/>
    </w:rPr>
  </w:style>
  <w:style w:type="paragraph" w:styleId="33">
    <w:name w:val="Balloon Text"/>
    <w:basedOn w:val="1"/>
    <w:link w:val="150"/>
    <w:qFormat/>
    <w:uiPriority w:val="0"/>
    <w:rPr>
      <w:sz w:val="18"/>
      <w:szCs w:val="18"/>
    </w:rPr>
  </w:style>
  <w:style w:type="paragraph" w:styleId="34">
    <w:name w:val="footer"/>
    <w:basedOn w:val="1"/>
    <w:link w:val="119"/>
    <w:autoRedefine/>
    <w:qFormat/>
    <w:uiPriority w:val="0"/>
    <w:pPr>
      <w:tabs>
        <w:tab w:val="center" w:pos="4153"/>
        <w:tab w:val="right" w:pos="8306"/>
      </w:tabs>
      <w:snapToGrid w:val="0"/>
      <w:jc w:val="left"/>
    </w:pPr>
    <w:rPr>
      <w:sz w:val="18"/>
      <w:szCs w:val="18"/>
    </w:rPr>
  </w:style>
  <w:style w:type="paragraph" w:styleId="35">
    <w:name w:val="header"/>
    <w:basedOn w:val="1"/>
    <w:link w:val="134"/>
    <w:autoRedefine/>
    <w:qFormat/>
    <w:uiPriority w:val="0"/>
    <w:pPr>
      <w:pBdr>
        <w:bottom w:val="single" w:color="auto" w:sz="6" w:space="1"/>
      </w:pBdr>
      <w:tabs>
        <w:tab w:val="center" w:pos="4153"/>
        <w:tab w:val="right" w:pos="8306"/>
      </w:tabs>
      <w:snapToGrid w:val="0"/>
      <w:jc w:val="center"/>
    </w:pPr>
    <w:rPr>
      <w:sz w:val="18"/>
      <w:szCs w:val="18"/>
    </w:rPr>
  </w:style>
  <w:style w:type="paragraph" w:styleId="36">
    <w:name w:val="Signature"/>
    <w:basedOn w:val="1"/>
    <w:link w:val="153"/>
    <w:autoRedefine/>
    <w:qFormat/>
    <w:uiPriority w:val="0"/>
    <w:pPr>
      <w:autoSpaceDE w:val="0"/>
      <w:autoSpaceDN w:val="0"/>
      <w:adjustRightInd w:val="0"/>
      <w:spacing w:after="600" w:line="312" w:lineRule="atLeast"/>
      <w:jc w:val="center"/>
      <w:textAlignment w:val="baseline"/>
    </w:pPr>
    <w:rPr>
      <w:rFonts w:ascii="仿宋_GB2312" w:eastAsia="仿宋_GB2312"/>
      <w:b/>
      <w:kern w:val="0"/>
      <w:sz w:val="24"/>
      <w:szCs w:val="32"/>
    </w:rPr>
  </w:style>
  <w:style w:type="paragraph" w:styleId="37">
    <w:name w:val="toc 1"/>
    <w:basedOn w:val="1"/>
    <w:next w:val="1"/>
    <w:autoRedefine/>
    <w:qFormat/>
    <w:uiPriority w:val="0"/>
  </w:style>
  <w:style w:type="paragraph" w:styleId="38">
    <w:name w:val="toc 4"/>
    <w:basedOn w:val="1"/>
    <w:next w:val="1"/>
    <w:autoRedefine/>
    <w:qFormat/>
    <w:uiPriority w:val="0"/>
    <w:pPr>
      <w:autoSpaceDE w:val="0"/>
      <w:autoSpaceDN w:val="0"/>
      <w:adjustRightInd w:val="0"/>
      <w:ind w:left="1260" w:leftChars="600"/>
      <w:jc w:val="left"/>
    </w:pPr>
    <w:rPr>
      <w:kern w:val="0"/>
      <w:sz w:val="20"/>
      <w:szCs w:val="20"/>
    </w:rPr>
  </w:style>
  <w:style w:type="paragraph" w:styleId="39">
    <w:name w:val="Subtitle"/>
    <w:basedOn w:val="1"/>
    <w:next w:val="1"/>
    <w:link w:val="133"/>
    <w:autoRedefine/>
    <w:qFormat/>
    <w:uiPriority w:val="0"/>
    <w:pPr>
      <w:spacing w:before="240" w:after="60" w:line="312" w:lineRule="auto"/>
      <w:jc w:val="center"/>
      <w:outlineLvl w:val="1"/>
    </w:pPr>
    <w:rPr>
      <w:rFonts w:ascii="Cambria" w:hAnsi="Cambria"/>
      <w:b/>
      <w:bCs/>
      <w:kern w:val="28"/>
      <w:sz w:val="32"/>
      <w:szCs w:val="32"/>
    </w:rPr>
  </w:style>
  <w:style w:type="paragraph" w:styleId="40">
    <w:name w:val="List Number 5"/>
    <w:basedOn w:val="1"/>
    <w:autoRedefine/>
    <w:qFormat/>
    <w:uiPriority w:val="0"/>
    <w:pPr>
      <w:tabs>
        <w:tab w:val="left" w:pos="2040"/>
      </w:tabs>
      <w:autoSpaceDE w:val="0"/>
      <w:autoSpaceDN w:val="0"/>
      <w:adjustRightInd w:val="0"/>
      <w:spacing w:line="400" w:lineRule="exact"/>
      <w:ind w:left="2040" w:hanging="360"/>
      <w:jc w:val="left"/>
    </w:pPr>
    <w:rPr>
      <w:kern w:val="0"/>
      <w:sz w:val="24"/>
      <w:szCs w:val="20"/>
    </w:rPr>
  </w:style>
  <w:style w:type="paragraph" w:styleId="41">
    <w:name w:val="List"/>
    <w:basedOn w:val="1"/>
    <w:autoRedefine/>
    <w:qFormat/>
    <w:uiPriority w:val="0"/>
    <w:pPr>
      <w:ind w:left="200" w:hanging="200" w:hangingChars="200"/>
    </w:pPr>
  </w:style>
  <w:style w:type="paragraph" w:styleId="42">
    <w:name w:val="toc 6"/>
    <w:basedOn w:val="1"/>
    <w:next w:val="1"/>
    <w:autoRedefine/>
    <w:qFormat/>
    <w:uiPriority w:val="0"/>
    <w:pPr>
      <w:autoSpaceDE w:val="0"/>
      <w:autoSpaceDN w:val="0"/>
      <w:adjustRightInd w:val="0"/>
      <w:ind w:left="2100" w:leftChars="1000"/>
      <w:jc w:val="left"/>
    </w:pPr>
    <w:rPr>
      <w:kern w:val="0"/>
      <w:sz w:val="20"/>
      <w:szCs w:val="20"/>
    </w:rPr>
  </w:style>
  <w:style w:type="paragraph" w:styleId="43">
    <w:name w:val="Body Text Indent 3"/>
    <w:basedOn w:val="1"/>
    <w:link w:val="145"/>
    <w:autoRedefine/>
    <w:qFormat/>
    <w:uiPriority w:val="0"/>
    <w:pPr>
      <w:spacing w:line="500" w:lineRule="exact"/>
      <w:ind w:left="511" w:hanging="511" w:hangingChars="213"/>
    </w:pPr>
    <w:rPr>
      <w:sz w:val="24"/>
    </w:rPr>
  </w:style>
  <w:style w:type="paragraph" w:styleId="44">
    <w:name w:val="toc 2"/>
    <w:basedOn w:val="1"/>
    <w:next w:val="1"/>
    <w:autoRedefine/>
    <w:qFormat/>
    <w:uiPriority w:val="0"/>
    <w:pPr>
      <w:ind w:left="420" w:leftChars="200"/>
    </w:pPr>
  </w:style>
  <w:style w:type="paragraph" w:styleId="45">
    <w:name w:val="toc 9"/>
    <w:basedOn w:val="1"/>
    <w:next w:val="1"/>
    <w:autoRedefine/>
    <w:qFormat/>
    <w:uiPriority w:val="0"/>
    <w:pPr>
      <w:autoSpaceDE w:val="0"/>
      <w:autoSpaceDN w:val="0"/>
      <w:adjustRightInd w:val="0"/>
      <w:ind w:left="3360" w:leftChars="1600"/>
      <w:jc w:val="left"/>
    </w:pPr>
    <w:rPr>
      <w:kern w:val="0"/>
      <w:sz w:val="20"/>
      <w:szCs w:val="20"/>
    </w:rPr>
  </w:style>
  <w:style w:type="paragraph" w:styleId="46">
    <w:name w:val="Body Text 2"/>
    <w:basedOn w:val="1"/>
    <w:link w:val="197"/>
    <w:autoRedefine/>
    <w:qFormat/>
    <w:uiPriority w:val="0"/>
    <w:pPr>
      <w:autoSpaceDE w:val="0"/>
      <w:autoSpaceDN w:val="0"/>
      <w:adjustRightInd w:val="0"/>
      <w:spacing w:after="120" w:line="480" w:lineRule="auto"/>
      <w:jc w:val="left"/>
    </w:pPr>
  </w:style>
  <w:style w:type="paragraph" w:styleId="47">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48">
    <w:name w:val="Title"/>
    <w:basedOn w:val="1"/>
    <w:next w:val="1"/>
    <w:link w:val="110"/>
    <w:autoRedefine/>
    <w:qFormat/>
    <w:uiPriority w:val="0"/>
    <w:pPr>
      <w:spacing w:before="240" w:after="60"/>
      <w:jc w:val="center"/>
      <w:outlineLvl w:val="0"/>
    </w:pPr>
    <w:rPr>
      <w:rFonts w:ascii="Cambria" w:hAnsi="Cambria"/>
      <w:b/>
      <w:bCs/>
      <w:sz w:val="32"/>
      <w:szCs w:val="32"/>
    </w:rPr>
  </w:style>
  <w:style w:type="paragraph" w:styleId="49">
    <w:name w:val="annotation subject"/>
    <w:basedOn w:val="18"/>
    <w:next w:val="18"/>
    <w:link w:val="95"/>
    <w:autoRedefine/>
    <w:qFormat/>
    <w:uiPriority w:val="0"/>
    <w:rPr>
      <w:b/>
      <w:bCs/>
    </w:rPr>
  </w:style>
  <w:style w:type="paragraph" w:styleId="50">
    <w:name w:val="Body Text First Indent"/>
    <w:basedOn w:val="21"/>
    <w:next w:val="42"/>
    <w:link w:val="195"/>
    <w:autoRedefine/>
    <w:qFormat/>
    <w:uiPriority w:val="0"/>
    <w:pPr>
      <w:autoSpaceDE w:val="0"/>
      <w:autoSpaceDN w:val="0"/>
      <w:adjustRightInd w:val="0"/>
      <w:ind w:firstLine="420" w:firstLineChars="100"/>
      <w:jc w:val="left"/>
    </w:pPr>
    <w:rPr>
      <w:rFonts w:ascii="Times New Roman"/>
      <w:b w:val="0"/>
      <w:kern w:val="0"/>
      <w:sz w:val="20"/>
      <w:szCs w:val="20"/>
    </w:rPr>
  </w:style>
  <w:style w:type="paragraph" w:styleId="51">
    <w:name w:val="Body Text First Indent 2"/>
    <w:basedOn w:val="22"/>
    <w:autoRedefine/>
    <w:qFormat/>
    <w:uiPriority w:val="0"/>
    <w:pPr>
      <w:spacing w:after="120"/>
      <w:ind w:left="420" w:leftChars="200" w:firstLine="420"/>
    </w:pPr>
    <w:rPr>
      <w:rFonts w:cs="宋体"/>
      <w:sz w:val="21"/>
      <w:szCs w:val="21"/>
    </w:rPr>
  </w:style>
  <w:style w:type="table" w:styleId="53">
    <w:name w:val="Table Grid"/>
    <w:basedOn w:val="5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5">
    <w:name w:val="Strong"/>
    <w:basedOn w:val="54"/>
    <w:autoRedefine/>
    <w:qFormat/>
    <w:uiPriority w:val="0"/>
    <w:rPr>
      <w:rFonts w:ascii="仿宋_GB2312" w:eastAsia="仿宋_GB2312"/>
      <w:bCs/>
      <w:sz w:val="32"/>
      <w:szCs w:val="32"/>
    </w:rPr>
  </w:style>
  <w:style w:type="character" w:styleId="56">
    <w:name w:val="page number"/>
    <w:basedOn w:val="54"/>
    <w:autoRedefine/>
    <w:qFormat/>
    <w:uiPriority w:val="0"/>
  </w:style>
  <w:style w:type="character" w:styleId="57">
    <w:name w:val="FollowedHyperlink"/>
    <w:autoRedefine/>
    <w:qFormat/>
    <w:uiPriority w:val="0"/>
    <w:rPr>
      <w:rFonts w:ascii="仿宋_GB2312" w:eastAsia="仿宋_GB2312"/>
      <w:b/>
      <w:color w:val="800080"/>
      <w:sz w:val="32"/>
      <w:szCs w:val="32"/>
      <w:u w:val="none"/>
    </w:rPr>
  </w:style>
  <w:style w:type="character" w:styleId="58">
    <w:name w:val="Emphasis"/>
    <w:autoRedefine/>
    <w:qFormat/>
    <w:uiPriority w:val="0"/>
    <w:rPr>
      <w:i/>
      <w:iCs/>
    </w:rPr>
  </w:style>
  <w:style w:type="character" w:styleId="59">
    <w:name w:val="line number"/>
    <w:basedOn w:val="54"/>
    <w:autoRedefine/>
    <w:qFormat/>
    <w:uiPriority w:val="0"/>
  </w:style>
  <w:style w:type="character" w:styleId="60">
    <w:name w:val="Hyperlink"/>
    <w:autoRedefine/>
    <w:qFormat/>
    <w:uiPriority w:val="0"/>
    <w:rPr>
      <w:rFonts w:ascii="仿宋_GB2312" w:eastAsia="仿宋_GB2312"/>
      <w:b/>
      <w:color w:val="0000FF"/>
      <w:sz w:val="32"/>
      <w:szCs w:val="32"/>
      <w:u w:val="none"/>
    </w:rPr>
  </w:style>
  <w:style w:type="character" w:styleId="61">
    <w:name w:val="annotation reference"/>
    <w:autoRedefine/>
    <w:qFormat/>
    <w:uiPriority w:val="0"/>
    <w:rPr>
      <w:sz w:val="21"/>
      <w:szCs w:val="21"/>
    </w:rPr>
  </w:style>
  <w:style w:type="character" w:styleId="62">
    <w:name w:val="HTML Cite"/>
    <w:autoRedefine/>
    <w:qFormat/>
    <w:uiPriority w:val="0"/>
    <w:rPr>
      <w:color w:val="008000"/>
    </w:rPr>
  </w:style>
  <w:style w:type="paragraph" w:customStyle="1" w:styleId="63">
    <w:name w:val="Char3 Char Char Char"/>
    <w:basedOn w:val="1"/>
    <w:autoRedefine/>
    <w:qFormat/>
    <w:uiPriority w:val="0"/>
  </w:style>
  <w:style w:type="character" w:customStyle="1" w:styleId="64">
    <w:name w:val="不明显参考1"/>
    <w:autoRedefine/>
    <w:qFormat/>
    <w:uiPriority w:val="0"/>
    <w:rPr>
      <w:smallCaps/>
      <w:color w:val="C0504D"/>
      <w:u w:val="single"/>
    </w:rPr>
  </w:style>
  <w:style w:type="character" w:customStyle="1" w:styleId="65">
    <w:name w:val="PI Char1"/>
    <w:autoRedefine/>
    <w:qFormat/>
    <w:uiPriority w:val="0"/>
    <w:rPr>
      <w:rFonts w:eastAsia="宋体"/>
      <w:kern w:val="2"/>
      <w:sz w:val="24"/>
      <w:szCs w:val="24"/>
      <w:lang w:val="en-US" w:eastAsia="zh-CN" w:bidi="ar-SA"/>
    </w:rPr>
  </w:style>
  <w:style w:type="character" w:customStyle="1" w:styleId="66">
    <w:name w:val="标题 2 Char"/>
    <w:link w:val="4"/>
    <w:qFormat/>
    <w:uiPriority w:val="0"/>
    <w:rPr>
      <w:rFonts w:ascii="仿宋_GB2312" w:eastAsia="宋体"/>
      <w:b/>
      <w:kern w:val="2"/>
      <w:sz w:val="28"/>
      <w:szCs w:val="32"/>
      <w:lang w:val="en-US" w:eastAsia="zh-CN" w:bidi="ar-SA"/>
    </w:rPr>
  </w:style>
  <w:style w:type="character" w:customStyle="1" w:styleId="67">
    <w:name w:val="pt141"/>
    <w:autoRedefine/>
    <w:qFormat/>
    <w:uiPriority w:val="0"/>
    <w:rPr>
      <w:color w:val="330066"/>
      <w:spacing w:val="450"/>
      <w:sz w:val="22"/>
      <w:szCs w:val="22"/>
    </w:rPr>
  </w:style>
  <w:style w:type="character" w:customStyle="1" w:styleId="68">
    <w:name w:val="Char Char27"/>
    <w:autoRedefine/>
    <w:qFormat/>
    <w:uiPriority w:val="0"/>
    <w:rPr>
      <w:rFonts w:eastAsia="宋体"/>
      <w:kern w:val="2"/>
      <w:sz w:val="28"/>
      <w:lang w:val="en-US" w:eastAsia="zh-CN" w:bidi="ar-SA"/>
    </w:rPr>
  </w:style>
  <w:style w:type="character" w:customStyle="1" w:styleId="69">
    <w:name w:val="标题 7 Char"/>
    <w:link w:val="10"/>
    <w:qFormat/>
    <w:uiPriority w:val="0"/>
    <w:rPr>
      <w:rFonts w:eastAsia="宋体"/>
      <w:b/>
      <w:kern w:val="2"/>
      <w:sz w:val="24"/>
      <w:lang w:val="en-US" w:eastAsia="zh-CN" w:bidi="ar-SA"/>
    </w:rPr>
  </w:style>
  <w:style w:type="character" w:customStyle="1" w:styleId="70">
    <w:name w:val="明显参考1"/>
    <w:qFormat/>
    <w:uiPriority w:val="0"/>
    <w:rPr>
      <w:b/>
      <w:bCs/>
      <w:smallCaps/>
      <w:color w:val="C0504D"/>
      <w:spacing w:val="5"/>
      <w:u w:val="single"/>
    </w:rPr>
  </w:style>
  <w:style w:type="character" w:customStyle="1" w:styleId="71">
    <w:name w:val="书籍标题1"/>
    <w:autoRedefine/>
    <w:qFormat/>
    <w:uiPriority w:val="0"/>
    <w:rPr>
      <w:b/>
      <w:bCs/>
      <w:smallCaps/>
      <w:spacing w:val="5"/>
    </w:rPr>
  </w:style>
  <w:style w:type="character" w:customStyle="1" w:styleId="72">
    <w:name w:val="Char Char61"/>
    <w:autoRedefine/>
    <w:qFormat/>
    <w:uiPriority w:val="0"/>
    <w:rPr>
      <w:rFonts w:ascii="Times New Roman" w:hAnsi="Times New Roman" w:eastAsia="宋体" w:cs="Times New Roman"/>
      <w:szCs w:val="24"/>
    </w:rPr>
  </w:style>
  <w:style w:type="character" w:customStyle="1" w:styleId="73">
    <w:name w:val="Char Char24"/>
    <w:autoRedefine/>
    <w:qFormat/>
    <w:uiPriority w:val="0"/>
    <w:rPr>
      <w:rFonts w:eastAsia="宋体"/>
      <w:b/>
      <w:kern w:val="2"/>
      <w:sz w:val="28"/>
      <w:lang w:val="en-US" w:eastAsia="zh-CN" w:bidi="ar-SA"/>
    </w:rPr>
  </w:style>
  <w:style w:type="character" w:customStyle="1" w:styleId="74">
    <w:name w:val="Style4"/>
    <w:autoRedefine/>
    <w:qFormat/>
    <w:uiPriority w:val="0"/>
    <w:rPr>
      <w:rFonts w:ascii="Calibri" w:hAnsi="宋体" w:eastAsia="宋体" w:cs="Times New Roman"/>
      <w:szCs w:val="22"/>
      <w:lang w:eastAsia="zh-CN"/>
    </w:rPr>
  </w:style>
  <w:style w:type="character" w:customStyle="1" w:styleId="75">
    <w:name w:val="Style1"/>
    <w:autoRedefine/>
    <w:qFormat/>
    <w:uiPriority w:val="0"/>
    <w:rPr>
      <w:rFonts w:ascii="Calibri" w:hAnsi="宋体" w:eastAsia="宋体" w:cs="Times New Roman"/>
      <w:sz w:val="22"/>
      <w:szCs w:val="22"/>
      <w:lang w:eastAsia="zh-CN"/>
    </w:rPr>
  </w:style>
  <w:style w:type="character" w:customStyle="1" w:styleId="76">
    <w:name w:val="heading 1 Char1"/>
    <w:autoRedefine/>
    <w:qFormat/>
    <w:uiPriority w:val="0"/>
    <w:rPr>
      <w:rFonts w:eastAsia="宋体"/>
      <w:b/>
      <w:bCs/>
      <w:kern w:val="44"/>
      <w:sz w:val="44"/>
      <w:szCs w:val="44"/>
      <w:lang w:val="en-US" w:eastAsia="zh-CN" w:bidi="ar-SA"/>
    </w:rPr>
  </w:style>
  <w:style w:type="character" w:customStyle="1" w:styleId="77">
    <w:name w:val="Style5"/>
    <w:qFormat/>
    <w:uiPriority w:val="0"/>
    <w:rPr>
      <w:rFonts w:ascii="Calibri" w:hAnsi="宋体" w:eastAsia="宋体" w:cs="Times New Roman"/>
      <w:sz w:val="22"/>
      <w:szCs w:val="22"/>
      <w:lang w:eastAsia="zh-CN"/>
    </w:rPr>
  </w:style>
  <w:style w:type="character" w:customStyle="1" w:styleId="78">
    <w:name w:val="称呼 Char"/>
    <w:link w:val="19"/>
    <w:autoRedefine/>
    <w:qFormat/>
    <w:uiPriority w:val="0"/>
    <w:rPr>
      <w:rFonts w:ascii="仿宋_GB2312" w:eastAsia="仿宋_GB2312"/>
      <w:b/>
      <w:sz w:val="24"/>
      <w:szCs w:val="32"/>
    </w:rPr>
  </w:style>
  <w:style w:type="character" w:customStyle="1" w:styleId="79">
    <w:name w:val="Ò³Ã¼ Char Char2"/>
    <w:autoRedefine/>
    <w:qFormat/>
    <w:uiPriority w:val="0"/>
    <w:rPr>
      <w:kern w:val="2"/>
      <w:sz w:val="18"/>
      <w:szCs w:val="18"/>
    </w:rPr>
  </w:style>
  <w:style w:type="character" w:customStyle="1" w:styleId="80">
    <w:name w:val="明显强调1"/>
    <w:autoRedefine/>
    <w:qFormat/>
    <w:uiPriority w:val="0"/>
    <w:rPr>
      <w:b/>
      <w:bCs/>
      <w:i/>
      <w:iCs/>
      <w:color w:val="4F81BD"/>
    </w:rPr>
  </w:style>
  <w:style w:type="character" w:customStyle="1" w:styleId="81">
    <w:name w:val="样式 标题 3 + 黑体 小四 Char Char"/>
    <w:link w:val="82"/>
    <w:autoRedefine/>
    <w:qFormat/>
    <w:uiPriority w:val="0"/>
    <w:rPr>
      <w:rFonts w:ascii="黑体" w:hAnsi="Arial" w:eastAsia="黑体"/>
      <w:bCs/>
      <w:sz w:val="24"/>
      <w:szCs w:val="24"/>
      <w:lang w:bidi="ar-SA"/>
    </w:rPr>
  </w:style>
  <w:style w:type="paragraph" w:customStyle="1" w:styleId="82">
    <w:name w:val="样式 标题 3 + 黑体 小四"/>
    <w:basedOn w:val="5"/>
    <w:link w:val="81"/>
    <w:autoRedefine/>
    <w:qFormat/>
    <w:uiPriority w:val="0"/>
    <w:pPr>
      <w:spacing w:before="260" w:after="260" w:line="413" w:lineRule="auto"/>
    </w:pPr>
    <w:rPr>
      <w:rFonts w:ascii="黑体" w:hAnsi="Arial"/>
      <w:b w:val="0"/>
      <w:bCs/>
      <w:kern w:val="0"/>
      <w:sz w:val="24"/>
      <w:szCs w:val="24"/>
    </w:rPr>
  </w:style>
  <w:style w:type="character" w:customStyle="1" w:styleId="83">
    <w:name w:val="heading 7 Char1"/>
    <w:autoRedefine/>
    <w:qFormat/>
    <w:uiPriority w:val="0"/>
    <w:rPr>
      <w:rFonts w:ascii="Arial" w:hAnsi="Arial" w:eastAsia="黑体"/>
      <w:sz w:val="21"/>
      <w:szCs w:val="21"/>
      <w:lang w:val="en-US" w:eastAsia="zh-CN" w:bidi="ar-SA"/>
    </w:rPr>
  </w:style>
  <w:style w:type="character" w:customStyle="1" w:styleId="84">
    <w:name w:val="Char Char1"/>
    <w:autoRedefine/>
    <w:qFormat/>
    <w:uiPriority w:val="0"/>
    <w:rPr>
      <w:rFonts w:eastAsia="宋体"/>
      <w:sz w:val="21"/>
      <w:lang w:val="en-US" w:eastAsia="zh-CN" w:bidi="ar-SA"/>
    </w:rPr>
  </w:style>
  <w:style w:type="character" w:customStyle="1" w:styleId="85">
    <w:name w:val="Char Char12"/>
    <w:autoRedefine/>
    <w:qFormat/>
    <w:uiPriority w:val="0"/>
    <w:rPr>
      <w:rFonts w:eastAsia="宋体"/>
      <w:kern w:val="2"/>
      <w:sz w:val="21"/>
      <w:szCs w:val="24"/>
      <w:lang w:val="en-US" w:eastAsia="zh-CN" w:bidi="ar-SA"/>
    </w:rPr>
  </w:style>
  <w:style w:type="character" w:customStyle="1" w:styleId="86">
    <w:name w:val="Char Char18"/>
    <w:autoRedefine/>
    <w:qFormat/>
    <w:uiPriority w:val="0"/>
    <w:rPr>
      <w:b/>
      <w:bCs/>
      <w:kern w:val="2"/>
      <w:sz w:val="32"/>
      <w:szCs w:val="32"/>
    </w:rPr>
  </w:style>
  <w:style w:type="character" w:customStyle="1" w:styleId="87">
    <w:name w:val="Char Char4"/>
    <w:autoRedefine/>
    <w:qFormat/>
    <w:uiPriority w:val="0"/>
    <w:rPr>
      <w:rFonts w:ascii="Cambria" w:hAnsi="Cambria" w:eastAsia="宋体"/>
      <w:b/>
      <w:bCs/>
      <w:sz w:val="32"/>
      <w:szCs w:val="32"/>
      <w:lang w:bidi="ar-SA"/>
    </w:rPr>
  </w:style>
  <w:style w:type="character" w:customStyle="1" w:styleId="88">
    <w:name w:val="PI Char"/>
    <w:qFormat/>
    <w:uiPriority w:val="0"/>
    <w:rPr>
      <w:rFonts w:ascii="宋体" w:hAnsi="宋体"/>
      <w:sz w:val="24"/>
    </w:rPr>
  </w:style>
  <w:style w:type="character" w:customStyle="1" w:styleId="89">
    <w:name w:val="明显参考2"/>
    <w:autoRedefine/>
    <w:qFormat/>
    <w:uiPriority w:val="0"/>
    <w:rPr>
      <w:b/>
      <w:bCs/>
      <w:smallCaps/>
      <w:color w:val="C0504D"/>
      <w:spacing w:val="5"/>
      <w:u w:val="single"/>
    </w:rPr>
  </w:style>
  <w:style w:type="character" w:customStyle="1" w:styleId="90">
    <w:name w:val="批注文字 Char"/>
    <w:link w:val="18"/>
    <w:autoRedefine/>
    <w:qFormat/>
    <w:uiPriority w:val="0"/>
    <w:rPr>
      <w:rFonts w:eastAsia="宋体"/>
      <w:kern w:val="2"/>
      <w:sz w:val="21"/>
      <w:szCs w:val="24"/>
      <w:lang w:val="en-US" w:eastAsia="zh-CN" w:bidi="ar-SA"/>
    </w:rPr>
  </w:style>
  <w:style w:type="character" w:customStyle="1" w:styleId="91">
    <w:name w:val="Style2"/>
    <w:qFormat/>
    <w:uiPriority w:val="0"/>
    <w:rPr>
      <w:rFonts w:ascii="Calibri" w:hAnsi="宋体" w:eastAsia="宋体" w:cs="Times New Roman"/>
      <w:sz w:val="22"/>
      <w:szCs w:val="22"/>
      <w:lang w:eastAsia="zh-CN"/>
    </w:rPr>
  </w:style>
  <w:style w:type="character" w:customStyle="1" w:styleId="92">
    <w:name w:val="Footer-Even Char1"/>
    <w:autoRedefine/>
    <w:qFormat/>
    <w:uiPriority w:val="0"/>
    <w:rPr>
      <w:rFonts w:eastAsia="宋体"/>
      <w:kern w:val="2"/>
      <w:sz w:val="18"/>
      <w:szCs w:val="18"/>
      <w:lang w:val="en-US" w:eastAsia="zh-CN" w:bidi="ar-SA"/>
    </w:rPr>
  </w:style>
  <w:style w:type="character" w:customStyle="1" w:styleId="93">
    <w:name w:val="heading 4 Char1"/>
    <w:autoRedefine/>
    <w:qFormat/>
    <w:uiPriority w:val="0"/>
    <w:rPr>
      <w:rFonts w:ascii="Cambria" w:hAnsi="Cambria" w:eastAsia="宋体"/>
      <w:b/>
      <w:bCs/>
      <w:kern w:val="2"/>
      <w:sz w:val="28"/>
      <w:szCs w:val="28"/>
      <w:lang w:val="en-US" w:eastAsia="zh-CN" w:bidi="ar-SA"/>
    </w:rPr>
  </w:style>
  <w:style w:type="character" w:customStyle="1" w:styleId="94">
    <w:name w:val="正文文本 3 Char"/>
    <w:basedOn w:val="54"/>
    <w:link w:val="20"/>
    <w:autoRedefine/>
    <w:qFormat/>
    <w:uiPriority w:val="0"/>
  </w:style>
  <w:style w:type="character" w:customStyle="1" w:styleId="95">
    <w:name w:val="批注主题 Char"/>
    <w:link w:val="49"/>
    <w:autoRedefine/>
    <w:qFormat/>
    <w:uiPriority w:val="0"/>
    <w:rPr>
      <w:rFonts w:eastAsia="宋体"/>
      <w:b/>
      <w:bCs/>
      <w:kern w:val="2"/>
      <w:sz w:val="21"/>
      <w:szCs w:val="24"/>
      <w:lang w:val="en-US" w:eastAsia="zh-CN" w:bidi="ar-SA"/>
    </w:rPr>
  </w:style>
  <w:style w:type="character" w:customStyle="1" w:styleId="96">
    <w:name w:val="不明显参考11"/>
    <w:qFormat/>
    <w:uiPriority w:val="0"/>
    <w:rPr>
      <w:smallCaps/>
      <w:color w:val="C0504D"/>
      <w:u w:val="single"/>
    </w:rPr>
  </w:style>
  <w:style w:type="character" w:customStyle="1" w:styleId="97">
    <w:name w:val="Plain Text Char"/>
    <w:autoRedefine/>
    <w:qFormat/>
    <w:uiPriority w:val="0"/>
    <w:rPr>
      <w:rFonts w:ascii="宋体" w:hAnsi="Courier New" w:eastAsia="宋体" w:cs="Times New Roman"/>
      <w:sz w:val="21"/>
      <w:szCs w:val="21"/>
    </w:rPr>
  </w:style>
  <w:style w:type="character" w:customStyle="1" w:styleId="98">
    <w:name w:val="Char Char111"/>
    <w:autoRedefine/>
    <w:qFormat/>
    <w:uiPriority w:val="0"/>
    <w:rPr>
      <w:rFonts w:ascii="Times New Roman" w:hAnsi="Times New Roman" w:eastAsia="宋体" w:cs="Times New Roman"/>
      <w:sz w:val="18"/>
      <w:szCs w:val="18"/>
    </w:rPr>
  </w:style>
  <w:style w:type="character" w:customStyle="1" w:styleId="99">
    <w:name w:val="无间距字符"/>
    <w:link w:val="100"/>
    <w:qFormat/>
    <w:uiPriority w:val="0"/>
    <w:rPr>
      <w:rFonts w:eastAsia="Times New Roman"/>
      <w:sz w:val="22"/>
      <w:szCs w:val="22"/>
      <w:lang w:val="en-US" w:eastAsia="zh-CN" w:bidi="ar-SA"/>
    </w:rPr>
  </w:style>
  <w:style w:type="paragraph" w:customStyle="1" w:styleId="100">
    <w:name w:val="无间距"/>
    <w:link w:val="99"/>
    <w:autoRedefine/>
    <w:qFormat/>
    <w:uiPriority w:val="0"/>
    <w:rPr>
      <w:rFonts w:ascii="Times New Roman" w:hAnsi="Times New Roman" w:eastAsia="Times New Roman" w:cs="Times New Roman"/>
      <w:sz w:val="22"/>
      <w:szCs w:val="22"/>
      <w:lang w:val="en-US" w:eastAsia="zh-CN" w:bidi="ar-SA"/>
    </w:rPr>
  </w:style>
  <w:style w:type="character" w:customStyle="1" w:styleId="101">
    <w:name w:val="heading 5 Char2"/>
    <w:autoRedefine/>
    <w:qFormat/>
    <w:uiPriority w:val="0"/>
    <w:rPr>
      <w:b/>
      <w:bCs/>
      <w:kern w:val="2"/>
      <w:sz w:val="28"/>
      <w:szCs w:val="28"/>
    </w:rPr>
  </w:style>
  <w:style w:type="character" w:customStyle="1" w:styleId="102">
    <w:name w:val="样式2 Char Char"/>
    <w:link w:val="103"/>
    <w:autoRedefine/>
    <w:qFormat/>
    <w:uiPriority w:val="0"/>
    <w:rPr>
      <w:rFonts w:ascii="宋体" w:hAnsi="宋体" w:eastAsia="宋体"/>
      <w:bCs/>
      <w:kern w:val="2"/>
      <w:sz w:val="28"/>
      <w:szCs w:val="28"/>
      <w:lang w:val="en-US" w:eastAsia="zh-CN" w:bidi="ar-SA"/>
    </w:rPr>
  </w:style>
  <w:style w:type="paragraph" w:customStyle="1" w:styleId="103">
    <w:name w:val="样式2"/>
    <w:basedOn w:val="4"/>
    <w:link w:val="102"/>
    <w:autoRedefine/>
    <w:qFormat/>
    <w:uiPriority w:val="0"/>
    <w:pPr>
      <w:keepLines/>
      <w:snapToGrid w:val="0"/>
      <w:spacing w:before="260" w:afterLines="50" w:line="480" w:lineRule="exact"/>
      <w:ind w:firstLine="556"/>
    </w:pPr>
    <w:rPr>
      <w:rFonts w:ascii="宋体" w:hAnsi="宋体"/>
      <w:b w:val="0"/>
      <w:bCs/>
      <w:szCs w:val="28"/>
    </w:rPr>
  </w:style>
  <w:style w:type="character" w:customStyle="1" w:styleId="104">
    <w:name w:val="正文缩进 Char"/>
    <w:link w:val="9"/>
    <w:autoRedefine/>
    <w:qFormat/>
    <w:uiPriority w:val="0"/>
    <w:rPr>
      <w:rFonts w:ascii="仿宋_GB2312" w:eastAsia="宋体"/>
      <w:b/>
      <w:sz w:val="21"/>
      <w:szCs w:val="32"/>
      <w:lang w:val="en-US" w:eastAsia="zh-CN" w:bidi="ar-SA"/>
    </w:rPr>
  </w:style>
  <w:style w:type="character" w:customStyle="1" w:styleId="105">
    <w:name w:val="heading 2 Char1"/>
    <w:autoRedefine/>
    <w:qFormat/>
    <w:uiPriority w:val="0"/>
    <w:rPr>
      <w:rFonts w:ascii="Cambria" w:hAnsi="Cambria" w:eastAsia="宋体"/>
      <w:b/>
      <w:bCs/>
      <w:kern w:val="2"/>
      <w:sz w:val="32"/>
      <w:szCs w:val="32"/>
      <w:lang w:val="en-US" w:eastAsia="zh-CN" w:bidi="ar-SA"/>
    </w:rPr>
  </w:style>
  <w:style w:type="character" w:customStyle="1" w:styleId="106">
    <w:name w:val="heading 3 Char1"/>
    <w:autoRedefine/>
    <w:qFormat/>
    <w:uiPriority w:val="0"/>
    <w:rPr>
      <w:rFonts w:eastAsia="宋体"/>
      <w:b/>
      <w:bCs/>
      <w:kern w:val="2"/>
      <w:sz w:val="32"/>
      <w:szCs w:val="32"/>
      <w:lang w:val="en-US" w:eastAsia="zh-CN" w:bidi="ar-SA"/>
    </w:rPr>
  </w:style>
  <w:style w:type="character" w:customStyle="1" w:styleId="107">
    <w:name w:val="Char Char15"/>
    <w:autoRedefine/>
    <w:qFormat/>
    <w:uiPriority w:val="0"/>
    <w:rPr>
      <w:rFonts w:ascii="Arial" w:hAnsi="Arial" w:eastAsia="黑体"/>
      <w:sz w:val="24"/>
      <w:szCs w:val="24"/>
    </w:rPr>
  </w:style>
  <w:style w:type="character" w:customStyle="1" w:styleId="108">
    <w:name w:val="heading 1 Char"/>
    <w:autoRedefine/>
    <w:qFormat/>
    <w:uiPriority w:val="0"/>
    <w:rPr>
      <w:rFonts w:ascii="Arial" w:hAnsi="Arial" w:eastAsia="黑体"/>
      <w:b/>
      <w:sz w:val="36"/>
      <w:szCs w:val="36"/>
    </w:rPr>
  </w:style>
  <w:style w:type="character" w:customStyle="1" w:styleId="109">
    <w:name w:val="ändrad Char"/>
    <w:autoRedefine/>
    <w:qFormat/>
    <w:uiPriority w:val="0"/>
    <w:rPr>
      <w:rFonts w:eastAsia="宋体"/>
      <w:kern w:val="2"/>
      <w:sz w:val="21"/>
      <w:szCs w:val="24"/>
      <w:lang w:val="en-US" w:eastAsia="zh-CN" w:bidi="ar-SA"/>
    </w:rPr>
  </w:style>
  <w:style w:type="character" w:customStyle="1" w:styleId="110">
    <w:name w:val="标题 Char"/>
    <w:link w:val="48"/>
    <w:autoRedefine/>
    <w:qFormat/>
    <w:uiPriority w:val="0"/>
    <w:rPr>
      <w:rFonts w:ascii="Cambria" w:hAnsi="Cambria" w:eastAsia="宋体"/>
      <w:b/>
      <w:bCs/>
      <w:kern w:val="2"/>
      <w:sz w:val="32"/>
      <w:szCs w:val="32"/>
      <w:lang w:val="en-US" w:eastAsia="zh-CN" w:bidi="ar-SA"/>
    </w:rPr>
  </w:style>
  <w:style w:type="character" w:customStyle="1" w:styleId="111">
    <w:name w:val="Char Char22"/>
    <w:autoRedefine/>
    <w:qFormat/>
    <w:uiPriority w:val="0"/>
    <w:rPr>
      <w:rFonts w:ascii="Arial" w:hAnsi="Arial" w:eastAsia="黑体"/>
      <w:b/>
      <w:bCs/>
      <w:kern w:val="44"/>
      <w:sz w:val="30"/>
      <w:szCs w:val="44"/>
      <w:lang w:val="en-US" w:eastAsia="zh-CN" w:bidi="ar-SA"/>
    </w:rPr>
  </w:style>
  <w:style w:type="character" w:customStyle="1" w:styleId="112">
    <w:name w:val="blue1"/>
    <w:basedOn w:val="54"/>
    <w:autoRedefine/>
    <w:qFormat/>
    <w:uiPriority w:val="0"/>
  </w:style>
  <w:style w:type="character" w:customStyle="1" w:styleId="113">
    <w:name w:val="样式 宋体"/>
    <w:autoRedefine/>
    <w:qFormat/>
    <w:uiPriority w:val="0"/>
    <w:rPr>
      <w:rFonts w:ascii="宋体" w:hAnsi="宋体" w:eastAsia="宋体"/>
      <w:sz w:val="24"/>
      <w:szCs w:val="24"/>
    </w:rPr>
  </w:style>
  <w:style w:type="character" w:customStyle="1" w:styleId="114">
    <w:name w:val="dandyren_title1"/>
    <w:autoRedefine/>
    <w:qFormat/>
    <w:uiPriority w:val="0"/>
    <w:rPr>
      <w:b/>
      <w:bCs/>
      <w:color w:val="FF6633"/>
      <w:sz w:val="18"/>
      <w:szCs w:val="18"/>
    </w:rPr>
  </w:style>
  <w:style w:type="character" w:customStyle="1" w:styleId="115">
    <w:name w:val="font21"/>
    <w:basedOn w:val="54"/>
    <w:autoRedefine/>
    <w:qFormat/>
    <w:uiPriority w:val="0"/>
    <w:rPr>
      <w:rFonts w:ascii="Wingdings 2" w:hAnsi="Wingdings 2" w:eastAsia="Wingdings 2" w:cs="Wingdings 2"/>
      <w:b/>
      <w:color w:val="000000"/>
      <w:sz w:val="20"/>
      <w:szCs w:val="20"/>
      <w:u w:val="none"/>
    </w:rPr>
  </w:style>
  <w:style w:type="character" w:customStyle="1" w:styleId="116">
    <w:name w:val="Ò³Ã¼ Char Char1"/>
    <w:autoRedefine/>
    <w:qFormat/>
    <w:uiPriority w:val="0"/>
    <w:rPr>
      <w:rFonts w:eastAsia="宋体"/>
      <w:kern w:val="2"/>
      <w:sz w:val="18"/>
      <w:szCs w:val="18"/>
      <w:lang w:val="en-US" w:eastAsia="zh-CN" w:bidi="ar-SA"/>
    </w:rPr>
  </w:style>
  <w:style w:type="character" w:customStyle="1" w:styleId="117">
    <w:name w:val="宏文本 Char"/>
    <w:link w:val="3"/>
    <w:autoRedefine/>
    <w:qFormat/>
    <w:uiPriority w:val="0"/>
    <w:rPr>
      <w:rFonts w:ascii="Courier New" w:hAnsi="Courier New" w:eastAsia="Times New Roman"/>
      <w:kern w:val="2"/>
      <w:sz w:val="24"/>
      <w:szCs w:val="24"/>
      <w:lang w:val="en-US" w:eastAsia="zh-CN" w:bidi="ar-SA"/>
    </w:rPr>
  </w:style>
  <w:style w:type="character" w:customStyle="1" w:styleId="118">
    <w:name w:val="Footer-Even Char"/>
    <w:autoRedefine/>
    <w:qFormat/>
    <w:uiPriority w:val="0"/>
    <w:rPr>
      <w:sz w:val="18"/>
      <w:szCs w:val="18"/>
    </w:rPr>
  </w:style>
  <w:style w:type="character" w:customStyle="1" w:styleId="119">
    <w:name w:val="页脚 Char"/>
    <w:link w:val="34"/>
    <w:autoRedefine/>
    <w:qFormat/>
    <w:uiPriority w:val="0"/>
    <w:rPr>
      <w:rFonts w:eastAsia="宋体"/>
      <w:kern w:val="2"/>
      <w:sz w:val="18"/>
      <w:szCs w:val="18"/>
      <w:lang w:val="en-US" w:eastAsia="zh-CN" w:bidi="ar-SA"/>
    </w:rPr>
  </w:style>
  <w:style w:type="character" w:customStyle="1" w:styleId="120">
    <w:name w:val="style111"/>
    <w:autoRedefine/>
    <w:qFormat/>
    <w:uiPriority w:val="0"/>
    <w:rPr>
      <w:sz w:val="27"/>
      <w:szCs w:val="27"/>
    </w:rPr>
  </w:style>
  <w:style w:type="character" w:customStyle="1" w:styleId="121">
    <w:name w:val="PI Char2"/>
    <w:autoRedefine/>
    <w:qFormat/>
    <w:uiPriority w:val="0"/>
    <w:rPr>
      <w:kern w:val="2"/>
      <w:sz w:val="24"/>
      <w:szCs w:val="24"/>
    </w:rPr>
  </w:style>
  <w:style w:type="character" w:customStyle="1" w:styleId="122">
    <w:name w:val="gray6"/>
    <w:basedOn w:val="54"/>
    <w:autoRedefine/>
    <w:qFormat/>
    <w:uiPriority w:val="0"/>
  </w:style>
  <w:style w:type="character" w:customStyle="1" w:styleId="123">
    <w:name w:val="Char Char Char1"/>
    <w:autoRedefine/>
    <w:qFormat/>
    <w:uiPriority w:val="0"/>
    <w:rPr>
      <w:rFonts w:ascii="宋体" w:hAnsi="Courier New"/>
      <w:sz w:val="21"/>
      <w:szCs w:val="21"/>
    </w:rPr>
  </w:style>
  <w:style w:type="character" w:customStyle="1" w:styleId="124">
    <w:name w:val="Char Char121"/>
    <w:autoRedefine/>
    <w:qFormat/>
    <w:uiPriority w:val="0"/>
    <w:rPr>
      <w:rFonts w:eastAsia="宋体"/>
      <w:kern w:val="2"/>
      <w:sz w:val="21"/>
      <w:szCs w:val="24"/>
      <w:lang w:val="en-US" w:eastAsia="zh-CN" w:bidi="ar-SA"/>
    </w:rPr>
  </w:style>
  <w:style w:type="character" w:customStyle="1" w:styleId="125">
    <w:name w:val="Char Char Char Char Char Char Char Char Char"/>
    <w:autoRedefine/>
    <w:qFormat/>
    <w:uiPriority w:val="0"/>
    <w:rPr>
      <w:rFonts w:ascii="宋体" w:hAnsi="Courier New" w:eastAsia="宋体"/>
      <w:sz w:val="21"/>
      <w:szCs w:val="21"/>
      <w:lang w:val="en-US" w:eastAsia="zh-CN" w:bidi="ar-SA"/>
    </w:rPr>
  </w:style>
  <w:style w:type="character" w:customStyle="1" w:styleId="126">
    <w:name w:val="heading 4 Char2"/>
    <w:autoRedefine/>
    <w:qFormat/>
    <w:uiPriority w:val="0"/>
    <w:rPr>
      <w:rFonts w:ascii="Cambria" w:hAnsi="Cambria"/>
      <w:b/>
      <w:bCs/>
      <w:kern w:val="2"/>
      <w:sz w:val="28"/>
      <w:szCs w:val="28"/>
    </w:rPr>
  </w:style>
  <w:style w:type="character" w:customStyle="1" w:styleId="127">
    <w:name w:val="heading 3 Char"/>
    <w:autoRedefine/>
    <w:qFormat/>
    <w:uiPriority w:val="0"/>
    <w:rPr>
      <w:rFonts w:ascii="Arial" w:hAnsi="Arial" w:eastAsia="黑体"/>
      <w:sz w:val="28"/>
      <w:szCs w:val="24"/>
    </w:rPr>
  </w:style>
  <w:style w:type="character" w:customStyle="1" w:styleId="128">
    <w:name w:val="标题 1 Char"/>
    <w:link w:val="2"/>
    <w:autoRedefine/>
    <w:qFormat/>
    <w:uiPriority w:val="0"/>
    <w:rPr>
      <w:rFonts w:eastAsia="黑体"/>
      <w:b/>
      <w:kern w:val="2"/>
      <w:sz w:val="32"/>
      <w:lang w:val="en-US" w:eastAsia="zh-CN" w:bidi="ar-SA"/>
    </w:rPr>
  </w:style>
  <w:style w:type="character" w:customStyle="1" w:styleId="129">
    <w:name w:val="Char Char16"/>
    <w:autoRedefine/>
    <w:qFormat/>
    <w:uiPriority w:val="0"/>
    <w:rPr>
      <w:b/>
      <w:bCs/>
      <w:kern w:val="2"/>
      <w:sz w:val="28"/>
      <w:szCs w:val="28"/>
    </w:rPr>
  </w:style>
  <w:style w:type="character" w:customStyle="1" w:styleId="130">
    <w:name w:val="文档结构图 Char"/>
    <w:link w:val="17"/>
    <w:autoRedefine/>
    <w:qFormat/>
    <w:uiPriority w:val="0"/>
    <w:rPr>
      <w:rFonts w:eastAsia="宋体"/>
      <w:kern w:val="2"/>
      <w:sz w:val="21"/>
      <w:szCs w:val="24"/>
      <w:lang w:val="en-US" w:eastAsia="zh-CN" w:bidi="ar-SA"/>
    </w:rPr>
  </w:style>
  <w:style w:type="character" w:customStyle="1" w:styleId="131">
    <w:name w:val="标题 5 Char"/>
    <w:link w:val="7"/>
    <w:autoRedefine/>
    <w:qFormat/>
    <w:uiPriority w:val="0"/>
    <w:rPr>
      <w:rFonts w:eastAsia="宋体"/>
      <w:b/>
      <w:bCs/>
      <w:sz w:val="28"/>
      <w:szCs w:val="28"/>
      <w:lang w:bidi="ar-SA"/>
    </w:rPr>
  </w:style>
  <w:style w:type="character" w:customStyle="1" w:styleId="132">
    <w:name w:val="日期 Char"/>
    <w:link w:val="31"/>
    <w:autoRedefine/>
    <w:qFormat/>
    <w:uiPriority w:val="0"/>
    <w:rPr>
      <w:rFonts w:eastAsia="宋体"/>
      <w:kern w:val="2"/>
      <w:sz w:val="21"/>
      <w:szCs w:val="24"/>
      <w:lang w:val="en-US" w:eastAsia="zh-CN" w:bidi="ar-SA"/>
    </w:rPr>
  </w:style>
  <w:style w:type="character" w:customStyle="1" w:styleId="133">
    <w:name w:val="副标题 Char"/>
    <w:link w:val="39"/>
    <w:qFormat/>
    <w:uiPriority w:val="0"/>
    <w:rPr>
      <w:rFonts w:ascii="Cambria" w:hAnsi="Cambria" w:eastAsia="宋体"/>
      <w:b/>
      <w:bCs/>
      <w:kern w:val="28"/>
      <w:sz w:val="32"/>
      <w:szCs w:val="32"/>
      <w:lang w:val="en-US" w:eastAsia="zh-CN" w:bidi="ar-SA"/>
    </w:rPr>
  </w:style>
  <w:style w:type="character" w:customStyle="1" w:styleId="134">
    <w:name w:val="页眉 Char"/>
    <w:link w:val="35"/>
    <w:qFormat/>
    <w:uiPriority w:val="0"/>
    <w:rPr>
      <w:rFonts w:eastAsia="宋体"/>
      <w:kern w:val="2"/>
      <w:sz w:val="18"/>
      <w:szCs w:val="18"/>
      <w:lang w:val="en-US" w:eastAsia="zh-CN" w:bidi="ar-SA"/>
    </w:rPr>
  </w:style>
  <w:style w:type="character" w:customStyle="1" w:styleId="135">
    <w:name w:val="style13"/>
    <w:basedOn w:val="54"/>
    <w:autoRedefine/>
    <w:qFormat/>
    <w:uiPriority w:val="0"/>
  </w:style>
  <w:style w:type="character" w:customStyle="1" w:styleId="136">
    <w:name w:val="textcolor1"/>
    <w:autoRedefine/>
    <w:qFormat/>
    <w:uiPriority w:val="0"/>
    <w:rPr>
      <w:rFonts w:ascii="仿宋_GB2312" w:eastAsia="仿宋_GB2312"/>
      <w:b/>
      <w:color w:val="FF6600"/>
      <w:sz w:val="32"/>
      <w:szCs w:val="32"/>
    </w:rPr>
  </w:style>
  <w:style w:type="character" w:customStyle="1" w:styleId="137">
    <w:name w:val="Table Text Char Char"/>
    <w:link w:val="138"/>
    <w:autoRedefine/>
    <w:qFormat/>
    <w:uiPriority w:val="0"/>
    <w:rPr>
      <w:sz w:val="21"/>
      <w:lang w:val="en-US" w:eastAsia="en-US" w:bidi="ar-SA"/>
    </w:rPr>
  </w:style>
  <w:style w:type="paragraph" w:customStyle="1" w:styleId="138">
    <w:name w:val="Table Text"/>
    <w:basedOn w:val="1"/>
    <w:link w:val="137"/>
    <w:autoRedefine/>
    <w:qFormat/>
    <w:uiPriority w:val="0"/>
    <w:pPr>
      <w:widowControl/>
      <w:tabs>
        <w:tab w:val="decimal" w:pos="0"/>
      </w:tabs>
      <w:overflowPunct w:val="0"/>
      <w:autoSpaceDE w:val="0"/>
      <w:autoSpaceDN w:val="0"/>
      <w:adjustRightInd w:val="0"/>
      <w:jc w:val="left"/>
      <w:textAlignment w:val="baseline"/>
    </w:pPr>
    <w:rPr>
      <w:kern w:val="0"/>
      <w:szCs w:val="20"/>
      <w:lang w:eastAsia="en-US"/>
    </w:rPr>
  </w:style>
  <w:style w:type="character" w:customStyle="1" w:styleId="139">
    <w:name w:val="Ò³Ã¼ Char Char"/>
    <w:autoRedefine/>
    <w:qFormat/>
    <w:uiPriority w:val="0"/>
    <w:rPr>
      <w:sz w:val="18"/>
      <w:szCs w:val="18"/>
    </w:rPr>
  </w:style>
  <w:style w:type="character" w:customStyle="1" w:styleId="140">
    <w:name w:val="heading 2 Char2"/>
    <w:autoRedefine/>
    <w:qFormat/>
    <w:uiPriority w:val="0"/>
    <w:rPr>
      <w:rFonts w:ascii="Cambria" w:hAnsi="Cambria"/>
      <w:b/>
      <w:bCs/>
      <w:kern w:val="2"/>
      <w:sz w:val="32"/>
      <w:szCs w:val="32"/>
    </w:rPr>
  </w:style>
  <w:style w:type="character" w:customStyle="1" w:styleId="141">
    <w:name w:val="书籍标题11"/>
    <w:autoRedefine/>
    <w:qFormat/>
    <w:uiPriority w:val="0"/>
    <w:rPr>
      <w:b/>
      <w:bCs/>
      <w:smallCaps/>
      <w:spacing w:val="5"/>
    </w:rPr>
  </w:style>
  <w:style w:type="character" w:customStyle="1" w:styleId="142">
    <w:name w:val="Char Char21"/>
    <w:autoRedefine/>
    <w:qFormat/>
    <w:uiPriority w:val="0"/>
    <w:rPr>
      <w:rFonts w:ascii="Times New Roman" w:hAnsi="Times New Roman" w:eastAsia="宋体" w:cs="Times New Roman"/>
      <w:b/>
      <w:bCs/>
      <w:kern w:val="44"/>
      <w:sz w:val="44"/>
      <w:szCs w:val="44"/>
    </w:rPr>
  </w:style>
  <w:style w:type="character" w:customStyle="1" w:styleId="143">
    <w:name w:val="正文文本缩进 Char"/>
    <w:link w:val="22"/>
    <w:autoRedefine/>
    <w:qFormat/>
    <w:uiPriority w:val="0"/>
    <w:rPr>
      <w:rFonts w:eastAsia="宋体"/>
      <w:kern w:val="2"/>
      <w:sz w:val="24"/>
      <w:szCs w:val="24"/>
      <w:lang w:val="en-US" w:eastAsia="zh-CN" w:bidi="ar-SA"/>
    </w:rPr>
  </w:style>
  <w:style w:type="character" w:customStyle="1" w:styleId="144">
    <w:name w:val="不明显强调1"/>
    <w:autoRedefine/>
    <w:qFormat/>
    <w:uiPriority w:val="0"/>
    <w:rPr>
      <w:i/>
      <w:iCs/>
      <w:color w:val="808080"/>
    </w:rPr>
  </w:style>
  <w:style w:type="character" w:customStyle="1" w:styleId="145">
    <w:name w:val="正文文本缩进 3 Char"/>
    <w:link w:val="43"/>
    <w:autoRedefine/>
    <w:qFormat/>
    <w:uiPriority w:val="0"/>
    <w:rPr>
      <w:rFonts w:eastAsia="宋体"/>
      <w:kern w:val="2"/>
      <w:sz w:val="24"/>
      <w:szCs w:val="24"/>
      <w:lang w:val="en-US" w:eastAsia="zh-CN" w:bidi="ar-SA"/>
    </w:rPr>
  </w:style>
  <w:style w:type="character" w:customStyle="1" w:styleId="146">
    <w:name w:val="heading 5 Char"/>
    <w:autoRedefine/>
    <w:qFormat/>
    <w:uiPriority w:val="0"/>
    <w:rPr>
      <w:rFonts w:ascii="Arial" w:hAnsi="Arial" w:eastAsia="黑体"/>
      <w:sz w:val="21"/>
      <w:szCs w:val="21"/>
    </w:rPr>
  </w:style>
  <w:style w:type="character" w:customStyle="1" w:styleId="147">
    <w:name w:val="Style3"/>
    <w:autoRedefine/>
    <w:qFormat/>
    <w:uiPriority w:val="0"/>
    <w:rPr>
      <w:rFonts w:ascii="Calibri" w:hAnsi="宋体" w:eastAsia="宋体" w:cs="Times New Roman"/>
      <w:szCs w:val="22"/>
      <w:lang w:eastAsia="zh-CN"/>
    </w:rPr>
  </w:style>
  <w:style w:type="character" w:customStyle="1" w:styleId="148">
    <w:name w:val="标题 4 Char"/>
    <w:link w:val="6"/>
    <w:autoRedefine/>
    <w:qFormat/>
    <w:uiPriority w:val="0"/>
    <w:rPr>
      <w:rFonts w:eastAsia="宋体"/>
      <w:kern w:val="2"/>
      <w:sz w:val="28"/>
      <w:szCs w:val="28"/>
      <w:lang w:val="en-US" w:eastAsia="zh-CN" w:bidi="ar-SA"/>
    </w:rPr>
  </w:style>
  <w:style w:type="character" w:customStyle="1" w:styleId="149">
    <w:name w:val="Char Char241"/>
    <w:autoRedefine/>
    <w:qFormat/>
    <w:uiPriority w:val="0"/>
    <w:rPr>
      <w:rFonts w:eastAsia="宋体"/>
      <w:b/>
      <w:kern w:val="2"/>
      <w:sz w:val="28"/>
      <w:lang w:val="en-US" w:eastAsia="zh-CN" w:bidi="ar-SA"/>
    </w:rPr>
  </w:style>
  <w:style w:type="character" w:customStyle="1" w:styleId="150">
    <w:name w:val="批注框文本 Char"/>
    <w:link w:val="33"/>
    <w:autoRedefine/>
    <w:qFormat/>
    <w:uiPriority w:val="0"/>
    <w:rPr>
      <w:rFonts w:eastAsia="宋体"/>
      <w:kern w:val="2"/>
      <w:sz w:val="18"/>
      <w:szCs w:val="18"/>
      <w:lang w:val="en-US" w:eastAsia="zh-CN" w:bidi="ar-SA"/>
    </w:rPr>
  </w:style>
  <w:style w:type="character" w:customStyle="1" w:styleId="151">
    <w:name w:val="标题 3 Char"/>
    <w:link w:val="5"/>
    <w:autoRedefine/>
    <w:qFormat/>
    <w:uiPriority w:val="0"/>
    <w:rPr>
      <w:rFonts w:eastAsia="黑体"/>
      <w:b/>
      <w:kern w:val="2"/>
      <w:sz w:val="28"/>
      <w:lang w:val="en-US" w:eastAsia="zh-CN" w:bidi="ar-SA"/>
    </w:rPr>
  </w:style>
  <w:style w:type="character" w:customStyle="1" w:styleId="152">
    <w:name w:val="明显强调11"/>
    <w:autoRedefine/>
    <w:qFormat/>
    <w:uiPriority w:val="0"/>
    <w:rPr>
      <w:b/>
      <w:bCs/>
      <w:i/>
      <w:iCs/>
      <w:color w:val="4F81BD"/>
    </w:rPr>
  </w:style>
  <w:style w:type="character" w:customStyle="1" w:styleId="153">
    <w:name w:val="签名 Char"/>
    <w:link w:val="36"/>
    <w:autoRedefine/>
    <w:qFormat/>
    <w:uiPriority w:val="0"/>
    <w:rPr>
      <w:rFonts w:ascii="仿宋_GB2312" w:eastAsia="仿宋_GB2312"/>
      <w:b/>
      <w:sz w:val="24"/>
      <w:szCs w:val="32"/>
    </w:rPr>
  </w:style>
  <w:style w:type="character" w:customStyle="1" w:styleId="154">
    <w:name w:val="heading 3 Char2"/>
    <w:autoRedefine/>
    <w:qFormat/>
    <w:uiPriority w:val="0"/>
    <w:rPr>
      <w:b/>
      <w:bCs/>
      <w:kern w:val="2"/>
      <w:sz w:val="32"/>
      <w:szCs w:val="32"/>
    </w:rPr>
  </w:style>
  <w:style w:type="character" w:customStyle="1" w:styleId="155">
    <w:name w:val="style21"/>
    <w:autoRedefine/>
    <w:qFormat/>
    <w:uiPriority w:val="0"/>
    <w:rPr>
      <w:sz w:val="15"/>
      <w:szCs w:val="15"/>
    </w:rPr>
  </w:style>
  <w:style w:type="character" w:customStyle="1" w:styleId="156">
    <w:name w:val="Char Char271"/>
    <w:autoRedefine/>
    <w:qFormat/>
    <w:uiPriority w:val="0"/>
    <w:rPr>
      <w:rFonts w:eastAsia="宋体"/>
      <w:kern w:val="2"/>
      <w:sz w:val="28"/>
      <w:lang w:val="en-US" w:eastAsia="zh-CN" w:bidi="ar-SA"/>
    </w:rPr>
  </w:style>
  <w:style w:type="character" w:customStyle="1" w:styleId="157">
    <w:name w:val="表格 Char Char"/>
    <w:link w:val="158"/>
    <w:autoRedefine/>
    <w:qFormat/>
    <w:uiPriority w:val="0"/>
    <w:rPr>
      <w:rFonts w:ascii="宋体" w:hAnsi="宋体" w:eastAsia="宋体"/>
      <w:lang w:val="en-US" w:eastAsia="zh-CN" w:bidi="ar-SA"/>
    </w:rPr>
  </w:style>
  <w:style w:type="paragraph" w:customStyle="1" w:styleId="158">
    <w:name w:val="表格"/>
    <w:basedOn w:val="1"/>
    <w:link w:val="157"/>
    <w:autoRedefine/>
    <w:qFormat/>
    <w:uiPriority w:val="0"/>
    <w:pPr>
      <w:autoSpaceDE w:val="0"/>
      <w:autoSpaceDN w:val="0"/>
      <w:adjustRightInd w:val="0"/>
      <w:snapToGrid w:val="0"/>
      <w:ind w:firstLine="42" w:firstLineChars="21"/>
      <w:jc w:val="left"/>
    </w:pPr>
    <w:rPr>
      <w:rFonts w:ascii="宋体" w:hAnsi="宋体"/>
      <w:kern w:val="0"/>
      <w:sz w:val="20"/>
      <w:szCs w:val="20"/>
    </w:rPr>
  </w:style>
  <w:style w:type="character" w:customStyle="1" w:styleId="159">
    <w:name w:val="heading 6 Char1"/>
    <w:autoRedefine/>
    <w:qFormat/>
    <w:uiPriority w:val="0"/>
    <w:rPr>
      <w:rFonts w:ascii="Arial" w:hAnsi="Arial" w:eastAsia="黑体"/>
      <w:kern w:val="2"/>
      <w:sz w:val="24"/>
      <w:szCs w:val="24"/>
      <w:lang w:val="en-US" w:eastAsia="zh-CN" w:bidi="ar-SA"/>
    </w:rPr>
  </w:style>
  <w:style w:type="character" w:customStyle="1" w:styleId="160">
    <w:name w:val="Char Char211"/>
    <w:autoRedefine/>
    <w:qFormat/>
    <w:uiPriority w:val="0"/>
    <w:rPr>
      <w:rFonts w:ascii="Times New Roman" w:hAnsi="Times New Roman" w:eastAsia="宋体" w:cs="Times New Roman"/>
      <w:b/>
      <w:bCs/>
      <w:kern w:val="44"/>
      <w:sz w:val="44"/>
      <w:szCs w:val="44"/>
    </w:rPr>
  </w:style>
  <w:style w:type="character" w:customStyle="1" w:styleId="161">
    <w:name w:val="不明显强调11"/>
    <w:autoRedefine/>
    <w:qFormat/>
    <w:uiPriority w:val="0"/>
    <w:rPr>
      <w:i/>
      <w:iCs/>
      <w:color w:val="808080"/>
    </w:rPr>
  </w:style>
  <w:style w:type="character" w:customStyle="1" w:styleId="162">
    <w:name w:val="标题 9 Char"/>
    <w:link w:val="12"/>
    <w:autoRedefine/>
    <w:qFormat/>
    <w:uiPriority w:val="0"/>
    <w:rPr>
      <w:rFonts w:ascii="Arial" w:hAnsi="Arial" w:eastAsia="黑体"/>
      <w:kern w:val="2"/>
      <w:sz w:val="21"/>
      <w:lang w:val="en-US" w:eastAsia="zh-CN" w:bidi="ar-SA"/>
    </w:rPr>
  </w:style>
  <w:style w:type="character" w:customStyle="1" w:styleId="163">
    <w:name w:val="正文文本 Char"/>
    <w:link w:val="21"/>
    <w:autoRedefine/>
    <w:qFormat/>
    <w:uiPriority w:val="0"/>
    <w:rPr>
      <w:rFonts w:ascii="仿宋_GB2312" w:eastAsia="宋体"/>
      <w:b/>
      <w:kern w:val="2"/>
      <w:sz w:val="21"/>
      <w:szCs w:val="24"/>
      <w:lang w:val="en-US" w:eastAsia="zh-CN" w:bidi="ar-SA"/>
    </w:rPr>
  </w:style>
  <w:style w:type="character" w:customStyle="1" w:styleId="164">
    <w:name w:val="明显引用 Char"/>
    <w:link w:val="165"/>
    <w:autoRedefine/>
    <w:qFormat/>
    <w:uiPriority w:val="0"/>
    <w:rPr>
      <w:rFonts w:ascii="Calibri" w:hAnsi="Calibri" w:eastAsia="宋体"/>
      <w:b/>
      <w:bCs/>
      <w:i/>
      <w:iCs/>
      <w:color w:val="4F81BD"/>
      <w:lang w:val="en-US" w:eastAsia="zh-CN" w:bidi="ar-SA"/>
    </w:rPr>
  </w:style>
  <w:style w:type="paragraph" w:styleId="165">
    <w:name w:val="Intense Quote"/>
    <w:basedOn w:val="1"/>
    <w:next w:val="1"/>
    <w:link w:val="164"/>
    <w:autoRedefine/>
    <w:qFormat/>
    <w:uiPriority w:val="0"/>
    <w:pPr>
      <w:pBdr>
        <w:bottom w:val="single" w:color="4F81BD" w:sz="4" w:space="4"/>
      </w:pBdr>
      <w:spacing w:before="200" w:after="280"/>
      <w:ind w:left="936" w:right="936"/>
    </w:pPr>
    <w:rPr>
      <w:rFonts w:ascii="Calibri" w:hAnsi="Calibri"/>
      <w:b/>
      <w:bCs/>
      <w:i/>
      <w:iCs/>
      <w:color w:val="4F81BD"/>
      <w:kern w:val="0"/>
      <w:sz w:val="20"/>
      <w:szCs w:val="20"/>
    </w:rPr>
  </w:style>
  <w:style w:type="character" w:customStyle="1" w:styleId="166">
    <w:name w:val="heading 5 Char1"/>
    <w:autoRedefine/>
    <w:qFormat/>
    <w:uiPriority w:val="0"/>
    <w:rPr>
      <w:rFonts w:eastAsia="宋体"/>
      <w:b/>
      <w:bCs/>
      <w:kern w:val="2"/>
      <w:sz w:val="28"/>
      <w:szCs w:val="28"/>
      <w:lang w:val="en-US" w:eastAsia="zh-CN" w:bidi="ar-SA"/>
    </w:rPr>
  </w:style>
  <w:style w:type="character" w:customStyle="1" w:styleId="167">
    <w:name w:val="Texte Char Char"/>
    <w:autoRedefine/>
    <w:qFormat/>
    <w:uiPriority w:val="0"/>
    <w:rPr>
      <w:rFonts w:ascii="宋体" w:hAnsi="Courier New" w:eastAsia="宋体"/>
      <w:sz w:val="21"/>
      <w:szCs w:val="21"/>
      <w:lang w:val="en-US" w:eastAsia="zh-CN" w:bidi="ar-SA"/>
    </w:rPr>
  </w:style>
  <w:style w:type="character" w:customStyle="1" w:styleId="168">
    <w:name w:val="正文1 Char Char"/>
    <w:link w:val="169"/>
    <w:autoRedefine/>
    <w:qFormat/>
    <w:uiPriority w:val="0"/>
    <w:rPr>
      <w:rFonts w:ascii="宋体" w:hAnsi="宋体" w:eastAsia="宋体" w:cs="宋体"/>
      <w:sz w:val="21"/>
      <w:lang w:val="en-US" w:eastAsia="zh-CN" w:bidi="ar-SA"/>
    </w:rPr>
  </w:style>
  <w:style w:type="paragraph" w:customStyle="1" w:styleId="169">
    <w:name w:val="正文1"/>
    <w:basedOn w:val="1"/>
    <w:link w:val="168"/>
    <w:autoRedefine/>
    <w:qFormat/>
    <w:uiPriority w:val="0"/>
    <w:pPr>
      <w:widowControl/>
      <w:spacing w:line="360" w:lineRule="auto"/>
      <w:ind w:left="360" w:firstLine="420"/>
      <w:jc w:val="left"/>
    </w:pPr>
    <w:rPr>
      <w:rFonts w:ascii="宋体" w:hAnsi="宋体" w:cs="宋体"/>
      <w:kern w:val="0"/>
      <w:szCs w:val="20"/>
    </w:rPr>
  </w:style>
  <w:style w:type="character" w:customStyle="1" w:styleId="170">
    <w:name w:val="heading 8 Char1"/>
    <w:autoRedefine/>
    <w:qFormat/>
    <w:uiPriority w:val="0"/>
    <w:rPr>
      <w:rFonts w:ascii="Arial" w:hAnsi="Arial" w:eastAsia="黑体"/>
      <w:sz w:val="24"/>
      <w:lang w:val="en-US" w:eastAsia="zh-CN" w:bidi="ar-SA"/>
    </w:rPr>
  </w:style>
  <w:style w:type="character" w:customStyle="1" w:styleId="171">
    <w:name w:val="heading 9 Char1"/>
    <w:autoRedefine/>
    <w:qFormat/>
    <w:uiPriority w:val="0"/>
    <w:rPr>
      <w:rFonts w:ascii="Arial" w:hAnsi="Arial" w:eastAsia="黑体"/>
      <w:sz w:val="21"/>
      <w:lang w:val="en-US" w:eastAsia="zh-CN" w:bidi="ar-SA"/>
    </w:rPr>
  </w:style>
  <w:style w:type="character" w:customStyle="1" w:styleId="172">
    <w:name w:val="标题 6 Char"/>
    <w:link w:val="8"/>
    <w:autoRedefine/>
    <w:qFormat/>
    <w:uiPriority w:val="0"/>
    <w:rPr>
      <w:rFonts w:ascii="Arial" w:hAnsi="Arial" w:eastAsia="黑体"/>
      <w:b/>
      <w:kern w:val="2"/>
      <w:sz w:val="24"/>
      <w:lang w:val="en-US" w:eastAsia="zh-CN" w:bidi="ar-SA"/>
    </w:rPr>
  </w:style>
  <w:style w:type="character" w:customStyle="1" w:styleId="173">
    <w:name w:val="ändrad Char1"/>
    <w:autoRedefine/>
    <w:qFormat/>
    <w:uiPriority w:val="0"/>
    <w:rPr>
      <w:rFonts w:ascii="仿宋_GB2312" w:eastAsia="宋体"/>
      <w:b/>
      <w:kern w:val="2"/>
      <w:sz w:val="21"/>
      <w:szCs w:val="24"/>
      <w:lang w:val="en-US" w:eastAsia="zh-CN" w:bidi="ar-SA"/>
    </w:rPr>
  </w:style>
  <w:style w:type="character" w:customStyle="1" w:styleId="174">
    <w:name w:val="Char Char41"/>
    <w:autoRedefine/>
    <w:qFormat/>
    <w:uiPriority w:val="0"/>
    <w:rPr>
      <w:rFonts w:ascii="Cambria" w:hAnsi="Cambria" w:eastAsia="宋体"/>
      <w:b/>
      <w:bCs/>
      <w:sz w:val="32"/>
      <w:szCs w:val="32"/>
      <w:lang w:bidi="ar-SA"/>
    </w:rPr>
  </w:style>
  <w:style w:type="character" w:customStyle="1" w:styleId="175">
    <w:name w:val="标题 8 Char"/>
    <w:link w:val="11"/>
    <w:autoRedefine/>
    <w:qFormat/>
    <w:uiPriority w:val="0"/>
    <w:rPr>
      <w:rFonts w:ascii="Arial" w:hAnsi="Arial" w:eastAsia="黑体"/>
      <w:kern w:val="2"/>
      <w:sz w:val="24"/>
      <w:lang w:val="en-US" w:eastAsia="zh-CN" w:bidi="ar-SA"/>
    </w:rPr>
  </w:style>
  <w:style w:type="character" w:customStyle="1" w:styleId="176">
    <w:name w:val="Char Char11"/>
    <w:autoRedefine/>
    <w:qFormat/>
    <w:uiPriority w:val="0"/>
    <w:rPr>
      <w:rFonts w:ascii="Times New Roman" w:hAnsi="Times New Roman" w:eastAsia="宋体" w:cs="Times New Roman"/>
      <w:sz w:val="18"/>
      <w:szCs w:val="18"/>
    </w:rPr>
  </w:style>
  <w:style w:type="character" w:customStyle="1" w:styleId="177">
    <w:name w:val="正文文本缩进 2 Char"/>
    <w:link w:val="32"/>
    <w:autoRedefine/>
    <w:qFormat/>
    <w:uiPriority w:val="0"/>
    <w:rPr>
      <w:rFonts w:eastAsia="宋体"/>
      <w:kern w:val="2"/>
      <w:sz w:val="24"/>
      <w:szCs w:val="24"/>
      <w:lang w:val="en-US" w:eastAsia="zh-CN" w:bidi="ar-SA"/>
    </w:rPr>
  </w:style>
  <w:style w:type="character" w:customStyle="1" w:styleId="178">
    <w:name w:val="Char Char6"/>
    <w:autoRedefine/>
    <w:qFormat/>
    <w:uiPriority w:val="0"/>
    <w:rPr>
      <w:rFonts w:ascii="Times New Roman" w:hAnsi="Times New Roman" w:eastAsia="宋体" w:cs="Times New Roman"/>
      <w:szCs w:val="24"/>
    </w:rPr>
  </w:style>
  <w:style w:type="character" w:customStyle="1" w:styleId="179">
    <w:name w:val="Char Char Char"/>
    <w:autoRedefine/>
    <w:qFormat/>
    <w:uiPriority w:val="0"/>
    <w:rPr>
      <w:rFonts w:ascii="宋体" w:hAnsi="Courier New" w:eastAsia="宋体"/>
      <w:b/>
      <w:sz w:val="21"/>
      <w:szCs w:val="21"/>
      <w:lang w:val="en-US" w:eastAsia="zh-CN" w:bidi="ar-SA"/>
    </w:rPr>
  </w:style>
  <w:style w:type="character" w:customStyle="1" w:styleId="180">
    <w:name w:val="heading 2 Char"/>
    <w:autoRedefine/>
    <w:qFormat/>
    <w:uiPriority w:val="0"/>
    <w:rPr>
      <w:rFonts w:ascii="Arial" w:hAnsi="Arial" w:eastAsia="黑体" w:cs="Times New Roman"/>
      <w:sz w:val="30"/>
      <w:szCs w:val="24"/>
    </w:rPr>
  </w:style>
  <w:style w:type="character" w:customStyle="1" w:styleId="181">
    <w:name w:val="Char Char2"/>
    <w:autoRedefine/>
    <w:qFormat/>
    <w:uiPriority w:val="0"/>
    <w:rPr>
      <w:rFonts w:ascii="Arial" w:hAnsi="Arial" w:eastAsia="黑体"/>
      <w:b/>
      <w:bCs/>
      <w:kern w:val="44"/>
      <w:sz w:val="30"/>
      <w:szCs w:val="44"/>
      <w:lang w:val="en-US" w:eastAsia="zh-CN" w:bidi="ar-SA"/>
    </w:rPr>
  </w:style>
  <w:style w:type="character" w:customStyle="1" w:styleId="182">
    <w:name w:val="Footer-Even Char2"/>
    <w:autoRedefine/>
    <w:qFormat/>
    <w:uiPriority w:val="0"/>
    <w:rPr>
      <w:kern w:val="2"/>
      <w:sz w:val="18"/>
      <w:szCs w:val="18"/>
    </w:rPr>
  </w:style>
  <w:style w:type="character" w:customStyle="1" w:styleId="183">
    <w:name w:val="Char Char17"/>
    <w:autoRedefine/>
    <w:qFormat/>
    <w:uiPriority w:val="0"/>
    <w:rPr>
      <w:rFonts w:ascii="Cambria" w:hAnsi="Cambria"/>
      <w:b/>
      <w:bCs/>
      <w:kern w:val="2"/>
      <w:sz w:val="28"/>
      <w:szCs w:val="28"/>
    </w:rPr>
  </w:style>
  <w:style w:type="character" w:customStyle="1" w:styleId="184">
    <w:name w:val="heading 4 Char"/>
    <w:autoRedefine/>
    <w:qFormat/>
    <w:uiPriority w:val="0"/>
    <w:rPr>
      <w:rFonts w:ascii="Arial" w:hAnsi="Arial" w:eastAsia="黑体" w:cs="Times New Roman"/>
      <w:sz w:val="21"/>
      <w:szCs w:val="21"/>
    </w:rPr>
  </w:style>
  <w:style w:type="character" w:customStyle="1" w:styleId="185">
    <w:name w:val="Char Char20"/>
    <w:autoRedefine/>
    <w:qFormat/>
    <w:uiPriority w:val="0"/>
    <w:rPr>
      <w:b/>
      <w:bCs/>
      <w:kern w:val="44"/>
      <w:sz w:val="44"/>
      <w:szCs w:val="44"/>
    </w:rPr>
  </w:style>
  <w:style w:type="character" w:customStyle="1" w:styleId="186">
    <w:name w:val="heading 1 Char2"/>
    <w:autoRedefine/>
    <w:qFormat/>
    <w:uiPriority w:val="0"/>
    <w:rPr>
      <w:b/>
      <w:bCs/>
      <w:kern w:val="44"/>
      <w:sz w:val="44"/>
      <w:szCs w:val="44"/>
    </w:rPr>
  </w:style>
  <w:style w:type="character" w:customStyle="1" w:styleId="187">
    <w:name w:val="font11"/>
    <w:autoRedefine/>
    <w:qFormat/>
    <w:uiPriority w:val="0"/>
    <w:rPr>
      <w:rFonts w:hint="eastAsia" w:ascii="宋体" w:hAnsi="宋体" w:eastAsia="宋体" w:cs="宋体"/>
      <w:b/>
      <w:color w:val="000000"/>
      <w:sz w:val="20"/>
      <w:szCs w:val="20"/>
      <w:u w:val="none"/>
    </w:rPr>
  </w:style>
  <w:style w:type="character" w:customStyle="1" w:styleId="188">
    <w:name w:val="表正文 Char2"/>
    <w:autoRedefine/>
    <w:qFormat/>
    <w:uiPriority w:val="0"/>
    <w:rPr>
      <w:rFonts w:ascii="Times New Roman" w:hAnsi="Times New Roman" w:eastAsia="宋体" w:cs="Times New Roman"/>
      <w:szCs w:val="24"/>
    </w:rPr>
  </w:style>
  <w:style w:type="character" w:customStyle="1" w:styleId="189">
    <w:name w:val="引用 Char"/>
    <w:link w:val="190"/>
    <w:autoRedefine/>
    <w:qFormat/>
    <w:uiPriority w:val="0"/>
    <w:rPr>
      <w:rFonts w:ascii="Calibri" w:hAnsi="Calibri" w:eastAsia="宋体"/>
      <w:i/>
      <w:iCs/>
      <w:color w:val="000000"/>
      <w:lang w:val="en-US" w:eastAsia="zh-CN" w:bidi="ar-SA"/>
    </w:rPr>
  </w:style>
  <w:style w:type="paragraph" w:styleId="190">
    <w:name w:val="Quote"/>
    <w:basedOn w:val="1"/>
    <w:next w:val="1"/>
    <w:link w:val="189"/>
    <w:autoRedefine/>
    <w:qFormat/>
    <w:uiPriority w:val="0"/>
    <w:rPr>
      <w:rFonts w:ascii="Calibri" w:hAnsi="Calibri"/>
      <w:i/>
      <w:iCs/>
      <w:color w:val="000000"/>
      <w:kern w:val="0"/>
      <w:sz w:val="20"/>
      <w:szCs w:val="20"/>
    </w:rPr>
  </w:style>
  <w:style w:type="character" w:customStyle="1" w:styleId="191">
    <w:name w:val="纯文本 Char"/>
    <w:link w:val="28"/>
    <w:autoRedefine/>
    <w:qFormat/>
    <w:uiPriority w:val="0"/>
    <w:rPr>
      <w:rFonts w:ascii="宋体" w:hAnsi="Courier New" w:eastAsia="宋体"/>
      <w:b/>
      <w:sz w:val="21"/>
      <w:szCs w:val="21"/>
      <w:lang w:val="en-US" w:eastAsia="zh-CN" w:bidi="ar-SA"/>
    </w:rPr>
  </w:style>
  <w:style w:type="character" w:customStyle="1" w:styleId="192">
    <w:name w:val="Char Char19"/>
    <w:autoRedefine/>
    <w:qFormat/>
    <w:uiPriority w:val="0"/>
    <w:rPr>
      <w:rFonts w:ascii="Cambria" w:hAnsi="Cambria"/>
      <w:b/>
      <w:bCs/>
      <w:kern w:val="2"/>
      <w:sz w:val="32"/>
      <w:szCs w:val="32"/>
    </w:rPr>
  </w:style>
  <w:style w:type="character" w:customStyle="1" w:styleId="193">
    <w:name w:val="style41"/>
    <w:autoRedefine/>
    <w:qFormat/>
    <w:uiPriority w:val="0"/>
    <w:rPr>
      <w:color w:val="auto"/>
    </w:rPr>
  </w:style>
  <w:style w:type="character" w:customStyle="1" w:styleId="194">
    <w:name w:val="Char Char201"/>
    <w:autoRedefine/>
    <w:qFormat/>
    <w:uiPriority w:val="0"/>
    <w:rPr>
      <w:rFonts w:ascii="Cambria" w:hAnsi="Cambria" w:eastAsia="宋体" w:cs="Times New Roman"/>
      <w:b/>
      <w:bCs/>
      <w:sz w:val="32"/>
      <w:szCs w:val="32"/>
    </w:rPr>
  </w:style>
  <w:style w:type="character" w:customStyle="1" w:styleId="195">
    <w:name w:val="正文首行缩进 Char"/>
    <w:link w:val="50"/>
    <w:autoRedefine/>
    <w:qFormat/>
    <w:uiPriority w:val="0"/>
    <w:rPr>
      <w:rFonts w:eastAsia="宋体"/>
      <w:lang w:val="en-US" w:eastAsia="zh-CN" w:bidi="ar-SA"/>
    </w:rPr>
  </w:style>
  <w:style w:type="character" w:customStyle="1" w:styleId="196">
    <w:name w:val="smalltxt1"/>
    <w:autoRedefine/>
    <w:qFormat/>
    <w:uiPriority w:val="0"/>
    <w:rPr>
      <w:rFonts w:hint="default" w:ascii="ˎ̥" w:hAnsi="ˎ̥"/>
      <w:sz w:val="24"/>
      <w:szCs w:val="24"/>
    </w:rPr>
  </w:style>
  <w:style w:type="character" w:customStyle="1" w:styleId="197">
    <w:name w:val="正文文本 2 Char"/>
    <w:basedOn w:val="54"/>
    <w:link w:val="46"/>
    <w:autoRedefine/>
    <w:qFormat/>
    <w:uiPriority w:val="0"/>
  </w:style>
  <w:style w:type="paragraph" w:customStyle="1" w:styleId="19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99">
    <w:name w:val="Char Char Char Char"/>
    <w:basedOn w:val="1"/>
    <w:autoRedefine/>
    <w:qFormat/>
    <w:uiPriority w:val="0"/>
    <w:pPr>
      <w:autoSpaceDE w:val="0"/>
      <w:autoSpaceDN w:val="0"/>
      <w:adjustRightInd w:val="0"/>
      <w:jc w:val="left"/>
    </w:pPr>
    <w:rPr>
      <w:rFonts w:ascii="Tahoma" w:hAnsi="Tahoma"/>
      <w:kern w:val="0"/>
      <w:sz w:val="24"/>
      <w:szCs w:val="20"/>
    </w:rPr>
  </w:style>
  <w:style w:type="paragraph" w:customStyle="1" w:styleId="200">
    <w:name w:val="表内文字"/>
    <w:basedOn w:val="1"/>
    <w:autoRedefine/>
    <w:qFormat/>
    <w:uiPriority w:val="0"/>
    <w:pPr>
      <w:spacing w:line="240" w:lineRule="atLeast"/>
      <w:jc w:val="center"/>
    </w:pPr>
    <w:rPr>
      <w:rFonts w:ascii="Arial" w:hAnsi="Arial" w:cs="Arial"/>
      <w:b/>
      <w:bCs/>
    </w:rPr>
  </w:style>
  <w:style w:type="paragraph" w:customStyle="1" w:styleId="201">
    <w:name w:val="列项——（一级）"/>
    <w:autoRedefine/>
    <w:qFormat/>
    <w:uiPriority w:val="0"/>
    <w:pPr>
      <w:widowControl w:val="0"/>
      <w:tabs>
        <w:tab w:val="left" w:pos="854"/>
        <w:tab w:val="left" w:pos="1260"/>
      </w:tabs>
      <w:ind w:left="1260" w:hanging="420"/>
      <w:jc w:val="both"/>
    </w:pPr>
    <w:rPr>
      <w:rFonts w:ascii="宋体" w:hAnsi="Times New Roman" w:eastAsia="宋体" w:cs="Times New Roman"/>
      <w:sz w:val="21"/>
      <w:lang w:val="en-US" w:eastAsia="zh-CN" w:bidi="ar-SA"/>
    </w:rPr>
  </w:style>
  <w:style w:type="paragraph" w:customStyle="1" w:styleId="202">
    <w:name w:val="Char Char Char Char Char Char Char"/>
    <w:basedOn w:val="1"/>
    <w:autoRedefine/>
    <w:qFormat/>
    <w:uiPriority w:val="0"/>
    <w:rPr>
      <w:rFonts w:ascii="仿宋_GB2312" w:eastAsia="仿宋_GB2312"/>
      <w:b/>
      <w:sz w:val="32"/>
      <w:szCs w:val="32"/>
    </w:rPr>
  </w:style>
  <w:style w:type="paragraph" w:customStyle="1" w:styleId="20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4">
    <w:name w:val="列出段落1"/>
    <w:basedOn w:val="1"/>
    <w:autoRedefine/>
    <w:qFormat/>
    <w:uiPriority w:val="0"/>
    <w:pPr>
      <w:ind w:firstLine="420" w:firstLineChars="200"/>
    </w:pPr>
    <w:rPr>
      <w:szCs w:val="20"/>
    </w:rPr>
  </w:style>
  <w:style w:type="paragraph" w:customStyle="1" w:styleId="205">
    <w:name w:val="一级条标题"/>
    <w:next w:val="1"/>
    <w:autoRedefine/>
    <w:qFormat/>
    <w:uiPriority w:val="0"/>
    <w:pPr>
      <w:tabs>
        <w:tab w:val="left" w:pos="3889"/>
      </w:tabs>
      <w:ind w:left="3889" w:hanging="420"/>
      <w:outlineLvl w:val="2"/>
    </w:pPr>
    <w:rPr>
      <w:rFonts w:ascii="Times New Roman" w:hAnsi="Times New Roman" w:eastAsia="黑体" w:cs="Times New Roman"/>
      <w:sz w:val="21"/>
      <w:lang w:val="en-US" w:eastAsia="zh-CN" w:bidi="ar-SA"/>
    </w:rPr>
  </w:style>
  <w:style w:type="paragraph" w:customStyle="1" w:styleId="20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07">
    <w:name w:val="技术报告正文"/>
    <w:basedOn w:val="1"/>
    <w:autoRedefine/>
    <w:qFormat/>
    <w:uiPriority w:val="0"/>
    <w:pPr>
      <w:autoSpaceDE w:val="0"/>
      <w:autoSpaceDN w:val="0"/>
      <w:adjustRightInd w:val="0"/>
      <w:spacing w:beforeLines="50" w:line="440" w:lineRule="exact"/>
      <w:ind w:firstLine="538" w:firstLineChars="192"/>
      <w:jc w:val="left"/>
    </w:pPr>
    <w:rPr>
      <w:rFonts w:cs="Arial"/>
      <w:bCs/>
      <w:kern w:val="0"/>
      <w:sz w:val="28"/>
      <w:szCs w:val="20"/>
    </w:rPr>
  </w:style>
  <w:style w:type="paragraph" w:customStyle="1" w:styleId="208">
    <w:name w:val="xl8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09">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210">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1">
    <w:name w:val="NICMAN Body Text"/>
    <w:basedOn w:val="1"/>
    <w:next w:val="21"/>
    <w:autoRedefine/>
    <w:qFormat/>
    <w:uiPriority w:val="0"/>
    <w:pPr>
      <w:autoSpaceDE w:val="0"/>
      <w:autoSpaceDN w:val="0"/>
      <w:adjustRightInd w:val="0"/>
      <w:spacing w:after="120"/>
      <w:jc w:val="left"/>
    </w:pPr>
    <w:rPr>
      <w:kern w:val="0"/>
      <w:sz w:val="20"/>
      <w:szCs w:val="20"/>
    </w:rPr>
  </w:style>
  <w:style w:type="paragraph" w:customStyle="1" w:styleId="212">
    <w:name w:val="Char Char Char Char Char Char Char Char Char Char Char Char Char"/>
    <w:basedOn w:val="1"/>
    <w:autoRedefine/>
    <w:qFormat/>
    <w:uiPriority w:val="0"/>
    <w:rPr>
      <w:rFonts w:ascii="Tahoma" w:hAnsi="Tahoma"/>
      <w:sz w:val="24"/>
      <w:szCs w:val="20"/>
    </w:rPr>
  </w:style>
  <w:style w:type="paragraph" w:customStyle="1" w:styleId="213">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14">
    <w:name w:val="正文缩进1"/>
    <w:basedOn w:val="1"/>
    <w:next w:val="22"/>
    <w:autoRedefine/>
    <w:qFormat/>
    <w:uiPriority w:val="0"/>
    <w:pPr>
      <w:autoSpaceDE w:val="0"/>
      <w:autoSpaceDN w:val="0"/>
      <w:adjustRightInd w:val="0"/>
      <w:snapToGrid w:val="0"/>
      <w:spacing w:after="120" w:line="360" w:lineRule="auto"/>
      <w:ind w:left="420" w:leftChars="200" w:firstLine="480" w:firstLineChars="200"/>
      <w:jc w:val="left"/>
    </w:pPr>
    <w:rPr>
      <w:kern w:val="0"/>
      <w:sz w:val="24"/>
      <w:szCs w:val="21"/>
    </w:rPr>
  </w:style>
  <w:style w:type="paragraph" w:customStyle="1" w:styleId="215">
    <w:name w:val="Table Heading"/>
    <w:autoRedefine/>
    <w:qFormat/>
    <w:uiPriority w:val="0"/>
    <w:pPr>
      <w:keepNext/>
      <w:snapToGrid w:val="0"/>
      <w:spacing w:before="80" w:after="80"/>
      <w:jc w:val="center"/>
    </w:pPr>
    <w:rPr>
      <w:rFonts w:ascii="Times New Roman" w:hAnsi="Times New Roman" w:eastAsia="黑体" w:cs="Arial"/>
      <w:kern w:val="2"/>
      <w:sz w:val="18"/>
      <w:szCs w:val="18"/>
      <w:lang w:val="en-US" w:eastAsia="zh-CN" w:bidi="ar-SA"/>
    </w:rPr>
  </w:style>
  <w:style w:type="paragraph" w:customStyle="1" w:styleId="216">
    <w:name w:val="Char Char Char Char1"/>
    <w:basedOn w:val="17"/>
    <w:autoRedefine/>
    <w:qFormat/>
    <w:uiPriority w:val="0"/>
    <w:rPr>
      <w:rFonts w:ascii="Tahoma" w:hAnsi="Tahoma"/>
      <w:sz w:val="24"/>
    </w:rPr>
  </w:style>
  <w:style w:type="paragraph" w:customStyle="1" w:styleId="217">
    <w:name w:val="正文 首行缩进:  2 字符 Char"/>
    <w:basedOn w:val="1"/>
    <w:autoRedefine/>
    <w:qFormat/>
    <w:uiPriority w:val="0"/>
    <w:pPr>
      <w:spacing w:line="360" w:lineRule="auto"/>
      <w:ind w:firstLine="480"/>
    </w:pPr>
    <w:rPr>
      <w:rFonts w:cs="宋体"/>
      <w:sz w:val="24"/>
      <w:szCs w:val="20"/>
    </w:rPr>
  </w:style>
  <w:style w:type="paragraph" w:customStyle="1" w:styleId="218">
    <w:name w:val="样式1"/>
    <w:basedOn w:val="1"/>
    <w:autoRedefine/>
    <w:qFormat/>
    <w:uiPriority w:val="0"/>
    <w:pPr>
      <w:autoSpaceDE w:val="0"/>
      <w:autoSpaceDN w:val="0"/>
      <w:adjustRightInd w:val="0"/>
      <w:spacing w:line="400" w:lineRule="exact"/>
    </w:pPr>
    <w:rPr>
      <w:rFonts w:ascii="宋体" w:cs="宋体"/>
      <w:kern w:val="0"/>
    </w:rPr>
  </w:style>
  <w:style w:type="paragraph" w:customStyle="1" w:styleId="21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0">
    <w:name w:val="小标题"/>
    <w:basedOn w:val="1"/>
    <w:autoRedefine/>
    <w:qFormat/>
    <w:uiPriority w:val="0"/>
    <w:pPr>
      <w:autoSpaceDE w:val="0"/>
      <w:autoSpaceDN w:val="0"/>
      <w:adjustRightInd w:val="0"/>
      <w:spacing w:before="120" w:line="360" w:lineRule="atLeast"/>
      <w:ind w:left="1134"/>
      <w:jc w:val="left"/>
      <w:textAlignment w:val="baseline"/>
    </w:pPr>
    <w:rPr>
      <w:rFonts w:eastAsia="黑体"/>
      <w:kern w:val="0"/>
      <w:sz w:val="20"/>
      <w:szCs w:val="20"/>
    </w:rPr>
  </w:style>
  <w:style w:type="paragraph" w:customStyle="1" w:styleId="221">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22">
    <w:name w:val="Char Char Char Char Char Char Char Char Char Char"/>
    <w:basedOn w:val="1"/>
    <w:autoRedefine/>
    <w:qFormat/>
    <w:uiPriority w:val="0"/>
    <w:pPr>
      <w:autoSpaceDE w:val="0"/>
      <w:autoSpaceDN w:val="0"/>
      <w:adjustRightInd w:val="0"/>
      <w:jc w:val="left"/>
    </w:pPr>
    <w:rPr>
      <w:rFonts w:ascii="仿宋_GB2312" w:eastAsia="仿宋_GB2312"/>
      <w:b/>
      <w:kern w:val="0"/>
      <w:sz w:val="32"/>
      <w:szCs w:val="32"/>
    </w:rPr>
  </w:style>
  <w:style w:type="paragraph" w:customStyle="1" w:styleId="223">
    <w:name w:val="样式"/>
    <w:basedOn w:val="1"/>
    <w:autoRedefine/>
    <w:qFormat/>
    <w:uiPriority w:val="0"/>
    <w:pPr>
      <w:autoSpaceDE w:val="0"/>
      <w:autoSpaceDN w:val="0"/>
      <w:adjustRightInd w:val="0"/>
      <w:snapToGrid w:val="0"/>
      <w:spacing w:before="120" w:after="120" w:line="360" w:lineRule="auto"/>
      <w:jc w:val="left"/>
    </w:pPr>
    <w:rPr>
      <w:rFonts w:ascii="宋体"/>
      <w:kern w:val="0"/>
      <w:sz w:val="24"/>
      <w:szCs w:val="20"/>
    </w:rPr>
  </w:style>
  <w:style w:type="paragraph" w:customStyle="1" w:styleId="224">
    <w:name w:val="二级条标题"/>
    <w:basedOn w:val="205"/>
    <w:next w:val="1"/>
    <w:autoRedefine/>
    <w:qFormat/>
    <w:uiPriority w:val="0"/>
    <w:pPr>
      <w:tabs>
        <w:tab w:val="left" w:pos="4309"/>
        <w:tab w:val="clear" w:pos="3889"/>
      </w:tabs>
      <w:ind w:left="4309"/>
      <w:outlineLvl w:val="3"/>
    </w:pPr>
  </w:style>
  <w:style w:type="paragraph" w:customStyle="1" w:styleId="225">
    <w:name w:val="正文－恩普"/>
    <w:basedOn w:val="9"/>
    <w:autoRedefine/>
    <w:qFormat/>
    <w:uiPriority w:val="0"/>
    <w:pPr>
      <w:adjustRightInd/>
      <w:spacing w:line="360" w:lineRule="auto"/>
      <w:ind w:firstLine="200" w:firstLineChars="200"/>
      <w:textAlignment w:val="auto"/>
    </w:pPr>
    <w:rPr>
      <w:kern w:val="2"/>
      <w:sz w:val="24"/>
      <w:szCs w:val="24"/>
    </w:rPr>
  </w:style>
  <w:style w:type="paragraph" w:customStyle="1" w:styleId="226">
    <w:name w:val="列表内容"/>
    <w:basedOn w:val="1"/>
    <w:next w:val="1"/>
    <w:autoRedefine/>
    <w:qFormat/>
    <w:uiPriority w:val="0"/>
    <w:pPr>
      <w:widowControl/>
      <w:autoSpaceDE w:val="0"/>
      <w:autoSpaceDN w:val="0"/>
      <w:adjustRightInd w:val="0"/>
      <w:ind w:firstLine="200"/>
      <w:jc w:val="left"/>
    </w:pPr>
    <w:rPr>
      <w:kern w:val="0"/>
      <w:sz w:val="18"/>
      <w:szCs w:val="20"/>
    </w:rPr>
  </w:style>
  <w:style w:type="paragraph" w:customStyle="1" w:styleId="227">
    <w:name w:val="正文（首行缩进）"/>
    <w:basedOn w:val="22"/>
    <w:autoRedefine/>
    <w:qFormat/>
    <w:uiPriority w:val="0"/>
    <w:pPr>
      <w:widowControl/>
      <w:overflowPunct w:val="0"/>
      <w:autoSpaceDE w:val="0"/>
      <w:autoSpaceDN w:val="0"/>
      <w:adjustRightInd w:val="0"/>
      <w:spacing w:beforeLines="50" w:after="120" w:line="400" w:lineRule="exact"/>
      <w:ind w:left="200" w:leftChars="200" w:firstLine="200" w:firstLineChars="200"/>
      <w:jc w:val="left"/>
      <w:textAlignment w:val="baseline"/>
    </w:pPr>
    <w:rPr>
      <w:spacing w:val="10"/>
      <w:kern w:val="0"/>
      <w:szCs w:val="20"/>
    </w:rPr>
  </w:style>
  <w:style w:type="paragraph" w:customStyle="1" w:styleId="228">
    <w:name w:val="xl8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29">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23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31">
    <w:name w:val="xl8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32">
    <w:name w:val="标准段落"/>
    <w:basedOn w:val="1"/>
    <w:autoRedefine/>
    <w:qFormat/>
    <w:uiPriority w:val="0"/>
    <w:pPr>
      <w:spacing w:after="120" w:line="360" w:lineRule="auto"/>
      <w:ind w:firstLine="420"/>
    </w:pPr>
    <w:rPr>
      <w:rFonts w:ascii="黑体" w:hAnsi="宋体" w:eastAsia="黑体"/>
      <w:b/>
      <w:spacing w:val="6"/>
      <w:szCs w:val="22"/>
    </w:rPr>
  </w:style>
  <w:style w:type="paragraph" w:customStyle="1" w:styleId="233">
    <w:name w:val="三级条标题"/>
    <w:basedOn w:val="224"/>
    <w:next w:val="1"/>
    <w:autoRedefine/>
    <w:qFormat/>
    <w:uiPriority w:val="0"/>
    <w:pPr>
      <w:tabs>
        <w:tab w:val="left" w:pos="4729"/>
        <w:tab w:val="clear" w:pos="4309"/>
      </w:tabs>
      <w:ind w:left="4729"/>
      <w:outlineLvl w:val="4"/>
    </w:pPr>
  </w:style>
  <w:style w:type="paragraph" w:customStyle="1" w:styleId="234">
    <w:name w:val="Test2"/>
    <w:basedOn w:val="4"/>
    <w:autoRedefine/>
    <w:qFormat/>
    <w:uiPriority w:val="0"/>
    <w:pPr>
      <w:keepNext w:val="0"/>
      <w:widowControl/>
      <w:tabs>
        <w:tab w:val="left" w:pos="774"/>
      </w:tabs>
      <w:autoSpaceDE w:val="0"/>
      <w:autoSpaceDN w:val="0"/>
      <w:adjustRightInd w:val="0"/>
      <w:snapToGrid w:val="0"/>
      <w:spacing w:before="360" w:after="360" w:line="240" w:lineRule="atLeast"/>
      <w:ind w:left="774" w:hanging="576"/>
      <w:jc w:val="left"/>
    </w:pPr>
    <w:rPr>
      <w:rFonts w:ascii="宋体" w:hAnsi="Arial"/>
      <w:snapToGrid w:val="0"/>
      <w:kern w:val="0"/>
    </w:rPr>
  </w:style>
  <w:style w:type="paragraph" w:customStyle="1" w:styleId="235">
    <w:name w:val="默认段落字体 Para Char Char Char Char Char Char Char"/>
    <w:basedOn w:val="1"/>
    <w:autoRedefine/>
    <w:qFormat/>
    <w:uiPriority w:val="0"/>
  </w:style>
  <w:style w:type="paragraph" w:customStyle="1" w:styleId="236">
    <w:name w:val="标准小四"/>
    <w:basedOn w:val="1"/>
    <w:autoRedefine/>
    <w:qFormat/>
    <w:uiPriority w:val="0"/>
    <w:pPr>
      <w:autoSpaceDE w:val="0"/>
      <w:autoSpaceDN w:val="0"/>
      <w:adjustRightInd w:val="0"/>
      <w:spacing w:line="360" w:lineRule="auto"/>
      <w:ind w:firstLine="480" w:firstLineChars="200"/>
      <w:jc w:val="left"/>
    </w:pPr>
    <w:rPr>
      <w:rFonts w:ascii="Arial" w:hAnsi="Arial"/>
      <w:kern w:val="0"/>
      <w:sz w:val="24"/>
      <w:szCs w:val="21"/>
    </w:rPr>
  </w:style>
  <w:style w:type="paragraph" w:customStyle="1" w:styleId="237">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38">
    <w:name w:val="Char1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39">
    <w:name w:val="xl6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240">
    <w:name w:val="样式 样式 正文文本缩进 + 仿宋_GB2312 小四 首行缩进:  0 厘米 行距: 1.5 倍行距 + (中文) 仿宋_GB... Char Char"/>
    <w:basedOn w:val="1"/>
    <w:autoRedefine/>
    <w:qFormat/>
    <w:uiPriority w:val="0"/>
    <w:pPr>
      <w:autoSpaceDE w:val="0"/>
      <w:autoSpaceDN w:val="0"/>
      <w:adjustRightInd w:val="0"/>
      <w:spacing w:line="360" w:lineRule="auto"/>
      <w:ind w:firstLine="480" w:firstLineChars="200"/>
      <w:jc w:val="left"/>
    </w:pPr>
    <w:rPr>
      <w:rFonts w:ascii="仿宋_GB2312" w:eastAsia="新宋体"/>
      <w:kern w:val="0"/>
      <w:sz w:val="24"/>
      <w:szCs w:val="20"/>
    </w:rPr>
  </w:style>
  <w:style w:type="paragraph" w:customStyle="1" w:styleId="241">
    <w:name w:val="列表段落"/>
    <w:basedOn w:val="1"/>
    <w:autoRedefine/>
    <w:qFormat/>
    <w:uiPriority w:val="0"/>
    <w:pPr>
      <w:ind w:firstLine="420" w:firstLineChars="200"/>
    </w:pPr>
    <w:rPr>
      <w:rFonts w:ascii="Calibri" w:hAnsi="Calibri"/>
      <w:szCs w:val="22"/>
    </w:rPr>
  </w:style>
  <w:style w:type="paragraph" w:customStyle="1" w:styleId="242">
    <w:name w:val="五级条标题"/>
    <w:basedOn w:val="243"/>
    <w:next w:val="1"/>
    <w:autoRedefine/>
    <w:qFormat/>
    <w:uiPriority w:val="0"/>
    <w:pPr>
      <w:tabs>
        <w:tab w:val="left" w:pos="5149"/>
        <w:tab w:val="left" w:pos="5569"/>
      </w:tabs>
      <w:ind w:left="5569"/>
      <w:outlineLvl w:val="6"/>
    </w:pPr>
  </w:style>
  <w:style w:type="paragraph" w:customStyle="1" w:styleId="243">
    <w:name w:val="四级条标题"/>
    <w:basedOn w:val="233"/>
    <w:next w:val="1"/>
    <w:autoRedefine/>
    <w:qFormat/>
    <w:uiPriority w:val="0"/>
    <w:pPr>
      <w:tabs>
        <w:tab w:val="left" w:pos="5149"/>
        <w:tab w:val="clear" w:pos="4729"/>
      </w:tabs>
      <w:ind w:left="5149"/>
      <w:outlineLvl w:val="5"/>
    </w:pPr>
  </w:style>
  <w:style w:type="paragraph" w:customStyle="1" w:styleId="244">
    <w:name w:val="正文-宋体四号"/>
    <w:basedOn w:val="1"/>
    <w:autoRedefine/>
    <w:qFormat/>
    <w:uiPriority w:val="0"/>
    <w:pPr>
      <w:spacing w:line="360" w:lineRule="auto"/>
      <w:ind w:firstLine="560" w:firstLineChars="200"/>
    </w:pPr>
    <w:rPr>
      <w:rFonts w:cs="宋体"/>
      <w:sz w:val="28"/>
      <w:szCs w:val="20"/>
    </w:rPr>
  </w:style>
  <w:style w:type="paragraph" w:customStyle="1" w:styleId="245">
    <w:name w:val="纯文本1"/>
    <w:basedOn w:val="1"/>
    <w:autoRedefine/>
    <w:qFormat/>
    <w:uiPriority w:val="0"/>
    <w:pPr>
      <w:adjustRightInd w:val="0"/>
      <w:textAlignment w:val="baseline"/>
    </w:pPr>
    <w:rPr>
      <w:rFonts w:ascii="宋体" w:hAnsi="Courier New" w:eastAsia="楷体_GB2312"/>
      <w:sz w:val="28"/>
      <w:szCs w:val="20"/>
    </w:rPr>
  </w:style>
  <w:style w:type="paragraph" w:customStyle="1" w:styleId="246">
    <w:name w:val="Char2"/>
    <w:basedOn w:val="1"/>
    <w:autoRedefine/>
    <w:qFormat/>
    <w:uiPriority w:val="0"/>
  </w:style>
  <w:style w:type="paragraph" w:customStyle="1" w:styleId="247">
    <w:name w:val="Char Char Char Char Char Char Char Char Char Char Char Char Char Char Char Char Char Char Char"/>
    <w:basedOn w:val="1"/>
    <w:autoRedefine/>
    <w:qFormat/>
    <w:uiPriority w:val="0"/>
    <w:rPr>
      <w:rFonts w:ascii="仿宋_GB2312" w:eastAsia="仿宋_GB2312"/>
      <w:b/>
      <w:sz w:val="32"/>
      <w:szCs w:val="32"/>
    </w:rPr>
  </w:style>
  <w:style w:type="paragraph" w:customStyle="1" w:styleId="248">
    <w:name w:val="样式5"/>
    <w:basedOn w:val="9"/>
    <w:autoRedefine/>
    <w:qFormat/>
    <w:uiPriority w:val="0"/>
    <w:pPr>
      <w:adjustRightInd/>
      <w:spacing w:line="360" w:lineRule="auto"/>
      <w:ind w:firstLine="200" w:firstLineChars="200"/>
      <w:textAlignment w:val="auto"/>
    </w:pPr>
    <w:rPr>
      <w:sz w:val="28"/>
      <w:szCs w:val="21"/>
    </w:rPr>
  </w:style>
  <w:style w:type="paragraph" w:customStyle="1" w:styleId="249">
    <w:name w:val="14"/>
    <w:basedOn w:val="1"/>
    <w:autoRedefine/>
    <w:qFormat/>
    <w:uiPriority w:val="0"/>
    <w:pPr>
      <w:snapToGrid w:val="0"/>
      <w:spacing w:beforeLines="30" w:line="288" w:lineRule="auto"/>
      <w:ind w:left="852" w:leftChars="355" w:firstLine="420" w:firstLineChars="175"/>
    </w:pPr>
    <w:rPr>
      <w:rFonts w:ascii="新宋体" w:hAnsi="新宋体"/>
      <w:sz w:val="24"/>
      <w:szCs w:val="20"/>
    </w:rPr>
  </w:style>
  <w:style w:type="paragraph" w:customStyle="1" w:styleId="250">
    <w:name w:val="Char Char Char Char Char Char Char Char Char Char Char Char Char1"/>
    <w:basedOn w:val="1"/>
    <w:autoRedefine/>
    <w:qFormat/>
    <w:uiPriority w:val="0"/>
  </w:style>
  <w:style w:type="paragraph" w:customStyle="1" w:styleId="251">
    <w:name w:val="样式 标题 1Level 1Level 11h1II+IHeading1H1-Heading 1Header 1..."/>
    <w:basedOn w:val="2"/>
    <w:autoRedefine/>
    <w:qFormat/>
    <w:uiPriority w:val="0"/>
    <w:pPr>
      <w:keepLines/>
      <w:pageBreakBefore/>
      <w:spacing w:before="100" w:after="100" w:line="360" w:lineRule="auto"/>
      <w:ind w:left="1680" w:hanging="420"/>
      <w:jc w:val="left"/>
    </w:pPr>
    <w:rPr>
      <w:rFonts w:ascii="Arial" w:hAnsi="Arial" w:cs="宋体"/>
      <w:bCs/>
      <w:kern w:val="44"/>
      <w:sz w:val="44"/>
    </w:rPr>
  </w:style>
  <w:style w:type="paragraph" w:customStyle="1" w:styleId="252">
    <w:name w:val="样式 标题 3 + 黑色 段前: 5 磅 段后: 5 磅 行距: 1.5 倍行距"/>
    <w:basedOn w:val="1"/>
    <w:autoRedefine/>
    <w:qFormat/>
    <w:uiPriority w:val="0"/>
    <w:pPr>
      <w:ind w:left="855" w:hanging="855"/>
    </w:pPr>
    <w:rPr>
      <w:sz w:val="24"/>
      <w:szCs w:val="20"/>
    </w:rPr>
  </w:style>
  <w:style w:type="paragraph" w:customStyle="1" w:styleId="253">
    <w:name w:val="button"/>
    <w:basedOn w:val="1"/>
    <w:autoRedefine/>
    <w:qFormat/>
    <w:uiPriority w:val="0"/>
    <w:pPr>
      <w:widowControl/>
      <w:autoSpaceDE w:val="0"/>
      <w:autoSpaceDN w:val="0"/>
      <w:adjustRightInd w:val="0"/>
      <w:spacing w:before="100" w:beforeAutospacing="1" w:after="100" w:afterAutospacing="1"/>
      <w:jc w:val="left"/>
    </w:pPr>
    <w:rPr>
      <w:rFonts w:ascii="Arial Unicode MS" w:hAnsi="Arial Unicode MS"/>
      <w:color w:val="000000"/>
      <w:kern w:val="0"/>
      <w:sz w:val="24"/>
      <w:szCs w:val="20"/>
    </w:rPr>
  </w:style>
  <w:style w:type="paragraph" w:customStyle="1" w:styleId="254">
    <w:name w:val="ÕýÎÄÊ×ÐÐËõ½ø"/>
    <w:basedOn w:val="1"/>
    <w:autoRedefine/>
    <w:qFormat/>
    <w:uiPriority w:val="0"/>
    <w:pPr>
      <w:widowControl/>
      <w:overflowPunct w:val="0"/>
      <w:autoSpaceDE w:val="0"/>
      <w:autoSpaceDN w:val="0"/>
      <w:adjustRightInd w:val="0"/>
      <w:spacing w:line="360" w:lineRule="auto"/>
      <w:ind w:left="1134"/>
      <w:jc w:val="left"/>
      <w:textAlignment w:val="baseline"/>
    </w:pPr>
    <w:rPr>
      <w:rFonts w:eastAsia="Times New Roman"/>
      <w:kern w:val="0"/>
      <w:sz w:val="20"/>
      <w:szCs w:val="20"/>
    </w:rPr>
  </w:style>
  <w:style w:type="paragraph" w:customStyle="1" w:styleId="255">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6">
    <w:name w:val="xl9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57">
    <w:name w:val="标书正文带编号"/>
    <w:basedOn w:val="1"/>
    <w:autoRedefine/>
    <w:qFormat/>
    <w:uiPriority w:val="0"/>
    <w:pPr>
      <w:tabs>
        <w:tab w:val="left" w:pos="397"/>
      </w:tabs>
      <w:autoSpaceDE w:val="0"/>
      <w:autoSpaceDN w:val="0"/>
      <w:adjustRightInd w:val="0"/>
      <w:ind w:firstLine="397"/>
      <w:jc w:val="left"/>
    </w:pPr>
    <w:rPr>
      <w:rFonts w:cs="宋体"/>
      <w:kern w:val="0"/>
      <w:sz w:val="20"/>
      <w:szCs w:val="21"/>
    </w:rPr>
  </w:style>
  <w:style w:type="paragraph" w:customStyle="1" w:styleId="258">
    <w:name w:val="表格文字（大）"/>
    <w:basedOn w:val="1"/>
    <w:autoRedefine/>
    <w:qFormat/>
    <w:uiPriority w:val="0"/>
    <w:pPr>
      <w:autoSpaceDE w:val="0"/>
      <w:autoSpaceDN w:val="0"/>
      <w:adjustRightInd w:val="0"/>
      <w:spacing w:before="20" w:after="20"/>
      <w:jc w:val="left"/>
    </w:pPr>
    <w:rPr>
      <w:rFonts w:ascii="Century Gothic" w:hAnsi="Century Gothic" w:cs="Century Gothic"/>
      <w:kern w:val="0"/>
      <w:sz w:val="24"/>
      <w:szCs w:val="20"/>
    </w:rPr>
  </w:style>
  <w:style w:type="paragraph" w:customStyle="1" w:styleId="259">
    <w:name w:val="排列"/>
    <w:basedOn w:val="1"/>
    <w:autoRedefine/>
    <w:qFormat/>
    <w:uiPriority w:val="0"/>
    <w:pPr>
      <w:widowControl/>
      <w:autoSpaceDE w:val="0"/>
      <w:autoSpaceDN w:val="0"/>
      <w:adjustRightInd w:val="0"/>
      <w:spacing w:line="360" w:lineRule="auto"/>
      <w:jc w:val="left"/>
    </w:pPr>
    <w:rPr>
      <w:rFonts w:ascii="宋体" w:hAnsi="宋体"/>
      <w:kern w:val="0"/>
      <w:sz w:val="20"/>
      <w:szCs w:val="20"/>
      <w:lang w:val="zh-CN"/>
    </w:rPr>
  </w:style>
  <w:style w:type="paragraph" w:customStyle="1" w:styleId="260">
    <w:name w:val="Char Char1 Char Char Char Char Char Char Char Char Char Char Char Char Char Char"/>
    <w:basedOn w:val="1"/>
    <w:autoRedefine/>
    <w:qFormat/>
    <w:uiPriority w:val="0"/>
    <w:pPr>
      <w:widowControl/>
      <w:autoSpaceDE w:val="0"/>
      <w:autoSpaceDN w:val="0"/>
      <w:adjustRightInd w:val="0"/>
      <w:spacing w:after="160" w:line="240" w:lineRule="exact"/>
      <w:jc w:val="left"/>
    </w:pPr>
    <w:rPr>
      <w:kern w:val="0"/>
      <w:sz w:val="20"/>
      <w:szCs w:val="20"/>
    </w:rPr>
  </w:style>
  <w:style w:type="paragraph" w:customStyle="1" w:styleId="2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262">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6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64">
    <w:name w:val="tabletext"/>
    <w:basedOn w:val="1"/>
    <w:autoRedefine/>
    <w:qFormat/>
    <w:uiPriority w:val="0"/>
    <w:pPr>
      <w:widowControl/>
      <w:spacing w:line="300" w:lineRule="atLeast"/>
      <w:jc w:val="left"/>
    </w:pPr>
    <w:rPr>
      <w:rFonts w:ascii="宋体" w:hAnsi="宋体" w:cs="宋体"/>
      <w:kern w:val="0"/>
      <w:sz w:val="18"/>
      <w:szCs w:val="18"/>
    </w:rPr>
  </w:style>
  <w:style w:type="paragraph" w:customStyle="1" w:styleId="265">
    <w:name w:val="1.1.1"/>
    <w:basedOn w:val="1"/>
    <w:autoRedefine/>
    <w:qFormat/>
    <w:uiPriority w:val="0"/>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266">
    <w:name w:val="TOC 标题1"/>
    <w:basedOn w:val="2"/>
    <w:next w:val="1"/>
    <w:autoRedefine/>
    <w:unhideWhenUsed/>
    <w:qFormat/>
    <w:uiPriority w:val="39"/>
    <w:pPr>
      <w:widowControl/>
      <w:spacing w:before="480" w:line="276" w:lineRule="auto"/>
      <w:jc w:val="left"/>
      <w:outlineLvl w:val="9"/>
    </w:pPr>
    <w:rPr>
      <w:rFonts w:ascii="Cambria" w:hAnsi="Cambria" w:eastAsia="宋体"/>
      <w:color w:val="366091"/>
      <w:kern w:val="0"/>
      <w:sz w:val="28"/>
      <w:szCs w:val="28"/>
    </w:rPr>
  </w:style>
  <w:style w:type="paragraph" w:customStyle="1" w:styleId="267">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268">
    <w:name w:val="xl8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9">
    <w:name w:val="WW-正文文字缩进 2"/>
    <w:basedOn w:val="1"/>
    <w:autoRedefine/>
    <w:qFormat/>
    <w:uiPriority w:val="0"/>
    <w:pPr>
      <w:suppressAutoHyphens/>
      <w:autoSpaceDE w:val="0"/>
      <w:autoSpaceDN w:val="0"/>
      <w:adjustRightInd w:val="0"/>
      <w:ind w:firstLine="420"/>
      <w:jc w:val="left"/>
    </w:pPr>
    <w:rPr>
      <w:kern w:val="1"/>
      <w:sz w:val="20"/>
      <w:szCs w:val="20"/>
    </w:rPr>
  </w:style>
  <w:style w:type="paragraph" w:customStyle="1" w:styleId="270">
    <w:name w:val="xl6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271">
    <w:name w:val="正文样式 首行缩进:  0.74 厘米"/>
    <w:basedOn w:val="1"/>
    <w:autoRedefine/>
    <w:qFormat/>
    <w:uiPriority w:val="0"/>
    <w:pPr>
      <w:autoSpaceDE w:val="0"/>
      <w:autoSpaceDN w:val="0"/>
      <w:adjustRightInd w:val="0"/>
      <w:spacing w:beforeLines="50" w:line="360" w:lineRule="auto"/>
      <w:ind w:firstLine="420"/>
      <w:jc w:val="left"/>
    </w:pPr>
    <w:rPr>
      <w:rFonts w:cs="宋体"/>
      <w:kern w:val="0"/>
      <w:sz w:val="24"/>
      <w:szCs w:val="20"/>
    </w:rPr>
  </w:style>
  <w:style w:type="paragraph" w:customStyle="1" w:styleId="272">
    <w:name w:val="简单回函地址"/>
    <w:basedOn w:val="1"/>
    <w:autoRedefine/>
    <w:qFormat/>
    <w:uiPriority w:val="0"/>
  </w:style>
  <w:style w:type="paragraph" w:customStyle="1" w:styleId="273">
    <w:name w:val="前言、引言标题"/>
    <w:next w:val="1"/>
    <w:autoRedefine/>
    <w:qFormat/>
    <w:uiPriority w:val="0"/>
    <w:pPr>
      <w:shd w:val="clear" w:color="FFFFFF" w:fill="FFFFFF"/>
      <w:tabs>
        <w:tab w:val="left" w:pos="3349"/>
      </w:tabs>
      <w:spacing w:before="640" w:after="560"/>
      <w:ind w:left="3349" w:hanging="720"/>
      <w:jc w:val="center"/>
      <w:outlineLvl w:val="0"/>
    </w:pPr>
    <w:rPr>
      <w:rFonts w:ascii="黑体" w:hAnsi="Times New Roman" w:eastAsia="黑体" w:cs="Times New Roman"/>
      <w:sz w:val="32"/>
      <w:lang w:val="en-US" w:eastAsia="zh-CN" w:bidi="ar-SA"/>
    </w:rPr>
  </w:style>
  <w:style w:type="paragraph" w:customStyle="1" w:styleId="274">
    <w:name w:val="正文_0"/>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75">
    <w:name w:val="部分1"/>
    <w:basedOn w:val="1"/>
    <w:autoRedefine/>
    <w:qFormat/>
    <w:uiPriority w:val="0"/>
    <w:pPr>
      <w:keepNext/>
      <w:pageBreakBefore/>
      <w:tabs>
        <w:tab w:val="left" w:pos="720"/>
      </w:tabs>
      <w:autoSpaceDE w:val="0"/>
      <w:autoSpaceDN w:val="0"/>
      <w:adjustRightInd w:val="0"/>
      <w:spacing w:line="360" w:lineRule="auto"/>
      <w:jc w:val="center"/>
      <w:outlineLvl w:val="0"/>
    </w:pPr>
    <w:rPr>
      <w:rFonts w:eastAsia="黑体"/>
      <w:b/>
      <w:kern w:val="44"/>
      <w:sz w:val="36"/>
      <w:szCs w:val="20"/>
    </w:rPr>
  </w:style>
  <w:style w:type="paragraph" w:customStyle="1" w:styleId="276">
    <w:name w:val="1 Char"/>
    <w:basedOn w:val="9"/>
    <w:autoRedefine/>
    <w:qFormat/>
    <w:uiPriority w:val="0"/>
    <w:pPr>
      <w:adjustRightInd/>
      <w:spacing w:line="360" w:lineRule="auto"/>
      <w:ind w:firstLine="200" w:firstLineChars="200"/>
      <w:textAlignment w:val="auto"/>
    </w:pPr>
    <w:rPr>
      <w:kern w:val="2"/>
    </w:rPr>
  </w:style>
  <w:style w:type="paragraph" w:customStyle="1" w:styleId="277">
    <w:name w:val="正文文本 21"/>
    <w:basedOn w:val="1"/>
    <w:autoRedefine/>
    <w:qFormat/>
    <w:uiPriority w:val="0"/>
    <w:pPr>
      <w:widowControl/>
      <w:overflowPunct w:val="0"/>
      <w:autoSpaceDE w:val="0"/>
      <w:autoSpaceDN w:val="0"/>
      <w:adjustRightInd w:val="0"/>
      <w:ind w:left="720" w:hanging="720"/>
      <w:jc w:val="left"/>
      <w:textAlignment w:val="baseline"/>
    </w:pPr>
    <w:rPr>
      <w:kern w:val="0"/>
      <w:sz w:val="24"/>
      <w:szCs w:val="20"/>
      <w:lang w:val="en-GB"/>
    </w:rPr>
  </w:style>
  <w:style w:type="paragraph" w:customStyle="1" w:styleId="278">
    <w:name w:val="TOC 标题2"/>
    <w:basedOn w:val="2"/>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279">
    <w:name w:val="Char Char"/>
    <w:basedOn w:val="1"/>
    <w:autoRedefine/>
    <w:qFormat/>
    <w:uiPriority w:val="0"/>
    <w:rPr>
      <w:rFonts w:ascii="仿宋_GB2312" w:eastAsia="仿宋_GB2312"/>
      <w:b/>
      <w:sz w:val="32"/>
      <w:szCs w:val="32"/>
    </w:rPr>
  </w:style>
  <w:style w:type="paragraph" w:customStyle="1" w:styleId="280">
    <w:name w:val="l正文"/>
    <w:basedOn w:val="1"/>
    <w:autoRedefine/>
    <w:qFormat/>
    <w:uiPriority w:val="0"/>
    <w:pPr>
      <w:spacing w:line="360" w:lineRule="auto"/>
      <w:ind w:firstLine="200" w:firstLineChars="200"/>
    </w:pPr>
    <w:rPr>
      <w:rFonts w:ascii="宋体" w:hAnsi="宋体"/>
      <w:sz w:val="24"/>
    </w:rPr>
  </w:style>
  <w:style w:type="paragraph" w:customStyle="1" w:styleId="281">
    <w:name w:val="xl7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新宋体" w:hAnsi="新宋体" w:eastAsia="新宋体" w:cs="宋体"/>
      <w:b/>
      <w:bCs/>
      <w:color w:val="FF0000"/>
      <w:kern w:val="0"/>
      <w:sz w:val="24"/>
    </w:rPr>
  </w:style>
  <w:style w:type="paragraph" w:customStyle="1" w:styleId="282">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83">
    <w:name w:val="Item List in Table"/>
    <w:autoRedefine/>
    <w:qFormat/>
    <w:uiPriority w:val="0"/>
    <w:pPr>
      <w:tabs>
        <w:tab w:val="left" w:pos="284"/>
        <w:tab w:val="left" w:pos="720"/>
      </w:tabs>
      <w:spacing w:before="40" w:after="40"/>
      <w:ind w:left="720" w:hanging="720"/>
      <w:jc w:val="both"/>
    </w:pPr>
    <w:rPr>
      <w:rFonts w:ascii="Times New Roman" w:hAnsi="Times New Roman" w:eastAsia="宋体" w:cs="Arial"/>
      <w:kern w:val="2"/>
      <w:sz w:val="18"/>
      <w:szCs w:val="18"/>
      <w:lang w:val="en-US" w:eastAsia="zh-CN" w:bidi="ar-SA"/>
    </w:rPr>
  </w:style>
  <w:style w:type="paragraph" w:customStyle="1" w:styleId="284">
    <w:name w:val="Char Char Char Char Char Char Char Char Char Char Char Char Char Char Char Char Char Char Char1"/>
    <w:basedOn w:val="1"/>
    <w:autoRedefine/>
    <w:qFormat/>
    <w:uiPriority w:val="0"/>
    <w:rPr>
      <w:rFonts w:ascii="仿宋_GB2312" w:eastAsia="仿宋_GB2312"/>
      <w:b/>
      <w:sz w:val="32"/>
      <w:szCs w:val="32"/>
    </w:rPr>
  </w:style>
  <w:style w:type="paragraph" w:customStyle="1" w:styleId="285">
    <w:name w:val="xl29"/>
    <w:basedOn w:val="1"/>
    <w:autoRedefine/>
    <w:qFormat/>
    <w:uiPriority w:val="0"/>
    <w:pPr>
      <w:widowControl/>
      <w:autoSpaceDE w:val="0"/>
      <w:autoSpaceDN w:val="0"/>
      <w:adjustRightInd w:val="0"/>
      <w:spacing w:before="100" w:beforeAutospacing="1" w:after="100" w:afterAutospacing="1"/>
      <w:jc w:val="center"/>
    </w:pPr>
    <w:rPr>
      <w:rFonts w:ascii="Arial Unicode MS" w:hAnsi="Arial Unicode MS" w:eastAsia="Arial Unicode MS"/>
      <w:kern w:val="0"/>
      <w:sz w:val="24"/>
      <w:szCs w:val="20"/>
    </w:rPr>
  </w:style>
  <w:style w:type="paragraph" w:customStyle="1" w:styleId="286">
    <w:name w:val="Char Char Char Char Char Char Char1"/>
    <w:basedOn w:val="1"/>
    <w:autoRedefine/>
    <w:qFormat/>
    <w:uiPriority w:val="0"/>
    <w:rPr>
      <w:rFonts w:ascii="仿宋_GB2312" w:eastAsia="仿宋_GB2312"/>
      <w:b/>
      <w:sz w:val="32"/>
      <w:szCs w:val="32"/>
    </w:rPr>
  </w:style>
  <w:style w:type="paragraph" w:customStyle="1" w:styleId="287">
    <w:name w:val="xl9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88">
    <w:name w:val="xl8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89">
    <w:name w:val="标题2"/>
    <w:basedOn w:val="4"/>
    <w:autoRedefine/>
    <w:qFormat/>
    <w:uiPriority w:val="0"/>
    <w:pPr>
      <w:tabs>
        <w:tab w:val="left" w:pos="709"/>
      </w:tabs>
    </w:pPr>
    <w:rPr>
      <w:rFonts w:ascii="宋体" w:hAnsi="宋体"/>
      <w:sz w:val="36"/>
      <w:szCs w:val="36"/>
    </w:rPr>
  </w:style>
  <w:style w:type="paragraph" w:customStyle="1" w:styleId="290">
    <w:name w:val="xl91"/>
    <w:basedOn w:val="1"/>
    <w:autoRedefine/>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91">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292">
    <w:name w:val="Char1"/>
    <w:basedOn w:val="1"/>
    <w:autoRedefine/>
    <w:qFormat/>
    <w:uiPriority w:val="0"/>
    <w:rPr>
      <w:rFonts w:ascii="仿宋_GB2312" w:eastAsia="仿宋_GB2312"/>
      <w:b/>
      <w:sz w:val="32"/>
      <w:szCs w:val="32"/>
    </w:rPr>
  </w:style>
  <w:style w:type="paragraph" w:customStyle="1" w:styleId="293">
    <w:name w:val="正文字缩2字"/>
    <w:basedOn w:val="1"/>
    <w:autoRedefine/>
    <w:qFormat/>
    <w:uiPriority w:val="0"/>
    <w:pPr>
      <w:spacing w:before="60" w:after="60" w:line="360" w:lineRule="auto"/>
      <w:ind w:left="200" w:leftChars="200" w:firstLine="200" w:firstLineChars="200"/>
    </w:pPr>
    <w:rPr>
      <w:sz w:val="24"/>
    </w:rPr>
  </w:style>
  <w:style w:type="paragraph" w:customStyle="1" w:styleId="294">
    <w:name w:val="正文2"/>
    <w:basedOn w:val="1"/>
    <w:autoRedefine/>
    <w:qFormat/>
    <w:uiPriority w:val="0"/>
    <w:pPr>
      <w:autoSpaceDE w:val="0"/>
      <w:autoSpaceDN w:val="0"/>
      <w:adjustRightInd w:val="0"/>
      <w:spacing w:before="156" w:line="360" w:lineRule="auto"/>
      <w:ind w:firstLine="510" w:firstLineChars="200"/>
      <w:jc w:val="left"/>
    </w:pPr>
    <w:rPr>
      <w:kern w:val="0"/>
      <w:sz w:val="24"/>
      <w:szCs w:val="20"/>
    </w:rPr>
  </w:style>
  <w:style w:type="paragraph" w:customStyle="1" w:styleId="295">
    <w:name w:val="保留正文"/>
    <w:basedOn w:val="21"/>
    <w:autoRedefine/>
    <w:qFormat/>
    <w:uiPriority w:val="0"/>
    <w:pPr>
      <w:keepNext/>
      <w:spacing w:after="160"/>
    </w:pPr>
    <w:rPr>
      <w:szCs w:val="20"/>
    </w:rPr>
  </w:style>
  <w:style w:type="paragraph" w:customStyle="1" w:styleId="296">
    <w:name w:val="xl76"/>
    <w:basedOn w:val="1"/>
    <w:autoRedefine/>
    <w:qFormat/>
    <w:uiPriority w:val="0"/>
    <w:pPr>
      <w:widowControl/>
      <w:pBdr>
        <w:top w:val="single" w:color="auto" w:sz="4" w:space="0"/>
        <w:bottom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97">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新宋体" w:hAnsi="新宋体" w:eastAsia="新宋体" w:cs="宋体"/>
      <w:color w:val="000000"/>
      <w:kern w:val="0"/>
      <w:sz w:val="24"/>
    </w:rPr>
  </w:style>
  <w:style w:type="paragraph" w:customStyle="1" w:styleId="298">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99">
    <w:name w:val="Char"/>
    <w:basedOn w:val="1"/>
    <w:autoRedefine/>
    <w:qFormat/>
    <w:uiPriority w:val="0"/>
    <w:rPr>
      <w:rFonts w:ascii="仿宋_GB2312" w:eastAsia="仿宋_GB2312"/>
      <w:b/>
      <w:sz w:val="32"/>
      <w:szCs w:val="32"/>
    </w:rPr>
  </w:style>
  <w:style w:type="paragraph" w:customStyle="1" w:styleId="300">
    <w:name w:val="Char21"/>
    <w:basedOn w:val="1"/>
    <w:autoRedefine/>
    <w:qFormat/>
    <w:uiPriority w:val="0"/>
    <w:pPr>
      <w:autoSpaceDE w:val="0"/>
      <w:autoSpaceDN w:val="0"/>
      <w:adjustRightInd w:val="0"/>
      <w:jc w:val="left"/>
    </w:pPr>
    <w:rPr>
      <w:rFonts w:ascii="仿宋_GB2312" w:eastAsia="仿宋_GB2312"/>
      <w:b/>
      <w:kern w:val="0"/>
      <w:sz w:val="32"/>
      <w:szCs w:val="32"/>
    </w:rPr>
  </w:style>
  <w:style w:type="paragraph" w:customStyle="1" w:styleId="301">
    <w:name w:val="正文文字表格居中"/>
    <w:basedOn w:val="1"/>
    <w:next w:val="46"/>
    <w:autoRedefine/>
    <w:qFormat/>
    <w:uiPriority w:val="0"/>
    <w:pPr>
      <w:autoSpaceDE w:val="0"/>
      <w:autoSpaceDN w:val="0"/>
      <w:adjustRightInd w:val="0"/>
      <w:snapToGrid w:val="0"/>
      <w:spacing w:line="360" w:lineRule="auto"/>
      <w:jc w:val="left"/>
    </w:pPr>
    <w:rPr>
      <w:rFonts w:ascii="宋体"/>
      <w:b/>
      <w:kern w:val="0"/>
      <w:sz w:val="24"/>
      <w:szCs w:val="20"/>
    </w:rPr>
  </w:style>
  <w:style w:type="paragraph" w:customStyle="1" w:styleId="302">
    <w:name w:val="Table Contents"/>
    <w:basedOn w:val="1"/>
    <w:autoRedefine/>
    <w:qFormat/>
    <w:uiPriority w:val="0"/>
    <w:pPr>
      <w:suppressAutoHyphens/>
      <w:autoSpaceDE w:val="0"/>
      <w:autoSpaceDN w:val="0"/>
      <w:adjustRightInd w:val="0"/>
      <w:spacing w:after="120"/>
      <w:jc w:val="left"/>
    </w:pPr>
    <w:rPr>
      <w:rFonts w:ascii="Helvetica" w:hAnsi="Helvetica"/>
      <w:kern w:val="1"/>
      <w:sz w:val="20"/>
      <w:szCs w:val="20"/>
    </w:rPr>
  </w:style>
  <w:style w:type="paragraph" w:customStyle="1" w:styleId="303">
    <w:name w:val="Char1 Char Char Char Char Char Char"/>
    <w:basedOn w:val="1"/>
    <w:autoRedefine/>
    <w:qFormat/>
    <w:uiPriority w:val="0"/>
    <w:rPr>
      <w:rFonts w:ascii="宋体" w:hAnsi="宋体"/>
      <w:color w:val="000000"/>
      <w:sz w:val="24"/>
    </w:rPr>
  </w:style>
  <w:style w:type="paragraph" w:customStyle="1" w:styleId="304">
    <w:name w:val="此正文"/>
    <w:basedOn w:val="1"/>
    <w:autoRedefine/>
    <w:qFormat/>
    <w:uiPriority w:val="0"/>
    <w:pPr>
      <w:autoSpaceDE w:val="0"/>
      <w:autoSpaceDN w:val="0"/>
      <w:adjustRightInd w:val="0"/>
      <w:spacing w:line="360" w:lineRule="auto"/>
      <w:ind w:firstLine="200" w:firstLineChars="200"/>
      <w:jc w:val="left"/>
    </w:pPr>
    <w:rPr>
      <w:kern w:val="0"/>
      <w:sz w:val="24"/>
      <w:szCs w:val="20"/>
    </w:rPr>
  </w:style>
  <w:style w:type="paragraph" w:customStyle="1" w:styleId="305">
    <w:name w:val="Char11"/>
    <w:basedOn w:val="1"/>
    <w:autoRedefine/>
    <w:qFormat/>
    <w:uiPriority w:val="0"/>
    <w:pPr>
      <w:autoSpaceDE w:val="0"/>
      <w:autoSpaceDN w:val="0"/>
      <w:adjustRightInd w:val="0"/>
      <w:jc w:val="left"/>
    </w:pPr>
    <w:rPr>
      <w:rFonts w:ascii="仿宋_GB2312" w:eastAsia="仿宋_GB2312"/>
      <w:b/>
      <w:kern w:val="0"/>
      <w:sz w:val="32"/>
      <w:szCs w:val="32"/>
    </w:rPr>
  </w:style>
  <w:style w:type="paragraph" w:customStyle="1" w:styleId="306">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Cs w:val="22"/>
    </w:rPr>
  </w:style>
  <w:style w:type="paragraph" w:customStyle="1" w:styleId="307">
    <w:name w:val="a"/>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08">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lang w:val="zh-CN"/>
    </w:rPr>
  </w:style>
  <w:style w:type="paragraph" w:customStyle="1" w:styleId="309">
    <w:name w:val="xl83"/>
    <w:basedOn w:val="1"/>
    <w:autoRedefine/>
    <w:qFormat/>
    <w:uiPriority w:val="0"/>
    <w:pPr>
      <w:widowControl/>
      <w:pBdr>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310">
    <w:name w:val="Char Char13"/>
    <w:basedOn w:val="1"/>
    <w:autoRedefine/>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31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312">
    <w:name w:val="features1"/>
    <w:basedOn w:val="1"/>
    <w:autoRedefine/>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313">
    <w:name w:val="xl25"/>
    <w:basedOn w:val="1"/>
    <w:autoRedefine/>
    <w:qFormat/>
    <w:uiPriority w:val="0"/>
    <w:pPr>
      <w:widowControl/>
      <w:autoSpaceDE w:val="0"/>
      <w:autoSpaceDN w:val="0"/>
      <w:adjustRightInd w:val="0"/>
      <w:spacing w:before="100" w:beforeAutospacing="1" w:after="100" w:afterAutospacing="1"/>
      <w:jc w:val="center"/>
      <w:textAlignment w:val="center"/>
    </w:pPr>
    <w:rPr>
      <w:rFonts w:hint="eastAsia" w:ascii="楷体_GB2312" w:hAnsi="宋体" w:eastAsia="楷体_GB2312"/>
      <w:kern w:val="0"/>
      <w:sz w:val="24"/>
      <w:szCs w:val="20"/>
    </w:rPr>
  </w:style>
  <w:style w:type="paragraph" w:customStyle="1" w:styleId="314">
    <w:name w:val="章标题"/>
    <w:next w:val="1"/>
    <w:autoRedefine/>
    <w:qFormat/>
    <w:uiPriority w:val="0"/>
    <w:pPr>
      <w:tabs>
        <w:tab w:val="left" w:pos="3469"/>
      </w:tabs>
      <w:spacing w:beforeLines="50" w:afterLines="50"/>
      <w:ind w:left="3469" w:hanging="420"/>
      <w:jc w:val="both"/>
      <w:outlineLvl w:val="1"/>
    </w:pPr>
    <w:rPr>
      <w:rFonts w:ascii="黑体" w:hAnsi="Times New Roman" w:eastAsia="黑体" w:cs="Times New Roman"/>
      <w:sz w:val="21"/>
      <w:lang w:val="en-US" w:eastAsia="zh-CN" w:bidi="ar-SA"/>
    </w:rPr>
  </w:style>
  <w:style w:type="paragraph" w:customStyle="1" w:styleId="315">
    <w:name w:val="样式 标题 3 + 黑体 小四 非加粗"/>
    <w:basedOn w:val="5"/>
    <w:autoRedefine/>
    <w:qFormat/>
    <w:uiPriority w:val="0"/>
    <w:pPr>
      <w:spacing w:before="260" w:after="260" w:line="413" w:lineRule="auto"/>
    </w:pPr>
    <w:rPr>
      <w:rFonts w:ascii="黑体" w:hAnsi="黑体"/>
      <w:b w:val="0"/>
      <w:kern w:val="0"/>
      <w:sz w:val="24"/>
      <w:szCs w:val="32"/>
    </w:rPr>
  </w:style>
  <w:style w:type="paragraph" w:customStyle="1" w:styleId="316">
    <w:name w:val="正文_0_0"/>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17">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318">
    <w:name w:val="样式 左侧:  0.85 厘米 首行缩进:  0.85 厘米"/>
    <w:basedOn w:val="1"/>
    <w:autoRedefine/>
    <w:qFormat/>
    <w:uiPriority w:val="0"/>
    <w:pPr>
      <w:autoSpaceDE w:val="0"/>
      <w:autoSpaceDN w:val="0"/>
      <w:adjustRightInd w:val="0"/>
      <w:spacing w:line="360" w:lineRule="auto"/>
      <w:ind w:firstLine="482"/>
      <w:jc w:val="left"/>
    </w:pPr>
    <w:rPr>
      <w:rFonts w:cs="宋体"/>
      <w:kern w:val="0"/>
      <w:sz w:val="24"/>
      <w:szCs w:val="20"/>
    </w:rPr>
  </w:style>
  <w:style w:type="paragraph" w:customStyle="1" w:styleId="319">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20">
    <w:name w:val="VIT-Text"/>
    <w:basedOn w:val="1"/>
    <w:autoRedefine/>
    <w:qFormat/>
    <w:uiPriority w:val="0"/>
    <w:pPr>
      <w:widowControl/>
      <w:tabs>
        <w:tab w:val="left" w:pos="709"/>
        <w:tab w:val="left" w:pos="3402"/>
        <w:tab w:val="left" w:pos="4536"/>
        <w:tab w:val="left" w:pos="5670"/>
        <w:tab w:val="decimal" w:pos="6804"/>
        <w:tab w:val="right" w:pos="9072"/>
      </w:tabs>
      <w:jc w:val="left"/>
    </w:pPr>
    <w:rPr>
      <w:rFonts w:ascii="Arial" w:hAnsi="Arial" w:eastAsia="PMingLiU"/>
      <w:kern w:val="0"/>
      <w:sz w:val="22"/>
      <w:szCs w:val="20"/>
      <w:lang w:val="de-DE" w:eastAsia="zh-TW"/>
    </w:rPr>
  </w:style>
  <w:style w:type="paragraph" w:customStyle="1" w:styleId="321">
    <w:name w:val="文档正文"/>
    <w:basedOn w:val="1"/>
    <w:autoRedefine/>
    <w:qFormat/>
    <w:uiPriority w:val="0"/>
    <w:pPr>
      <w:adjustRightInd w:val="0"/>
      <w:spacing w:line="300" w:lineRule="auto"/>
      <w:ind w:firstLine="567"/>
      <w:textAlignment w:val="baseline"/>
    </w:pPr>
    <w:rPr>
      <w:kern w:val="0"/>
      <w:sz w:val="24"/>
      <w:szCs w:val="20"/>
    </w:rPr>
  </w:style>
  <w:style w:type="paragraph" w:customStyle="1" w:styleId="322">
    <w:name w:val="列出段落2"/>
    <w:basedOn w:val="1"/>
    <w:autoRedefine/>
    <w:qFormat/>
    <w:uiPriority w:val="0"/>
    <w:pPr>
      <w:ind w:firstLine="420" w:firstLineChars="200"/>
    </w:pPr>
  </w:style>
  <w:style w:type="paragraph" w:customStyle="1" w:styleId="323">
    <w:name w:val="标题五"/>
    <w:basedOn w:val="1"/>
    <w:autoRedefine/>
    <w:qFormat/>
    <w:uiPriority w:val="0"/>
    <w:pPr>
      <w:tabs>
        <w:tab w:val="left" w:pos="1440"/>
      </w:tabs>
      <w:autoSpaceDE w:val="0"/>
      <w:autoSpaceDN w:val="0"/>
      <w:adjustRightInd w:val="0"/>
      <w:spacing w:beforeLines="50" w:line="360" w:lineRule="auto"/>
      <w:ind w:left="1440" w:hanging="420"/>
      <w:jc w:val="left"/>
    </w:pPr>
    <w:rPr>
      <w:b/>
      <w:kern w:val="0"/>
      <w:sz w:val="24"/>
      <w:szCs w:val="20"/>
    </w:rPr>
  </w:style>
  <w:style w:type="paragraph" w:customStyle="1" w:styleId="324">
    <w:name w:val="È±Ê¡ÎÄ±¾ Char"/>
    <w:basedOn w:val="1"/>
    <w:autoRedefine/>
    <w:qFormat/>
    <w:uiPriority w:val="0"/>
    <w:pPr>
      <w:widowControl/>
      <w:overflowPunct w:val="0"/>
      <w:autoSpaceDE w:val="0"/>
      <w:autoSpaceDN w:val="0"/>
      <w:adjustRightInd w:val="0"/>
      <w:textAlignment w:val="baseline"/>
    </w:pPr>
    <w:rPr>
      <w:szCs w:val="21"/>
      <w:lang w:val="zh-CN"/>
    </w:rPr>
  </w:style>
  <w:style w:type="paragraph" w:customStyle="1" w:styleId="325">
    <w:name w:val="p0"/>
    <w:basedOn w:val="1"/>
    <w:autoRedefine/>
    <w:qFormat/>
    <w:uiPriority w:val="0"/>
    <w:pPr>
      <w:widowControl/>
    </w:pPr>
    <w:rPr>
      <w:kern w:val="0"/>
      <w:szCs w:val="21"/>
    </w:rPr>
  </w:style>
  <w:style w:type="paragraph" w:customStyle="1" w:styleId="326">
    <w:name w:val="xl88"/>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table" w:customStyle="1" w:styleId="327">
    <w:name w:val="TableGrid"/>
    <w:autoRedefine/>
    <w:qFormat/>
    <w:uiPriority w:val="0"/>
    <w:tblPr>
      <w:tblCellMar>
        <w:top w:w="0" w:type="dxa"/>
        <w:left w:w="0" w:type="dxa"/>
        <w:bottom w:w="0" w:type="dxa"/>
        <w:right w:w="0" w:type="dxa"/>
      </w:tblCellMar>
    </w:tblPr>
  </w:style>
  <w:style w:type="paragraph" w:styleId="328">
    <w:name w:val="List Paragraph"/>
    <w:basedOn w:val="1"/>
    <w:autoRedefine/>
    <w:qFormat/>
    <w:uiPriority w:val="99"/>
    <w:pPr>
      <w:ind w:firstLine="420" w:firstLineChars="200"/>
    </w:pPr>
  </w:style>
  <w:style w:type="paragraph" w:customStyle="1" w:styleId="329">
    <w:name w:val="正文段"/>
    <w:basedOn w:val="1"/>
    <w:autoRedefine/>
    <w:qFormat/>
    <w:uiPriority w:val="0"/>
    <w:pPr>
      <w:widowControl/>
      <w:snapToGrid w:val="0"/>
      <w:spacing w:afterLines="50"/>
      <w:ind w:firstLine="200" w:firstLineChars="200"/>
    </w:pPr>
    <w:rPr>
      <w:sz w:val="24"/>
      <w:szCs w:val="20"/>
    </w:rPr>
  </w:style>
  <w:style w:type="paragraph" w:customStyle="1" w:styleId="330">
    <w:name w:val="_Style 3"/>
    <w:basedOn w:val="1"/>
    <w:next w:val="1"/>
    <w:autoRedefine/>
    <w:qFormat/>
    <w:uiPriority w:val="34"/>
    <w:pPr>
      <w:spacing w:line="360" w:lineRule="auto"/>
      <w:ind w:firstLine="420" w:firstLineChars="200"/>
    </w:pPr>
  </w:style>
  <w:style w:type="paragraph" w:customStyle="1" w:styleId="331">
    <w:name w:val="_Style 2"/>
    <w:basedOn w:val="1"/>
    <w:next w:val="1"/>
    <w:autoRedefine/>
    <w:qFormat/>
    <w:uiPriority w:val="0"/>
    <w:pPr>
      <w:pBdr>
        <w:bottom w:val="single" w:color="auto" w:sz="6" w:space="1"/>
      </w:pBdr>
      <w:jc w:val="center"/>
    </w:pPr>
    <w:rPr>
      <w:rFonts w:ascii="Arial"/>
      <w:vanish/>
      <w:sz w:val="16"/>
    </w:rPr>
  </w:style>
  <w:style w:type="character" w:customStyle="1" w:styleId="332">
    <w:name w:val="font31"/>
    <w:basedOn w:val="54"/>
    <w:autoRedefine/>
    <w:qFormat/>
    <w:uiPriority w:val="0"/>
    <w:rPr>
      <w:rFonts w:hint="eastAsia" w:ascii="宋体" w:hAnsi="宋体" w:eastAsia="宋体" w:cs="宋体"/>
      <w:color w:val="000000"/>
      <w:sz w:val="24"/>
      <w:szCs w:val="24"/>
      <w:u w:val="single"/>
    </w:rPr>
  </w:style>
  <w:style w:type="paragraph" w:customStyle="1" w:styleId="333">
    <w:name w:val="表格文字"/>
    <w:basedOn w:val="1"/>
    <w:next w:val="21"/>
    <w:autoRedefine/>
    <w:qFormat/>
    <w:uiPriority w:val="0"/>
    <w:pPr>
      <w:adjustRightInd w:val="0"/>
      <w:spacing w:line="420" w:lineRule="atLeast"/>
      <w:jc w:val="left"/>
      <w:textAlignment w:val="baseline"/>
    </w:pPr>
    <w:rPr>
      <w:kern w:val="0"/>
    </w:rPr>
  </w:style>
  <w:style w:type="character" w:customStyle="1" w:styleId="334">
    <w:name w:val="font01"/>
    <w:basedOn w:val="54"/>
    <w:autoRedefine/>
    <w:qFormat/>
    <w:uiPriority w:val="0"/>
    <w:rPr>
      <w:rFonts w:ascii="Arial" w:hAnsi="Arial" w:cs="Arial"/>
      <w:color w:val="000000"/>
      <w:sz w:val="18"/>
      <w:szCs w:val="18"/>
      <w:u w:val="none"/>
    </w:rPr>
  </w:style>
  <w:style w:type="paragraph" w:customStyle="1" w:styleId="335">
    <w:name w:val="列出段落3"/>
    <w:basedOn w:val="1"/>
    <w:autoRedefine/>
    <w:qFormat/>
    <w:uiPriority w:val="34"/>
    <w:pPr>
      <w:adjustRightInd w:val="0"/>
      <w:snapToGrid w:val="0"/>
      <w:spacing w:after="200"/>
      <w:ind w:firstLine="420" w:firstLineChars="200"/>
    </w:pPr>
    <w:rPr>
      <w:rFonts w:ascii="Tahoma" w:hAnsi="Tahoma" w:eastAsia="微软雅黑"/>
      <w:sz w:val="22"/>
    </w:rPr>
  </w:style>
  <w:style w:type="paragraph" w:customStyle="1" w:styleId="336">
    <w:name w:val="标题3 附件1"/>
    <w:basedOn w:val="1"/>
    <w:autoRedefine/>
    <w:qFormat/>
    <w:uiPriority w:val="0"/>
    <w:pPr>
      <w:keepNext/>
      <w:keepLines/>
      <w:spacing w:before="340" w:after="330" w:line="360" w:lineRule="exact"/>
      <w:jc w:val="left"/>
      <w:outlineLvl w:val="2"/>
    </w:pPr>
    <w:rPr>
      <w:b/>
      <w:bCs/>
      <w:kern w:val="44"/>
      <w:szCs w:val="21"/>
    </w:rPr>
  </w:style>
  <w:style w:type="character" w:customStyle="1" w:styleId="337">
    <w:name w:val="font61"/>
    <w:basedOn w:val="54"/>
    <w:autoRedefine/>
    <w:qFormat/>
    <w:uiPriority w:val="0"/>
    <w:rPr>
      <w:rFonts w:hint="eastAsia" w:ascii="宋体" w:hAnsi="宋体" w:eastAsia="宋体" w:cs="宋体"/>
      <w:color w:val="000000"/>
      <w:sz w:val="20"/>
      <w:szCs w:val="20"/>
      <w:u w:val="none"/>
    </w:rPr>
  </w:style>
  <w:style w:type="character" w:customStyle="1" w:styleId="338">
    <w:name w:val="font81"/>
    <w:basedOn w:val="54"/>
    <w:autoRedefine/>
    <w:qFormat/>
    <w:uiPriority w:val="0"/>
    <w:rPr>
      <w:rFonts w:ascii="Calibri" w:hAnsi="Calibri" w:cs="Calibri"/>
      <w:color w:val="000000"/>
      <w:sz w:val="20"/>
      <w:szCs w:val="20"/>
      <w:u w:val="none"/>
    </w:rPr>
  </w:style>
  <w:style w:type="character" w:customStyle="1" w:styleId="339">
    <w:name w:val="font71"/>
    <w:basedOn w:val="54"/>
    <w:autoRedefine/>
    <w:qFormat/>
    <w:uiPriority w:val="0"/>
    <w:rPr>
      <w:rFonts w:hint="eastAsia" w:ascii="宋体" w:hAnsi="宋体" w:eastAsia="宋体" w:cs="宋体"/>
      <w:color w:val="000000"/>
      <w:sz w:val="22"/>
      <w:szCs w:val="22"/>
      <w:u w:val="none"/>
    </w:rPr>
  </w:style>
  <w:style w:type="paragraph" w:customStyle="1" w:styleId="340">
    <w:name w:val="01 正文-首行缩进2字符"/>
    <w:basedOn w:val="1"/>
    <w:autoRedefine/>
    <w:qFormat/>
    <w:uiPriority w:val="0"/>
    <w:pPr>
      <w:spacing w:before="50" w:beforeLines="50" w:after="50" w:afterLines="50"/>
      <w:ind w:firstLine="200" w:firstLineChars="200"/>
    </w:pPr>
    <w:rPr>
      <w:rFonts w:ascii="Arial" w:hAnsi="Arial"/>
      <w:color w:val="000000"/>
    </w:rPr>
  </w:style>
  <w:style w:type="paragraph" w:customStyle="1" w:styleId="341">
    <w:name w:val="索引 11"/>
    <w:basedOn w:val="1"/>
    <w:next w:val="1"/>
    <w:autoRedefine/>
    <w:qFormat/>
    <w:uiPriority w:val="99"/>
    <w:pPr>
      <w:spacing w:line="360" w:lineRule="auto"/>
    </w:pPr>
    <w:rPr>
      <w:rFonts w:ascii="仿宋_GB2312" w:eastAsia="仿宋_GB2312"/>
      <w:sz w:val="24"/>
      <w:szCs w:val="20"/>
    </w:rPr>
  </w:style>
  <w:style w:type="paragraph" w:customStyle="1" w:styleId="342">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343">
    <w:name w:val="Table Paragraph"/>
    <w:basedOn w:val="1"/>
    <w:autoRedefine/>
    <w:qFormat/>
    <w:uiPriority w:val="1"/>
    <w:pPr>
      <w:autoSpaceDE w:val="0"/>
      <w:autoSpaceDN w:val="0"/>
      <w:adjustRightInd w:val="0"/>
      <w:jc w:val="left"/>
    </w:pPr>
    <w:rPr>
      <w:rFonts w:ascii="Times" w:hAnsi="Times"/>
      <w:sz w:val="24"/>
    </w:rPr>
  </w:style>
  <w:style w:type="character" w:customStyle="1" w:styleId="344">
    <w:name w:val="font41"/>
    <w:basedOn w:val="54"/>
    <w:autoRedefine/>
    <w:qFormat/>
    <w:uiPriority w:val="0"/>
    <w:rPr>
      <w:rFonts w:hint="eastAsia" w:ascii="宋体" w:hAnsi="宋体" w:eastAsia="宋体" w:cs="宋体"/>
      <w:color w:val="000000"/>
      <w:sz w:val="22"/>
      <w:szCs w:val="22"/>
      <w:u w:val="none"/>
      <w:vertAlign w:val="superscript"/>
    </w:rPr>
  </w:style>
  <w:style w:type="character" w:customStyle="1" w:styleId="345">
    <w:name w:val="font101"/>
    <w:basedOn w:val="54"/>
    <w:autoRedefine/>
    <w:qFormat/>
    <w:uiPriority w:val="0"/>
    <w:rPr>
      <w:rFonts w:ascii="Symbol" w:hAnsi="Symbol" w:cs="Symbol"/>
      <w:color w:val="000000"/>
      <w:sz w:val="22"/>
      <w:szCs w:val="22"/>
      <w:u w:val="none"/>
    </w:rPr>
  </w:style>
  <w:style w:type="character" w:customStyle="1" w:styleId="346">
    <w:name w:val="font112"/>
    <w:basedOn w:val="54"/>
    <w:autoRedefine/>
    <w:qFormat/>
    <w:uiPriority w:val="0"/>
    <w:rPr>
      <w:rFonts w:hint="eastAsia" w:ascii="宋体" w:hAnsi="宋体" w:eastAsia="宋体" w:cs="宋体"/>
      <w:color w:val="000000"/>
      <w:sz w:val="21"/>
      <w:szCs w:val="21"/>
      <w:u w:val="none"/>
    </w:rPr>
  </w:style>
  <w:style w:type="paragraph" w:customStyle="1" w:styleId="347">
    <w:name w:val="List Paragraph1"/>
    <w:basedOn w:val="1"/>
    <w:autoRedefine/>
    <w:qFormat/>
    <w:uiPriority w:val="0"/>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jpeg"/><Relationship Id="rId97" Type="http://schemas.openxmlformats.org/officeDocument/2006/relationships/image" Target="media/image88.jpeg"/><Relationship Id="rId96" Type="http://schemas.openxmlformats.org/officeDocument/2006/relationships/image" Target="media/image87.jpeg"/><Relationship Id="rId95" Type="http://schemas.openxmlformats.org/officeDocument/2006/relationships/image" Target="media/image86.jpeg"/><Relationship Id="rId94" Type="http://schemas.openxmlformats.org/officeDocument/2006/relationships/image" Target="media/image85.jpeg"/><Relationship Id="rId93" Type="http://schemas.openxmlformats.org/officeDocument/2006/relationships/image" Target="media/image84.jpeg"/><Relationship Id="rId92" Type="http://schemas.openxmlformats.org/officeDocument/2006/relationships/image" Target="media/image83.jpeg"/><Relationship Id="rId91" Type="http://schemas.openxmlformats.org/officeDocument/2006/relationships/image" Target="media/image82.jpeg"/><Relationship Id="rId90" Type="http://schemas.openxmlformats.org/officeDocument/2006/relationships/image" Target="media/image81.jpeg"/><Relationship Id="rId9" Type="http://schemas.openxmlformats.org/officeDocument/2006/relationships/theme" Target="theme/theme1.xml"/><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0" Type="http://schemas.openxmlformats.org/officeDocument/2006/relationships/fontTable" Target="fontTable.xml"/><Relationship Id="rId12" Type="http://schemas.openxmlformats.org/officeDocument/2006/relationships/image" Target="media/image3.png"/><Relationship Id="rId119" Type="http://schemas.openxmlformats.org/officeDocument/2006/relationships/numbering" Target="numbering.xml"/><Relationship Id="rId118" Type="http://schemas.openxmlformats.org/officeDocument/2006/relationships/customXml" Target="../customXml/item1.xml"/><Relationship Id="rId117" Type="http://schemas.openxmlformats.org/officeDocument/2006/relationships/image" Target="media/image108.png"/><Relationship Id="rId116" Type="http://schemas.openxmlformats.org/officeDocument/2006/relationships/image" Target="media/image107.jpe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jpeg"/><Relationship Id="rId103" Type="http://schemas.openxmlformats.org/officeDocument/2006/relationships/image" Target="media/image94.jpeg"/><Relationship Id="rId102" Type="http://schemas.openxmlformats.org/officeDocument/2006/relationships/image" Target="media/image93.jpeg"/><Relationship Id="rId101" Type="http://schemas.openxmlformats.org/officeDocument/2006/relationships/image" Target="media/image92.jpeg"/><Relationship Id="rId100" Type="http://schemas.openxmlformats.org/officeDocument/2006/relationships/image" Target="media/image91.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中国远东国际贸易总公司</Company>
  <Pages>213</Pages>
  <Words>6884</Words>
  <Characters>7662</Characters>
  <Lines>322</Lines>
  <Paragraphs>90</Paragraphs>
  <TotalTime>6</TotalTime>
  <ScaleCrop>false</ScaleCrop>
  <LinksUpToDate>false</LinksUpToDate>
  <CharactersWithSpaces>7947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2020-10-13T06:50:00Z</dcterms:created>
  <dc:creator>zyq</dc:creator>
  <cp:lastModifiedBy>历程</cp:lastModifiedBy>
  <cp:lastPrinted>2021-03-22T07:00:00Z</cp:lastPrinted>
  <dcterms:modified xsi:type="dcterms:W3CDTF">2025-01-26T06:38:41Z</dcterms:modified>
  <dc:title>招标文件目录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BC1BA64C697642BF92F420CC9F67FF35</vt:lpwstr>
  </property>
  <property fmtid="{D5CDD505-2E9C-101B-9397-08002B2CF9AE}" pid="4" name="KSOTemplateDocerSaveRecord">
    <vt:lpwstr>eyJoZGlkIjoiOWNmNGMwYWVmN2Y4MGJhODAzN2I1ZTQ0MGE3NWFjNjEiLCJ1c2VySWQiOiIxNTUyNTMyNzYyIn0=</vt:lpwstr>
  </property>
</Properties>
</file>