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79B574">
      <w:pPr>
        <w:rPr>
          <w:rFonts w:hint="eastAsia" w:ascii="宋体" w:hAnsi="宋体" w:eastAsia="宋体" w:cs="宋体"/>
          <w:b/>
          <w:bCs/>
          <w:color w:val="auto"/>
          <w:spacing w:val="120"/>
          <w:sz w:val="52"/>
          <w:szCs w:val="52"/>
          <w:highlight w:val="none"/>
        </w:rPr>
      </w:pPr>
    </w:p>
    <w:p w14:paraId="0F7994E1">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C337477">
      <w:pPr>
        <w:jc w:val="center"/>
        <w:rPr>
          <w:rFonts w:hint="eastAsia" w:ascii="宋体" w:hAnsi="宋体" w:eastAsia="宋体" w:cs="宋体"/>
          <w:b/>
          <w:bCs/>
          <w:color w:val="auto"/>
          <w:spacing w:val="26"/>
          <w:sz w:val="52"/>
          <w:highlight w:val="none"/>
        </w:rPr>
      </w:pPr>
    </w:p>
    <w:p w14:paraId="0EB1B2BF">
      <w:pPr>
        <w:ind w:firstLine="2357" w:firstLineChars="235"/>
        <w:rPr>
          <w:rFonts w:hint="eastAsia" w:ascii="宋体" w:hAnsi="宋体" w:eastAsia="宋体" w:cs="宋体"/>
          <w:b/>
          <w:bCs/>
          <w:color w:val="auto"/>
          <w:spacing w:val="140"/>
          <w:sz w:val="72"/>
          <w:highlight w:val="none"/>
        </w:rPr>
      </w:pPr>
    </w:p>
    <w:p w14:paraId="5A10740A">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7A58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B731995">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14:paraId="12F5B4EA">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WZLCZB（Z）-2024-10471</w:t>
            </w:r>
          </w:p>
        </w:tc>
      </w:tr>
      <w:tr w14:paraId="6C59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B945083">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14:paraId="55E2580B">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2025年交通违法(事故)车辆司法鉴定服务项目</w:t>
            </w:r>
          </w:p>
        </w:tc>
      </w:tr>
      <w:tr w14:paraId="2259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0582C8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14:paraId="48A68FE8">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29E8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EA7EE38">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14:paraId="0D51ADE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4F1B2109">
      <w:pPr>
        <w:spacing w:line="700" w:lineRule="exact"/>
        <w:ind w:firstLine="723" w:firstLineChars="300"/>
        <w:jc w:val="left"/>
        <w:rPr>
          <w:rFonts w:hint="eastAsia" w:ascii="宋体" w:hAnsi="宋体" w:eastAsia="宋体" w:cs="宋体"/>
          <w:b/>
          <w:bCs/>
          <w:color w:val="auto"/>
          <w:sz w:val="24"/>
          <w:highlight w:val="none"/>
        </w:rPr>
      </w:pPr>
    </w:p>
    <w:p w14:paraId="40977836">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55251FB2">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6B1E30D4">
      <w:pPr>
        <w:keepNext/>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02A294CF">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温州市公安局交通管理局</w:t>
      </w:r>
    </w:p>
    <w:p w14:paraId="4FEE95DC">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7FA3038E">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四</w:t>
      </w:r>
      <w:r>
        <w:rPr>
          <w:rFonts w:hint="eastAsia" w:ascii="宋体" w:hAnsi="宋体" w:eastAsia="宋体" w:cs="宋体"/>
          <w:color w:val="auto"/>
          <w:spacing w:val="30"/>
          <w:sz w:val="30"/>
          <w:highlight w:val="none"/>
        </w:rPr>
        <w:t>年</w:t>
      </w:r>
    </w:p>
    <w:p w14:paraId="4B8221CC">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57C083A3">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31464B98">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C325BA1">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_Toc30890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r>
            <w:rPr>
              <w:color w:val="auto"/>
              <w:highlight w:val="none"/>
            </w:rPr>
            <w:tab/>
          </w:r>
          <w:r>
            <w:rPr>
              <w:color w:val="auto"/>
              <w:highlight w:val="none"/>
            </w:rPr>
            <w:fldChar w:fldCharType="begin"/>
          </w:r>
          <w:r>
            <w:rPr>
              <w:color w:val="auto"/>
              <w:highlight w:val="none"/>
            </w:rPr>
            <w:instrText xml:space="preserve"> PAGEREF _Toc30890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40"/>
              <w:highlight w:val="none"/>
            </w:rPr>
            <w:fldChar w:fldCharType="end"/>
          </w:r>
        </w:p>
        <w:p w14:paraId="750A7830">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_Toc7125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_Toc7125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40"/>
              <w:highlight w:val="none"/>
            </w:rPr>
            <w:fldChar w:fldCharType="end"/>
          </w:r>
        </w:p>
        <w:p w14:paraId="446A50F1">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_Toc3119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highlight w:val="none"/>
            </w:rPr>
            <w:t>前 附 表</w:t>
          </w:r>
          <w:r>
            <w:rPr>
              <w:color w:val="auto"/>
              <w:highlight w:val="none"/>
            </w:rPr>
            <w:tab/>
          </w:r>
          <w:r>
            <w:rPr>
              <w:color w:val="auto"/>
              <w:highlight w:val="none"/>
            </w:rPr>
            <w:fldChar w:fldCharType="begin"/>
          </w:r>
          <w:r>
            <w:rPr>
              <w:color w:val="auto"/>
              <w:highlight w:val="none"/>
            </w:rPr>
            <w:instrText xml:space="preserve"> PAGEREF _Toc3119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40"/>
              <w:highlight w:val="none"/>
            </w:rPr>
            <w:fldChar w:fldCharType="end"/>
          </w:r>
        </w:p>
        <w:p w14:paraId="10F6E99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_Toc20284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一、 说   明</w:t>
          </w:r>
          <w:r>
            <w:rPr>
              <w:color w:val="auto"/>
              <w:highlight w:val="none"/>
            </w:rPr>
            <w:tab/>
          </w:r>
          <w:r>
            <w:rPr>
              <w:color w:val="auto"/>
              <w:highlight w:val="none"/>
            </w:rPr>
            <w:fldChar w:fldCharType="begin"/>
          </w:r>
          <w:r>
            <w:rPr>
              <w:color w:val="auto"/>
              <w:highlight w:val="none"/>
            </w:rPr>
            <w:instrText xml:space="preserve"> PAGEREF _Toc20284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40"/>
              <w:highlight w:val="none"/>
            </w:rPr>
            <w:fldChar w:fldCharType="end"/>
          </w:r>
        </w:p>
        <w:p w14:paraId="121811D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_Toc9401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二、 招标文件</w:t>
          </w:r>
          <w:r>
            <w:rPr>
              <w:color w:val="auto"/>
              <w:highlight w:val="none"/>
            </w:rPr>
            <w:tab/>
          </w:r>
          <w:r>
            <w:rPr>
              <w:color w:val="auto"/>
              <w:highlight w:val="none"/>
            </w:rPr>
            <w:fldChar w:fldCharType="begin"/>
          </w:r>
          <w:r>
            <w:rPr>
              <w:color w:val="auto"/>
              <w:highlight w:val="none"/>
            </w:rPr>
            <w:instrText xml:space="preserve"> PAGEREF _Toc9401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40"/>
              <w:highlight w:val="none"/>
            </w:rPr>
            <w:fldChar w:fldCharType="end"/>
          </w:r>
        </w:p>
        <w:p w14:paraId="73E67870">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_Toc30603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_Toc30603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40"/>
              <w:highlight w:val="none"/>
            </w:rPr>
            <w:fldChar w:fldCharType="end"/>
          </w:r>
        </w:p>
        <w:p w14:paraId="5DC05928">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_Toc14247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_Toc14247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40"/>
              <w:highlight w:val="none"/>
            </w:rPr>
            <w:fldChar w:fldCharType="end"/>
          </w:r>
        </w:p>
        <w:p w14:paraId="1E9AC78E">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_Toc30285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五、 开标和评标</w:t>
          </w:r>
          <w:r>
            <w:rPr>
              <w:color w:val="auto"/>
              <w:highlight w:val="none"/>
            </w:rPr>
            <w:tab/>
          </w:r>
          <w:r>
            <w:rPr>
              <w:color w:val="auto"/>
              <w:highlight w:val="none"/>
            </w:rPr>
            <w:fldChar w:fldCharType="begin"/>
          </w:r>
          <w:r>
            <w:rPr>
              <w:color w:val="auto"/>
              <w:highlight w:val="none"/>
            </w:rPr>
            <w:instrText xml:space="preserve"> PAGEREF _Toc30285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40"/>
              <w:highlight w:val="none"/>
            </w:rPr>
            <w:fldChar w:fldCharType="end"/>
          </w:r>
        </w:p>
        <w:p w14:paraId="5AAD24DF">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_Toc864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_Toc864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40"/>
              <w:highlight w:val="none"/>
            </w:rPr>
            <w:fldChar w:fldCharType="end"/>
          </w:r>
        </w:p>
        <w:p w14:paraId="298508C5">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_Toc28484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_Toc28484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40"/>
              <w:highlight w:val="none"/>
            </w:rPr>
            <w:fldChar w:fldCharType="end"/>
          </w:r>
        </w:p>
        <w:p w14:paraId="1E2588A5">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_Toc26541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第三部分    附件</w:t>
          </w:r>
          <w:r>
            <w:rPr>
              <w:color w:val="auto"/>
              <w:highlight w:val="none"/>
            </w:rPr>
            <w:tab/>
          </w:r>
          <w:r>
            <w:rPr>
              <w:color w:val="auto"/>
              <w:highlight w:val="none"/>
            </w:rPr>
            <w:fldChar w:fldCharType="begin"/>
          </w:r>
          <w:r>
            <w:rPr>
              <w:color w:val="auto"/>
              <w:highlight w:val="none"/>
            </w:rPr>
            <w:instrText xml:space="preserve"> PAGEREF _Toc26541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40"/>
              <w:highlight w:val="none"/>
            </w:rPr>
            <w:fldChar w:fldCharType="end"/>
          </w:r>
        </w:p>
        <w:p w14:paraId="02375F20">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_Toc10726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_Toc10726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40"/>
              <w:highlight w:val="none"/>
            </w:rPr>
            <w:fldChar w:fldCharType="end"/>
          </w:r>
        </w:p>
        <w:p w14:paraId="740CBDE9">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_Toc465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8"/>
              <w:highlight w:val="none"/>
            </w:rPr>
            <w:t>报价文件</w:t>
          </w:r>
          <w:r>
            <w:rPr>
              <w:color w:val="auto"/>
              <w:highlight w:val="none"/>
            </w:rPr>
            <w:tab/>
          </w:r>
          <w:r>
            <w:rPr>
              <w:color w:val="auto"/>
              <w:highlight w:val="none"/>
            </w:rPr>
            <w:fldChar w:fldCharType="begin"/>
          </w:r>
          <w:r>
            <w:rPr>
              <w:color w:val="auto"/>
              <w:highlight w:val="none"/>
            </w:rPr>
            <w:instrText xml:space="preserve"> PAGEREF _Toc465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40"/>
              <w:highlight w:val="none"/>
            </w:rPr>
            <w:fldChar w:fldCharType="end"/>
          </w:r>
        </w:p>
        <w:p w14:paraId="6DB79FBD">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_Toc31614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附件二</w:t>
          </w:r>
          <w:r>
            <w:rPr>
              <w:color w:val="auto"/>
              <w:highlight w:val="none"/>
            </w:rPr>
            <w:tab/>
          </w:r>
          <w:r>
            <w:rPr>
              <w:color w:val="auto"/>
              <w:highlight w:val="none"/>
            </w:rPr>
            <w:fldChar w:fldCharType="begin"/>
          </w:r>
          <w:r>
            <w:rPr>
              <w:color w:val="auto"/>
              <w:highlight w:val="none"/>
            </w:rPr>
            <w:instrText xml:space="preserve"> PAGEREF _Toc31614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40"/>
              <w:highlight w:val="none"/>
            </w:rPr>
            <w:fldChar w:fldCharType="end"/>
          </w:r>
        </w:p>
        <w:p w14:paraId="7696E19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_Toc12953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32"/>
              <w:highlight w:val="none"/>
            </w:rPr>
            <w:t>资格证明文件</w:t>
          </w:r>
          <w:r>
            <w:rPr>
              <w:color w:val="auto"/>
              <w:highlight w:val="none"/>
            </w:rPr>
            <w:tab/>
          </w:r>
          <w:r>
            <w:rPr>
              <w:color w:val="auto"/>
              <w:highlight w:val="none"/>
            </w:rPr>
            <w:fldChar w:fldCharType="begin"/>
          </w:r>
          <w:r>
            <w:rPr>
              <w:color w:val="auto"/>
              <w:highlight w:val="none"/>
            </w:rPr>
            <w:instrText xml:space="preserve"> PAGEREF _Toc12953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40"/>
              <w:highlight w:val="none"/>
            </w:rPr>
            <w:fldChar w:fldCharType="end"/>
          </w:r>
        </w:p>
        <w:p w14:paraId="7934E96C">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_Toc26514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附件三</w:t>
          </w:r>
          <w:r>
            <w:rPr>
              <w:color w:val="auto"/>
              <w:highlight w:val="none"/>
            </w:rPr>
            <w:tab/>
          </w:r>
          <w:r>
            <w:rPr>
              <w:color w:val="auto"/>
              <w:highlight w:val="none"/>
            </w:rPr>
            <w:fldChar w:fldCharType="begin"/>
          </w:r>
          <w:r>
            <w:rPr>
              <w:color w:val="auto"/>
              <w:highlight w:val="none"/>
            </w:rPr>
            <w:instrText xml:space="preserve"> PAGEREF _Toc26514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40"/>
              <w:highlight w:val="none"/>
            </w:rPr>
            <w:fldChar w:fldCharType="end"/>
          </w:r>
        </w:p>
        <w:p w14:paraId="331265C8">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_Toc9657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8"/>
              <w:highlight w:val="none"/>
              <w:lang w:val="zh-CN"/>
            </w:rPr>
            <w:t>商务技术文件</w:t>
          </w:r>
          <w:r>
            <w:rPr>
              <w:color w:val="auto"/>
              <w:highlight w:val="none"/>
            </w:rPr>
            <w:tab/>
          </w:r>
          <w:r>
            <w:rPr>
              <w:color w:val="auto"/>
              <w:highlight w:val="none"/>
            </w:rPr>
            <w:fldChar w:fldCharType="begin"/>
          </w:r>
          <w:r>
            <w:rPr>
              <w:color w:val="auto"/>
              <w:highlight w:val="none"/>
            </w:rPr>
            <w:instrText xml:space="preserve"> PAGEREF _Toc9657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40"/>
              <w:highlight w:val="none"/>
            </w:rPr>
            <w:fldChar w:fldCharType="end"/>
          </w:r>
        </w:p>
        <w:p w14:paraId="45BC9211">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_Toc20543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kern w:val="2"/>
              <w:szCs w:val="20"/>
              <w:highlight w:val="none"/>
              <w:lang w:val="en-US" w:eastAsia="zh-CN" w:bidi="ar-SA"/>
            </w:rPr>
            <w:t>第四部分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项目技术规范和服务要求</w:t>
          </w:r>
          <w:r>
            <w:rPr>
              <w:color w:val="auto"/>
              <w:highlight w:val="none"/>
            </w:rPr>
            <w:tab/>
          </w:r>
          <w:r>
            <w:rPr>
              <w:color w:val="auto"/>
              <w:highlight w:val="none"/>
            </w:rPr>
            <w:fldChar w:fldCharType="begin"/>
          </w:r>
          <w:r>
            <w:rPr>
              <w:color w:val="auto"/>
              <w:highlight w:val="none"/>
            </w:rPr>
            <w:instrText xml:space="preserve"> PAGEREF _Toc20543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40"/>
              <w:highlight w:val="none"/>
            </w:rPr>
            <w:fldChar w:fldCharType="end"/>
          </w:r>
        </w:p>
        <w:p w14:paraId="38B9426C">
          <w:pPr>
            <w:pStyle w:val="3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_Toc27946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_Toc27946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4AE3DAD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_Toc7847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一、总 则</w:t>
          </w:r>
          <w:r>
            <w:rPr>
              <w:color w:val="auto"/>
              <w:highlight w:val="none"/>
            </w:rPr>
            <w:tab/>
          </w:r>
          <w:r>
            <w:rPr>
              <w:color w:val="auto"/>
              <w:highlight w:val="none"/>
            </w:rPr>
            <w:fldChar w:fldCharType="begin"/>
          </w:r>
          <w:r>
            <w:rPr>
              <w:color w:val="auto"/>
              <w:highlight w:val="none"/>
            </w:rPr>
            <w:instrText xml:space="preserve"> PAGEREF _Toc7847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35B49C4E">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_Toc6248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二、评标组织</w:t>
          </w:r>
          <w:r>
            <w:rPr>
              <w:color w:val="auto"/>
              <w:highlight w:val="none"/>
            </w:rPr>
            <w:tab/>
          </w:r>
          <w:r>
            <w:rPr>
              <w:color w:val="auto"/>
              <w:highlight w:val="none"/>
            </w:rPr>
            <w:fldChar w:fldCharType="begin"/>
          </w:r>
          <w:r>
            <w:rPr>
              <w:color w:val="auto"/>
              <w:highlight w:val="none"/>
            </w:rPr>
            <w:instrText xml:space="preserve"> PAGEREF _Toc6248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0634C13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_Toc19369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三、评标程序</w:t>
          </w:r>
          <w:r>
            <w:rPr>
              <w:color w:val="auto"/>
              <w:highlight w:val="none"/>
            </w:rPr>
            <w:tab/>
          </w:r>
          <w:r>
            <w:rPr>
              <w:color w:val="auto"/>
              <w:highlight w:val="none"/>
            </w:rPr>
            <w:fldChar w:fldCharType="begin"/>
          </w:r>
          <w:r>
            <w:rPr>
              <w:color w:val="auto"/>
              <w:highlight w:val="none"/>
            </w:rPr>
            <w:instrText xml:space="preserve"> PAGEREF _Toc19369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40AA5469">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_Toc11975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四、评标办法</w:t>
          </w:r>
          <w:r>
            <w:rPr>
              <w:color w:val="auto"/>
              <w:highlight w:val="none"/>
            </w:rPr>
            <w:tab/>
          </w:r>
          <w:r>
            <w:rPr>
              <w:color w:val="auto"/>
              <w:highlight w:val="none"/>
            </w:rPr>
            <w:fldChar w:fldCharType="begin"/>
          </w:r>
          <w:r>
            <w:rPr>
              <w:color w:val="auto"/>
              <w:highlight w:val="none"/>
            </w:rPr>
            <w:instrText xml:space="preserve"> PAGEREF _Toc11975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5577FCF6">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_Toc13176 </w:instrText>
          </w:r>
          <w:r>
            <w:rPr>
              <w:rFonts w:hint="eastAsia" w:ascii="宋体" w:hAnsi="宋体" w:eastAsia="宋体" w:cs="宋体"/>
              <w:color w:val="auto"/>
              <w:szCs w:val="40"/>
              <w:highlight w:val="none"/>
            </w:rPr>
            <w:fldChar w:fldCharType="separate"/>
          </w:r>
          <w:r>
            <w:rPr>
              <w:rFonts w:hint="default" w:ascii="Times New Roman" w:hAnsi="Times New Roman" w:eastAsia="宋体" w:cs="Times New Roman"/>
              <w:color w:val="auto"/>
              <w:szCs w:val="22"/>
              <w:highlight w:val="none"/>
              <w:lang w:eastAsia="zh-CN"/>
            </w:rPr>
            <w:t>五、</w:t>
          </w:r>
          <w:r>
            <w:rPr>
              <w:rFonts w:hint="default" w:ascii="Times New Roman" w:hAnsi="Times New Roman" w:eastAsia="宋体" w:cs="Times New Roman"/>
              <w:color w:val="auto"/>
              <w:szCs w:val="22"/>
              <w:highlight w:val="none"/>
            </w:rPr>
            <w:t>评分细则</w:t>
          </w:r>
          <w:r>
            <w:rPr>
              <w:color w:val="auto"/>
              <w:highlight w:val="none"/>
            </w:rPr>
            <w:tab/>
          </w:r>
          <w:r>
            <w:rPr>
              <w:color w:val="auto"/>
              <w:highlight w:val="none"/>
            </w:rPr>
            <w:fldChar w:fldCharType="begin"/>
          </w:r>
          <w:r>
            <w:rPr>
              <w:color w:val="auto"/>
              <w:highlight w:val="none"/>
            </w:rPr>
            <w:instrText xml:space="preserve"> PAGEREF _Toc13176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69E44187">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_Toc27954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六、定标办法</w:t>
          </w:r>
          <w:r>
            <w:rPr>
              <w:color w:val="auto"/>
              <w:highlight w:val="none"/>
            </w:rPr>
            <w:tab/>
          </w:r>
          <w:r>
            <w:rPr>
              <w:color w:val="auto"/>
              <w:highlight w:val="none"/>
            </w:rPr>
            <w:fldChar w:fldCharType="begin"/>
          </w:r>
          <w:r>
            <w:rPr>
              <w:color w:val="auto"/>
              <w:highlight w:val="none"/>
            </w:rPr>
            <w:instrText xml:space="preserve"> PAGEREF _Toc27954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40"/>
              <w:highlight w:val="none"/>
            </w:rPr>
            <w:fldChar w:fldCharType="end"/>
          </w:r>
        </w:p>
        <w:p w14:paraId="3084A31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_Toc13007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七、投标人义务</w:t>
          </w:r>
          <w:r>
            <w:rPr>
              <w:color w:val="auto"/>
              <w:highlight w:val="none"/>
            </w:rPr>
            <w:tab/>
          </w:r>
          <w:r>
            <w:rPr>
              <w:color w:val="auto"/>
              <w:highlight w:val="none"/>
            </w:rPr>
            <w:fldChar w:fldCharType="begin"/>
          </w:r>
          <w:r>
            <w:rPr>
              <w:color w:val="auto"/>
              <w:highlight w:val="none"/>
            </w:rPr>
            <w:instrText xml:space="preserve"> PAGEREF _Toc13007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40"/>
              <w:highlight w:val="none"/>
            </w:rPr>
            <w:fldChar w:fldCharType="end"/>
          </w:r>
        </w:p>
        <w:p w14:paraId="59A1EB73">
          <w:pPr>
            <w:spacing w:line="360" w:lineRule="auto"/>
            <w:ind w:firstLine="1785" w:firstLineChars="850"/>
            <w:rPr>
              <w:rFonts w:hint="eastAsia" w:ascii="宋体" w:hAnsi="宋体" w:eastAsia="宋体" w:cs="宋体"/>
              <w:b/>
              <w:color w:val="auto"/>
              <w:sz w:val="22"/>
              <w:szCs w:val="22"/>
              <w:highlight w:val="none"/>
            </w:rPr>
          </w:pPr>
          <w:r>
            <w:rPr>
              <w:rFonts w:hint="eastAsia" w:ascii="宋体" w:hAnsi="宋体" w:eastAsia="宋体" w:cs="宋体"/>
              <w:color w:val="auto"/>
              <w:szCs w:val="40"/>
              <w:highlight w:val="none"/>
            </w:rPr>
            <w:fldChar w:fldCharType="end"/>
          </w:r>
        </w:p>
      </w:sdtContent>
    </w:sdt>
    <w:p w14:paraId="61699403">
      <w:pPr>
        <w:rPr>
          <w:rFonts w:hint="eastAsia" w:ascii="宋体" w:hAnsi="宋体" w:eastAsia="宋体" w:cs="宋体"/>
          <w:color w:val="auto"/>
          <w:highlight w:val="none"/>
        </w:rPr>
      </w:pPr>
      <w:bookmarkStart w:id="0" w:name="_Toc30890"/>
      <w:bookmarkStart w:id="1" w:name="_Toc32649"/>
      <w:r>
        <w:rPr>
          <w:rFonts w:hint="eastAsia" w:ascii="宋体" w:hAnsi="宋体" w:eastAsia="宋体" w:cs="宋体"/>
          <w:color w:val="auto"/>
          <w:highlight w:val="none"/>
        </w:rPr>
        <w:br w:type="page"/>
      </w:r>
    </w:p>
    <w:p w14:paraId="789E4846">
      <w:pPr>
        <w:pStyle w:val="4"/>
        <w:bidi w:val="0"/>
        <w:rPr>
          <w:rFonts w:hint="eastAsia" w:ascii="宋体" w:hAnsi="宋体" w:eastAsia="宋体" w:cs="宋体"/>
          <w:b/>
          <w:color w:val="auto"/>
          <w:highlight w:val="none"/>
        </w:rPr>
      </w:pPr>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60005136">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2336"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233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654090A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2025年交通违法(事故)车辆司法鉴定服务项目</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22</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14:paraId="79B70E8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14:paraId="2FC4DDA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3600551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WZLCZB（Z）-2024-10471</w:t>
      </w:r>
      <w:r>
        <w:rPr>
          <w:rFonts w:hint="eastAsia"/>
          <w:color w:val="auto"/>
          <w:sz w:val="22"/>
          <w:szCs w:val="22"/>
          <w:highlight w:val="none"/>
          <w:u w:val="none"/>
          <w:lang w:val="en-US" w:eastAsia="zh-CN"/>
        </w:rPr>
        <w:t> </w:t>
      </w:r>
    </w:p>
    <w:p w14:paraId="0ECC962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2025年交通违法(事故)车辆司法鉴定服务项目</w:t>
      </w:r>
    </w:p>
    <w:p w14:paraId="3CC1DE4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预算金额（元）：1850000  </w:t>
      </w:r>
    </w:p>
    <w:p w14:paraId="69DD517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 </w:t>
      </w:r>
    </w:p>
    <w:p w14:paraId="71302ED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671B46C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2025年交通违法(事故)车辆司法鉴定服务项目</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数量:1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预算金额（元）:1850000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14:paraId="48121B8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5AB2557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本项目（是）接受联合体投标。</w:t>
      </w:r>
    </w:p>
    <w:p w14:paraId="4B90545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FE2D35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46AED52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w:t>
      </w:r>
      <w:r>
        <w:rPr>
          <w:rFonts w:hint="eastAsia" w:ascii="新宋体" w:hAnsi="新宋体" w:eastAsia="新宋体" w:cs="新宋体"/>
          <w:color w:val="auto"/>
          <w:sz w:val="22"/>
          <w:szCs w:val="28"/>
          <w:highlight w:val="none"/>
        </w:rPr>
        <w:t>预留份额专门面向中小企业采购</w:t>
      </w:r>
      <w:r>
        <w:rPr>
          <w:rFonts w:hint="eastAsia"/>
          <w:color w:val="auto"/>
          <w:sz w:val="22"/>
          <w:szCs w:val="22"/>
          <w:highlight w:val="none"/>
          <w:u w:val="none"/>
          <w:lang w:val="en-US" w:eastAsia="zh-CN"/>
        </w:rPr>
        <w:t> </w:t>
      </w:r>
    </w:p>
    <w:p w14:paraId="4FC5225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新宋体"/>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w:t>
      </w:r>
      <w:r>
        <w:rPr>
          <w:rFonts w:hint="default" w:ascii="Times New Roman" w:hAnsi="Times New Roman" w:eastAsia="新宋体" w:cs="Times New Roman"/>
          <w:color w:val="auto"/>
          <w:sz w:val="22"/>
          <w:szCs w:val="22"/>
          <w:highlight w:val="none"/>
        </w:rPr>
        <w:t>标项1：具有司法行政部门批准许可的司法鉴定资质及车辆技术鉴定资质（或入选浙江法院对外委托机构信息平台的交通运输设备鉴定资质），鉴定业务范围包含痕迹鉴定、车辆技术鉴定</w:t>
      </w:r>
      <w:r>
        <w:rPr>
          <w:rFonts w:hint="eastAsia" w:ascii="Times New Roman" w:hAnsi="Times New Roman" w:eastAsia="新宋体" w:cs="Times New Roman"/>
          <w:color w:val="auto"/>
          <w:sz w:val="22"/>
          <w:szCs w:val="22"/>
          <w:highlight w:val="none"/>
          <w:lang w:eastAsia="zh-CN"/>
        </w:rPr>
        <w:t>。</w:t>
      </w:r>
    </w:p>
    <w:p w14:paraId="77EE87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54B5F27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2024年11月1日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11</w:t>
      </w:r>
      <w:r>
        <w:rPr>
          <w:rFonts w:hint="eastAsia"/>
          <w:color w:val="auto"/>
          <w:sz w:val="22"/>
          <w:szCs w:val="22"/>
          <w:highlight w:val="none"/>
          <w:u w:val="none"/>
        </w:rPr>
        <w:t>月</w:t>
      </w:r>
      <w:r>
        <w:rPr>
          <w:rFonts w:hint="eastAsia"/>
          <w:color w:val="auto"/>
          <w:sz w:val="22"/>
          <w:szCs w:val="22"/>
          <w:highlight w:val="none"/>
          <w:u w:val="none"/>
          <w:lang w:val="en-US" w:eastAsia="zh-CN"/>
        </w:rPr>
        <w:t>22</w:t>
      </w:r>
      <w:r>
        <w:rPr>
          <w:rFonts w:hint="eastAsia"/>
          <w:color w:val="auto"/>
          <w:sz w:val="22"/>
          <w:szCs w:val="22"/>
          <w:highlight w:val="none"/>
          <w:u w:val="none"/>
        </w:rPr>
        <w:t>日，每天上午00:00至12:00，下午12:00至23:59（北京时间，线上获取法定节假日均可，线下获取文件法定节假日除外）</w:t>
      </w:r>
    </w:p>
    <w:p w14:paraId="7FEF72C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7AA2D8E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3D41F73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432F6DD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6D6440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22</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color w:val="auto"/>
          <w:sz w:val="22"/>
          <w:szCs w:val="22"/>
          <w:highlight w:val="none"/>
          <w:u w:val="none"/>
        </w:rPr>
        <w:t>（北京时间）</w:t>
      </w:r>
    </w:p>
    <w:p w14:paraId="63E0E55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574A244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22</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bookmarkStart w:id="105" w:name="_GoBack"/>
      <w:bookmarkEnd w:id="105"/>
      <w:r>
        <w:rPr>
          <w:rFonts w:hint="eastAsia"/>
          <w:color w:val="auto"/>
          <w:sz w:val="22"/>
          <w:szCs w:val="22"/>
          <w:highlight w:val="none"/>
          <w:u w:val="none"/>
        </w:rPr>
        <w:t> </w:t>
      </w:r>
    </w:p>
    <w:p w14:paraId="00E629D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18B58A4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3DD9184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0A5C572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5646C85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C231B2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60913EF">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318F14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3FC9A6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33D31FA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名</w:t>
      </w:r>
      <w:r>
        <w:rPr>
          <w:rFonts w:hint="eastAsia" w:eastAsia="新宋体" w:cs="Times New Roman"/>
          <w:color w:val="auto"/>
          <w:sz w:val="22"/>
          <w:szCs w:val="22"/>
          <w:highlight w:val="none"/>
          <w:lang w:val="en-US" w:eastAsia="zh-CN"/>
        </w:rPr>
        <w:t xml:space="preserve">  </w:t>
      </w:r>
      <w:r>
        <w:rPr>
          <w:rFonts w:hint="default" w:ascii="Times New Roman" w:hAnsi="Times New Roman" w:eastAsia="新宋体" w:cs="Times New Roman"/>
          <w:color w:val="auto"/>
          <w:sz w:val="22"/>
          <w:szCs w:val="22"/>
          <w:highlight w:val="none"/>
        </w:rPr>
        <w:t>称：温州市公安局交通管理局 </w:t>
      </w:r>
    </w:p>
    <w:p w14:paraId="3EF80DF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w:t>
      </w:r>
      <w:r>
        <w:rPr>
          <w:rFonts w:hint="eastAsia" w:eastAsia="新宋体" w:cs="Times New Roman"/>
          <w:color w:val="auto"/>
          <w:sz w:val="22"/>
          <w:szCs w:val="22"/>
          <w:highlight w:val="none"/>
          <w:lang w:val="en-US" w:eastAsia="zh-CN"/>
        </w:rPr>
        <w:t xml:space="preserve">  </w:t>
      </w:r>
      <w:r>
        <w:rPr>
          <w:rFonts w:hint="default" w:ascii="Times New Roman" w:hAnsi="Times New Roman" w:eastAsia="新宋体" w:cs="Times New Roman"/>
          <w:color w:val="auto"/>
          <w:sz w:val="22"/>
          <w:szCs w:val="22"/>
          <w:highlight w:val="none"/>
        </w:rPr>
        <w:t>址：温州市鹿城区金桥路1号 </w:t>
      </w:r>
    </w:p>
    <w:p w14:paraId="510FFF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w:t>
      </w:r>
      <w:r>
        <w:rPr>
          <w:rFonts w:hint="eastAsia" w:eastAsia="新宋体" w:cs="Times New Roman"/>
          <w:color w:val="auto"/>
          <w:sz w:val="22"/>
          <w:szCs w:val="22"/>
          <w:highlight w:val="none"/>
          <w:lang w:val="en-US" w:eastAsia="zh-CN"/>
        </w:rPr>
        <w:t xml:space="preserve">  </w:t>
      </w:r>
      <w:r>
        <w:rPr>
          <w:rFonts w:hint="default" w:ascii="Times New Roman" w:hAnsi="Times New Roman" w:eastAsia="新宋体" w:cs="Times New Roman"/>
          <w:color w:val="auto"/>
          <w:sz w:val="22"/>
          <w:szCs w:val="22"/>
          <w:highlight w:val="none"/>
        </w:rPr>
        <w:t>真： </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rPr>
        <w:t> </w:t>
      </w:r>
    </w:p>
    <w:p w14:paraId="3620409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项目联系人（询问）：邵先生  </w:t>
      </w:r>
    </w:p>
    <w:p w14:paraId="43ABF2F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项目联系方式（询问）：</w:t>
      </w:r>
      <w:r>
        <w:rPr>
          <w:rFonts w:hint="eastAsia" w:eastAsia="新宋体" w:cs="Times New Roman"/>
          <w:color w:val="auto"/>
          <w:sz w:val="22"/>
          <w:szCs w:val="22"/>
          <w:highlight w:val="none"/>
          <w:lang w:val="en-US" w:eastAsia="zh-CN"/>
        </w:rPr>
        <w:t>0577-</w:t>
      </w:r>
      <w:r>
        <w:rPr>
          <w:rFonts w:hint="default" w:ascii="Times New Roman" w:hAnsi="Times New Roman" w:eastAsia="新宋体" w:cs="Times New Roman"/>
          <w:color w:val="auto"/>
          <w:sz w:val="22"/>
          <w:szCs w:val="22"/>
          <w:highlight w:val="none"/>
        </w:rPr>
        <w:t>88300268 </w:t>
      </w:r>
    </w:p>
    <w:p w14:paraId="0EA842B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质疑联系人：邵先生</w:t>
      </w:r>
    </w:p>
    <w:p w14:paraId="5DA9EBD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default" w:ascii="Times New Roman" w:hAnsi="Times New Roman" w:eastAsia="新宋体" w:cs="Times New Roman"/>
          <w:color w:val="auto"/>
          <w:sz w:val="22"/>
          <w:szCs w:val="22"/>
          <w:highlight w:val="none"/>
        </w:rPr>
        <w:t>质疑联系方式：</w:t>
      </w:r>
      <w:r>
        <w:rPr>
          <w:rFonts w:hint="eastAsia" w:eastAsia="新宋体" w:cs="Times New Roman"/>
          <w:color w:val="auto"/>
          <w:sz w:val="22"/>
          <w:szCs w:val="22"/>
          <w:highlight w:val="none"/>
          <w:lang w:val="en-US" w:eastAsia="zh-CN"/>
        </w:rPr>
        <w:t>0577-</w:t>
      </w:r>
      <w:r>
        <w:rPr>
          <w:rFonts w:hint="default" w:ascii="Times New Roman" w:hAnsi="Times New Roman" w:eastAsia="新宋体" w:cs="Times New Roman"/>
          <w:color w:val="auto"/>
          <w:sz w:val="22"/>
          <w:szCs w:val="22"/>
          <w:highlight w:val="none"/>
        </w:rPr>
        <w:t>88300268</w:t>
      </w:r>
      <w:r>
        <w:rPr>
          <w:rFonts w:hint="eastAsia"/>
          <w:color w:val="auto"/>
          <w:sz w:val="22"/>
          <w:szCs w:val="22"/>
          <w:highlight w:val="none"/>
          <w:u w:val="none"/>
        </w:rPr>
        <w:t>　　　　　　　</w:t>
      </w:r>
    </w:p>
    <w:p w14:paraId="18956DE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17B2EAD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699AFA7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温州市鹿城区勤民路鹿城壹号18幢803室</w:t>
      </w:r>
    </w:p>
    <w:p w14:paraId="450C295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4CBA98B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张斌</w:t>
      </w:r>
      <w:r>
        <w:rPr>
          <w:rFonts w:hint="eastAsia"/>
          <w:color w:val="auto"/>
          <w:sz w:val="22"/>
          <w:szCs w:val="22"/>
          <w:highlight w:val="none"/>
          <w:u w:val="none"/>
        </w:rPr>
        <w:t>、郑永强 </w:t>
      </w:r>
    </w:p>
    <w:p w14:paraId="2353033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3C0A3DE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0D3373F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3F9BA3BF">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14:paraId="28AD0D60">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14:paraId="6BCDB2DC">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14:paraId="29F2C41C">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14:paraId="1B7E9951">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：项先生、蔡女士 </w:t>
      </w:r>
    </w:p>
    <w:p w14:paraId="7DFFB8B1">
      <w:pPr>
        <w:tabs>
          <w:tab w:val="left" w:pos="360"/>
        </w:tabs>
        <w:spacing w:line="460" w:lineRule="exact"/>
        <w:ind w:firstLine="550" w:firstLineChars="250"/>
        <w:rPr>
          <w:rFonts w:hint="eastAsia"/>
          <w:color w:val="auto"/>
          <w:sz w:val="22"/>
          <w:szCs w:val="22"/>
          <w:highlight w:val="none"/>
          <w:u w:val="none"/>
        </w:rPr>
      </w:pPr>
      <w:r>
        <w:rPr>
          <w:rFonts w:hint="eastAsia" w:ascii="宋体" w:hAnsi="宋体" w:eastAsia="宋体" w:cs="宋体"/>
          <w:color w:val="auto"/>
          <w:sz w:val="22"/>
          <w:highlight w:val="none"/>
          <w:lang w:val="en-US" w:eastAsia="zh-CN"/>
        </w:rPr>
        <w:t>监督投诉电话：0577-88532725、88521948</w:t>
      </w:r>
    </w:p>
    <w:p w14:paraId="4AE6DD36">
      <w:pPr>
        <w:rPr>
          <w:rFonts w:hint="eastAsia" w:ascii="宋体" w:hAnsi="宋体" w:eastAsia="宋体" w:cs="宋体"/>
          <w:color w:val="auto"/>
          <w:highlight w:val="none"/>
        </w:rPr>
      </w:pPr>
      <w:bookmarkStart w:id="2" w:name="_Toc5772"/>
      <w:r>
        <w:rPr>
          <w:rFonts w:hint="eastAsia" w:ascii="宋体" w:hAnsi="宋体" w:eastAsia="宋体" w:cs="宋体"/>
          <w:color w:val="auto"/>
          <w:highlight w:val="none"/>
        </w:rPr>
        <w:br w:type="page"/>
      </w:r>
    </w:p>
    <w:p w14:paraId="5EBE7456">
      <w:pPr>
        <w:pStyle w:val="4"/>
        <w:bidi w:val="0"/>
        <w:rPr>
          <w:rFonts w:hint="eastAsia" w:ascii="宋体" w:hAnsi="宋体" w:eastAsia="宋体" w:cs="宋体"/>
          <w:color w:val="auto"/>
          <w:highlight w:val="none"/>
        </w:rPr>
      </w:pPr>
      <w:bookmarkStart w:id="3" w:name="_Toc7125"/>
      <w:r>
        <w:rPr>
          <w:rFonts w:hint="eastAsia" w:ascii="宋体" w:hAnsi="宋体" w:eastAsia="宋体" w:cs="宋体"/>
          <w:color w:val="auto"/>
          <w:highlight w:val="none"/>
        </w:rPr>
        <w:t>第一部分    投标人须知</w:t>
      </w:r>
      <w:bookmarkEnd w:id="2"/>
      <w:bookmarkEnd w:id="3"/>
    </w:p>
    <w:p w14:paraId="636DAF9A">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119"/>
      <w:bookmarkStart w:id="5" w:name="_Toc33194387"/>
      <w:bookmarkStart w:id="6" w:name="_Toc1839"/>
      <w:bookmarkStart w:id="7" w:name="_Toc354996695"/>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6CEA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33D0894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7D554E0E">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7965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492D10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064CF1BD">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2025年交通违法(事故)车辆司法鉴定服务项目</w:t>
            </w:r>
          </w:p>
          <w:p w14:paraId="1B11B514">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33B0E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2569337">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08E727EB">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00483422">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3343EEE2">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4A28358D">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360E0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095B3CA8">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4C4A8BEF">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2025年交通违法(事故)车辆司法鉴定服务项目</w:t>
                  </w:r>
                </w:p>
              </w:tc>
              <w:tc>
                <w:tcPr>
                  <w:tcW w:w="730" w:type="dxa"/>
                  <w:tcBorders>
                    <w:top w:val="single" w:color="auto" w:sz="4" w:space="0"/>
                    <w:left w:val="single" w:color="auto" w:sz="4" w:space="0"/>
                    <w:bottom w:val="single" w:color="auto" w:sz="4" w:space="0"/>
                    <w:right w:val="single" w:color="auto" w:sz="4" w:space="0"/>
                  </w:tcBorders>
                  <w:vAlign w:val="center"/>
                </w:tcPr>
                <w:p w14:paraId="5B62204C">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14:paraId="7E58A1E9">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1850000</w:t>
                  </w:r>
                </w:p>
              </w:tc>
              <w:tc>
                <w:tcPr>
                  <w:tcW w:w="2873" w:type="dxa"/>
                  <w:tcBorders>
                    <w:top w:val="single" w:color="auto" w:sz="4" w:space="0"/>
                    <w:left w:val="single" w:color="auto" w:sz="4" w:space="0"/>
                    <w:right w:val="single" w:color="auto" w:sz="4" w:space="0"/>
                  </w:tcBorders>
                  <w:vAlign w:val="center"/>
                </w:tcPr>
                <w:p w14:paraId="65D92169">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7F71404B">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68DEF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B267883">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top"/>
          </w:tcPr>
          <w:p w14:paraId="2933EFAB">
            <w:pPr>
              <w:spacing w:line="400" w:lineRule="exact"/>
              <w:rPr>
                <w:rFonts w:hint="eastAsia" w:ascii="新宋体" w:hAnsi="新宋体" w:eastAsia="新宋体" w:cs="宋体"/>
                <w:b/>
                <w:color w:val="auto"/>
                <w:kern w:val="0"/>
                <w:sz w:val="22"/>
                <w:szCs w:val="22"/>
                <w:highlight w:val="none"/>
                <w:u w:val="none"/>
              </w:rPr>
            </w:pPr>
            <w:r>
              <w:rPr>
                <w:rFonts w:hint="eastAsia" w:ascii="新宋体" w:hAnsi="新宋体" w:eastAsia="新宋体" w:cs="宋体"/>
                <w:b/>
                <w:color w:val="auto"/>
                <w:kern w:val="0"/>
                <w:sz w:val="22"/>
                <w:szCs w:val="22"/>
                <w:highlight w:val="none"/>
                <w:u w:val="none"/>
              </w:rPr>
              <w:t>本项目（是）接受联合体投标。</w:t>
            </w:r>
          </w:p>
          <w:p w14:paraId="562C476B">
            <w:pPr>
              <w:widowControl/>
              <w:tabs>
                <w:tab w:val="left" w:pos="0"/>
              </w:tabs>
              <w:spacing w:line="400" w:lineRule="exact"/>
              <w:ind w:left="565" w:right="60" w:hanging="565" w:hangingChars="256"/>
              <w:jc w:val="left"/>
              <w:rPr>
                <w:rFonts w:ascii="新宋体" w:hAnsi="新宋体" w:eastAsia="新宋体" w:cs="宋体"/>
                <w:b/>
                <w:color w:val="auto"/>
                <w:kern w:val="0"/>
                <w:sz w:val="22"/>
                <w:highlight w:val="none"/>
              </w:rPr>
            </w:pPr>
            <w:r>
              <w:rPr>
                <w:rFonts w:hint="eastAsia" w:ascii="新宋体" w:hAnsi="新宋体" w:eastAsia="新宋体" w:cs="宋体"/>
                <w:b/>
                <w:color w:val="auto"/>
                <w:kern w:val="0"/>
                <w:sz w:val="22"/>
                <w:highlight w:val="none"/>
              </w:rPr>
              <w:t>联合体成员数量不得超过2个，联合体各方应符合</w:t>
            </w:r>
            <w:r>
              <w:rPr>
                <w:rFonts w:hint="eastAsia" w:ascii="新宋体" w:hAnsi="新宋体" w:eastAsia="新宋体" w:cs="宋体"/>
                <w:b/>
                <w:color w:val="auto"/>
                <w:kern w:val="0"/>
                <w:sz w:val="22"/>
                <w:highlight w:val="none"/>
                <w:lang w:val="en-US" w:eastAsia="zh-CN"/>
              </w:rPr>
              <w:t>有相应的</w:t>
            </w:r>
            <w:r>
              <w:rPr>
                <w:rFonts w:hint="eastAsia"/>
                <w:b/>
                <w:bCs/>
                <w:color w:val="auto"/>
                <w:sz w:val="22"/>
                <w:szCs w:val="22"/>
                <w:highlight w:val="none"/>
                <w:u w:val="none"/>
                <w:lang w:val="en-US" w:eastAsia="zh-CN"/>
              </w:rPr>
              <w:t>资格要求条件</w:t>
            </w:r>
            <w:r>
              <w:rPr>
                <w:rFonts w:hint="eastAsia" w:ascii="新宋体" w:hAnsi="新宋体" w:eastAsia="新宋体" w:cs="宋体"/>
                <w:b/>
                <w:color w:val="auto"/>
                <w:kern w:val="0"/>
                <w:sz w:val="22"/>
                <w:highlight w:val="none"/>
              </w:rPr>
              <w:t>；</w:t>
            </w:r>
          </w:p>
          <w:p w14:paraId="6FF568C0">
            <w:pPr>
              <w:tabs>
                <w:tab w:val="left" w:pos="360"/>
              </w:tabs>
              <w:spacing w:line="460" w:lineRule="exact"/>
              <w:rPr>
                <w:rFonts w:hint="eastAsia" w:ascii="宋体" w:hAnsi="宋体" w:eastAsia="宋体" w:cs="宋体"/>
                <w:b/>
                <w:color w:val="auto"/>
                <w:sz w:val="22"/>
                <w:szCs w:val="22"/>
                <w:highlight w:val="none"/>
              </w:rPr>
            </w:pPr>
            <w:r>
              <w:rPr>
                <w:rFonts w:hint="eastAsia" w:ascii="新宋体" w:hAnsi="新宋体" w:eastAsia="新宋体" w:cs="宋体"/>
                <w:b/>
                <w:color w:val="auto"/>
                <w:kern w:val="0"/>
                <w:sz w:val="22"/>
                <w:highlight w:val="none"/>
              </w:rPr>
              <w:t>提交联合体协议书，明确联合体各方承担的工作和义务，并指定一家成员作为联合体牵头人代表联合体负责</w:t>
            </w:r>
            <w:r>
              <w:rPr>
                <w:rFonts w:hint="eastAsia" w:ascii="新宋体" w:hAnsi="新宋体" w:eastAsia="新宋体" w:cs="宋体"/>
                <w:b/>
                <w:color w:val="auto"/>
                <w:kern w:val="0"/>
                <w:sz w:val="22"/>
                <w:highlight w:val="none"/>
                <w:lang w:val="en-US" w:eastAsia="zh-CN"/>
              </w:rPr>
              <w:t>投标</w:t>
            </w:r>
            <w:r>
              <w:rPr>
                <w:rFonts w:hint="eastAsia" w:ascii="新宋体" w:hAnsi="新宋体" w:eastAsia="新宋体" w:cs="宋体"/>
                <w:b/>
                <w:color w:val="auto"/>
                <w:kern w:val="0"/>
                <w:sz w:val="22"/>
                <w:highlight w:val="none"/>
              </w:rPr>
              <w:t>和合同实施阶段的主办、协调工作。</w:t>
            </w:r>
          </w:p>
        </w:tc>
      </w:tr>
      <w:tr w14:paraId="22F9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DB93DEE">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D83434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5A4E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20F84E2">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1B5D15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7838A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4C9E42">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1571299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default" w:ascii="Times New Roman" w:hAnsi="Times New Roman" w:eastAsia="新宋体" w:cs="Times New Roman"/>
                <w:b/>
                <w:bCs/>
                <w:color w:val="auto"/>
                <w:sz w:val="22"/>
                <w:szCs w:val="22"/>
                <w:highlight w:val="none"/>
              </w:rPr>
              <w:t>根据国家计委计价格【2002】1980号《招标代理服务收费管理暂行办法》规定按</w:t>
            </w:r>
            <w:r>
              <w:rPr>
                <w:rFonts w:hint="eastAsia" w:eastAsia="新宋体" w:cs="Times New Roman"/>
                <w:b/>
                <w:bCs/>
                <w:color w:val="auto"/>
                <w:sz w:val="22"/>
                <w:szCs w:val="22"/>
                <w:highlight w:val="none"/>
                <w:lang w:val="en-US" w:eastAsia="zh-CN"/>
              </w:rPr>
              <w:t>总预算金额（</w:t>
            </w:r>
            <w:r>
              <w:rPr>
                <w:rFonts w:hint="default" w:ascii="Times New Roman" w:hAnsi="Times New Roman" w:eastAsia="新宋体" w:cs="Times New Roman"/>
                <w:b/>
                <w:color w:val="auto"/>
                <w:sz w:val="22"/>
                <w:szCs w:val="22"/>
                <w:highlight w:val="none"/>
              </w:rPr>
              <w:t>¥</w:t>
            </w:r>
            <w:r>
              <w:rPr>
                <w:rFonts w:hint="eastAsia" w:eastAsia="新宋体" w:cs="Times New Roman"/>
                <w:b/>
                <w:color w:val="auto"/>
                <w:sz w:val="22"/>
                <w:szCs w:val="22"/>
                <w:highlight w:val="none"/>
                <w:lang w:val="en-US" w:eastAsia="zh-CN"/>
              </w:rPr>
              <w:t>1850000</w:t>
            </w:r>
            <w:r>
              <w:rPr>
                <w:rFonts w:hint="default" w:ascii="Times New Roman" w:hAnsi="Times New Roman" w:eastAsia="新宋体" w:cs="Times New Roman"/>
                <w:b/>
                <w:color w:val="auto"/>
                <w:sz w:val="22"/>
                <w:szCs w:val="22"/>
                <w:highlight w:val="none"/>
              </w:rPr>
              <w:t>.00元</w:t>
            </w:r>
            <w:r>
              <w:rPr>
                <w:rFonts w:hint="eastAsia" w:eastAsia="新宋体" w:cs="Times New Roman"/>
                <w:b/>
                <w:bCs/>
                <w:color w:val="auto"/>
                <w:sz w:val="22"/>
                <w:szCs w:val="22"/>
                <w:highlight w:val="none"/>
                <w:lang w:val="en-US" w:eastAsia="zh-CN"/>
              </w:rPr>
              <w:t>）</w:t>
            </w:r>
            <w:r>
              <w:rPr>
                <w:rFonts w:hint="default" w:ascii="Times New Roman" w:hAnsi="Times New Roman" w:eastAsia="新宋体" w:cs="Times New Roman"/>
                <w:b/>
                <w:bCs/>
                <w:color w:val="auto"/>
                <w:sz w:val="22"/>
                <w:szCs w:val="22"/>
                <w:highlight w:val="none"/>
              </w:rPr>
              <w:t>的差额定率累计法计算后</w:t>
            </w:r>
            <w:r>
              <w:rPr>
                <w:rFonts w:hint="eastAsia" w:ascii="宋体" w:hAnsi="宋体" w:eastAsia="宋体" w:cs="宋体"/>
                <w:b/>
                <w:bCs/>
                <w:color w:val="auto"/>
                <w:sz w:val="22"/>
                <w:szCs w:val="22"/>
                <w:highlight w:val="none"/>
                <w:lang w:val="en-US" w:eastAsia="zh-CN"/>
              </w:rPr>
              <w:t>下浮20%</w:t>
            </w:r>
            <w:r>
              <w:rPr>
                <w:rFonts w:hint="default" w:ascii="Times New Roman" w:hAnsi="Times New Roman" w:eastAsia="新宋体" w:cs="Times New Roman"/>
                <w:b/>
                <w:bCs/>
                <w:color w:val="auto"/>
                <w:sz w:val="22"/>
                <w:szCs w:val="22"/>
                <w:highlight w:val="none"/>
              </w:rPr>
              <w:t>收取</w:t>
            </w: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由中标人在领取中标通知书时支付。</w:t>
            </w:r>
          </w:p>
          <w:p w14:paraId="360ECF7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34CE394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7BDA73F4">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开户银行：中国建设银行股份有限公司温州新城支行</w:t>
            </w:r>
          </w:p>
        </w:tc>
      </w:tr>
      <w:tr w14:paraId="1285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39EA083">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12E5D6C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3A758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666230">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A2EFD34">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38E7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B3E1F0C">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0E0DFB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4D9E1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E2A0794">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6F2A65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694F223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2AEA925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4DE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41133E">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36D0C7B1">
            <w:pPr>
              <w:spacing w:line="460" w:lineRule="exact"/>
              <w:rPr>
                <w:rFonts w:hint="eastAsia"/>
                <w:color w:val="auto"/>
                <w:sz w:val="22"/>
                <w:szCs w:val="28"/>
                <w:highlight w:val="none"/>
              </w:rPr>
            </w:pPr>
            <w:r>
              <w:rPr>
                <w:rFonts w:hint="eastAsia"/>
                <w:color w:val="auto"/>
                <w:sz w:val="22"/>
                <w:szCs w:val="28"/>
                <w:highlight w:val="none"/>
              </w:rPr>
              <w:t>投标文件份数：</w:t>
            </w:r>
          </w:p>
          <w:p w14:paraId="67937C44">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0ECE004F">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442B9F40">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543CF59E">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3A8760FE">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7C04E0FE">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联系人：肖宗文    联系电话</w:t>
            </w:r>
            <w:r>
              <w:rPr>
                <w:rFonts w:hint="eastAsia"/>
                <w:b w:val="0"/>
                <w:bCs w:val="0"/>
                <w:color w:val="auto"/>
                <w:sz w:val="22"/>
                <w:szCs w:val="28"/>
                <w:highlight w:val="none"/>
                <w:lang w:val="en-US" w:eastAsia="zh-CN"/>
              </w:rPr>
              <w:t>：13757727199</w:t>
            </w:r>
          </w:p>
        </w:tc>
      </w:tr>
      <w:tr w14:paraId="04C48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D506F27">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6C2CA252">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2FC29C4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579DA5B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14:paraId="0F0D942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6BC3C77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3212F5C3">
            <w:pPr>
              <w:tabs>
                <w:tab w:val="left" w:pos="36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3EEF7B1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E1F31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3ABCC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81CFB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446C011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5CC33E7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76FC1E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1D104B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70C99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43F7320">
            <w:pPr>
              <w:snapToGrid w:val="0"/>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2F32C29B">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0BCB021A">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36F6B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3FC9B97">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7B8AEF1D">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52F1BDF1">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354A2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6C9BC858">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1A5882F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46221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F824223">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037C48A8">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7F62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93D89E6">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2EC4E6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56197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BCFAA75">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0A6C2527">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5E4A6C4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B5A8B4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185</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324FA1E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731DEE4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14:paraId="7D16F75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D60414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7628CE6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22A01C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63CD051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6F9EB85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50870FF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74BD36E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2349D9E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6FD1197A">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6F0C0A7B">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F2825F6">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922D9DF">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55C78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6433E3">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6541FB02">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1299540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5D3D01D2">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5EA2C075">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610CBAE0">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1A7F5F0">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54B1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000223B6">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21C68B67">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284"/>
      <w:bookmarkStart w:id="11" w:name="_Toc20846"/>
      <w:r>
        <w:rPr>
          <w:rFonts w:hint="eastAsia" w:ascii="宋体" w:hAnsi="宋体" w:eastAsia="宋体" w:cs="宋体"/>
          <w:b/>
          <w:bCs/>
          <w:color w:val="auto"/>
          <w:sz w:val="26"/>
          <w:szCs w:val="26"/>
          <w:highlight w:val="none"/>
        </w:rPr>
        <w:t>一、 说   明</w:t>
      </w:r>
      <w:bookmarkEnd w:id="10"/>
      <w:bookmarkEnd w:id="11"/>
    </w:p>
    <w:p w14:paraId="6536DF50">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6E6E433">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1CBC08B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67DEED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4F25E8B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17A6FD5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49B8AE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68098EF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37ECC72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5FDA457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26707CA8">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4C3F4902">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47423005">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2B6EBA76">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9AD900D">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2140464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5986323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719E460F">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z w:val="22"/>
          <w:szCs w:val="22"/>
          <w:highlight w:val="none"/>
          <w:lang w:eastAsia="zh-CN"/>
        </w:rPr>
        <w:t>、</w:t>
      </w:r>
      <w:r>
        <w:rPr>
          <w:rFonts w:hint="eastAsia" w:ascii="宋体" w:hAnsi="宋体" w:eastAsia="宋体" w:cs="宋体"/>
          <w:b/>
          <w:color w:val="auto"/>
          <w:sz w:val="22"/>
          <w:szCs w:val="22"/>
          <w:highlight w:val="none"/>
        </w:rPr>
        <w:t>联合体</w:t>
      </w:r>
      <w:r>
        <w:rPr>
          <w:rFonts w:hint="eastAsia" w:ascii="新宋体" w:hAnsi="新宋体" w:eastAsia="新宋体"/>
          <w:b/>
          <w:color w:val="auto"/>
          <w:sz w:val="22"/>
          <w:szCs w:val="22"/>
          <w:highlight w:val="none"/>
        </w:rPr>
        <w:t>投标说明</w:t>
      </w:r>
    </w:p>
    <w:p w14:paraId="579307C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5.1 联合体投标的，除招标文件另有规定外，招标文件的获取、响应文件的签署盖章、递交及开标过程操作均</w:t>
      </w:r>
      <w:r>
        <w:rPr>
          <w:rFonts w:hint="eastAsia" w:ascii="宋体" w:hAnsi="宋体" w:cs="宋体"/>
          <w:color w:val="auto"/>
          <w:sz w:val="22"/>
          <w:szCs w:val="22"/>
          <w:highlight w:val="none"/>
          <w:lang w:val="en-US" w:eastAsia="zh-CN"/>
        </w:rPr>
        <w:t>由</w:t>
      </w:r>
      <w:r>
        <w:rPr>
          <w:rFonts w:hint="eastAsia" w:ascii="宋体" w:hAnsi="宋体" w:cs="宋体"/>
          <w:color w:val="auto"/>
          <w:sz w:val="22"/>
          <w:szCs w:val="22"/>
          <w:highlight w:val="none"/>
        </w:rPr>
        <w:t>联合体</w:t>
      </w:r>
      <w:r>
        <w:rPr>
          <w:rFonts w:hint="eastAsia" w:ascii="宋体" w:hAnsi="宋体" w:cs="宋体"/>
          <w:color w:val="auto"/>
          <w:sz w:val="22"/>
          <w:szCs w:val="22"/>
          <w:highlight w:val="none"/>
          <w:lang w:val="en-US" w:eastAsia="zh-CN"/>
        </w:rPr>
        <w:t>牵头人进行</w:t>
      </w:r>
      <w:r>
        <w:rPr>
          <w:rFonts w:hint="eastAsia" w:ascii="宋体" w:hAnsi="宋体" w:cs="宋体"/>
          <w:color w:val="auto"/>
          <w:sz w:val="22"/>
          <w:szCs w:val="22"/>
          <w:highlight w:val="none"/>
        </w:rPr>
        <w:t>。</w:t>
      </w:r>
    </w:p>
    <w:p w14:paraId="3CAA97D5">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5.2 </w:t>
      </w:r>
      <w:r>
        <w:rPr>
          <w:rFonts w:ascii="新宋体" w:hAnsi="新宋体" w:eastAsia="新宋体"/>
          <w:color w:val="auto"/>
          <w:sz w:val="22"/>
          <w:szCs w:val="22"/>
          <w:highlight w:val="none"/>
        </w:rPr>
        <w:t>以联合体形式参加政府采购活动的，联合体各方不得再单独参加或者与其他供应商另外组成联合体参加同一合同项下的政府采购活动</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否则均按无效标处理</w:t>
      </w:r>
      <w:r>
        <w:rPr>
          <w:rFonts w:ascii="新宋体" w:hAnsi="新宋体" w:eastAsia="新宋体"/>
          <w:color w:val="auto"/>
          <w:sz w:val="22"/>
          <w:szCs w:val="22"/>
          <w:highlight w:val="none"/>
        </w:rPr>
        <w:t>。</w:t>
      </w:r>
    </w:p>
    <w:p w14:paraId="66F4DD2F">
      <w:pPr>
        <w:spacing w:line="460" w:lineRule="exact"/>
        <w:ind w:firstLine="539" w:firstLineChars="245"/>
        <w:rPr>
          <w:rFonts w:hint="eastAsia"/>
          <w:color w:val="auto"/>
          <w:highlight w:val="none"/>
        </w:rPr>
      </w:pPr>
      <w:r>
        <w:rPr>
          <w:rFonts w:hint="eastAsia" w:ascii="新宋体" w:hAnsi="新宋体" w:eastAsia="新宋体"/>
          <w:bCs/>
          <w:color w:val="auto"/>
          <w:sz w:val="22"/>
          <w:szCs w:val="22"/>
          <w:highlight w:val="none"/>
        </w:rPr>
        <w:t>5.3 如联合体成交，</w:t>
      </w:r>
      <w:r>
        <w:rPr>
          <w:color w:val="auto"/>
          <w:kern w:val="0"/>
          <w:sz w:val="22"/>
          <w:szCs w:val="22"/>
          <w:highlight w:val="none"/>
        </w:rPr>
        <w:t>联合体各方应当共同与采购人签订采购合同，就采购合同约定的事项对采购人承担</w:t>
      </w:r>
      <w:r>
        <w:rPr>
          <w:rFonts w:hint="eastAsia" w:ascii="新宋体" w:hAnsi="新宋体" w:eastAsia="新宋体"/>
          <w:b w:val="0"/>
          <w:bCs/>
          <w:color w:val="auto"/>
          <w:sz w:val="22"/>
          <w:szCs w:val="22"/>
          <w:highlight w:val="none"/>
        </w:rPr>
        <w:t>连带</w:t>
      </w:r>
      <w:r>
        <w:rPr>
          <w:color w:val="auto"/>
          <w:kern w:val="0"/>
          <w:sz w:val="22"/>
          <w:szCs w:val="22"/>
          <w:highlight w:val="none"/>
        </w:rPr>
        <w:t>责任</w:t>
      </w:r>
      <w:r>
        <w:rPr>
          <w:rFonts w:hint="eastAsia"/>
          <w:color w:val="auto"/>
          <w:kern w:val="0"/>
          <w:sz w:val="22"/>
          <w:szCs w:val="22"/>
          <w:highlight w:val="none"/>
        </w:rPr>
        <w:t>，</w:t>
      </w:r>
      <w:r>
        <w:rPr>
          <w:rFonts w:hint="eastAsia"/>
          <w:color w:val="auto"/>
          <w:kern w:val="0"/>
          <w:sz w:val="22"/>
          <w:szCs w:val="22"/>
          <w:highlight w:val="none"/>
          <w:lang w:eastAsia="zh-CN"/>
        </w:rPr>
        <w:t>履约保证金（或履约保函）</w:t>
      </w:r>
      <w:r>
        <w:rPr>
          <w:rFonts w:hint="eastAsia"/>
          <w:color w:val="auto"/>
          <w:kern w:val="0"/>
          <w:sz w:val="22"/>
          <w:szCs w:val="22"/>
          <w:highlight w:val="none"/>
        </w:rPr>
        <w:t>（如有）</w:t>
      </w:r>
      <w:r>
        <w:rPr>
          <w:color w:val="auto"/>
          <w:kern w:val="0"/>
          <w:sz w:val="22"/>
          <w:szCs w:val="22"/>
          <w:highlight w:val="none"/>
        </w:rPr>
        <w:t>由联合体主</w:t>
      </w:r>
      <w:r>
        <w:rPr>
          <w:rFonts w:hint="eastAsia"/>
          <w:color w:val="auto"/>
          <w:kern w:val="0"/>
          <w:sz w:val="22"/>
          <w:szCs w:val="22"/>
          <w:highlight w:val="none"/>
        </w:rPr>
        <w:t>供应商</w:t>
      </w:r>
      <w:r>
        <w:rPr>
          <w:color w:val="auto"/>
          <w:kern w:val="0"/>
          <w:sz w:val="22"/>
          <w:szCs w:val="22"/>
          <w:highlight w:val="none"/>
        </w:rPr>
        <w:t>提交。</w:t>
      </w:r>
    </w:p>
    <w:p w14:paraId="35A76C80">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9401"/>
      <w:r>
        <w:rPr>
          <w:rFonts w:hint="eastAsia" w:ascii="宋体" w:hAnsi="宋体" w:eastAsia="宋体" w:cs="宋体"/>
          <w:b/>
          <w:bCs/>
          <w:color w:val="auto"/>
          <w:sz w:val="26"/>
          <w:szCs w:val="26"/>
          <w:highlight w:val="none"/>
        </w:rPr>
        <w:t>二、 招标文件</w:t>
      </w:r>
      <w:bookmarkEnd w:id="12"/>
      <w:bookmarkEnd w:id="13"/>
    </w:p>
    <w:p w14:paraId="01F6C62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7172165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4819486A">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1418642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109EFEF3">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1D5EDB8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374AB96">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30603"/>
      <w:r>
        <w:rPr>
          <w:rFonts w:hint="eastAsia" w:ascii="宋体" w:hAnsi="宋体" w:eastAsia="宋体" w:cs="宋体"/>
          <w:b/>
          <w:bCs/>
          <w:color w:val="auto"/>
          <w:sz w:val="26"/>
          <w:szCs w:val="26"/>
          <w:highlight w:val="none"/>
        </w:rPr>
        <w:t>三、 投标文件的编制</w:t>
      </w:r>
      <w:bookmarkEnd w:id="14"/>
      <w:bookmarkEnd w:id="15"/>
    </w:p>
    <w:p w14:paraId="15915B9D">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03DCA53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12D349A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BB574E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655A140">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76563BDF">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4BAFAC62">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lang w:eastAsia="zh-CN"/>
        </w:rPr>
        <w:t>；</w:t>
      </w:r>
    </w:p>
    <w:p w14:paraId="045A06ED">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）营业执照(或事业法人登记证书或其它工商等登记证明材料；自然人参与政府采购，提供身份证)复印件</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rPr>
        <w:t xml:space="preserve">； </w:t>
      </w:r>
    </w:p>
    <w:p w14:paraId="1C15F135">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C9809E2">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14D45063">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7FE2A649">
      <w:pPr>
        <w:spacing w:line="460" w:lineRule="exact"/>
        <w:ind w:firstLine="440" w:firstLineChars="200"/>
        <w:rPr>
          <w:rFonts w:hint="default" w:ascii="Times New Roman" w:hAnsi="Times New Roman" w:eastAsia="宋体" w:cs="Times New Roman"/>
          <w:color w:val="auto"/>
          <w:kern w:val="0"/>
          <w:sz w:val="22"/>
          <w:szCs w:val="22"/>
          <w:highlight w:val="none"/>
          <w:u w:val="none"/>
          <w:lang w:val="en-US" w:eastAsia="zh-CN"/>
        </w:rPr>
      </w:pPr>
      <w:r>
        <w:rPr>
          <w:rFonts w:hint="default" w:ascii="Times New Roman" w:hAnsi="Times New Roman" w:eastAsia="宋体" w:cs="Times New Roman"/>
          <w:color w:val="auto"/>
          <w:kern w:val="0"/>
          <w:sz w:val="22"/>
          <w:szCs w:val="22"/>
          <w:highlight w:val="none"/>
          <w:u w:val="none"/>
          <w:lang w:val="en-US" w:eastAsia="zh-CN"/>
        </w:rPr>
        <w:t>（</w:t>
      </w:r>
      <w:r>
        <w:rPr>
          <w:rFonts w:hint="eastAsia" w:cs="Times New Roman"/>
          <w:color w:val="auto"/>
          <w:kern w:val="0"/>
          <w:sz w:val="22"/>
          <w:szCs w:val="22"/>
          <w:highlight w:val="none"/>
          <w:u w:val="none"/>
          <w:lang w:val="en-US" w:eastAsia="zh-CN"/>
        </w:rPr>
        <w:t>5</w:t>
      </w:r>
      <w:r>
        <w:rPr>
          <w:rFonts w:hint="default" w:ascii="Times New Roman" w:hAnsi="Times New Roman" w:eastAsia="宋体" w:cs="Times New Roman"/>
          <w:color w:val="auto"/>
          <w:kern w:val="0"/>
          <w:sz w:val="22"/>
          <w:szCs w:val="22"/>
          <w:highlight w:val="none"/>
          <w:u w:val="none"/>
          <w:lang w:val="en-US" w:eastAsia="zh-CN"/>
        </w:rPr>
        <w:t>）具有司法行政部门批准许可的司法鉴定资质及车辆技术鉴定资质（或入选浙江法院对外委托机构信息平台的交通运输设备鉴定资质），鉴定业务范围包含痕迹鉴定、车辆技术鉴定；</w:t>
      </w:r>
    </w:p>
    <w:p w14:paraId="456F5323">
      <w:pPr>
        <w:spacing w:line="460" w:lineRule="exact"/>
        <w:ind w:firstLine="440" w:firstLineChars="200"/>
        <w:rPr>
          <w:rFonts w:hint="default" w:ascii="Times New Roman" w:hAnsi="Times New Roman" w:eastAsia="宋体" w:cs="Times New Roman"/>
          <w:color w:val="auto"/>
          <w:kern w:val="0"/>
          <w:sz w:val="22"/>
          <w:szCs w:val="22"/>
          <w:highlight w:val="none"/>
          <w:u w:val="none"/>
          <w:lang w:val="en-US" w:eastAsia="zh-CN"/>
        </w:rPr>
      </w:pPr>
      <w:r>
        <w:rPr>
          <w:rFonts w:hint="default" w:ascii="Times New Roman" w:hAnsi="Times New Roman" w:eastAsia="宋体" w:cs="Times New Roman"/>
          <w:color w:val="auto"/>
          <w:kern w:val="0"/>
          <w:sz w:val="22"/>
          <w:szCs w:val="22"/>
          <w:highlight w:val="none"/>
          <w:u w:val="none"/>
          <w:lang w:val="en-US" w:eastAsia="zh-CN"/>
        </w:rPr>
        <w:t>（</w:t>
      </w:r>
      <w:r>
        <w:rPr>
          <w:rFonts w:hint="eastAsia" w:cs="Times New Roman"/>
          <w:color w:val="auto"/>
          <w:kern w:val="0"/>
          <w:sz w:val="22"/>
          <w:szCs w:val="22"/>
          <w:highlight w:val="none"/>
          <w:u w:val="none"/>
          <w:lang w:val="en-US" w:eastAsia="zh-CN"/>
        </w:rPr>
        <w:t>6</w:t>
      </w:r>
      <w:r>
        <w:rPr>
          <w:rFonts w:hint="default" w:ascii="Times New Roman" w:hAnsi="Times New Roman" w:eastAsia="宋体" w:cs="Times New Roman"/>
          <w:color w:val="auto"/>
          <w:kern w:val="0"/>
          <w:sz w:val="22"/>
          <w:szCs w:val="22"/>
          <w:highlight w:val="none"/>
          <w:u w:val="none"/>
          <w:lang w:val="en-US" w:eastAsia="zh-CN"/>
        </w:rPr>
        <w:t>）联合体协议书（如有）</w:t>
      </w:r>
    </w:p>
    <w:p w14:paraId="0DD87BD6">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default" w:ascii="Times New Roman" w:hAnsi="Times New Roman" w:eastAsia="宋体" w:cs="Times New Roman"/>
          <w:color w:val="auto"/>
          <w:kern w:val="0"/>
          <w:sz w:val="22"/>
          <w:szCs w:val="22"/>
          <w:highlight w:val="none"/>
          <w:u w:val="none"/>
          <w:lang w:val="en-US" w:eastAsia="zh-CN"/>
        </w:rPr>
        <w:t>（</w:t>
      </w:r>
      <w:r>
        <w:rPr>
          <w:rFonts w:hint="eastAsia" w:cs="Times New Roman"/>
          <w:color w:val="auto"/>
          <w:kern w:val="0"/>
          <w:sz w:val="22"/>
          <w:szCs w:val="22"/>
          <w:highlight w:val="none"/>
          <w:u w:val="none"/>
          <w:lang w:val="en-US" w:eastAsia="zh-CN"/>
        </w:rPr>
        <w:t>7</w:t>
      </w:r>
      <w:r>
        <w:rPr>
          <w:rFonts w:hint="default" w:ascii="Times New Roman" w:hAnsi="Times New Roman" w:eastAsia="宋体" w:cs="Times New Roman"/>
          <w:color w:val="auto"/>
          <w:kern w:val="0"/>
          <w:sz w:val="22"/>
          <w:szCs w:val="22"/>
          <w:highlight w:val="none"/>
          <w:u w:val="none"/>
          <w:lang w:val="en-US" w:eastAsia="zh-CN"/>
        </w:rPr>
        <w:t>）中小企业的相关证明材料</w:t>
      </w:r>
    </w:p>
    <w:p w14:paraId="40E1391A">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76F7F13E">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68A9CE7C">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553FD2D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74C40706">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17CB38CC">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32F42789">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（1）法定代表人授权委托书（需提供法定代表人及授权委托人的身份证复印件加盖公章）；</w:t>
      </w:r>
    </w:p>
    <w:p w14:paraId="3BB51984">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（2）投标人情况表</w:t>
      </w:r>
    </w:p>
    <w:p w14:paraId="795C9B91">
      <w:pPr>
        <w:snapToGrid w:val="0"/>
        <w:spacing w:line="460" w:lineRule="exact"/>
        <w:ind w:firstLine="440" w:firstLineChars="200"/>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zh-CN"/>
        </w:rPr>
        <w:t>偏离表（</w:t>
      </w:r>
      <w:r>
        <w:rPr>
          <w:rFonts w:hint="default" w:ascii="Times New Roman" w:hAnsi="Times New Roman" w:eastAsia="宋体" w:cs="Times New Roman"/>
          <w:color w:val="auto"/>
          <w:sz w:val="22"/>
          <w:szCs w:val="22"/>
          <w:highlight w:val="none"/>
        </w:rPr>
        <w:t>商务、技术偏离</w:t>
      </w:r>
      <w:r>
        <w:rPr>
          <w:rFonts w:hint="default" w:ascii="Times New Roman" w:hAnsi="Times New Roman" w:eastAsia="宋体" w:cs="Times New Roman"/>
          <w:color w:val="auto"/>
          <w:sz w:val="22"/>
          <w:szCs w:val="22"/>
          <w:highlight w:val="none"/>
          <w:lang w:val="zh-CN"/>
        </w:rPr>
        <w:t>）</w:t>
      </w:r>
    </w:p>
    <w:p w14:paraId="54957B89">
      <w:pPr>
        <w:snapToGrid w:val="0"/>
        <w:spacing w:line="4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（4）企业综合实力</w:t>
      </w:r>
    </w:p>
    <w:p w14:paraId="2F00BEA3">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项目组织实施方案</w:t>
      </w:r>
    </w:p>
    <w:p w14:paraId="77314872">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（5.1）</w:t>
      </w:r>
      <w:r>
        <w:rPr>
          <w:rFonts w:hint="default" w:ascii="Times New Roman" w:hAnsi="Times New Roman" w:eastAsia="宋体" w:cs="Times New Roman"/>
          <w:color w:val="auto"/>
          <w:sz w:val="22"/>
          <w:szCs w:val="22"/>
          <w:highlight w:val="none"/>
        </w:rPr>
        <w:t>整体组织实施方案</w:t>
      </w:r>
    </w:p>
    <w:p w14:paraId="0BDAFD4B">
      <w:pPr>
        <w:snapToGrid w:val="0"/>
        <w:spacing w:line="4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5.2</w:t>
      </w:r>
      <w:r>
        <w:rPr>
          <w:rFonts w:hint="default" w:ascii="Times New Roman" w:hAnsi="Times New Roman" w:eastAsia="宋体" w:cs="Times New Roman"/>
          <w:color w:val="auto"/>
          <w:sz w:val="22"/>
          <w:szCs w:val="22"/>
          <w:highlight w:val="none"/>
          <w:lang w:eastAsia="zh-CN"/>
        </w:rPr>
        <w:t>）鉴定的程序和步骤</w:t>
      </w:r>
    </w:p>
    <w:p w14:paraId="7415C0B5">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5.3</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服务进度的方案和措施</w:t>
      </w:r>
    </w:p>
    <w:p w14:paraId="2A9744D8">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5.4）</w:t>
      </w:r>
      <w:r>
        <w:rPr>
          <w:rFonts w:hint="default" w:ascii="Times New Roman" w:hAnsi="Times New Roman" w:eastAsia="宋体" w:cs="Times New Roman"/>
          <w:color w:val="auto"/>
          <w:sz w:val="22"/>
          <w:szCs w:val="22"/>
          <w:highlight w:val="none"/>
        </w:rPr>
        <w:t>实施质量控制和保证措施</w:t>
      </w:r>
    </w:p>
    <w:p w14:paraId="298AF0F7">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（5.5）</w:t>
      </w:r>
      <w:r>
        <w:rPr>
          <w:rFonts w:hint="default" w:ascii="Times New Roman" w:hAnsi="Times New Roman" w:eastAsia="宋体" w:cs="Times New Roman"/>
          <w:color w:val="auto"/>
          <w:sz w:val="22"/>
          <w:szCs w:val="22"/>
          <w:highlight w:val="none"/>
        </w:rPr>
        <w:t>内部管理及员工培训</w:t>
      </w:r>
    </w:p>
    <w:p w14:paraId="0EDFB9E8">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5.6）</w:t>
      </w:r>
      <w:r>
        <w:rPr>
          <w:rFonts w:hint="default" w:ascii="Times New Roman" w:hAnsi="Times New Roman" w:eastAsia="宋体" w:cs="Times New Roman"/>
          <w:color w:val="auto"/>
          <w:sz w:val="22"/>
          <w:szCs w:val="22"/>
          <w:highlight w:val="none"/>
        </w:rPr>
        <w:t>应急措施</w:t>
      </w:r>
    </w:p>
    <w:p w14:paraId="05E89C1E">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5.7）</w:t>
      </w:r>
      <w:r>
        <w:rPr>
          <w:rFonts w:hint="default" w:ascii="Times New Roman" w:hAnsi="Times New Roman" w:eastAsia="宋体" w:cs="Times New Roman"/>
          <w:color w:val="auto"/>
          <w:sz w:val="22"/>
          <w:szCs w:val="22"/>
          <w:highlight w:val="none"/>
        </w:rPr>
        <w:t>合理化建议</w:t>
      </w:r>
    </w:p>
    <w:p w14:paraId="5E7883D0">
      <w:pPr>
        <w:snapToGrid w:val="0"/>
        <w:spacing w:line="4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5.8）</w:t>
      </w:r>
      <w:r>
        <w:rPr>
          <w:rFonts w:hint="default" w:ascii="Times New Roman" w:hAnsi="Times New Roman" w:eastAsia="宋体" w:cs="Times New Roman"/>
          <w:color w:val="auto"/>
          <w:sz w:val="22"/>
          <w:szCs w:val="22"/>
          <w:highlight w:val="none"/>
        </w:rPr>
        <w:t>技术服务及力量保障</w:t>
      </w:r>
    </w:p>
    <w:p w14:paraId="23778E94">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拟投入仪器、设备</w:t>
      </w:r>
    </w:p>
    <w:p w14:paraId="0D7C903B">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7</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本项目的司法鉴定能力验证通过情况</w:t>
      </w:r>
    </w:p>
    <w:p w14:paraId="2BBE1F6F">
      <w:pPr>
        <w:snapToGrid w:val="0"/>
        <w:spacing w:line="4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8</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本地化服务及响应时间</w:t>
      </w:r>
    </w:p>
    <w:p w14:paraId="1686FF9F">
      <w:pPr>
        <w:snapToGrid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9</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业绩</w:t>
      </w:r>
    </w:p>
    <w:p w14:paraId="60C1DFA8">
      <w:pPr>
        <w:snapToGrid w:val="0"/>
        <w:spacing w:line="460" w:lineRule="exact"/>
        <w:ind w:firstLine="440" w:firstLineChars="200"/>
        <w:rPr>
          <w:rFonts w:hint="default"/>
          <w:color w:val="auto"/>
          <w:highlight w:val="none"/>
        </w:rPr>
      </w:pPr>
      <w:r>
        <w:rPr>
          <w:rFonts w:hint="eastAsia" w:eastAsia="新宋体" w:cs="Times New Roman"/>
          <w:color w:val="auto"/>
          <w:sz w:val="22"/>
          <w:szCs w:val="22"/>
          <w:highlight w:val="none"/>
          <w:lang w:val="en-US" w:eastAsia="zh-CN"/>
        </w:rPr>
        <w:t>（10）满意度评价</w:t>
      </w:r>
    </w:p>
    <w:p w14:paraId="205B9F85">
      <w:pPr>
        <w:snapToGrid w:val="0"/>
        <w:spacing w:line="460" w:lineRule="exact"/>
        <w:ind w:firstLine="440" w:firstLineChars="200"/>
        <w:rPr>
          <w:rFonts w:hint="eastAsia"/>
          <w:color w:val="auto"/>
          <w:highlight w:val="none"/>
          <w:lang w:eastAsia="zh-CN"/>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1</w:t>
      </w:r>
      <w:r>
        <w:rPr>
          <w:rFonts w:hint="eastAsia"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）投标人认为需要提供的其他技术资料</w:t>
      </w:r>
    </w:p>
    <w:p w14:paraId="3BD065BD">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6CD3CA5C">
      <w:pPr>
        <w:pStyle w:val="29"/>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07C7AB18">
      <w:pPr>
        <w:pStyle w:val="29"/>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752387B7">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C9E6D68">
      <w:pPr>
        <w:spacing w:line="460" w:lineRule="exact"/>
        <w:ind w:firstLine="440" w:firstLineChars="200"/>
        <w:rPr>
          <w:rFonts w:hint="default" w:ascii="Times New Roman" w:hAnsi="Times New Roman" w:eastAsia="宋体" w:cs="Times New Roman"/>
          <w:b/>
          <w:color w:val="auto"/>
          <w:sz w:val="22"/>
          <w:highlight w:val="none"/>
        </w:rPr>
      </w:pPr>
      <w:r>
        <w:rPr>
          <w:rFonts w:hint="eastAsia" w:ascii="宋体" w:hAnsi="宋体" w:eastAsia="宋体" w:cs="宋体"/>
          <w:b w:val="0"/>
          <w:bCs/>
          <w:color w:val="auto"/>
          <w:sz w:val="22"/>
          <w:highlight w:val="none"/>
        </w:rPr>
        <w:t>4.1</w:t>
      </w:r>
      <w:r>
        <w:rPr>
          <w:rFonts w:hint="default" w:ascii="Times New Roman" w:hAnsi="Times New Roman" w:eastAsia="宋体" w:cs="Times New Roman"/>
          <w:b/>
          <w:color w:val="auto"/>
          <w:sz w:val="22"/>
          <w:highlight w:val="none"/>
        </w:rPr>
        <w:t>报价报价是指投标人在各项鉴定项目预算价的基础上进行折扣率报价</w:t>
      </w:r>
      <w:r>
        <w:rPr>
          <w:rFonts w:hint="default" w:ascii="Times New Roman" w:hAnsi="Times New Roman" w:eastAsia="宋体" w:cs="Times New Roman"/>
          <w:b/>
          <w:color w:val="auto"/>
          <w:sz w:val="22"/>
          <w:highlight w:val="none"/>
          <w:lang w:eastAsia="zh-CN"/>
        </w:rPr>
        <w:t>，</w:t>
      </w:r>
      <w:r>
        <w:rPr>
          <w:rFonts w:hint="default" w:ascii="Times New Roman" w:hAnsi="Times New Roman" w:eastAsia="宋体" w:cs="Times New Roman"/>
          <w:b/>
          <w:color w:val="auto"/>
          <w:sz w:val="22"/>
          <w:highlight w:val="none"/>
        </w:rPr>
        <w:t>所有的鉴定项目只报一个折扣率。</w:t>
      </w:r>
    </w:p>
    <w:p w14:paraId="3D9345E0">
      <w:pPr>
        <w:spacing w:line="460" w:lineRule="exact"/>
        <w:ind w:firstLine="442" w:firstLineChars="200"/>
        <w:rPr>
          <w:rFonts w:hint="default" w:ascii="Times New Roman" w:hAnsi="Times New Roman" w:eastAsia="宋体" w:cs="Times New Roman"/>
          <w:b/>
          <w:color w:val="auto"/>
          <w:sz w:val="22"/>
          <w:highlight w:val="none"/>
        </w:rPr>
      </w:pPr>
      <w:r>
        <w:rPr>
          <w:rFonts w:hint="default" w:ascii="Times New Roman" w:hAnsi="Times New Roman" w:eastAsia="宋体" w:cs="Times New Roman"/>
          <w:b/>
          <w:color w:val="auto"/>
          <w:sz w:val="22"/>
          <w:highlight w:val="none"/>
        </w:rPr>
        <w:t>各项鉴定项目的鉴定费用单价：该项鉴定预算单价乘以折扣率为该项目鉴定最终鉴定费用单价。</w:t>
      </w:r>
    </w:p>
    <w:p w14:paraId="5DF17C9C">
      <w:pPr>
        <w:spacing w:line="460" w:lineRule="exact"/>
        <w:ind w:firstLine="442" w:firstLineChars="200"/>
        <w:rPr>
          <w:rFonts w:hint="eastAsia" w:ascii="宋体" w:hAnsi="宋体" w:eastAsia="宋体" w:cs="宋体"/>
          <w:b w:val="0"/>
          <w:bCs/>
          <w:color w:val="auto"/>
          <w:sz w:val="22"/>
          <w:szCs w:val="22"/>
          <w:highlight w:val="none"/>
        </w:rPr>
      </w:pPr>
      <w:r>
        <w:rPr>
          <w:rFonts w:hint="default" w:ascii="Times New Roman" w:hAnsi="Times New Roman" w:eastAsia="宋体" w:cs="Times New Roman"/>
          <w:b/>
          <w:color w:val="auto"/>
          <w:sz w:val="22"/>
          <w:highlight w:val="none"/>
        </w:rPr>
        <w:t>最终鉴定费用单价为固定综合单价。单价必须包括提供司法鉴定服务所需的一切人员的符合国家规定的工资、福利、各种加班费、误餐费、各种社会保险、食宿与交通、设备及工具、器材、服装、安全、维修、管理费用、税费、利润、完成合同所需的一切本身和不可或缺的所有工作开支、政策性文件规定及合同包含的所有风险、责任等各项全部费用并承担一切风险责任。在服务期内单价不得调整。</w:t>
      </w:r>
    </w:p>
    <w:p w14:paraId="3B698519">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19A96E9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459A964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6C8E01FC">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492880D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7FB23DE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06DE44FF">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6657000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4340839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1759C7C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103148C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3A1FB20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28461B8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6C68C39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2ABBDFDC">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3A07016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6BF9A67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7F8617F4">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A8B7A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9E4BFE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3C42F0C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68B30D1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F02069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0B0059E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152369D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624E087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6FAF815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C844DE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48756DFD">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4247"/>
      <w:bookmarkStart w:id="17" w:name="_Toc15422"/>
      <w:r>
        <w:rPr>
          <w:rFonts w:hint="eastAsia" w:ascii="宋体" w:hAnsi="宋体" w:eastAsia="宋体" w:cs="宋体"/>
          <w:b/>
          <w:bCs/>
          <w:color w:val="auto"/>
          <w:sz w:val="22"/>
          <w:szCs w:val="22"/>
          <w:highlight w:val="none"/>
        </w:rPr>
        <w:t>四、 投标文件的递交</w:t>
      </w:r>
      <w:bookmarkEnd w:id="16"/>
      <w:bookmarkEnd w:id="17"/>
    </w:p>
    <w:p w14:paraId="407B48E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16C9BF0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75ED4F9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5427ACE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3881071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1866A67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AA963E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5EB861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62247D9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E1CF3B9">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285"/>
      <w:bookmarkStart w:id="19" w:name="_Toc30172"/>
      <w:r>
        <w:rPr>
          <w:rFonts w:hint="eastAsia" w:ascii="宋体" w:hAnsi="宋体" w:eastAsia="宋体" w:cs="宋体"/>
          <w:b/>
          <w:bCs/>
          <w:color w:val="auto"/>
          <w:sz w:val="22"/>
          <w:szCs w:val="22"/>
          <w:highlight w:val="none"/>
        </w:rPr>
        <w:t>五、 开标和评标</w:t>
      </w:r>
      <w:bookmarkEnd w:id="18"/>
      <w:bookmarkEnd w:id="19"/>
    </w:p>
    <w:p w14:paraId="40D5922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46A4BE3C">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12BF4BD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3E6F4B3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5FE5990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01E30E8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516E9F6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3C710C3C">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1053FF67">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CDD3B76">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38EB1798">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17C6A9B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7BEEF5E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07060C4C">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4EAAFE51">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0E5B1EBE">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315A012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4BAB931E">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5B12587">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7A999CE1">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7A04664C">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7186E06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6B6BA61E">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14:paraId="3D9EEB8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3F2EEE94">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35DA976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1B0D901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336BA629">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0ED4E1E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3BBC85F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D5A956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7C105E36">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0EC14D2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1CF7554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472404C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44CC5CB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344451D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2502DC66">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37E794A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0D73EB7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6DB550C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51BAFD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0FF3CAA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2FBF896E">
      <w:pPr>
        <w:spacing w:line="460" w:lineRule="exact"/>
        <w:ind w:firstLine="539" w:firstLineChars="245"/>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49E713A4">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 IP、MAC、硬件信息相同、响应文件细节错误一致且无合理解释等情形</w:t>
      </w:r>
      <w:r>
        <w:rPr>
          <w:rFonts w:hint="eastAsia" w:ascii="宋体" w:hAnsi="宋体" w:cs="宋体"/>
          <w:color w:val="auto"/>
          <w:sz w:val="22"/>
          <w:szCs w:val="22"/>
          <w:highlight w:val="none"/>
          <w:lang w:eastAsia="zh-CN"/>
        </w:rPr>
        <w:t>；</w:t>
      </w:r>
    </w:p>
    <w:p w14:paraId="14DA34E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的电子投标(响应)文件上传时的手机号信息相同且无法合理解释的。</w:t>
      </w:r>
    </w:p>
    <w:p w14:paraId="28C925F4">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5CF9B36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30A4913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71AE773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6C1553D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6465049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15AD03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9C6F38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6A55C20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DE390E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943171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6AE084E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2822026A">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13、评审结果的修改</w:t>
      </w:r>
    </w:p>
    <w:p w14:paraId="29610074">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13.1评标结果汇总完成后，除下列情形外，任何人不得修改评标结果：</w:t>
      </w:r>
    </w:p>
    <w:p w14:paraId="55BE86C3">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（1）分值汇总计算错误的；</w:t>
      </w:r>
    </w:p>
    <w:p w14:paraId="70929849">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（2）分项评分超出评分标准范围的；</w:t>
      </w:r>
    </w:p>
    <w:p w14:paraId="7BFCA267">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（3）评标委员会成员对客观评审因素评分不一致的；</w:t>
      </w:r>
    </w:p>
    <w:p w14:paraId="77763CB9">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（4）经评标委员会认定评分畸高、畸低的。</w:t>
      </w:r>
    </w:p>
    <w:p w14:paraId="0B316041">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13.2书面评标报告签署前，经复核发现存在以上情形之一的，评标委员会将当场修改评标结果，并在评标报告中记载。</w:t>
      </w:r>
    </w:p>
    <w:p w14:paraId="3EB523C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14、确定中标候选人</w:t>
      </w:r>
    </w:p>
    <w:p w14:paraId="0BAA4C6D">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14.1由评标委员会确定中标候选人。</w:t>
      </w:r>
    </w:p>
    <w:p w14:paraId="3513340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14.2评标委员会依</w:t>
      </w:r>
      <w:r>
        <w:rPr>
          <w:rFonts w:hint="eastAsia" w:ascii="宋体" w:hAnsi="宋体" w:eastAsia="宋体" w:cs="宋体"/>
          <w:color w:val="auto"/>
          <w:sz w:val="22"/>
          <w:szCs w:val="22"/>
          <w:highlight w:val="none"/>
        </w:rPr>
        <w:t>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049C25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440BCBB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C19E1D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3A68423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5D3C95A8">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7FAB01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3C08EA1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174515E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370251F">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864"/>
      <w:bookmarkStart w:id="23" w:name="_Toc26836"/>
      <w:r>
        <w:rPr>
          <w:rFonts w:hint="eastAsia" w:ascii="宋体" w:hAnsi="宋体" w:eastAsia="宋体" w:cs="宋体"/>
          <w:b/>
          <w:bCs/>
          <w:color w:val="auto"/>
          <w:sz w:val="26"/>
          <w:szCs w:val="26"/>
          <w:highlight w:val="none"/>
        </w:rPr>
        <w:t>六、 授予合同</w:t>
      </w:r>
      <w:bookmarkEnd w:id="22"/>
      <w:bookmarkEnd w:id="23"/>
    </w:p>
    <w:p w14:paraId="251836E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5F475BD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2BA65D6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5449D6E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0D10787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259D43B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36A086E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35B6043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25AA03E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3D2C79B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115BF967">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582223E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44CC9C69">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3EA24F9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1CAC82F9">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2731D017">
      <w:pPr>
        <w:rPr>
          <w:rFonts w:hint="eastAsia" w:ascii="宋体" w:hAnsi="宋体" w:eastAsia="宋体" w:cs="宋体"/>
          <w:color w:val="auto"/>
          <w:highlight w:val="none"/>
        </w:rPr>
      </w:pPr>
      <w:bookmarkStart w:id="24" w:name="_Toc28194"/>
    </w:p>
    <w:p w14:paraId="13B582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463147">
      <w:pPr>
        <w:pStyle w:val="4"/>
        <w:bidi w:val="0"/>
        <w:rPr>
          <w:rFonts w:hint="eastAsia" w:ascii="宋体" w:hAnsi="宋体" w:eastAsia="宋体" w:cs="宋体"/>
          <w:color w:val="auto"/>
          <w:highlight w:val="none"/>
        </w:rPr>
      </w:pPr>
      <w:bookmarkStart w:id="25" w:name="_Toc28484"/>
      <w:r>
        <w:rPr>
          <w:rFonts w:hint="eastAsia" w:ascii="宋体" w:hAnsi="宋体" w:eastAsia="宋体" w:cs="宋体"/>
          <w:color w:val="auto"/>
          <w:highlight w:val="none"/>
        </w:rPr>
        <w:t>第二部分    合同主要条款</w:t>
      </w:r>
      <w:bookmarkEnd w:id="24"/>
      <w:bookmarkEnd w:id="25"/>
    </w:p>
    <w:p w14:paraId="34F57717">
      <w:pPr>
        <w:spacing w:line="440" w:lineRule="exact"/>
        <w:ind w:firstLine="442"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z w:val="22"/>
          <w:highlight w:val="none"/>
        </w:rPr>
        <w:t>注：如甲、乙双方同意，合同格式也</w:t>
      </w:r>
      <w:r>
        <w:rPr>
          <w:rFonts w:hint="default" w:ascii="Times New Roman" w:hAnsi="Times New Roman" w:eastAsia="宋体" w:cs="Times New Roman"/>
          <w:b/>
          <w:bCs w:val="0"/>
          <w:color w:val="auto"/>
          <w:sz w:val="22"/>
          <w:szCs w:val="22"/>
          <w:highlight w:val="none"/>
        </w:rPr>
        <w:t>可以按照其他形式</w:t>
      </w:r>
      <w:r>
        <w:rPr>
          <w:rFonts w:hint="default" w:ascii="Times New Roman" w:hAnsi="Times New Roman" w:eastAsia="宋体" w:cs="Times New Roman"/>
          <w:b/>
          <w:bCs w:val="0"/>
          <w:color w:val="auto"/>
          <w:sz w:val="22"/>
          <w:szCs w:val="22"/>
          <w:highlight w:val="none"/>
          <w:lang w:eastAsia="zh-CN"/>
        </w:rPr>
        <w:t>，</w:t>
      </w:r>
      <w:r>
        <w:rPr>
          <w:rFonts w:hint="default" w:ascii="Times New Roman" w:hAnsi="Times New Roman" w:eastAsia="宋体" w:cs="Times New Roman"/>
          <w:b/>
          <w:bCs w:val="0"/>
          <w:color w:val="auto"/>
          <w:sz w:val="22"/>
          <w:szCs w:val="22"/>
          <w:highlight w:val="none"/>
        </w:rPr>
        <w:t xml:space="preserve"> 具体条款以甲方为主协商确定。但合同条款的基本内容应与以下要求的内容相一致。</w:t>
      </w:r>
    </w:p>
    <w:p w14:paraId="08BCE5DE">
      <w:pPr>
        <w:spacing w:line="460" w:lineRule="exact"/>
        <w:rPr>
          <w:rFonts w:hint="default" w:ascii="Times New Roman" w:hAnsi="Times New Roman" w:eastAsia="宋体" w:cs="Times New Roman"/>
          <w:bCs/>
          <w:color w:val="auto"/>
          <w:sz w:val="22"/>
          <w:szCs w:val="22"/>
          <w:highlight w:val="none"/>
        </w:rPr>
      </w:pPr>
    </w:p>
    <w:p w14:paraId="15125B47">
      <w:pPr>
        <w:spacing w:line="460" w:lineRule="exac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招标人：温州市公安局交通管理局（以下简称甲方）</w:t>
      </w:r>
    </w:p>
    <w:p w14:paraId="41E06E0D">
      <w:pPr>
        <w:spacing w:line="460" w:lineRule="exac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中标人：</w:t>
      </w:r>
      <w:r>
        <w:rPr>
          <w:rFonts w:hint="default" w:ascii="Times New Roman" w:hAnsi="Times New Roman" w:eastAsia="宋体" w:cs="Times New Roman"/>
          <w:bCs/>
          <w:color w:val="auto"/>
          <w:sz w:val="22"/>
          <w:szCs w:val="22"/>
          <w:highlight w:val="none"/>
          <w:u w:val="single"/>
        </w:rPr>
        <w:t xml:space="preserve">                      </w:t>
      </w:r>
      <w:r>
        <w:rPr>
          <w:rFonts w:hint="default" w:ascii="Times New Roman" w:hAnsi="Times New Roman" w:eastAsia="宋体" w:cs="Times New Roman"/>
          <w:bCs/>
          <w:color w:val="auto"/>
          <w:sz w:val="22"/>
          <w:szCs w:val="22"/>
          <w:highlight w:val="none"/>
        </w:rPr>
        <w:t>（以下简称乙方）</w:t>
      </w:r>
    </w:p>
    <w:p w14:paraId="403CB93F">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eastAsia="zh-CN"/>
        </w:rPr>
        <w:t>温州市公安局交通管理局</w:t>
      </w:r>
      <w:r>
        <w:rPr>
          <w:rFonts w:hint="default" w:ascii="Times New Roman" w:hAnsi="Times New Roman" w:eastAsia="宋体" w:cs="Times New Roman"/>
          <w:bCs/>
          <w:color w:val="auto"/>
          <w:sz w:val="22"/>
          <w:szCs w:val="22"/>
          <w:highlight w:val="none"/>
        </w:rPr>
        <w:t>的</w:t>
      </w:r>
      <w:r>
        <w:rPr>
          <w:rFonts w:hint="default" w:ascii="Times New Roman" w:hAnsi="Times New Roman" w:eastAsia="宋体" w:cs="Times New Roman"/>
          <w:bCs/>
          <w:color w:val="auto"/>
          <w:sz w:val="22"/>
          <w:szCs w:val="22"/>
          <w:highlight w:val="none"/>
          <w:u w:val="single"/>
        </w:rPr>
        <w:t xml:space="preserve">               </w:t>
      </w:r>
      <w:r>
        <w:rPr>
          <w:rFonts w:hint="default" w:ascii="Times New Roman" w:hAnsi="Times New Roman" w:eastAsia="宋体" w:cs="Times New Roman"/>
          <w:bCs/>
          <w:color w:val="auto"/>
          <w:sz w:val="22"/>
          <w:szCs w:val="22"/>
          <w:highlight w:val="none"/>
        </w:rPr>
        <w:t>（项目名称、编号）在国内以公开招标方式进行招标，经评标委员会评定</w:t>
      </w:r>
      <w:r>
        <w:rPr>
          <w:rFonts w:hint="default" w:ascii="Times New Roman" w:hAnsi="Times New Roman" w:eastAsia="宋体" w:cs="Times New Roman"/>
          <w:bCs/>
          <w:color w:val="auto"/>
          <w:sz w:val="22"/>
          <w:szCs w:val="22"/>
          <w:highlight w:val="none"/>
          <w:u w:val="single"/>
        </w:rPr>
        <w:t xml:space="preserve">                 </w:t>
      </w:r>
      <w:r>
        <w:rPr>
          <w:rFonts w:hint="default" w:ascii="Times New Roman" w:hAnsi="Times New Roman" w:eastAsia="宋体" w:cs="Times New Roman"/>
          <w:bCs/>
          <w:color w:val="auto"/>
          <w:sz w:val="22"/>
          <w:szCs w:val="22"/>
          <w:highlight w:val="none"/>
        </w:rPr>
        <w:t>（中标人名称）为中标人。甲、乙双方本着诚信及互利互惠的原则，同意按照下面条款和条件，签署本合同。</w:t>
      </w:r>
    </w:p>
    <w:p w14:paraId="4B4F3A79">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26" w:name="_Toc8535"/>
      <w:r>
        <w:rPr>
          <w:rFonts w:hint="default" w:ascii="Times New Roman" w:hAnsi="Times New Roman" w:eastAsia="宋体" w:cs="Times New Roman"/>
          <w:b/>
          <w:color w:val="auto"/>
          <w:sz w:val="22"/>
          <w:szCs w:val="22"/>
          <w:highlight w:val="none"/>
        </w:rPr>
        <w:t>一、本合同签订依据</w:t>
      </w:r>
      <w:bookmarkEnd w:id="26"/>
    </w:p>
    <w:p w14:paraId="0834A66D">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《中华人民共和国</w:t>
      </w:r>
      <w:r>
        <w:rPr>
          <w:rFonts w:hint="default" w:ascii="Times New Roman" w:hAnsi="Times New Roman" w:eastAsia="宋体" w:cs="Times New Roman"/>
          <w:bCs/>
          <w:color w:val="auto"/>
          <w:sz w:val="22"/>
          <w:szCs w:val="22"/>
          <w:highlight w:val="none"/>
          <w:lang w:val="en-US" w:eastAsia="zh-CN"/>
        </w:rPr>
        <w:t>民法典</w:t>
      </w:r>
      <w:r>
        <w:rPr>
          <w:rFonts w:hint="default" w:ascii="Times New Roman" w:hAnsi="Times New Roman" w:eastAsia="宋体" w:cs="Times New Roman"/>
          <w:bCs/>
          <w:color w:val="auto"/>
          <w:sz w:val="22"/>
          <w:szCs w:val="22"/>
          <w:highlight w:val="none"/>
        </w:rPr>
        <w:t>》</w:t>
      </w:r>
    </w:p>
    <w:p w14:paraId="0556A1C0">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27" w:name="_Toc859"/>
      <w:r>
        <w:rPr>
          <w:rFonts w:hint="default" w:ascii="Times New Roman" w:hAnsi="Times New Roman" w:eastAsia="宋体" w:cs="Times New Roman"/>
          <w:b/>
          <w:color w:val="auto"/>
          <w:sz w:val="22"/>
          <w:szCs w:val="22"/>
          <w:highlight w:val="none"/>
        </w:rPr>
        <w:t>二、合同文件的优先次序</w:t>
      </w:r>
      <w:bookmarkEnd w:id="27"/>
    </w:p>
    <w:p w14:paraId="15006F59">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合同文件如存在歧义或不一致则根据以下优先次序来判断：</w:t>
      </w:r>
    </w:p>
    <w:p w14:paraId="5F49E6C0">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 xml:space="preserve">1、合同书及合同补充条款或说明 </w:t>
      </w:r>
    </w:p>
    <w:p w14:paraId="4340B1B9">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2、中标通知书</w:t>
      </w:r>
    </w:p>
    <w:p w14:paraId="7474BC79">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3、承诺书（含询标记录和优惠条款）</w:t>
      </w:r>
    </w:p>
    <w:p w14:paraId="3A673508">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4、招标文件</w:t>
      </w:r>
    </w:p>
    <w:p w14:paraId="35ED7C8B">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5、投标文件</w:t>
      </w:r>
    </w:p>
    <w:p w14:paraId="60D2EB7F">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28" w:name="_Toc16822"/>
      <w:r>
        <w:rPr>
          <w:rFonts w:hint="default" w:ascii="Times New Roman" w:hAnsi="Times New Roman" w:eastAsia="宋体" w:cs="Times New Roman"/>
          <w:b/>
          <w:color w:val="auto"/>
          <w:sz w:val="22"/>
          <w:szCs w:val="22"/>
          <w:highlight w:val="none"/>
        </w:rPr>
        <w:t>三、承包内容和承包期限</w:t>
      </w:r>
      <w:bookmarkEnd w:id="28"/>
    </w:p>
    <w:p w14:paraId="3ED3E40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eastAsia="zh-CN"/>
        </w:rPr>
        <w:t>温州市公安局交通管理局</w:t>
      </w:r>
      <w:r>
        <w:rPr>
          <w:rFonts w:hint="eastAsia" w:cs="Times New Roman"/>
          <w:color w:val="auto"/>
          <w:sz w:val="22"/>
          <w:szCs w:val="22"/>
          <w:highlight w:val="none"/>
          <w:lang w:val="en-US" w:eastAsia="zh-CN"/>
        </w:rPr>
        <w:t>2025年交通违法(事故) 车辆司法鉴定服务项目</w:t>
      </w:r>
      <w:r>
        <w:rPr>
          <w:rFonts w:hint="default" w:ascii="Times New Roman" w:hAnsi="Times New Roman" w:eastAsia="宋体" w:cs="Times New Roman"/>
          <w:color w:val="auto"/>
          <w:sz w:val="22"/>
          <w:szCs w:val="22"/>
          <w:highlight w:val="none"/>
        </w:rPr>
        <w:t>，主要服务内容包括：</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w:t>
      </w:r>
    </w:p>
    <w:p w14:paraId="37DF2D7A">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项目负责人为：</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w:t>
      </w:r>
    </w:p>
    <w:p w14:paraId="560298B1">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2、服务期限为</w:t>
      </w:r>
      <w:r>
        <w:rPr>
          <w:rFonts w:hint="eastAsia" w:cs="Times New Roman"/>
          <w:color w:val="auto"/>
          <w:sz w:val="22"/>
          <w:szCs w:val="22"/>
          <w:highlight w:val="none"/>
          <w:lang w:val="en-US" w:eastAsia="zh-CN"/>
        </w:rPr>
        <w:t>壹</w:t>
      </w:r>
      <w:r>
        <w:rPr>
          <w:rFonts w:hint="default" w:ascii="Times New Roman" w:hAnsi="Times New Roman" w:eastAsia="宋体" w:cs="Times New Roman"/>
          <w:color w:val="auto"/>
          <w:sz w:val="22"/>
          <w:szCs w:val="22"/>
          <w:highlight w:val="none"/>
        </w:rPr>
        <w:t>年，即</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年</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月</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日至</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年</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月</w:t>
      </w:r>
      <w:r>
        <w:rPr>
          <w:rFonts w:hint="default" w:ascii="Times New Roman" w:hAnsi="Times New Roman" w:eastAsia="宋体" w:cs="Times New Roman"/>
          <w:color w:val="auto"/>
          <w:sz w:val="22"/>
          <w:szCs w:val="22"/>
          <w:highlight w:val="none"/>
          <w:u w:val="single"/>
        </w:rPr>
        <w:t xml:space="preserve"> </w:t>
      </w:r>
      <w:r>
        <w:rPr>
          <w:rFonts w:hint="eastAsia" w:cs="Times New Roman"/>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u w:val="single"/>
        </w:rPr>
        <w:t xml:space="preserve"> </w:t>
      </w:r>
      <w:r>
        <w:rPr>
          <w:rFonts w:hint="default" w:ascii="Times New Roman" w:hAnsi="Times New Roman" w:eastAsia="宋体" w:cs="Times New Roman"/>
          <w:color w:val="auto"/>
          <w:sz w:val="22"/>
          <w:szCs w:val="22"/>
          <w:highlight w:val="none"/>
        </w:rPr>
        <w:t>日。</w:t>
      </w:r>
    </w:p>
    <w:p w14:paraId="65F7DE02">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29" w:name="_Toc14365"/>
      <w:r>
        <w:rPr>
          <w:rFonts w:hint="default" w:ascii="Times New Roman" w:hAnsi="Times New Roman" w:eastAsia="宋体" w:cs="Times New Roman"/>
          <w:b/>
          <w:color w:val="auto"/>
          <w:sz w:val="22"/>
          <w:szCs w:val="22"/>
          <w:highlight w:val="none"/>
        </w:rPr>
        <w:t>四、合同价格</w:t>
      </w:r>
      <w:bookmarkEnd w:id="29"/>
    </w:p>
    <w:p w14:paraId="0FF45684">
      <w:pPr>
        <w:spacing w:line="460" w:lineRule="exact"/>
        <w:ind w:firstLine="442" w:firstLineChars="200"/>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1、价格详细</w:t>
      </w:r>
      <w:r>
        <w:rPr>
          <w:rFonts w:hint="default" w:ascii="Times New Roman" w:hAnsi="Times New Roman" w:eastAsia="宋体" w:cs="Times New Roman"/>
          <w:b/>
          <w:color w:val="auto"/>
          <w:sz w:val="22"/>
          <w:szCs w:val="22"/>
          <w:highlight w:val="none"/>
          <w:lang w:eastAsia="zh-CN"/>
        </w:rPr>
        <w:t>列</w:t>
      </w:r>
      <w:r>
        <w:rPr>
          <w:rFonts w:hint="default" w:ascii="Times New Roman" w:hAnsi="Times New Roman" w:eastAsia="宋体" w:cs="Times New Roman"/>
          <w:b/>
          <w:color w:val="auto"/>
          <w:sz w:val="22"/>
          <w:szCs w:val="22"/>
          <w:highlight w:val="none"/>
        </w:rPr>
        <w:t>表</w:t>
      </w:r>
    </w:p>
    <w:tbl>
      <w:tblPr>
        <w:tblStyle w:val="53"/>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525"/>
        <w:gridCol w:w="720"/>
        <w:gridCol w:w="533"/>
        <w:gridCol w:w="1102"/>
        <w:gridCol w:w="780"/>
        <w:gridCol w:w="1343"/>
        <w:gridCol w:w="1606"/>
      </w:tblGrid>
      <w:tr w14:paraId="3372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2CFC58B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序号</w:t>
            </w:r>
          </w:p>
        </w:tc>
        <w:tc>
          <w:tcPr>
            <w:tcW w:w="3525" w:type="dxa"/>
            <w:vAlign w:val="center"/>
          </w:tcPr>
          <w:p w14:paraId="2A12663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鉴定项目名称</w:t>
            </w:r>
          </w:p>
        </w:tc>
        <w:tc>
          <w:tcPr>
            <w:tcW w:w="720" w:type="dxa"/>
            <w:vAlign w:val="center"/>
          </w:tcPr>
          <w:p w14:paraId="0BDFF1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计量单位</w:t>
            </w:r>
          </w:p>
        </w:tc>
        <w:tc>
          <w:tcPr>
            <w:tcW w:w="533" w:type="dxa"/>
            <w:vAlign w:val="center"/>
          </w:tcPr>
          <w:p w14:paraId="429B2CC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数量</w:t>
            </w:r>
          </w:p>
        </w:tc>
        <w:tc>
          <w:tcPr>
            <w:tcW w:w="1102" w:type="dxa"/>
            <w:vAlign w:val="center"/>
          </w:tcPr>
          <w:p w14:paraId="53DBE4C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预算单价（元）</w:t>
            </w:r>
          </w:p>
        </w:tc>
        <w:tc>
          <w:tcPr>
            <w:tcW w:w="780" w:type="dxa"/>
            <w:vAlign w:val="center"/>
          </w:tcPr>
          <w:p w14:paraId="2A95549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折扣率%</w:t>
            </w:r>
          </w:p>
        </w:tc>
        <w:tc>
          <w:tcPr>
            <w:tcW w:w="1343" w:type="dxa"/>
            <w:vAlign w:val="center"/>
          </w:tcPr>
          <w:p w14:paraId="37A965B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最终鉴定费用单价（元）</w:t>
            </w:r>
          </w:p>
        </w:tc>
        <w:tc>
          <w:tcPr>
            <w:tcW w:w="1606" w:type="dxa"/>
            <w:vAlign w:val="center"/>
          </w:tcPr>
          <w:p w14:paraId="61E014E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b/>
                <w:bCs/>
                <w:color w:val="auto"/>
                <w:sz w:val="22"/>
                <w:szCs w:val="22"/>
                <w:highlight w:val="none"/>
                <w:u w:val="single"/>
              </w:rPr>
            </w:pPr>
            <w:r>
              <w:rPr>
                <w:rFonts w:hint="default" w:ascii="Times New Roman" w:hAnsi="Times New Roman" w:eastAsia="宋体" w:cs="Times New Roman"/>
                <w:color w:val="auto"/>
                <w:sz w:val="22"/>
                <w:szCs w:val="22"/>
                <w:highlight w:val="none"/>
              </w:rPr>
              <w:t>备注</w:t>
            </w:r>
          </w:p>
        </w:tc>
      </w:tr>
      <w:tr w14:paraId="6122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6AAAF1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3525" w:type="dxa"/>
            <w:vAlign w:val="center"/>
          </w:tcPr>
          <w:p w14:paraId="111FD69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具有行驶能力的汽车类交通事故安全技术鉴定</w:t>
            </w:r>
          </w:p>
        </w:tc>
        <w:tc>
          <w:tcPr>
            <w:tcW w:w="720" w:type="dxa"/>
            <w:vAlign w:val="center"/>
          </w:tcPr>
          <w:p w14:paraId="648B565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1F6B397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714F603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380</w:t>
            </w:r>
          </w:p>
        </w:tc>
        <w:tc>
          <w:tcPr>
            <w:tcW w:w="780" w:type="dxa"/>
            <w:vMerge w:val="restart"/>
            <w:vAlign w:val="center"/>
          </w:tcPr>
          <w:p w14:paraId="7C5F70B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171FB6C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7F266AB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4BC0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695291C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2</w:t>
            </w:r>
          </w:p>
        </w:tc>
        <w:tc>
          <w:tcPr>
            <w:tcW w:w="3525" w:type="dxa"/>
            <w:vAlign w:val="center"/>
          </w:tcPr>
          <w:p w14:paraId="3F7CF81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失去行驶能力的汽车类交通事故安全技术鉴定</w:t>
            </w:r>
          </w:p>
        </w:tc>
        <w:tc>
          <w:tcPr>
            <w:tcW w:w="720" w:type="dxa"/>
            <w:vAlign w:val="center"/>
          </w:tcPr>
          <w:p w14:paraId="2D01B11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7CF57E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621A27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380</w:t>
            </w:r>
          </w:p>
        </w:tc>
        <w:tc>
          <w:tcPr>
            <w:tcW w:w="780" w:type="dxa"/>
            <w:vMerge w:val="continue"/>
            <w:vAlign w:val="center"/>
          </w:tcPr>
          <w:p w14:paraId="1770E3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62C1C15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4717D7C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包含拆检费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(新增）</w:t>
            </w:r>
          </w:p>
        </w:tc>
      </w:tr>
      <w:tr w14:paraId="037A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32FC43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3</w:t>
            </w:r>
          </w:p>
        </w:tc>
        <w:tc>
          <w:tcPr>
            <w:tcW w:w="3525" w:type="dxa"/>
            <w:vAlign w:val="center"/>
          </w:tcPr>
          <w:p w14:paraId="47C2FFD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摩托车、二轮、三轮电动车、电动自行车交通事故安全技术鉴定</w:t>
            </w:r>
          </w:p>
        </w:tc>
        <w:tc>
          <w:tcPr>
            <w:tcW w:w="720" w:type="dxa"/>
            <w:vAlign w:val="center"/>
          </w:tcPr>
          <w:p w14:paraId="2B687B1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34FD154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4BE8BA4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200</w:t>
            </w:r>
          </w:p>
        </w:tc>
        <w:tc>
          <w:tcPr>
            <w:tcW w:w="780" w:type="dxa"/>
            <w:vMerge w:val="continue"/>
            <w:vAlign w:val="center"/>
          </w:tcPr>
          <w:p w14:paraId="11D39C4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1ED800C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3F8E9E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不含类型鉴定</w:t>
            </w:r>
          </w:p>
        </w:tc>
      </w:tr>
      <w:tr w14:paraId="000B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169C557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4</w:t>
            </w:r>
          </w:p>
        </w:tc>
        <w:tc>
          <w:tcPr>
            <w:tcW w:w="3525" w:type="dxa"/>
            <w:vAlign w:val="center"/>
          </w:tcPr>
          <w:p w14:paraId="3F233A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车辆类型鉴定</w:t>
            </w:r>
          </w:p>
        </w:tc>
        <w:tc>
          <w:tcPr>
            <w:tcW w:w="720" w:type="dxa"/>
            <w:vAlign w:val="center"/>
          </w:tcPr>
          <w:p w14:paraId="5D03981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1AF988E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675188F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200</w:t>
            </w:r>
          </w:p>
        </w:tc>
        <w:tc>
          <w:tcPr>
            <w:tcW w:w="780" w:type="dxa"/>
            <w:vMerge w:val="continue"/>
            <w:vAlign w:val="center"/>
          </w:tcPr>
          <w:p w14:paraId="48BB76B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0F2501F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558E264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3907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39DE825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5</w:t>
            </w:r>
          </w:p>
        </w:tc>
        <w:tc>
          <w:tcPr>
            <w:tcW w:w="3525" w:type="dxa"/>
            <w:vAlign w:val="center"/>
          </w:tcPr>
          <w:p w14:paraId="735A145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自行车、人力三轮车</w:t>
            </w:r>
          </w:p>
        </w:tc>
        <w:tc>
          <w:tcPr>
            <w:tcW w:w="720" w:type="dxa"/>
            <w:vAlign w:val="center"/>
          </w:tcPr>
          <w:p w14:paraId="194A2D4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079D52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331FC07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100</w:t>
            </w:r>
          </w:p>
        </w:tc>
        <w:tc>
          <w:tcPr>
            <w:tcW w:w="780" w:type="dxa"/>
            <w:vMerge w:val="continue"/>
            <w:vAlign w:val="center"/>
          </w:tcPr>
          <w:p w14:paraId="30B4266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75EFD82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0CDEFC9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5A5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025523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6</w:t>
            </w:r>
          </w:p>
        </w:tc>
        <w:tc>
          <w:tcPr>
            <w:tcW w:w="3525" w:type="dxa"/>
            <w:vAlign w:val="center"/>
          </w:tcPr>
          <w:p w14:paraId="59D5F49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汽车套牌车辆鉴定</w:t>
            </w:r>
          </w:p>
        </w:tc>
        <w:tc>
          <w:tcPr>
            <w:tcW w:w="720" w:type="dxa"/>
            <w:vAlign w:val="center"/>
          </w:tcPr>
          <w:p w14:paraId="27DE5E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3B2BAB5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23379E6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1500</w:t>
            </w:r>
          </w:p>
        </w:tc>
        <w:tc>
          <w:tcPr>
            <w:tcW w:w="780" w:type="dxa"/>
            <w:vMerge w:val="continue"/>
            <w:vAlign w:val="center"/>
          </w:tcPr>
          <w:p w14:paraId="7B5BA06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733CB5D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62FE3DC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包括车辆唯一性鉴定</w:t>
            </w:r>
          </w:p>
        </w:tc>
      </w:tr>
      <w:tr w14:paraId="56D7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4A8D468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7</w:t>
            </w:r>
          </w:p>
        </w:tc>
        <w:tc>
          <w:tcPr>
            <w:tcW w:w="3525" w:type="dxa"/>
            <w:vAlign w:val="center"/>
          </w:tcPr>
          <w:p w14:paraId="7E9C59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轮胎损坏原因鉴定</w:t>
            </w:r>
          </w:p>
        </w:tc>
        <w:tc>
          <w:tcPr>
            <w:tcW w:w="720" w:type="dxa"/>
            <w:vAlign w:val="center"/>
          </w:tcPr>
          <w:p w14:paraId="75E968A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只</w:t>
            </w:r>
          </w:p>
        </w:tc>
        <w:tc>
          <w:tcPr>
            <w:tcW w:w="533" w:type="dxa"/>
            <w:vAlign w:val="center"/>
          </w:tcPr>
          <w:p w14:paraId="2E3B2D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5A0DE50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1000</w:t>
            </w:r>
          </w:p>
        </w:tc>
        <w:tc>
          <w:tcPr>
            <w:tcW w:w="780" w:type="dxa"/>
            <w:vMerge w:val="continue"/>
            <w:vAlign w:val="center"/>
          </w:tcPr>
          <w:p w14:paraId="719E54C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7CA5D3B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58B6C26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7680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7B7B84B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8</w:t>
            </w:r>
          </w:p>
        </w:tc>
        <w:tc>
          <w:tcPr>
            <w:tcW w:w="3525" w:type="dxa"/>
            <w:vAlign w:val="center"/>
          </w:tcPr>
          <w:p w14:paraId="03DF204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车速鉴定</w:t>
            </w:r>
          </w:p>
        </w:tc>
        <w:tc>
          <w:tcPr>
            <w:tcW w:w="720" w:type="dxa"/>
            <w:vAlign w:val="center"/>
          </w:tcPr>
          <w:p w14:paraId="5B31057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210ABCB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262EFF2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3000</w:t>
            </w:r>
          </w:p>
        </w:tc>
        <w:tc>
          <w:tcPr>
            <w:tcW w:w="780" w:type="dxa"/>
            <w:vMerge w:val="continue"/>
            <w:vAlign w:val="center"/>
          </w:tcPr>
          <w:p w14:paraId="10A4575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46DC765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15700AE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r>
      <w:tr w14:paraId="28D6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182F091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9</w:t>
            </w:r>
          </w:p>
        </w:tc>
        <w:tc>
          <w:tcPr>
            <w:tcW w:w="3525" w:type="dxa"/>
            <w:vAlign w:val="center"/>
          </w:tcPr>
          <w:p w14:paraId="352764F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交通事故痕迹鉴定</w:t>
            </w:r>
          </w:p>
        </w:tc>
        <w:tc>
          <w:tcPr>
            <w:tcW w:w="720" w:type="dxa"/>
            <w:vAlign w:val="center"/>
          </w:tcPr>
          <w:p w14:paraId="2F601FE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辆</w:t>
            </w:r>
          </w:p>
        </w:tc>
        <w:tc>
          <w:tcPr>
            <w:tcW w:w="533" w:type="dxa"/>
            <w:vAlign w:val="center"/>
          </w:tcPr>
          <w:p w14:paraId="3E48AD5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5A40268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1450</w:t>
            </w:r>
          </w:p>
        </w:tc>
        <w:tc>
          <w:tcPr>
            <w:tcW w:w="780" w:type="dxa"/>
            <w:vMerge w:val="continue"/>
            <w:vAlign w:val="center"/>
          </w:tcPr>
          <w:p w14:paraId="0C11C15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591BA51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5D05272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包括是否改装鉴定，不包括微量鉴定</w:t>
            </w:r>
          </w:p>
        </w:tc>
      </w:tr>
      <w:tr w14:paraId="7530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0C6DB01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10</w:t>
            </w:r>
          </w:p>
        </w:tc>
        <w:tc>
          <w:tcPr>
            <w:tcW w:w="3525" w:type="dxa"/>
            <w:vAlign w:val="center"/>
          </w:tcPr>
          <w:p w14:paraId="12FC699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信号灯状态鉴定</w:t>
            </w:r>
          </w:p>
        </w:tc>
        <w:tc>
          <w:tcPr>
            <w:tcW w:w="720" w:type="dxa"/>
            <w:vAlign w:val="center"/>
          </w:tcPr>
          <w:p w14:paraId="419A8F4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辆</w:t>
            </w:r>
          </w:p>
        </w:tc>
        <w:tc>
          <w:tcPr>
            <w:tcW w:w="533" w:type="dxa"/>
            <w:vAlign w:val="center"/>
          </w:tcPr>
          <w:p w14:paraId="1F2142B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1</w:t>
            </w:r>
          </w:p>
        </w:tc>
        <w:tc>
          <w:tcPr>
            <w:tcW w:w="1102" w:type="dxa"/>
            <w:vAlign w:val="center"/>
          </w:tcPr>
          <w:p w14:paraId="5B0CE50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3000</w:t>
            </w:r>
          </w:p>
        </w:tc>
        <w:tc>
          <w:tcPr>
            <w:tcW w:w="780" w:type="dxa"/>
            <w:vMerge w:val="continue"/>
            <w:vAlign w:val="center"/>
          </w:tcPr>
          <w:p w14:paraId="3C61275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0AD7817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0A1B603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r>
      <w:tr w14:paraId="40E9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4901927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r>
              <w:rPr>
                <w:rFonts w:hint="eastAsia" w:ascii="Times New Roman" w:hAnsi="Times New Roman" w:eastAsia="宋体" w:cs="Times New Roman"/>
                <w:color w:val="auto"/>
                <w:kern w:val="0"/>
                <w:sz w:val="22"/>
                <w:highlight w:val="none"/>
              </w:rPr>
              <w:t>1</w:t>
            </w:r>
          </w:p>
        </w:tc>
        <w:tc>
          <w:tcPr>
            <w:tcW w:w="3525" w:type="dxa"/>
            <w:vAlign w:val="center"/>
          </w:tcPr>
          <w:p w14:paraId="5E447AA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车辆起火原因鉴定</w:t>
            </w:r>
          </w:p>
        </w:tc>
        <w:tc>
          <w:tcPr>
            <w:tcW w:w="720" w:type="dxa"/>
            <w:vAlign w:val="center"/>
          </w:tcPr>
          <w:p w14:paraId="2672FCC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533" w:type="dxa"/>
            <w:vAlign w:val="center"/>
          </w:tcPr>
          <w:p w14:paraId="50DF56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102" w:type="dxa"/>
            <w:vAlign w:val="center"/>
          </w:tcPr>
          <w:p w14:paraId="251EB6B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4000</w:t>
            </w:r>
          </w:p>
        </w:tc>
        <w:tc>
          <w:tcPr>
            <w:tcW w:w="780" w:type="dxa"/>
            <w:vMerge w:val="continue"/>
            <w:vAlign w:val="center"/>
          </w:tcPr>
          <w:p w14:paraId="33B1E0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343" w:type="dxa"/>
            <w:vAlign w:val="center"/>
          </w:tcPr>
          <w:p w14:paraId="63C4249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c>
          <w:tcPr>
            <w:tcW w:w="1606" w:type="dxa"/>
            <w:vAlign w:val="center"/>
          </w:tcPr>
          <w:p w14:paraId="66188CF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0B4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133" w:type="dxa"/>
            <w:gridSpan w:val="8"/>
            <w:vAlign w:val="center"/>
          </w:tcPr>
          <w:p w14:paraId="26B3DE33">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说明</w:t>
            </w:r>
            <w:r>
              <w:rPr>
                <w:rFonts w:hint="default" w:ascii="Times New Roman" w:hAnsi="Times New Roman" w:eastAsia="宋体" w:cs="Times New Roman"/>
                <w:color w:val="auto"/>
                <w:sz w:val="22"/>
                <w:szCs w:val="22"/>
                <w:highlight w:val="none"/>
              </w:rPr>
              <w:t>：1</w:t>
            </w:r>
            <w:r>
              <w:rPr>
                <w:rFonts w:hint="eastAsia" w:ascii="Times New Roman" w:hAnsi="Times New Roman" w:eastAsia="宋体" w:cs="Times New Roman"/>
                <w:color w:val="auto"/>
                <w:sz w:val="22"/>
                <w:szCs w:val="22"/>
                <w:highlight w:val="none"/>
              </w:rPr>
              <w:t>、汽车类包括汽车及汽车列车、轮式专用机械车、挂车、特型机动车和上道路行驶拖拉机。</w:t>
            </w:r>
          </w:p>
          <w:p w14:paraId="0FE6AC2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2</w:t>
            </w:r>
            <w:r>
              <w:rPr>
                <w:rFonts w:hint="eastAsia" w:ascii="Times New Roman" w:hAnsi="Times New Roman" w:eastAsia="宋体" w:cs="Times New Roman"/>
                <w:color w:val="auto"/>
                <w:sz w:val="22"/>
                <w:szCs w:val="22"/>
                <w:highlight w:val="none"/>
              </w:rPr>
              <w:t>、涉及疑难</w:t>
            </w:r>
            <w:r>
              <w:rPr>
                <w:rFonts w:hint="eastAsia" w:ascii="宋体" w:hAnsi="宋体" w:eastAsia="宋体" w:cs="Times New Roman"/>
                <w:color w:val="auto"/>
                <w:kern w:val="0"/>
                <w:sz w:val="22"/>
                <w:highlight w:val="none"/>
              </w:rPr>
              <w:t>、复杂鉴定，双方协商确定。</w:t>
            </w:r>
          </w:p>
        </w:tc>
      </w:tr>
    </w:tbl>
    <w:p w14:paraId="0580D893">
      <w:pPr>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color w:val="auto"/>
          <w:sz w:val="22"/>
          <w:szCs w:val="22"/>
          <w:highlight w:val="none"/>
        </w:rPr>
        <w:t>1、折扣率指在</w:t>
      </w:r>
      <w:r>
        <w:rPr>
          <w:rFonts w:hint="default" w:ascii="Times New Roman" w:hAnsi="Times New Roman" w:eastAsia="宋体" w:cs="Times New Roman"/>
          <w:b/>
          <w:bCs/>
          <w:color w:val="auto"/>
          <w:sz w:val="22"/>
          <w:szCs w:val="22"/>
          <w:highlight w:val="none"/>
        </w:rPr>
        <w:t>在各项鉴定项目预算价的基础上进行折扣。</w:t>
      </w:r>
    </w:p>
    <w:p w14:paraId="3DB4AD7A">
      <w:pPr>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2、各项鉴定项目的鉴定费用单价：该项鉴定预算单价乘以折扣率为该项目鉴定最终鉴定费用单价</w:t>
      </w:r>
    </w:p>
    <w:p w14:paraId="7F072988">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最终鉴定费用单价为固定综合单价。固定综合单价必须包括乙方在提供车辆司法鉴定服务所需的一切人员的符合国家规定的工资、福利、各种加班费、误餐费、各种社会保险、食宿与交通、设备及工具、器材、服装、安全、维修、管理费用、税费、利润、完成合同所需的一切本身和不可或缺的所有工作开支、政策性文件规定及合同包含的所有风险、责任等各项全部费用并承担一切风险责任。</w:t>
      </w:r>
    </w:p>
    <w:p w14:paraId="41A3F857">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承包服务期限内固定综合单价不作任何调整。</w:t>
      </w:r>
    </w:p>
    <w:p w14:paraId="7851586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4、乙方认为为完成本项目承包内容所需发生的直接成本、简接成本、利润、税金、政策性文件规定的费用等一切费用均应计入合同价格</w:t>
      </w:r>
      <w:r>
        <w:rPr>
          <w:rFonts w:hint="eastAsia"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凡未列入的，将被认为均已包含在合同价格中，今后不得以任何理由追加或调整。</w:t>
      </w:r>
    </w:p>
    <w:p w14:paraId="6248B22F">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0" w:name="_Toc25712"/>
      <w:r>
        <w:rPr>
          <w:rFonts w:hint="default" w:ascii="Times New Roman" w:hAnsi="Times New Roman" w:eastAsia="宋体" w:cs="Times New Roman"/>
          <w:b/>
          <w:color w:val="auto"/>
          <w:sz w:val="22"/>
          <w:szCs w:val="22"/>
          <w:highlight w:val="none"/>
        </w:rPr>
        <w:t>五、付款方式</w:t>
      </w:r>
      <w:bookmarkEnd w:id="30"/>
    </w:p>
    <w:p w14:paraId="105146A5">
      <w:pPr>
        <w:keepNext w:val="0"/>
        <w:keepLines w:val="0"/>
        <w:pageBreakBefore w:val="0"/>
        <w:widowControl w:val="0"/>
        <w:kinsoku/>
        <w:wordWrap/>
        <w:overflowPunct/>
        <w:topLinePunct w:val="0"/>
        <w:bidi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1、在合同签订后7天内乙方向甲方提供金额为人民</w:t>
      </w:r>
      <w:r>
        <w:rPr>
          <w:rFonts w:hint="default" w:ascii="Times New Roman" w:hAnsi="Times New Roman" w:eastAsia="宋体" w:cs="Times New Roman"/>
          <w:b w:val="0"/>
          <w:bCs w:val="0"/>
          <w:color w:val="auto"/>
          <w:sz w:val="22"/>
          <w:szCs w:val="22"/>
          <w:highlight w:val="none"/>
        </w:rPr>
        <w:t>币</w:t>
      </w:r>
      <w:r>
        <w:rPr>
          <w:rFonts w:hint="eastAsia" w:cs="Times New Roman"/>
          <w:b/>
          <w:bCs/>
          <w:color w:val="auto"/>
          <w:sz w:val="22"/>
          <w:szCs w:val="22"/>
          <w:highlight w:val="none"/>
          <w:u w:val="single"/>
          <w:lang w:val="en-US" w:eastAsia="zh-CN"/>
        </w:rPr>
        <w:t xml:space="preserve">      </w:t>
      </w:r>
      <w:r>
        <w:rPr>
          <w:rFonts w:hint="default" w:ascii="Times New Roman" w:hAnsi="Times New Roman" w:eastAsia="宋体" w:cs="Times New Roman"/>
          <w:color w:val="auto"/>
          <w:sz w:val="22"/>
          <w:szCs w:val="22"/>
          <w:highlight w:val="none"/>
        </w:rPr>
        <w:t>的</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（不计息），如乙方在签订后未在规定时间内提交</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则甲方有权终止合同；</w:t>
      </w:r>
    </w:p>
    <w:p w14:paraId="543A7083">
      <w:pPr>
        <w:keepNext w:val="0"/>
        <w:keepLines w:val="0"/>
        <w:pageBreakBefore w:val="0"/>
        <w:widowControl w:val="0"/>
        <w:kinsoku/>
        <w:wordWrap/>
        <w:overflowPunct/>
        <w:topLinePunct w:val="0"/>
        <w:bidi w:val="0"/>
        <w:spacing w:line="460" w:lineRule="exact"/>
        <w:ind w:firstLine="440" w:firstLineChars="200"/>
        <w:rPr>
          <w:rFonts w:hint="eastAsia"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2、合同签定生效后，</w:t>
      </w:r>
      <w:r>
        <w:rPr>
          <w:rFonts w:hint="eastAsia" w:cs="Times New Roman"/>
          <w:color w:val="auto"/>
          <w:sz w:val="22"/>
          <w:szCs w:val="22"/>
          <w:highlight w:val="none"/>
          <w:lang w:val="en-US" w:eastAsia="zh-CN"/>
        </w:rPr>
        <w:t>甲方预付给乙方</w:t>
      </w:r>
      <w:r>
        <w:rPr>
          <w:rFonts w:hint="eastAsia" w:cs="Times New Roman"/>
          <w:color w:val="auto"/>
          <w:sz w:val="22"/>
          <w:szCs w:val="22"/>
          <w:highlight w:val="none"/>
          <w:u w:val="single"/>
          <w:lang w:val="en-US" w:eastAsia="zh-CN"/>
        </w:rPr>
        <w:t xml:space="preserve"> </w:t>
      </w:r>
      <w:r>
        <w:rPr>
          <w:rFonts w:hint="eastAsia" w:cs="Times New Roman"/>
          <w:b/>
          <w:bCs/>
          <w:color w:val="auto"/>
          <w:sz w:val="22"/>
          <w:szCs w:val="22"/>
          <w:highlight w:val="none"/>
          <w:u w:val="single"/>
          <w:lang w:val="en-US" w:eastAsia="zh-CN"/>
        </w:rPr>
        <w:t>40%</w:t>
      </w:r>
      <w:r>
        <w:rPr>
          <w:rFonts w:hint="eastAsia" w:cs="Times New Roman"/>
          <w:color w:val="auto"/>
          <w:sz w:val="22"/>
          <w:szCs w:val="22"/>
          <w:highlight w:val="none"/>
          <w:u w:val="single"/>
          <w:lang w:val="en-US" w:eastAsia="zh-CN"/>
        </w:rPr>
        <w:t xml:space="preserve"> </w:t>
      </w:r>
      <w:r>
        <w:rPr>
          <w:rFonts w:hint="eastAsia" w:cs="Times New Roman"/>
          <w:color w:val="auto"/>
          <w:sz w:val="22"/>
          <w:szCs w:val="22"/>
          <w:highlight w:val="none"/>
          <w:lang w:val="en-US" w:eastAsia="zh-CN"/>
        </w:rPr>
        <w:t>预付款。</w:t>
      </w:r>
    </w:p>
    <w:p w14:paraId="3AB3AFCE">
      <w:pPr>
        <w:keepNext w:val="0"/>
        <w:keepLines w:val="0"/>
        <w:pageBreakBefore w:val="0"/>
        <w:widowControl w:val="0"/>
        <w:kinsoku/>
        <w:wordWrap/>
        <w:overflowPunct/>
        <w:topLinePunct w:val="0"/>
        <w:bidi w:val="0"/>
        <w:spacing w:line="460" w:lineRule="exact"/>
        <w:ind w:firstLine="440" w:firstLineChars="200"/>
        <w:rPr>
          <w:rFonts w:hint="default"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检验鉴定费按季度进行结算</w:t>
      </w:r>
      <w:r>
        <w:rPr>
          <w:rFonts w:hint="eastAsia"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乙方须在次月15日前向甲方提供上月的费用结算清单，甲方于30个工作日内予以审核确认并通知乙方开具与审核确认清单等额的正式发票，</w:t>
      </w:r>
      <w:r>
        <w:rPr>
          <w:rFonts w:hint="eastAsia" w:ascii="新宋体" w:hAnsi="新宋体" w:eastAsia="新宋体" w:cs="新宋体"/>
          <w:b/>
          <w:color w:val="auto"/>
          <w:sz w:val="22"/>
          <w:szCs w:val="22"/>
          <w:highlight w:val="none"/>
          <w:u w:val="none" w:color="auto"/>
          <w:shd w:val="clear" w:color="auto" w:fill="auto"/>
          <w:lang w:val="en-US" w:eastAsia="zh-CN"/>
        </w:rPr>
        <w:t>前期鉴定费用均从预付款中结算，若预付款结算完毕，按正常支付结算。</w:t>
      </w:r>
      <w:r>
        <w:rPr>
          <w:rFonts w:hint="default" w:ascii="Times New Roman" w:hAnsi="Times New Roman" w:eastAsia="宋体" w:cs="Times New Roman"/>
          <w:color w:val="auto"/>
          <w:sz w:val="22"/>
          <w:szCs w:val="22"/>
          <w:highlight w:val="none"/>
        </w:rPr>
        <w:t>甲方</w:t>
      </w:r>
      <w:r>
        <w:rPr>
          <w:rFonts w:hint="eastAsia" w:cs="Times New Roman"/>
          <w:color w:val="auto"/>
          <w:sz w:val="22"/>
          <w:szCs w:val="22"/>
          <w:highlight w:val="none"/>
          <w:lang w:val="en-US" w:eastAsia="zh-CN"/>
        </w:rPr>
        <w:t>在</w:t>
      </w:r>
      <w:r>
        <w:rPr>
          <w:rFonts w:hint="default" w:ascii="Times New Roman" w:hAnsi="Times New Roman" w:eastAsia="宋体" w:cs="Times New Roman"/>
          <w:color w:val="auto"/>
          <w:sz w:val="22"/>
          <w:szCs w:val="22"/>
          <w:highlight w:val="none"/>
        </w:rPr>
        <w:t>收到正式发票后向市财政局申请，具体支付时间视财</w:t>
      </w:r>
      <w:r>
        <w:rPr>
          <w:rFonts w:hint="eastAsia" w:cs="Times New Roman"/>
          <w:color w:val="auto"/>
          <w:sz w:val="22"/>
          <w:szCs w:val="22"/>
          <w:highlight w:val="none"/>
          <w:lang w:val="en-US" w:eastAsia="zh-CN"/>
        </w:rPr>
        <w:t>政</w:t>
      </w:r>
      <w:r>
        <w:rPr>
          <w:rFonts w:hint="default" w:ascii="Times New Roman" w:hAnsi="Times New Roman" w:eastAsia="宋体" w:cs="Times New Roman"/>
          <w:color w:val="auto"/>
          <w:sz w:val="22"/>
          <w:szCs w:val="22"/>
          <w:highlight w:val="none"/>
        </w:rPr>
        <w:t>资金安排而定。</w:t>
      </w:r>
    </w:p>
    <w:p w14:paraId="5B5FF05F">
      <w:pPr>
        <w:keepNext w:val="0"/>
        <w:keepLines w:val="0"/>
        <w:pageBreakBefore w:val="0"/>
        <w:widowControl w:val="0"/>
        <w:kinsoku/>
        <w:wordWrap/>
        <w:overflowPunct/>
        <w:topLinePunct w:val="0"/>
        <w:autoSpaceDE w:val="0"/>
        <w:autoSpaceDN w:val="0"/>
        <w:bidi w:val="0"/>
        <w:adjustRightInd w:val="0"/>
        <w:snapToGrid w:val="0"/>
        <w:spacing w:line="460" w:lineRule="exact"/>
        <w:ind w:firstLine="442"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cs="Times New Roman"/>
          <w:b/>
          <w:color w:val="auto"/>
          <w:sz w:val="22"/>
          <w:szCs w:val="22"/>
          <w:highlight w:val="none"/>
          <w:lang w:val="en-US" w:eastAsia="zh-CN"/>
        </w:rPr>
        <w:t>4、</w:t>
      </w:r>
      <w:r>
        <w:rPr>
          <w:rFonts w:hint="default" w:ascii="Times New Roman" w:hAnsi="Times New Roman" w:eastAsia="宋体" w:cs="Times New Roman"/>
          <w:b/>
          <w:color w:val="auto"/>
          <w:sz w:val="22"/>
          <w:szCs w:val="22"/>
          <w:highlight w:val="none"/>
        </w:rPr>
        <w:t>本项目财政预算为人民币</w:t>
      </w:r>
      <w:r>
        <w:rPr>
          <w:rFonts w:hint="eastAsia" w:cs="Times New Roman"/>
          <w:b/>
          <w:color w:val="auto"/>
          <w:sz w:val="22"/>
          <w:szCs w:val="22"/>
          <w:highlight w:val="none"/>
          <w:lang w:val="en-US" w:eastAsia="zh-CN"/>
        </w:rPr>
        <w:t>壹佰捌拾伍万</w:t>
      </w:r>
      <w:r>
        <w:rPr>
          <w:rFonts w:hint="default" w:ascii="Times New Roman" w:hAnsi="Times New Roman" w:eastAsia="宋体" w:cs="Times New Roman"/>
          <w:b/>
          <w:color w:val="auto"/>
          <w:sz w:val="22"/>
          <w:szCs w:val="22"/>
          <w:highlight w:val="none"/>
        </w:rPr>
        <w:t>元整（¥</w:t>
      </w:r>
      <w:r>
        <w:rPr>
          <w:rFonts w:hint="eastAsia" w:cs="Times New Roman"/>
          <w:b/>
          <w:color w:val="auto"/>
          <w:sz w:val="22"/>
          <w:szCs w:val="22"/>
          <w:highlight w:val="none"/>
          <w:lang w:val="en-US" w:eastAsia="zh-CN"/>
        </w:rPr>
        <w:t>1850000</w:t>
      </w:r>
      <w:r>
        <w:rPr>
          <w:rFonts w:hint="default" w:ascii="Times New Roman" w:hAnsi="Times New Roman" w:eastAsia="宋体" w:cs="Times New Roman"/>
          <w:b/>
          <w:color w:val="auto"/>
          <w:sz w:val="22"/>
          <w:szCs w:val="22"/>
          <w:highlight w:val="none"/>
        </w:rPr>
        <w:t>.00元），甲方在合同有效期内所支付</w:t>
      </w:r>
      <w:r>
        <w:rPr>
          <w:rFonts w:hint="default" w:ascii="Times New Roman" w:hAnsi="Times New Roman" w:eastAsia="宋体" w:cs="Times New Roman"/>
          <w:b/>
          <w:bCs/>
          <w:color w:val="auto"/>
          <w:sz w:val="22"/>
          <w:szCs w:val="22"/>
          <w:highlight w:val="none"/>
        </w:rPr>
        <w:t>结算金额达到财政预算金额</w:t>
      </w:r>
      <w:r>
        <w:rPr>
          <w:rFonts w:hint="default" w:ascii="Times New Roman" w:hAnsi="Times New Roman" w:eastAsia="宋体" w:cs="Times New Roman"/>
          <w:b/>
          <w:color w:val="auto"/>
          <w:sz w:val="22"/>
          <w:szCs w:val="22"/>
          <w:highlight w:val="none"/>
          <w:lang w:eastAsia="zh-CN"/>
        </w:rPr>
        <w:t>，</w:t>
      </w:r>
      <w:r>
        <w:rPr>
          <w:rFonts w:hint="default" w:ascii="Times New Roman" w:hAnsi="Times New Roman" w:eastAsia="宋体" w:cs="Times New Roman"/>
          <w:b/>
          <w:color w:val="auto"/>
          <w:sz w:val="22"/>
          <w:szCs w:val="22"/>
          <w:highlight w:val="none"/>
        </w:rPr>
        <w:t>合同</w:t>
      </w:r>
      <w:r>
        <w:rPr>
          <w:rFonts w:hint="eastAsia" w:cs="Times New Roman"/>
          <w:b/>
          <w:color w:val="auto"/>
          <w:sz w:val="22"/>
          <w:szCs w:val="22"/>
          <w:highlight w:val="none"/>
          <w:lang w:val="en-US" w:eastAsia="zh-CN"/>
        </w:rPr>
        <w:t>中止</w:t>
      </w:r>
      <w:r>
        <w:rPr>
          <w:rFonts w:hint="default" w:ascii="Times New Roman" w:hAnsi="Times New Roman" w:eastAsia="宋体" w:cs="Times New Roman"/>
          <w:b/>
          <w:color w:val="auto"/>
          <w:sz w:val="22"/>
          <w:szCs w:val="22"/>
          <w:highlight w:val="none"/>
        </w:rPr>
        <w:t>。</w:t>
      </w:r>
      <w:r>
        <w:rPr>
          <w:rFonts w:hint="eastAsia" w:cs="Times New Roman"/>
          <w:b/>
          <w:color w:val="auto"/>
          <w:sz w:val="22"/>
          <w:szCs w:val="22"/>
          <w:highlight w:val="none"/>
          <w:lang w:val="en-US" w:eastAsia="zh-CN"/>
        </w:rPr>
        <w:t>合同中止后，甲方再行向财政部门审批，如审批成功，双方再行签订补充合同进行约定，如审核不通过，则甲方书面通知乙方，视为双方合同终止，不再继续履行。</w:t>
      </w:r>
    </w:p>
    <w:p w14:paraId="6B2EC8E2">
      <w:pPr>
        <w:keepNext w:val="0"/>
        <w:keepLines w:val="0"/>
        <w:pageBreakBefore w:val="0"/>
        <w:widowControl w:val="0"/>
        <w:kinsoku/>
        <w:wordWrap/>
        <w:overflowPunct/>
        <w:topLinePunct w:val="0"/>
        <w:bidi w:val="0"/>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1" w:name="_Toc1297"/>
      <w:r>
        <w:rPr>
          <w:rFonts w:hint="default" w:ascii="Times New Roman" w:hAnsi="Times New Roman" w:eastAsia="宋体" w:cs="Times New Roman"/>
          <w:b/>
          <w:color w:val="auto"/>
          <w:sz w:val="22"/>
          <w:szCs w:val="22"/>
          <w:highlight w:val="none"/>
        </w:rPr>
        <w:t>六、甲方责任条款</w:t>
      </w:r>
      <w:bookmarkEnd w:id="31"/>
    </w:p>
    <w:p w14:paraId="6849305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1、提供检验鉴定服务质量标准、作业规范。</w:t>
      </w:r>
    </w:p>
    <w:p w14:paraId="685785E4">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2、组织对乙方提供的检验鉴定服务的检查。</w:t>
      </w:r>
    </w:p>
    <w:p w14:paraId="762771D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3、按合同约定支付合同款项。</w:t>
      </w:r>
    </w:p>
    <w:p w14:paraId="3FC2CE74">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4、如遇突发事件，协调乙方在作业工程中与其他部门的关系。</w:t>
      </w:r>
    </w:p>
    <w:p w14:paraId="7404A945">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2" w:name="_Toc30160"/>
      <w:r>
        <w:rPr>
          <w:rFonts w:hint="default" w:ascii="Times New Roman" w:hAnsi="Times New Roman" w:eastAsia="宋体" w:cs="Times New Roman"/>
          <w:b/>
          <w:color w:val="auto"/>
          <w:sz w:val="22"/>
          <w:szCs w:val="22"/>
          <w:highlight w:val="none"/>
        </w:rPr>
        <w:t>七、乙方责任条款</w:t>
      </w:r>
      <w:bookmarkEnd w:id="32"/>
    </w:p>
    <w:p w14:paraId="4D7F3B35">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1、按招标文件、投标文件、投标时的承诺及甲方的有关要求提供检验鉴定服务。</w:t>
      </w:r>
    </w:p>
    <w:p w14:paraId="2FD771C2">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2、遇到突发事件或自然灾害，必须服从甲方指挥与安排。</w:t>
      </w:r>
    </w:p>
    <w:p w14:paraId="6B39025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3、协助甲方调查、处理有关投诉，并根据甲方要求及时处理。</w:t>
      </w:r>
    </w:p>
    <w:p w14:paraId="5C7EA14D">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4、未经甲方同意，乙方无权在工作区域内私自进行检验鉴定服务，甲方有权依照法律法规和甲方相关的规定责令乙方限期改正，并接受处罚。</w:t>
      </w:r>
    </w:p>
    <w:p w14:paraId="0E1296B5">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经甲方同意，乙方不得以任何形式转让、抵押承包合同内容，在作业区域内只从事甲方认可的检验鉴定服务工作；否则甲方有权单方面终止合同，并保留进一步追究乙方责任的权利。在承包期间，乙方任何重大变动或法律事宜均应通知甲方。</w:t>
      </w:r>
    </w:p>
    <w:p w14:paraId="1EBFAE69">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3" w:name="_Toc8543"/>
      <w:r>
        <w:rPr>
          <w:rFonts w:hint="default" w:ascii="Times New Roman" w:hAnsi="Times New Roman" w:eastAsia="宋体" w:cs="Times New Roman"/>
          <w:b/>
          <w:color w:val="auto"/>
          <w:sz w:val="22"/>
          <w:szCs w:val="22"/>
          <w:highlight w:val="none"/>
        </w:rPr>
        <w:t>八、承包职责</w:t>
      </w:r>
      <w:bookmarkEnd w:id="33"/>
    </w:p>
    <w:p w14:paraId="233C1146">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1、乙方必须信守承包承诺，认真落实具有相应的固定服务人员，挂牌上岗并建立健全的管理制度。</w:t>
      </w:r>
    </w:p>
    <w:p w14:paraId="2263C961">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2、乙方必须按甲方制订的服务标准，严格履行承包义务，</w:t>
      </w:r>
      <w:r>
        <w:rPr>
          <w:rFonts w:hint="eastAsia" w:cs="Times New Roman"/>
          <w:color w:val="auto"/>
          <w:sz w:val="22"/>
          <w:szCs w:val="22"/>
          <w:highlight w:val="none"/>
          <w:lang w:val="en-US" w:eastAsia="zh-CN"/>
        </w:rPr>
        <w:t>如实客观做好各类工作台账，</w:t>
      </w:r>
      <w:r>
        <w:rPr>
          <w:rFonts w:hint="default" w:ascii="Times New Roman" w:hAnsi="Times New Roman" w:eastAsia="宋体" w:cs="Times New Roman"/>
          <w:color w:val="auto"/>
          <w:sz w:val="22"/>
          <w:szCs w:val="22"/>
          <w:highlight w:val="none"/>
        </w:rPr>
        <w:t>为甲方提供专业、优质、高效的服务。并根据甲方要求改变不满意的状态，接受甲方的监督和检查。</w:t>
      </w:r>
    </w:p>
    <w:p w14:paraId="5B8EB305">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3、乙方应按委托要求时间派技术人员准时到事故停车场，并按照委托项目对事故车辆进行检验，</w:t>
      </w:r>
      <w:r>
        <w:rPr>
          <w:rFonts w:hint="eastAsia" w:cs="Times New Roman"/>
          <w:color w:val="auto"/>
          <w:sz w:val="22"/>
          <w:szCs w:val="22"/>
          <w:highlight w:val="none"/>
          <w:lang w:val="en-US" w:eastAsia="zh-CN"/>
        </w:rPr>
        <w:t>检验鉴定后需</w:t>
      </w:r>
      <w:r>
        <w:rPr>
          <w:rFonts w:hint="default" w:ascii="Times New Roman" w:hAnsi="Times New Roman" w:eastAsia="宋体" w:cs="Times New Roman"/>
          <w:color w:val="auto"/>
          <w:sz w:val="22"/>
          <w:szCs w:val="22"/>
          <w:highlight w:val="none"/>
        </w:rPr>
        <w:t>及时将检验鉴定书并送达委托单位，检验鉴定完成的期限不得超过办案单位约定的期限，一般不得超过三十日。</w:t>
      </w:r>
    </w:p>
    <w:p w14:paraId="5A108C28">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乙方对交通事故车辆的技术检验鉴定工作应严格按照国家标准进行。由检验鉴定小组2名（或以上）技术人员共同检验鉴定，并统一按规定的文书格式规范制作并注明签发日期，检验鉴定书一式壹份（电脑打印），由检验鉴定该车的两名（或以上）专业技术人员共同签名并注明技术职称，并加盖检验鉴定单位印章，并附鉴定机构和人员资质。对车辆检验鉴定时，应同时按事故痕迹的拍照规范对车辆的外观、损坏部位、检验鉴定的相关参数、数据等进行拍照固定并附照片进行文字说明，与检验鉴定书一并交委托单位。</w:t>
      </w:r>
    </w:p>
    <w:p w14:paraId="3E57371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5、检验鉴定书中的名词术语必须准确规范，不得使用俗语或外语译音。</w:t>
      </w:r>
    </w:p>
    <w:p w14:paraId="7B0FF19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6、检验鉴定书中的检验记录应具体详细，鉴定结论应精简明确。</w:t>
      </w:r>
    </w:p>
    <w:p w14:paraId="437BB8A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7、在承包作业期间的各项服务，其工作时间应满足甲方的工作要求，包括</w:t>
      </w:r>
      <w:r>
        <w:rPr>
          <w:rFonts w:hint="eastAsia" w:cs="Times New Roman"/>
          <w:color w:val="auto"/>
          <w:sz w:val="22"/>
          <w:szCs w:val="22"/>
          <w:highlight w:val="none"/>
          <w:lang w:val="en-US" w:eastAsia="zh-CN"/>
        </w:rPr>
        <w:t>星期六、</w:t>
      </w:r>
      <w:r>
        <w:rPr>
          <w:rFonts w:hint="default" w:ascii="Times New Roman" w:hAnsi="Times New Roman" w:eastAsia="宋体" w:cs="Times New Roman"/>
          <w:color w:val="auto"/>
          <w:sz w:val="22"/>
          <w:szCs w:val="22"/>
          <w:highlight w:val="none"/>
        </w:rPr>
        <w:t>星期天及公众假期，无论乙方有任何理由，均不得拖延、停止服务工作。甲方任何应提供方便或提高服务质量时，可要求乙方调整工作时间直至全天二十四小时工作。</w:t>
      </w:r>
    </w:p>
    <w:p w14:paraId="66735D6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8、因工作需要，甲方临时向乙方提出服务的要求，乙方应全力配合，按照甲方提出标准及要求完成任</w:t>
      </w:r>
      <w:r>
        <w:rPr>
          <w:rFonts w:hint="eastAsia" w:cs="Times New Roman"/>
          <w:color w:val="auto"/>
          <w:sz w:val="22"/>
          <w:szCs w:val="22"/>
          <w:highlight w:val="none"/>
          <w:lang w:val="en-US" w:eastAsia="zh-CN"/>
        </w:rPr>
        <w:t>务</w:t>
      </w:r>
      <w:r>
        <w:rPr>
          <w:rFonts w:hint="default" w:ascii="Times New Roman" w:hAnsi="Times New Roman" w:eastAsia="宋体" w:cs="Times New Roman"/>
          <w:color w:val="auto"/>
          <w:sz w:val="22"/>
          <w:szCs w:val="22"/>
          <w:highlight w:val="none"/>
        </w:rPr>
        <w:t>，不得无故拖延。</w:t>
      </w:r>
    </w:p>
    <w:p w14:paraId="54098AAE">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9、乙方必须对员工发生的事故责任以及员工计生、身份、健康等承担责任；同时对员工在作业期间做出不良行为给甲方造成影响承担责任。</w:t>
      </w:r>
    </w:p>
    <w:p w14:paraId="20A2682F">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10、乙方员工发生被媒体曝光或影响甲方公众形象或违反甲方规章制度造成不良影响，而由此产生的损失及消除影响产生的费用，由乙方全部承担；甲方根据事件的轻重，将保留扣除乙方的当月合同款0.1%~5%的权利</w:t>
      </w:r>
    </w:p>
    <w:p w14:paraId="0E8777DE">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11、承包期间，因乙方原因导致作业区域内的其他有关车辆、设施、设备损坏、由此引起的责任和损失由乙方承担。</w:t>
      </w:r>
    </w:p>
    <w:p w14:paraId="3A70EE98">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12、公司的办公各类设施及费用、人员食宿、安全等均由乙方自行负责解决。</w:t>
      </w:r>
    </w:p>
    <w:p w14:paraId="588F2657">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13、乙方须按政府各部门有关规定为乙方的每位员工交纳各种社会保险及相关费用。</w:t>
      </w:r>
    </w:p>
    <w:p w14:paraId="09A7FA77">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14、在承包期限内，乙方所有人员的安全事故由乙方自行全权负责，甲方不承担任何责任；</w:t>
      </w:r>
    </w:p>
    <w:p w14:paraId="6F229143">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4" w:name="_Toc1089"/>
      <w:r>
        <w:rPr>
          <w:rFonts w:hint="default" w:ascii="Times New Roman" w:hAnsi="Times New Roman" w:eastAsia="宋体" w:cs="Times New Roman"/>
          <w:b/>
          <w:color w:val="auto"/>
          <w:sz w:val="22"/>
          <w:szCs w:val="22"/>
          <w:highlight w:val="none"/>
        </w:rPr>
        <w:t>九、违约</w:t>
      </w:r>
      <w:r>
        <w:rPr>
          <w:rFonts w:hint="eastAsia" w:cs="Times New Roman"/>
          <w:b/>
          <w:color w:val="auto"/>
          <w:sz w:val="22"/>
          <w:szCs w:val="22"/>
          <w:highlight w:val="none"/>
          <w:lang w:val="en-US" w:eastAsia="zh-CN"/>
        </w:rPr>
        <w:t>终止</w:t>
      </w:r>
      <w:r>
        <w:rPr>
          <w:rFonts w:hint="default" w:ascii="Times New Roman" w:hAnsi="Times New Roman" w:eastAsia="宋体" w:cs="Times New Roman"/>
          <w:b/>
          <w:color w:val="auto"/>
          <w:sz w:val="22"/>
          <w:szCs w:val="22"/>
          <w:highlight w:val="none"/>
        </w:rPr>
        <w:t>合同及赔偿</w:t>
      </w:r>
      <w:bookmarkEnd w:id="34"/>
    </w:p>
    <w:p w14:paraId="2BD28F2D">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1、甲方在乙方存在如下违约情况时，有权单方面终止全部或部分合同，并保留进一步追究乙方责任的权利（包括经济赔偿）。</w:t>
      </w:r>
    </w:p>
    <w:p w14:paraId="189872E2">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（1）乙方未能履行合同规定的义务；</w:t>
      </w:r>
    </w:p>
    <w:p w14:paraId="5A4DEA50">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（2）有严重影响甲方的正常工作及形象。</w:t>
      </w:r>
    </w:p>
    <w:p w14:paraId="315B57B2">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（3）与招标文件不符合的做法，或履行其投标文件的承诺。</w:t>
      </w:r>
    </w:p>
    <w:p w14:paraId="6854FAE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2、乙方如要提前</w:t>
      </w:r>
      <w:r>
        <w:rPr>
          <w:rFonts w:hint="eastAsia" w:cs="Times New Roman"/>
          <w:color w:val="auto"/>
          <w:sz w:val="22"/>
          <w:szCs w:val="22"/>
          <w:highlight w:val="none"/>
          <w:lang w:val="en-US" w:eastAsia="zh-CN"/>
        </w:rPr>
        <w:t>终止</w:t>
      </w:r>
      <w:r>
        <w:rPr>
          <w:rFonts w:hint="default" w:ascii="Times New Roman" w:hAnsi="Times New Roman" w:eastAsia="宋体" w:cs="Times New Roman"/>
          <w:color w:val="auto"/>
          <w:sz w:val="22"/>
          <w:szCs w:val="22"/>
          <w:highlight w:val="none"/>
        </w:rPr>
        <w:t>合同，需提前3个月，并征得甲方同意，否则按合同执行。</w:t>
      </w:r>
    </w:p>
    <w:p w14:paraId="7B9D042C">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3、除不可抗力</w:t>
      </w:r>
      <w:r>
        <w:rPr>
          <w:rFonts w:hint="eastAsia" w:cs="Times New Roman"/>
          <w:color w:val="auto"/>
          <w:sz w:val="22"/>
          <w:szCs w:val="22"/>
          <w:highlight w:val="none"/>
          <w:lang w:val="en-US" w:eastAsia="zh-CN"/>
        </w:rPr>
        <w:t>因素</w:t>
      </w:r>
      <w:r>
        <w:rPr>
          <w:rFonts w:hint="default" w:ascii="Times New Roman" w:hAnsi="Times New Roman" w:eastAsia="宋体" w:cs="Times New Roman"/>
          <w:color w:val="auto"/>
          <w:sz w:val="22"/>
          <w:szCs w:val="22"/>
          <w:highlight w:val="none"/>
        </w:rPr>
        <w:t>以外，如发生乙方不能履行合同义务，或甲方发生中途终止合同等情况，应</w:t>
      </w:r>
      <w:r>
        <w:rPr>
          <w:rFonts w:hint="eastAsia" w:cs="Times New Roman"/>
          <w:color w:val="auto"/>
          <w:sz w:val="22"/>
          <w:szCs w:val="22"/>
          <w:highlight w:val="none"/>
          <w:lang w:val="en-US" w:eastAsia="zh-CN"/>
        </w:rPr>
        <w:t>在情况发生之日起5日内</w:t>
      </w:r>
      <w:r>
        <w:rPr>
          <w:rFonts w:hint="default" w:ascii="Times New Roman" w:hAnsi="Times New Roman" w:eastAsia="宋体" w:cs="Times New Roman"/>
          <w:color w:val="auto"/>
          <w:sz w:val="22"/>
          <w:szCs w:val="22"/>
          <w:highlight w:val="none"/>
        </w:rPr>
        <w:t>以书面形式通知</w:t>
      </w:r>
      <w:r>
        <w:rPr>
          <w:rFonts w:hint="eastAsia" w:cs="Times New Roman"/>
          <w:color w:val="auto"/>
          <w:sz w:val="22"/>
          <w:szCs w:val="22"/>
          <w:highlight w:val="none"/>
          <w:lang w:val="en-US" w:eastAsia="zh-CN"/>
        </w:rPr>
        <w:t>到甲</w:t>
      </w:r>
      <w:r>
        <w:rPr>
          <w:rFonts w:hint="default" w:ascii="Times New Roman" w:hAnsi="Times New Roman" w:eastAsia="宋体" w:cs="Times New Roman"/>
          <w:color w:val="auto"/>
          <w:sz w:val="22"/>
          <w:szCs w:val="22"/>
          <w:highlight w:val="none"/>
        </w:rPr>
        <w:t>方。甲乙双方应本着友好的态度进行协商，妥善解决。如协商无效，按下列规定计算并支付违约金：</w:t>
      </w:r>
    </w:p>
    <w:p w14:paraId="2AE117E9">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（1）乙方不能履行合同义务，</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将不予退还。</w:t>
      </w:r>
    </w:p>
    <w:p w14:paraId="118E2BE6">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（2）如乙方未能履行合同规定的任何一项义务，甲方均有权从</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中得到补偿。</w:t>
      </w:r>
    </w:p>
    <w:p w14:paraId="1495F1A1">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（3）甲方发生中途终止合同（7.1条原因除外），应向乙方偿付违约金，违约金按未履行部分合同价格的2%计算。</w:t>
      </w:r>
    </w:p>
    <w:p w14:paraId="372E830D">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（4）经双方协商可终止部分或全部合同的，无须承担违约责任。</w:t>
      </w:r>
    </w:p>
    <w:p w14:paraId="30C8CDB5">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5" w:name="_Toc19998"/>
      <w:r>
        <w:rPr>
          <w:rFonts w:hint="default" w:ascii="Times New Roman" w:hAnsi="Times New Roman" w:eastAsia="宋体" w:cs="Times New Roman"/>
          <w:b/>
          <w:color w:val="auto"/>
          <w:sz w:val="22"/>
          <w:szCs w:val="22"/>
          <w:highlight w:val="none"/>
        </w:rPr>
        <w:t>十、破产终止合同</w:t>
      </w:r>
      <w:bookmarkEnd w:id="35"/>
    </w:p>
    <w:p w14:paraId="68A54C85">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如果乙方破产或无服务能力时，甲方可在任何时候以书面通知乙方终止合同。该终止合同将不损害或影响甲方已经采取或将要采取的补救措施的权利。</w:t>
      </w:r>
    </w:p>
    <w:p w14:paraId="3B18EF81">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6" w:name="_Toc28524"/>
      <w:r>
        <w:rPr>
          <w:rFonts w:hint="default" w:ascii="Times New Roman" w:hAnsi="Times New Roman" w:eastAsia="宋体" w:cs="Times New Roman"/>
          <w:b/>
          <w:color w:val="auto"/>
          <w:sz w:val="22"/>
          <w:szCs w:val="22"/>
          <w:highlight w:val="none"/>
        </w:rPr>
        <w:t>十一、</w:t>
      </w:r>
      <w:bookmarkEnd w:id="36"/>
      <w:r>
        <w:rPr>
          <w:rFonts w:hint="eastAsia" w:ascii="新宋体" w:hAnsi="新宋体" w:eastAsia="新宋体" w:cs="新宋体"/>
          <w:b/>
          <w:bCs/>
          <w:color w:val="auto"/>
          <w:sz w:val="22"/>
          <w:szCs w:val="22"/>
          <w:highlight w:val="none"/>
        </w:rPr>
        <w:t>争议解决</w:t>
      </w:r>
    </w:p>
    <w:p w14:paraId="21576B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shd w:val="clear" w:color="auto" w:fill="auto"/>
        </w:rPr>
      </w:pPr>
      <w:r>
        <w:rPr>
          <w:rFonts w:hint="default" w:ascii="Times New Roman" w:hAnsi="Times New Roman" w:eastAsia="新宋体" w:cs="Times New Roman"/>
          <w:color w:val="auto"/>
          <w:sz w:val="22"/>
          <w:highlight w:val="none"/>
          <w:shd w:val="clear" w:color="auto" w:fill="auto"/>
        </w:rPr>
        <w:t>1、凡与本合同有关的一切争议，甲乙双方应通过协商解决；如经协商或调解后仍不能</w:t>
      </w:r>
      <w:r>
        <w:rPr>
          <w:rFonts w:hint="eastAsia" w:eastAsia="新宋体" w:cs="Times New Roman"/>
          <w:color w:val="auto"/>
          <w:sz w:val="22"/>
          <w:highlight w:val="none"/>
          <w:shd w:val="clear" w:color="auto" w:fill="auto"/>
          <w:lang w:val="en-US" w:eastAsia="zh-CN"/>
        </w:rPr>
        <w:t>达成一致意见，双方可向温州市鹿城区人民法院</w:t>
      </w:r>
      <w:r>
        <w:rPr>
          <w:rFonts w:hint="default" w:ascii="Times New Roman" w:hAnsi="Times New Roman" w:eastAsia="新宋体" w:cs="Times New Roman"/>
          <w:color w:val="auto"/>
          <w:sz w:val="22"/>
          <w:highlight w:val="none"/>
          <w:shd w:val="clear" w:color="auto" w:fill="auto"/>
          <w:lang w:val="en-US" w:eastAsia="zh-CN"/>
        </w:rPr>
        <w:t>提起</w:t>
      </w:r>
      <w:r>
        <w:rPr>
          <w:rFonts w:hint="default" w:ascii="Times New Roman" w:hAnsi="Times New Roman" w:eastAsia="新宋体" w:cs="Times New Roman"/>
          <w:color w:val="auto"/>
          <w:sz w:val="22"/>
          <w:highlight w:val="none"/>
          <w:shd w:val="clear" w:color="auto" w:fill="auto"/>
        </w:rPr>
        <w:t>诉讼。</w:t>
      </w:r>
    </w:p>
    <w:p w14:paraId="30FFD4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default" w:ascii="Times New Roman" w:hAnsi="Times New Roman" w:eastAsia="宋体" w:cs="Times New Roman"/>
          <w:color w:val="auto"/>
          <w:sz w:val="22"/>
          <w:szCs w:val="22"/>
          <w:highlight w:val="none"/>
        </w:rPr>
      </w:pPr>
      <w:r>
        <w:rPr>
          <w:rFonts w:hint="default" w:ascii="Times New Roman" w:hAnsi="Times New Roman" w:eastAsia="新宋体" w:cs="Times New Roman"/>
          <w:color w:val="auto"/>
          <w:sz w:val="22"/>
          <w:highlight w:val="none"/>
          <w:shd w:val="clear" w:color="auto" w:fill="auto"/>
          <w:lang w:val="en-US" w:eastAsia="zh-CN"/>
        </w:rPr>
        <w:t>2</w:t>
      </w:r>
      <w:r>
        <w:rPr>
          <w:rFonts w:hint="default" w:ascii="Times New Roman" w:hAnsi="Times New Roman" w:eastAsia="新宋体" w:cs="Times New Roman"/>
          <w:color w:val="auto"/>
          <w:sz w:val="22"/>
          <w:highlight w:val="none"/>
          <w:shd w:val="clear" w:color="auto" w:fill="auto"/>
        </w:rPr>
        <w:t>、在诉讼期间，除有争议部分的事项外，合同其他部分仍继续履行。</w:t>
      </w:r>
    </w:p>
    <w:p w14:paraId="107E7791">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7" w:name="_Toc19324"/>
      <w:r>
        <w:rPr>
          <w:rFonts w:hint="default" w:ascii="Times New Roman" w:hAnsi="Times New Roman" w:eastAsia="宋体" w:cs="Times New Roman"/>
          <w:b/>
          <w:color w:val="auto"/>
          <w:sz w:val="22"/>
          <w:szCs w:val="22"/>
          <w:highlight w:val="none"/>
        </w:rPr>
        <w:t>十二、合同生效及其他</w:t>
      </w:r>
      <w:bookmarkEnd w:id="37"/>
    </w:p>
    <w:p w14:paraId="7EA937CA">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1、合同经双方签字并加盖公章后生效。</w:t>
      </w:r>
    </w:p>
    <w:p w14:paraId="2EFC41CE">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2、合同签定地点：合同执行地。</w:t>
      </w:r>
    </w:p>
    <w:p w14:paraId="721EC125">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3、合同执行中，如需修改或补充合同内容，经协商，双方应签署书面修改或补充协议。该协议将作为合同不可分割的一部分。</w:t>
      </w:r>
    </w:p>
    <w:p w14:paraId="5C9629F5">
      <w:pPr>
        <w:spacing w:line="460" w:lineRule="exact"/>
        <w:ind w:firstLine="442" w:firstLineChars="200"/>
        <w:outlineLvl w:val="9"/>
        <w:rPr>
          <w:rFonts w:hint="default" w:ascii="Times New Roman" w:hAnsi="Times New Roman" w:eastAsia="宋体" w:cs="Times New Roman"/>
          <w:b/>
          <w:color w:val="auto"/>
          <w:sz w:val="22"/>
          <w:szCs w:val="22"/>
          <w:highlight w:val="none"/>
        </w:rPr>
      </w:pPr>
      <w:bookmarkStart w:id="38" w:name="_Toc335"/>
      <w:r>
        <w:rPr>
          <w:rFonts w:hint="default" w:ascii="Times New Roman" w:hAnsi="Times New Roman" w:eastAsia="宋体" w:cs="Times New Roman"/>
          <w:b/>
          <w:color w:val="auto"/>
          <w:sz w:val="22"/>
          <w:szCs w:val="22"/>
          <w:highlight w:val="none"/>
        </w:rPr>
        <w:t>十三、其它</w:t>
      </w:r>
      <w:bookmarkEnd w:id="38"/>
    </w:p>
    <w:p w14:paraId="7E889FCA">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1、招标文件、补充文件、投标文件及答疑纪要、中标通知书等作为本合同的附件，与本合同具有同等法律效力。</w:t>
      </w:r>
    </w:p>
    <w:p w14:paraId="2A4D8AF6">
      <w:pPr>
        <w:spacing w:line="460" w:lineRule="exact"/>
        <w:ind w:firstLine="440" w:firstLineChars="200"/>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color w:val="auto"/>
          <w:sz w:val="22"/>
          <w:szCs w:val="22"/>
          <w:highlight w:val="none"/>
        </w:rPr>
        <w:t>2、本合同一式五份，双方各执二份，双方签字盖章后生效，违约及其处罚按</w:t>
      </w:r>
      <w:r>
        <w:rPr>
          <w:rFonts w:hint="eastAsia" w:ascii="Times New Roman" w:hAnsi="Times New Roman" w:eastAsia="宋体" w:cs="Times New Roman"/>
          <w:color w:val="auto"/>
          <w:sz w:val="22"/>
          <w:szCs w:val="22"/>
          <w:highlight w:val="none"/>
          <w:lang w:eastAsia="zh-CN"/>
        </w:rPr>
        <w:t>《中华人民共和国民法典》</w:t>
      </w:r>
      <w:r>
        <w:rPr>
          <w:rFonts w:hint="default" w:ascii="Times New Roman" w:hAnsi="Times New Roman" w:eastAsia="宋体" w:cs="Times New Roman"/>
          <w:color w:val="auto"/>
          <w:sz w:val="22"/>
          <w:szCs w:val="22"/>
          <w:highlight w:val="none"/>
        </w:rPr>
        <w:t>及本合</w:t>
      </w:r>
      <w:r>
        <w:rPr>
          <w:rFonts w:hint="default" w:ascii="Times New Roman" w:hAnsi="Times New Roman" w:eastAsia="宋体" w:cs="Times New Roman"/>
          <w:bCs/>
          <w:color w:val="auto"/>
          <w:sz w:val="22"/>
          <w:szCs w:val="22"/>
          <w:highlight w:val="none"/>
        </w:rPr>
        <w:t>同有关条款执行。</w:t>
      </w:r>
      <w:r>
        <w:rPr>
          <w:rFonts w:hint="default" w:ascii="Times New Roman" w:hAnsi="Times New Roman" w:eastAsia="宋体" w:cs="Times New Roman"/>
          <w:b/>
          <w:color w:val="auto"/>
          <w:sz w:val="22"/>
          <w:szCs w:val="22"/>
          <w:highlight w:val="none"/>
        </w:rPr>
        <w:t>一份送招标代理公司备案。</w:t>
      </w:r>
    </w:p>
    <w:p w14:paraId="3E93C08E">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3、以上协议未尽之处，双方协商解决。</w:t>
      </w:r>
    </w:p>
    <w:p w14:paraId="29ED2474">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甲方（公章）：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乙方（公章）：</w:t>
      </w:r>
    </w:p>
    <w:p w14:paraId="0807677F">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法定代表人</w:t>
      </w:r>
      <w:r>
        <w:rPr>
          <w:rFonts w:hint="default" w:ascii="Times New Roman" w:hAnsi="Times New Roman" w:eastAsia="宋体" w:cs="Times New Roman"/>
          <w:color w:val="auto"/>
          <w:sz w:val="22"/>
          <w:szCs w:val="22"/>
          <w:highlight w:val="none"/>
        </w:rPr>
        <w:t>或受委托人（签字或盖章）：</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法定代表人</w:t>
      </w:r>
      <w:r>
        <w:rPr>
          <w:rFonts w:hint="default" w:ascii="Times New Roman" w:hAnsi="Times New Roman" w:eastAsia="宋体" w:cs="Times New Roman"/>
          <w:color w:val="auto"/>
          <w:sz w:val="22"/>
          <w:szCs w:val="22"/>
          <w:highlight w:val="none"/>
        </w:rPr>
        <w:t>或受委托人（签定或盖章）：</w:t>
      </w:r>
    </w:p>
    <w:p w14:paraId="462A7793">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地址：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地址：</w:t>
      </w:r>
    </w:p>
    <w:p w14:paraId="769CD63E">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邮编：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邮编：</w:t>
      </w:r>
    </w:p>
    <w:p w14:paraId="019E9C1B">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电话：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电话：</w:t>
      </w:r>
    </w:p>
    <w:p w14:paraId="47E39740">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传真：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传真：</w:t>
      </w:r>
    </w:p>
    <w:p w14:paraId="5D8CAB49">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开户银行：                         </w:t>
      </w:r>
      <w:r>
        <w:rPr>
          <w:rFonts w:hint="default"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开户银行：</w:t>
      </w:r>
    </w:p>
    <w:p w14:paraId="027A1D81">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帐号：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帐号：</w:t>
      </w:r>
    </w:p>
    <w:p w14:paraId="7C439DA6">
      <w:pPr>
        <w:spacing w:line="460" w:lineRule="exact"/>
        <w:ind w:firstLine="440" w:firstLineChars="200"/>
        <w:rPr>
          <w:rFonts w:hint="eastAsia" w:ascii="宋体" w:hAnsi="宋体" w:eastAsia="宋体" w:cs="宋体"/>
          <w:b/>
          <w:color w:val="auto"/>
          <w:sz w:val="22"/>
          <w:szCs w:val="22"/>
          <w:highlight w:val="none"/>
        </w:rPr>
      </w:pPr>
      <w:r>
        <w:rPr>
          <w:rFonts w:hint="default" w:ascii="Times New Roman" w:hAnsi="Times New Roman" w:eastAsia="宋体" w:cs="Times New Roman"/>
          <w:color w:val="auto"/>
          <w:sz w:val="22"/>
          <w:szCs w:val="22"/>
          <w:highlight w:val="none"/>
        </w:rPr>
        <w:t xml:space="preserve">日期：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 xml:space="preserve"> </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日期：</w:t>
      </w:r>
    </w:p>
    <w:p w14:paraId="3C34A09A">
      <w:pPr>
        <w:spacing w:line="460" w:lineRule="exact"/>
        <w:ind w:firstLine="539" w:firstLineChars="245"/>
        <w:rPr>
          <w:rFonts w:hint="eastAsia" w:ascii="宋体" w:hAnsi="宋体" w:eastAsia="宋体" w:cs="宋体"/>
          <w:color w:val="auto"/>
          <w:sz w:val="22"/>
          <w:szCs w:val="22"/>
          <w:highlight w:val="none"/>
        </w:rPr>
      </w:pPr>
    </w:p>
    <w:p w14:paraId="39E071A7">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09CD6F89">
      <w:pPr>
        <w:pStyle w:val="4"/>
        <w:bidi w:val="0"/>
        <w:rPr>
          <w:rFonts w:hint="eastAsia" w:ascii="宋体" w:hAnsi="宋体" w:eastAsia="宋体" w:cs="宋体"/>
          <w:color w:val="auto"/>
          <w:highlight w:val="none"/>
        </w:rPr>
      </w:pPr>
      <w:bookmarkStart w:id="39" w:name="_Toc26541"/>
      <w:bookmarkStart w:id="40" w:name="_Toc19081"/>
      <w:r>
        <w:rPr>
          <w:rFonts w:hint="eastAsia" w:ascii="宋体" w:hAnsi="宋体" w:eastAsia="宋体" w:cs="宋体"/>
          <w:color w:val="auto"/>
          <w:highlight w:val="none"/>
        </w:rPr>
        <w:t>第三部分    附件</w:t>
      </w:r>
      <w:bookmarkEnd w:id="39"/>
      <w:bookmarkEnd w:id="40"/>
    </w:p>
    <w:p w14:paraId="22F9DC5C">
      <w:pPr>
        <w:pStyle w:val="2"/>
        <w:spacing w:line="460" w:lineRule="exact"/>
        <w:ind w:left="433" w:hanging="433" w:hangingChars="196"/>
        <w:outlineLvl w:val="1"/>
        <w:rPr>
          <w:rFonts w:hint="eastAsia" w:ascii="宋体" w:hAnsi="宋体" w:eastAsia="宋体" w:cs="宋体"/>
          <w:b/>
          <w:color w:val="auto"/>
          <w:sz w:val="22"/>
          <w:highlight w:val="none"/>
        </w:rPr>
      </w:pPr>
      <w:bookmarkStart w:id="41" w:name="_Toc10726"/>
      <w:bookmarkStart w:id="42" w:name="_Toc7056"/>
      <w:r>
        <w:rPr>
          <w:rFonts w:hint="eastAsia" w:ascii="宋体" w:hAnsi="宋体" w:eastAsia="宋体" w:cs="宋体"/>
          <w:b/>
          <w:color w:val="auto"/>
          <w:sz w:val="22"/>
          <w:highlight w:val="none"/>
        </w:rPr>
        <w:t>附件一</w:t>
      </w:r>
      <w:bookmarkEnd w:id="41"/>
      <w:bookmarkEnd w:id="42"/>
    </w:p>
    <w:p w14:paraId="5C4AE729">
      <w:pPr>
        <w:spacing w:line="400" w:lineRule="exact"/>
        <w:jc w:val="center"/>
        <w:outlineLvl w:val="2"/>
        <w:rPr>
          <w:rFonts w:hint="eastAsia" w:ascii="宋体" w:hAnsi="宋体" w:eastAsia="宋体" w:cs="宋体"/>
          <w:b/>
          <w:bCs/>
          <w:color w:val="auto"/>
          <w:sz w:val="28"/>
          <w:szCs w:val="28"/>
          <w:highlight w:val="none"/>
        </w:rPr>
      </w:pPr>
      <w:bookmarkStart w:id="43" w:name="_Toc465"/>
      <w:bookmarkStart w:id="44" w:name="_Toc13365"/>
      <w:r>
        <w:rPr>
          <w:rFonts w:hint="eastAsia" w:ascii="宋体" w:hAnsi="宋体" w:eastAsia="宋体" w:cs="宋体"/>
          <w:b/>
          <w:bCs/>
          <w:color w:val="auto"/>
          <w:sz w:val="28"/>
          <w:szCs w:val="28"/>
          <w:highlight w:val="none"/>
        </w:rPr>
        <w:t>报价文件</w:t>
      </w:r>
      <w:bookmarkEnd w:id="43"/>
      <w:bookmarkEnd w:id="44"/>
    </w:p>
    <w:p w14:paraId="6391706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40112D31">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温州市公安局交通管理局</w:t>
      </w:r>
    </w:p>
    <w:p w14:paraId="4A8C8BC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693B2F3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4A1F342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580B867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0F05A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42A85DB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818BCA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252A6C6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5CCDB3E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563CA0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3A1AFF1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32AF1E1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57AB1BB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58881A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79B28B8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9C559D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10C67C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083DCA8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0EA7DBE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6DFA75A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1ADAE0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3DD2A9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0FA0FA7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0644FA6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6FE954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20E66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5E66D96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0D9584E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74DFF21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60B68C1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3629E8B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5602E59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)项情形之一的，中标、成交无效。</w:t>
      </w:r>
    </w:p>
    <w:p w14:paraId="62D1DDA6">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7F7CB37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776CD056">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5106F52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2951911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C39FFD9">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7CDD0409">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11078102">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BC99556">
      <w:pPr>
        <w:pStyle w:val="2"/>
        <w:ind w:left="442" w:hanging="442"/>
        <w:rPr>
          <w:rFonts w:hint="eastAsia" w:ascii="宋体" w:hAnsi="宋体" w:eastAsia="宋体" w:cs="宋体"/>
          <w:b/>
          <w:bCs/>
          <w:color w:val="auto"/>
          <w:sz w:val="22"/>
          <w:szCs w:val="22"/>
          <w:highlight w:val="none"/>
        </w:rPr>
      </w:pPr>
    </w:p>
    <w:p w14:paraId="58D05267">
      <w:pPr>
        <w:pStyle w:val="2"/>
        <w:ind w:left="442" w:hanging="442"/>
        <w:rPr>
          <w:rFonts w:hint="eastAsia" w:ascii="宋体" w:hAnsi="宋体" w:eastAsia="宋体" w:cs="宋体"/>
          <w:b/>
          <w:bCs/>
          <w:color w:val="auto"/>
          <w:sz w:val="22"/>
          <w:szCs w:val="22"/>
          <w:highlight w:val="none"/>
        </w:rPr>
      </w:pPr>
    </w:p>
    <w:p w14:paraId="72B70D78">
      <w:pPr>
        <w:pStyle w:val="2"/>
        <w:ind w:left="442" w:hanging="442"/>
        <w:rPr>
          <w:rFonts w:hint="eastAsia" w:ascii="宋体" w:hAnsi="宋体" w:eastAsia="宋体" w:cs="宋体"/>
          <w:b/>
          <w:bCs/>
          <w:color w:val="auto"/>
          <w:sz w:val="22"/>
          <w:szCs w:val="22"/>
          <w:highlight w:val="none"/>
        </w:rPr>
      </w:pPr>
    </w:p>
    <w:p w14:paraId="2D3E6FFE">
      <w:pPr>
        <w:pStyle w:val="2"/>
        <w:ind w:left="442" w:hanging="442"/>
        <w:rPr>
          <w:rFonts w:hint="eastAsia" w:ascii="宋体" w:hAnsi="宋体" w:eastAsia="宋体" w:cs="宋体"/>
          <w:b/>
          <w:bCs/>
          <w:color w:val="auto"/>
          <w:sz w:val="22"/>
          <w:szCs w:val="22"/>
          <w:highlight w:val="none"/>
        </w:rPr>
      </w:pPr>
    </w:p>
    <w:p w14:paraId="51B71E7E">
      <w:pPr>
        <w:pStyle w:val="2"/>
        <w:ind w:left="442" w:hanging="442"/>
        <w:rPr>
          <w:rFonts w:hint="eastAsia" w:ascii="宋体" w:hAnsi="宋体" w:eastAsia="宋体" w:cs="宋体"/>
          <w:b/>
          <w:bCs/>
          <w:color w:val="auto"/>
          <w:sz w:val="22"/>
          <w:szCs w:val="22"/>
          <w:highlight w:val="none"/>
        </w:rPr>
      </w:pPr>
    </w:p>
    <w:p w14:paraId="6BA2CCE6">
      <w:pPr>
        <w:pStyle w:val="2"/>
        <w:ind w:left="442" w:hanging="442"/>
        <w:rPr>
          <w:rFonts w:hint="eastAsia" w:ascii="宋体" w:hAnsi="宋体" w:eastAsia="宋体" w:cs="宋体"/>
          <w:b/>
          <w:bCs/>
          <w:color w:val="auto"/>
          <w:sz w:val="22"/>
          <w:szCs w:val="22"/>
          <w:highlight w:val="none"/>
        </w:rPr>
      </w:pPr>
    </w:p>
    <w:p w14:paraId="4784A4E0">
      <w:pPr>
        <w:pStyle w:val="2"/>
        <w:ind w:left="442" w:hanging="442"/>
        <w:rPr>
          <w:rFonts w:hint="eastAsia" w:ascii="宋体" w:hAnsi="宋体" w:eastAsia="宋体" w:cs="宋体"/>
          <w:b/>
          <w:bCs/>
          <w:color w:val="auto"/>
          <w:sz w:val="22"/>
          <w:szCs w:val="22"/>
          <w:highlight w:val="none"/>
        </w:rPr>
      </w:pPr>
    </w:p>
    <w:p w14:paraId="7B59364C">
      <w:pPr>
        <w:pStyle w:val="2"/>
        <w:ind w:left="442" w:hanging="442"/>
        <w:rPr>
          <w:rFonts w:hint="eastAsia" w:ascii="宋体" w:hAnsi="宋体" w:eastAsia="宋体" w:cs="宋体"/>
          <w:b/>
          <w:bCs/>
          <w:color w:val="auto"/>
          <w:sz w:val="22"/>
          <w:szCs w:val="22"/>
          <w:highlight w:val="none"/>
        </w:rPr>
      </w:pPr>
    </w:p>
    <w:p w14:paraId="5907AE1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017654DA">
      <w:pPr>
        <w:pStyle w:val="2"/>
        <w:ind w:left="0" w:firstLine="0" w:firstLineChars="0"/>
        <w:rPr>
          <w:rFonts w:hint="eastAsia" w:ascii="宋体" w:hAnsi="宋体" w:eastAsia="宋体" w:cs="宋体"/>
          <w:b/>
          <w:bCs/>
          <w:color w:val="auto"/>
          <w:sz w:val="22"/>
          <w:szCs w:val="22"/>
          <w:highlight w:val="none"/>
        </w:rPr>
      </w:pPr>
    </w:p>
    <w:p w14:paraId="1B7FBC63">
      <w:pPr>
        <w:pStyle w:val="2"/>
        <w:ind w:left="0" w:firstLine="0" w:firstLineChars="0"/>
        <w:rPr>
          <w:rFonts w:hint="eastAsia" w:ascii="宋体" w:hAnsi="宋体" w:eastAsia="宋体" w:cs="宋体"/>
          <w:b/>
          <w:bCs/>
          <w:color w:val="auto"/>
          <w:sz w:val="22"/>
          <w:szCs w:val="22"/>
          <w:highlight w:val="none"/>
        </w:rPr>
      </w:pPr>
    </w:p>
    <w:p w14:paraId="5C29C235">
      <w:pPr>
        <w:spacing w:line="400" w:lineRule="exact"/>
        <w:jc w:val="center"/>
        <w:outlineLvl w:val="3"/>
        <w:rPr>
          <w:rFonts w:hint="default" w:ascii="Times New Roman" w:hAnsi="Times New Roman" w:eastAsia="宋体" w:cs="Times New Roman"/>
          <w:b/>
          <w:color w:val="auto"/>
          <w:sz w:val="22"/>
          <w:szCs w:val="22"/>
          <w:highlight w:val="none"/>
          <w:lang w:val="zh-CN"/>
        </w:rPr>
      </w:pPr>
      <w:r>
        <w:rPr>
          <w:rFonts w:hint="default" w:ascii="Times New Roman" w:hAnsi="Times New Roman" w:eastAsia="宋体" w:cs="Times New Roman"/>
          <w:b/>
          <w:color w:val="auto"/>
          <w:sz w:val="22"/>
          <w:szCs w:val="22"/>
          <w:highlight w:val="none"/>
        </w:rPr>
        <w:t>2、</w:t>
      </w:r>
      <w:r>
        <w:rPr>
          <w:rFonts w:hint="default" w:ascii="Times New Roman" w:hAnsi="Times New Roman" w:eastAsia="宋体" w:cs="Times New Roman"/>
          <w:b/>
          <w:color w:val="auto"/>
          <w:sz w:val="22"/>
          <w:szCs w:val="22"/>
          <w:highlight w:val="none"/>
          <w:lang w:val="zh-CN"/>
        </w:rPr>
        <w:t>投标报价一览表</w:t>
      </w:r>
    </w:p>
    <w:p w14:paraId="46591468">
      <w:pPr>
        <w:spacing w:line="380" w:lineRule="exact"/>
        <w:rPr>
          <w:rFonts w:hint="default" w:ascii="Times New Roman" w:hAnsi="Times New Roman" w:eastAsia="宋体" w:cs="Times New Roman"/>
          <w:b/>
          <w:color w:val="auto"/>
          <w:sz w:val="22"/>
          <w:highlight w:val="none"/>
        </w:rPr>
      </w:pPr>
      <w:r>
        <w:rPr>
          <w:rFonts w:hint="default" w:ascii="Times New Roman" w:hAnsi="Times New Roman" w:eastAsia="宋体" w:cs="Times New Roman"/>
          <w:b/>
          <w:bCs/>
          <w:color w:val="auto"/>
          <w:sz w:val="22"/>
          <w:szCs w:val="22"/>
          <w:highlight w:val="none"/>
        </w:rPr>
        <w:t xml:space="preserve"> 项目名称：                                         项目编号：</w:t>
      </w:r>
    </w:p>
    <w:tbl>
      <w:tblPr>
        <w:tblStyle w:val="5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5428"/>
        <w:gridCol w:w="1499"/>
        <w:gridCol w:w="1382"/>
      </w:tblGrid>
      <w:tr w14:paraId="77BD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6" w:type="dxa"/>
            <w:vAlign w:val="center"/>
          </w:tcPr>
          <w:p w14:paraId="52D473F3">
            <w:pPr>
              <w:spacing w:line="380" w:lineRule="exact"/>
              <w:jc w:val="center"/>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序号</w:t>
            </w:r>
          </w:p>
        </w:tc>
        <w:tc>
          <w:tcPr>
            <w:tcW w:w="5428" w:type="dxa"/>
            <w:vAlign w:val="center"/>
          </w:tcPr>
          <w:p w14:paraId="3D762788">
            <w:pPr>
              <w:spacing w:line="380" w:lineRule="exact"/>
              <w:jc w:val="center"/>
              <w:rPr>
                <w:rFonts w:hint="default" w:ascii="Times New Roman" w:hAnsi="Times New Roman" w:eastAsia="宋体" w:cs="Times New Roman"/>
                <w:color w:val="auto"/>
                <w:sz w:val="22"/>
                <w:highlight w:val="none"/>
              </w:rPr>
            </w:pPr>
            <w:r>
              <w:rPr>
                <w:rFonts w:hint="default" w:ascii="Times New Roman" w:hAnsi="Times New Roman" w:eastAsia="宋体" w:cs="Times New Roman"/>
                <w:bCs/>
                <w:color w:val="auto"/>
                <w:sz w:val="22"/>
                <w:szCs w:val="22"/>
                <w:highlight w:val="none"/>
              </w:rPr>
              <w:t>项目名称</w:t>
            </w:r>
          </w:p>
        </w:tc>
        <w:tc>
          <w:tcPr>
            <w:tcW w:w="1499" w:type="dxa"/>
            <w:vAlign w:val="center"/>
          </w:tcPr>
          <w:p w14:paraId="650DCA25">
            <w:pPr>
              <w:spacing w:line="380" w:lineRule="exact"/>
              <w:jc w:val="center"/>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lang w:val="en-US" w:eastAsia="zh-CN"/>
              </w:rPr>
              <w:t>投标报价（折扣率%）</w:t>
            </w:r>
          </w:p>
        </w:tc>
        <w:tc>
          <w:tcPr>
            <w:tcW w:w="1382" w:type="dxa"/>
            <w:vAlign w:val="center"/>
          </w:tcPr>
          <w:p w14:paraId="3C396F44">
            <w:pPr>
              <w:spacing w:line="380" w:lineRule="exact"/>
              <w:jc w:val="center"/>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备注</w:t>
            </w:r>
          </w:p>
        </w:tc>
      </w:tr>
      <w:tr w14:paraId="3499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06" w:type="dxa"/>
            <w:vMerge w:val="restart"/>
            <w:vAlign w:val="center"/>
          </w:tcPr>
          <w:p w14:paraId="70214EBE">
            <w:pPr>
              <w:spacing w:line="380" w:lineRule="exact"/>
              <w:jc w:val="center"/>
              <w:rPr>
                <w:rFonts w:hint="default" w:ascii="Times New Roman" w:hAnsi="Times New Roman" w:eastAsia="宋体" w:cs="Times New Roman"/>
                <w:color w:val="auto"/>
                <w:sz w:val="22"/>
                <w:highlight w:val="none"/>
                <w:lang w:val="en-US" w:eastAsia="zh-CN"/>
              </w:rPr>
            </w:pPr>
            <w:r>
              <w:rPr>
                <w:rFonts w:hint="default" w:ascii="Times New Roman" w:hAnsi="Times New Roman" w:eastAsia="宋体" w:cs="Times New Roman"/>
                <w:color w:val="auto"/>
                <w:sz w:val="22"/>
                <w:highlight w:val="none"/>
                <w:lang w:val="en-US" w:eastAsia="zh-CN"/>
              </w:rPr>
              <w:t>1</w:t>
            </w:r>
          </w:p>
        </w:tc>
        <w:tc>
          <w:tcPr>
            <w:tcW w:w="5428" w:type="dxa"/>
            <w:vMerge w:val="restart"/>
            <w:vAlign w:val="center"/>
          </w:tcPr>
          <w:p w14:paraId="13204275">
            <w:pPr>
              <w:spacing w:line="380" w:lineRule="exact"/>
              <w:jc w:val="center"/>
              <w:rPr>
                <w:rFonts w:hint="eastAsia" w:ascii="Times New Roman" w:hAnsi="Times New Roman" w:eastAsia="宋体" w:cs="Times New Roman"/>
                <w:color w:val="auto"/>
                <w:sz w:val="22"/>
                <w:highlight w:val="none"/>
                <w:lang w:eastAsia="zh-CN"/>
              </w:rPr>
            </w:pPr>
            <w:r>
              <w:rPr>
                <w:rFonts w:hint="eastAsia" w:cs="Times New Roman"/>
                <w:color w:val="auto"/>
                <w:sz w:val="22"/>
                <w:highlight w:val="none"/>
                <w:lang w:eastAsia="zh-CN"/>
              </w:rPr>
              <w:t>202</w:t>
            </w:r>
            <w:r>
              <w:rPr>
                <w:rFonts w:hint="eastAsia" w:cs="Times New Roman"/>
                <w:color w:val="auto"/>
                <w:sz w:val="22"/>
                <w:highlight w:val="none"/>
                <w:lang w:val="en-US" w:eastAsia="zh-CN"/>
              </w:rPr>
              <w:t>5</w:t>
            </w:r>
            <w:r>
              <w:rPr>
                <w:rFonts w:hint="eastAsia" w:cs="Times New Roman"/>
                <w:color w:val="auto"/>
                <w:sz w:val="22"/>
                <w:highlight w:val="none"/>
                <w:lang w:eastAsia="zh-CN"/>
              </w:rPr>
              <w:t>年交通违法(事故) 车辆司法鉴定服务项目</w:t>
            </w:r>
          </w:p>
        </w:tc>
        <w:tc>
          <w:tcPr>
            <w:tcW w:w="1499" w:type="dxa"/>
            <w:vMerge w:val="restart"/>
            <w:vAlign w:val="center"/>
          </w:tcPr>
          <w:p w14:paraId="395EC343">
            <w:pPr>
              <w:spacing w:line="380" w:lineRule="exact"/>
              <w:jc w:val="center"/>
              <w:rPr>
                <w:rFonts w:hint="default" w:ascii="Times New Roman" w:hAnsi="Times New Roman" w:eastAsia="宋体" w:cs="Times New Roman"/>
                <w:color w:val="auto"/>
                <w:sz w:val="22"/>
                <w:highlight w:val="none"/>
              </w:rPr>
            </w:pPr>
          </w:p>
        </w:tc>
        <w:tc>
          <w:tcPr>
            <w:tcW w:w="1382" w:type="dxa"/>
            <w:vMerge w:val="restart"/>
            <w:vAlign w:val="center"/>
          </w:tcPr>
          <w:p w14:paraId="46C566BA">
            <w:pPr>
              <w:spacing w:line="380" w:lineRule="exact"/>
              <w:jc w:val="center"/>
              <w:rPr>
                <w:rFonts w:hint="default" w:ascii="Times New Roman" w:hAnsi="Times New Roman" w:eastAsia="宋体" w:cs="Times New Roman"/>
                <w:color w:val="auto"/>
                <w:sz w:val="22"/>
                <w:highlight w:val="none"/>
              </w:rPr>
            </w:pPr>
          </w:p>
        </w:tc>
      </w:tr>
      <w:tr w14:paraId="553A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6" w:type="dxa"/>
            <w:vMerge w:val="continue"/>
            <w:vAlign w:val="center"/>
          </w:tcPr>
          <w:p w14:paraId="71AAADBC">
            <w:pPr>
              <w:spacing w:line="380" w:lineRule="exact"/>
              <w:jc w:val="center"/>
              <w:rPr>
                <w:rFonts w:hint="default" w:ascii="Times New Roman" w:hAnsi="Times New Roman" w:eastAsia="宋体" w:cs="Times New Roman"/>
                <w:color w:val="auto"/>
                <w:sz w:val="22"/>
                <w:highlight w:val="none"/>
              </w:rPr>
            </w:pPr>
          </w:p>
        </w:tc>
        <w:tc>
          <w:tcPr>
            <w:tcW w:w="5428" w:type="dxa"/>
            <w:vMerge w:val="continue"/>
            <w:vAlign w:val="center"/>
          </w:tcPr>
          <w:p w14:paraId="473AECE3">
            <w:pPr>
              <w:spacing w:line="380" w:lineRule="exact"/>
              <w:jc w:val="center"/>
              <w:rPr>
                <w:rFonts w:hint="default" w:ascii="Times New Roman" w:hAnsi="Times New Roman" w:eastAsia="宋体" w:cs="Times New Roman"/>
                <w:color w:val="auto"/>
                <w:sz w:val="22"/>
                <w:highlight w:val="none"/>
              </w:rPr>
            </w:pPr>
          </w:p>
        </w:tc>
        <w:tc>
          <w:tcPr>
            <w:tcW w:w="1499" w:type="dxa"/>
            <w:vMerge w:val="continue"/>
            <w:vAlign w:val="center"/>
          </w:tcPr>
          <w:p w14:paraId="29A747BD">
            <w:pPr>
              <w:spacing w:line="380" w:lineRule="exact"/>
              <w:jc w:val="center"/>
              <w:rPr>
                <w:rFonts w:hint="default" w:ascii="Times New Roman" w:hAnsi="Times New Roman" w:eastAsia="宋体" w:cs="Times New Roman"/>
                <w:color w:val="auto"/>
                <w:sz w:val="22"/>
                <w:highlight w:val="none"/>
              </w:rPr>
            </w:pPr>
          </w:p>
        </w:tc>
        <w:tc>
          <w:tcPr>
            <w:tcW w:w="1382" w:type="dxa"/>
            <w:vMerge w:val="continue"/>
            <w:vAlign w:val="center"/>
          </w:tcPr>
          <w:p w14:paraId="7FF05E26">
            <w:pPr>
              <w:spacing w:line="380" w:lineRule="exact"/>
              <w:jc w:val="center"/>
              <w:rPr>
                <w:rFonts w:hint="default" w:ascii="Times New Roman" w:hAnsi="Times New Roman" w:eastAsia="宋体" w:cs="Times New Roman"/>
                <w:color w:val="auto"/>
                <w:sz w:val="22"/>
                <w:highlight w:val="none"/>
              </w:rPr>
            </w:pPr>
          </w:p>
        </w:tc>
      </w:tr>
    </w:tbl>
    <w:p w14:paraId="0339890D">
      <w:pPr>
        <w:spacing w:line="400" w:lineRule="exact"/>
        <w:ind w:firstLine="541" w:firstLineChars="245"/>
        <w:rPr>
          <w:rFonts w:hint="default" w:ascii="Times New Roman" w:hAnsi="Times New Roman" w:eastAsia="宋体" w:cs="Times New Roman"/>
          <w:b/>
          <w:color w:val="auto"/>
          <w:sz w:val="22"/>
          <w:highlight w:val="none"/>
        </w:rPr>
      </w:pPr>
    </w:p>
    <w:p w14:paraId="60AEB225">
      <w:pPr>
        <w:spacing w:line="400" w:lineRule="exact"/>
        <w:ind w:firstLine="541" w:firstLineChars="245"/>
        <w:rPr>
          <w:rFonts w:hint="default" w:ascii="Times New Roman" w:hAnsi="Times New Roman" w:eastAsia="宋体" w:cs="Times New Roman"/>
          <w:b/>
          <w:color w:val="auto"/>
          <w:sz w:val="22"/>
          <w:highlight w:val="none"/>
        </w:rPr>
      </w:pPr>
      <w:r>
        <w:rPr>
          <w:rFonts w:hint="default" w:ascii="Times New Roman" w:hAnsi="Times New Roman" w:eastAsia="宋体" w:cs="Times New Roman"/>
          <w:b/>
          <w:color w:val="auto"/>
          <w:sz w:val="22"/>
          <w:highlight w:val="none"/>
        </w:rPr>
        <w:t>说明：</w:t>
      </w:r>
    </w:p>
    <w:p w14:paraId="2EFC66FA">
      <w:pPr>
        <w:numPr>
          <w:ilvl w:val="0"/>
          <w:numId w:val="2"/>
        </w:numPr>
        <w:spacing w:line="450" w:lineRule="exact"/>
        <w:ind w:firstLine="541" w:firstLineChars="245"/>
        <w:rPr>
          <w:rFonts w:hint="default" w:ascii="Times New Roman" w:hAnsi="Times New Roman" w:eastAsia="宋体" w:cs="Times New Roman"/>
          <w:b/>
          <w:color w:val="auto"/>
          <w:sz w:val="22"/>
          <w:highlight w:val="none"/>
        </w:rPr>
      </w:pPr>
      <w:r>
        <w:rPr>
          <w:rFonts w:hint="default" w:ascii="Times New Roman" w:hAnsi="Times New Roman" w:eastAsia="宋体" w:cs="Times New Roman"/>
          <w:b/>
          <w:color w:val="auto"/>
          <w:sz w:val="22"/>
          <w:highlight w:val="none"/>
        </w:rPr>
        <w:t>此栏投标报价应与附件一中</w:t>
      </w:r>
      <w:r>
        <w:rPr>
          <w:rFonts w:hint="eastAsia" w:cs="Times New Roman"/>
          <w:b/>
          <w:color w:val="auto"/>
          <w:sz w:val="22"/>
          <w:highlight w:val="none"/>
          <w:lang w:eastAsia="zh-CN"/>
        </w:rPr>
        <w:t>“</w:t>
      </w:r>
      <w:r>
        <w:rPr>
          <w:rFonts w:hint="default" w:ascii="Times New Roman" w:hAnsi="Times New Roman" w:eastAsia="宋体" w:cs="Times New Roman"/>
          <w:b/>
          <w:color w:val="auto"/>
          <w:sz w:val="22"/>
          <w:highlight w:val="none"/>
        </w:rPr>
        <w:t>3、投标分项报价表</w:t>
      </w:r>
      <w:r>
        <w:rPr>
          <w:rFonts w:hint="eastAsia" w:cs="Times New Roman"/>
          <w:b/>
          <w:color w:val="auto"/>
          <w:sz w:val="22"/>
          <w:highlight w:val="none"/>
          <w:lang w:eastAsia="zh-CN"/>
        </w:rPr>
        <w:t>”</w:t>
      </w:r>
      <w:r>
        <w:rPr>
          <w:rFonts w:hint="default" w:ascii="Times New Roman" w:hAnsi="Times New Roman" w:eastAsia="宋体" w:cs="Times New Roman"/>
          <w:b/>
          <w:color w:val="auto"/>
          <w:sz w:val="22"/>
          <w:highlight w:val="none"/>
        </w:rPr>
        <w:t>中的</w:t>
      </w:r>
      <w:r>
        <w:rPr>
          <w:rFonts w:hint="default" w:ascii="Times New Roman" w:hAnsi="Times New Roman" w:eastAsia="宋体" w:cs="Times New Roman"/>
          <w:b/>
          <w:color w:val="auto"/>
          <w:sz w:val="22"/>
          <w:highlight w:val="none"/>
          <w:lang w:eastAsia="zh-CN"/>
        </w:rPr>
        <w:t>投标报</w:t>
      </w:r>
      <w:r>
        <w:rPr>
          <w:rFonts w:hint="default" w:ascii="Times New Roman" w:hAnsi="Times New Roman" w:eastAsia="宋体" w:cs="Times New Roman"/>
          <w:b/>
          <w:color w:val="auto"/>
          <w:sz w:val="22"/>
          <w:highlight w:val="none"/>
        </w:rPr>
        <w:t>价相一致。</w:t>
      </w:r>
    </w:p>
    <w:p w14:paraId="6C961E4E">
      <w:pPr>
        <w:numPr>
          <w:ilvl w:val="0"/>
          <w:numId w:val="2"/>
        </w:numPr>
        <w:spacing w:line="450" w:lineRule="exact"/>
        <w:ind w:firstLine="541" w:firstLineChars="245"/>
        <w:rPr>
          <w:rFonts w:hint="default" w:ascii="Times New Roman" w:hAnsi="Times New Roman" w:eastAsia="宋体" w:cs="Times New Roman"/>
          <w:b/>
          <w:color w:val="auto"/>
          <w:sz w:val="22"/>
          <w:highlight w:val="none"/>
        </w:rPr>
      </w:pPr>
      <w:r>
        <w:rPr>
          <w:rFonts w:hint="default" w:ascii="Times New Roman" w:hAnsi="Times New Roman" w:eastAsia="宋体" w:cs="Times New Roman"/>
          <w:b/>
          <w:color w:val="auto"/>
          <w:sz w:val="22"/>
          <w:highlight w:val="none"/>
        </w:rPr>
        <w:t>不提供此表格将被视为没有实质性响应招标文件</w:t>
      </w:r>
    </w:p>
    <w:p w14:paraId="679C73D6">
      <w:pPr>
        <w:spacing w:line="400" w:lineRule="exact"/>
        <w:ind w:firstLine="5280" w:firstLineChars="24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00AC3936">
      <w:pPr>
        <w:spacing w:line="400" w:lineRule="exact"/>
        <w:ind w:firstLine="5280" w:firstLineChars="24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17D94CA6">
      <w:pPr>
        <w:spacing w:line="400" w:lineRule="exact"/>
        <w:ind w:firstLine="5280" w:firstLineChars="24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    期：</w:t>
      </w:r>
    </w:p>
    <w:p w14:paraId="0BF3D2D8">
      <w:pPr>
        <w:spacing w:line="400" w:lineRule="exact"/>
        <w:jc w:val="center"/>
        <w:outlineLvl w:val="9"/>
        <w:rPr>
          <w:rFonts w:hint="default" w:ascii="Times New Roman" w:hAnsi="Times New Roman" w:eastAsia="宋体" w:cs="Times New Roman"/>
          <w:b/>
          <w:color w:val="auto"/>
          <w:sz w:val="22"/>
          <w:szCs w:val="22"/>
          <w:highlight w:val="none"/>
        </w:rPr>
      </w:pPr>
    </w:p>
    <w:p w14:paraId="182F5536">
      <w:pP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br w:type="page"/>
      </w:r>
    </w:p>
    <w:p w14:paraId="1BFF09F9">
      <w:pPr>
        <w:spacing w:line="400" w:lineRule="exact"/>
        <w:jc w:val="center"/>
        <w:outlineLvl w:val="3"/>
        <w:rPr>
          <w:rFonts w:hint="default" w:ascii="Times New Roman" w:hAnsi="Times New Roman" w:eastAsia="宋体" w:cs="Times New Roman"/>
          <w:b/>
          <w:color w:val="auto"/>
          <w:sz w:val="22"/>
          <w:szCs w:val="22"/>
          <w:highlight w:val="none"/>
          <w:lang w:val="zh-CN"/>
        </w:rPr>
      </w:pPr>
      <w:r>
        <w:rPr>
          <w:rFonts w:hint="default" w:ascii="Times New Roman" w:hAnsi="Times New Roman" w:eastAsia="宋体" w:cs="Times New Roman"/>
          <w:b/>
          <w:color w:val="auto"/>
          <w:sz w:val="22"/>
          <w:szCs w:val="22"/>
          <w:highlight w:val="none"/>
          <w:lang w:val="en-US" w:eastAsia="zh-CN"/>
        </w:rPr>
        <w:t>3</w:t>
      </w:r>
      <w:r>
        <w:rPr>
          <w:rFonts w:hint="default" w:ascii="Times New Roman" w:hAnsi="Times New Roman" w:eastAsia="宋体" w:cs="Times New Roman"/>
          <w:b/>
          <w:color w:val="auto"/>
          <w:sz w:val="22"/>
          <w:szCs w:val="22"/>
          <w:highlight w:val="none"/>
        </w:rPr>
        <w:t>、</w:t>
      </w:r>
      <w:r>
        <w:rPr>
          <w:rFonts w:hint="default" w:ascii="Times New Roman" w:hAnsi="Times New Roman" w:eastAsia="宋体" w:cs="Times New Roman"/>
          <w:b/>
          <w:color w:val="auto"/>
          <w:sz w:val="22"/>
          <w:szCs w:val="22"/>
          <w:highlight w:val="none"/>
          <w:lang w:val="zh-CN"/>
        </w:rPr>
        <w:t>投标分项报价表</w:t>
      </w:r>
    </w:p>
    <w:p w14:paraId="0765E1CE">
      <w:pPr>
        <w:spacing w:line="380" w:lineRule="exact"/>
        <w:rPr>
          <w:rFonts w:hint="default"/>
          <w:color w:val="auto"/>
          <w:highlight w:val="none"/>
        </w:rPr>
      </w:pPr>
      <w:r>
        <w:rPr>
          <w:rFonts w:hint="default" w:ascii="Times New Roman" w:hAnsi="Times New Roman" w:eastAsia="宋体" w:cs="Times New Roman"/>
          <w:b/>
          <w:bCs/>
          <w:color w:val="auto"/>
          <w:sz w:val="22"/>
          <w:szCs w:val="22"/>
          <w:highlight w:val="none"/>
        </w:rPr>
        <w:t xml:space="preserve"> 项目名称：                                         项目编号：</w:t>
      </w:r>
    </w:p>
    <w:tbl>
      <w:tblPr>
        <w:tblStyle w:val="53"/>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3350"/>
        <w:gridCol w:w="663"/>
        <w:gridCol w:w="500"/>
        <w:gridCol w:w="1075"/>
        <w:gridCol w:w="1450"/>
        <w:gridCol w:w="1400"/>
        <w:gridCol w:w="1512"/>
      </w:tblGrid>
      <w:tr w14:paraId="655E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201B2744">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序号</w:t>
            </w:r>
          </w:p>
        </w:tc>
        <w:tc>
          <w:tcPr>
            <w:tcW w:w="3350" w:type="dxa"/>
            <w:vAlign w:val="center"/>
          </w:tcPr>
          <w:p w14:paraId="3719C10B">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鉴定项目名称</w:t>
            </w:r>
          </w:p>
        </w:tc>
        <w:tc>
          <w:tcPr>
            <w:tcW w:w="663" w:type="dxa"/>
            <w:vAlign w:val="center"/>
          </w:tcPr>
          <w:p w14:paraId="43882927">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计量单位</w:t>
            </w:r>
          </w:p>
        </w:tc>
        <w:tc>
          <w:tcPr>
            <w:tcW w:w="500" w:type="dxa"/>
            <w:vAlign w:val="center"/>
          </w:tcPr>
          <w:p w14:paraId="1272FA4D">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数量</w:t>
            </w:r>
          </w:p>
        </w:tc>
        <w:tc>
          <w:tcPr>
            <w:tcW w:w="1075" w:type="dxa"/>
            <w:vAlign w:val="center"/>
          </w:tcPr>
          <w:p w14:paraId="3C8EE3A6">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预算单价（元）</w:t>
            </w:r>
          </w:p>
        </w:tc>
        <w:tc>
          <w:tcPr>
            <w:tcW w:w="1450" w:type="dxa"/>
            <w:vAlign w:val="center"/>
          </w:tcPr>
          <w:p w14:paraId="32B5A592">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投标报价</w:t>
            </w:r>
          </w:p>
          <w:p w14:paraId="6C2FFE35">
            <w:pPr>
              <w:spacing w:line="460" w:lineRule="exact"/>
              <w:jc w:val="center"/>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折扣率%</w:t>
            </w:r>
            <w:r>
              <w:rPr>
                <w:rFonts w:hint="eastAsia" w:ascii="Times New Roman" w:hAnsi="Times New Roman" w:eastAsia="宋体" w:cs="Times New Roman"/>
                <w:color w:val="auto"/>
                <w:sz w:val="22"/>
                <w:szCs w:val="22"/>
                <w:highlight w:val="none"/>
                <w:lang w:eastAsia="zh-CN"/>
              </w:rPr>
              <w:t>）</w:t>
            </w:r>
          </w:p>
        </w:tc>
        <w:tc>
          <w:tcPr>
            <w:tcW w:w="1400" w:type="dxa"/>
            <w:vAlign w:val="center"/>
          </w:tcPr>
          <w:p w14:paraId="002A9D99">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最终鉴定费用单价（元）</w:t>
            </w:r>
          </w:p>
        </w:tc>
        <w:tc>
          <w:tcPr>
            <w:tcW w:w="1512" w:type="dxa"/>
            <w:vAlign w:val="center"/>
          </w:tcPr>
          <w:p w14:paraId="4EC461D9">
            <w:pPr>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备注</w:t>
            </w:r>
          </w:p>
        </w:tc>
      </w:tr>
      <w:tr w14:paraId="2A65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2BCC9FF2">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3350" w:type="dxa"/>
            <w:vAlign w:val="center"/>
          </w:tcPr>
          <w:p w14:paraId="01CBF05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具有行驶能力的汽车类交通事故安全技术鉴定</w:t>
            </w:r>
          </w:p>
        </w:tc>
        <w:tc>
          <w:tcPr>
            <w:tcW w:w="663" w:type="dxa"/>
            <w:vAlign w:val="center"/>
          </w:tcPr>
          <w:p w14:paraId="0D4DA8B1">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7A4D4538">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31F3BDFF">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380</w:t>
            </w:r>
          </w:p>
        </w:tc>
        <w:tc>
          <w:tcPr>
            <w:tcW w:w="1450" w:type="dxa"/>
            <w:vMerge w:val="restart"/>
            <w:vAlign w:val="center"/>
          </w:tcPr>
          <w:p w14:paraId="680F0A27">
            <w:pPr>
              <w:spacing w:line="460" w:lineRule="exact"/>
              <w:jc w:val="center"/>
              <w:rPr>
                <w:rFonts w:hint="default" w:ascii="Times New Roman" w:hAnsi="Times New Roman" w:eastAsia="宋体" w:cs="Times New Roman"/>
                <w:color w:val="auto"/>
                <w:sz w:val="22"/>
                <w:szCs w:val="22"/>
                <w:highlight w:val="none"/>
              </w:rPr>
            </w:pPr>
          </w:p>
        </w:tc>
        <w:tc>
          <w:tcPr>
            <w:tcW w:w="1400" w:type="dxa"/>
            <w:vAlign w:val="top"/>
          </w:tcPr>
          <w:p w14:paraId="5B7EEAFB">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7C42BAA3">
            <w:pPr>
              <w:widowControl/>
              <w:jc w:val="center"/>
              <w:rPr>
                <w:rFonts w:hint="default" w:ascii="Times New Roman" w:hAnsi="Times New Roman" w:eastAsia="宋体" w:cs="Times New Roman"/>
                <w:color w:val="auto"/>
                <w:sz w:val="22"/>
                <w:szCs w:val="22"/>
                <w:highlight w:val="none"/>
              </w:rPr>
            </w:pPr>
          </w:p>
        </w:tc>
      </w:tr>
      <w:tr w14:paraId="0585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1ADFAD6D">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2</w:t>
            </w:r>
          </w:p>
        </w:tc>
        <w:tc>
          <w:tcPr>
            <w:tcW w:w="3350" w:type="dxa"/>
            <w:vAlign w:val="center"/>
          </w:tcPr>
          <w:p w14:paraId="181814B4">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失去行驶能力的汽车类交通事故安全技术鉴定</w:t>
            </w:r>
          </w:p>
        </w:tc>
        <w:tc>
          <w:tcPr>
            <w:tcW w:w="663" w:type="dxa"/>
            <w:vAlign w:val="center"/>
          </w:tcPr>
          <w:p w14:paraId="5B104B4B">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4EAF11A3">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6C3D86B0">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380</w:t>
            </w:r>
          </w:p>
        </w:tc>
        <w:tc>
          <w:tcPr>
            <w:tcW w:w="1450" w:type="dxa"/>
            <w:vMerge w:val="continue"/>
            <w:vAlign w:val="top"/>
          </w:tcPr>
          <w:p w14:paraId="5590AC46">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34B9B8A2">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26FEC57C">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包含拆检费</w:t>
            </w:r>
            <w:r>
              <w:rPr>
                <w:rFonts w:hint="eastAsia" w:ascii="Times New Roman" w:hAnsi="Times New Roman" w:eastAsia="宋体" w:cs="Times New Roman"/>
                <w:color w:val="auto"/>
                <w:kern w:val="0"/>
                <w:sz w:val="22"/>
                <w:highlight w:val="none"/>
                <w:lang w:eastAsia="zh-CN"/>
              </w:rPr>
              <w:t>（</w:t>
            </w:r>
            <w:r>
              <w:rPr>
                <w:rFonts w:hint="default" w:ascii="Times New Roman" w:hAnsi="Times New Roman" w:eastAsia="宋体" w:cs="Times New Roman"/>
                <w:color w:val="auto"/>
                <w:kern w:val="0"/>
                <w:sz w:val="22"/>
                <w:highlight w:val="none"/>
              </w:rPr>
              <w:t>新增</w:t>
            </w:r>
            <w:r>
              <w:rPr>
                <w:rFonts w:hint="eastAsia" w:ascii="Times New Roman" w:hAnsi="Times New Roman" w:eastAsia="宋体" w:cs="Times New Roman"/>
                <w:color w:val="auto"/>
                <w:kern w:val="0"/>
                <w:sz w:val="22"/>
                <w:highlight w:val="none"/>
                <w:lang w:eastAsia="zh-CN"/>
              </w:rPr>
              <w:t>）</w:t>
            </w:r>
          </w:p>
        </w:tc>
      </w:tr>
      <w:tr w14:paraId="6976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7C882DE9">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3</w:t>
            </w:r>
          </w:p>
        </w:tc>
        <w:tc>
          <w:tcPr>
            <w:tcW w:w="3350" w:type="dxa"/>
            <w:vAlign w:val="center"/>
          </w:tcPr>
          <w:p w14:paraId="48D3020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摩托车、二轮、三轮电动车、电动自行车交通事故安全技术鉴定</w:t>
            </w:r>
          </w:p>
        </w:tc>
        <w:tc>
          <w:tcPr>
            <w:tcW w:w="663" w:type="dxa"/>
            <w:vAlign w:val="center"/>
          </w:tcPr>
          <w:p w14:paraId="3A81783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613700E9">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478B054A">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200</w:t>
            </w:r>
          </w:p>
        </w:tc>
        <w:tc>
          <w:tcPr>
            <w:tcW w:w="1450" w:type="dxa"/>
            <w:vMerge w:val="continue"/>
            <w:vAlign w:val="top"/>
          </w:tcPr>
          <w:p w14:paraId="485ADE3A">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39A1D49C">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1F08C0B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不含类型鉴定</w:t>
            </w:r>
          </w:p>
        </w:tc>
      </w:tr>
      <w:tr w14:paraId="105F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7" w:type="dxa"/>
            <w:vAlign w:val="center"/>
          </w:tcPr>
          <w:p w14:paraId="391C6772">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4</w:t>
            </w:r>
          </w:p>
        </w:tc>
        <w:tc>
          <w:tcPr>
            <w:tcW w:w="3350" w:type="dxa"/>
            <w:vAlign w:val="center"/>
          </w:tcPr>
          <w:p w14:paraId="115D8EE4">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车辆类型鉴定</w:t>
            </w:r>
          </w:p>
        </w:tc>
        <w:tc>
          <w:tcPr>
            <w:tcW w:w="663" w:type="dxa"/>
            <w:vAlign w:val="center"/>
          </w:tcPr>
          <w:p w14:paraId="542B3B6D">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1E64C84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46301FFD">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200</w:t>
            </w:r>
          </w:p>
        </w:tc>
        <w:tc>
          <w:tcPr>
            <w:tcW w:w="1450" w:type="dxa"/>
            <w:vMerge w:val="continue"/>
            <w:vAlign w:val="top"/>
          </w:tcPr>
          <w:p w14:paraId="5B69DD55">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3AD55A1F">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0FE55DB5">
            <w:pPr>
              <w:widowControl/>
              <w:jc w:val="center"/>
              <w:rPr>
                <w:rFonts w:hint="default" w:ascii="Times New Roman" w:hAnsi="Times New Roman" w:eastAsia="宋体" w:cs="Times New Roman"/>
                <w:color w:val="auto"/>
                <w:sz w:val="22"/>
                <w:szCs w:val="22"/>
                <w:highlight w:val="none"/>
              </w:rPr>
            </w:pPr>
          </w:p>
        </w:tc>
      </w:tr>
      <w:tr w14:paraId="0DBF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7" w:type="dxa"/>
            <w:vAlign w:val="center"/>
          </w:tcPr>
          <w:p w14:paraId="76E82FC9">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5</w:t>
            </w:r>
          </w:p>
        </w:tc>
        <w:tc>
          <w:tcPr>
            <w:tcW w:w="3350" w:type="dxa"/>
            <w:vAlign w:val="center"/>
          </w:tcPr>
          <w:p w14:paraId="29EC7F62">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自行车、人力三轮车</w:t>
            </w:r>
          </w:p>
        </w:tc>
        <w:tc>
          <w:tcPr>
            <w:tcW w:w="663" w:type="dxa"/>
            <w:vAlign w:val="center"/>
          </w:tcPr>
          <w:p w14:paraId="7DA1C1C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0FD85D2A">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55764AC5">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100</w:t>
            </w:r>
          </w:p>
        </w:tc>
        <w:tc>
          <w:tcPr>
            <w:tcW w:w="1450" w:type="dxa"/>
            <w:vMerge w:val="continue"/>
            <w:vAlign w:val="top"/>
          </w:tcPr>
          <w:p w14:paraId="5D03623B">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756524A7">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06DD0FA1">
            <w:pPr>
              <w:widowControl/>
              <w:jc w:val="center"/>
              <w:rPr>
                <w:rFonts w:hint="default" w:ascii="Times New Roman" w:hAnsi="Times New Roman" w:eastAsia="宋体" w:cs="Times New Roman"/>
                <w:color w:val="auto"/>
                <w:sz w:val="22"/>
                <w:szCs w:val="22"/>
                <w:highlight w:val="none"/>
              </w:rPr>
            </w:pPr>
          </w:p>
        </w:tc>
      </w:tr>
      <w:tr w14:paraId="3EEE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2B1464F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6</w:t>
            </w:r>
          </w:p>
        </w:tc>
        <w:tc>
          <w:tcPr>
            <w:tcW w:w="3350" w:type="dxa"/>
            <w:vAlign w:val="center"/>
          </w:tcPr>
          <w:p w14:paraId="7C59AB3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汽车套牌车辆鉴定</w:t>
            </w:r>
          </w:p>
        </w:tc>
        <w:tc>
          <w:tcPr>
            <w:tcW w:w="663" w:type="dxa"/>
            <w:vAlign w:val="center"/>
          </w:tcPr>
          <w:p w14:paraId="6AD1062B">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0EF8DB2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219B3B46">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1500</w:t>
            </w:r>
          </w:p>
        </w:tc>
        <w:tc>
          <w:tcPr>
            <w:tcW w:w="1450" w:type="dxa"/>
            <w:vMerge w:val="continue"/>
            <w:vAlign w:val="top"/>
          </w:tcPr>
          <w:p w14:paraId="09DD7384">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63F9E3FA">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557A0F7E">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包括车辆唯一性鉴定</w:t>
            </w:r>
          </w:p>
        </w:tc>
      </w:tr>
      <w:tr w14:paraId="17DC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77" w:type="dxa"/>
            <w:vAlign w:val="center"/>
          </w:tcPr>
          <w:p w14:paraId="7859917C">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7</w:t>
            </w:r>
          </w:p>
        </w:tc>
        <w:tc>
          <w:tcPr>
            <w:tcW w:w="3350" w:type="dxa"/>
            <w:vAlign w:val="center"/>
          </w:tcPr>
          <w:p w14:paraId="68661B78">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轮胎损坏原因鉴定</w:t>
            </w:r>
          </w:p>
        </w:tc>
        <w:tc>
          <w:tcPr>
            <w:tcW w:w="663" w:type="dxa"/>
            <w:vAlign w:val="center"/>
          </w:tcPr>
          <w:p w14:paraId="760D6256">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只</w:t>
            </w:r>
          </w:p>
        </w:tc>
        <w:tc>
          <w:tcPr>
            <w:tcW w:w="500" w:type="dxa"/>
            <w:vAlign w:val="center"/>
          </w:tcPr>
          <w:p w14:paraId="12D23E9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2F6826C2">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1000</w:t>
            </w:r>
          </w:p>
        </w:tc>
        <w:tc>
          <w:tcPr>
            <w:tcW w:w="1450" w:type="dxa"/>
            <w:vMerge w:val="continue"/>
            <w:vAlign w:val="top"/>
          </w:tcPr>
          <w:p w14:paraId="130BA3B3">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3718EAAF">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7EC86D0D">
            <w:pPr>
              <w:widowControl/>
              <w:jc w:val="center"/>
              <w:rPr>
                <w:rFonts w:hint="default" w:ascii="Times New Roman" w:hAnsi="Times New Roman" w:eastAsia="宋体" w:cs="Times New Roman"/>
                <w:color w:val="auto"/>
                <w:sz w:val="22"/>
                <w:szCs w:val="22"/>
                <w:highlight w:val="none"/>
              </w:rPr>
            </w:pPr>
          </w:p>
        </w:tc>
      </w:tr>
      <w:tr w14:paraId="114C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77" w:type="dxa"/>
            <w:vAlign w:val="center"/>
          </w:tcPr>
          <w:p w14:paraId="61C32FAA">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8</w:t>
            </w:r>
          </w:p>
        </w:tc>
        <w:tc>
          <w:tcPr>
            <w:tcW w:w="3350" w:type="dxa"/>
            <w:vAlign w:val="center"/>
          </w:tcPr>
          <w:p w14:paraId="27131144">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车速鉴定</w:t>
            </w:r>
          </w:p>
        </w:tc>
        <w:tc>
          <w:tcPr>
            <w:tcW w:w="663" w:type="dxa"/>
            <w:vAlign w:val="center"/>
          </w:tcPr>
          <w:p w14:paraId="0E620EA9">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37C71BC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7EFEB9DB">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3000</w:t>
            </w:r>
          </w:p>
        </w:tc>
        <w:tc>
          <w:tcPr>
            <w:tcW w:w="1450" w:type="dxa"/>
            <w:vMerge w:val="continue"/>
            <w:vAlign w:val="top"/>
          </w:tcPr>
          <w:p w14:paraId="6407DAA3">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72AAB1DD">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735556B3">
            <w:pPr>
              <w:widowControl/>
              <w:jc w:val="center"/>
              <w:rPr>
                <w:rFonts w:hint="default" w:ascii="Times New Roman" w:hAnsi="Times New Roman" w:eastAsia="宋体" w:cs="Times New Roman"/>
                <w:color w:val="auto"/>
                <w:sz w:val="22"/>
                <w:szCs w:val="22"/>
                <w:highlight w:val="none"/>
              </w:rPr>
            </w:pPr>
          </w:p>
        </w:tc>
      </w:tr>
      <w:tr w14:paraId="221F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73B528FC">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9</w:t>
            </w:r>
          </w:p>
        </w:tc>
        <w:tc>
          <w:tcPr>
            <w:tcW w:w="3350" w:type="dxa"/>
            <w:vAlign w:val="center"/>
          </w:tcPr>
          <w:p w14:paraId="60D2B859">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交通事故痕迹鉴定</w:t>
            </w:r>
          </w:p>
        </w:tc>
        <w:tc>
          <w:tcPr>
            <w:tcW w:w="663" w:type="dxa"/>
            <w:vAlign w:val="center"/>
          </w:tcPr>
          <w:p w14:paraId="21C21DEA">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601D1214">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313C2D14">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1450</w:t>
            </w:r>
          </w:p>
        </w:tc>
        <w:tc>
          <w:tcPr>
            <w:tcW w:w="1450" w:type="dxa"/>
            <w:vMerge w:val="continue"/>
            <w:vAlign w:val="top"/>
          </w:tcPr>
          <w:p w14:paraId="03191FDC">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11BE2E4F">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73B03247">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包括是否改装鉴定，不包括微量鉴定</w:t>
            </w:r>
          </w:p>
        </w:tc>
      </w:tr>
      <w:tr w14:paraId="2016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68E10598">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10</w:t>
            </w:r>
          </w:p>
        </w:tc>
        <w:tc>
          <w:tcPr>
            <w:tcW w:w="3350" w:type="dxa"/>
            <w:vAlign w:val="center"/>
          </w:tcPr>
          <w:p w14:paraId="32216BA0">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信号灯状态鉴定</w:t>
            </w:r>
          </w:p>
        </w:tc>
        <w:tc>
          <w:tcPr>
            <w:tcW w:w="663" w:type="dxa"/>
            <w:vAlign w:val="center"/>
          </w:tcPr>
          <w:p w14:paraId="5A8C62CF">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522CE8A4">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3480E696">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3000</w:t>
            </w:r>
          </w:p>
        </w:tc>
        <w:tc>
          <w:tcPr>
            <w:tcW w:w="1450" w:type="dxa"/>
            <w:vMerge w:val="continue"/>
            <w:vAlign w:val="top"/>
          </w:tcPr>
          <w:p w14:paraId="587C900A">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73525A15">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08472DE9">
            <w:pPr>
              <w:widowControl/>
              <w:jc w:val="center"/>
              <w:rPr>
                <w:rFonts w:hint="default" w:ascii="Times New Roman" w:hAnsi="Times New Roman" w:eastAsia="宋体" w:cs="Times New Roman"/>
                <w:color w:val="auto"/>
                <w:sz w:val="22"/>
                <w:szCs w:val="22"/>
                <w:highlight w:val="none"/>
              </w:rPr>
            </w:pPr>
          </w:p>
        </w:tc>
      </w:tr>
      <w:tr w14:paraId="1C34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7" w:type="dxa"/>
            <w:vAlign w:val="center"/>
          </w:tcPr>
          <w:p w14:paraId="01FC0737">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11</w:t>
            </w:r>
          </w:p>
        </w:tc>
        <w:tc>
          <w:tcPr>
            <w:tcW w:w="3350" w:type="dxa"/>
            <w:vAlign w:val="center"/>
          </w:tcPr>
          <w:p w14:paraId="6EB2E737">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车辆起火原因鉴定</w:t>
            </w:r>
          </w:p>
        </w:tc>
        <w:tc>
          <w:tcPr>
            <w:tcW w:w="663" w:type="dxa"/>
            <w:vAlign w:val="center"/>
          </w:tcPr>
          <w:p w14:paraId="631A12AD">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辆</w:t>
            </w:r>
          </w:p>
        </w:tc>
        <w:tc>
          <w:tcPr>
            <w:tcW w:w="500" w:type="dxa"/>
            <w:vAlign w:val="center"/>
          </w:tcPr>
          <w:p w14:paraId="25D327A6">
            <w:pPr>
              <w:widowControl/>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highlight w:val="none"/>
              </w:rPr>
              <w:t>1</w:t>
            </w:r>
          </w:p>
        </w:tc>
        <w:tc>
          <w:tcPr>
            <w:tcW w:w="1075" w:type="dxa"/>
            <w:vAlign w:val="center"/>
          </w:tcPr>
          <w:p w14:paraId="112CF32F">
            <w:pPr>
              <w:widowControl/>
              <w:jc w:val="center"/>
              <w:rPr>
                <w:rFonts w:hint="default" w:ascii="Times New Roman" w:hAnsi="Times New Roman" w:eastAsia="宋体" w:cs="Times New Roman"/>
                <w:color w:val="auto"/>
                <w:sz w:val="22"/>
                <w:szCs w:val="22"/>
                <w:highlight w:val="none"/>
              </w:rPr>
            </w:pPr>
            <w:r>
              <w:rPr>
                <w:rFonts w:hint="eastAsia" w:cs="Times New Roman"/>
                <w:color w:val="auto"/>
                <w:kern w:val="0"/>
                <w:sz w:val="22"/>
                <w:highlight w:val="none"/>
                <w:lang w:val="en-US" w:eastAsia="zh-CN"/>
              </w:rPr>
              <w:t>4000</w:t>
            </w:r>
          </w:p>
        </w:tc>
        <w:tc>
          <w:tcPr>
            <w:tcW w:w="1450" w:type="dxa"/>
            <w:vMerge w:val="continue"/>
            <w:vAlign w:val="top"/>
          </w:tcPr>
          <w:p w14:paraId="159DD107">
            <w:pPr>
              <w:spacing w:line="460" w:lineRule="exact"/>
              <w:rPr>
                <w:rFonts w:hint="default" w:ascii="Times New Roman" w:hAnsi="Times New Roman" w:eastAsia="宋体" w:cs="Times New Roman"/>
                <w:color w:val="auto"/>
                <w:sz w:val="22"/>
                <w:szCs w:val="22"/>
                <w:highlight w:val="none"/>
              </w:rPr>
            </w:pPr>
          </w:p>
        </w:tc>
        <w:tc>
          <w:tcPr>
            <w:tcW w:w="1400" w:type="dxa"/>
            <w:vAlign w:val="top"/>
          </w:tcPr>
          <w:p w14:paraId="4925EC4D">
            <w:pPr>
              <w:spacing w:line="460" w:lineRule="exact"/>
              <w:rPr>
                <w:rFonts w:hint="default" w:ascii="Times New Roman" w:hAnsi="Times New Roman" w:eastAsia="宋体" w:cs="Times New Roman"/>
                <w:color w:val="auto"/>
                <w:sz w:val="22"/>
                <w:szCs w:val="22"/>
                <w:highlight w:val="none"/>
              </w:rPr>
            </w:pPr>
          </w:p>
        </w:tc>
        <w:tc>
          <w:tcPr>
            <w:tcW w:w="1512" w:type="dxa"/>
            <w:vAlign w:val="center"/>
          </w:tcPr>
          <w:p w14:paraId="0AE6814E">
            <w:pPr>
              <w:widowControl/>
              <w:jc w:val="center"/>
              <w:rPr>
                <w:rFonts w:hint="default" w:ascii="Times New Roman" w:hAnsi="Times New Roman" w:eastAsia="宋体" w:cs="Times New Roman"/>
                <w:color w:val="auto"/>
                <w:sz w:val="22"/>
                <w:szCs w:val="22"/>
                <w:highlight w:val="none"/>
              </w:rPr>
            </w:pPr>
          </w:p>
        </w:tc>
      </w:tr>
      <w:tr w14:paraId="2D1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27" w:type="dxa"/>
            <w:gridSpan w:val="8"/>
            <w:vAlign w:val="center"/>
          </w:tcPr>
          <w:p w14:paraId="24B88F18">
            <w:pPr>
              <w:spacing w:line="4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说明</w:t>
            </w:r>
            <w:r>
              <w:rPr>
                <w:rFonts w:hint="default" w:ascii="Times New Roman" w:hAnsi="Times New Roman" w:eastAsia="宋体" w:cs="Times New Roman"/>
                <w:color w:val="auto"/>
                <w:sz w:val="22"/>
                <w:szCs w:val="22"/>
                <w:highlight w:val="none"/>
              </w:rPr>
              <w:t>：</w:t>
            </w:r>
            <w:r>
              <w:rPr>
                <w:rFonts w:ascii="Times New Roman" w:hAnsi="Times New Roman" w:eastAsia="宋体" w:cs="Times New Roman"/>
                <w:color w:val="auto"/>
                <w:kern w:val="0"/>
                <w:sz w:val="22"/>
                <w:highlight w:val="none"/>
              </w:rPr>
              <w:t>1</w:t>
            </w:r>
            <w:r>
              <w:rPr>
                <w:rFonts w:hint="eastAsia" w:ascii="宋体" w:hAnsi="宋体" w:eastAsia="宋体" w:cs="Times New Roman"/>
                <w:color w:val="auto"/>
                <w:kern w:val="0"/>
                <w:sz w:val="22"/>
                <w:highlight w:val="none"/>
              </w:rPr>
              <w:t>、汽车类包括汽车及汽车列车、轮式专用机械车、挂车、特型机动车和上道路行驶拖拉机。</w:t>
            </w:r>
          </w:p>
          <w:p w14:paraId="477417C1">
            <w:pPr>
              <w:spacing w:line="4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      </w:t>
            </w:r>
            <w:r>
              <w:rPr>
                <w:rFonts w:ascii="Times New Roman" w:hAnsi="Times New Roman" w:eastAsia="宋体" w:cs="Times New Roman"/>
                <w:color w:val="auto"/>
                <w:kern w:val="0"/>
                <w:sz w:val="22"/>
                <w:highlight w:val="none"/>
              </w:rPr>
              <w:t>2</w:t>
            </w:r>
            <w:r>
              <w:rPr>
                <w:rFonts w:hint="eastAsia" w:ascii="宋体" w:hAnsi="宋体" w:eastAsia="宋体" w:cs="Times New Roman"/>
                <w:color w:val="auto"/>
                <w:kern w:val="0"/>
                <w:sz w:val="22"/>
                <w:highlight w:val="none"/>
              </w:rPr>
              <w:t>、涉及疑难、复杂鉴定，双方协商确定。</w:t>
            </w:r>
          </w:p>
        </w:tc>
      </w:tr>
    </w:tbl>
    <w:p w14:paraId="2F2F33BB">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color w:val="auto"/>
          <w:sz w:val="22"/>
          <w:szCs w:val="22"/>
          <w:highlight w:val="none"/>
        </w:rPr>
        <w:t>说明：1、</w:t>
      </w:r>
      <w:r>
        <w:rPr>
          <w:rFonts w:hint="default" w:ascii="Times New Roman" w:hAnsi="Times New Roman" w:eastAsia="宋体" w:cs="Times New Roman"/>
          <w:b/>
          <w:bCs/>
          <w:color w:val="auto"/>
          <w:sz w:val="22"/>
          <w:szCs w:val="22"/>
          <w:highlight w:val="none"/>
        </w:rPr>
        <w:t>报价是指投标人在各项鉴定项目预算价的基础上进行折扣率报价</w:t>
      </w:r>
      <w:r>
        <w:rPr>
          <w:rFonts w:hint="eastAsia" w:cs="Times New Roman"/>
          <w:b/>
          <w:bCs/>
          <w:color w:val="auto"/>
          <w:sz w:val="22"/>
          <w:szCs w:val="22"/>
          <w:highlight w:val="none"/>
          <w:lang w:eastAsia="zh-CN"/>
        </w:rPr>
        <w:t>，</w:t>
      </w:r>
      <w:r>
        <w:rPr>
          <w:rFonts w:hint="default" w:ascii="Times New Roman" w:hAnsi="Times New Roman" w:eastAsia="宋体" w:cs="Times New Roman"/>
          <w:b/>
          <w:bCs/>
          <w:color w:val="auto"/>
          <w:sz w:val="22"/>
          <w:szCs w:val="22"/>
          <w:highlight w:val="none"/>
        </w:rPr>
        <w:t>所有的鉴定项目只报一个折扣率</w:t>
      </w:r>
      <w:r>
        <w:rPr>
          <w:rFonts w:hint="eastAsia" w:cs="Times New Roman"/>
          <w:b/>
          <w:bCs/>
          <w:color w:val="auto"/>
          <w:sz w:val="22"/>
          <w:szCs w:val="22"/>
          <w:highlight w:val="none"/>
          <w:lang w:eastAsia="zh-CN"/>
        </w:rPr>
        <w:t>，</w:t>
      </w:r>
      <w:r>
        <w:rPr>
          <w:rFonts w:hint="default" w:ascii="Times New Roman" w:hAnsi="Times New Roman" w:eastAsia="宋体" w:cs="Times New Roman"/>
          <w:b/>
          <w:bCs/>
          <w:color w:val="auto"/>
          <w:sz w:val="22"/>
          <w:szCs w:val="22"/>
          <w:highlight w:val="none"/>
        </w:rPr>
        <w:t>否则按无效标处理。</w:t>
      </w:r>
    </w:p>
    <w:p w14:paraId="51396B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63" w:firstLineChars="300"/>
        <w:jc w:val="both"/>
        <w:textAlignment w:val="auto"/>
        <w:outlineLvl w:val="9"/>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2、各项鉴定项目的鉴定费用单价：该项鉴定预算单价乘以折扣率为该项目鉴定最终鉴定费用单价。</w:t>
      </w:r>
    </w:p>
    <w:p w14:paraId="1F2DA7F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63" w:firstLineChars="300"/>
        <w:jc w:val="both"/>
        <w:textAlignment w:val="auto"/>
        <w:outlineLvl w:val="9"/>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3、最终鉴定费用单价为固定综合单价。单价必须包括提供司法鉴定服务所需的一切人员的符合国家规定的工资、福利、各种加班费、误餐费、各种社会保险、食宿与交通、设备及工具、器材、服装、安全、维修、管理费用、税费、利润、完成合同所需的一切本身和不可或缺的所有工作开支、政策性文件规定及合同包含的所有风险、责任等各项全部费用并承担一切风险责任。在服务期内单价不得调整。</w:t>
      </w:r>
    </w:p>
    <w:p w14:paraId="4F8D073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63" w:firstLineChars="300"/>
        <w:jc w:val="both"/>
        <w:textAlignment w:val="auto"/>
        <w:outlineLvl w:val="9"/>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lang w:val="en-US" w:eastAsia="zh-CN"/>
        </w:rPr>
        <w:t>4</w:t>
      </w:r>
      <w:r>
        <w:rPr>
          <w:rFonts w:hint="default" w:ascii="Times New Roman" w:hAnsi="Times New Roman" w:eastAsia="宋体" w:cs="Times New Roman"/>
          <w:b/>
          <w:bCs/>
          <w:color w:val="auto"/>
          <w:sz w:val="22"/>
          <w:szCs w:val="22"/>
          <w:highlight w:val="none"/>
        </w:rPr>
        <w:t>、此表不得自行增减内容，不按此表进行报价或不提供此表格将视为没有实质性响应招标文件,将按无效标处理。</w:t>
      </w:r>
    </w:p>
    <w:p w14:paraId="2654B5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63" w:firstLineChars="300"/>
        <w:jc w:val="both"/>
        <w:textAlignment w:val="auto"/>
        <w:outlineLvl w:val="9"/>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lang w:val="en-US" w:eastAsia="zh-CN"/>
        </w:rPr>
        <w:t>5</w:t>
      </w:r>
      <w:r>
        <w:rPr>
          <w:rFonts w:hint="default" w:ascii="Times New Roman" w:hAnsi="Times New Roman" w:eastAsia="宋体" w:cs="Times New Roman"/>
          <w:b/>
          <w:bCs/>
          <w:color w:val="auto"/>
          <w:sz w:val="22"/>
          <w:szCs w:val="22"/>
          <w:highlight w:val="none"/>
        </w:rPr>
        <w:t>、报价包括招标代理服务</w:t>
      </w:r>
      <w:r>
        <w:rPr>
          <w:rFonts w:hint="eastAsia" w:cs="Times New Roman"/>
          <w:b/>
          <w:bCs/>
          <w:color w:val="auto"/>
          <w:sz w:val="22"/>
          <w:szCs w:val="22"/>
          <w:highlight w:val="none"/>
          <w:lang w:val="en-US" w:eastAsia="zh-CN"/>
        </w:rPr>
        <w:t>费</w:t>
      </w:r>
      <w:r>
        <w:rPr>
          <w:rFonts w:hint="default" w:ascii="Times New Roman" w:hAnsi="Times New Roman" w:eastAsia="宋体" w:cs="Times New Roman"/>
          <w:b/>
          <w:bCs/>
          <w:color w:val="auto"/>
          <w:sz w:val="22"/>
          <w:szCs w:val="22"/>
          <w:highlight w:val="none"/>
        </w:rPr>
        <w:t>。</w:t>
      </w:r>
      <w:r>
        <w:rPr>
          <w:rFonts w:hint="default" w:ascii="Times New Roman" w:hAnsi="Times New Roman" w:eastAsia="宋体" w:cs="Times New Roman"/>
          <w:color w:val="auto"/>
          <w:sz w:val="22"/>
          <w:szCs w:val="22"/>
          <w:highlight w:val="none"/>
        </w:rPr>
        <w:t xml:space="preserve">                                         </w:t>
      </w:r>
    </w:p>
    <w:p w14:paraId="1D84E0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80" w:firstLineChars="240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6581A5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80" w:firstLineChars="240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315911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80" w:firstLineChars="2400"/>
        <w:jc w:val="both"/>
        <w:textAlignment w:val="auto"/>
        <w:rPr>
          <w:rFonts w:hint="eastAsia" w:ascii="宋体" w:hAnsi="宋体" w:eastAsia="宋体" w:cs="宋体"/>
          <w:color w:val="auto"/>
          <w:sz w:val="22"/>
          <w:szCs w:val="22"/>
          <w:highlight w:val="none"/>
        </w:rPr>
      </w:pPr>
      <w:r>
        <w:rPr>
          <w:rFonts w:hint="default" w:ascii="Times New Roman" w:hAnsi="Times New Roman" w:eastAsia="宋体" w:cs="Times New Roman"/>
          <w:color w:val="auto"/>
          <w:sz w:val="22"/>
          <w:szCs w:val="22"/>
          <w:highlight w:val="none"/>
        </w:rPr>
        <w:t>日 期：</w:t>
      </w:r>
    </w:p>
    <w:p w14:paraId="611F3839">
      <w:pPr>
        <w:pStyle w:val="2"/>
        <w:spacing w:line="460" w:lineRule="exact"/>
        <w:ind w:left="433" w:hanging="433" w:hangingChars="196"/>
        <w:outlineLvl w:val="1"/>
        <w:rPr>
          <w:rFonts w:hint="eastAsia" w:ascii="宋体" w:hAnsi="宋体" w:eastAsia="宋体" w:cs="宋体"/>
          <w:b/>
          <w:color w:val="auto"/>
          <w:sz w:val="22"/>
          <w:szCs w:val="22"/>
          <w:highlight w:val="none"/>
        </w:rPr>
      </w:pPr>
      <w:bookmarkStart w:id="45" w:name="_Toc31614"/>
      <w:bookmarkStart w:id="46" w:name="_Toc19402"/>
      <w:r>
        <w:rPr>
          <w:rFonts w:hint="eastAsia" w:ascii="宋体" w:hAnsi="宋体" w:eastAsia="宋体" w:cs="宋体"/>
          <w:b/>
          <w:color w:val="auto"/>
          <w:sz w:val="22"/>
          <w:szCs w:val="22"/>
          <w:highlight w:val="none"/>
        </w:rPr>
        <w:t>附件二</w:t>
      </w:r>
      <w:bookmarkEnd w:id="45"/>
      <w:bookmarkEnd w:id="46"/>
    </w:p>
    <w:p w14:paraId="7AE7A7F6">
      <w:pPr>
        <w:spacing w:line="460" w:lineRule="exact"/>
        <w:jc w:val="center"/>
        <w:outlineLvl w:val="2"/>
        <w:rPr>
          <w:rFonts w:hint="eastAsia" w:ascii="宋体" w:hAnsi="宋体" w:eastAsia="宋体" w:cs="宋体"/>
          <w:color w:val="auto"/>
          <w:sz w:val="28"/>
          <w:szCs w:val="28"/>
          <w:highlight w:val="none"/>
        </w:rPr>
      </w:pPr>
      <w:bookmarkStart w:id="47" w:name="_Toc4718"/>
      <w:bookmarkStart w:id="48" w:name="_Toc12953"/>
      <w:r>
        <w:rPr>
          <w:rFonts w:hint="eastAsia" w:ascii="宋体" w:hAnsi="宋体" w:eastAsia="宋体" w:cs="宋体"/>
          <w:b/>
          <w:bCs/>
          <w:color w:val="auto"/>
          <w:sz w:val="32"/>
          <w:szCs w:val="32"/>
          <w:highlight w:val="none"/>
        </w:rPr>
        <w:t>资格证明文件</w:t>
      </w:r>
      <w:bookmarkEnd w:id="47"/>
      <w:bookmarkEnd w:id="48"/>
      <w:r>
        <w:rPr>
          <w:rFonts w:hint="eastAsia" w:ascii="宋体" w:hAnsi="宋体" w:eastAsia="宋体" w:cs="宋体"/>
          <w:color w:val="auto"/>
          <w:sz w:val="28"/>
          <w:szCs w:val="28"/>
          <w:highlight w:val="none"/>
        </w:rPr>
        <w:t xml:space="preserve"> </w:t>
      </w:r>
    </w:p>
    <w:p w14:paraId="3715E88E">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9" w:name="_Toc16516"/>
    </w:p>
    <w:p w14:paraId="587BE0D6">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178F00C3">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eastAsia="宋体" w:cs="宋体"/>
          <w:color w:val="auto"/>
          <w:sz w:val="22"/>
          <w:szCs w:val="22"/>
          <w:highlight w:val="none"/>
        </w:rPr>
        <w:t>、温州历程招标有限公司：</w:t>
      </w:r>
    </w:p>
    <w:p w14:paraId="70B36506">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7A46F75C">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657A661F">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2AE8A2F9">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6C70D35E">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3213F70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7E210C36">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AAED024">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A9E8C2F">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543376D4">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1EDC042E">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2E970FD0">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2410E36F">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7A6DAA67">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601C440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43F7361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12AC503A">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69AB78BA">
      <w:pPr>
        <w:pStyle w:val="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61E6838">
      <w:pPr>
        <w:rPr>
          <w:rFonts w:hint="eastAsia" w:ascii="宋体" w:hAnsi="宋体" w:eastAsia="宋体" w:cs="宋体"/>
          <w:color w:val="auto"/>
          <w:highlight w:val="none"/>
        </w:rPr>
      </w:pPr>
    </w:p>
    <w:p w14:paraId="5E94116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CB15881">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25900B1">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6BFF95C6">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0D7652C1">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3AC45F7B">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63178C51">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1B828F03">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27B7B72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24191296">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473810F7">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070C56CF">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8996FE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4570789">
      <w:pPr>
        <w:rPr>
          <w:rFonts w:hint="eastAsia" w:ascii="宋体" w:hAnsi="宋体" w:eastAsia="宋体" w:cs="宋体"/>
          <w:color w:val="auto"/>
          <w:highlight w:val="none"/>
        </w:rPr>
      </w:pPr>
    </w:p>
    <w:p w14:paraId="3A18FE0F">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1F2B064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6AE6CEE9">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64918E2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77B0610C">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18CC8E78">
      <w:pPr>
        <w:rPr>
          <w:rFonts w:hint="eastAsia" w:cs="宋体"/>
          <w:b/>
          <w:bCs w:val="0"/>
          <w:color w:val="auto"/>
          <w:kern w:val="0"/>
          <w:sz w:val="28"/>
          <w:szCs w:val="28"/>
          <w:highlight w:val="none"/>
          <w:lang w:val="en-US" w:eastAsia="zh-CN" w:bidi="ar-SA"/>
        </w:rPr>
      </w:pPr>
    </w:p>
    <w:p w14:paraId="36B19E5E">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291F7B9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225CA241">
      <w:pPr>
        <w:spacing w:line="460" w:lineRule="exact"/>
        <w:rPr>
          <w:rFonts w:hint="eastAsia" w:ascii="宋体" w:hAnsi="宋体" w:eastAsia="宋体" w:cs="宋体"/>
          <w:b/>
          <w:bCs/>
          <w:color w:val="auto"/>
          <w:sz w:val="22"/>
          <w:szCs w:val="22"/>
          <w:highlight w:val="none"/>
        </w:rPr>
      </w:pPr>
    </w:p>
    <w:p w14:paraId="6788D18A">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227380B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09FFEA8A">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0BABC52B">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5FB0044C">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3F4191E3">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07FB3B97">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61010DA0">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2203B0B">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CF4E35C">
      <w:pPr>
        <w:pStyle w:val="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2567505E">
      <w:pPr>
        <w:pStyle w:val="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5406A80A">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37E33BA5">
      <w:pPr>
        <w:spacing w:line="400" w:lineRule="exact"/>
        <w:outlineLvl w:val="3"/>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lang w:val="en-US" w:eastAsia="zh-CN"/>
        </w:rPr>
        <w:t>、具有司法行政部门批准许可的司法鉴定资质及车辆技术鉴定资质（或入选浙江法院对外委托机构信息平台的交通运输设备鉴定资质），鉴定业务范围包含痕迹鉴定、车辆技术鉴定</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627E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41657C1E">
            <w:pPr>
              <w:pStyle w:val="295"/>
              <w:keepNext w:val="0"/>
              <w:spacing w:after="0"/>
              <w:rPr>
                <w:rFonts w:hint="default" w:ascii="Times New Roman" w:hAnsi="Times New Roman" w:eastAsia="宋体" w:cs="Times New Roman"/>
                <w:color w:val="auto"/>
                <w:highlight w:val="none"/>
              </w:rPr>
            </w:pPr>
          </w:p>
        </w:tc>
      </w:tr>
    </w:tbl>
    <w:p w14:paraId="270E4F40">
      <w:pPr>
        <w:widowControl/>
        <w:spacing w:before="100" w:beforeAutospacing="1" w:after="100" w:afterAutospacing="1" w:line="360" w:lineRule="auto"/>
        <w:jc w:val="both"/>
        <w:outlineLvl w:val="9"/>
        <w:rPr>
          <w:rFonts w:hint="default" w:ascii="Times New Roman" w:hAnsi="Times New Roman" w:eastAsia="宋体" w:cs="Times New Roman"/>
          <w:b/>
          <w:color w:val="auto"/>
          <w:kern w:val="0"/>
          <w:sz w:val="22"/>
          <w:szCs w:val="22"/>
          <w:highlight w:val="none"/>
          <w:lang w:val="en-US" w:eastAsia="zh-CN"/>
        </w:rPr>
      </w:pPr>
    </w:p>
    <w:p w14:paraId="45B87681">
      <w:pPr>
        <w:widowControl/>
        <w:spacing w:before="100" w:beforeAutospacing="1" w:after="100" w:afterAutospacing="1" w:line="360" w:lineRule="auto"/>
        <w:jc w:val="both"/>
        <w:outlineLvl w:val="9"/>
        <w:rPr>
          <w:rFonts w:hint="default" w:ascii="Times New Roman" w:hAnsi="Times New Roman" w:eastAsia="宋体" w:cs="Times New Roman"/>
          <w:b/>
          <w:color w:val="auto"/>
          <w:kern w:val="0"/>
          <w:sz w:val="22"/>
          <w:szCs w:val="22"/>
          <w:highlight w:val="none"/>
          <w:lang w:val="en-US" w:eastAsia="zh-CN"/>
        </w:rPr>
      </w:pPr>
    </w:p>
    <w:p w14:paraId="410E3072">
      <w:pPr>
        <w:widowControl/>
        <w:spacing w:before="100" w:beforeAutospacing="1" w:after="100" w:afterAutospacing="1" w:line="360" w:lineRule="auto"/>
        <w:jc w:val="both"/>
        <w:outlineLvl w:val="9"/>
        <w:rPr>
          <w:rFonts w:hint="default" w:ascii="Times New Roman" w:hAnsi="Times New Roman" w:eastAsia="宋体" w:cs="Times New Roman"/>
          <w:b/>
          <w:color w:val="auto"/>
          <w:kern w:val="0"/>
          <w:sz w:val="22"/>
          <w:szCs w:val="22"/>
          <w:highlight w:val="none"/>
          <w:lang w:val="en-US" w:eastAsia="zh-CN"/>
        </w:rPr>
      </w:pPr>
    </w:p>
    <w:p w14:paraId="644256E3">
      <w:pPr>
        <w:widowControl/>
        <w:spacing w:before="100" w:beforeAutospacing="1" w:after="100" w:afterAutospacing="1" w:line="360" w:lineRule="auto"/>
        <w:jc w:val="both"/>
        <w:outlineLvl w:val="3"/>
        <w:rPr>
          <w:rFonts w:hint="default" w:ascii="Times New Roman" w:hAnsi="Times New Roman" w:eastAsia="宋体" w:cs="Times New Roman"/>
          <w:color w:val="auto"/>
          <w:kern w:val="0"/>
          <w:sz w:val="24"/>
          <w:highlight w:val="none"/>
        </w:rPr>
      </w:pPr>
      <w:r>
        <w:rPr>
          <w:rFonts w:hint="eastAsia" w:cs="Times New Roman"/>
          <w:b/>
          <w:color w:val="auto"/>
          <w:kern w:val="0"/>
          <w:sz w:val="22"/>
          <w:szCs w:val="22"/>
          <w:highlight w:val="none"/>
          <w:lang w:val="en-US" w:eastAsia="zh-CN"/>
        </w:rPr>
        <w:t>6</w:t>
      </w:r>
      <w:r>
        <w:rPr>
          <w:rFonts w:hint="default" w:ascii="Times New Roman" w:hAnsi="Times New Roman" w:eastAsia="宋体" w:cs="Times New Roman"/>
          <w:b/>
          <w:color w:val="auto"/>
          <w:kern w:val="0"/>
          <w:sz w:val="22"/>
          <w:szCs w:val="22"/>
          <w:highlight w:val="none"/>
          <w:lang w:val="en-US" w:eastAsia="zh-CN"/>
        </w:rPr>
        <w:t>、</w:t>
      </w:r>
      <w:r>
        <w:rPr>
          <w:rFonts w:hint="default" w:ascii="Times New Roman" w:hAnsi="Times New Roman" w:eastAsia="宋体" w:cs="Times New Roman"/>
          <w:b/>
          <w:color w:val="auto"/>
          <w:kern w:val="0"/>
          <w:sz w:val="22"/>
          <w:szCs w:val="22"/>
          <w:highlight w:val="none"/>
        </w:rPr>
        <w:t>联合体协议书（如有）</w:t>
      </w:r>
      <w:r>
        <w:rPr>
          <w:rFonts w:hint="default" w:ascii="Times New Roman" w:hAnsi="Times New Roman" w:eastAsia="宋体" w:cs="Times New Roman"/>
          <w:color w:val="auto"/>
          <w:kern w:val="0"/>
          <w:sz w:val="22"/>
          <w:szCs w:val="22"/>
          <w:highlight w:val="none"/>
        </w:rPr>
        <w:br w:type="textWrapping"/>
      </w:r>
    </w:p>
    <w:p w14:paraId="3F596085">
      <w:pPr>
        <w:widowControl/>
        <w:spacing w:line="460" w:lineRule="exact"/>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甲方：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乙方：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各方经协商，就招标项目名称为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w:t>
      </w:r>
      <w:r>
        <w:rPr>
          <w:rFonts w:hint="default" w:ascii="Times New Roman" w:hAnsi="Times New Roman" w:eastAsia="宋体" w:cs="Times New Roman"/>
          <w:color w:val="auto"/>
          <w:kern w:val="0"/>
          <w:sz w:val="22"/>
          <w:szCs w:val="22"/>
          <w:highlight w:val="none"/>
        </w:rPr>
        <w:t>编号为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的招标采购活动联合进行招标之事宜，达成如下协议：</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一、各方一致决定，</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为联合体牵头人，</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为联合体成员，并按照招标文件的规定分别提交资格文件。</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三、联合体其余各方保证对牵头人为响应本次投标而提供的服务提供全部质量保证支持。</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四、本次联合体投标中，双方各承担以下的工作和责任：</w:t>
      </w:r>
    </w:p>
    <w:p w14:paraId="7B9BFB4E">
      <w:pPr>
        <w:widowControl/>
        <w:spacing w:line="460" w:lineRule="exact"/>
        <w:ind w:firstLine="440" w:firstLineChars="200"/>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1、甲方承担的工作和责任为（详细说明）</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 xml:space="preserve">  </w:t>
      </w:r>
      <w:r>
        <w:rPr>
          <w:rFonts w:hint="default" w:ascii="Times New Roman" w:hAnsi="Times New Roman" w:eastAsia="宋体" w:cs="Times New Roman"/>
          <w:color w:val="auto"/>
          <w:kern w:val="0"/>
          <w:sz w:val="22"/>
          <w:szCs w:val="22"/>
          <w:highlight w:val="none"/>
          <w:u w:val="single"/>
        </w:rPr>
        <w:t xml:space="preserve">                                。</w:t>
      </w:r>
    </w:p>
    <w:p w14:paraId="0860AD9A">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 xml:space="preserve">2、乙方承担的工作和责任为（详细说明）： </w:t>
      </w:r>
      <w:r>
        <w:rPr>
          <w:rFonts w:hint="default" w:ascii="Times New Roman" w:hAnsi="Times New Roman" w:eastAsia="宋体" w:cs="Times New Roman"/>
          <w:color w:val="auto"/>
          <w:kern w:val="0"/>
          <w:sz w:val="22"/>
          <w:szCs w:val="22"/>
          <w:highlight w:val="none"/>
          <w:u w:val="single"/>
        </w:rPr>
        <w:t xml:space="preserve">                                。</w:t>
      </w:r>
    </w:p>
    <w:p w14:paraId="1F65A8DF">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3、如中标，联合体将遵守以下规定： </w:t>
      </w:r>
    </w:p>
    <w:p w14:paraId="3303DEEA">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41B88C5E">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五、有关本次联合体投标的其他事宜：</w:t>
      </w:r>
      <w:r>
        <w:rPr>
          <w:rFonts w:hint="default" w:ascii="Times New Roman" w:hAnsi="Times New Roman" w:eastAsia="宋体" w:cs="Times New Roman"/>
          <w:color w:val="auto"/>
          <w:kern w:val="0"/>
          <w:sz w:val="22"/>
          <w:szCs w:val="22"/>
          <w:highlight w:val="none"/>
          <w:u w:val="single"/>
        </w:rPr>
        <w:t xml:space="preserve">                               。</w:t>
      </w:r>
    </w:p>
    <w:p w14:paraId="0C44DA97">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六、本协议提交招标人后，联合体各方不得以任何形式对上述实质内容进行修改或撤销。</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七、本协议签约各方各持一份，交招标机构两份，其中一份投标时装订于投标文件正本内，一份与投标文件一同提交。</w:t>
      </w:r>
    </w:p>
    <w:p w14:paraId="2AB5335F">
      <w:pPr>
        <w:spacing w:line="460" w:lineRule="exact"/>
        <w:ind w:left="143" w:leftChars="68"/>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甲方单位：       （公章）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乙方单位：         （公章）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法定代表人：（签字或盖章）                     法定代表人：（签字或盖章）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日期：    年   月   日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 xml:space="preserve">  日期：     年   月   日</w:t>
      </w:r>
    </w:p>
    <w:p w14:paraId="74966D74">
      <w:pPr>
        <w:spacing w:line="460" w:lineRule="exact"/>
        <w:ind w:left="143" w:leftChars="68"/>
        <w:rPr>
          <w:rFonts w:hint="default" w:ascii="Times New Roman" w:hAnsi="Times New Roman" w:eastAsia="宋体" w:cs="Times New Roman"/>
          <w:color w:val="auto"/>
          <w:kern w:val="0"/>
          <w:sz w:val="22"/>
          <w:szCs w:val="22"/>
          <w:highlight w:val="none"/>
        </w:rPr>
      </w:pPr>
    </w:p>
    <w:p w14:paraId="4A3BBCD6">
      <w:pPr>
        <w:spacing w:line="460" w:lineRule="exact"/>
        <w:ind w:left="143" w:leftChars="68"/>
        <w:rPr>
          <w:rFonts w:hint="default" w:ascii="Times New Roman" w:hAnsi="Times New Roman" w:eastAsia="宋体" w:cs="Times New Roman"/>
          <w:color w:val="auto"/>
          <w:kern w:val="0"/>
          <w:sz w:val="22"/>
          <w:szCs w:val="22"/>
          <w:highlight w:val="none"/>
        </w:rPr>
      </w:pPr>
    </w:p>
    <w:p w14:paraId="63C4EC45">
      <w:pPr>
        <w:spacing w:line="460" w:lineRule="exact"/>
        <w:ind w:left="143" w:leftChars="68"/>
        <w:rPr>
          <w:rFonts w:hint="default" w:ascii="Times New Roman" w:hAnsi="Times New Roman" w:eastAsia="宋体" w:cs="Times New Roman"/>
          <w:color w:val="auto"/>
          <w:kern w:val="0"/>
          <w:sz w:val="22"/>
          <w:szCs w:val="22"/>
          <w:highlight w:val="none"/>
        </w:rPr>
      </w:pPr>
    </w:p>
    <w:p w14:paraId="149DC3E0">
      <w:pP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br w:type="page"/>
      </w:r>
    </w:p>
    <w:p w14:paraId="0D9DC0CB">
      <w:pPr>
        <w:widowControl/>
        <w:spacing w:before="100" w:beforeAutospacing="1" w:after="100" w:afterAutospacing="1" w:line="360" w:lineRule="auto"/>
        <w:jc w:val="both"/>
        <w:outlineLvl w:val="3"/>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如有</w:t>
      </w:r>
      <w:r>
        <w:rPr>
          <w:rFonts w:hint="eastAsia" w:ascii="新宋体" w:hAnsi="新宋体" w:eastAsia="新宋体" w:cs="新宋体"/>
          <w:b/>
          <w:color w:val="auto"/>
          <w:kern w:val="0"/>
          <w:sz w:val="22"/>
          <w:szCs w:val="22"/>
          <w:highlight w:val="none"/>
          <w:lang w:eastAsia="zh-CN"/>
        </w:rPr>
        <w:t>）</w:t>
      </w:r>
    </w:p>
    <w:p w14:paraId="788E9259">
      <w:pPr>
        <w:widowControl/>
        <w:spacing w:line="360" w:lineRule="auto"/>
        <w:ind w:firstLine="110" w:firstLine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新宋体" w:hAnsi="新宋体" w:eastAsia="新宋体" w:cs="新宋体"/>
          <w:color w:val="auto"/>
          <w:sz w:val="22"/>
          <w:szCs w:val="22"/>
          <w:highlight w:val="none"/>
        </w:rPr>
        <w:t>）</w:t>
      </w:r>
    </w:p>
    <w:p w14:paraId="1527BA8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sz w:val="22"/>
          <w:szCs w:val="22"/>
          <w:highlight w:val="none"/>
        </w:rPr>
        <w:t>（项目名称）【招标编号：（采购编号）】</w:t>
      </w:r>
      <w:r>
        <w:rPr>
          <w:rFonts w:hint="eastAsia" w:ascii="新宋体" w:hAnsi="新宋体" w:eastAsia="新宋体" w:cs="新宋体"/>
          <w:color w:val="auto"/>
          <w:kern w:val="0"/>
          <w:sz w:val="22"/>
          <w:szCs w:val="22"/>
          <w:highlight w:val="none"/>
          <w:lang w:val="zh-CN"/>
        </w:rPr>
        <w:t>的中标供应商，将依法采取分包方式履行合同。</w:t>
      </w: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（所有分包供应商名称）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 xml:space="preserve">。 </w:t>
      </w:r>
    </w:p>
    <w:p w14:paraId="7454995D">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047D2641">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465329D7">
      <w:pPr>
        <w:tabs>
          <w:tab w:val="left" w:pos="432"/>
        </w:tabs>
        <w:ind w:left="664" w:leftChars="316" w:firstLine="209" w:firstLineChars="95"/>
        <w:outlineLvl w:val="9"/>
        <w:rPr>
          <w:rFonts w:hint="eastAsia" w:ascii="新宋体" w:hAnsi="新宋体" w:eastAsia="新宋体" w:cs="新宋体"/>
          <w:color w:val="auto"/>
          <w:sz w:val="22"/>
          <w:szCs w:val="22"/>
          <w:highlight w:val="none"/>
        </w:rPr>
      </w:pPr>
      <w:bookmarkStart w:id="50" w:name="_Toc17715"/>
      <w:bookmarkStart w:id="51" w:name="_Toc8168"/>
      <w:bookmarkStart w:id="52" w:name="_Toc17331"/>
      <w:r>
        <w:rPr>
          <w:rFonts w:hint="eastAsia" w:ascii="新宋体" w:hAnsi="新宋体" w:eastAsia="新宋体" w:cs="新宋体"/>
          <w:color w:val="auto"/>
          <w:sz w:val="22"/>
          <w:szCs w:val="22"/>
          <w:highlight w:val="none"/>
        </w:rPr>
        <w:t>……</w:t>
      </w:r>
      <w:bookmarkEnd w:id="50"/>
      <w:bookmarkEnd w:id="51"/>
      <w:bookmarkEnd w:id="52"/>
    </w:p>
    <w:p w14:paraId="495766E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56EE034F">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3B75102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238CA7D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1B65AC0C">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6558DD2D">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92B7D76">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6F4CA07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4D4E84AE">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25C9132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18C950D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2985077C">
      <w:pPr>
        <w:snapToGrid w:val="0"/>
        <w:spacing w:line="360" w:lineRule="auto"/>
        <w:ind w:left="5338" w:leftChars="342" w:hanging="4620" w:hanging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中小企业合同金额达到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%，小微企业合同金额达到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w:t>
      </w:r>
    </w:p>
    <w:p w14:paraId="6C984358">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2D7715B3">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068F0A39">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投标人名称(电子签名)：</w:t>
      </w:r>
    </w:p>
    <w:p w14:paraId="32ECC261">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w:t>
      </w:r>
    </w:p>
    <w:p w14:paraId="5718964C">
      <w:pPr>
        <w:snapToGrid w:val="0"/>
        <w:spacing w:line="360" w:lineRule="auto"/>
        <w:ind w:firstLine="5390" w:firstLineChars="2450"/>
        <w:rPr>
          <w:rFonts w:hint="eastAsia" w:ascii="仿宋" w:hAnsi="仿宋" w:eastAsia="仿宋" w:cs="仿宋"/>
          <w:b/>
          <w:color w:val="auto"/>
          <w:kern w:val="0"/>
          <w:sz w:val="32"/>
          <w:szCs w:val="32"/>
          <w:highlight w:val="none"/>
        </w:rPr>
      </w:pPr>
      <w:r>
        <w:rPr>
          <w:rFonts w:hint="eastAsia" w:ascii="新宋体" w:hAnsi="新宋体" w:eastAsia="新宋体" w:cs="新宋体"/>
          <w:color w:val="auto"/>
          <w:kern w:val="0"/>
          <w:sz w:val="22"/>
          <w:szCs w:val="22"/>
          <w:highlight w:val="none"/>
          <w:lang w:val="zh-CN"/>
        </w:rPr>
        <w:t>日期：  年  月   日</w:t>
      </w:r>
    </w:p>
    <w:p w14:paraId="0F3490C2">
      <w:pPr>
        <w:rPr>
          <w:rFonts w:hint="eastAsia" w:cs="Times New Roman"/>
          <w:b/>
          <w:bCs/>
          <w:color w:val="auto"/>
          <w:sz w:val="28"/>
          <w:szCs w:val="28"/>
          <w:highlight w:val="none"/>
          <w:lang w:val="en-US" w:eastAsia="zh-CN"/>
        </w:rPr>
      </w:pPr>
      <w:r>
        <w:rPr>
          <w:rFonts w:hint="eastAsia" w:cs="Times New Roman"/>
          <w:b/>
          <w:bCs/>
          <w:color w:val="auto"/>
          <w:sz w:val="28"/>
          <w:szCs w:val="28"/>
          <w:highlight w:val="none"/>
          <w:lang w:val="en-US" w:eastAsia="zh-CN"/>
        </w:rPr>
        <w:br w:type="page"/>
      </w:r>
    </w:p>
    <w:p w14:paraId="262666FB">
      <w:pPr>
        <w:tabs>
          <w:tab w:val="left" w:pos="1620"/>
        </w:tabs>
        <w:spacing w:line="460" w:lineRule="exact"/>
        <w:outlineLvl w:val="3"/>
        <w:rPr>
          <w:rFonts w:hint="default" w:ascii="Times New Roman" w:hAnsi="Times New Roman" w:eastAsia="宋体" w:cs="Times New Roman"/>
          <w:b/>
          <w:bCs/>
          <w:color w:val="auto"/>
          <w:sz w:val="22"/>
          <w:szCs w:val="22"/>
          <w:highlight w:val="none"/>
        </w:rPr>
      </w:pPr>
      <w:r>
        <w:rPr>
          <w:rFonts w:hint="eastAsia" w:cs="Times New Roman"/>
          <w:b/>
          <w:bCs/>
          <w:color w:val="auto"/>
          <w:sz w:val="28"/>
          <w:szCs w:val="28"/>
          <w:highlight w:val="none"/>
          <w:lang w:val="en-US" w:eastAsia="zh-CN"/>
        </w:rPr>
        <w:t>8、</w:t>
      </w:r>
      <w:r>
        <w:rPr>
          <w:rFonts w:hint="default" w:ascii="Times New Roman" w:hAnsi="Times New Roman" w:eastAsia="宋体" w:cs="Times New Roman"/>
          <w:b/>
          <w:bCs/>
          <w:color w:val="auto"/>
          <w:sz w:val="28"/>
          <w:szCs w:val="28"/>
          <w:highlight w:val="none"/>
        </w:rPr>
        <w:t>中小企业的相关证明材料</w:t>
      </w:r>
    </w:p>
    <w:p w14:paraId="08562290">
      <w:pPr>
        <w:snapToGrid w:val="0"/>
        <w:spacing w:line="460" w:lineRule="exact"/>
        <w:ind w:firstLine="464" w:firstLine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color w:val="auto"/>
          <w:spacing w:val="6"/>
          <w:sz w:val="22"/>
          <w:szCs w:val="22"/>
          <w:highlight w:val="none"/>
        </w:rPr>
        <w:t>【非</w:t>
      </w:r>
      <w:r>
        <w:rPr>
          <w:rFonts w:hint="default" w:ascii="Times New Roman" w:hAnsi="Times New Roman" w:eastAsia="宋体" w:cs="Times New Roman"/>
          <w:color w:val="auto"/>
          <w:spacing w:val="6"/>
          <w:sz w:val="22"/>
          <w:szCs w:val="22"/>
          <w:highlight w:val="none"/>
          <w:lang w:val="zh-CN"/>
        </w:rPr>
        <w:t>小型、微型</w:t>
      </w:r>
      <w:r>
        <w:rPr>
          <w:rFonts w:hint="default" w:ascii="Times New Roman" w:hAnsi="Times New Roman" w:eastAsia="宋体" w:cs="Times New Roman"/>
          <w:color w:val="auto"/>
          <w:spacing w:val="6"/>
          <w:sz w:val="22"/>
          <w:szCs w:val="22"/>
          <w:highlight w:val="none"/>
        </w:rPr>
        <w:t>企业不用提供】</w:t>
      </w:r>
    </w:p>
    <w:p w14:paraId="20487B0B">
      <w:pPr>
        <w:rPr>
          <w:rFonts w:hint="default" w:ascii="Times New Roman" w:hAnsi="Times New Roman" w:eastAsia="宋体" w:cs="Times New Roman"/>
          <w:color w:val="auto"/>
          <w:spacing w:val="20"/>
          <w:sz w:val="22"/>
          <w:szCs w:val="22"/>
          <w:highlight w:val="none"/>
        </w:rPr>
      </w:pPr>
    </w:p>
    <w:p w14:paraId="1485240D">
      <w:pPr>
        <w:spacing w:line="4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中小企业声明函（工程、服务）</w:t>
      </w:r>
      <w:r>
        <w:rPr>
          <w:rFonts w:hint="default" w:ascii="Times New Roman" w:hAnsi="Times New Roman" w:eastAsia="宋体" w:cs="Times New Roman"/>
          <w:b/>
          <w:bCs/>
          <w:color w:val="auto"/>
          <w:sz w:val="24"/>
          <w:szCs w:val="24"/>
          <w:highlight w:val="none"/>
          <w:lang w:eastAsia="zh-CN"/>
        </w:rPr>
        <w:t>》</w:t>
      </w:r>
    </w:p>
    <w:p w14:paraId="035679CE">
      <w:pPr>
        <w:snapToGrid w:val="0"/>
        <w:spacing w:line="460" w:lineRule="exact"/>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【不属于中小企业单位的无需填写、递交】</w:t>
      </w:r>
    </w:p>
    <w:p w14:paraId="23838F49">
      <w:pPr>
        <w:spacing w:line="460" w:lineRule="exact"/>
        <w:ind w:firstLine="637" w:firstLineChars="245"/>
        <w:rPr>
          <w:rFonts w:hint="default" w:ascii="Times New Roman" w:hAnsi="Times New Roman" w:eastAsia="宋体" w:cs="Times New Roman"/>
          <w:color w:val="auto"/>
          <w:spacing w:val="20"/>
          <w:sz w:val="22"/>
          <w:szCs w:val="22"/>
          <w:highlight w:val="none"/>
        </w:rPr>
      </w:pPr>
      <w:r>
        <w:rPr>
          <w:rFonts w:hint="default" w:ascii="Times New Roman" w:hAnsi="Times New Roman" w:eastAsia="宋体" w:cs="Times New Roman"/>
          <w:color w:val="auto"/>
          <w:spacing w:val="20"/>
          <w:sz w:val="22"/>
          <w:szCs w:val="22"/>
          <w:highlight w:val="none"/>
        </w:rPr>
        <w:t>本公司（联合体）郑重声明，根据《政府采购促进中小企业发展管理办法》（财库﹝2020﹞46 号）的规定，本公司（联合体）参加</w:t>
      </w:r>
      <w:r>
        <w:rPr>
          <w:rFonts w:hint="default" w:ascii="Times New Roman" w:hAnsi="Times New Roman" w:eastAsia="宋体" w:cs="Times New Roman"/>
          <w:color w:val="auto"/>
          <w:spacing w:val="20"/>
          <w:sz w:val="22"/>
          <w:szCs w:val="22"/>
          <w:highlight w:val="none"/>
          <w:u w:val="single"/>
        </w:rPr>
        <w:t>（单位名称）</w:t>
      </w:r>
      <w:r>
        <w:rPr>
          <w:rFonts w:hint="default" w:ascii="Times New Roman" w:hAnsi="Times New Roman" w:eastAsia="宋体" w:cs="Times New Roman"/>
          <w:color w:val="auto"/>
          <w:spacing w:val="20"/>
          <w:sz w:val="22"/>
          <w:szCs w:val="22"/>
          <w:highlight w:val="none"/>
        </w:rPr>
        <w:t>的</w:t>
      </w:r>
      <w:r>
        <w:rPr>
          <w:rFonts w:hint="default" w:ascii="Times New Roman" w:hAnsi="Times New Roman" w:eastAsia="宋体" w:cs="Times New Roman"/>
          <w:color w:val="auto"/>
          <w:spacing w:val="20"/>
          <w:sz w:val="22"/>
          <w:szCs w:val="22"/>
          <w:highlight w:val="none"/>
          <w:u w:val="single"/>
        </w:rPr>
        <w:t>（项目名称）</w:t>
      </w:r>
      <w:r>
        <w:rPr>
          <w:rFonts w:hint="default" w:ascii="Times New Roman" w:hAnsi="Times New Roman" w:eastAsia="宋体" w:cs="Times New Roman"/>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FFAD463">
      <w:pPr>
        <w:spacing w:line="460" w:lineRule="exact"/>
        <w:ind w:firstLine="637" w:firstLineChars="245"/>
        <w:rPr>
          <w:rFonts w:hint="default" w:ascii="Times New Roman" w:hAnsi="Times New Roman" w:eastAsia="宋体" w:cs="Times New Roman"/>
          <w:color w:val="auto"/>
          <w:spacing w:val="20"/>
          <w:sz w:val="22"/>
          <w:szCs w:val="22"/>
          <w:highlight w:val="none"/>
        </w:rPr>
      </w:pPr>
      <w:r>
        <w:rPr>
          <w:rFonts w:hint="default" w:ascii="Times New Roman" w:hAnsi="Times New Roman" w:eastAsia="宋体" w:cs="Times New Roman"/>
          <w:color w:val="auto"/>
          <w:spacing w:val="20"/>
          <w:sz w:val="22"/>
          <w:szCs w:val="22"/>
          <w:highlight w:val="none"/>
        </w:rPr>
        <w:t>1.</w:t>
      </w:r>
      <w:r>
        <w:rPr>
          <w:rFonts w:hint="default" w:ascii="Times New Roman" w:hAnsi="Times New Roman" w:eastAsia="宋体" w:cs="Times New Roman"/>
          <w:color w:val="auto"/>
          <w:spacing w:val="20"/>
          <w:sz w:val="22"/>
          <w:szCs w:val="22"/>
          <w:highlight w:val="none"/>
          <w:u w:val="single"/>
        </w:rPr>
        <w:t>（标的名称）</w:t>
      </w:r>
      <w:r>
        <w:rPr>
          <w:rFonts w:hint="default" w:ascii="Times New Roman" w:hAnsi="Times New Roman" w:eastAsia="宋体" w:cs="Times New Roman"/>
          <w:color w:val="auto"/>
          <w:spacing w:val="20"/>
          <w:sz w:val="22"/>
          <w:szCs w:val="22"/>
          <w:highlight w:val="none"/>
        </w:rPr>
        <w:t>，属于</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u w:val="none"/>
          <w:lang w:val="en-US" w:eastAsia="zh-CN"/>
        </w:rPr>
        <w:t>行业</w:t>
      </w:r>
      <w:r>
        <w:rPr>
          <w:rFonts w:hint="default" w:ascii="Times New Roman" w:hAnsi="Times New Roman" w:eastAsia="宋体" w:cs="Times New Roman"/>
          <w:color w:val="auto"/>
          <w:spacing w:val="20"/>
          <w:sz w:val="22"/>
          <w:szCs w:val="22"/>
          <w:highlight w:val="none"/>
        </w:rPr>
        <w:t>； 承建（承接）企业为</w:t>
      </w:r>
      <w:r>
        <w:rPr>
          <w:rFonts w:hint="default" w:ascii="Times New Roman" w:hAnsi="Times New Roman" w:eastAsia="宋体" w:cs="Times New Roman"/>
          <w:color w:val="auto"/>
          <w:spacing w:val="20"/>
          <w:sz w:val="22"/>
          <w:szCs w:val="22"/>
          <w:highlight w:val="none"/>
          <w:u w:val="single"/>
        </w:rPr>
        <w:t>（企业名称）</w:t>
      </w:r>
      <w:r>
        <w:rPr>
          <w:rFonts w:hint="default" w:ascii="Times New Roman" w:hAnsi="Times New Roman" w:eastAsia="宋体" w:cs="Times New Roman"/>
          <w:color w:val="auto"/>
          <w:spacing w:val="20"/>
          <w:sz w:val="22"/>
          <w:szCs w:val="22"/>
          <w:highlight w:val="none"/>
        </w:rPr>
        <w:t>，从业人员</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人，营业收入为</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万元，资产总额为</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万元，属于</w:t>
      </w:r>
      <w:r>
        <w:rPr>
          <w:rFonts w:hint="default" w:ascii="Times New Roman" w:hAnsi="Times New Roman" w:eastAsia="宋体" w:cs="Times New Roman"/>
          <w:color w:val="auto"/>
          <w:spacing w:val="20"/>
          <w:sz w:val="22"/>
          <w:szCs w:val="22"/>
          <w:highlight w:val="none"/>
          <w:u w:val="single"/>
        </w:rPr>
        <w:t>（中型企业、 小型企业、微型企业）</w:t>
      </w:r>
      <w:r>
        <w:rPr>
          <w:rFonts w:hint="default" w:ascii="Times New Roman" w:hAnsi="Times New Roman" w:eastAsia="宋体" w:cs="Times New Roman"/>
          <w:color w:val="auto"/>
          <w:spacing w:val="20"/>
          <w:sz w:val="22"/>
          <w:szCs w:val="22"/>
          <w:highlight w:val="none"/>
        </w:rPr>
        <w:t xml:space="preserve">； </w:t>
      </w:r>
    </w:p>
    <w:p w14:paraId="6F9C51BE">
      <w:pPr>
        <w:spacing w:line="460" w:lineRule="exact"/>
        <w:ind w:firstLine="637" w:firstLineChars="245"/>
        <w:rPr>
          <w:rFonts w:hint="default" w:ascii="Times New Roman" w:hAnsi="Times New Roman" w:eastAsia="宋体" w:cs="Times New Roman"/>
          <w:color w:val="auto"/>
          <w:spacing w:val="20"/>
          <w:sz w:val="22"/>
          <w:szCs w:val="22"/>
          <w:highlight w:val="none"/>
        </w:rPr>
      </w:pPr>
      <w:r>
        <w:rPr>
          <w:rFonts w:hint="default" w:ascii="Times New Roman" w:hAnsi="Times New Roman" w:eastAsia="宋体" w:cs="Times New Roman"/>
          <w:color w:val="auto"/>
          <w:spacing w:val="20"/>
          <w:sz w:val="22"/>
          <w:szCs w:val="22"/>
          <w:highlight w:val="none"/>
        </w:rPr>
        <w:t>2.</w:t>
      </w:r>
      <w:r>
        <w:rPr>
          <w:rFonts w:hint="default" w:ascii="Times New Roman" w:hAnsi="Times New Roman" w:eastAsia="宋体" w:cs="Times New Roman"/>
          <w:color w:val="auto"/>
          <w:spacing w:val="20"/>
          <w:sz w:val="22"/>
          <w:szCs w:val="22"/>
          <w:highlight w:val="none"/>
          <w:u w:val="single"/>
        </w:rPr>
        <w:t>（标的名称）</w:t>
      </w:r>
      <w:r>
        <w:rPr>
          <w:rFonts w:hint="default" w:ascii="Times New Roman" w:hAnsi="Times New Roman" w:eastAsia="宋体" w:cs="Times New Roman"/>
          <w:color w:val="auto"/>
          <w:spacing w:val="20"/>
          <w:sz w:val="22"/>
          <w:szCs w:val="22"/>
          <w:highlight w:val="none"/>
        </w:rPr>
        <w:t>，属于</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u w:val="none"/>
          <w:lang w:val="en-US" w:eastAsia="zh-CN"/>
        </w:rPr>
        <w:t>行业</w:t>
      </w:r>
      <w:r>
        <w:rPr>
          <w:rFonts w:hint="default" w:ascii="Times New Roman" w:hAnsi="Times New Roman" w:eastAsia="宋体" w:cs="Times New Roman"/>
          <w:color w:val="auto"/>
          <w:spacing w:val="20"/>
          <w:sz w:val="22"/>
          <w:szCs w:val="22"/>
          <w:highlight w:val="none"/>
        </w:rPr>
        <w:t>；承建（承接）企业为</w:t>
      </w:r>
      <w:r>
        <w:rPr>
          <w:rFonts w:hint="default" w:ascii="Times New Roman" w:hAnsi="Times New Roman" w:eastAsia="宋体" w:cs="Times New Roman"/>
          <w:color w:val="auto"/>
          <w:spacing w:val="20"/>
          <w:sz w:val="22"/>
          <w:szCs w:val="22"/>
          <w:highlight w:val="none"/>
          <w:u w:val="single"/>
        </w:rPr>
        <w:t>（企业名称）</w:t>
      </w:r>
      <w:r>
        <w:rPr>
          <w:rFonts w:hint="default" w:ascii="Times New Roman" w:hAnsi="Times New Roman" w:eastAsia="宋体" w:cs="Times New Roman"/>
          <w:color w:val="auto"/>
          <w:spacing w:val="20"/>
          <w:sz w:val="22"/>
          <w:szCs w:val="22"/>
          <w:highlight w:val="none"/>
        </w:rPr>
        <w:t>，从业人员</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人，营业收入为</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万元，资产总额为</w:t>
      </w:r>
      <w:r>
        <w:rPr>
          <w:rFonts w:hint="default" w:ascii="Times New Roman" w:hAnsi="Times New Roman" w:eastAsia="宋体" w:cs="Times New Roman"/>
          <w:color w:val="auto"/>
          <w:spacing w:val="20"/>
          <w:sz w:val="22"/>
          <w:szCs w:val="22"/>
          <w:highlight w:val="none"/>
          <w:u w:val="single"/>
          <w:lang w:val="en-US" w:eastAsia="zh-CN"/>
        </w:rPr>
        <w:t xml:space="preserve">    </w:t>
      </w:r>
      <w:r>
        <w:rPr>
          <w:rFonts w:hint="default" w:ascii="Times New Roman" w:hAnsi="Times New Roman" w:eastAsia="宋体" w:cs="Times New Roman"/>
          <w:color w:val="auto"/>
          <w:spacing w:val="20"/>
          <w:sz w:val="22"/>
          <w:szCs w:val="22"/>
          <w:highlight w:val="none"/>
        </w:rPr>
        <w:t>万元，属于</w:t>
      </w:r>
      <w:r>
        <w:rPr>
          <w:rFonts w:hint="default" w:ascii="Times New Roman" w:hAnsi="Times New Roman" w:eastAsia="宋体" w:cs="Times New Roman"/>
          <w:color w:val="auto"/>
          <w:spacing w:val="20"/>
          <w:sz w:val="22"/>
          <w:szCs w:val="22"/>
          <w:highlight w:val="none"/>
          <w:u w:val="single"/>
        </w:rPr>
        <w:t>（中型企业、 小型企业、微型企业）</w:t>
      </w:r>
      <w:r>
        <w:rPr>
          <w:rFonts w:hint="default" w:ascii="Times New Roman" w:hAnsi="Times New Roman" w:eastAsia="宋体" w:cs="Times New Roman"/>
          <w:color w:val="auto"/>
          <w:spacing w:val="20"/>
          <w:sz w:val="22"/>
          <w:szCs w:val="22"/>
          <w:highlight w:val="none"/>
        </w:rPr>
        <w:t>；</w:t>
      </w:r>
    </w:p>
    <w:p w14:paraId="2BC9F49B">
      <w:pPr>
        <w:spacing w:line="460" w:lineRule="exact"/>
        <w:ind w:firstLine="639" w:firstLineChars="245"/>
        <w:rPr>
          <w:rFonts w:hint="default" w:ascii="Times New Roman" w:hAnsi="Times New Roman" w:eastAsia="宋体" w:cs="Times New Roman"/>
          <w:b/>
          <w:bCs/>
          <w:color w:val="auto"/>
          <w:spacing w:val="20"/>
          <w:sz w:val="22"/>
          <w:szCs w:val="22"/>
          <w:highlight w:val="none"/>
        </w:rPr>
      </w:pPr>
      <w:r>
        <w:rPr>
          <w:rFonts w:hint="default" w:ascii="Times New Roman" w:hAnsi="Times New Roman" w:eastAsia="宋体" w:cs="Times New Roman"/>
          <w:b/>
          <w:bCs/>
          <w:color w:val="auto"/>
          <w:spacing w:val="20"/>
          <w:sz w:val="22"/>
          <w:szCs w:val="22"/>
          <w:highlight w:val="none"/>
        </w:rPr>
        <w:t>……</w:t>
      </w:r>
    </w:p>
    <w:p w14:paraId="34E4DA38">
      <w:pPr>
        <w:spacing w:line="460" w:lineRule="exact"/>
        <w:ind w:firstLine="637" w:firstLineChars="245"/>
        <w:rPr>
          <w:rFonts w:hint="default" w:ascii="Times New Roman" w:hAnsi="Times New Roman" w:eastAsia="宋体" w:cs="Times New Roman"/>
          <w:color w:val="auto"/>
          <w:spacing w:val="20"/>
          <w:sz w:val="22"/>
          <w:szCs w:val="22"/>
          <w:highlight w:val="none"/>
          <w:lang w:val="en-US" w:eastAsia="zh-CN"/>
        </w:rPr>
      </w:pPr>
      <w:r>
        <w:rPr>
          <w:rFonts w:hint="default" w:ascii="Times New Roman" w:hAnsi="Times New Roman" w:eastAsia="宋体" w:cs="Times New Roman"/>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70F7CC92">
      <w:pPr>
        <w:spacing w:line="460" w:lineRule="exact"/>
        <w:jc w:val="center"/>
        <w:rPr>
          <w:rFonts w:hint="default" w:ascii="Times New Roman" w:hAnsi="Times New Roman" w:eastAsia="宋体" w:cs="Times New Roman"/>
          <w:color w:val="auto"/>
          <w:spacing w:val="20"/>
          <w:sz w:val="22"/>
          <w:szCs w:val="22"/>
          <w:highlight w:val="none"/>
          <w:lang w:val="en-US" w:eastAsia="zh-CN"/>
        </w:rPr>
      </w:pPr>
      <w:r>
        <w:rPr>
          <w:rFonts w:hint="default" w:ascii="Times New Roman" w:hAnsi="Times New Roman" w:eastAsia="宋体" w:cs="Times New Roman"/>
          <w:color w:val="auto"/>
          <w:spacing w:val="20"/>
          <w:sz w:val="22"/>
          <w:szCs w:val="22"/>
          <w:highlight w:val="none"/>
          <w:lang w:val="en-US" w:eastAsia="zh-CN"/>
        </w:rPr>
        <w:t xml:space="preserve">           企业</w:t>
      </w:r>
      <w:r>
        <w:rPr>
          <w:rFonts w:hint="default" w:ascii="Times New Roman" w:hAnsi="Times New Roman" w:eastAsia="宋体" w:cs="Times New Roman"/>
          <w:color w:val="auto"/>
          <w:spacing w:val="20"/>
          <w:sz w:val="22"/>
          <w:szCs w:val="22"/>
          <w:highlight w:val="none"/>
        </w:rPr>
        <w:t>名称（盖章）：</w:t>
      </w:r>
    </w:p>
    <w:p w14:paraId="75660BBF">
      <w:pPr>
        <w:spacing w:line="460" w:lineRule="exact"/>
        <w:jc w:val="center"/>
        <w:rPr>
          <w:rFonts w:hint="default" w:ascii="Times New Roman" w:hAnsi="Times New Roman" w:eastAsia="宋体" w:cs="Times New Roman"/>
          <w:color w:val="auto"/>
          <w:spacing w:val="20"/>
          <w:sz w:val="22"/>
          <w:szCs w:val="22"/>
          <w:highlight w:val="none"/>
        </w:rPr>
      </w:pPr>
      <w:r>
        <w:rPr>
          <w:rFonts w:hint="default" w:ascii="Times New Roman" w:hAnsi="Times New Roman" w:eastAsia="宋体" w:cs="Times New Roman"/>
          <w:color w:val="auto"/>
          <w:spacing w:val="20"/>
          <w:sz w:val="22"/>
          <w:szCs w:val="22"/>
          <w:highlight w:val="none"/>
          <w:lang w:val="en-US" w:eastAsia="zh-CN"/>
        </w:rPr>
        <w:t xml:space="preserve">  日</w:t>
      </w:r>
      <w:r>
        <w:rPr>
          <w:rFonts w:hint="default" w:ascii="Times New Roman" w:hAnsi="Times New Roman" w:eastAsia="宋体" w:cs="Times New Roman"/>
          <w:color w:val="auto"/>
          <w:spacing w:val="20"/>
          <w:sz w:val="22"/>
          <w:szCs w:val="22"/>
          <w:highlight w:val="none"/>
        </w:rPr>
        <w:t xml:space="preserve"> 期：</w:t>
      </w:r>
    </w:p>
    <w:p w14:paraId="1AFD1685">
      <w:pPr>
        <w:spacing w:line="360" w:lineRule="auto"/>
        <w:rPr>
          <w:rFonts w:hint="eastAsia" w:ascii="宋体" w:hAnsi="宋体" w:eastAsia="宋体" w:cs="宋体"/>
          <w:color w:val="auto"/>
          <w:sz w:val="22"/>
          <w:szCs w:val="22"/>
          <w:highlight w:val="none"/>
        </w:rPr>
      </w:pPr>
    </w:p>
    <w:p w14:paraId="2C1A73E1">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31EB745">
      <w:pPr>
        <w:outlineLvl w:val="1"/>
        <w:rPr>
          <w:rFonts w:hint="eastAsia" w:ascii="宋体" w:hAnsi="宋体" w:eastAsia="宋体" w:cs="宋体"/>
          <w:b/>
          <w:bCs/>
          <w:color w:val="auto"/>
          <w:sz w:val="22"/>
          <w:szCs w:val="22"/>
          <w:highlight w:val="none"/>
        </w:rPr>
      </w:pPr>
      <w:bookmarkStart w:id="53" w:name="_Toc26514"/>
      <w:r>
        <w:rPr>
          <w:rFonts w:hint="eastAsia" w:ascii="宋体" w:hAnsi="宋体" w:eastAsia="宋体" w:cs="宋体"/>
          <w:b/>
          <w:bCs/>
          <w:color w:val="auto"/>
          <w:sz w:val="22"/>
          <w:szCs w:val="22"/>
          <w:highlight w:val="none"/>
        </w:rPr>
        <w:t>附件三</w:t>
      </w:r>
      <w:bookmarkEnd w:id="49"/>
      <w:bookmarkEnd w:id="53"/>
    </w:p>
    <w:p w14:paraId="2740FB6A">
      <w:pPr>
        <w:spacing w:line="460" w:lineRule="exact"/>
        <w:jc w:val="center"/>
        <w:outlineLvl w:val="2"/>
        <w:rPr>
          <w:rFonts w:hint="eastAsia" w:ascii="宋体" w:hAnsi="宋体" w:eastAsia="宋体" w:cs="宋体"/>
          <w:b/>
          <w:bCs/>
          <w:color w:val="auto"/>
          <w:sz w:val="28"/>
          <w:szCs w:val="28"/>
          <w:highlight w:val="none"/>
          <w:lang w:val="zh-CN"/>
        </w:rPr>
      </w:pPr>
      <w:bookmarkStart w:id="54" w:name="_Toc9657"/>
      <w:bookmarkStart w:id="55" w:name="_Toc29102"/>
      <w:r>
        <w:rPr>
          <w:rFonts w:hint="eastAsia" w:ascii="宋体" w:hAnsi="宋体" w:eastAsia="宋体" w:cs="宋体"/>
          <w:b/>
          <w:bCs/>
          <w:color w:val="auto"/>
          <w:sz w:val="28"/>
          <w:szCs w:val="28"/>
          <w:highlight w:val="none"/>
          <w:lang w:val="zh-CN"/>
        </w:rPr>
        <w:t>商务技术文件</w:t>
      </w:r>
      <w:bookmarkEnd w:id="54"/>
      <w:bookmarkEnd w:id="55"/>
    </w:p>
    <w:p w14:paraId="3028BE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630A4EB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539AD05D">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17DD43EE">
      <w:pPr>
        <w:spacing w:line="460" w:lineRule="exact"/>
        <w:rPr>
          <w:rFonts w:hint="eastAsia" w:ascii="宋体" w:hAnsi="宋体" w:eastAsia="宋体" w:cs="宋体"/>
          <w:color w:val="auto"/>
          <w:sz w:val="22"/>
          <w:szCs w:val="22"/>
          <w:highlight w:val="none"/>
          <w:u w:val="single"/>
        </w:rPr>
      </w:pPr>
    </w:p>
    <w:p w14:paraId="461B029B">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6C65781C">
      <w:pPr>
        <w:spacing w:line="460" w:lineRule="exact"/>
        <w:ind w:firstLine="2955"/>
        <w:rPr>
          <w:rFonts w:hint="eastAsia" w:ascii="宋体" w:hAnsi="宋体" w:eastAsia="宋体" w:cs="宋体"/>
          <w:color w:val="auto"/>
          <w:sz w:val="22"/>
          <w:szCs w:val="22"/>
          <w:highlight w:val="none"/>
        </w:rPr>
      </w:pPr>
    </w:p>
    <w:p w14:paraId="29D00A54">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C2D6EC6">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76C5EAB5">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00536F8D">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5AAC60F7">
      <w:pPr>
        <w:spacing w:line="380" w:lineRule="exact"/>
        <w:rPr>
          <w:rFonts w:hint="eastAsia" w:ascii="宋体" w:hAnsi="宋体" w:eastAsia="宋体" w:cs="宋体"/>
          <w:color w:val="auto"/>
          <w:sz w:val="22"/>
          <w:szCs w:val="22"/>
          <w:highlight w:val="none"/>
        </w:rPr>
      </w:pPr>
    </w:p>
    <w:p w14:paraId="21FC5C9A">
      <w:pPr>
        <w:spacing w:line="380" w:lineRule="exact"/>
        <w:rPr>
          <w:rFonts w:hint="eastAsia" w:ascii="宋体" w:hAnsi="宋体" w:eastAsia="宋体" w:cs="宋体"/>
          <w:color w:val="auto"/>
          <w:sz w:val="22"/>
          <w:szCs w:val="22"/>
          <w:highlight w:val="none"/>
        </w:rPr>
      </w:pPr>
    </w:p>
    <w:p w14:paraId="0C7921AE">
      <w:pPr>
        <w:spacing w:line="380" w:lineRule="exact"/>
        <w:rPr>
          <w:rFonts w:hint="eastAsia" w:ascii="宋体" w:hAnsi="宋体" w:eastAsia="宋体" w:cs="宋体"/>
          <w:color w:val="auto"/>
          <w:sz w:val="22"/>
          <w:szCs w:val="22"/>
          <w:highlight w:val="none"/>
        </w:rPr>
      </w:pPr>
    </w:p>
    <w:p w14:paraId="70937D1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2502E0D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2C8961E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73051255">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1EF4A99E">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38232CF8">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27410B13">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65F3DC3E">
      <w:pPr>
        <w:spacing w:line="380" w:lineRule="exact"/>
        <w:rPr>
          <w:rFonts w:hint="eastAsia" w:ascii="宋体" w:hAnsi="宋体" w:eastAsia="宋体" w:cs="宋体"/>
          <w:color w:val="auto"/>
          <w:sz w:val="22"/>
          <w:szCs w:val="22"/>
          <w:highlight w:val="none"/>
        </w:rPr>
      </w:pPr>
    </w:p>
    <w:p w14:paraId="1EC8BFA5">
      <w:pPr>
        <w:spacing w:line="460" w:lineRule="exact"/>
        <w:jc w:val="center"/>
        <w:rPr>
          <w:rFonts w:hint="eastAsia" w:ascii="宋体" w:hAnsi="宋体" w:eastAsia="宋体" w:cs="宋体"/>
          <w:b/>
          <w:bCs/>
          <w:color w:val="auto"/>
          <w:sz w:val="28"/>
          <w:szCs w:val="28"/>
          <w:highlight w:val="none"/>
        </w:rPr>
      </w:pPr>
    </w:p>
    <w:p w14:paraId="56BB5909">
      <w:pPr>
        <w:spacing w:line="460" w:lineRule="exact"/>
        <w:jc w:val="center"/>
        <w:rPr>
          <w:rFonts w:hint="eastAsia" w:ascii="宋体" w:hAnsi="宋体" w:eastAsia="宋体" w:cs="宋体"/>
          <w:b/>
          <w:bCs/>
          <w:color w:val="auto"/>
          <w:sz w:val="28"/>
          <w:szCs w:val="28"/>
          <w:highlight w:val="none"/>
        </w:rPr>
      </w:pPr>
    </w:p>
    <w:p w14:paraId="46E688A6">
      <w:pPr>
        <w:spacing w:line="460" w:lineRule="exact"/>
        <w:jc w:val="center"/>
        <w:rPr>
          <w:rFonts w:hint="eastAsia" w:ascii="宋体" w:hAnsi="宋体" w:eastAsia="宋体" w:cs="宋体"/>
          <w:b/>
          <w:bCs/>
          <w:color w:val="auto"/>
          <w:sz w:val="28"/>
          <w:szCs w:val="28"/>
          <w:highlight w:val="none"/>
        </w:rPr>
      </w:pPr>
    </w:p>
    <w:p w14:paraId="1D9B2B77">
      <w:pPr>
        <w:spacing w:line="460" w:lineRule="exact"/>
        <w:jc w:val="center"/>
        <w:rPr>
          <w:rFonts w:hint="eastAsia" w:ascii="宋体" w:hAnsi="宋体" w:eastAsia="宋体" w:cs="宋体"/>
          <w:b/>
          <w:bCs/>
          <w:color w:val="auto"/>
          <w:sz w:val="28"/>
          <w:szCs w:val="28"/>
          <w:highlight w:val="none"/>
        </w:rPr>
      </w:pPr>
    </w:p>
    <w:p w14:paraId="3A888FEC">
      <w:pPr>
        <w:spacing w:line="460" w:lineRule="exact"/>
        <w:jc w:val="center"/>
        <w:rPr>
          <w:rFonts w:hint="eastAsia" w:ascii="宋体" w:hAnsi="宋体" w:eastAsia="宋体" w:cs="宋体"/>
          <w:b/>
          <w:bCs/>
          <w:color w:val="auto"/>
          <w:sz w:val="28"/>
          <w:szCs w:val="28"/>
          <w:highlight w:val="none"/>
        </w:rPr>
      </w:pPr>
    </w:p>
    <w:p w14:paraId="4CDF444C">
      <w:pPr>
        <w:spacing w:line="460" w:lineRule="exact"/>
        <w:jc w:val="center"/>
        <w:rPr>
          <w:rFonts w:hint="eastAsia" w:ascii="宋体" w:hAnsi="宋体" w:eastAsia="宋体" w:cs="宋体"/>
          <w:b/>
          <w:bCs/>
          <w:color w:val="auto"/>
          <w:sz w:val="28"/>
          <w:szCs w:val="28"/>
          <w:highlight w:val="none"/>
        </w:rPr>
      </w:pPr>
    </w:p>
    <w:p w14:paraId="10CA97A6">
      <w:pPr>
        <w:spacing w:line="460" w:lineRule="exact"/>
        <w:jc w:val="center"/>
        <w:rPr>
          <w:rFonts w:hint="eastAsia" w:ascii="宋体" w:hAnsi="宋体" w:eastAsia="宋体" w:cs="宋体"/>
          <w:b/>
          <w:bCs/>
          <w:color w:val="auto"/>
          <w:sz w:val="28"/>
          <w:szCs w:val="28"/>
          <w:highlight w:val="none"/>
        </w:rPr>
      </w:pPr>
    </w:p>
    <w:p w14:paraId="4B606C1C">
      <w:pPr>
        <w:spacing w:line="460" w:lineRule="exact"/>
        <w:jc w:val="center"/>
        <w:rPr>
          <w:rFonts w:hint="eastAsia" w:ascii="宋体" w:hAnsi="宋体" w:eastAsia="宋体" w:cs="宋体"/>
          <w:b/>
          <w:bCs/>
          <w:color w:val="auto"/>
          <w:sz w:val="28"/>
          <w:szCs w:val="28"/>
          <w:highlight w:val="none"/>
        </w:rPr>
      </w:pPr>
    </w:p>
    <w:p w14:paraId="4D29B3BB">
      <w:pPr>
        <w:spacing w:line="460" w:lineRule="exact"/>
        <w:jc w:val="center"/>
        <w:rPr>
          <w:rFonts w:hint="eastAsia" w:ascii="宋体" w:hAnsi="宋体" w:eastAsia="宋体" w:cs="宋体"/>
          <w:b/>
          <w:bCs/>
          <w:color w:val="auto"/>
          <w:sz w:val="28"/>
          <w:szCs w:val="28"/>
          <w:highlight w:val="none"/>
        </w:rPr>
      </w:pPr>
    </w:p>
    <w:p w14:paraId="03BDFE0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55071B">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3755071B">
                      <w:r>
                        <w:rPr>
                          <w:rFonts w:hint="eastAsia" w:ascii="新宋体" w:hAnsi="新宋体" w:eastAsia="新宋体"/>
                          <w:sz w:val="22"/>
                          <w:szCs w:val="22"/>
                        </w:rPr>
                        <w:t xml:space="preserve">  法定代表人身份证（正反面）：</w:t>
                      </w:r>
                    </w:p>
                  </w:txbxContent>
                </v:textbox>
              </v:shape>
            </w:pict>
          </mc:Fallback>
        </mc:AlternateContent>
      </w:r>
    </w:p>
    <w:p w14:paraId="0CB33CE5">
      <w:pPr>
        <w:spacing w:line="460" w:lineRule="exact"/>
        <w:jc w:val="center"/>
        <w:rPr>
          <w:rFonts w:hint="eastAsia" w:ascii="宋体" w:hAnsi="宋体" w:eastAsia="宋体" w:cs="宋体"/>
          <w:b/>
          <w:bCs/>
          <w:color w:val="auto"/>
          <w:sz w:val="28"/>
          <w:szCs w:val="28"/>
          <w:highlight w:val="none"/>
        </w:rPr>
      </w:pPr>
    </w:p>
    <w:p w14:paraId="3B55B250">
      <w:pPr>
        <w:spacing w:line="460" w:lineRule="exact"/>
        <w:jc w:val="center"/>
        <w:rPr>
          <w:rFonts w:hint="eastAsia" w:ascii="宋体" w:hAnsi="宋体" w:eastAsia="宋体" w:cs="宋体"/>
          <w:b/>
          <w:bCs/>
          <w:color w:val="auto"/>
          <w:sz w:val="28"/>
          <w:szCs w:val="28"/>
          <w:highlight w:val="none"/>
        </w:rPr>
      </w:pPr>
    </w:p>
    <w:p w14:paraId="0F83586E">
      <w:pPr>
        <w:spacing w:line="460" w:lineRule="exact"/>
        <w:jc w:val="center"/>
        <w:rPr>
          <w:rFonts w:hint="eastAsia" w:ascii="宋体" w:hAnsi="宋体" w:eastAsia="宋体" w:cs="宋体"/>
          <w:b/>
          <w:bCs/>
          <w:color w:val="auto"/>
          <w:sz w:val="28"/>
          <w:szCs w:val="28"/>
          <w:highlight w:val="none"/>
        </w:rPr>
      </w:pPr>
    </w:p>
    <w:p w14:paraId="61580C68">
      <w:pPr>
        <w:spacing w:line="460" w:lineRule="exact"/>
        <w:jc w:val="center"/>
        <w:rPr>
          <w:rFonts w:hint="eastAsia" w:ascii="宋体" w:hAnsi="宋体" w:eastAsia="宋体" w:cs="宋体"/>
          <w:b/>
          <w:bCs/>
          <w:color w:val="auto"/>
          <w:sz w:val="28"/>
          <w:szCs w:val="28"/>
          <w:highlight w:val="none"/>
        </w:rPr>
      </w:pPr>
    </w:p>
    <w:p w14:paraId="6D83E13E">
      <w:pPr>
        <w:spacing w:line="460" w:lineRule="exact"/>
        <w:jc w:val="center"/>
        <w:rPr>
          <w:rFonts w:hint="eastAsia" w:ascii="宋体" w:hAnsi="宋体" w:eastAsia="宋体" w:cs="宋体"/>
          <w:b/>
          <w:bCs/>
          <w:color w:val="auto"/>
          <w:sz w:val="28"/>
          <w:szCs w:val="28"/>
          <w:highlight w:val="none"/>
        </w:rPr>
      </w:pPr>
    </w:p>
    <w:p w14:paraId="6E930607">
      <w:pPr>
        <w:spacing w:line="460" w:lineRule="exact"/>
        <w:jc w:val="center"/>
        <w:rPr>
          <w:rFonts w:hint="eastAsia" w:ascii="宋体" w:hAnsi="宋体" w:eastAsia="宋体" w:cs="宋体"/>
          <w:b/>
          <w:bCs/>
          <w:color w:val="auto"/>
          <w:sz w:val="28"/>
          <w:szCs w:val="28"/>
          <w:highlight w:val="none"/>
        </w:rPr>
      </w:pPr>
    </w:p>
    <w:p w14:paraId="23D94EF2">
      <w:pPr>
        <w:spacing w:line="460" w:lineRule="exact"/>
        <w:jc w:val="center"/>
        <w:rPr>
          <w:rFonts w:hint="eastAsia" w:ascii="宋体" w:hAnsi="宋体" w:eastAsia="宋体" w:cs="宋体"/>
          <w:b/>
          <w:bCs/>
          <w:color w:val="auto"/>
          <w:sz w:val="28"/>
          <w:szCs w:val="28"/>
          <w:highlight w:val="none"/>
        </w:rPr>
      </w:pPr>
    </w:p>
    <w:p w14:paraId="132C6423">
      <w:pPr>
        <w:spacing w:line="460" w:lineRule="exact"/>
        <w:jc w:val="center"/>
        <w:rPr>
          <w:rFonts w:hint="eastAsia" w:ascii="宋体" w:hAnsi="宋体" w:eastAsia="宋体" w:cs="宋体"/>
          <w:b/>
          <w:bCs/>
          <w:color w:val="auto"/>
          <w:sz w:val="28"/>
          <w:szCs w:val="28"/>
          <w:highlight w:val="none"/>
        </w:rPr>
      </w:pPr>
    </w:p>
    <w:p w14:paraId="48C44EF0">
      <w:pPr>
        <w:spacing w:line="460" w:lineRule="exact"/>
        <w:jc w:val="center"/>
        <w:rPr>
          <w:rFonts w:hint="eastAsia" w:ascii="宋体" w:hAnsi="宋体" w:eastAsia="宋体" w:cs="宋体"/>
          <w:b/>
          <w:bCs/>
          <w:color w:val="auto"/>
          <w:sz w:val="28"/>
          <w:szCs w:val="28"/>
          <w:highlight w:val="none"/>
        </w:rPr>
      </w:pPr>
    </w:p>
    <w:p w14:paraId="6AA58827">
      <w:pPr>
        <w:spacing w:line="460" w:lineRule="exact"/>
        <w:jc w:val="center"/>
        <w:rPr>
          <w:rFonts w:hint="eastAsia" w:ascii="宋体" w:hAnsi="宋体" w:eastAsia="宋体" w:cs="宋体"/>
          <w:b/>
          <w:bCs/>
          <w:color w:val="auto"/>
          <w:sz w:val="28"/>
          <w:szCs w:val="28"/>
          <w:highlight w:val="none"/>
        </w:rPr>
      </w:pPr>
    </w:p>
    <w:p w14:paraId="2BEF3A23">
      <w:pPr>
        <w:spacing w:line="460" w:lineRule="exact"/>
        <w:jc w:val="center"/>
        <w:rPr>
          <w:rFonts w:hint="eastAsia" w:ascii="宋体" w:hAnsi="宋体" w:eastAsia="宋体" w:cs="宋体"/>
          <w:b/>
          <w:bCs/>
          <w:color w:val="auto"/>
          <w:sz w:val="28"/>
          <w:szCs w:val="28"/>
          <w:highlight w:val="none"/>
        </w:rPr>
      </w:pPr>
    </w:p>
    <w:p w14:paraId="195D7441">
      <w:pPr>
        <w:spacing w:line="460" w:lineRule="exact"/>
        <w:jc w:val="center"/>
        <w:rPr>
          <w:rFonts w:hint="eastAsia" w:ascii="宋体" w:hAnsi="宋体" w:eastAsia="宋体" w:cs="宋体"/>
          <w:b/>
          <w:bCs/>
          <w:color w:val="auto"/>
          <w:sz w:val="28"/>
          <w:szCs w:val="28"/>
          <w:highlight w:val="none"/>
        </w:rPr>
      </w:pPr>
    </w:p>
    <w:p w14:paraId="1F90D5DD">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82FB5E">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7E82FB5E">
                      <w:r>
                        <w:rPr>
                          <w:rFonts w:hint="eastAsia" w:ascii="新宋体" w:hAnsi="新宋体" w:eastAsia="新宋体"/>
                          <w:sz w:val="22"/>
                          <w:szCs w:val="22"/>
                        </w:rPr>
                        <w:t xml:space="preserve">  授权代表身份证（正反面）：</w:t>
                      </w:r>
                    </w:p>
                  </w:txbxContent>
                </v:textbox>
              </v:shape>
            </w:pict>
          </mc:Fallback>
        </mc:AlternateContent>
      </w:r>
    </w:p>
    <w:p w14:paraId="67FECE49">
      <w:pPr>
        <w:spacing w:line="460" w:lineRule="exact"/>
        <w:jc w:val="center"/>
        <w:rPr>
          <w:rFonts w:hint="eastAsia" w:ascii="宋体" w:hAnsi="宋体" w:eastAsia="宋体" w:cs="宋体"/>
          <w:b/>
          <w:bCs/>
          <w:color w:val="auto"/>
          <w:sz w:val="28"/>
          <w:szCs w:val="28"/>
          <w:highlight w:val="none"/>
        </w:rPr>
      </w:pPr>
    </w:p>
    <w:p w14:paraId="1AAC5876">
      <w:pPr>
        <w:spacing w:line="460" w:lineRule="exact"/>
        <w:jc w:val="center"/>
        <w:rPr>
          <w:rFonts w:hint="eastAsia" w:ascii="宋体" w:hAnsi="宋体" w:eastAsia="宋体" w:cs="宋体"/>
          <w:b/>
          <w:bCs/>
          <w:color w:val="auto"/>
          <w:sz w:val="28"/>
          <w:szCs w:val="28"/>
          <w:highlight w:val="none"/>
        </w:rPr>
      </w:pPr>
    </w:p>
    <w:p w14:paraId="5AF988B5">
      <w:pPr>
        <w:spacing w:line="460" w:lineRule="exact"/>
        <w:jc w:val="center"/>
        <w:rPr>
          <w:rFonts w:hint="eastAsia" w:ascii="宋体" w:hAnsi="宋体" w:eastAsia="宋体" w:cs="宋体"/>
          <w:b/>
          <w:bCs/>
          <w:color w:val="auto"/>
          <w:sz w:val="28"/>
          <w:szCs w:val="28"/>
          <w:highlight w:val="none"/>
        </w:rPr>
      </w:pPr>
    </w:p>
    <w:p w14:paraId="0CB337D2">
      <w:pPr>
        <w:spacing w:line="460" w:lineRule="exact"/>
        <w:jc w:val="center"/>
        <w:rPr>
          <w:rFonts w:hint="eastAsia" w:ascii="宋体" w:hAnsi="宋体" w:eastAsia="宋体" w:cs="宋体"/>
          <w:b/>
          <w:bCs/>
          <w:color w:val="auto"/>
          <w:sz w:val="28"/>
          <w:szCs w:val="28"/>
          <w:highlight w:val="none"/>
        </w:rPr>
      </w:pPr>
    </w:p>
    <w:p w14:paraId="3CF5B01C">
      <w:pPr>
        <w:spacing w:line="460" w:lineRule="exact"/>
        <w:jc w:val="center"/>
        <w:rPr>
          <w:rFonts w:hint="eastAsia" w:ascii="宋体" w:hAnsi="宋体" w:eastAsia="宋体" w:cs="宋体"/>
          <w:b/>
          <w:bCs/>
          <w:color w:val="auto"/>
          <w:sz w:val="28"/>
          <w:szCs w:val="28"/>
          <w:highlight w:val="none"/>
        </w:rPr>
      </w:pPr>
    </w:p>
    <w:p w14:paraId="7FA9915A">
      <w:pPr>
        <w:spacing w:line="460" w:lineRule="exact"/>
        <w:jc w:val="center"/>
        <w:rPr>
          <w:rFonts w:hint="eastAsia" w:ascii="宋体" w:hAnsi="宋体" w:eastAsia="宋体" w:cs="宋体"/>
          <w:b/>
          <w:bCs/>
          <w:color w:val="auto"/>
          <w:sz w:val="28"/>
          <w:szCs w:val="28"/>
          <w:highlight w:val="none"/>
        </w:rPr>
      </w:pPr>
    </w:p>
    <w:p w14:paraId="74CC8B53">
      <w:pPr>
        <w:spacing w:line="460" w:lineRule="exact"/>
        <w:jc w:val="center"/>
        <w:rPr>
          <w:rFonts w:hint="eastAsia" w:ascii="宋体" w:hAnsi="宋体" w:eastAsia="宋体" w:cs="宋体"/>
          <w:b/>
          <w:bCs/>
          <w:color w:val="auto"/>
          <w:sz w:val="28"/>
          <w:szCs w:val="28"/>
          <w:highlight w:val="none"/>
        </w:rPr>
      </w:pPr>
    </w:p>
    <w:p w14:paraId="14FC02B5">
      <w:pPr>
        <w:spacing w:line="460" w:lineRule="exact"/>
        <w:jc w:val="center"/>
        <w:rPr>
          <w:rFonts w:hint="eastAsia" w:ascii="宋体" w:hAnsi="宋体" w:eastAsia="宋体" w:cs="宋体"/>
          <w:b/>
          <w:bCs/>
          <w:color w:val="auto"/>
          <w:sz w:val="28"/>
          <w:szCs w:val="28"/>
          <w:highlight w:val="none"/>
        </w:rPr>
      </w:pPr>
    </w:p>
    <w:p w14:paraId="11FA076C">
      <w:pPr>
        <w:spacing w:line="460" w:lineRule="exact"/>
        <w:jc w:val="center"/>
        <w:rPr>
          <w:rFonts w:hint="eastAsia" w:ascii="宋体" w:hAnsi="宋体" w:eastAsia="宋体" w:cs="宋体"/>
          <w:b/>
          <w:bCs/>
          <w:color w:val="auto"/>
          <w:sz w:val="28"/>
          <w:szCs w:val="28"/>
          <w:highlight w:val="none"/>
        </w:rPr>
      </w:pPr>
    </w:p>
    <w:p w14:paraId="3C942C16">
      <w:pPr>
        <w:spacing w:line="460" w:lineRule="exact"/>
        <w:jc w:val="center"/>
        <w:rPr>
          <w:rFonts w:hint="eastAsia" w:ascii="宋体" w:hAnsi="宋体" w:eastAsia="宋体" w:cs="宋体"/>
          <w:b/>
          <w:bCs/>
          <w:color w:val="auto"/>
          <w:sz w:val="28"/>
          <w:szCs w:val="28"/>
          <w:highlight w:val="none"/>
        </w:rPr>
      </w:pPr>
    </w:p>
    <w:p w14:paraId="7ACE99BC">
      <w:pPr>
        <w:spacing w:line="460" w:lineRule="exact"/>
        <w:jc w:val="center"/>
        <w:rPr>
          <w:rFonts w:hint="eastAsia" w:ascii="宋体" w:hAnsi="宋体" w:eastAsia="宋体" w:cs="宋体"/>
          <w:b/>
          <w:bCs/>
          <w:color w:val="auto"/>
          <w:sz w:val="28"/>
          <w:szCs w:val="28"/>
          <w:highlight w:val="none"/>
        </w:rPr>
      </w:pPr>
    </w:p>
    <w:p w14:paraId="0229B3BA">
      <w:pPr>
        <w:spacing w:line="460" w:lineRule="exact"/>
        <w:jc w:val="center"/>
        <w:rPr>
          <w:rFonts w:hint="eastAsia" w:ascii="宋体" w:hAnsi="宋体" w:eastAsia="宋体" w:cs="宋体"/>
          <w:b/>
          <w:bCs/>
          <w:color w:val="auto"/>
          <w:sz w:val="28"/>
          <w:szCs w:val="28"/>
          <w:highlight w:val="none"/>
        </w:rPr>
      </w:pPr>
    </w:p>
    <w:p w14:paraId="2D024C1A">
      <w:pPr>
        <w:spacing w:line="460" w:lineRule="exact"/>
        <w:jc w:val="center"/>
        <w:rPr>
          <w:rFonts w:hint="eastAsia" w:ascii="宋体" w:hAnsi="宋体" w:eastAsia="宋体" w:cs="宋体"/>
          <w:b/>
          <w:bCs/>
          <w:color w:val="auto"/>
          <w:sz w:val="28"/>
          <w:szCs w:val="28"/>
          <w:highlight w:val="none"/>
        </w:rPr>
      </w:pPr>
    </w:p>
    <w:p w14:paraId="42C1B833">
      <w:pPr>
        <w:spacing w:line="460" w:lineRule="exact"/>
        <w:jc w:val="center"/>
        <w:rPr>
          <w:rFonts w:hint="eastAsia" w:ascii="宋体" w:hAnsi="宋体" w:eastAsia="宋体" w:cs="宋体"/>
          <w:b/>
          <w:bCs/>
          <w:color w:val="auto"/>
          <w:sz w:val="28"/>
          <w:szCs w:val="28"/>
          <w:highlight w:val="none"/>
        </w:rPr>
      </w:pPr>
    </w:p>
    <w:p w14:paraId="7DA4B80D">
      <w:pPr>
        <w:spacing w:line="460" w:lineRule="exact"/>
        <w:jc w:val="center"/>
        <w:rPr>
          <w:rFonts w:hint="eastAsia" w:ascii="宋体" w:hAnsi="宋体" w:eastAsia="宋体" w:cs="宋体"/>
          <w:b/>
          <w:bCs/>
          <w:color w:val="auto"/>
          <w:sz w:val="28"/>
          <w:szCs w:val="28"/>
          <w:highlight w:val="none"/>
        </w:rPr>
      </w:pPr>
    </w:p>
    <w:p w14:paraId="6F16D302">
      <w:pPr>
        <w:spacing w:line="460" w:lineRule="exact"/>
        <w:jc w:val="center"/>
        <w:outlineLvl w:val="3"/>
        <w:rPr>
          <w:rFonts w:hint="eastAsia" w:ascii="宋体" w:hAnsi="宋体" w:eastAsia="宋体" w:cs="宋体"/>
          <w:b/>
          <w:bCs/>
          <w:color w:val="auto"/>
          <w:sz w:val="22"/>
          <w:szCs w:val="22"/>
          <w:highlight w:val="none"/>
        </w:rPr>
        <w:sectPr>
          <w:headerReference r:id="rId4" w:type="first"/>
          <w:footerReference r:id="rId6" w:type="first"/>
          <w:headerReference r:id="rId3" w:type="default"/>
          <w:footerReference r:id="rId5" w:type="default"/>
          <w:pgSz w:w="11906" w:h="16838"/>
          <w:pgMar w:top="1134" w:right="1134" w:bottom="1134" w:left="1134" w:header="850" w:footer="992" w:gutter="0"/>
          <w:pgNumType w:fmt="decimal"/>
          <w:cols w:space="720" w:num="1"/>
          <w:titlePg/>
          <w:docGrid w:type="lines" w:linePitch="312" w:charSpace="0"/>
        </w:sectPr>
      </w:pPr>
    </w:p>
    <w:p w14:paraId="06ECCE2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18C42234">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4521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970C88D">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123B678C">
            <w:pPr>
              <w:spacing w:line="480" w:lineRule="exact"/>
              <w:rPr>
                <w:rFonts w:hint="eastAsia" w:ascii="宋体" w:hAnsi="宋体" w:eastAsia="宋体" w:cs="宋体"/>
                <w:color w:val="auto"/>
                <w:sz w:val="22"/>
                <w:szCs w:val="22"/>
                <w:highlight w:val="none"/>
              </w:rPr>
            </w:pPr>
          </w:p>
        </w:tc>
        <w:tc>
          <w:tcPr>
            <w:tcW w:w="1115" w:type="dxa"/>
            <w:gridSpan w:val="2"/>
          </w:tcPr>
          <w:p w14:paraId="22791004">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5759AAE5">
            <w:pPr>
              <w:spacing w:line="480" w:lineRule="exact"/>
              <w:rPr>
                <w:rFonts w:hint="eastAsia" w:ascii="宋体" w:hAnsi="宋体" w:eastAsia="宋体" w:cs="宋体"/>
                <w:color w:val="auto"/>
                <w:sz w:val="22"/>
                <w:szCs w:val="22"/>
                <w:highlight w:val="none"/>
              </w:rPr>
            </w:pPr>
          </w:p>
        </w:tc>
        <w:tc>
          <w:tcPr>
            <w:tcW w:w="1488" w:type="dxa"/>
          </w:tcPr>
          <w:p w14:paraId="4F8AD36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72C955A6">
            <w:pPr>
              <w:spacing w:line="480" w:lineRule="exact"/>
              <w:rPr>
                <w:rFonts w:hint="eastAsia" w:ascii="宋体" w:hAnsi="宋体" w:eastAsia="宋体" w:cs="宋体"/>
                <w:color w:val="auto"/>
                <w:sz w:val="22"/>
                <w:szCs w:val="22"/>
                <w:highlight w:val="none"/>
              </w:rPr>
            </w:pPr>
          </w:p>
        </w:tc>
        <w:tc>
          <w:tcPr>
            <w:tcW w:w="1488" w:type="dxa"/>
          </w:tcPr>
          <w:p w14:paraId="21F8CEFD">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05C4F939">
            <w:pPr>
              <w:spacing w:line="480" w:lineRule="exact"/>
              <w:rPr>
                <w:rFonts w:hint="eastAsia" w:ascii="宋体" w:hAnsi="宋体" w:eastAsia="宋体" w:cs="宋体"/>
                <w:color w:val="auto"/>
                <w:sz w:val="22"/>
                <w:szCs w:val="22"/>
                <w:highlight w:val="none"/>
              </w:rPr>
            </w:pPr>
          </w:p>
        </w:tc>
        <w:tc>
          <w:tcPr>
            <w:tcW w:w="1461" w:type="dxa"/>
            <w:gridSpan w:val="2"/>
          </w:tcPr>
          <w:p w14:paraId="195CC48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08EA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8D4960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41A83487">
            <w:pPr>
              <w:spacing w:line="480" w:lineRule="exact"/>
              <w:rPr>
                <w:rFonts w:hint="eastAsia" w:ascii="宋体" w:hAnsi="宋体" w:eastAsia="宋体" w:cs="宋体"/>
                <w:color w:val="auto"/>
                <w:sz w:val="22"/>
                <w:szCs w:val="22"/>
                <w:highlight w:val="none"/>
              </w:rPr>
            </w:pPr>
          </w:p>
        </w:tc>
        <w:tc>
          <w:tcPr>
            <w:tcW w:w="1115" w:type="dxa"/>
            <w:gridSpan w:val="2"/>
          </w:tcPr>
          <w:p w14:paraId="29B3E18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536370CC">
            <w:pPr>
              <w:spacing w:line="480" w:lineRule="exact"/>
              <w:rPr>
                <w:rFonts w:hint="eastAsia" w:ascii="宋体" w:hAnsi="宋体" w:eastAsia="宋体" w:cs="宋体"/>
                <w:color w:val="auto"/>
                <w:sz w:val="22"/>
                <w:szCs w:val="22"/>
                <w:highlight w:val="none"/>
              </w:rPr>
            </w:pPr>
          </w:p>
        </w:tc>
        <w:tc>
          <w:tcPr>
            <w:tcW w:w="1488" w:type="dxa"/>
          </w:tcPr>
          <w:p w14:paraId="4714F49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501D30CA">
            <w:pPr>
              <w:spacing w:line="480" w:lineRule="exact"/>
              <w:rPr>
                <w:rFonts w:hint="eastAsia" w:ascii="宋体" w:hAnsi="宋体" w:eastAsia="宋体" w:cs="宋体"/>
                <w:color w:val="auto"/>
                <w:sz w:val="22"/>
                <w:szCs w:val="22"/>
                <w:highlight w:val="none"/>
              </w:rPr>
            </w:pPr>
          </w:p>
        </w:tc>
        <w:tc>
          <w:tcPr>
            <w:tcW w:w="1488" w:type="dxa"/>
          </w:tcPr>
          <w:p w14:paraId="5892B62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087BE539">
            <w:pPr>
              <w:spacing w:line="480" w:lineRule="exact"/>
              <w:rPr>
                <w:rFonts w:hint="eastAsia" w:ascii="宋体" w:hAnsi="宋体" w:eastAsia="宋体" w:cs="宋体"/>
                <w:color w:val="auto"/>
                <w:sz w:val="22"/>
                <w:szCs w:val="22"/>
                <w:highlight w:val="none"/>
              </w:rPr>
            </w:pPr>
          </w:p>
        </w:tc>
        <w:tc>
          <w:tcPr>
            <w:tcW w:w="1461" w:type="dxa"/>
            <w:gridSpan w:val="2"/>
          </w:tcPr>
          <w:p w14:paraId="77376A4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738D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11A5652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193BF42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66C8B6F1">
            <w:pPr>
              <w:spacing w:line="480" w:lineRule="exact"/>
              <w:jc w:val="center"/>
              <w:rPr>
                <w:rFonts w:hint="eastAsia" w:ascii="宋体" w:hAnsi="宋体" w:eastAsia="宋体" w:cs="宋体"/>
                <w:color w:val="auto"/>
                <w:sz w:val="22"/>
                <w:szCs w:val="22"/>
                <w:highlight w:val="none"/>
              </w:rPr>
            </w:pPr>
          </w:p>
        </w:tc>
        <w:tc>
          <w:tcPr>
            <w:tcW w:w="1488" w:type="dxa"/>
            <w:vAlign w:val="center"/>
          </w:tcPr>
          <w:p w14:paraId="419A3FF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7E5718B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512EBA1B">
            <w:pPr>
              <w:spacing w:line="480" w:lineRule="exact"/>
              <w:rPr>
                <w:rFonts w:hint="eastAsia" w:ascii="宋体" w:hAnsi="宋体" w:eastAsia="宋体" w:cs="宋体"/>
                <w:color w:val="auto"/>
                <w:sz w:val="22"/>
                <w:szCs w:val="22"/>
                <w:highlight w:val="none"/>
              </w:rPr>
            </w:pPr>
          </w:p>
        </w:tc>
      </w:tr>
      <w:tr w14:paraId="231F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6709949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14D1826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055F1097">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13F0EDAD">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647E5D1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17CBEFC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0E7A67BF">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3C43A58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088716E1">
            <w:pPr>
              <w:spacing w:line="480" w:lineRule="exact"/>
              <w:jc w:val="center"/>
              <w:rPr>
                <w:rFonts w:hint="eastAsia" w:ascii="宋体" w:hAnsi="宋体" w:eastAsia="宋体" w:cs="宋体"/>
                <w:color w:val="auto"/>
                <w:sz w:val="22"/>
                <w:szCs w:val="22"/>
                <w:highlight w:val="none"/>
              </w:rPr>
            </w:pPr>
          </w:p>
        </w:tc>
      </w:tr>
      <w:tr w14:paraId="12C6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B8C900B">
            <w:pPr>
              <w:spacing w:line="480" w:lineRule="exact"/>
              <w:rPr>
                <w:rFonts w:hint="eastAsia" w:ascii="宋体" w:hAnsi="宋体" w:eastAsia="宋体" w:cs="宋体"/>
                <w:color w:val="auto"/>
                <w:sz w:val="22"/>
                <w:szCs w:val="22"/>
                <w:highlight w:val="none"/>
              </w:rPr>
            </w:pPr>
          </w:p>
        </w:tc>
        <w:tc>
          <w:tcPr>
            <w:tcW w:w="1115" w:type="dxa"/>
            <w:vMerge w:val="continue"/>
          </w:tcPr>
          <w:p w14:paraId="0BDA2646">
            <w:pPr>
              <w:spacing w:line="480" w:lineRule="exact"/>
              <w:rPr>
                <w:rFonts w:hint="eastAsia" w:ascii="宋体" w:hAnsi="宋体" w:eastAsia="宋体" w:cs="宋体"/>
                <w:color w:val="auto"/>
                <w:sz w:val="22"/>
                <w:szCs w:val="22"/>
                <w:highlight w:val="none"/>
              </w:rPr>
            </w:pPr>
          </w:p>
        </w:tc>
        <w:tc>
          <w:tcPr>
            <w:tcW w:w="1689" w:type="dxa"/>
            <w:vMerge w:val="continue"/>
          </w:tcPr>
          <w:p w14:paraId="545C49A8">
            <w:pPr>
              <w:spacing w:line="480" w:lineRule="exact"/>
              <w:rPr>
                <w:rFonts w:hint="eastAsia" w:ascii="宋体" w:hAnsi="宋体" w:eastAsia="宋体" w:cs="宋体"/>
                <w:color w:val="auto"/>
                <w:sz w:val="22"/>
                <w:szCs w:val="22"/>
                <w:highlight w:val="none"/>
              </w:rPr>
            </w:pPr>
          </w:p>
        </w:tc>
        <w:tc>
          <w:tcPr>
            <w:tcW w:w="3703" w:type="dxa"/>
            <w:gridSpan w:val="4"/>
            <w:vMerge w:val="continue"/>
          </w:tcPr>
          <w:p w14:paraId="77781674">
            <w:pPr>
              <w:spacing w:line="480" w:lineRule="exact"/>
              <w:rPr>
                <w:rFonts w:hint="eastAsia" w:ascii="宋体" w:hAnsi="宋体" w:eastAsia="宋体" w:cs="宋体"/>
                <w:color w:val="auto"/>
                <w:sz w:val="22"/>
                <w:szCs w:val="22"/>
                <w:highlight w:val="none"/>
              </w:rPr>
            </w:pPr>
          </w:p>
        </w:tc>
        <w:tc>
          <w:tcPr>
            <w:tcW w:w="1488" w:type="dxa"/>
            <w:vMerge w:val="continue"/>
          </w:tcPr>
          <w:p w14:paraId="7CB29FF9">
            <w:pPr>
              <w:spacing w:line="480" w:lineRule="exact"/>
              <w:rPr>
                <w:rFonts w:hint="eastAsia" w:ascii="宋体" w:hAnsi="宋体" w:eastAsia="宋体" w:cs="宋体"/>
                <w:color w:val="auto"/>
                <w:sz w:val="22"/>
                <w:szCs w:val="22"/>
                <w:highlight w:val="none"/>
              </w:rPr>
            </w:pPr>
          </w:p>
        </w:tc>
        <w:tc>
          <w:tcPr>
            <w:tcW w:w="1502" w:type="dxa"/>
            <w:vAlign w:val="center"/>
          </w:tcPr>
          <w:p w14:paraId="38991CB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4C3B1053">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05E5BD0F">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66A2BD5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6767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F3851DC">
            <w:pPr>
              <w:spacing w:line="480" w:lineRule="exact"/>
              <w:rPr>
                <w:rFonts w:hint="eastAsia" w:ascii="宋体" w:hAnsi="宋体" w:eastAsia="宋体" w:cs="宋体"/>
                <w:color w:val="auto"/>
                <w:sz w:val="22"/>
                <w:szCs w:val="22"/>
                <w:highlight w:val="none"/>
              </w:rPr>
            </w:pPr>
          </w:p>
        </w:tc>
        <w:tc>
          <w:tcPr>
            <w:tcW w:w="1115" w:type="dxa"/>
            <w:vMerge w:val="restart"/>
          </w:tcPr>
          <w:p w14:paraId="51B5C6ED">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676C5AFF">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66CA607">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6563EF2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19613B6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639DF80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2F101942">
            <w:pPr>
              <w:spacing w:line="480" w:lineRule="exact"/>
              <w:rPr>
                <w:rFonts w:hint="eastAsia" w:ascii="宋体" w:hAnsi="宋体" w:eastAsia="宋体" w:cs="宋体"/>
                <w:color w:val="auto"/>
                <w:sz w:val="22"/>
                <w:szCs w:val="22"/>
                <w:highlight w:val="none"/>
              </w:rPr>
            </w:pPr>
          </w:p>
        </w:tc>
        <w:tc>
          <w:tcPr>
            <w:tcW w:w="1502" w:type="dxa"/>
            <w:vAlign w:val="center"/>
          </w:tcPr>
          <w:p w14:paraId="035A5A8F">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41A44192">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43722999">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12F845F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3CC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5E45B60D">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7CE23BBF">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23645480">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43F8FA1E">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5FDDD85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7E622F48">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388FC4A2">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53F846B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46D6192A">
            <w:pPr>
              <w:spacing w:line="480" w:lineRule="exact"/>
              <w:jc w:val="center"/>
              <w:rPr>
                <w:rFonts w:hint="eastAsia" w:ascii="宋体" w:hAnsi="宋体" w:eastAsia="宋体" w:cs="宋体"/>
                <w:color w:val="auto"/>
                <w:sz w:val="22"/>
                <w:szCs w:val="22"/>
                <w:highlight w:val="none"/>
              </w:rPr>
            </w:pPr>
          </w:p>
        </w:tc>
      </w:tr>
      <w:tr w14:paraId="0ACF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0C9A1CF4">
            <w:pPr>
              <w:spacing w:line="480" w:lineRule="exact"/>
              <w:rPr>
                <w:rFonts w:hint="eastAsia" w:ascii="宋体" w:hAnsi="宋体" w:eastAsia="宋体" w:cs="宋体"/>
                <w:color w:val="auto"/>
                <w:sz w:val="22"/>
                <w:szCs w:val="22"/>
                <w:highlight w:val="none"/>
              </w:rPr>
            </w:pPr>
          </w:p>
        </w:tc>
        <w:tc>
          <w:tcPr>
            <w:tcW w:w="1115" w:type="dxa"/>
            <w:vMerge w:val="restart"/>
          </w:tcPr>
          <w:p w14:paraId="656715A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0004CF3C">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28F1A40A">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55DDF5D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04804BA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71E78F90">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69FB6D1C">
            <w:pPr>
              <w:spacing w:line="480" w:lineRule="exact"/>
              <w:rPr>
                <w:rFonts w:hint="eastAsia" w:ascii="宋体" w:hAnsi="宋体" w:eastAsia="宋体" w:cs="宋体"/>
                <w:color w:val="auto"/>
                <w:sz w:val="22"/>
                <w:szCs w:val="22"/>
                <w:highlight w:val="none"/>
              </w:rPr>
            </w:pPr>
          </w:p>
        </w:tc>
        <w:tc>
          <w:tcPr>
            <w:tcW w:w="1502" w:type="dxa"/>
            <w:vMerge w:val="continue"/>
          </w:tcPr>
          <w:p w14:paraId="3C970CDF">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7DAF2061">
            <w:pPr>
              <w:spacing w:line="480" w:lineRule="exact"/>
              <w:rPr>
                <w:rFonts w:hint="eastAsia" w:ascii="宋体" w:hAnsi="宋体" w:eastAsia="宋体" w:cs="宋体"/>
                <w:color w:val="auto"/>
                <w:sz w:val="22"/>
                <w:szCs w:val="22"/>
                <w:highlight w:val="none"/>
              </w:rPr>
            </w:pPr>
          </w:p>
        </w:tc>
      </w:tr>
      <w:tr w14:paraId="7EC2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272F8CD">
            <w:pPr>
              <w:spacing w:line="480" w:lineRule="exact"/>
              <w:rPr>
                <w:rFonts w:hint="eastAsia" w:ascii="宋体" w:hAnsi="宋体" w:eastAsia="宋体" w:cs="宋体"/>
                <w:color w:val="auto"/>
                <w:sz w:val="22"/>
                <w:szCs w:val="22"/>
                <w:highlight w:val="none"/>
              </w:rPr>
            </w:pPr>
          </w:p>
        </w:tc>
        <w:tc>
          <w:tcPr>
            <w:tcW w:w="1115" w:type="dxa"/>
            <w:vMerge w:val="continue"/>
          </w:tcPr>
          <w:p w14:paraId="6292F6EF">
            <w:pPr>
              <w:spacing w:line="480" w:lineRule="exact"/>
              <w:rPr>
                <w:rFonts w:hint="eastAsia" w:ascii="宋体" w:hAnsi="宋体" w:eastAsia="宋体" w:cs="宋体"/>
                <w:color w:val="auto"/>
                <w:sz w:val="22"/>
                <w:szCs w:val="22"/>
                <w:highlight w:val="none"/>
              </w:rPr>
            </w:pPr>
          </w:p>
        </w:tc>
        <w:tc>
          <w:tcPr>
            <w:tcW w:w="1689" w:type="dxa"/>
            <w:vMerge w:val="continue"/>
          </w:tcPr>
          <w:p w14:paraId="34AAC702">
            <w:pPr>
              <w:spacing w:line="480" w:lineRule="exact"/>
              <w:rPr>
                <w:rFonts w:hint="eastAsia" w:ascii="宋体" w:hAnsi="宋体" w:eastAsia="宋体" w:cs="宋体"/>
                <w:color w:val="auto"/>
                <w:sz w:val="22"/>
                <w:szCs w:val="22"/>
                <w:highlight w:val="none"/>
              </w:rPr>
            </w:pPr>
          </w:p>
        </w:tc>
        <w:tc>
          <w:tcPr>
            <w:tcW w:w="728" w:type="dxa"/>
            <w:vMerge w:val="continue"/>
          </w:tcPr>
          <w:p w14:paraId="08D76185">
            <w:pPr>
              <w:spacing w:line="480" w:lineRule="exact"/>
              <w:rPr>
                <w:rFonts w:hint="eastAsia" w:ascii="宋体" w:hAnsi="宋体" w:eastAsia="宋体" w:cs="宋体"/>
                <w:color w:val="auto"/>
                <w:sz w:val="22"/>
                <w:szCs w:val="22"/>
                <w:highlight w:val="none"/>
              </w:rPr>
            </w:pPr>
          </w:p>
        </w:tc>
        <w:tc>
          <w:tcPr>
            <w:tcW w:w="1487" w:type="dxa"/>
            <w:gridSpan w:val="2"/>
          </w:tcPr>
          <w:p w14:paraId="3620133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3DA32FE7">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79A37702">
            <w:pPr>
              <w:spacing w:line="480" w:lineRule="exact"/>
              <w:rPr>
                <w:rFonts w:hint="eastAsia" w:ascii="宋体" w:hAnsi="宋体" w:eastAsia="宋体" w:cs="宋体"/>
                <w:color w:val="auto"/>
                <w:sz w:val="22"/>
                <w:szCs w:val="22"/>
                <w:highlight w:val="none"/>
              </w:rPr>
            </w:pPr>
          </w:p>
        </w:tc>
        <w:tc>
          <w:tcPr>
            <w:tcW w:w="1502" w:type="dxa"/>
            <w:vMerge w:val="continue"/>
          </w:tcPr>
          <w:p w14:paraId="47D0C404">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5BA195C2">
            <w:pPr>
              <w:spacing w:line="480" w:lineRule="exact"/>
              <w:rPr>
                <w:rFonts w:hint="eastAsia" w:ascii="宋体" w:hAnsi="宋体" w:eastAsia="宋体" w:cs="宋体"/>
                <w:color w:val="auto"/>
                <w:sz w:val="22"/>
                <w:szCs w:val="22"/>
                <w:highlight w:val="none"/>
              </w:rPr>
            </w:pPr>
          </w:p>
        </w:tc>
      </w:tr>
    </w:tbl>
    <w:p w14:paraId="4CB4EE91">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pgNumType w:fmt="decimal"/>
          <w:cols w:space="720" w:num="1"/>
          <w:docGrid w:type="lines" w:linePitch="321" w:charSpace="0"/>
        </w:sectPr>
      </w:pPr>
    </w:p>
    <w:p w14:paraId="3A4EAA69">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789B85CB">
      <w:pPr>
        <w:spacing w:line="360" w:lineRule="auto"/>
        <w:rPr>
          <w:rFonts w:hint="eastAsia" w:ascii="宋体" w:hAnsi="宋体" w:eastAsia="宋体" w:cs="宋体"/>
          <w:b w:val="0"/>
          <w:bCs w:val="0"/>
          <w:color w:val="auto"/>
          <w:sz w:val="22"/>
          <w:szCs w:val="22"/>
          <w:highlight w:val="none"/>
        </w:rPr>
      </w:pPr>
    </w:p>
    <w:p w14:paraId="0B3ACAC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WZLCZB（Z）-2024-10471</w:t>
      </w:r>
    </w:p>
    <w:p w14:paraId="201CD3D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2025年交通违法(事故)车辆司法鉴定服务项目</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2B69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77605D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4A1E37F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0842F7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2FCED76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472FAAC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79A3D89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6D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BECD61D">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7B0A88F6">
            <w:pPr>
              <w:jc w:val="center"/>
              <w:rPr>
                <w:rFonts w:hint="eastAsia" w:ascii="宋体" w:hAnsi="宋体" w:eastAsia="宋体" w:cs="宋体"/>
                <w:color w:val="auto"/>
                <w:sz w:val="22"/>
                <w:szCs w:val="22"/>
                <w:highlight w:val="none"/>
              </w:rPr>
            </w:pPr>
          </w:p>
        </w:tc>
        <w:tc>
          <w:tcPr>
            <w:tcW w:w="3402" w:type="dxa"/>
            <w:vAlign w:val="center"/>
          </w:tcPr>
          <w:p w14:paraId="16BEAED5">
            <w:pPr>
              <w:jc w:val="center"/>
              <w:rPr>
                <w:rFonts w:hint="eastAsia" w:ascii="宋体" w:hAnsi="宋体" w:eastAsia="宋体" w:cs="宋体"/>
                <w:color w:val="auto"/>
                <w:sz w:val="22"/>
                <w:szCs w:val="22"/>
                <w:highlight w:val="none"/>
              </w:rPr>
            </w:pPr>
          </w:p>
        </w:tc>
        <w:tc>
          <w:tcPr>
            <w:tcW w:w="1580" w:type="dxa"/>
            <w:vAlign w:val="center"/>
          </w:tcPr>
          <w:p w14:paraId="72D301B9">
            <w:pPr>
              <w:jc w:val="center"/>
              <w:rPr>
                <w:rFonts w:hint="eastAsia" w:ascii="宋体" w:hAnsi="宋体" w:eastAsia="宋体" w:cs="宋体"/>
                <w:color w:val="auto"/>
                <w:sz w:val="22"/>
                <w:szCs w:val="22"/>
                <w:highlight w:val="none"/>
              </w:rPr>
            </w:pPr>
          </w:p>
        </w:tc>
      </w:tr>
      <w:tr w14:paraId="6177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4516162">
            <w:pPr>
              <w:jc w:val="center"/>
              <w:rPr>
                <w:rFonts w:hint="eastAsia" w:ascii="宋体" w:hAnsi="宋体" w:eastAsia="宋体" w:cs="宋体"/>
                <w:color w:val="auto"/>
                <w:sz w:val="22"/>
                <w:szCs w:val="22"/>
                <w:highlight w:val="none"/>
              </w:rPr>
            </w:pPr>
          </w:p>
        </w:tc>
        <w:tc>
          <w:tcPr>
            <w:tcW w:w="3687" w:type="dxa"/>
            <w:vAlign w:val="center"/>
          </w:tcPr>
          <w:p w14:paraId="6EB97839">
            <w:pPr>
              <w:jc w:val="center"/>
              <w:rPr>
                <w:rFonts w:hint="eastAsia" w:ascii="宋体" w:hAnsi="宋体" w:eastAsia="宋体" w:cs="宋体"/>
                <w:color w:val="auto"/>
                <w:sz w:val="22"/>
                <w:szCs w:val="22"/>
                <w:highlight w:val="none"/>
              </w:rPr>
            </w:pPr>
          </w:p>
        </w:tc>
        <w:tc>
          <w:tcPr>
            <w:tcW w:w="3402" w:type="dxa"/>
            <w:vAlign w:val="center"/>
          </w:tcPr>
          <w:p w14:paraId="0171FFB8">
            <w:pPr>
              <w:jc w:val="center"/>
              <w:rPr>
                <w:rFonts w:hint="eastAsia" w:ascii="宋体" w:hAnsi="宋体" w:eastAsia="宋体" w:cs="宋体"/>
                <w:color w:val="auto"/>
                <w:sz w:val="22"/>
                <w:szCs w:val="22"/>
                <w:highlight w:val="none"/>
              </w:rPr>
            </w:pPr>
          </w:p>
        </w:tc>
        <w:tc>
          <w:tcPr>
            <w:tcW w:w="1580" w:type="dxa"/>
            <w:vAlign w:val="center"/>
          </w:tcPr>
          <w:p w14:paraId="3FCC2396">
            <w:pPr>
              <w:jc w:val="center"/>
              <w:rPr>
                <w:rFonts w:hint="eastAsia" w:ascii="宋体" w:hAnsi="宋体" w:eastAsia="宋体" w:cs="宋体"/>
                <w:color w:val="auto"/>
                <w:sz w:val="22"/>
                <w:szCs w:val="22"/>
                <w:highlight w:val="none"/>
              </w:rPr>
            </w:pPr>
          </w:p>
        </w:tc>
      </w:tr>
      <w:tr w14:paraId="2AC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84F830B">
            <w:pPr>
              <w:jc w:val="center"/>
              <w:rPr>
                <w:rFonts w:hint="eastAsia" w:ascii="宋体" w:hAnsi="宋体" w:eastAsia="宋体" w:cs="宋体"/>
                <w:color w:val="auto"/>
                <w:sz w:val="22"/>
                <w:szCs w:val="22"/>
                <w:highlight w:val="none"/>
              </w:rPr>
            </w:pPr>
          </w:p>
        </w:tc>
        <w:tc>
          <w:tcPr>
            <w:tcW w:w="3687" w:type="dxa"/>
            <w:vAlign w:val="center"/>
          </w:tcPr>
          <w:p w14:paraId="69BB6558">
            <w:pPr>
              <w:jc w:val="center"/>
              <w:rPr>
                <w:rFonts w:hint="eastAsia" w:ascii="宋体" w:hAnsi="宋体" w:eastAsia="宋体" w:cs="宋体"/>
                <w:color w:val="auto"/>
                <w:sz w:val="22"/>
                <w:szCs w:val="22"/>
                <w:highlight w:val="none"/>
              </w:rPr>
            </w:pPr>
          </w:p>
        </w:tc>
        <w:tc>
          <w:tcPr>
            <w:tcW w:w="3402" w:type="dxa"/>
            <w:vAlign w:val="center"/>
          </w:tcPr>
          <w:p w14:paraId="26AAE006">
            <w:pPr>
              <w:jc w:val="center"/>
              <w:rPr>
                <w:rFonts w:hint="eastAsia" w:ascii="宋体" w:hAnsi="宋体" w:eastAsia="宋体" w:cs="宋体"/>
                <w:color w:val="auto"/>
                <w:sz w:val="22"/>
                <w:szCs w:val="22"/>
                <w:highlight w:val="none"/>
              </w:rPr>
            </w:pPr>
          </w:p>
        </w:tc>
        <w:tc>
          <w:tcPr>
            <w:tcW w:w="1580" w:type="dxa"/>
            <w:vAlign w:val="center"/>
          </w:tcPr>
          <w:p w14:paraId="76F8DAE6">
            <w:pPr>
              <w:jc w:val="center"/>
              <w:rPr>
                <w:rFonts w:hint="eastAsia" w:ascii="宋体" w:hAnsi="宋体" w:eastAsia="宋体" w:cs="宋体"/>
                <w:color w:val="auto"/>
                <w:sz w:val="22"/>
                <w:szCs w:val="22"/>
                <w:highlight w:val="none"/>
              </w:rPr>
            </w:pPr>
          </w:p>
        </w:tc>
      </w:tr>
      <w:tr w14:paraId="60B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E740BD6">
            <w:pPr>
              <w:jc w:val="center"/>
              <w:rPr>
                <w:rFonts w:hint="eastAsia" w:ascii="宋体" w:hAnsi="宋体" w:eastAsia="宋体" w:cs="宋体"/>
                <w:color w:val="auto"/>
                <w:sz w:val="22"/>
                <w:szCs w:val="22"/>
                <w:highlight w:val="none"/>
              </w:rPr>
            </w:pPr>
          </w:p>
        </w:tc>
        <w:tc>
          <w:tcPr>
            <w:tcW w:w="3687" w:type="dxa"/>
            <w:vAlign w:val="center"/>
          </w:tcPr>
          <w:p w14:paraId="54B5734F">
            <w:pPr>
              <w:jc w:val="center"/>
              <w:rPr>
                <w:rFonts w:hint="eastAsia" w:ascii="宋体" w:hAnsi="宋体" w:eastAsia="宋体" w:cs="宋体"/>
                <w:color w:val="auto"/>
                <w:sz w:val="22"/>
                <w:szCs w:val="22"/>
                <w:highlight w:val="none"/>
              </w:rPr>
            </w:pPr>
          </w:p>
        </w:tc>
        <w:tc>
          <w:tcPr>
            <w:tcW w:w="3402" w:type="dxa"/>
            <w:vAlign w:val="center"/>
          </w:tcPr>
          <w:p w14:paraId="4EBB4D1E">
            <w:pPr>
              <w:jc w:val="center"/>
              <w:rPr>
                <w:rFonts w:hint="eastAsia" w:ascii="宋体" w:hAnsi="宋体" w:eastAsia="宋体" w:cs="宋体"/>
                <w:color w:val="auto"/>
                <w:sz w:val="22"/>
                <w:szCs w:val="22"/>
                <w:highlight w:val="none"/>
              </w:rPr>
            </w:pPr>
          </w:p>
        </w:tc>
        <w:tc>
          <w:tcPr>
            <w:tcW w:w="1580" w:type="dxa"/>
            <w:vAlign w:val="center"/>
          </w:tcPr>
          <w:p w14:paraId="70F34746">
            <w:pPr>
              <w:jc w:val="center"/>
              <w:rPr>
                <w:rFonts w:hint="eastAsia" w:ascii="宋体" w:hAnsi="宋体" w:eastAsia="宋体" w:cs="宋体"/>
                <w:color w:val="auto"/>
                <w:sz w:val="22"/>
                <w:szCs w:val="22"/>
                <w:highlight w:val="none"/>
              </w:rPr>
            </w:pPr>
          </w:p>
        </w:tc>
      </w:tr>
      <w:tr w14:paraId="2539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5BF3052">
            <w:pPr>
              <w:jc w:val="center"/>
              <w:rPr>
                <w:rFonts w:hint="eastAsia" w:ascii="宋体" w:hAnsi="宋体" w:eastAsia="宋体" w:cs="宋体"/>
                <w:color w:val="auto"/>
                <w:sz w:val="22"/>
                <w:szCs w:val="22"/>
                <w:highlight w:val="none"/>
              </w:rPr>
            </w:pPr>
          </w:p>
        </w:tc>
        <w:tc>
          <w:tcPr>
            <w:tcW w:w="3687" w:type="dxa"/>
            <w:vAlign w:val="center"/>
          </w:tcPr>
          <w:p w14:paraId="07C97E25">
            <w:pPr>
              <w:jc w:val="center"/>
              <w:rPr>
                <w:rFonts w:hint="eastAsia" w:ascii="宋体" w:hAnsi="宋体" w:eastAsia="宋体" w:cs="宋体"/>
                <w:color w:val="auto"/>
                <w:sz w:val="22"/>
                <w:szCs w:val="22"/>
                <w:highlight w:val="none"/>
              </w:rPr>
            </w:pPr>
          </w:p>
        </w:tc>
        <w:tc>
          <w:tcPr>
            <w:tcW w:w="3402" w:type="dxa"/>
            <w:vAlign w:val="center"/>
          </w:tcPr>
          <w:p w14:paraId="133C6574">
            <w:pPr>
              <w:jc w:val="center"/>
              <w:rPr>
                <w:rFonts w:hint="eastAsia" w:ascii="宋体" w:hAnsi="宋体" w:eastAsia="宋体" w:cs="宋体"/>
                <w:color w:val="auto"/>
                <w:sz w:val="22"/>
                <w:szCs w:val="22"/>
                <w:highlight w:val="none"/>
              </w:rPr>
            </w:pPr>
          </w:p>
        </w:tc>
        <w:tc>
          <w:tcPr>
            <w:tcW w:w="1580" w:type="dxa"/>
            <w:vAlign w:val="center"/>
          </w:tcPr>
          <w:p w14:paraId="2D867B28">
            <w:pPr>
              <w:jc w:val="center"/>
              <w:rPr>
                <w:rFonts w:hint="eastAsia" w:ascii="宋体" w:hAnsi="宋体" w:eastAsia="宋体" w:cs="宋体"/>
                <w:color w:val="auto"/>
                <w:sz w:val="22"/>
                <w:szCs w:val="22"/>
                <w:highlight w:val="none"/>
              </w:rPr>
            </w:pPr>
          </w:p>
        </w:tc>
      </w:tr>
      <w:tr w14:paraId="7276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CF4186A">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4ADB1001">
            <w:pPr>
              <w:jc w:val="center"/>
              <w:rPr>
                <w:rFonts w:hint="eastAsia" w:ascii="宋体" w:hAnsi="宋体" w:eastAsia="宋体" w:cs="宋体"/>
                <w:color w:val="auto"/>
                <w:sz w:val="22"/>
                <w:szCs w:val="22"/>
                <w:highlight w:val="none"/>
              </w:rPr>
            </w:pPr>
          </w:p>
        </w:tc>
        <w:tc>
          <w:tcPr>
            <w:tcW w:w="3402" w:type="dxa"/>
            <w:vAlign w:val="center"/>
          </w:tcPr>
          <w:p w14:paraId="151258E4">
            <w:pPr>
              <w:jc w:val="center"/>
              <w:rPr>
                <w:rFonts w:hint="eastAsia" w:ascii="宋体" w:hAnsi="宋体" w:eastAsia="宋体" w:cs="宋体"/>
                <w:color w:val="auto"/>
                <w:sz w:val="22"/>
                <w:szCs w:val="22"/>
                <w:highlight w:val="none"/>
              </w:rPr>
            </w:pPr>
          </w:p>
        </w:tc>
        <w:tc>
          <w:tcPr>
            <w:tcW w:w="1580" w:type="dxa"/>
            <w:vAlign w:val="center"/>
          </w:tcPr>
          <w:p w14:paraId="6EA5BD7E">
            <w:pPr>
              <w:jc w:val="center"/>
              <w:rPr>
                <w:rFonts w:hint="eastAsia" w:ascii="宋体" w:hAnsi="宋体" w:eastAsia="宋体" w:cs="宋体"/>
                <w:color w:val="auto"/>
                <w:sz w:val="22"/>
                <w:szCs w:val="22"/>
                <w:highlight w:val="none"/>
              </w:rPr>
            </w:pPr>
          </w:p>
        </w:tc>
      </w:tr>
      <w:tr w14:paraId="079A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CA7FB8D">
            <w:pPr>
              <w:jc w:val="center"/>
              <w:rPr>
                <w:rFonts w:hint="eastAsia" w:ascii="宋体" w:hAnsi="宋体" w:eastAsia="宋体" w:cs="宋体"/>
                <w:color w:val="auto"/>
                <w:sz w:val="22"/>
                <w:szCs w:val="22"/>
                <w:highlight w:val="none"/>
              </w:rPr>
            </w:pPr>
          </w:p>
        </w:tc>
        <w:tc>
          <w:tcPr>
            <w:tcW w:w="3687" w:type="dxa"/>
            <w:vAlign w:val="center"/>
          </w:tcPr>
          <w:p w14:paraId="36525D80">
            <w:pPr>
              <w:jc w:val="center"/>
              <w:rPr>
                <w:rFonts w:hint="eastAsia" w:ascii="宋体" w:hAnsi="宋体" w:eastAsia="宋体" w:cs="宋体"/>
                <w:color w:val="auto"/>
                <w:sz w:val="22"/>
                <w:szCs w:val="22"/>
                <w:highlight w:val="none"/>
              </w:rPr>
            </w:pPr>
          </w:p>
        </w:tc>
        <w:tc>
          <w:tcPr>
            <w:tcW w:w="3402" w:type="dxa"/>
            <w:vAlign w:val="center"/>
          </w:tcPr>
          <w:p w14:paraId="131A6171">
            <w:pPr>
              <w:jc w:val="center"/>
              <w:rPr>
                <w:rFonts w:hint="eastAsia" w:ascii="宋体" w:hAnsi="宋体" w:eastAsia="宋体" w:cs="宋体"/>
                <w:color w:val="auto"/>
                <w:sz w:val="22"/>
                <w:szCs w:val="22"/>
                <w:highlight w:val="none"/>
              </w:rPr>
            </w:pPr>
          </w:p>
        </w:tc>
        <w:tc>
          <w:tcPr>
            <w:tcW w:w="1580" w:type="dxa"/>
            <w:vAlign w:val="center"/>
          </w:tcPr>
          <w:p w14:paraId="22082B2D">
            <w:pPr>
              <w:jc w:val="center"/>
              <w:rPr>
                <w:rFonts w:hint="eastAsia" w:ascii="宋体" w:hAnsi="宋体" w:eastAsia="宋体" w:cs="宋体"/>
                <w:color w:val="auto"/>
                <w:sz w:val="22"/>
                <w:szCs w:val="22"/>
                <w:highlight w:val="none"/>
              </w:rPr>
            </w:pPr>
          </w:p>
        </w:tc>
      </w:tr>
      <w:tr w14:paraId="637E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069D2C9">
            <w:pPr>
              <w:jc w:val="center"/>
              <w:rPr>
                <w:rFonts w:hint="eastAsia" w:ascii="宋体" w:hAnsi="宋体" w:eastAsia="宋体" w:cs="宋体"/>
                <w:color w:val="auto"/>
                <w:sz w:val="22"/>
                <w:szCs w:val="22"/>
                <w:highlight w:val="none"/>
              </w:rPr>
            </w:pPr>
          </w:p>
        </w:tc>
        <w:tc>
          <w:tcPr>
            <w:tcW w:w="3687" w:type="dxa"/>
            <w:vAlign w:val="center"/>
          </w:tcPr>
          <w:p w14:paraId="0BECAC30">
            <w:pPr>
              <w:jc w:val="center"/>
              <w:rPr>
                <w:rFonts w:hint="eastAsia" w:ascii="宋体" w:hAnsi="宋体" w:eastAsia="宋体" w:cs="宋体"/>
                <w:color w:val="auto"/>
                <w:sz w:val="22"/>
                <w:szCs w:val="22"/>
                <w:highlight w:val="none"/>
              </w:rPr>
            </w:pPr>
          </w:p>
        </w:tc>
        <w:tc>
          <w:tcPr>
            <w:tcW w:w="3402" w:type="dxa"/>
            <w:vAlign w:val="center"/>
          </w:tcPr>
          <w:p w14:paraId="04A3D9F4">
            <w:pPr>
              <w:jc w:val="center"/>
              <w:rPr>
                <w:rFonts w:hint="eastAsia" w:ascii="宋体" w:hAnsi="宋体" w:eastAsia="宋体" w:cs="宋体"/>
                <w:color w:val="auto"/>
                <w:sz w:val="22"/>
                <w:szCs w:val="22"/>
                <w:highlight w:val="none"/>
              </w:rPr>
            </w:pPr>
          </w:p>
        </w:tc>
        <w:tc>
          <w:tcPr>
            <w:tcW w:w="1580" w:type="dxa"/>
            <w:vAlign w:val="center"/>
          </w:tcPr>
          <w:p w14:paraId="4E85C62D">
            <w:pPr>
              <w:jc w:val="center"/>
              <w:rPr>
                <w:rFonts w:hint="eastAsia" w:ascii="宋体" w:hAnsi="宋体" w:eastAsia="宋体" w:cs="宋体"/>
                <w:color w:val="auto"/>
                <w:sz w:val="22"/>
                <w:szCs w:val="22"/>
                <w:highlight w:val="none"/>
              </w:rPr>
            </w:pPr>
          </w:p>
        </w:tc>
      </w:tr>
      <w:tr w14:paraId="2081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9CAB535">
            <w:pPr>
              <w:jc w:val="center"/>
              <w:rPr>
                <w:rFonts w:hint="eastAsia" w:ascii="宋体" w:hAnsi="宋体" w:eastAsia="宋体" w:cs="宋体"/>
                <w:color w:val="auto"/>
                <w:sz w:val="22"/>
                <w:szCs w:val="22"/>
                <w:highlight w:val="none"/>
              </w:rPr>
            </w:pPr>
          </w:p>
        </w:tc>
        <w:tc>
          <w:tcPr>
            <w:tcW w:w="3687" w:type="dxa"/>
            <w:vAlign w:val="center"/>
          </w:tcPr>
          <w:p w14:paraId="1E2FAE12">
            <w:pPr>
              <w:jc w:val="center"/>
              <w:rPr>
                <w:rFonts w:hint="eastAsia" w:ascii="宋体" w:hAnsi="宋体" w:eastAsia="宋体" w:cs="宋体"/>
                <w:color w:val="auto"/>
                <w:sz w:val="22"/>
                <w:szCs w:val="22"/>
                <w:highlight w:val="none"/>
              </w:rPr>
            </w:pPr>
          </w:p>
        </w:tc>
        <w:tc>
          <w:tcPr>
            <w:tcW w:w="3402" w:type="dxa"/>
            <w:vAlign w:val="center"/>
          </w:tcPr>
          <w:p w14:paraId="60D987F6">
            <w:pPr>
              <w:jc w:val="center"/>
              <w:rPr>
                <w:rFonts w:hint="eastAsia" w:ascii="宋体" w:hAnsi="宋体" w:eastAsia="宋体" w:cs="宋体"/>
                <w:color w:val="auto"/>
                <w:sz w:val="22"/>
                <w:szCs w:val="22"/>
                <w:highlight w:val="none"/>
              </w:rPr>
            </w:pPr>
          </w:p>
        </w:tc>
        <w:tc>
          <w:tcPr>
            <w:tcW w:w="1580" w:type="dxa"/>
            <w:vAlign w:val="center"/>
          </w:tcPr>
          <w:p w14:paraId="1D73635C">
            <w:pPr>
              <w:jc w:val="center"/>
              <w:rPr>
                <w:rFonts w:hint="eastAsia" w:ascii="宋体" w:hAnsi="宋体" w:eastAsia="宋体" w:cs="宋体"/>
                <w:color w:val="auto"/>
                <w:sz w:val="22"/>
                <w:szCs w:val="22"/>
                <w:highlight w:val="none"/>
              </w:rPr>
            </w:pPr>
          </w:p>
        </w:tc>
      </w:tr>
      <w:tr w14:paraId="75E4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064807F">
            <w:pPr>
              <w:jc w:val="center"/>
              <w:rPr>
                <w:rFonts w:hint="eastAsia" w:ascii="宋体" w:hAnsi="宋体" w:eastAsia="宋体" w:cs="宋体"/>
                <w:color w:val="auto"/>
                <w:sz w:val="22"/>
                <w:szCs w:val="22"/>
                <w:highlight w:val="none"/>
              </w:rPr>
            </w:pPr>
          </w:p>
        </w:tc>
        <w:tc>
          <w:tcPr>
            <w:tcW w:w="3687" w:type="dxa"/>
            <w:vAlign w:val="center"/>
          </w:tcPr>
          <w:p w14:paraId="0D6D1372">
            <w:pPr>
              <w:jc w:val="center"/>
              <w:rPr>
                <w:rFonts w:hint="eastAsia" w:ascii="宋体" w:hAnsi="宋体" w:eastAsia="宋体" w:cs="宋体"/>
                <w:color w:val="auto"/>
                <w:sz w:val="22"/>
                <w:szCs w:val="22"/>
                <w:highlight w:val="none"/>
              </w:rPr>
            </w:pPr>
          </w:p>
        </w:tc>
        <w:tc>
          <w:tcPr>
            <w:tcW w:w="3402" w:type="dxa"/>
            <w:vAlign w:val="center"/>
          </w:tcPr>
          <w:p w14:paraId="1074D3DB">
            <w:pPr>
              <w:jc w:val="center"/>
              <w:rPr>
                <w:rFonts w:hint="eastAsia" w:ascii="宋体" w:hAnsi="宋体" w:eastAsia="宋体" w:cs="宋体"/>
                <w:color w:val="auto"/>
                <w:sz w:val="22"/>
                <w:szCs w:val="22"/>
                <w:highlight w:val="none"/>
              </w:rPr>
            </w:pPr>
          </w:p>
        </w:tc>
        <w:tc>
          <w:tcPr>
            <w:tcW w:w="1580" w:type="dxa"/>
            <w:vAlign w:val="center"/>
          </w:tcPr>
          <w:p w14:paraId="242DD89D">
            <w:pPr>
              <w:jc w:val="center"/>
              <w:rPr>
                <w:rFonts w:hint="eastAsia" w:ascii="宋体" w:hAnsi="宋体" w:eastAsia="宋体" w:cs="宋体"/>
                <w:color w:val="auto"/>
                <w:sz w:val="22"/>
                <w:szCs w:val="22"/>
                <w:highlight w:val="none"/>
              </w:rPr>
            </w:pPr>
          </w:p>
        </w:tc>
      </w:tr>
      <w:tr w14:paraId="167E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76D09BB">
            <w:pPr>
              <w:jc w:val="center"/>
              <w:rPr>
                <w:rFonts w:hint="eastAsia" w:ascii="宋体" w:hAnsi="宋体" w:eastAsia="宋体" w:cs="宋体"/>
                <w:color w:val="auto"/>
                <w:sz w:val="22"/>
                <w:szCs w:val="22"/>
                <w:highlight w:val="none"/>
              </w:rPr>
            </w:pPr>
          </w:p>
        </w:tc>
        <w:tc>
          <w:tcPr>
            <w:tcW w:w="3687" w:type="dxa"/>
            <w:vAlign w:val="center"/>
          </w:tcPr>
          <w:p w14:paraId="6D19158B">
            <w:pPr>
              <w:jc w:val="center"/>
              <w:rPr>
                <w:rFonts w:hint="eastAsia" w:ascii="宋体" w:hAnsi="宋体" w:eastAsia="宋体" w:cs="宋体"/>
                <w:color w:val="auto"/>
                <w:sz w:val="22"/>
                <w:szCs w:val="22"/>
                <w:highlight w:val="none"/>
              </w:rPr>
            </w:pPr>
          </w:p>
        </w:tc>
        <w:tc>
          <w:tcPr>
            <w:tcW w:w="3402" w:type="dxa"/>
            <w:vAlign w:val="center"/>
          </w:tcPr>
          <w:p w14:paraId="5DC6B901">
            <w:pPr>
              <w:jc w:val="center"/>
              <w:rPr>
                <w:rFonts w:hint="eastAsia" w:ascii="宋体" w:hAnsi="宋体" w:eastAsia="宋体" w:cs="宋体"/>
                <w:color w:val="auto"/>
                <w:sz w:val="22"/>
                <w:szCs w:val="22"/>
                <w:highlight w:val="none"/>
              </w:rPr>
            </w:pPr>
          </w:p>
        </w:tc>
        <w:tc>
          <w:tcPr>
            <w:tcW w:w="1580" w:type="dxa"/>
            <w:vAlign w:val="center"/>
          </w:tcPr>
          <w:p w14:paraId="173E27E5">
            <w:pPr>
              <w:jc w:val="center"/>
              <w:rPr>
                <w:rFonts w:hint="eastAsia" w:ascii="宋体" w:hAnsi="宋体" w:eastAsia="宋体" w:cs="宋体"/>
                <w:color w:val="auto"/>
                <w:sz w:val="22"/>
                <w:szCs w:val="22"/>
                <w:highlight w:val="none"/>
              </w:rPr>
            </w:pPr>
          </w:p>
        </w:tc>
      </w:tr>
    </w:tbl>
    <w:p w14:paraId="1C22280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6B719936">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2F98E8A">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6E956C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34B8EC3E">
      <w:pPr>
        <w:rPr>
          <w:rFonts w:hint="eastAsia" w:ascii="宋体" w:hAnsi="宋体" w:eastAsia="宋体" w:cs="宋体"/>
          <w:b/>
          <w:color w:val="auto"/>
          <w:sz w:val="24"/>
          <w:highlight w:val="none"/>
        </w:rPr>
      </w:pPr>
      <w:bookmarkStart w:id="56" w:name="_Toc415152386"/>
      <w:r>
        <w:rPr>
          <w:rFonts w:hint="eastAsia" w:ascii="宋体" w:hAnsi="宋体" w:eastAsia="宋体" w:cs="宋体"/>
          <w:b/>
          <w:color w:val="auto"/>
          <w:sz w:val="24"/>
          <w:highlight w:val="none"/>
        </w:rPr>
        <w:br w:type="page"/>
      </w:r>
    </w:p>
    <w:bookmarkEnd w:id="56"/>
    <w:p w14:paraId="512C0015">
      <w:pPr>
        <w:spacing w:line="400" w:lineRule="exact"/>
        <w:jc w:val="center"/>
        <w:outlineLvl w:val="3"/>
        <w:rPr>
          <w:rFonts w:hint="default" w:ascii="Times New Roman" w:hAnsi="Times New Roman" w:eastAsia="宋体" w:cs="Times New Roman"/>
          <w:b/>
          <w:color w:val="auto"/>
          <w:sz w:val="24"/>
          <w:highlight w:val="none"/>
        </w:rPr>
      </w:pPr>
      <w:bookmarkStart w:id="57" w:name="_Toc7992"/>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企业综合实力</w:t>
      </w:r>
      <w:bookmarkEnd w:id="57"/>
      <w:r>
        <w:rPr>
          <w:rFonts w:hint="default" w:ascii="Times New Roman" w:hAnsi="Times New Roman" w:eastAsia="宋体" w:cs="Times New Roman"/>
          <w:b/>
          <w:color w:val="auto"/>
          <w:sz w:val="24"/>
          <w:highlight w:val="none"/>
        </w:rPr>
        <w:t xml:space="preserve"> </w:t>
      </w:r>
    </w:p>
    <w:p w14:paraId="0628B835">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B7E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42077987">
            <w:pPr>
              <w:pStyle w:val="295"/>
              <w:keepNext w:val="0"/>
              <w:spacing w:after="0"/>
              <w:rPr>
                <w:rFonts w:hint="default" w:ascii="Times New Roman" w:hAnsi="Times New Roman" w:eastAsia="宋体" w:cs="Times New Roman"/>
                <w:color w:val="auto"/>
                <w:highlight w:val="none"/>
              </w:rPr>
            </w:pPr>
          </w:p>
        </w:tc>
      </w:tr>
    </w:tbl>
    <w:p w14:paraId="3B9A214C">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0011B08C">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49F4F612">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3DB14F6F">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48379BF4">
      <w:pPr>
        <w:spacing w:line="380" w:lineRule="exact"/>
        <w:ind w:firstLine="4400" w:firstLineChars="2000"/>
        <w:rPr>
          <w:rFonts w:hint="default" w:ascii="Times New Roman" w:hAnsi="Times New Roman" w:eastAsia="宋体" w:cs="Times New Roman"/>
          <w:color w:val="auto"/>
          <w:sz w:val="22"/>
          <w:szCs w:val="22"/>
          <w:highlight w:val="none"/>
        </w:rPr>
      </w:pPr>
    </w:p>
    <w:p w14:paraId="3E11F820">
      <w:pPr>
        <w:pStyle w:val="330"/>
        <w:rPr>
          <w:rFonts w:hint="default" w:ascii="Times New Roman" w:hAnsi="Times New Roman" w:eastAsia="宋体" w:cs="Times New Roman"/>
          <w:color w:val="auto"/>
          <w:highlight w:val="none"/>
        </w:rPr>
      </w:pPr>
    </w:p>
    <w:p w14:paraId="259E9286">
      <w:pPr>
        <w:rPr>
          <w:rFonts w:hint="eastAsia" w:ascii="Times New Roman" w:hAnsi="Times New Roman" w:eastAsia="宋体" w:cs="Times New Roman"/>
          <w:b/>
          <w:color w:val="auto"/>
          <w:sz w:val="24"/>
          <w:highlight w:val="none"/>
          <w:lang w:val="en-US" w:eastAsia="zh-CN"/>
        </w:rPr>
      </w:pPr>
      <w:bookmarkStart w:id="58" w:name="_Toc8528"/>
      <w:r>
        <w:rPr>
          <w:rFonts w:hint="eastAsia" w:ascii="Times New Roman" w:hAnsi="Times New Roman" w:eastAsia="宋体" w:cs="Times New Roman"/>
          <w:b/>
          <w:color w:val="auto"/>
          <w:sz w:val="24"/>
          <w:highlight w:val="none"/>
          <w:lang w:val="en-US" w:eastAsia="zh-CN"/>
        </w:rPr>
        <w:br w:type="page"/>
      </w:r>
    </w:p>
    <w:p w14:paraId="249BBEDE">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lang w:val="en-US" w:eastAsia="zh-CN"/>
        </w:rPr>
        <w:t>项目组织实施方案</w:t>
      </w:r>
      <w:bookmarkEnd w:id="58"/>
    </w:p>
    <w:p w14:paraId="23B3935E">
      <w:p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1整体组织实施方案</w:t>
      </w:r>
    </w:p>
    <w:p w14:paraId="069FC4DF">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B36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01EBDDF0">
            <w:pPr>
              <w:pStyle w:val="295"/>
              <w:keepNext w:val="0"/>
              <w:spacing w:after="0"/>
              <w:rPr>
                <w:rFonts w:hint="default" w:ascii="Times New Roman" w:hAnsi="Times New Roman" w:eastAsia="宋体" w:cs="Times New Roman"/>
                <w:color w:val="auto"/>
                <w:highlight w:val="none"/>
              </w:rPr>
            </w:pPr>
          </w:p>
        </w:tc>
      </w:tr>
    </w:tbl>
    <w:p w14:paraId="3910FDAB">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748D513B">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63B9B3C2">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1C8C32EB">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6F29E2B9">
      <w:pPr>
        <w:spacing w:line="380" w:lineRule="exact"/>
        <w:ind w:firstLine="4400" w:firstLineChars="2000"/>
        <w:rPr>
          <w:rFonts w:hint="eastAsia"/>
          <w:color w:val="auto"/>
          <w:highlight w:val="none"/>
          <w:lang w:eastAsia="zh-CN"/>
        </w:rPr>
      </w:pPr>
      <w:r>
        <w:rPr>
          <w:rFonts w:hint="default" w:ascii="Times New Roman" w:hAnsi="Times New Roman" w:eastAsia="宋体" w:cs="Times New Roman"/>
          <w:color w:val="auto"/>
          <w:sz w:val="22"/>
          <w:szCs w:val="22"/>
          <w:highlight w:val="none"/>
        </w:rPr>
        <w:t xml:space="preserve"> </w:t>
      </w:r>
    </w:p>
    <w:p w14:paraId="295EE8E4">
      <w:pPr>
        <w:ind w:left="143" w:leftChars="68"/>
        <w:jc w:val="center"/>
        <w:outlineLvl w:val="9"/>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br w:type="page"/>
      </w:r>
    </w:p>
    <w:p w14:paraId="736FFC9F">
      <w:p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2鉴定的程序和步骤</w:t>
      </w:r>
    </w:p>
    <w:p w14:paraId="19F04E4B">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4D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4E58A121">
            <w:pPr>
              <w:pStyle w:val="295"/>
              <w:keepNext w:val="0"/>
              <w:spacing w:after="0"/>
              <w:rPr>
                <w:rFonts w:hint="default" w:ascii="Times New Roman" w:hAnsi="Times New Roman" w:eastAsia="宋体" w:cs="Times New Roman"/>
                <w:color w:val="auto"/>
                <w:highlight w:val="none"/>
              </w:rPr>
            </w:pPr>
          </w:p>
        </w:tc>
      </w:tr>
    </w:tbl>
    <w:p w14:paraId="27CF3A0C">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0048A747">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0C65F430">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6804EB4E">
      <w:pPr>
        <w:spacing w:line="380" w:lineRule="exact"/>
        <w:ind w:firstLine="4400" w:firstLineChars="2000"/>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color w:val="auto"/>
          <w:sz w:val="22"/>
          <w:szCs w:val="22"/>
          <w:highlight w:val="none"/>
        </w:rPr>
        <w:t xml:space="preserve">日  期：  </w:t>
      </w:r>
    </w:p>
    <w:p w14:paraId="63B88E17">
      <w:pPr>
        <w:spacing w:line="380" w:lineRule="exact"/>
        <w:rPr>
          <w:rFonts w:hint="default" w:ascii="Times New Roman" w:hAnsi="Times New Roman" w:eastAsia="宋体" w:cs="Times New Roman"/>
          <w:b/>
          <w:bCs/>
          <w:color w:val="auto"/>
          <w:sz w:val="22"/>
          <w:szCs w:val="22"/>
          <w:highlight w:val="none"/>
        </w:rPr>
      </w:pPr>
    </w:p>
    <w:p w14:paraId="5C82650F">
      <w:pPr>
        <w:spacing w:line="380" w:lineRule="exact"/>
        <w:rPr>
          <w:rFonts w:hint="default" w:ascii="Times New Roman" w:hAnsi="Times New Roman" w:eastAsia="宋体" w:cs="Times New Roman"/>
          <w:b/>
          <w:bCs/>
          <w:color w:val="auto"/>
          <w:sz w:val="22"/>
          <w:szCs w:val="22"/>
          <w:highlight w:val="none"/>
        </w:rPr>
      </w:pPr>
    </w:p>
    <w:p w14:paraId="504DCD35">
      <w:pPr>
        <w:spacing w:line="380" w:lineRule="exact"/>
        <w:rPr>
          <w:rFonts w:hint="default" w:ascii="Times New Roman" w:hAnsi="Times New Roman" w:eastAsia="宋体" w:cs="Times New Roman"/>
          <w:b/>
          <w:bCs/>
          <w:color w:val="auto"/>
          <w:sz w:val="22"/>
          <w:szCs w:val="22"/>
          <w:highlight w:val="none"/>
        </w:rPr>
      </w:pPr>
    </w:p>
    <w:p w14:paraId="7F8DD7F0">
      <w:pPr>
        <w:spacing w:line="380" w:lineRule="exact"/>
        <w:rPr>
          <w:rFonts w:hint="default" w:ascii="Times New Roman" w:hAnsi="Times New Roman" w:eastAsia="宋体" w:cs="Times New Roman"/>
          <w:b/>
          <w:bCs/>
          <w:color w:val="auto"/>
          <w:sz w:val="22"/>
          <w:szCs w:val="22"/>
          <w:highlight w:val="none"/>
        </w:rPr>
      </w:pPr>
    </w:p>
    <w:p w14:paraId="5CE0466A">
      <w:pPr>
        <w:rPr>
          <w:rFonts w:hint="eastAsia" w:cs="Times New Roman"/>
          <w:b/>
          <w:color w:val="auto"/>
          <w:sz w:val="22"/>
          <w:szCs w:val="22"/>
          <w:highlight w:val="none"/>
          <w:lang w:val="en-US" w:eastAsia="zh-CN"/>
        </w:rPr>
      </w:pPr>
      <w:r>
        <w:rPr>
          <w:rFonts w:hint="eastAsia" w:cs="Times New Roman"/>
          <w:b/>
          <w:color w:val="auto"/>
          <w:sz w:val="22"/>
          <w:szCs w:val="22"/>
          <w:highlight w:val="none"/>
          <w:lang w:val="en-US" w:eastAsia="zh-CN"/>
        </w:rPr>
        <w:br w:type="page"/>
      </w:r>
    </w:p>
    <w:p w14:paraId="1085A7B8">
      <w:p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3服务进度的方案和措施</w:t>
      </w:r>
    </w:p>
    <w:p w14:paraId="349A3788">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92F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2AC5C6E9">
            <w:pPr>
              <w:pStyle w:val="295"/>
              <w:keepNext w:val="0"/>
              <w:spacing w:after="0"/>
              <w:rPr>
                <w:rFonts w:hint="default" w:ascii="Times New Roman" w:hAnsi="Times New Roman" w:eastAsia="宋体" w:cs="Times New Roman"/>
                <w:color w:val="auto"/>
                <w:highlight w:val="none"/>
              </w:rPr>
            </w:pPr>
          </w:p>
        </w:tc>
      </w:tr>
    </w:tbl>
    <w:p w14:paraId="7171DBA5">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454C7D81">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7C07FF18">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4A9D6695">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0B31D1EE">
      <w:pPr>
        <w:spacing w:line="380" w:lineRule="exact"/>
        <w:ind w:firstLine="4400" w:firstLineChars="2000"/>
        <w:rPr>
          <w:rFonts w:hint="default" w:ascii="Times New Roman" w:hAnsi="Times New Roman" w:eastAsia="宋体" w:cs="Times New Roman"/>
          <w:color w:val="auto"/>
          <w:sz w:val="22"/>
          <w:szCs w:val="22"/>
          <w:highlight w:val="none"/>
        </w:rPr>
      </w:pPr>
    </w:p>
    <w:p w14:paraId="02A8EA41">
      <w:pPr>
        <w:spacing w:line="380" w:lineRule="exact"/>
        <w:ind w:firstLine="4400" w:firstLineChars="2000"/>
        <w:rPr>
          <w:rFonts w:hint="default" w:ascii="Times New Roman" w:hAnsi="Times New Roman" w:eastAsia="宋体" w:cs="Times New Roman"/>
          <w:color w:val="auto"/>
          <w:sz w:val="22"/>
          <w:szCs w:val="22"/>
          <w:highlight w:val="none"/>
        </w:rPr>
      </w:pPr>
    </w:p>
    <w:p w14:paraId="02966322">
      <w:pPr>
        <w:spacing w:line="380" w:lineRule="exact"/>
        <w:ind w:firstLine="4400" w:firstLineChars="2000"/>
        <w:rPr>
          <w:rFonts w:hint="default" w:ascii="Times New Roman" w:hAnsi="Times New Roman" w:eastAsia="宋体" w:cs="Times New Roman"/>
          <w:color w:val="auto"/>
          <w:sz w:val="22"/>
          <w:szCs w:val="22"/>
          <w:highlight w:val="none"/>
        </w:rPr>
      </w:pPr>
    </w:p>
    <w:p w14:paraId="3C2A43B2">
      <w:pPr>
        <w:spacing w:line="380" w:lineRule="exact"/>
        <w:rPr>
          <w:rFonts w:hint="default" w:ascii="Times New Roman" w:hAnsi="Times New Roman" w:eastAsia="宋体" w:cs="Times New Roman"/>
          <w:b/>
          <w:bCs/>
          <w:color w:val="auto"/>
          <w:sz w:val="22"/>
          <w:szCs w:val="22"/>
          <w:highlight w:val="none"/>
        </w:rPr>
      </w:pPr>
    </w:p>
    <w:p w14:paraId="18981A42">
      <w:pPr>
        <w:rPr>
          <w:rFonts w:hint="eastAsia" w:cs="Times New Roman"/>
          <w:b/>
          <w:color w:val="auto"/>
          <w:sz w:val="22"/>
          <w:szCs w:val="22"/>
          <w:highlight w:val="none"/>
          <w:lang w:val="en-US" w:eastAsia="zh-CN"/>
        </w:rPr>
      </w:pPr>
      <w:r>
        <w:rPr>
          <w:rFonts w:hint="eastAsia" w:cs="Times New Roman"/>
          <w:b/>
          <w:color w:val="auto"/>
          <w:sz w:val="22"/>
          <w:szCs w:val="22"/>
          <w:highlight w:val="none"/>
          <w:lang w:val="en-US" w:eastAsia="zh-CN"/>
        </w:rPr>
        <w:br w:type="page"/>
      </w:r>
    </w:p>
    <w:p w14:paraId="41443043">
      <w:p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4实施质量控制和保证措施</w:t>
      </w:r>
    </w:p>
    <w:p w14:paraId="7F879AF2">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3114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527C7D51">
            <w:pPr>
              <w:pStyle w:val="295"/>
              <w:keepNext w:val="0"/>
              <w:spacing w:after="0"/>
              <w:rPr>
                <w:rFonts w:hint="default" w:ascii="Times New Roman" w:hAnsi="Times New Roman" w:eastAsia="宋体" w:cs="Times New Roman"/>
                <w:color w:val="auto"/>
                <w:highlight w:val="none"/>
              </w:rPr>
            </w:pPr>
          </w:p>
        </w:tc>
      </w:tr>
    </w:tbl>
    <w:p w14:paraId="676559AC">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4FCF5344">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102CD042">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1B645B0C">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749AE993">
      <w:pPr>
        <w:spacing w:line="380" w:lineRule="exact"/>
        <w:ind w:firstLine="4400" w:firstLineChars="2000"/>
        <w:rPr>
          <w:rFonts w:hint="default" w:ascii="Times New Roman" w:hAnsi="Times New Roman" w:eastAsia="宋体" w:cs="Times New Roman"/>
          <w:color w:val="auto"/>
          <w:sz w:val="22"/>
          <w:szCs w:val="22"/>
          <w:highlight w:val="none"/>
        </w:rPr>
      </w:pPr>
    </w:p>
    <w:p w14:paraId="40360573">
      <w:pPr>
        <w:spacing w:line="380" w:lineRule="exact"/>
        <w:ind w:firstLine="4400" w:firstLineChars="2000"/>
        <w:rPr>
          <w:rFonts w:hint="default" w:ascii="Times New Roman" w:hAnsi="Times New Roman" w:eastAsia="宋体" w:cs="Times New Roman"/>
          <w:color w:val="auto"/>
          <w:sz w:val="22"/>
          <w:szCs w:val="22"/>
          <w:highlight w:val="none"/>
        </w:rPr>
      </w:pPr>
    </w:p>
    <w:p w14:paraId="7D5C5EE7">
      <w:pPr>
        <w:spacing w:line="380" w:lineRule="exact"/>
        <w:ind w:firstLine="4400" w:firstLineChars="2000"/>
        <w:rPr>
          <w:rFonts w:hint="default" w:ascii="Times New Roman" w:hAnsi="Times New Roman" w:eastAsia="宋体" w:cs="Times New Roman"/>
          <w:color w:val="auto"/>
          <w:sz w:val="22"/>
          <w:szCs w:val="22"/>
          <w:highlight w:val="none"/>
        </w:rPr>
      </w:pPr>
    </w:p>
    <w:p w14:paraId="32A28D0A">
      <w:pPr>
        <w:spacing w:line="380" w:lineRule="exact"/>
        <w:ind w:firstLine="4400" w:firstLineChars="2000"/>
        <w:rPr>
          <w:rFonts w:hint="default" w:ascii="Times New Roman" w:hAnsi="Times New Roman" w:eastAsia="宋体" w:cs="Times New Roman"/>
          <w:color w:val="auto"/>
          <w:sz w:val="22"/>
          <w:szCs w:val="22"/>
          <w:highlight w:val="none"/>
        </w:rPr>
      </w:pPr>
    </w:p>
    <w:p w14:paraId="5A3282E0">
      <w:pPr>
        <w:rPr>
          <w:rFonts w:hint="eastAsia" w:cs="Times New Roman"/>
          <w:b/>
          <w:color w:val="auto"/>
          <w:sz w:val="22"/>
          <w:szCs w:val="22"/>
          <w:highlight w:val="none"/>
          <w:lang w:val="en-US" w:eastAsia="zh-CN"/>
        </w:rPr>
      </w:pPr>
      <w:r>
        <w:rPr>
          <w:rFonts w:hint="eastAsia" w:cs="Times New Roman"/>
          <w:b/>
          <w:color w:val="auto"/>
          <w:sz w:val="22"/>
          <w:szCs w:val="22"/>
          <w:highlight w:val="none"/>
          <w:lang w:val="en-US" w:eastAsia="zh-CN"/>
        </w:rPr>
        <w:br w:type="page"/>
      </w:r>
    </w:p>
    <w:p w14:paraId="4B4FD9CF">
      <w:p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5内部管理及员工培训</w:t>
      </w:r>
    </w:p>
    <w:p w14:paraId="5BFADD96">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CB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53DEF9D8">
            <w:pPr>
              <w:pStyle w:val="295"/>
              <w:keepNext w:val="0"/>
              <w:spacing w:after="0"/>
              <w:rPr>
                <w:rFonts w:hint="default" w:ascii="Times New Roman" w:hAnsi="Times New Roman" w:eastAsia="宋体" w:cs="Times New Roman"/>
                <w:color w:val="auto"/>
                <w:highlight w:val="none"/>
              </w:rPr>
            </w:pPr>
          </w:p>
        </w:tc>
      </w:tr>
    </w:tbl>
    <w:p w14:paraId="58E63CF9">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68F26E9E">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082157BD">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7E5331D3">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19330762">
      <w:pPr>
        <w:spacing w:line="380" w:lineRule="exact"/>
        <w:ind w:firstLine="4400" w:firstLineChars="2000"/>
        <w:rPr>
          <w:rFonts w:hint="default" w:ascii="Times New Roman" w:hAnsi="Times New Roman" w:eastAsia="宋体" w:cs="Times New Roman"/>
          <w:color w:val="auto"/>
          <w:sz w:val="22"/>
          <w:szCs w:val="22"/>
          <w:highlight w:val="none"/>
        </w:rPr>
      </w:pPr>
    </w:p>
    <w:p w14:paraId="7B10A9BA">
      <w:pPr>
        <w:spacing w:line="380" w:lineRule="exact"/>
        <w:ind w:firstLine="4400" w:firstLineChars="2000"/>
        <w:rPr>
          <w:rFonts w:hint="default" w:ascii="Times New Roman" w:hAnsi="Times New Roman" w:eastAsia="宋体" w:cs="Times New Roman"/>
          <w:color w:val="auto"/>
          <w:sz w:val="22"/>
          <w:szCs w:val="22"/>
          <w:highlight w:val="none"/>
        </w:rPr>
      </w:pPr>
    </w:p>
    <w:p w14:paraId="061AE42A">
      <w:pPr>
        <w:spacing w:line="380" w:lineRule="exact"/>
        <w:ind w:firstLine="4400" w:firstLineChars="2000"/>
        <w:rPr>
          <w:rFonts w:hint="default" w:ascii="Times New Roman" w:hAnsi="Times New Roman" w:eastAsia="宋体" w:cs="Times New Roman"/>
          <w:color w:val="auto"/>
          <w:sz w:val="22"/>
          <w:szCs w:val="22"/>
          <w:highlight w:val="none"/>
        </w:rPr>
      </w:pPr>
    </w:p>
    <w:p w14:paraId="5DEE51D5">
      <w:pPr>
        <w:spacing w:line="380" w:lineRule="exact"/>
        <w:ind w:firstLine="4400" w:firstLineChars="2000"/>
        <w:rPr>
          <w:rFonts w:hint="default" w:ascii="Times New Roman" w:hAnsi="Times New Roman" w:eastAsia="宋体" w:cs="Times New Roman"/>
          <w:color w:val="auto"/>
          <w:sz w:val="22"/>
          <w:szCs w:val="22"/>
          <w:highlight w:val="none"/>
        </w:rPr>
      </w:pPr>
    </w:p>
    <w:p w14:paraId="7206ED14">
      <w:pPr>
        <w:rPr>
          <w:rFonts w:hint="eastAsia" w:cs="Times New Roman"/>
          <w:b/>
          <w:color w:val="auto"/>
          <w:sz w:val="22"/>
          <w:szCs w:val="22"/>
          <w:highlight w:val="none"/>
          <w:lang w:val="en-US" w:eastAsia="zh-CN"/>
        </w:rPr>
      </w:pPr>
      <w:r>
        <w:rPr>
          <w:rFonts w:hint="eastAsia" w:cs="Times New Roman"/>
          <w:b/>
          <w:color w:val="auto"/>
          <w:sz w:val="22"/>
          <w:szCs w:val="22"/>
          <w:highlight w:val="none"/>
          <w:lang w:val="en-US" w:eastAsia="zh-CN"/>
        </w:rPr>
        <w:br w:type="page"/>
      </w:r>
    </w:p>
    <w:p w14:paraId="6D811955">
      <w:pPr>
        <w:ind w:left="143" w:leftChars="68"/>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rPr>
        <w:t>6应急措施</w:t>
      </w:r>
    </w:p>
    <w:p w14:paraId="7E3FBB4F">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E41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165FF273">
            <w:pPr>
              <w:pStyle w:val="295"/>
              <w:keepNext w:val="0"/>
              <w:spacing w:after="0"/>
              <w:rPr>
                <w:rFonts w:hint="default" w:ascii="Times New Roman" w:hAnsi="Times New Roman" w:eastAsia="宋体" w:cs="Times New Roman"/>
                <w:color w:val="auto"/>
                <w:highlight w:val="none"/>
              </w:rPr>
            </w:pPr>
          </w:p>
        </w:tc>
      </w:tr>
    </w:tbl>
    <w:p w14:paraId="3BA20F1E">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2168D499">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1092F4B5">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72C704EB">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  期：</w:t>
      </w:r>
    </w:p>
    <w:p w14:paraId="3461D435">
      <w:pPr>
        <w:spacing w:line="380" w:lineRule="exact"/>
        <w:ind w:firstLine="4400" w:firstLineChars="2000"/>
        <w:rPr>
          <w:rFonts w:hint="default" w:ascii="Times New Roman" w:hAnsi="Times New Roman" w:eastAsia="宋体" w:cs="Times New Roman"/>
          <w:color w:val="auto"/>
          <w:sz w:val="22"/>
          <w:szCs w:val="22"/>
          <w:highlight w:val="none"/>
        </w:rPr>
      </w:pPr>
    </w:p>
    <w:p w14:paraId="21B2AFE0">
      <w:pPr>
        <w:spacing w:line="380" w:lineRule="exact"/>
        <w:ind w:firstLine="4400" w:firstLineChars="2000"/>
        <w:rPr>
          <w:rFonts w:hint="default" w:ascii="Times New Roman" w:hAnsi="Times New Roman" w:eastAsia="宋体" w:cs="Times New Roman"/>
          <w:color w:val="auto"/>
          <w:sz w:val="22"/>
          <w:szCs w:val="22"/>
          <w:highlight w:val="none"/>
        </w:rPr>
      </w:pPr>
    </w:p>
    <w:p w14:paraId="18FAA239">
      <w:pPr>
        <w:spacing w:line="380" w:lineRule="exact"/>
        <w:ind w:firstLine="4400" w:firstLineChars="2000"/>
        <w:rPr>
          <w:rFonts w:hint="default" w:ascii="Times New Roman" w:hAnsi="Times New Roman" w:eastAsia="宋体" w:cs="Times New Roman"/>
          <w:color w:val="auto"/>
          <w:sz w:val="22"/>
          <w:szCs w:val="22"/>
          <w:highlight w:val="none"/>
        </w:rPr>
      </w:pPr>
    </w:p>
    <w:p w14:paraId="391D25ED">
      <w:pPr>
        <w:spacing w:line="380" w:lineRule="exact"/>
        <w:ind w:firstLine="4400" w:firstLineChars="2000"/>
        <w:rPr>
          <w:rFonts w:hint="default" w:ascii="Times New Roman" w:hAnsi="Times New Roman" w:eastAsia="宋体" w:cs="Times New Roman"/>
          <w:color w:val="auto"/>
          <w:sz w:val="22"/>
          <w:szCs w:val="22"/>
          <w:highlight w:val="none"/>
        </w:rPr>
      </w:pPr>
    </w:p>
    <w:p w14:paraId="4891F2D8">
      <w:pPr>
        <w:rPr>
          <w:rFonts w:hint="eastAsia" w:cs="Times New Roman"/>
          <w:b/>
          <w:color w:val="auto"/>
          <w:sz w:val="22"/>
          <w:szCs w:val="22"/>
          <w:highlight w:val="none"/>
          <w:lang w:val="en-US" w:eastAsia="zh-CN"/>
        </w:rPr>
      </w:pPr>
      <w:r>
        <w:rPr>
          <w:rFonts w:hint="eastAsia" w:cs="Times New Roman"/>
          <w:b/>
          <w:color w:val="auto"/>
          <w:sz w:val="22"/>
          <w:szCs w:val="22"/>
          <w:highlight w:val="none"/>
          <w:lang w:val="en-US" w:eastAsia="zh-CN"/>
        </w:rPr>
        <w:br w:type="page"/>
      </w:r>
    </w:p>
    <w:p w14:paraId="7EDD54FA">
      <w:pPr>
        <w:numPr>
          <w:ilvl w:val="0"/>
          <w:numId w:val="0"/>
        </w:numPr>
        <w:jc w:val="center"/>
        <w:outlineLvl w:val="4"/>
        <w:rPr>
          <w:rFonts w:hint="default" w:ascii="Times New Roman" w:hAnsi="Times New Roman" w:eastAsia="宋体" w:cs="Times New Roman"/>
          <w:b/>
          <w:color w:val="auto"/>
          <w:sz w:val="22"/>
          <w:szCs w:val="22"/>
          <w:highlight w:val="none"/>
          <w:lang w:val="en-US" w:eastAsia="zh-CN"/>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lang w:val="en-US" w:eastAsia="zh-CN"/>
        </w:rPr>
        <w:t>7</w:t>
      </w:r>
      <w:r>
        <w:rPr>
          <w:rFonts w:hint="default" w:ascii="Times New Roman" w:hAnsi="Times New Roman" w:eastAsia="宋体" w:cs="Times New Roman"/>
          <w:b/>
          <w:color w:val="auto"/>
          <w:sz w:val="22"/>
          <w:szCs w:val="22"/>
          <w:highlight w:val="none"/>
        </w:rPr>
        <w:t>合理化建议</w:t>
      </w:r>
    </w:p>
    <w:p w14:paraId="540A4288">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0536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08CD657E">
            <w:pPr>
              <w:pStyle w:val="295"/>
              <w:keepNext w:val="0"/>
              <w:spacing w:after="0"/>
              <w:rPr>
                <w:rFonts w:hint="default" w:ascii="Times New Roman" w:hAnsi="Times New Roman" w:eastAsia="宋体" w:cs="Times New Roman"/>
                <w:color w:val="auto"/>
                <w:highlight w:val="none"/>
              </w:rPr>
            </w:pPr>
          </w:p>
        </w:tc>
      </w:tr>
    </w:tbl>
    <w:p w14:paraId="6505C9B7">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1CAB08DE">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1C53CCD4">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70033CB0">
      <w:pPr>
        <w:spacing w:line="380" w:lineRule="exact"/>
        <w:ind w:firstLine="4400" w:firstLineChars="20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color w:val="auto"/>
          <w:sz w:val="22"/>
          <w:szCs w:val="22"/>
          <w:highlight w:val="none"/>
        </w:rPr>
        <w:t>日  期：</w:t>
      </w:r>
    </w:p>
    <w:p w14:paraId="0ACD09FF">
      <w:pPr>
        <w:spacing w:line="380" w:lineRule="exact"/>
        <w:rPr>
          <w:rFonts w:hint="default" w:ascii="Times New Roman" w:hAnsi="Times New Roman" w:eastAsia="宋体" w:cs="Times New Roman"/>
          <w:b/>
          <w:bCs/>
          <w:color w:val="auto"/>
          <w:sz w:val="22"/>
          <w:szCs w:val="22"/>
          <w:highlight w:val="none"/>
        </w:rPr>
      </w:pPr>
    </w:p>
    <w:p w14:paraId="09DEA300">
      <w:pPr>
        <w:spacing w:line="380" w:lineRule="exact"/>
        <w:rPr>
          <w:rFonts w:hint="default" w:ascii="Times New Roman" w:hAnsi="Times New Roman" w:eastAsia="宋体" w:cs="Times New Roman"/>
          <w:b/>
          <w:bCs/>
          <w:color w:val="auto"/>
          <w:sz w:val="22"/>
          <w:szCs w:val="22"/>
          <w:highlight w:val="none"/>
        </w:rPr>
      </w:pPr>
    </w:p>
    <w:p w14:paraId="1E244A63">
      <w:pPr>
        <w:spacing w:line="380" w:lineRule="exact"/>
        <w:rPr>
          <w:rFonts w:hint="default" w:ascii="Times New Roman" w:hAnsi="Times New Roman" w:eastAsia="宋体" w:cs="Times New Roman"/>
          <w:b/>
          <w:bCs/>
          <w:color w:val="auto"/>
          <w:sz w:val="22"/>
          <w:szCs w:val="22"/>
          <w:highlight w:val="none"/>
        </w:rPr>
      </w:pPr>
    </w:p>
    <w:p w14:paraId="6F311399">
      <w:pPr>
        <w:spacing w:line="380" w:lineRule="exact"/>
        <w:rPr>
          <w:rFonts w:hint="default" w:ascii="Times New Roman" w:hAnsi="Times New Roman" w:eastAsia="宋体" w:cs="Times New Roman"/>
          <w:b/>
          <w:bCs/>
          <w:color w:val="auto"/>
          <w:sz w:val="22"/>
          <w:szCs w:val="22"/>
          <w:highlight w:val="none"/>
        </w:rPr>
      </w:pPr>
    </w:p>
    <w:p w14:paraId="2B96EDE2">
      <w:pPr>
        <w:pStyle w:val="330"/>
        <w:rPr>
          <w:rFonts w:hint="default"/>
          <w:color w:val="auto"/>
          <w:highlight w:val="none"/>
        </w:rPr>
      </w:pPr>
    </w:p>
    <w:p w14:paraId="11BE64A5">
      <w:pPr>
        <w:numPr>
          <w:ilvl w:val="0"/>
          <w:numId w:val="0"/>
        </w:numPr>
        <w:jc w:val="center"/>
        <w:outlineLvl w:val="4"/>
        <w:rPr>
          <w:rFonts w:hint="default" w:ascii="Times New Roman" w:hAnsi="Times New Roman" w:eastAsia="宋体" w:cs="Times New Roman"/>
          <w:b/>
          <w:color w:val="auto"/>
          <w:sz w:val="22"/>
          <w:szCs w:val="22"/>
          <w:highlight w:val="none"/>
        </w:rPr>
      </w:pPr>
      <w:r>
        <w:rPr>
          <w:rFonts w:hint="eastAsia" w:cs="Times New Roman"/>
          <w:b/>
          <w:color w:val="auto"/>
          <w:sz w:val="22"/>
          <w:szCs w:val="22"/>
          <w:highlight w:val="none"/>
          <w:lang w:val="en-US" w:eastAsia="zh-CN"/>
        </w:rPr>
        <w:t>5.</w:t>
      </w:r>
      <w:r>
        <w:rPr>
          <w:rFonts w:hint="default" w:ascii="Times New Roman" w:hAnsi="Times New Roman" w:eastAsia="宋体" w:cs="Times New Roman"/>
          <w:b/>
          <w:color w:val="auto"/>
          <w:sz w:val="22"/>
          <w:szCs w:val="22"/>
          <w:highlight w:val="none"/>
          <w:lang w:val="en-US" w:eastAsia="zh-CN"/>
        </w:rPr>
        <w:t>8</w:t>
      </w:r>
      <w:r>
        <w:rPr>
          <w:rFonts w:hint="default" w:ascii="Times New Roman" w:hAnsi="Times New Roman" w:eastAsia="宋体" w:cs="Times New Roman"/>
          <w:b/>
          <w:color w:val="auto"/>
          <w:sz w:val="22"/>
          <w:szCs w:val="22"/>
          <w:highlight w:val="none"/>
        </w:rPr>
        <w:t>技术服务及力量保障</w:t>
      </w:r>
    </w:p>
    <w:p w14:paraId="1421149C">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1F40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76BF7205">
            <w:pPr>
              <w:pStyle w:val="295"/>
              <w:keepNext w:val="0"/>
              <w:spacing w:after="0"/>
              <w:rPr>
                <w:rFonts w:hint="default" w:ascii="Times New Roman" w:hAnsi="Times New Roman" w:eastAsia="宋体" w:cs="Times New Roman"/>
                <w:color w:val="auto"/>
                <w:highlight w:val="none"/>
              </w:rPr>
            </w:pPr>
          </w:p>
        </w:tc>
      </w:tr>
    </w:tbl>
    <w:p w14:paraId="5521F908">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08465A5B">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062CB075">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54CB1B09">
      <w:pPr>
        <w:spacing w:line="380" w:lineRule="exact"/>
        <w:ind w:firstLine="4400" w:firstLineChars="20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color w:val="auto"/>
          <w:sz w:val="22"/>
          <w:szCs w:val="22"/>
          <w:highlight w:val="none"/>
        </w:rPr>
        <w:t>日  期：</w:t>
      </w:r>
    </w:p>
    <w:p w14:paraId="7E00D42B">
      <w:pPr>
        <w:spacing w:line="380" w:lineRule="exact"/>
        <w:rPr>
          <w:rFonts w:hint="default" w:ascii="Times New Roman" w:hAnsi="Times New Roman" w:eastAsia="宋体" w:cs="Times New Roman"/>
          <w:b/>
          <w:bCs/>
          <w:color w:val="auto"/>
          <w:sz w:val="22"/>
          <w:szCs w:val="22"/>
          <w:highlight w:val="none"/>
        </w:rPr>
      </w:pPr>
    </w:p>
    <w:p w14:paraId="32A67F1D">
      <w:pPr>
        <w:spacing w:line="380" w:lineRule="exact"/>
        <w:rPr>
          <w:rFonts w:hint="default" w:ascii="Times New Roman" w:hAnsi="Times New Roman" w:eastAsia="宋体" w:cs="Times New Roman"/>
          <w:b/>
          <w:bCs/>
          <w:color w:val="auto"/>
          <w:sz w:val="22"/>
          <w:szCs w:val="22"/>
          <w:highlight w:val="none"/>
        </w:rPr>
      </w:pPr>
    </w:p>
    <w:p w14:paraId="5B832754">
      <w:pPr>
        <w:spacing w:line="380" w:lineRule="exact"/>
        <w:rPr>
          <w:rFonts w:hint="default" w:ascii="Times New Roman" w:hAnsi="Times New Roman" w:eastAsia="宋体" w:cs="Times New Roman"/>
          <w:b/>
          <w:bCs/>
          <w:color w:val="auto"/>
          <w:sz w:val="22"/>
          <w:szCs w:val="22"/>
          <w:highlight w:val="none"/>
        </w:rPr>
      </w:pPr>
    </w:p>
    <w:p w14:paraId="0A97DC7C">
      <w:pPr>
        <w:spacing w:line="380" w:lineRule="exact"/>
        <w:rPr>
          <w:rFonts w:hint="default" w:ascii="Times New Roman" w:hAnsi="Times New Roman" w:eastAsia="宋体" w:cs="Times New Roman"/>
          <w:b/>
          <w:bCs/>
          <w:color w:val="auto"/>
          <w:sz w:val="22"/>
          <w:szCs w:val="22"/>
          <w:highlight w:val="none"/>
        </w:rPr>
      </w:pPr>
    </w:p>
    <w:p w14:paraId="470760BF">
      <w:pPr>
        <w:rPr>
          <w:rFonts w:hint="eastAsia" w:ascii="Times New Roman" w:hAnsi="Times New Roman" w:eastAsia="宋体" w:cs="Times New Roman"/>
          <w:b/>
          <w:color w:val="auto"/>
          <w:sz w:val="24"/>
          <w:highlight w:val="none"/>
          <w:lang w:val="en-US" w:eastAsia="zh-CN"/>
        </w:rPr>
      </w:pPr>
      <w:bookmarkStart w:id="59" w:name="_Toc23245"/>
      <w:r>
        <w:rPr>
          <w:rFonts w:hint="eastAsia" w:ascii="Times New Roman" w:hAnsi="Times New Roman" w:eastAsia="宋体" w:cs="Times New Roman"/>
          <w:b/>
          <w:color w:val="auto"/>
          <w:sz w:val="24"/>
          <w:highlight w:val="none"/>
          <w:lang w:val="en-US" w:eastAsia="zh-CN"/>
        </w:rPr>
        <w:br w:type="page"/>
      </w:r>
    </w:p>
    <w:p w14:paraId="4DECECF0">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lang w:val="en-US" w:eastAsia="zh-CN"/>
        </w:rPr>
        <w:t>拟投入仪器、设备</w:t>
      </w:r>
      <w:bookmarkEnd w:id="59"/>
      <w:r>
        <w:rPr>
          <w:rFonts w:hint="default" w:ascii="Times New Roman" w:hAnsi="Times New Roman" w:eastAsia="宋体" w:cs="Times New Roman"/>
          <w:b/>
          <w:color w:val="auto"/>
          <w:sz w:val="24"/>
          <w:highlight w:val="none"/>
          <w:lang w:val="en-US" w:eastAsia="zh-CN"/>
        </w:rPr>
        <w:t xml:space="preserve"> </w:t>
      </w:r>
    </w:p>
    <w:p w14:paraId="671182D9">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57F6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5B29DFAB">
            <w:pPr>
              <w:pStyle w:val="295"/>
              <w:keepNext w:val="0"/>
              <w:spacing w:after="0"/>
              <w:rPr>
                <w:rFonts w:hint="default" w:ascii="Times New Roman" w:hAnsi="Times New Roman" w:eastAsia="宋体" w:cs="Times New Roman"/>
                <w:color w:val="auto"/>
                <w:highlight w:val="none"/>
              </w:rPr>
            </w:pPr>
          </w:p>
        </w:tc>
      </w:tr>
    </w:tbl>
    <w:p w14:paraId="227E00C1">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13EE9D66">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4A1507F7">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74391A6B">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  期：</w:t>
      </w:r>
    </w:p>
    <w:p w14:paraId="5049AAE1">
      <w:pPr>
        <w:spacing w:line="380" w:lineRule="exact"/>
        <w:ind w:firstLine="4400" w:firstLineChars="20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color w:val="auto"/>
          <w:sz w:val="22"/>
          <w:szCs w:val="22"/>
          <w:highlight w:val="none"/>
        </w:rPr>
        <w:t xml:space="preserve"> </w:t>
      </w:r>
    </w:p>
    <w:p w14:paraId="7D06EA8C">
      <w:pPr>
        <w:spacing w:line="380" w:lineRule="exact"/>
        <w:rPr>
          <w:rFonts w:hint="default" w:ascii="Times New Roman" w:hAnsi="Times New Roman" w:eastAsia="宋体" w:cs="Times New Roman"/>
          <w:b/>
          <w:bCs/>
          <w:color w:val="auto"/>
          <w:sz w:val="22"/>
          <w:szCs w:val="22"/>
          <w:highlight w:val="none"/>
        </w:rPr>
      </w:pPr>
    </w:p>
    <w:p w14:paraId="19B4CBB4">
      <w:pPr>
        <w:pStyle w:val="330"/>
        <w:rPr>
          <w:rFonts w:hint="default" w:ascii="Times New Roman" w:hAnsi="Times New Roman" w:eastAsia="宋体" w:cs="Times New Roman"/>
          <w:color w:val="auto"/>
          <w:highlight w:val="none"/>
        </w:rPr>
      </w:pPr>
    </w:p>
    <w:p w14:paraId="5CCF1BBE">
      <w:pPr>
        <w:rPr>
          <w:rFonts w:hint="eastAsia" w:ascii="Times New Roman" w:hAnsi="Times New Roman" w:eastAsia="宋体" w:cs="Times New Roman"/>
          <w:b/>
          <w:color w:val="auto"/>
          <w:sz w:val="24"/>
          <w:highlight w:val="none"/>
          <w:lang w:val="en-US" w:eastAsia="zh-CN"/>
        </w:rPr>
      </w:pPr>
      <w:bookmarkStart w:id="60" w:name="_Toc10399"/>
      <w:r>
        <w:rPr>
          <w:rFonts w:hint="eastAsia" w:ascii="Times New Roman" w:hAnsi="Times New Roman" w:eastAsia="宋体" w:cs="Times New Roman"/>
          <w:b/>
          <w:color w:val="auto"/>
          <w:sz w:val="24"/>
          <w:highlight w:val="none"/>
          <w:lang w:val="en-US" w:eastAsia="zh-CN"/>
        </w:rPr>
        <w:br w:type="page"/>
      </w:r>
    </w:p>
    <w:p w14:paraId="431C4365">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lang w:val="en-US" w:eastAsia="zh-CN"/>
        </w:rPr>
        <w:t>本项目的司法鉴定能力验证通过情况</w:t>
      </w:r>
      <w:bookmarkEnd w:id="60"/>
    </w:p>
    <w:p w14:paraId="0E621926">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4B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7B8907C0">
            <w:pPr>
              <w:pStyle w:val="295"/>
              <w:keepNext w:val="0"/>
              <w:spacing w:after="0"/>
              <w:rPr>
                <w:rFonts w:hint="default" w:ascii="Times New Roman" w:hAnsi="Times New Roman" w:eastAsia="宋体" w:cs="Times New Roman"/>
                <w:color w:val="auto"/>
                <w:highlight w:val="none"/>
              </w:rPr>
            </w:pPr>
          </w:p>
        </w:tc>
      </w:tr>
    </w:tbl>
    <w:p w14:paraId="676F4EFB">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6D671957">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75D8EE12">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2958FAAE">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  期：</w:t>
      </w:r>
    </w:p>
    <w:p w14:paraId="460094FE">
      <w:pPr>
        <w:spacing w:line="380" w:lineRule="exact"/>
        <w:ind w:firstLine="4400" w:firstLineChars="2000"/>
        <w:rPr>
          <w:rFonts w:hint="default" w:ascii="Times New Roman" w:hAnsi="Times New Roman" w:eastAsia="宋体" w:cs="Times New Roman"/>
          <w:color w:val="auto"/>
          <w:sz w:val="22"/>
          <w:szCs w:val="22"/>
          <w:highlight w:val="none"/>
        </w:rPr>
      </w:pPr>
    </w:p>
    <w:p w14:paraId="0B0C108D">
      <w:pPr>
        <w:spacing w:line="380" w:lineRule="exact"/>
        <w:rPr>
          <w:rFonts w:hint="default" w:ascii="Times New Roman" w:hAnsi="Times New Roman" w:eastAsia="宋体" w:cs="Times New Roman"/>
          <w:color w:val="auto"/>
          <w:sz w:val="22"/>
          <w:szCs w:val="22"/>
          <w:highlight w:val="none"/>
        </w:rPr>
      </w:pPr>
    </w:p>
    <w:p w14:paraId="3250A4C4">
      <w:pPr>
        <w:ind w:left="147" w:leftChars="70"/>
        <w:rPr>
          <w:rFonts w:hint="default" w:ascii="Times New Roman" w:hAnsi="Times New Roman" w:eastAsia="宋体" w:cs="Times New Roman"/>
          <w:b/>
          <w:color w:val="auto"/>
          <w:sz w:val="28"/>
          <w:szCs w:val="28"/>
          <w:highlight w:val="none"/>
        </w:rPr>
      </w:pPr>
    </w:p>
    <w:p w14:paraId="510BA2D1">
      <w:pPr>
        <w:rPr>
          <w:rFonts w:hint="eastAsia" w:ascii="Times New Roman" w:hAnsi="Times New Roman" w:eastAsia="宋体" w:cs="Times New Roman"/>
          <w:b/>
          <w:color w:val="auto"/>
          <w:sz w:val="24"/>
          <w:highlight w:val="none"/>
          <w:lang w:val="en-US" w:eastAsia="zh-CN"/>
        </w:rPr>
      </w:pPr>
      <w:bookmarkStart w:id="61" w:name="_Toc16667"/>
      <w:r>
        <w:rPr>
          <w:rFonts w:hint="eastAsia" w:ascii="Times New Roman" w:hAnsi="Times New Roman" w:eastAsia="宋体" w:cs="Times New Roman"/>
          <w:b/>
          <w:color w:val="auto"/>
          <w:sz w:val="24"/>
          <w:highlight w:val="none"/>
          <w:lang w:val="en-US" w:eastAsia="zh-CN"/>
        </w:rPr>
        <w:br w:type="page"/>
      </w:r>
    </w:p>
    <w:p w14:paraId="3AF7BA9E">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lang w:val="en-US" w:eastAsia="zh-CN"/>
        </w:rPr>
        <w:t>本地化服务及响应时间</w:t>
      </w:r>
      <w:bookmarkEnd w:id="61"/>
    </w:p>
    <w:p w14:paraId="34D80D28">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9E1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79C71DE9">
            <w:pPr>
              <w:pStyle w:val="295"/>
              <w:keepNext w:val="0"/>
              <w:spacing w:after="0"/>
              <w:rPr>
                <w:rFonts w:hint="default" w:ascii="Times New Roman" w:hAnsi="Times New Roman" w:eastAsia="宋体" w:cs="Times New Roman"/>
                <w:color w:val="auto"/>
                <w:highlight w:val="none"/>
              </w:rPr>
            </w:pPr>
          </w:p>
        </w:tc>
      </w:tr>
    </w:tbl>
    <w:p w14:paraId="0008CDCB">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27611824">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48879627">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5003D984">
      <w:pPr>
        <w:spacing w:line="380" w:lineRule="exact"/>
        <w:ind w:firstLine="4400" w:firstLineChars="20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color w:val="auto"/>
          <w:sz w:val="22"/>
          <w:szCs w:val="22"/>
          <w:highlight w:val="none"/>
        </w:rPr>
        <w:t xml:space="preserve">日  期：  </w:t>
      </w:r>
    </w:p>
    <w:p w14:paraId="4DF434D4">
      <w:pPr>
        <w:pStyle w:val="330"/>
        <w:ind w:left="0" w:leftChars="0" w:firstLine="0" w:firstLineChars="0"/>
        <w:rPr>
          <w:rFonts w:hint="default" w:ascii="Times New Roman" w:hAnsi="Times New Roman" w:eastAsia="宋体" w:cs="Times New Roman"/>
          <w:color w:val="auto"/>
          <w:highlight w:val="none"/>
        </w:rPr>
      </w:pPr>
    </w:p>
    <w:p w14:paraId="23E5E480">
      <w:pPr>
        <w:rPr>
          <w:rFonts w:hint="eastAsia" w:ascii="Times New Roman" w:hAnsi="Times New Roman" w:eastAsia="宋体" w:cs="Times New Roman"/>
          <w:b/>
          <w:color w:val="auto"/>
          <w:sz w:val="24"/>
          <w:highlight w:val="none"/>
          <w:lang w:val="en-US" w:eastAsia="zh-CN"/>
        </w:rPr>
      </w:pPr>
      <w:bookmarkStart w:id="62" w:name="_Toc11986"/>
      <w:r>
        <w:rPr>
          <w:rFonts w:hint="eastAsia" w:ascii="Times New Roman" w:hAnsi="Times New Roman" w:eastAsia="宋体" w:cs="Times New Roman"/>
          <w:b/>
          <w:color w:val="auto"/>
          <w:sz w:val="24"/>
          <w:highlight w:val="none"/>
          <w:lang w:val="en-US" w:eastAsia="zh-CN"/>
        </w:rPr>
        <w:br w:type="page"/>
      </w:r>
    </w:p>
    <w:p w14:paraId="2BEE1803">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9、</w:t>
      </w:r>
      <w:r>
        <w:rPr>
          <w:rFonts w:hint="default" w:ascii="Times New Roman" w:hAnsi="Times New Roman" w:eastAsia="宋体" w:cs="Times New Roman"/>
          <w:b/>
          <w:color w:val="auto"/>
          <w:sz w:val="24"/>
          <w:highlight w:val="none"/>
          <w:lang w:val="en-US" w:eastAsia="zh-CN"/>
        </w:rPr>
        <w:t>业绩</w:t>
      </w:r>
      <w:bookmarkEnd w:id="62"/>
    </w:p>
    <w:p w14:paraId="62AAD8A2">
      <w:pPr>
        <w:spacing w:line="460" w:lineRule="exac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color w:val="auto"/>
          <w:sz w:val="24"/>
          <w:highlight w:val="none"/>
        </w:rPr>
        <w:t>项目名称：</w:t>
      </w:r>
      <w:r>
        <w:rPr>
          <w:rFonts w:hint="default" w:ascii="Times New Roman" w:hAnsi="Times New Roman" w:eastAsia="宋体" w:cs="Times New Roman"/>
          <w:b/>
          <w:color w:val="auto"/>
          <w:sz w:val="22"/>
          <w:highlight w:val="none"/>
        </w:rPr>
        <w:t xml:space="preserve">                                         项目编号：</w:t>
      </w:r>
    </w:p>
    <w:tbl>
      <w:tblPr>
        <w:tblStyle w:val="52"/>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D1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7D9835C">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序号</w:t>
            </w:r>
          </w:p>
        </w:tc>
        <w:tc>
          <w:tcPr>
            <w:tcW w:w="2069" w:type="dxa"/>
            <w:vAlign w:val="center"/>
          </w:tcPr>
          <w:p w14:paraId="27E0F07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用户名称</w:t>
            </w:r>
          </w:p>
        </w:tc>
        <w:tc>
          <w:tcPr>
            <w:tcW w:w="2437" w:type="dxa"/>
            <w:vAlign w:val="center"/>
          </w:tcPr>
          <w:p w14:paraId="77A09FC0">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项目名称</w:t>
            </w:r>
          </w:p>
        </w:tc>
        <w:tc>
          <w:tcPr>
            <w:tcW w:w="1737" w:type="dxa"/>
            <w:vAlign w:val="center"/>
          </w:tcPr>
          <w:p w14:paraId="6592DA9A">
            <w:pPr>
              <w:tabs>
                <w:tab w:val="left" w:pos="1003"/>
              </w:tabs>
              <w:spacing w:line="380" w:lineRule="exact"/>
              <w:ind w:left="442" w:hanging="442" w:hangingChars="200"/>
              <w:jc w:val="left"/>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eastAsia="zh-CN"/>
              </w:rPr>
              <w:tab/>
            </w:r>
            <w:r>
              <w:rPr>
                <w:rFonts w:hint="default" w:ascii="Times New Roman" w:hAnsi="Times New Roman" w:eastAsia="宋体" w:cs="Times New Roman"/>
                <w:b/>
                <w:bCs/>
                <w:color w:val="auto"/>
                <w:sz w:val="22"/>
                <w:szCs w:val="22"/>
                <w:highlight w:val="none"/>
                <w:lang w:val="en-US" w:eastAsia="zh-CN"/>
              </w:rPr>
              <w:t>如联合体所属业绩</w:t>
            </w:r>
          </w:p>
        </w:tc>
        <w:tc>
          <w:tcPr>
            <w:tcW w:w="1737" w:type="dxa"/>
            <w:vAlign w:val="center"/>
          </w:tcPr>
          <w:p w14:paraId="0D0088B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联系方式</w:t>
            </w:r>
          </w:p>
        </w:tc>
        <w:tc>
          <w:tcPr>
            <w:tcW w:w="926" w:type="dxa"/>
            <w:vAlign w:val="center"/>
          </w:tcPr>
          <w:p w14:paraId="577B9AE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备注</w:t>
            </w:r>
          </w:p>
        </w:tc>
      </w:tr>
      <w:tr w14:paraId="656F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B4DEF3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5A79AF20">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0AA0010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3D3C94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8F1FB8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7533FEA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516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0DF8BB0">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72A45FB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55FE428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0EDAD8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4117BD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3C8145E0">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2E0F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581774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20C893C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3E5D3C3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8D938D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32C7910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2E24512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283B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3B424D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7EB882E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17DAB27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5D9A53E0">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8C3F1B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3F3F6007">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205D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E1E529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6428B01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2D91250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A86865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0B64326C">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4934373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45A9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E9C944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58C4BC3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19D8BAA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C8199A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858E90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4766CE9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1BEB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1B0320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33BDF19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68D50F7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3622E54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AD86F1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638AA187">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357B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FD0086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25E4BA8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6C9F218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737F77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15E320A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7201C697">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1C4F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445B012">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076E4E4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016A340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2A528B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92085D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7E1843D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4B38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7F91BA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5CC886E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050409D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5355AA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069CE48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386848C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4EBE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2CA4FC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563A68B5">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2E730F9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B0D90E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D7691B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475B8E4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59D3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4C37CB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0253CFD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4B97435C">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3CF5A9DD">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26D51C1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4F8FBA8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3F71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1FCEFF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316D4B59">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143DADD8">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66F5C4BE">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71A27164">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1CD82CEF">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r w14:paraId="6A6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C3C4C4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069" w:type="dxa"/>
            <w:vAlign w:val="center"/>
          </w:tcPr>
          <w:p w14:paraId="0B9DDB06">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2437" w:type="dxa"/>
            <w:vAlign w:val="center"/>
          </w:tcPr>
          <w:p w14:paraId="7DCDC007">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5DBE82E3">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1737" w:type="dxa"/>
            <w:vAlign w:val="center"/>
          </w:tcPr>
          <w:p w14:paraId="53C7FE01">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c>
          <w:tcPr>
            <w:tcW w:w="926" w:type="dxa"/>
            <w:vAlign w:val="center"/>
          </w:tcPr>
          <w:p w14:paraId="2261CF4B">
            <w:pPr>
              <w:spacing w:line="380" w:lineRule="exact"/>
              <w:ind w:left="442" w:hanging="442" w:hangingChars="200"/>
              <w:jc w:val="center"/>
              <w:rPr>
                <w:rFonts w:hint="default" w:ascii="Times New Roman" w:hAnsi="Times New Roman" w:eastAsia="宋体" w:cs="Times New Roman"/>
                <w:b/>
                <w:bCs/>
                <w:color w:val="auto"/>
                <w:sz w:val="22"/>
                <w:szCs w:val="22"/>
                <w:highlight w:val="none"/>
              </w:rPr>
            </w:pPr>
          </w:p>
        </w:tc>
      </w:tr>
    </w:tbl>
    <w:p w14:paraId="2241A3E6">
      <w:pPr>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注：</w:t>
      </w:r>
      <w:r>
        <w:rPr>
          <w:rFonts w:hint="default" w:ascii="Times New Roman" w:hAnsi="Times New Roman" w:eastAsia="宋体" w:cs="Times New Roman"/>
          <w:b/>
          <w:bCs/>
          <w:color w:val="auto"/>
          <w:sz w:val="22"/>
          <w:szCs w:val="22"/>
          <w:highlight w:val="none"/>
          <w:lang w:val="en-US" w:eastAsia="zh-CN"/>
        </w:rPr>
        <w:t>1、</w:t>
      </w:r>
      <w:r>
        <w:rPr>
          <w:rFonts w:hint="default" w:ascii="Times New Roman" w:hAnsi="Times New Roman" w:eastAsia="宋体" w:cs="Times New Roman"/>
          <w:b/>
          <w:bCs/>
          <w:color w:val="auto"/>
          <w:sz w:val="22"/>
          <w:szCs w:val="22"/>
          <w:highlight w:val="none"/>
        </w:rPr>
        <w:t>投标人可按此表格式复制，需提供合同和满意度证明文件复印件，原件备查。</w:t>
      </w:r>
    </w:p>
    <w:p w14:paraId="5E8B9023">
      <w:pPr>
        <w:spacing w:line="460" w:lineRule="exact"/>
        <w:ind w:firstLine="883" w:firstLineChars="400"/>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2、如联合体所属业绩填写痕迹鉴定或车辆技术鉴定</w:t>
      </w:r>
    </w:p>
    <w:p w14:paraId="48C12C9A">
      <w:pPr>
        <w:spacing w:line="380" w:lineRule="exact"/>
        <w:rPr>
          <w:rFonts w:hint="default" w:ascii="Times New Roman" w:hAnsi="Times New Roman" w:eastAsia="宋体" w:cs="Times New Roman"/>
          <w:color w:val="auto"/>
          <w:sz w:val="22"/>
          <w:szCs w:val="22"/>
          <w:highlight w:val="none"/>
        </w:rPr>
      </w:pPr>
    </w:p>
    <w:p w14:paraId="0D2092A5">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336A4447">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3F90939E">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  期：</w:t>
      </w:r>
    </w:p>
    <w:p w14:paraId="50B2112A">
      <w:pPr>
        <w:rPr>
          <w:rFonts w:hint="default"/>
          <w:color w:val="auto"/>
          <w:highlight w:val="none"/>
        </w:rPr>
      </w:pPr>
      <w:r>
        <w:rPr>
          <w:rFonts w:hint="default"/>
          <w:color w:val="auto"/>
          <w:highlight w:val="none"/>
        </w:rPr>
        <w:br w:type="page"/>
      </w:r>
    </w:p>
    <w:p w14:paraId="64D200CA">
      <w:pPr>
        <w:spacing w:line="400" w:lineRule="exact"/>
        <w:jc w:val="center"/>
        <w:outlineLvl w:val="3"/>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10</w:t>
      </w:r>
      <w:r>
        <w:rPr>
          <w:rFonts w:hint="eastAsia" w:ascii="Times New Roman" w:hAnsi="Times New Roman" w:eastAsia="宋体" w:cs="Times New Roman"/>
          <w:b/>
          <w:color w:val="auto"/>
          <w:sz w:val="24"/>
          <w:highlight w:val="none"/>
          <w:lang w:val="en-US" w:eastAsia="zh-CN"/>
        </w:rPr>
        <w:t>、</w:t>
      </w:r>
      <w:r>
        <w:rPr>
          <w:rFonts w:hint="eastAsia" w:cs="Times New Roman"/>
          <w:b/>
          <w:color w:val="auto"/>
          <w:sz w:val="24"/>
          <w:highlight w:val="none"/>
          <w:lang w:val="en-US" w:eastAsia="zh-CN"/>
        </w:rPr>
        <w:t>满意度评价</w:t>
      </w:r>
    </w:p>
    <w:p w14:paraId="4EB47382">
      <w:pPr>
        <w:autoSpaceDE w:val="0"/>
        <w:autoSpaceDN w:val="0"/>
        <w:ind w:right="893" w:firstLine="418"/>
        <w:textAlignment w:val="bottom"/>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2"/>
          <w:highlight w:val="none"/>
        </w:rPr>
        <w:t>项目名称：                                           项目编号：</w:t>
      </w:r>
      <w:r>
        <w:rPr>
          <w:rFonts w:hint="default" w:ascii="Times New Roman" w:hAnsi="Times New Roman" w:eastAsia="宋体" w:cs="Times New Roman"/>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1330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14:paraId="036686DF">
            <w:pPr>
              <w:pStyle w:val="295"/>
              <w:keepNext w:val="0"/>
              <w:spacing w:after="0"/>
              <w:rPr>
                <w:rFonts w:hint="default" w:ascii="Times New Roman" w:hAnsi="Times New Roman" w:eastAsia="宋体" w:cs="Times New Roman"/>
                <w:color w:val="auto"/>
                <w:highlight w:val="none"/>
              </w:rPr>
            </w:pPr>
          </w:p>
        </w:tc>
      </w:tr>
    </w:tbl>
    <w:p w14:paraId="07C31551">
      <w:pP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8"/>
          <w:highlight w:val="none"/>
        </w:rPr>
        <w:t xml:space="preserve">  </w:t>
      </w:r>
    </w:p>
    <w:p w14:paraId="25ADE8FF">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投标人全称（盖章）：</w:t>
      </w:r>
    </w:p>
    <w:p w14:paraId="6B3AA19A">
      <w:pPr>
        <w:spacing w:line="380" w:lineRule="exact"/>
        <w:ind w:firstLine="4400" w:firstLineChars="20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投标人代表（签字）：</w:t>
      </w:r>
    </w:p>
    <w:p w14:paraId="6DFE11E7">
      <w:pPr>
        <w:spacing w:line="380" w:lineRule="exact"/>
        <w:ind w:firstLine="4400" w:firstLineChars="2000"/>
        <w:rPr>
          <w:rFonts w:hint="eastAsia" w:ascii="宋体" w:hAnsi="宋体" w:eastAsia="宋体" w:cs="宋体"/>
          <w:color w:val="auto"/>
          <w:sz w:val="22"/>
          <w:szCs w:val="22"/>
          <w:highlight w:val="none"/>
        </w:rPr>
      </w:pPr>
      <w:r>
        <w:rPr>
          <w:rFonts w:hint="default" w:ascii="Times New Roman" w:hAnsi="Times New Roman" w:eastAsia="宋体" w:cs="Times New Roman"/>
          <w:color w:val="auto"/>
          <w:sz w:val="22"/>
          <w:szCs w:val="22"/>
          <w:highlight w:val="none"/>
        </w:rPr>
        <w:t>日  期：</w:t>
      </w:r>
      <w:r>
        <w:rPr>
          <w:rFonts w:hint="eastAsia" w:ascii="宋体" w:hAnsi="宋体" w:eastAsia="宋体" w:cs="宋体"/>
          <w:color w:val="auto"/>
          <w:sz w:val="22"/>
          <w:szCs w:val="22"/>
          <w:highlight w:val="none"/>
        </w:rPr>
        <w:t xml:space="preserve"> </w:t>
      </w:r>
    </w:p>
    <w:p w14:paraId="1EC870B9">
      <w:pPr>
        <w:spacing w:line="380" w:lineRule="exact"/>
        <w:ind w:firstLine="4400" w:firstLineChars="2000"/>
        <w:rPr>
          <w:rFonts w:hint="eastAsia" w:ascii="宋体" w:hAnsi="宋体" w:eastAsia="宋体" w:cs="宋体"/>
          <w:color w:val="auto"/>
          <w:sz w:val="22"/>
          <w:szCs w:val="22"/>
          <w:highlight w:val="none"/>
        </w:rPr>
      </w:pPr>
    </w:p>
    <w:p w14:paraId="02484801">
      <w:pPr>
        <w:spacing w:line="460" w:lineRule="exact"/>
        <w:ind w:firstLine="4400" w:firstLineChars="2000"/>
        <w:rPr>
          <w:rFonts w:hint="eastAsia" w:ascii="宋体" w:hAnsi="宋体" w:eastAsia="宋体" w:cs="宋体"/>
          <w:color w:val="auto"/>
          <w:sz w:val="22"/>
          <w:szCs w:val="22"/>
          <w:highlight w:val="none"/>
        </w:rPr>
      </w:pPr>
    </w:p>
    <w:p w14:paraId="0A7B84D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DE346A0">
      <w:pPr>
        <w:rPr>
          <w:rFonts w:ascii="新宋体" w:hAnsi="新宋体" w:eastAsia="新宋体"/>
          <w:color w:val="auto"/>
          <w:sz w:val="22"/>
          <w:szCs w:val="22"/>
          <w:highlight w:val="none"/>
        </w:rPr>
        <w:sectPr>
          <w:pgSz w:w="11906" w:h="16838"/>
          <w:pgMar w:top="1134" w:right="1134" w:bottom="1134" w:left="1134" w:header="850" w:footer="992" w:gutter="0"/>
          <w:pgNumType w:fmt="decimal"/>
          <w:cols w:space="720" w:num="1"/>
          <w:docGrid w:type="lines" w:linePitch="321" w:charSpace="0"/>
        </w:sectPr>
      </w:pPr>
    </w:p>
    <w:p w14:paraId="7878E9AD">
      <w:pPr>
        <w:pStyle w:val="4"/>
        <w:numPr>
          <w:ilvl w:val="0"/>
          <w:numId w:val="0"/>
        </w:numPr>
        <w:bidi w:val="0"/>
        <w:rPr>
          <w:rFonts w:hint="eastAsia" w:ascii="宋体" w:hAnsi="宋体" w:eastAsia="宋体" w:cs="宋体"/>
          <w:b/>
          <w:color w:val="auto"/>
          <w:highlight w:val="none"/>
        </w:rPr>
      </w:pPr>
      <w:bookmarkStart w:id="63" w:name="_Toc20543"/>
      <w:r>
        <w:rPr>
          <w:rFonts w:hint="eastAsia" w:ascii="宋体" w:hAnsi="宋体" w:eastAsia="宋体" w:cs="宋体"/>
          <w:b/>
          <w:color w:val="auto"/>
          <w:kern w:val="2"/>
          <w:sz w:val="32"/>
          <w:szCs w:val="20"/>
          <w:highlight w:val="none"/>
          <w:lang w:val="en-US" w:eastAsia="zh-CN" w:bidi="ar-SA"/>
        </w:rPr>
        <w:t>第四部分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64" w:name="_Toc10142"/>
      <w:bookmarkStart w:id="65" w:name="_Toc221356895"/>
      <w:bookmarkStart w:id="66" w:name="_Toc221356958"/>
      <w:r>
        <w:rPr>
          <w:rFonts w:hint="eastAsia" w:ascii="宋体" w:hAnsi="宋体" w:eastAsia="宋体" w:cs="宋体"/>
          <w:color w:val="auto"/>
          <w:highlight w:val="none"/>
        </w:rPr>
        <w:t>项目技术规范和服务要求</w:t>
      </w:r>
      <w:bookmarkEnd w:id="63"/>
      <w:bookmarkEnd w:id="64"/>
    </w:p>
    <w:bookmarkEnd w:id="65"/>
    <w:bookmarkEnd w:id="66"/>
    <w:p w14:paraId="668075C6">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bookmarkStart w:id="67" w:name="_Toc497307615"/>
      <w:bookmarkStart w:id="68" w:name="_Toc497300733"/>
      <w:bookmarkStart w:id="69" w:name="_Toc23050625"/>
      <w:bookmarkStart w:id="70" w:name="_Toc496256263"/>
      <w:bookmarkStart w:id="71" w:name="_Toc51996430"/>
      <w:bookmarkStart w:id="72" w:name="_Toc496101312"/>
      <w:bookmarkStart w:id="73" w:name="_Toc23050562"/>
      <w:bookmarkStart w:id="74" w:name="_Toc495660084"/>
      <w:bookmarkStart w:id="75" w:name="_Toc40594931"/>
      <w:bookmarkStart w:id="76" w:name="_Toc497300664"/>
      <w:bookmarkStart w:id="77" w:name="_Toc498186719"/>
      <w:bookmarkStart w:id="78" w:name="_Toc23050423"/>
      <w:bookmarkStart w:id="79" w:name="_Toc498199476"/>
      <w:bookmarkStart w:id="80" w:name="_Toc498186820"/>
      <w:bookmarkStart w:id="81" w:name="_Toc282690445"/>
      <w:bookmarkStart w:id="82" w:name="_Toc495651839"/>
      <w:bookmarkStart w:id="83" w:name="_Toc23050833"/>
      <w:bookmarkStart w:id="84" w:name="_Toc201920298"/>
      <w:bookmarkStart w:id="85" w:name="_Toc441051461"/>
      <w:bookmarkStart w:id="86" w:name="_Toc496101575"/>
      <w:bookmarkStart w:id="87" w:name="_Toc40266002"/>
      <w:bookmarkStart w:id="88" w:name="_Toc496257825"/>
      <w:r>
        <w:rPr>
          <w:rFonts w:hint="default" w:ascii="Times New Roman" w:hAnsi="Times New Roman" w:eastAsia="宋体" w:cs="Times New Roman"/>
          <w:b/>
          <w:bCs/>
          <w:color w:val="auto"/>
          <w:sz w:val="22"/>
          <w:szCs w:val="22"/>
          <w:highlight w:val="none"/>
        </w:rPr>
        <w:t>一、概述</w:t>
      </w:r>
    </w:p>
    <w:p w14:paraId="0B719009">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1、服务内容</w:t>
      </w:r>
    </w:p>
    <w:p w14:paraId="1D989059">
      <w:pPr>
        <w:tabs>
          <w:tab w:val="left" w:pos="360"/>
        </w:tabs>
        <w:spacing w:line="460" w:lineRule="exact"/>
        <w:ind w:firstLine="440" w:firstLineChars="200"/>
        <w:rPr>
          <w:rFonts w:hint="eastAsia"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温州市公安局交通管理局</w:t>
      </w:r>
      <w:r>
        <w:rPr>
          <w:rFonts w:hint="eastAsia" w:cs="Times New Roman"/>
          <w:color w:val="auto"/>
          <w:sz w:val="22"/>
          <w:szCs w:val="22"/>
          <w:highlight w:val="none"/>
          <w:lang w:eastAsia="zh-CN"/>
        </w:rPr>
        <w:t>202</w:t>
      </w:r>
      <w:r>
        <w:rPr>
          <w:rFonts w:hint="eastAsia" w:cs="Times New Roman"/>
          <w:color w:val="auto"/>
          <w:sz w:val="22"/>
          <w:szCs w:val="22"/>
          <w:highlight w:val="none"/>
          <w:lang w:val="en-US" w:eastAsia="zh-CN"/>
        </w:rPr>
        <w:t>5</w:t>
      </w:r>
      <w:r>
        <w:rPr>
          <w:rFonts w:hint="eastAsia" w:cs="Times New Roman"/>
          <w:color w:val="auto"/>
          <w:sz w:val="22"/>
          <w:szCs w:val="22"/>
          <w:highlight w:val="none"/>
          <w:lang w:eastAsia="zh-CN"/>
        </w:rPr>
        <w:t>年交通违法(事故) 车辆司法鉴定服务项目</w:t>
      </w:r>
    </w:p>
    <w:p w14:paraId="62EE2827">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2、总体要求</w:t>
      </w:r>
    </w:p>
    <w:p w14:paraId="301CA2E4">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2.1投标人须对招标范围内的全部内容进行投标。</w:t>
      </w:r>
    </w:p>
    <w:p w14:paraId="66AD3CEC">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2.2投标人必须按照相关国家、行业标准开展车辆安全性能、车辆性能与事故成因关系、车辆类型、车辆痕迹、车速等鉴定工作。</w:t>
      </w:r>
    </w:p>
    <w:p w14:paraId="263A7D1A">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2.3检验鉴定过程必须遵循合法、公平、公开原则。</w:t>
      </w:r>
    </w:p>
    <w:p w14:paraId="359DDFBC">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2.4需在接到委托后按办案单位约定的期限内出具检验鉴定报告，一般不得超过三十日；如遇特殊情况需在招标人要求的时间内到场，并需在招标人指定的时间内出具鉴定报告。</w:t>
      </w:r>
    </w:p>
    <w:p w14:paraId="44F6E0C3">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2.5本次招标确定1家中标人进行交通事故车辆</w:t>
      </w:r>
      <w:r>
        <w:rPr>
          <w:rFonts w:hint="eastAsia" w:cs="Times New Roman"/>
          <w:color w:val="auto"/>
          <w:sz w:val="22"/>
          <w:szCs w:val="22"/>
          <w:highlight w:val="none"/>
          <w:lang w:eastAsia="zh-CN"/>
        </w:rPr>
        <w:t>、</w:t>
      </w:r>
      <w:r>
        <w:rPr>
          <w:rFonts w:hint="eastAsia" w:cs="Times New Roman"/>
          <w:color w:val="auto"/>
          <w:sz w:val="22"/>
          <w:szCs w:val="22"/>
          <w:highlight w:val="none"/>
          <w:lang w:val="en-US" w:eastAsia="zh-CN"/>
        </w:rPr>
        <w:t>违法车辆等</w:t>
      </w:r>
      <w:r>
        <w:rPr>
          <w:rFonts w:hint="default" w:ascii="Times New Roman" w:hAnsi="Times New Roman" w:eastAsia="宋体" w:cs="Times New Roman"/>
          <w:color w:val="auto"/>
          <w:sz w:val="22"/>
          <w:szCs w:val="22"/>
          <w:highlight w:val="none"/>
        </w:rPr>
        <w:t>技术检验鉴定工作。</w:t>
      </w:r>
    </w:p>
    <w:p w14:paraId="674C8A11">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2.6招标人无法预计也无法保证中标人取得具体业务的数量及金额。</w:t>
      </w:r>
    </w:p>
    <w:p w14:paraId="21AC3B8C">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2.7中标人直接参与检验、鉴定工作人员中，持有痕迹鉴定司法鉴定人执业证不得少于5人，其中具有汽车运用专业高级技术职称的人数不得少于2人</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为了有利于项目的实施和技术保障，项目负责人须具备痕迹鉴定资质和汽车运用专业高级技术职称，并长期从事相关车辆鉴定工作。</w:t>
      </w:r>
    </w:p>
    <w:p w14:paraId="60E6E071">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2.8中标人配备有用勘验的交通工具，其数量及装备应能满足我市行政辖区交通事故处理的需要，且可全天候开展工作。</w:t>
      </w:r>
    </w:p>
    <w:p w14:paraId="25E9A592">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2.9中标人配备有满足相关标准要求的用于勘验和提取取证，以及进行事故车辆安全技术检验的仪器和装备。</w:t>
      </w:r>
    </w:p>
    <w:p w14:paraId="272DDC59">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3、服务期限</w:t>
      </w:r>
    </w:p>
    <w:p w14:paraId="54117DB3">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服务期限为</w:t>
      </w:r>
      <w:r>
        <w:rPr>
          <w:rFonts w:hint="eastAsia" w:cs="Times New Roman"/>
          <w:color w:val="auto"/>
          <w:sz w:val="22"/>
          <w:szCs w:val="22"/>
          <w:highlight w:val="none"/>
          <w:lang w:val="en-US" w:eastAsia="zh-CN"/>
        </w:rPr>
        <w:t>壹</w:t>
      </w:r>
      <w:r>
        <w:rPr>
          <w:rFonts w:hint="default" w:ascii="Times New Roman" w:hAnsi="Times New Roman" w:eastAsia="宋体" w:cs="Times New Roman"/>
          <w:color w:val="auto"/>
          <w:sz w:val="22"/>
          <w:szCs w:val="22"/>
          <w:highlight w:val="none"/>
        </w:rPr>
        <w:t>年。</w:t>
      </w:r>
    </w:p>
    <w:p w14:paraId="407A5699">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4、报价方式</w:t>
      </w:r>
    </w:p>
    <w:p w14:paraId="4AB990BC">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按折扣率进行报价。是指投标人在各项鉴定项目预算价的基础上进行折扣率报价</w:t>
      </w:r>
      <w:r>
        <w:rPr>
          <w:rFonts w:hint="default" w:ascii="Times New Roman" w:hAnsi="Times New Roman" w:eastAsia="宋体" w:cs="Times New Roman"/>
          <w:b/>
          <w:bCs/>
          <w:color w:val="auto"/>
          <w:sz w:val="22"/>
          <w:szCs w:val="22"/>
          <w:highlight w:val="none"/>
          <w:lang w:eastAsia="zh-CN"/>
        </w:rPr>
        <w:t>，</w:t>
      </w:r>
      <w:r>
        <w:rPr>
          <w:rFonts w:hint="default" w:ascii="Times New Roman" w:hAnsi="Times New Roman" w:eastAsia="宋体" w:cs="Times New Roman"/>
          <w:b/>
          <w:bCs/>
          <w:color w:val="auto"/>
          <w:sz w:val="22"/>
          <w:szCs w:val="22"/>
          <w:highlight w:val="none"/>
        </w:rPr>
        <w:t>所有的鉴定项目只报一个折扣率</w:t>
      </w:r>
      <w:r>
        <w:rPr>
          <w:rFonts w:hint="default" w:ascii="Times New Roman" w:hAnsi="Times New Roman" w:eastAsia="宋体" w:cs="Times New Roman"/>
          <w:b/>
          <w:bCs/>
          <w:color w:val="auto"/>
          <w:sz w:val="22"/>
          <w:szCs w:val="22"/>
          <w:highlight w:val="none"/>
          <w:lang w:eastAsia="zh-CN"/>
        </w:rPr>
        <w:t>，</w:t>
      </w:r>
      <w:r>
        <w:rPr>
          <w:rFonts w:hint="default" w:ascii="Times New Roman" w:hAnsi="Times New Roman" w:eastAsia="宋体" w:cs="Times New Roman"/>
          <w:b/>
          <w:bCs/>
          <w:color w:val="auto"/>
          <w:sz w:val="22"/>
          <w:szCs w:val="22"/>
          <w:highlight w:val="none"/>
        </w:rPr>
        <w:t>否则按无效标处理。</w:t>
      </w:r>
    </w:p>
    <w:p w14:paraId="0B6192D2">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u w:val="single"/>
        </w:rPr>
      </w:pPr>
      <w:r>
        <w:rPr>
          <w:rFonts w:hint="default" w:ascii="Times New Roman" w:hAnsi="Times New Roman" w:eastAsia="宋体" w:cs="Times New Roman"/>
          <w:b/>
          <w:bCs/>
          <w:color w:val="auto"/>
          <w:sz w:val="22"/>
          <w:szCs w:val="22"/>
          <w:highlight w:val="none"/>
        </w:rPr>
        <w:t>各项鉴定项目的鉴定费用单价：该项鉴定预算单价乘以折扣率为该项目鉴定最终鉴定费用单价。</w:t>
      </w:r>
    </w:p>
    <w:p w14:paraId="0FDAD700">
      <w:pPr>
        <w:keepNext w:val="0"/>
        <w:keepLines w:val="0"/>
        <w:pageBreakBefore w:val="0"/>
        <w:widowControl w:val="0"/>
        <w:tabs>
          <w:tab w:val="left" w:pos="360"/>
        </w:tabs>
        <w:kinsoku/>
        <w:wordWrap/>
        <w:overflowPunct/>
        <w:topLinePunct w:val="0"/>
        <w:bidi w:val="0"/>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5、付款方式</w:t>
      </w:r>
    </w:p>
    <w:p w14:paraId="19F432CB">
      <w:pPr>
        <w:keepNext w:val="0"/>
        <w:keepLines w:val="0"/>
        <w:pageBreakBefore w:val="0"/>
        <w:widowControl w:val="0"/>
        <w:kinsoku/>
        <w:wordWrap/>
        <w:overflowPunct/>
        <w:topLinePunct w:val="0"/>
        <w:bidi w:val="0"/>
        <w:spacing w:line="460" w:lineRule="exact"/>
        <w:ind w:firstLine="440" w:firstLineChars="200"/>
        <w:rPr>
          <w:rFonts w:hint="default"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1在合同签订后7天内乙方向甲方提供</w:t>
      </w:r>
      <w:r>
        <w:rPr>
          <w:rFonts w:hint="eastAsia" w:eastAsia="宋体" w:cs="Times New Roman"/>
          <w:color w:val="auto"/>
          <w:sz w:val="22"/>
          <w:szCs w:val="22"/>
          <w:highlight w:val="none"/>
          <w:lang w:val="en-US" w:eastAsia="zh-CN"/>
        </w:rPr>
        <w:t>预算</w:t>
      </w:r>
      <w:r>
        <w:rPr>
          <w:rFonts w:hint="default" w:ascii="Times New Roman" w:hAnsi="Times New Roman" w:eastAsia="宋体" w:cs="Times New Roman"/>
          <w:color w:val="auto"/>
          <w:sz w:val="22"/>
          <w:szCs w:val="22"/>
          <w:highlight w:val="none"/>
        </w:rPr>
        <w:t>金额为</w:t>
      </w:r>
      <w:r>
        <w:rPr>
          <w:rFonts w:hint="eastAsia"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的</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（不计息），如乙方在签订后未在规定时间内提交</w:t>
      </w:r>
      <w:r>
        <w:rPr>
          <w:rFonts w:hint="eastAsia" w:eastAsia="宋体" w:cs="Times New Roman"/>
          <w:color w:val="auto"/>
          <w:sz w:val="22"/>
          <w:szCs w:val="22"/>
          <w:highlight w:val="none"/>
          <w:lang w:eastAsia="zh-CN"/>
        </w:rPr>
        <w:t>履约保证金（或履约保函）</w:t>
      </w:r>
      <w:r>
        <w:rPr>
          <w:rFonts w:hint="default" w:ascii="Times New Roman" w:hAnsi="Times New Roman" w:eastAsia="宋体" w:cs="Times New Roman"/>
          <w:color w:val="auto"/>
          <w:sz w:val="22"/>
          <w:szCs w:val="22"/>
          <w:highlight w:val="none"/>
        </w:rPr>
        <w:t>则甲方有权终止合同；</w:t>
      </w:r>
    </w:p>
    <w:p w14:paraId="319F91C1">
      <w:pPr>
        <w:keepNext w:val="0"/>
        <w:keepLines w:val="0"/>
        <w:pageBreakBefore w:val="0"/>
        <w:widowControl w:val="0"/>
        <w:kinsoku/>
        <w:wordWrap/>
        <w:overflowPunct/>
        <w:topLinePunct w:val="0"/>
        <w:bidi w:val="0"/>
        <w:spacing w:line="460" w:lineRule="exact"/>
        <w:ind w:firstLine="440" w:firstLineChars="200"/>
        <w:rPr>
          <w:rFonts w:hint="eastAsia" w:cs="Times New Roman"/>
          <w:color w:val="auto"/>
          <w:sz w:val="22"/>
          <w:szCs w:val="22"/>
          <w:highlight w:val="none"/>
          <w:lang w:val="en-US" w:eastAsia="zh-CN"/>
        </w:rPr>
      </w:pPr>
      <w:r>
        <w:rPr>
          <w:rFonts w:hint="eastAsia"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2合同签定生效后，</w:t>
      </w:r>
      <w:r>
        <w:rPr>
          <w:rFonts w:hint="eastAsia" w:cs="Times New Roman"/>
          <w:color w:val="auto"/>
          <w:sz w:val="22"/>
          <w:szCs w:val="22"/>
          <w:highlight w:val="none"/>
          <w:lang w:val="en-US" w:eastAsia="zh-CN"/>
        </w:rPr>
        <w:t>甲方预付给乙方</w:t>
      </w:r>
      <w:r>
        <w:rPr>
          <w:rFonts w:hint="eastAsia" w:cs="Times New Roman"/>
          <w:color w:val="auto"/>
          <w:sz w:val="22"/>
          <w:szCs w:val="22"/>
          <w:highlight w:val="none"/>
          <w:u w:val="single"/>
          <w:lang w:val="en-US" w:eastAsia="zh-CN"/>
        </w:rPr>
        <w:t xml:space="preserve"> </w:t>
      </w:r>
      <w:r>
        <w:rPr>
          <w:rFonts w:hint="eastAsia" w:cs="Times New Roman"/>
          <w:b/>
          <w:bCs/>
          <w:color w:val="auto"/>
          <w:sz w:val="22"/>
          <w:szCs w:val="22"/>
          <w:highlight w:val="none"/>
          <w:u w:val="single"/>
          <w:lang w:val="en-US" w:eastAsia="zh-CN"/>
        </w:rPr>
        <w:t>40%</w:t>
      </w:r>
      <w:r>
        <w:rPr>
          <w:rFonts w:hint="eastAsia" w:cs="Times New Roman"/>
          <w:color w:val="auto"/>
          <w:sz w:val="22"/>
          <w:szCs w:val="22"/>
          <w:highlight w:val="none"/>
          <w:u w:val="single"/>
          <w:lang w:val="en-US" w:eastAsia="zh-CN"/>
        </w:rPr>
        <w:t xml:space="preserve"> </w:t>
      </w:r>
      <w:r>
        <w:rPr>
          <w:rFonts w:hint="eastAsia" w:cs="Times New Roman"/>
          <w:color w:val="auto"/>
          <w:sz w:val="22"/>
          <w:szCs w:val="22"/>
          <w:highlight w:val="none"/>
          <w:lang w:val="en-US" w:eastAsia="zh-CN"/>
        </w:rPr>
        <w:t>预付款。</w:t>
      </w:r>
    </w:p>
    <w:p w14:paraId="63A42B1A">
      <w:pPr>
        <w:keepNext w:val="0"/>
        <w:keepLines w:val="0"/>
        <w:pageBreakBefore w:val="0"/>
        <w:widowControl w:val="0"/>
        <w:tabs>
          <w:tab w:val="left" w:pos="360"/>
        </w:tabs>
        <w:kinsoku/>
        <w:wordWrap/>
        <w:overflowPunct/>
        <w:topLinePunct w:val="0"/>
        <w:bidi w:val="0"/>
        <w:spacing w:line="460" w:lineRule="exact"/>
        <w:ind w:firstLine="440" w:firstLineChars="200"/>
        <w:rPr>
          <w:rFonts w:hint="default"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5.3</w:t>
      </w:r>
      <w:r>
        <w:rPr>
          <w:rFonts w:hint="default" w:ascii="Times New Roman" w:hAnsi="Times New Roman" w:eastAsia="宋体" w:cs="Times New Roman"/>
          <w:color w:val="auto"/>
          <w:sz w:val="22"/>
          <w:szCs w:val="22"/>
          <w:highlight w:val="none"/>
        </w:rPr>
        <w:t>检验鉴定费按季度进行结算</w:t>
      </w:r>
      <w:r>
        <w:rPr>
          <w:rFonts w:hint="eastAsia"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乙方须在次月15日前向甲方提供上月的费用结算清单，甲方于30个工作日内予以审核确认并通知乙方开具与审核确认清单等额的正式发票，</w:t>
      </w:r>
      <w:r>
        <w:rPr>
          <w:rFonts w:hint="eastAsia" w:ascii="新宋体" w:hAnsi="新宋体" w:eastAsia="新宋体" w:cs="新宋体"/>
          <w:b/>
          <w:color w:val="auto"/>
          <w:sz w:val="22"/>
          <w:szCs w:val="22"/>
          <w:highlight w:val="none"/>
          <w:u w:val="none" w:color="auto"/>
          <w:shd w:val="clear" w:color="auto" w:fill="auto"/>
          <w:lang w:val="en-US" w:eastAsia="zh-CN"/>
        </w:rPr>
        <w:t>前期鉴定费用均从预付款中结算，若预付款结算完毕，按正常支付结算。</w:t>
      </w:r>
      <w:r>
        <w:rPr>
          <w:rFonts w:hint="default" w:ascii="Times New Roman" w:hAnsi="Times New Roman" w:eastAsia="宋体" w:cs="Times New Roman"/>
          <w:color w:val="auto"/>
          <w:sz w:val="22"/>
          <w:szCs w:val="22"/>
          <w:highlight w:val="none"/>
        </w:rPr>
        <w:t>甲方</w:t>
      </w:r>
      <w:r>
        <w:rPr>
          <w:rFonts w:hint="eastAsia" w:cs="Times New Roman"/>
          <w:color w:val="auto"/>
          <w:sz w:val="22"/>
          <w:szCs w:val="22"/>
          <w:highlight w:val="none"/>
          <w:lang w:val="en-US" w:eastAsia="zh-CN"/>
        </w:rPr>
        <w:t>在</w:t>
      </w:r>
      <w:r>
        <w:rPr>
          <w:rFonts w:hint="default" w:ascii="Times New Roman" w:hAnsi="Times New Roman" w:eastAsia="宋体" w:cs="Times New Roman"/>
          <w:color w:val="auto"/>
          <w:sz w:val="22"/>
          <w:szCs w:val="22"/>
          <w:highlight w:val="none"/>
        </w:rPr>
        <w:t>收到正式发票后向市财政局申请，具体支付时间视财</w:t>
      </w:r>
      <w:r>
        <w:rPr>
          <w:rFonts w:hint="eastAsia" w:cs="Times New Roman"/>
          <w:color w:val="auto"/>
          <w:sz w:val="22"/>
          <w:szCs w:val="22"/>
          <w:highlight w:val="none"/>
          <w:lang w:val="en-US" w:eastAsia="zh-CN"/>
        </w:rPr>
        <w:t>政</w:t>
      </w:r>
      <w:r>
        <w:rPr>
          <w:rFonts w:hint="default" w:ascii="Times New Roman" w:hAnsi="Times New Roman" w:eastAsia="宋体" w:cs="Times New Roman"/>
          <w:color w:val="auto"/>
          <w:sz w:val="22"/>
          <w:szCs w:val="22"/>
          <w:highlight w:val="none"/>
        </w:rPr>
        <w:t>资金安排而定。</w:t>
      </w:r>
    </w:p>
    <w:p w14:paraId="662814B1">
      <w:pPr>
        <w:keepNext w:val="0"/>
        <w:keepLines w:val="0"/>
        <w:pageBreakBefore w:val="0"/>
        <w:widowControl w:val="0"/>
        <w:kinsoku/>
        <w:wordWrap/>
        <w:overflowPunct/>
        <w:topLinePunct w:val="0"/>
        <w:autoSpaceDE w:val="0"/>
        <w:autoSpaceDN w:val="0"/>
        <w:bidi w:val="0"/>
        <w:adjustRightInd w:val="0"/>
        <w:snapToGrid w:val="0"/>
        <w:spacing w:line="460" w:lineRule="exact"/>
        <w:ind w:firstLine="442" w:firstLineChars="200"/>
        <w:textAlignment w:val="bottom"/>
        <w:rPr>
          <w:rFonts w:hint="default" w:ascii="Times New Roman" w:hAnsi="Times New Roman" w:eastAsia="宋体" w:cs="Times New Roman"/>
          <w:color w:val="auto"/>
          <w:sz w:val="22"/>
          <w:szCs w:val="22"/>
          <w:highlight w:val="none"/>
        </w:rPr>
      </w:pPr>
      <w:bookmarkStart w:id="89" w:name="OLE_LINK3"/>
      <w:r>
        <w:rPr>
          <w:rFonts w:hint="eastAsia" w:cs="Times New Roman"/>
          <w:b/>
          <w:color w:val="auto"/>
          <w:sz w:val="22"/>
          <w:szCs w:val="22"/>
          <w:highlight w:val="none"/>
          <w:lang w:val="en-US" w:eastAsia="zh-CN"/>
        </w:rPr>
        <w:t>5.4</w:t>
      </w:r>
      <w:r>
        <w:rPr>
          <w:rFonts w:hint="default" w:ascii="Times New Roman" w:hAnsi="Times New Roman" w:eastAsia="宋体" w:cs="Times New Roman"/>
          <w:b/>
          <w:color w:val="auto"/>
          <w:sz w:val="22"/>
          <w:szCs w:val="22"/>
          <w:highlight w:val="none"/>
        </w:rPr>
        <w:t>本项目财政预算为人民币</w:t>
      </w:r>
      <w:r>
        <w:rPr>
          <w:rFonts w:hint="eastAsia" w:cs="Times New Roman"/>
          <w:b/>
          <w:color w:val="auto"/>
          <w:sz w:val="22"/>
          <w:szCs w:val="22"/>
          <w:highlight w:val="none"/>
          <w:lang w:val="en-US" w:eastAsia="zh-CN"/>
        </w:rPr>
        <w:t>壹佰捌拾伍万</w:t>
      </w:r>
      <w:r>
        <w:rPr>
          <w:rFonts w:hint="default" w:ascii="Times New Roman" w:hAnsi="Times New Roman" w:eastAsia="宋体" w:cs="Times New Roman"/>
          <w:b/>
          <w:color w:val="auto"/>
          <w:sz w:val="22"/>
          <w:szCs w:val="22"/>
          <w:highlight w:val="none"/>
        </w:rPr>
        <w:t>元整（¥</w:t>
      </w:r>
      <w:r>
        <w:rPr>
          <w:rFonts w:hint="eastAsia" w:cs="Times New Roman"/>
          <w:b/>
          <w:color w:val="auto"/>
          <w:sz w:val="22"/>
          <w:szCs w:val="22"/>
          <w:highlight w:val="none"/>
          <w:lang w:val="en-US" w:eastAsia="zh-CN"/>
        </w:rPr>
        <w:t>1850000</w:t>
      </w:r>
      <w:r>
        <w:rPr>
          <w:rFonts w:hint="default" w:ascii="Times New Roman" w:hAnsi="Times New Roman" w:eastAsia="宋体" w:cs="Times New Roman"/>
          <w:b/>
          <w:color w:val="auto"/>
          <w:sz w:val="22"/>
          <w:szCs w:val="22"/>
          <w:highlight w:val="none"/>
        </w:rPr>
        <w:t>.00元），甲方在合同有效期内所支付</w:t>
      </w:r>
      <w:r>
        <w:rPr>
          <w:rFonts w:hint="default" w:ascii="Times New Roman" w:hAnsi="Times New Roman" w:eastAsia="宋体" w:cs="Times New Roman"/>
          <w:b/>
          <w:bCs/>
          <w:color w:val="auto"/>
          <w:sz w:val="22"/>
          <w:szCs w:val="22"/>
          <w:highlight w:val="none"/>
        </w:rPr>
        <w:t>结算金额达到财政预算金额</w:t>
      </w:r>
      <w:r>
        <w:rPr>
          <w:rFonts w:hint="default" w:ascii="Times New Roman" w:hAnsi="Times New Roman" w:eastAsia="宋体" w:cs="Times New Roman"/>
          <w:b/>
          <w:color w:val="auto"/>
          <w:sz w:val="22"/>
          <w:szCs w:val="22"/>
          <w:highlight w:val="none"/>
          <w:lang w:eastAsia="zh-CN"/>
        </w:rPr>
        <w:t>，</w:t>
      </w:r>
      <w:r>
        <w:rPr>
          <w:rFonts w:hint="default" w:ascii="Times New Roman" w:hAnsi="Times New Roman" w:eastAsia="宋体" w:cs="Times New Roman"/>
          <w:b/>
          <w:color w:val="auto"/>
          <w:sz w:val="22"/>
          <w:szCs w:val="22"/>
          <w:highlight w:val="none"/>
        </w:rPr>
        <w:t>合同中止。</w:t>
      </w:r>
      <w:bookmarkEnd w:id="89"/>
      <w:r>
        <w:rPr>
          <w:rFonts w:hint="eastAsia" w:cs="Times New Roman"/>
          <w:b/>
          <w:color w:val="auto"/>
          <w:sz w:val="22"/>
          <w:szCs w:val="22"/>
          <w:highlight w:val="none"/>
          <w:lang w:val="en-US" w:eastAsia="zh-CN"/>
        </w:rPr>
        <w:t>合同中止后，甲方再行向财政部门审批，如审批成功，双方再行签订补充合同进行约定，如审核不通过，则甲方书面通知乙方，视为双方合同终止，不再继续履行。</w:t>
      </w:r>
    </w:p>
    <w:p w14:paraId="29164187">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二、车辆检验鉴定范围</w:t>
      </w:r>
    </w:p>
    <w:p w14:paraId="6B4ABD2A">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温州市道理交通事故车辆及违法需鉴定的车辆，具体检测内容如下。</w:t>
      </w:r>
    </w:p>
    <w:tbl>
      <w:tblPr>
        <w:tblStyle w:val="53"/>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36"/>
        <w:gridCol w:w="1125"/>
        <w:gridCol w:w="831"/>
        <w:gridCol w:w="1701"/>
        <w:gridCol w:w="1636"/>
      </w:tblGrid>
      <w:tr w14:paraId="583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28C5B5F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序号</w:t>
            </w:r>
          </w:p>
        </w:tc>
        <w:tc>
          <w:tcPr>
            <w:tcW w:w="3736" w:type="dxa"/>
            <w:vAlign w:val="top"/>
          </w:tcPr>
          <w:p w14:paraId="689ADCB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鉴定项目名称</w:t>
            </w:r>
          </w:p>
        </w:tc>
        <w:tc>
          <w:tcPr>
            <w:tcW w:w="1125" w:type="dxa"/>
            <w:vAlign w:val="top"/>
          </w:tcPr>
          <w:p w14:paraId="1FCE256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计量单位</w:t>
            </w:r>
          </w:p>
        </w:tc>
        <w:tc>
          <w:tcPr>
            <w:tcW w:w="831" w:type="dxa"/>
            <w:vAlign w:val="top"/>
          </w:tcPr>
          <w:p w14:paraId="40D8681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数量</w:t>
            </w:r>
          </w:p>
        </w:tc>
        <w:tc>
          <w:tcPr>
            <w:tcW w:w="1701" w:type="dxa"/>
            <w:vAlign w:val="top"/>
          </w:tcPr>
          <w:p w14:paraId="7BC4F6E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预算单价（元）</w:t>
            </w:r>
          </w:p>
        </w:tc>
        <w:tc>
          <w:tcPr>
            <w:tcW w:w="1636" w:type="dxa"/>
            <w:vAlign w:val="top"/>
          </w:tcPr>
          <w:p w14:paraId="1297BC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备注</w:t>
            </w:r>
          </w:p>
        </w:tc>
      </w:tr>
      <w:tr w14:paraId="4A6A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EAE88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3736" w:type="dxa"/>
            <w:vAlign w:val="center"/>
          </w:tcPr>
          <w:p w14:paraId="60C589B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具有行驶能力的汽车类交通事故安全技术鉴定</w:t>
            </w:r>
          </w:p>
        </w:tc>
        <w:tc>
          <w:tcPr>
            <w:tcW w:w="1125" w:type="dxa"/>
            <w:vAlign w:val="center"/>
          </w:tcPr>
          <w:p w14:paraId="6036AB2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62A01F4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48AD780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380</w:t>
            </w:r>
          </w:p>
        </w:tc>
        <w:tc>
          <w:tcPr>
            <w:tcW w:w="1636" w:type="dxa"/>
            <w:vAlign w:val="center"/>
          </w:tcPr>
          <w:p w14:paraId="28B8F70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5CB2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77BA7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2</w:t>
            </w:r>
          </w:p>
        </w:tc>
        <w:tc>
          <w:tcPr>
            <w:tcW w:w="3736" w:type="dxa"/>
            <w:vAlign w:val="center"/>
          </w:tcPr>
          <w:p w14:paraId="782CA6B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失去行驶能力的汽车类交通事故安全技术鉴定</w:t>
            </w:r>
          </w:p>
        </w:tc>
        <w:tc>
          <w:tcPr>
            <w:tcW w:w="1125" w:type="dxa"/>
            <w:vAlign w:val="center"/>
          </w:tcPr>
          <w:p w14:paraId="1D5215A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3E688E9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221C26D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380</w:t>
            </w:r>
          </w:p>
        </w:tc>
        <w:tc>
          <w:tcPr>
            <w:tcW w:w="1636" w:type="dxa"/>
            <w:vAlign w:val="center"/>
          </w:tcPr>
          <w:p w14:paraId="0FD3F34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包含拆检费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(新增）</w:t>
            </w:r>
          </w:p>
        </w:tc>
      </w:tr>
      <w:tr w14:paraId="74EF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F844D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3</w:t>
            </w:r>
          </w:p>
        </w:tc>
        <w:tc>
          <w:tcPr>
            <w:tcW w:w="3736" w:type="dxa"/>
            <w:vAlign w:val="center"/>
          </w:tcPr>
          <w:p w14:paraId="017150A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摩托车、二轮、三轮电动车、电动自行车交通事故安全技术鉴定</w:t>
            </w:r>
          </w:p>
        </w:tc>
        <w:tc>
          <w:tcPr>
            <w:tcW w:w="1125" w:type="dxa"/>
            <w:vAlign w:val="center"/>
          </w:tcPr>
          <w:p w14:paraId="0DCB3E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675B8DA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523F649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200</w:t>
            </w:r>
          </w:p>
        </w:tc>
        <w:tc>
          <w:tcPr>
            <w:tcW w:w="1636" w:type="dxa"/>
            <w:vAlign w:val="center"/>
          </w:tcPr>
          <w:p w14:paraId="0B67377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不含类型鉴定</w:t>
            </w:r>
          </w:p>
        </w:tc>
      </w:tr>
      <w:tr w14:paraId="67A8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14:paraId="1FE11F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4</w:t>
            </w:r>
          </w:p>
        </w:tc>
        <w:tc>
          <w:tcPr>
            <w:tcW w:w="3736" w:type="dxa"/>
            <w:vAlign w:val="center"/>
          </w:tcPr>
          <w:p w14:paraId="16E31FE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车辆类型鉴定</w:t>
            </w:r>
          </w:p>
        </w:tc>
        <w:tc>
          <w:tcPr>
            <w:tcW w:w="1125" w:type="dxa"/>
            <w:vAlign w:val="center"/>
          </w:tcPr>
          <w:p w14:paraId="52CCFE9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6ABA22B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0313CA8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200</w:t>
            </w:r>
          </w:p>
        </w:tc>
        <w:tc>
          <w:tcPr>
            <w:tcW w:w="1636" w:type="dxa"/>
            <w:vAlign w:val="center"/>
          </w:tcPr>
          <w:p w14:paraId="1A7CA16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3DD0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vAlign w:val="center"/>
          </w:tcPr>
          <w:p w14:paraId="02D4B8A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5</w:t>
            </w:r>
          </w:p>
        </w:tc>
        <w:tc>
          <w:tcPr>
            <w:tcW w:w="3736" w:type="dxa"/>
            <w:vAlign w:val="center"/>
          </w:tcPr>
          <w:p w14:paraId="32D4258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自行车、人力三轮车</w:t>
            </w:r>
          </w:p>
        </w:tc>
        <w:tc>
          <w:tcPr>
            <w:tcW w:w="1125" w:type="dxa"/>
            <w:vAlign w:val="center"/>
          </w:tcPr>
          <w:p w14:paraId="61094ED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2B5EAF3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1B7EBE8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100</w:t>
            </w:r>
          </w:p>
        </w:tc>
        <w:tc>
          <w:tcPr>
            <w:tcW w:w="1636" w:type="dxa"/>
            <w:vAlign w:val="center"/>
          </w:tcPr>
          <w:p w14:paraId="0352F53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4BAB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B229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6</w:t>
            </w:r>
          </w:p>
        </w:tc>
        <w:tc>
          <w:tcPr>
            <w:tcW w:w="3736" w:type="dxa"/>
            <w:vAlign w:val="center"/>
          </w:tcPr>
          <w:p w14:paraId="326D356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汽车套牌车辆鉴定</w:t>
            </w:r>
          </w:p>
        </w:tc>
        <w:tc>
          <w:tcPr>
            <w:tcW w:w="1125" w:type="dxa"/>
            <w:vAlign w:val="center"/>
          </w:tcPr>
          <w:p w14:paraId="53154C6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2703E9A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7DBDCC6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1500</w:t>
            </w:r>
          </w:p>
        </w:tc>
        <w:tc>
          <w:tcPr>
            <w:tcW w:w="1636" w:type="dxa"/>
            <w:vAlign w:val="center"/>
          </w:tcPr>
          <w:p w14:paraId="4D21B5E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包括车辆唯一性鉴定</w:t>
            </w:r>
          </w:p>
        </w:tc>
      </w:tr>
      <w:tr w14:paraId="4AE3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7" w:type="dxa"/>
            <w:vAlign w:val="center"/>
          </w:tcPr>
          <w:p w14:paraId="503DAB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7</w:t>
            </w:r>
          </w:p>
        </w:tc>
        <w:tc>
          <w:tcPr>
            <w:tcW w:w="3736" w:type="dxa"/>
            <w:vAlign w:val="center"/>
          </w:tcPr>
          <w:p w14:paraId="3A63E3D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轮胎损坏原因鉴定</w:t>
            </w:r>
          </w:p>
        </w:tc>
        <w:tc>
          <w:tcPr>
            <w:tcW w:w="1125" w:type="dxa"/>
            <w:vAlign w:val="center"/>
          </w:tcPr>
          <w:p w14:paraId="20AB29B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只</w:t>
            </w:r>
          </w:p>
        </w:tc>
        <w:tc>
          <w:tcPr>
            <w:tcW w:w="831" w:type="dxa"/>
            <w:vAlign w:val="center"/>
          </w:tcPr>
          <w:p w14:paraId="1A88EB6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4E969A4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1000</w:t>
            </w:r>
          </w:p>
        </w:tc>
        <w:tc>
          <w:tcPr>
            <w:tcW w:w="1636" w:type="dxa"/>
            <w:vAlign w:val="center"/>
          </w:tcPr>
          <w:p w14:paraId="725C6FF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2FB9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vAlign w:val="center"/>
          </w:tcPr>
          <w:p w14:paraId="407DB9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8</w:t>
            </w:r>
          </w:p>
        </w:tc>
        <w:tc>
          <w:tcPr>
            <w:tcW w:w="3736" w:type="dxa"/>
            <w:vAlign w:val="center"/>
          </w:tcPr>
          <w:p w14:paraId="3987EF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车速鉴定</w:t>
            </w:r>
          </w:p>
        </w:tc>
        <w:tc>
          <w:tcPr>
            <w:tcW w:w="1125" w:type="dxa"/>
            <w:vAlign w:val="center"/>
          </w:tcPr>
          <w:p w14:paraId="4241D18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2BC94E8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3EDCFFB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3000</w:t>
            </w:r>
          </w:p>
        </w:tc>
        <w:tc>
          <w:tcPr>
            <w:tcW w:w="1636" w:type="dxa"/>
            <w:vAlign w:val="center"/>
          </w:tcPr>
          <w:p w14:paraId="449D31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r>
      <w:tr w14:paraId="20E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D16C6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9</w:t>
            </w:r>
          </w:p>
        </w:tc>
        <w:tc>
          <w:tcPr>
            <w:tcW w:w="3736" w:type="dxa"/>
            <w:vAlign w:val="center"/>
          </w:tcPr>
          <w:p w14:paraId="7544AB7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交通事故痕迹鉴定</w:t>
            </w:r>
          </w:p>
        </w:tc>
        <w:tc>
          <w:tcPr>
            <w:tcW w:w="1125" w:type="dxa"/>
            <w:vAlign w:val="center"/>
          </w:tcPr>
          <w:p w14:paraId="13C8935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辆</w:t>
            </w:r>
          </w:p>
        </w:tc>
        <w:tc>
          <w:tcPr>
            <w:tcW w:w="831" w:type="dxa"/>
            <w:vAlign w:val="center"/>
          </w:tcPr>
          <w:p w14:paraId="6488386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6A45101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1450</w:t>
            </w:r>
          </w:p>
        </w:tc>
        <w:tc>
          <w:tcPr>
            <w:tcW w:w="1636" w:type="dxa"/>
            <w:vAlign w:val="center"/>
          </w:tcPr>
          <w:p w14:paraId="121BAA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包括是否改装鉴定，不包括微量鉴定</w:t>
            </w:r>
          </w:p>
        </w:tc>
      </w:tr>
      <w:tr w14:paraId="38C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7" w:type="dxa"/>
            <w:vAlign w:val="center"/>
          </w:tcPr>
          <w:p w14:paraId="2807A46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10</w:t>
            </w:r>
          </w:p>
        </w:tc>
        <w:tc>
          <w:tcPr>
            <w:tcW w:w="3736" w:type="dxa"/>
            <w:vAlign w:val="center"/>
          </w:tcPr>
          <w:p w14:paraId="3C1477D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highlight w:val="none"/>
              </w:rPr>
              <w:t>信号灯状态鉴定</w:t>
            </w:r>
          </w:p>
        </w:tc>
        <w:tc>
          <w:tcPr>
            <w:tcW w:w="1125" w:type="dxa"/>
            <w:vAlign w:val="center"/>
          </w:tcPr>
          <w:p w14:paraId="1E2D3E1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辆</w:t>
            </w:r>
          </w:p>
        </w:tc>
        <w:tc>
          <w:tcPr>
            <w:tcW w:w="831" w:type="dxa"/>
            <w:vAlign w:val="center"/>
          </w:tcPr>
          <w:p w14:paraId="6A24846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highlight w:val="none"/>
              </w:rPr>
              <w:t>1</w:t>
            </w:r>
          </w:p>
        </w:tc>
        <w:tc>
          <w:tcPr>
            <w:tcW w:w="1701" w:type="dxa"/>
            <w:vAlign w:val="center"/>
          </w:tcPr>
          <w:p w14:paraId="3A14FA3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3000</w:t>
            </w:r>
          </w:p>
        </w:tc>
        <w:tc>
          <w:tcPr>
            <w:tcW w:w="1636" w:type="dxa"/>
            <w:vAlign w:val="center"/>
          </w:tcPr>
          <w:p w14:paraId="32E86D8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p>
        </w:tc>
      </w:tr>
      <w:tr w14:paraId="61B6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14:paraId="4FE609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r>
              <w:rPr>
                <w:rFonts w:hint="eastAsia" w:ascii="Times New Roman" w:hAnsi="Times New Roman" w:eastAsia="宋体" w:cs="Times New Roman"/>
                <w:color w:val="auto"/>
                <w:kern w:val="0"/>
                <w:sz w:val="22"/>
                <w:highlight w:val="none"/>
              </w:rPr>
              <w:t>1</w:t>
            </w:r>
          </w:p>
        </w:tc>
        <w:tc>
          <w:tcPr>
            <w:tcW w:w="3736" w:type="dxa"/>
            <w:vAlign w:val="center"/>
          </w:tcPr>
          <w:p w14:paraId="2E6D8B9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车辆起火原因鉴定</w:t>
            </w:r>
          </w:p>
        </w:tc>
        <w:tc>
          <w:tcPr>
            <w:tcW w:w="1125" w:type="dxa"/>
            <w:vAlign w:val="center"/>
          </w:tcPr>
          <w:p w14:paraId="491490F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辆</w:t>
            </w:r>
          </w:p>
        </w:tc>
        <w:tc>
          <w:tcPr>
            <w:tcW w:w="831" w:type="dxa"/>
            <w:vAlign w:val="center"/>
          </w:tcPr>
          <w:p w14:paraId="115C573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1</w:t>
            </w:r>
          </w:p>
        </w:tc>
        <w:tc>
          <w:tcPr>
            <w:tcW w:w="1701" w:type="dxa"/>
            <w:vAlign w:val="center"/>
          </w:tcPr>
          <w:p w14:paraId="097BF19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highlight w:val="none"/>
                <w:lang w:val="en-US" w:eastAsia="zh-CN"/>
              </w:rPr>
              <w:t>4000</w:t>
            </w:r>
          </w:p>
        </w:tc>
        <w:tc>
          <w:tcPr>
            <w:tcW w:w="1636" w:type="dxa"/>
            <w:vAlign w:val="center"/>
          </w:tcPr>
          <w:p w14:paraId="50BFAB4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　</w:t>
            </w:r>
          </w:p>
        </w:tc>
      </w:tr>
      <w:tr w14:paraId="05ED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846" w:type="dxa"/>
            <w:gridSpan w:val="6"/>
            <w:vAlign w:val="top"/>
          </w:tcPr>
          <w:p w14:paraId="43F1A48A">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说明</w:t>
            </w:r>
            <w:r>
              <w:rPr>
                <w:rFonts w:hint="default" w:ascii="Times New Roman" w:hAnsi="Times New Roman" w:eastAsia="宋体" w:cs="Times New Roman"/>
                <w:color w:val="auto"/>
                <w:sz w:val="22"/>
                <w:szCs w:val="22"/>
                <w:highlight w:val="none"/>
              </w:rPr>
              <w:t>：</w:t>
            </w:r>
            <w:r>
              <w:rPr>
                <w:rFonts w:ascii="Times New Roman" w:hAnsi="Times New Roman" w:eastAsia="宋体" w:cs="Times New Roman"/>
                <w:color w:val="auto"/>
                <w:kern w:val="0"/>
                <w:sz w:val="22"/>
                <w:highlight w:val="none"/>
              </w:rPr>
              <w:t>1</w:t>
            </w:r>
            <w:r>
              <w:rPr>
                <w:rFonts w:hint="eastAsia" w:ascii="宋体" w:hAnsi="宋体" w:eastAsia="宋体" w:cs="Times New Roman"/>
                <w:color w:val="auto"/>
                <w:kern w:val="0"/>
                <w:sz w:val="22"/>
                <w:highlight w:val="none"/>
              </w:rPr>
              <w:t>、汽车类包括汽车及汽车列车、轮式专用机械车、挂车、特型机动车和上道路行驶拖拉机。</w:t>
            </w:r>
          </w:p>
          <w:p w14:paraId="71D34C92">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 xml:space="preserve">      </w:t>
            </w:r>
            <w:r>
              <w:rPr>
                <w:rFonts w:ascii="Times New Roman" w:hAnsi="Times New Roman" w:eastAsia="宋体" w:cs="Times New Roman"/>
                <w:color w:val="auto"/>
                <w:kern w:val="0"/>
                <w:sz w:val="22"/>
                <w:highlight w:val="none"/>
              </w:rPr>
              <w:t>2</w:t>
            </w:r>
            <w:r>
              <w:rPr>
                <w:rFonts w:hint="eastAsia" w:ascii="宋体" w:hAnsi="宋体" w:eastAsia="宋体" w:cs="Times New Roman"/>
                <w:color w:val="auto"/>
                <w:kern w:val="0"/>
                <w:sz w:val="22"/>
                <w:highlight w:val="none"/>
              </w:rPr>
              <w:t>、涉及疑难、复杂鉴定，双方协商确定。</w:t>
            </w:r>
          </w:p>
        </w:tc>
      </w:tr>
    </w:tbl>
    <w:p w14:paraId="48070FCF">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三、车辆项目鉴定技术要求</w:t>
      </w:r>
    </w:p>
    <w:tbl>
      <w:tblPr>
        <w:tblStyle w:val="52"/>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1"/>
        <w:gridCol w:w="1665"/>
        <w:gridCol w:w="1725"/>
        <w:gridCol w:w="5850"/>
      </w:tblGrid>
      <w:tr w14:paraId="5EE9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37D10B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序号</w:t>
            </w:r>
          </w:p>
        </w:tc>
        <w:tc>
          <w:tcPr>
            <w:tcW w:w="3390" w:type="dxa"/>
            <w:gridSpan w:val="2"/>
            <w:tcBorders>
              <w:tl2br w:val="nil"/>
              <w:tr2bl w:val="nil"/>
            </w:tcBorders>
            <w:shd w:val="clear" w:color="auto" w:fill="auto"/>
            <w:vAlign w:val="center"/>
          </w:tcPr>
          <w:p w14:paraId="02C63FA6">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鉴定项目名称</w:t>
            </w:r>
          </w:p>
        </w:tc>
        <w:tc>
          <w:tcPr>
            <w:tcW w:w="5850" w:type="dxa"/>
            <w:tcBorders>
              <w:tl2br w:val="nil"/>
              <w:tr2bl w:val="nil"/>
            </w:tcBorders>
            <w:shd w:val="clear" w:color="auto" w:fill="auto"/>
            <w:vAlign w:val="center"/>
          </w:tcPr>
          <w:p w14:paraId="404B27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车辆项目鉴定技术要求</w:t>
            </w:r>
          </w:p>
        </w:tc>
      </w:tr>
      <w:tr w14:paraId="2957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restart"/>
            <w:tcBorders>
              <w:tl2br w:val="nil"/>
              <w:tr2bl w:val="nil"/>
            </w:tcBorders>
            <w:shd w:val="clear" w:color="auto" w:fill="auto"/>
            <w:vAlign w:val="center"/>
          </w:tcPr>
          <w:p w14:paraId="527C67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1</w:t>
            </w:r>
          </w:p>
        </w:tc>
        <w:tc>
          <w:tcPr>
            <w:tcW w:w="1665" w:type="dxa"/>
            <w:vMerge w:val="restart"/>
            <w:tcBorders>
              <w:tl2br w:val="nil"/>
              <w:tr2bl w:val="nil"/>
            </w:tcBorders>
            <w:shd w:val="clear" w:color="auto" w:fill="auto"/>
            <w:vAlign w:val="center"/>
          </w:tcPr>
          <w:p w14:paraId="2A4B3C5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具有行驶能力的汽车类交通交通事故安全技术鉴定</w:t>
            </w:r>
          </w:p>
        </w:tc>
        <w:tc>
          <w:tcPr>
            <w:tcW w:w="1725" w:type="dxa"/>
            <w:tcBorders>
              <w:tl2br w:val="nil"/>
              <w:tr2bl w:val="nil"/>
            </w:tcBorders>
            <w:shd w:val="clear" w:color="auto" w:fill="auto"/>
            <w:vAlign w:val="center"/>
          </w:tcPr>
          <w:p w14:paraId="2D5E24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汽车</w:t>
            </w:r>
          </w:p>
        </w:tc>
        <w:tc>
          <w:tcPr>
            <w:tcW w:w="5850" w:type="dxa"/>
            <w:vMerge w:val="restart"/>
            <w:tcBorders>
              <w:tl2br w:val="nil"/>
              <w:tr2bl w:val="nil"/>
            </w:tcBorders>
            <w:shd w:val="clear" w:color="auto" w:fill="auto"/>
            <w:vAlign w:val="center"/>
          </w:tcPr>
          <w:p w14:paraId="47AA15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根据具体鉴定对象及委托要求，选择以下部分标准和规范进行鉴定：SF/T 0072-2020《道路交通事故痕迹物证鉴定通用规范》、GA/T 642-2020《道路交通事故车辆安全技术检验鉴定》、GB 7258-2017《机动车运行安全技术条件》、GB 38900-2020《机动车安全技术检验项目和方法》、GB/T 18344-2016《汽车维护、检测、诊断技术规范》、GB 11567-2017《汽车及挂车侧面和后下部防护要求》、GB 15084-20</w:t>
            </w:r>
            <w:r>
              <w:rPr>
                <w:rFonts w:hint="eastAsia" w:eastAsia="新宋体" w:cs="Times New Roman"/>
                <w:i w:val="0"/>
                <w:color w:val="auto"/>
                <w:kern w:val="0"/>
                <w:sz w:val="22"/>
                <w:szCs w:val="22"/>
                <w:highlight w:val="none"/>
                <w:u w:val="none"/>
                <w:lang w:val="en-US" w:eastAsia="zh-CN" w:bidi="ar"/>
              </w:rPr>
              <w:t>22</w:t>
            </w:r>
            <w:r>
              <w:rPr>
                <w:rFonts w:hint="default" w:ascii="Times New Roman" w:hAnsi="Times New Roman" w:eastAsia="新宋体" w:cs="Times New Roman"/>
                <w:i w:val="0"/>
                <w:color w:val="auto"/>
                <w:kern w:val="0"/>
                <w:sz w:val="22"/>
                <w:szCs w:val="22"/>
                <w:highlight w:val="none"/>
                <w:u w:val="none"/>
                <w:lang w:val="en-US" w:eastAsia="zh-CN" w:bidi="ar"/>
              </w:rPr>
              <w:t>《机动车辆 间接视野装置性能和安装要求》、GB 23254－2009《货车及挂车  车身反光标识》、GB 25990-2010《车辆尾部标志板》等。</w:t>
            </w:r>
          </w:p>
        </w:tc>
      </w:tr>
      <w:tr w14:paraId="542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15" w:hRule="atLeast"/>
          <w:jc w:val="center"/>
        </w:trPr>
        <w:tc>
          <w:tcPr>
            <w:tcW w:w="631" w:type="dxa"/>
            <w:vMerge w:val="continue"/>
            <w:tcBorders>
              <w:tl2br w:val="nil"/>
              <w:tr2bl w:val="nil"/>
            </w:tcBorders>
            <w:shd w:val="clear" w:color="auto" w:fill="auto"/>
            <w:vAlign w:val="center"/>
          </w:tcPr>
          <w:p w14:paraId="0D8D44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4018209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4BE5A14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汽车列车</w:t>
            </w:r>
          </w:p>
        </w:tc>
        <w:tc>
          <w:tcPr>
            <w:tcW w:w="5850" w:type="dxa"/>
            <w:vMerge w:val="continue"/>
            <w:tcBorders>
              <w:tl2br w:val="nil"/>
              <w:tr2bl w:val="nil"/>
            </w:tcBorders>
            <w:shd w:val="clear" w:color="auto" w:fill="auto"/>
            <w:vAlign w:val="center"/>
          </w:tcPr>
          <w:p w14:paraId="3C360E68">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eastAsia="新宋体" w:cs="Times New Roman"/>
                <w:i w:val="0"/>
                <w:color w:val="auto"/>
                <w:sz w:val="22"/>
                <w:szCs w:val="22"/>
                <w:highlight w:val="none"/>
                <w:u w:val="none"/>
              </w:rPr>
            </w:pPr>
          </w:p>
        </w:tc>
      </w:tr>
      <w:tr w14:paraId="59B4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85" w:hRule="atLeast"/>
          <w:jc w:val="center"/>
        </w:trPr>
        <w:tc>
          <w:tcPr>
            <w:tcW w:w="631" w:type="dxa"/>
            <w:vMerge w:val="continue"/>
            <w:tcBorders>
              <w:tl2br w:val="nil"/>
              <w:tr2bl w:val="nil"/>
            </w:tcBorders>
            <w:shd w:val="clear" w:color="auto" w:fill="auto"/>
            <w:vAlign w:val="center"/>
          </w:tcPr>
          <w:p w14:paraId="220DCA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2D2FDE04">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3E961A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轮式专用机械车</w:t>
            </w:r>
          </w:p>
        </w:tc>
        <w:tc>
          <w:tcPr>
            <w:tcW w:w="5850" w:type="dxa"/>
            <w:vMerge w:val="continue"/>
            <w:tcBorders>
              <w:tl2br w:val="nil"/>
              <w:tr2bl w:val="nil"/>
            </w:tcBorders>
            <w:shd w:val="clear" w:color="auto" w:fill="auto"/>
            <w:vAlign w:val="center"/>
          </w:tcPr>
          <w:p w14:paraId="42D1281B">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eastAsia="新宋体" w:cs="Times New Roman"/>
                <w:i w:val="0"/>
                <w:color w:val="auto"/>
                <w:sz w:val="22"/>
                <w:szCs w:val="22"/>
                <w:highlight w:val="none"/>
                <w:u w:val="none"/>
              </w:rPr>
            </w:pPr>
          </w:p>
        </w:tc>
      </w:tr>
      <w:tr w14:paraId="71A6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33" w:hRule="atLeast"/>
          <w:jc w:val="center"/>
        </w:trPr>
        <w:tc>
          <w:tcPr>
            <w:tcW w:w="631" w:type="dxa"/>
            <w:vMerge w:val="continue"/>
            <w:tcBorders>
              <w:tl2br w:val="nil"/>
              <w:tr2bl w:val="nil"/>
            </w:tcBorders>
            <w:shd w:val="clear" w:color="auto" w:fill="auto"/>
            <w:vAlign w:val="center"/>
          </w:tcPr>
          <w:p w14:paraId="2EE99D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3B057F5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318647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挂车</w:t>
            </w:r>
          </w:p>
        </w:tc>
        <w:tc>
          <w:tcPr>
            <w:tcW w:w="5850" w:type="dxa"/>
            <w:vMerge w:val="continue"/>
            <w:tcBorders>
              <w:tl2br w:val="nil"/>
              <w:tr2bl w:val="nil"/>
            </w:tcBorders>
            <w:shd w:val="clear" w:color="auto" w:fill="auto"/>
            <w:vAlign w:val="center"/>
          </w:tcPr>
          <w:p w14:paraId="58F9FE13">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eastAsia="新宋体" w:cs="Times New Roman"/>
                <w:i w:val="0"/>
                <w:color w:val="auto"/>
                <w:sz w:val="22"/>
                <w:szCs w:val="22"/>
                <w:highlight w:val="none"/>
                <w:u w:val="none"/>
              </w:rPr>
            </w:pPr>
          </w:p>
        </w:tc>
      </w:tr>
      <w:tr w14:paraId="3E25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8" w:hRule="atLeast"/>
          <w:jc w:val="center"/>
        </w:trPr>
        <w:tc>
          <w:tcPr>
            <w:tcW w:w="631" w:type="dxa"/>
            <w:vMerge w:val="continue"/>
            <w:tcBorders>
              <w:tl2br w:val="nil"/>
              <w:tr2bl w:val="nil"/>
            </w:tcBorders>
            <w:shd w:val="clear" w:color="auto" w:fill="auto"/>
            <w:vAlign w:val="center"/>
          </w:tcPr>
          <w:p w14:paraId="4B9804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5BDDD9DF">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72B5AC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特型机动车</w:t>
            </w:r>
          </w:p>
        </w:tc>
        <w:tc>
          <w:tcPr>
            <w:tcW w:w="5850" w:type="dxa"/>
            <w:vMerge w:val="continue"/>
            <w:tcBorders>
              <w:tl2br w:val="nil"/>
              <w:tr2bl w:val="nil"/>
            </w:tcBorders>
            <w:shd w:val="clear" w:color="auto" w:fill="auto"/>
            <w:vAlign w:val="center"/>
          </w:tcPr>
          <w:p w14:paraId="5237C0A2">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eastAsia="新宋体" w:cs="Times New Roman"/>
                <w:i w:val="0"/>
                <w:color w:val="auto"/>
                <w:sz w:val="22"/>
                <w:szCs w:val="22"/>
                <w:highlight w:val="none"/>
                <w:u w:val="none"/>
              </w:rPr>
            </w:pPr>
          </w:p>
        </w:tc>
      </w:tr>
      <w:tr w14:paraId="4BE2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2" w:hRule="atLeast"/>
          <w:jc w:val="center"/>
        </w:trPr>
        <w:tc>
          <w:tcPr>
            <w:tcW w:w="631" w:type="dxa"/>
            <w:vMerge w:val="continue"/>
            <w:tcBorders>
              <w:tl2br w:val="nil"/>
              <w:tr2bl w:val="nil"/>
            </w:tcBorders>
            <w:shd w:val="clear" w:color="auto" w:fill="auto"/>
            <w:vAlign w:val="center"/>
          </w:tcPr>
          <w:p w14:paraId="7D3FDD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100943E2">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5B9691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拖拉机</w:t>
            </w:r>
          </w:p>
        </w:tc>
        <w:tc>
          <w:tcPr>
            <w:tcW w:w="5850" w:type="dxa"/>
            <w:vMerge w:val="continue"/>
            <w:tcBorders>
              <w:tl2br w:val="nil"/>
              <w:tr2bl w:val="nil"/>
            </w:tcBorders>
            <w:shd w:val="clear" w:color="auto" w:fill="auto"/>
            <w:vAlign w:val="center"/>
          </w:tcPr>
          <w:p w14:paraId="29869ADF">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eastAsia="新宋体" w:cs="Times New Roman"/>
                <w:i w:val="0"/>
                <w:color w:val="auto"/>
                <w:sz w:val="22"/>
                <w:szCs w:val="22"/>
                <w:highlight w:val="none"/>
                <w:u w:val="none"/>
              </w:rPr>
            </w:pPr>
          </w:p>
        </w:tc>
      </w:tr>
      <w:tr w14:paraId="145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25" w:hRule="atLeast"/>
          <w:jc w:val="center"/>
        </w:trPr>
        <w:tc>
          <w:tcPr>
            <w:tcW w:w="631" w:type="dxa"/>
            <w:vMerge w:val="restart"/>
            <w:tcBorders>
              <w:tl2br w:val="nil"/>
              <w:tr2bl w:val="nil"/>
            </w:tcBorders>
            <w:shd w:val="clear" w:color="auto" w:fill="auto"/>
            <w:vAlign w:val="center"/>
          </w:tcPr>
          <w:p w14:paraId="257E31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2</w:t>
            </w:r>
          </w:p>
        </w:tc>
        <w:tc>
          <w:tcPr>
            <w:tcW w:w="1665" w:type="dxa"/>
            <w:vMerge w:val="restart"/>
            <w:tcBorders>
              <w:tl2br w:val="nil"/>
              <w:tr2bl w:val="nil"/>
            </w:tcBorders>
            <w:shd w:val="clear" w:color="auto" w:fill="auto"/>
            <w:vAlign w:val="center"/>
          </w:tcPr>
          <w:p w14:paraId="2DB6B2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失去行驶能力的汽车类交通交通事故安全技术鉴定</w:t>
            </w:r>
          </w:p>
        </w:tc>
        <w:tc>
          <w:tcPr>
            <w:tcW w:w="1725" w:type="dxa"/>
            <w:tcBorders>
              <w:tl2br w:val="nil"/>
              <w:tr2bl w:val="nil"/>
            </w:tcBorders>
            <w:shd w:val="clear" w:color="auto" w:fill="auto"/>
            <w:vAlign w:val="center"/>
          </w:tcPr>
          <w:p w14:paraId="1520DA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汽车</w:t>
            </w:r>
          </w:p>
        </w:tc>
        <w:tc>
          <w:tcPr>
            <w:tcW w:w="5850" w:type="dxa"/>
            <w:vMerge w:val="restart"/>
            <w:tcBorders>
              <w:tl2br w:val="nil"/>
              <w:tr2bl w:val="nil"/>
            </w:tcBorders>
            <w:shd w:val="clear" w:color="auto" w:fill="auto"/>
            <w:vAlign w:val="center"/>
          </w:tcPr>
          <w:p w14:paraId="697A11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根据具体鉴定对象及委托要求，选择以下部分标准和规范进行鉴定：SF/T 0072-2020《道路交通事故痕迹物证鉴定通用规范》、GA/T 642-2020《道路交通事故车辆安全技术检验鉴定》、GB 7258-2017《机动车运行安全技术条件》、GB 38900-2020《机动车安全技术检验项目和方法》、GB/T 18344-2016《汽车维护、检测、诊断技术规范》、GB 11567-2017《汽车及挂车侧面和后下部防护要求》、GB 15084-20</w:t>
            </w:r>
            <w:r>
              <w:rPr>
                <w:rFonts w:hint="eastAsia" w:eastAsia="新宋体" w:cs="Times New Roman"/>
                <w:i w:val="0"/>
                <w:color w:val="auto"/>
                <w:kern w:val="0"/>
                <w:sz w:val="22"/>
                <w:szCs w:val="22"/>
                <w:highlight w:val="none"/>
                <w:u w:val="none"/>
                <w:lang w:val="en-US" w:eastAsia="zh-CN" w:bidi="ar"/>
              </w:rPr>
              <w:t>22</w:t>
            </w:r>
            <w:r>
              <w:rPr>
                <w:rFonts w:hint="default" w:ascii="Times New Roman" w:hAnsi="Times New Roman" w:eastAsia="新宋体" w:cs="Times New Roman"/>
                <w:i w:val="0"/>
                <w:color w:val="auto"/>
                <w:kern w:val="0"/>
                <w:sz w:val="22"/>
                <w:szCs w:val="22"/>
                <w:highlight w:val="none"/>
                <w:u w:val="none"/>
                <w:lang w:val="en-US" w:eastAsia="zh-CN" w:bidi="ar"/>
              </w:rPr>
              <w:t>《机动车辆 间接视野装置性能和安装要求》、GB 23254－2009《货车及挂车  车身反光标识》、GB 25990-2010《车辆尾部标志板》等。</w:t>
            </w:r>
          </w:p>
        </w:tc>
      </w:tr>
      <w:tr w14:paraId="55DC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8" w:hRule="atLeast"/>
          <w:jc w:val="center"/>
        </w:trPr>
        <w:tc>
          <w:tcPr>
            <w:tcW w:w="631" w:type="dxa"/>
            <w:vMerge w:val="continue"/>
            <w:tcBorders>
              <w:tl2br w:val="nil"/>
              <w:tr2bl w:val="nil"/>
            </w:tcBorders>
            <w:shd w:val="clear" w:color="auto" w:fill="auto"/>
            <w:vAlign w:val="center"/>
          </w:tcPr>
          <w:p w14:paraId="51F6A1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24F26FFA">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7B5FE7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汽车列车</w:t>
            </w:r>
          </w:p>
        </w:tc>
        <w:tc>
          <w:tcPr>
            <w:tcW w:w="5850" w:type="dxa"/>
            <w:vMerge w:val="continue"/>
            <w:tcBorders>
              <w:tl2br w:val="nil"/>
              <w:tr2bl w:val="nil"/>
            </w:tcBorders>
            <w:shd w:val="clear" w:color="auto" w:fill="auto"/>
            <w:vAlign w:val="center"/>
          </w:tcPr>
          <w:p w14:paraId="49E5C330">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113B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50" w:hRule="atLeast"/>
          <w:jc w:val="center"/>
        </w:trPr>
        <w:tc>
          <w:tcPr>
            <w:tcW w:w="631" w:type="dxa"/>
            <w:vMerge w:val="continue"/>
            <w:tcBorders>
              <w:tl2br w:val="nil"/>
              <w:tr2bl w:val="nil"/>
            </w:tcBorders>
            <w:shd w:val="clear" w:color="auto" w:fill="auto"/>
            <w:vAlign w:val="center"/>
          </w:tcPr>
          <w:p w14:paraId="62DE8A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2564129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1FC649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轮式专用机械车</w:t>
            </w:r>
          </w:p>
        </w:tc>
        <w:tc>
          <w:tcPr>
            <w:tcW w:w="5850" w:type="dxa"/>
            <w:vMerge w:val="continue"/>
            <w:tcBorders>
              <w:tl2br w:val="nil"/>
              <w:tr2bl w:val="nil"/>
            </w:tcBorders>
            <w:shd w:val="clear" w:color="auto" w:fill="auto"/>
            <w:vAlign w:val="center"/>
          </w:tcPr>
          <w:p w14:paraId="2C6CE1E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51DF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76" w:hRule="atLeast"/>
          <w:jc w:val="center"/>
        </w:trPr>
        <w:tc>
          <w:tcPr>
            <w:tcW w:w="631" w:type="dxa"/>
            <w:vMerge w:val="continue"/>
            <w:tcBorders>
              <w:tl2br w:val="nil"/>
              <w:tr2bl w:val="nil"/>
            </w:tcBorders>
            <w:shd w:val="clear" w:color="auto" w:fill="auto"/>
            <w:vAlign w:val="center"/>
          </w:tcPr>
          <w:p w14:paraId="16E8BC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051ADDD8">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7BCC12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挂车</w:t>
            </w:r>
          </w:p>
        </w:tc>
        <w:tc>
          <w:tcPr>
            <w:tcW w:w="5850" w:type="dxa"/>
            <w:vMerge w:val="continue"/>
            <w:tcBorders>
              <w:tl2br w:val="nil"/>
              <w:tr2bl w:val="nil"/>
            </w:tcBorders>
            <w:shd w:val="clear" w:color="auto" w:fill="auto"/>
            <w:vAlign w:val="center"/>
          </w:tcPr>
          <w:p w14:paraId="1BE29588">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4C70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3" w:hRule="atLeast"/>
          <w:jc w:val="center"/>
        </w:trPr>
        <w:tc>
          <w:tcPr>
            <w:tcW w:w="631" w:type="dxa"/>
            <w:vMerge w:val="continue"/>
            <w:tcBorders>
              <w:tl2br w:val="nil"/>
              <w:tr2bl w:val="nil"/>
            </w:tcBorders>
            <w:shd w:val="clear" w:color="auto" w:fill="auto"/>
            <w:vAlign w:val="center"/>
          </w:tcPr>
          <w:p w14:paraId="51FD11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087C3D6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2EE8D8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特型机动车</w:t>
            </w:r>
          </w:p>
        </w:tc>
        <w:tc>
          <w:tcPr>
            <w:tcW w:w="5850" w:type="dxa"/>
            <w:vMerge w:val="continue"/>
            <w:tcBorders>
              <w:tl2br w:val="nil"/>
              <w:tr2bl w:val="nil"/>
            </w:tcBorders>
            <w:shd w:val="clear" w:color="auto" w:fill="auto"/>
            <w:vAlign w:val="center"/>
          </w:tcPr>
          <w:p w14:paraId="5C59A9A9">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1ED1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2" w:hRule="atLeast"/>
          <w:jc w:val="center"/>
        </w:trPr>
        <w:tc>
          <w:tcPr>
            <w:tcW w:w="631" w:type="dxa"/>
            <w:vMerge w:val="continue"/>
            <w:tcBorders>
              <w:tl2br w:val="nil"/>
              <w:tr2bl w:val="nil"/>
            </w:tcBorders>
            <w:shd w:val="clear" w:color="auto" w:fill="auto"/>
            <w:vAlign w:val="center"/>
          </w:tcPr>
          <w:p w14:paraId="6918B3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690CBDB1">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400F34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拖拉机</w:t>
            </w:r>
          </w:p>
        </w:tc>
        <w:tc>
          <w:tcPr>
            <w:tcW w:w="5850" w:type="dxa"/>
            <w:vMerge w:val="continue"/>
            <w:tcBorders>
              <w:tl2br w:val="nil"/>
              <w:tr2bl w:val="nil"/>
            </w:tcBorders>
            <w:shd w:val="clear" w:color="auto" w:fill="auto"/>
            <w:vAlign w:val="center"/>
          </w:tcPr>
          <w:p w14:paraId="2B05BB72">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180E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restart"/>
            <w:tcBorders>
              <w:tl2br w:val="nil"/>
              <w:tr2bl w:val="nil"/>
            </w:tcBorders>
            <w:shd w:val="clear" w:color="auto" w:fill="auto"/>
            <w:vAlign w:val="center"/>
          </w:tcPr>
          <w:p w14:paraId="790BE6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新宋体" w:cs="Times New Roman"/>
                <w:i w:val="0"/>
                <w:color w:val="auto"/>
                <w:sz w:val="22"/>
                <w:szCs w:val="22"/>
                <w:highlight w:val="none"/>
                <w:u w:val="none"/>
                <w:lang w:val="en-US" w:eastAsia="zh-CN"/>
              </w:rPr>
            </w:pPr>
            <w:r>
              <w:rPr>
                <w:rFonts w:hint="eastAsia" w:ascii="Times New Roman" w:hAnsi="Times New Roman" w:eastAsia="新宋体" w:cs="Times New Roman"/>
                <w:i w:val="0"/>
                <w:color w:val="auto"/>
                <w:sz w:val="22"/>
                <w:szCs w:val="22"/>
                <w:highlight w:val="none"/>
                <w:u w:val="none"/>
                <w:lang w:val="en-US" w:eastAsia="zh-CN"/>
              </w:rPr>
              <w:t>3</w:t>
            </w:r>
          </w:p>
        </w:tc>
        <w:tc>
          <w:tcPr>
            <w:tcW w:w="1665" w:type="dxa"/>
            <w:vMerge w:val="restart"/>
            <w:tcBorders>
              <w:tl2br w:val="nil"/>
              <w:tr2bl w:val="nil"/>
            </w:tcBorders>
            <w:shd w:val="clear" w:color="auto" w:fill="auto"/>
            <w:vAlign w:val="center"/>
          </w:tcPr>
          <w:p w14:paraId="490D2AC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摩托车、二轮、三轮电动车、电动自行车交通事故安全技术鉴定</w:t>
            </w:r>
          </w:p>
        </w:tc>
        <w:tc>
          <w:tcPr>
            <w:tcW w:w="1725" w:type="dxa"/>
            <w:tcBorders>
              <w:tl2br w:val="nil"/>
              <w:tr2bl w:val="nil"/>
            </w:tcBorders>
            <w:shd w:val="clear" w:color="auto" w:fill="auto"/>
            <w:vAlign w:val="center"/>
          </w:tcPr>
          <w:p w14:paraId="736E64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摩托车</w:t>
            </w:r>
          </w:p>
        </w:tc>
        <w:tc>
          <w:tcPr>
            <w:tcW w:w="5850" w:type="dxa"/>
            <w:vMerge w:val="restart"/>
            <w:tcBorders>
              <w:tl2br w:val="nil"/>
              <w:tr2bl w:val="nil"/>
            </w:tcBorders>
            <w:shd w:val="clear" w:color="auto" w:fill="auto"/>
            <w:vAlign w:val="center"/>
          </w:tcPr>
          <w:p w14:paraId="206C99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根据具体鉴定对象及委托要求，选择以下部分标准和规范进行鉴定：SF/T 0072-2020《道路交通事故痕迹物证鉴定通用规范》、GA/T 642-2020《道路交通事故车辆安全技术检验鉴定》、GB 7258-2017《机动车运行安全技术条件》、GB 38900-2020《机动车安全技术检验项目和方法》、GB 17761-2018《电动自行车安全技术规范》等。</w:t>
            </w:r>
          </w:p>
        </w:tc>
      </w:tr>
      <w:tr w14:paraId="5195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38B1D2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100E0258">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44EC81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二轮燃油车辆</w:t>
            </w:r>
          </w:p>
        </w:tc>
        <w:tc>
          <w:tcPr>
            <w:tcW w:w="5850" w:type="dxa"/>
            <w:vMerge w:val="continue"/>
            <w:tcBorders>
              <w:tl2br w:val="nil"/>
              <w:tr2bl w:val="nil"/>
            </w:tcBorders>
            <w:shd w:val="clear" w:color="auto" w:fill="auto"/>
            <w:vAlign w:val="center"/>
          </w:tcPr>
          <w:p w14:paraId="264D7EB6">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2E9F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46B289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25CD2255">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4519BA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三轮燃油车辆</w:t>
            </w:r>
          </w:p>
        </w:tc>
        <w:tc>
          <w:tcPr>
            <w:tcW w:w="5850" w:type="dxa"/>
            <w:vMerge w:val="continue"/>
            <w:tcBorders>
              <w:tl2br w:val="nil"/>
              <w:tr2bl w:val="nil"/>
            </w:tcBorders>
            <w:shd w:val="clear" w:color="auto" w:fill="auto"/>
            <w:vAlign w:val="center"/>
          </w:tcPr>
          <w:p w14:paraId="3286B65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101C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399776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7535CE5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7B77B9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二轮电动车</w:t>
            </w:r>
          </w:p>
        </w:tc>
        <w:tc>
          <w:tcPr>
            <w:tcW w:w="5850" w:type="dxa"/>
            <w:vMerge w:val="continue"/>
            <w:tcBorders>
              <w:tl2br w:val="nil"/>
              <w:tr2bl w:val="nil"/>
            </w:tcBorders>
            <w:shd w:val="clear" w:color="auto" w:fill="auto"/>
            <w:vAlign w:val="center"/>
          </w:tcPr>
          <w:p w14:paraId="7E25CEE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40BD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631" w:type="dxa"/>
            <w:vMerge w:val="continue"/>
            <w:tcBorders>
              <w:tl2br w:val="nil"/>
              <w:tr2bl w:val="nil"/>
            </w:tcBorders>
            <w:shd w:val="clear" w:color="auto" w:fill="auto"/>
            <w:vAlign w:val="center"/>
          </w:tcPr>
          <w:p w14:paraId="250D13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6269A2FF">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2FBDDE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三轮电动车</w:t>
            </w:r>
          </w:p>
        </w:tc>
        <w:tc>
          <w:tcPr>
            <w:tcW w:w="5850" w:type="dxa"/>
            <w:vMerge w:val="continue"/>
            <w:tcBorders>
              <w:tl2br w:val="nil"/>
              <w:tr2bl w:val="nil"/>
            </w:tcBorders>
            <w:shd w:val="clear" w:color="auto" w:fill="auto"/>
            <w:vAlign w:val="center"/>
          </w:tcPr>
          <w:p w14:paraId="3C11CB0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35C6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restart"/>
            <w:tcBorders>
              <w:tl2br w:val="nil"/>
              <w:tr2bl w:val="nil"/>
            </w:tcBorders>
            <w:shd w:val="clear" w:color="auto" w:fill="auto"/>
            <w:vAlign w:val="center"/>
          </w:tcPr>
          <w:p w14:paraId="315626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4</w:t>
            </w:r>
          </w:p>
        </w:tc>
        <w:tc>
          <w:tcPr>
            <w:tcW w:w="1665" w:type="dxa"/>
            <w:vMerge w:val="restart"/>
            <w:tcBorders>
              <w:tl2br w:val="nil"/>
              <w:tr2bl w:val="nil"/>
            </w:tcBorders>
            <w:shd w:val="clear" w:color="auto" w:fill="auto"/>
            <w:vAlign w:val="center"/>
          </w:tcPr>
          <w:p w14:paraId="6A0FB4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车辆类型鉴定</w:t>
            </w:r>
          </w:p>
        </w:tc>
        <w:tc>
          <w:tcPr>
            <w:tcW w:w="1725" w:type="dxa"/>
            <w:tcBorders>
              <w:tl2br w:val="nil"/>
              <w:tr2bl w:val="nil"/>
            </w:tcBorders>
            <w:shd w:val="clear" w:color="auto" w:fill="auto"/>
            <w:vAlign w:val="center"/>
          </w:tcPr>
          <w:p w14:paraId="60ED0F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二轮燃油车辆</w:t>
            </w:r>
          </w:p>
        </w:tc>
        <w:tc>
          <w:tcPr>
            <w:tcW w:w="5850" w:type="dxa"/>
            <w:vMerge w:val="restart"/>
            <w:tcBorders>
              <w:tl2br w:val="nil"/>
              <w:tr2bl w:val="nil"/>
            </w:tcBorders>
            <w:shd w:val="clear" w:color="auto" w:fill="auto"/>
            <w:vAlign w:val="center"/>
          </w:tcPr>
          <w:p w14:paraId="3BA929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根据具体鉴定对象及委托要求，选择以下部分标准和规范进行鉴定：SF/T 0072-2020《道路交通事故痕迹物证鉴定通用规范》、GB 7258-2017《机动车运行安全技术条件》、GB 38900-2020《机动车安全技术检验项目和方法》、GB 17761-2018《电动自行车安全技术规范》、GA 802-2019《道路交通管理 机动车类型》、GB 12995-2006《机动轮椅车》、GB/T 12996-2012《电动轮椅车》、GB/T5359.1-2019《摩托车和轻便摩托车术语 第1部分：车辆类型》、《中华人民共和国道路交通安全法》等。</w:t>
            </w:r>
          </w:p>
        </w:tc>
      </w:tr>
      <w:tr w14:paraId="21F4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169D8D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66ED422A">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69A996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三轮燃油车辆</w:t>
            </w:r>
          </w:p>
        </w:tc>
        <w:tc>
          <w:tcPr>
            <w:tcW w:w="5850" w:type="dxa"/>
            <w:vMerge w:val="continue"/>
            <w:tcBorders>
              <w:tl2br w:val="nil"/>
              <w:tr2bl w:val="nil"/>
            </w:tcBorders>
            <w:shd w:val="clear" w:color="auto" w:fill="auto"/>
            <w:vAlign w:val="center"/>
          </w:tcPr>
          <w:p w14:paraId="044FE36D">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0A7F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0ABCE3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423C5E7F">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652504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二轮电动车</w:t>
            </w:r>
          </w:p>
        </w:tc>
        <w:tc>
          <w:tcPr>
            <w:tcW w:w="5850" w:type="dxa"/>
            <w:vMerge w:val="continue"/>
            <w:tcBorders>
              <w:tl2br w:val="nil"/>
              <w:tr2bl w:val="nil"/>
            </w:tcBorders>
            <w:shd w:val="clear" w:color="auto" w:fill="auto"/>
            <w:vAlign w:val="center"/>
          </w:tcPr>
          <w:p w14:paraId="1D12074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6E04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70E024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2B7B0E1B">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1AB101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三轮电动车</w:t>
            </w:r>
          </w:p>
        </w:tc>
        <w:tc>
          <w:tcPr>
            <w:tcW w:w="5850" w:type="dxa"/>
            <w:vMerge w:val="continue"/>
            <w:tcBorders>
              <w:tl2br w:val="nil"/>
              <w:tr2bl w:val="nil"/>
            </w:tcBorders>
            <w:shd w:val="clear" w:color="auto" w:fill="auto"/>
            <w:vAlign w:val="center"/>
          </w:tcPr>
          <w:p w14:paraId="09C04162">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3474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vMerge w:val="continue"/>
            <w:tcBorders>
              <w:tl2br w:val="nil"/>
              <w:tr2bl w:val="nil"/>
            </w:tcBorders>
            <w:shd w:val="clear" w:color="auto" w:fill="auto"/>
            <w:vAlign w:val="center"/>
          </w:tcPr>
          <w:p w14:paraId="126DCD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p>
        </w:tc>
        <w:tc>
          <w:tcPr>
            <w:tcW w:w="1665" w:type="dxa"/>
            <w:vMerge w:val="continue"/>
            <w:tcBorders>
              <w:tl2br w:val="nil"/>
              <w:tr2bl w:val="nil"/>
            </w:tcBorders>
            <w:shd w:val="clear" w:color="auto" w:fill="auto"/>
            <w:vAlign w:val="center"/>
          </w:tcPr>
          <w:p w14:paraId="18EBC21C">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c>
          <w:tcPr>
            <w:tcW w:w="1725" w:type="dxa"/>
            <w:tcBorders>
              <w:tl2br w:val="nil"/>
              <w:tr2bl w:val="nil"/>
            </w:tcBorders>
            <w:shd w:val="clear" w:color="auto" w:fill="auto"/>
            <w:vAlign w:val="center"/>
          </w:tcPr>
          <w:p w14:paraId="632095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四轮电动车</w:t>
            </w:r>
          </w:p>
        </w:tc>
        <w:tc>
          <w:tcPr>
            <w:tcW w:w="5850" w:type="dxa"/>
            <w:vMerge w:val="continue"/>
            <w:tcBorders>
              <w:tl2br w:val="nil"/>
              <w:tr2bl w:val="nil"/>
            </w:tcBorders>
            <w:shd w:val="clear" w:color="auto" w:fill="auto"/>
            <w:vAlign w:val="center"/>
          </w:tcPr>
          <w:p w14:paraId="7B45FDE4">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新宋体" w:cs="Times New Roman"/>
                <w:i w:val="0"/>
                <w:color w:val="auto"/>
                <w:sz w:val="22"/>
                <w:szCs w:val="22"/>
                <w:highlight w:val="none"/>
                <w:u w:val="none"/>
              </w:rPr>
            </w:pPr>
          </w:p>
        </w:tc>
      </w:tr>
      <w:tr w14:paraId="3F75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468D56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5</w:t>
            </w:r>
          </w:p>
        </w:tc>
        <w:tc>
          <w:tcPr>
            <w:tcW w:w="1665" w:type="dxa"/>
            <w:tcBorders>
              <w:tl2br w:val="nil"/>
              <w:tr2bl w:val="nil"/>
            </w:tcBorders>
            <w:shd w:val="clear" w:color="auto" w:fill="auto"/>
            <w:vAlign w:val="center"/>
          </w:tcPr>
          <w:p w14:paraId="36F91D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自行车、人力三轮车</w:t>
            </w:r>
          </w:p>
        </w:tc>
        <w:tc>
          <w:tcPr>
            <w:tcW w:w="1725" w:type="dxa"/>
            <w:tcBorders>
              <w:tl2br w:val="nil"/>
              <w:tr2bl w:val="nil"/>
            </w:tcBorders>
            <w:shd w:val="clear" w:color="auto" w:fill="auto"/>
            <w:vAlign w:val="center"/>
          </w:tcPr>
          <w:p w14:paraId="6650190D">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68B209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lang w:val="en-US"/>
              </w:rPr>
            </w:pPr>
            <w:r>
              <w:rPr>
                <w:rFonts w:hint="default" w:ascii="Times New Roman" w:hAnsi="Times New Roman" w:eastAsia="新宋体" w:cs="Times New Roman"/>
                <w:i w:val="0"/>
                <w:color w:val="auto"/>
                <w:kern w:val="0"/>
                <w:sz w:val="22"/>
                <w:szCs w:val="22"/>
                <w:highlight w:val="none"/>
                <w:u w:val="none"/>
                <w:lang w:val="en-US" w:eastAsia="zh-CN" w:bidi="ar"/>
              </w:rPr>
              <w:t>GB 3565</w:t>
            </w:r>
            <w:r>
              <w:rPr>
                <w:rFonts w:hint="eastAsia" w:eastAsia="新宋体" w:cs="Times New Roman"/>
                <w:i w:val="0"/>
                <w:color w:val="auto"/>
                <w:kern w:val="0"/>
                <w:sz w:val="22"/>
                <w:szCs w:val="22"/>
                <w:highlight w:val="none"/>
                <w:u w:val="none"/>
                <w:lang w:val="en-US" w:eastAsia="zh-CN" w:bidi="ar"/>
              </w:rPr>
              <w:t>.2</w:t>
            </w:r>
            <w:r>
              <w:rPr>
                <w:rFonts w:hint="default" w:ascii="Times New Roman" w:hAnsi="Times New Roman" w:eastAsia="新宋体" w:cs="Times New Roman"/>
                <w:i w:val="0"/>
                <w:color w:val="auto"/>
                <w:kern w:val="0"/>
                <w:sz w:val="22"/>
                <w:szCs w:val="22"/>
                <w:highlight w:val="none"/>
                <w:u w:val="none"/>
                <w:lang w:val="en-US" w:eastAsia="zh-CN" w:bidi="ar"/>
              </w:rPr>
              <w:t>-20</w:t>
            </w:r>
            <w:r>
              <w:rPr>
                <w:rFonts w:hint="eastAsia" w:eastAsia="新宋体" w:cs="Times New Roman"/>
                <w:i w:val="0"/>
                <w:color w:val="auto"/>
                <w:kern w:val="0"/>
                <w:sz w:val="22"/>
                <w:szCs w:val="22"/>
                <w:highlight w:val="none"/>
                <w:u w:val="none"/>
                <w:lang w:val="en-US" w:eastAsia="zh-CN" w:bidi="ar"/>
              </w:rPr>
              <w:t>22</w:t>
            </w:r>
            <w:r>
              <w:rPr>
                <w:rFonts w:hint="default" w:ascii="Times New Roman" w:hAnsi="Times New Roman" w:eastAsia="新宋体" w:cs="Times New Roman"/>
                <w:i w:val="0"/>
                <w:color w:val="auto"/>
                <w:kern w:val="0"/>
                <w:sz w:val="22"/>
                <w:szCs w:val="22"/>
                <w:highlight w:val="none"/>
                <w:u w:val="none"/>
                <w:lang w:val="en-US" w:eastAsia="zh-CN" w:bidi="ar"/>
              </w:rPr>
              <w:t>《自行车安全要求</w:t>
            </w:r>
            <w:r>
              <w:rPr>
                <w:rFonts w:hint="default" w:eastAsia="新宋体" w:cs="Times New Roman"/>
                <w:i w:val="0"/>
                <w:color w:val="auto"/>
                <w:kern w:val="0"/>
                <w:sz w:val="22"/>
                <w:szCs w:val="22"/>
                <w:highlight w:val="none"/>
                <w:u w:val="none"/>
                <w:lang w:val="en-US" w:eastAsia="zh-CN" w:bidi="ar"/>
              </w:rPr>
              <w:t xml:space="preserve">  第2部分：城市和旅行用自行车、青少年自行车、山地自行车与竞赛自行车的要求</w:t>
            </w:r>
            <w:r>
              <w:rPr>
                <w:rFonts w:hint="default" w:ascii="Times New Roman" w:hAnsi="Times New Roman" w:eastAsia="新宋体" w:cs="Times New Roman"/>
                <w:i w:val="0"/>
                <w:color w:val="auto"/>
                <w:kern w:val="0"/>
                <w:sz w:val="22"/>
                <w:szCs w:val="22"/>
                <w:highlight w:val="none"/>
                <w:u w:val="none"/>
                <w:lang w:val="en-US" w:eastAsia="zh-CN" w:bidi="ar"/>
              </w:rPr>
              <w:t>》，QB 2566-2002《轻型三轮自行车安全通用技术条件》</w:t>
            </w:r>
            <w:r>
              <w:rPr>
                <w:rFonts w:hint="eastAsia" w:eastAsia="新宋体" w:cs="Times New Roman"/>
                <w:i w:val="0"/>
                <w:color w:val="auto"/>
                <w:kern w:val="0"/>
                <w:sz w:val="22"/>
                <w:szCs w:val="22"/>
                <w:highlight w:val="none"/>
                <w:u w:val="none"/>
                <w:lang w:val="en-US" w:eastAsia="zh-CN" w:bidi="ar"/>
              </w:rPr>
              <w:t>等。</w:t>
            </w:r>
          </w:p>
        </w:tc>
      </w:tr>
      <w:tr w14:paraId="64E5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7DD922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6</w:t>
            </w:r>
          </w:p>
        </w:tc>
        <w:tc>
          <w:tcPr>
            <w:tcW w:w="1665" w:type="dxa"/>
            <w:tcBorders>
              <w:tl2br w:val="nil"/>
              <w:tr2bl w:val="nil"/>
            </w:tcBorders>
            <w:shd w:val="clear" w:color="auto" w:fill="auto"/>
            <w:vAlign w:val="center"/>
          </w:tcPr>
          <w:p w14:paraId="001630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汽车套牌车辆鉴定</w:t>
            </w:r>
          </w:p>
        </w:tc>
        <w:tc>
          <w:tcPr>
            <w:tcW w:w="1725" w:type="dxa"/>
            <w:tcBorders>
              <w:tl2br w:val="nil"/>
              <w:tr2bl w:val="nil"/>
            </w:tcBorders>
            <w:shd w:val="clear" w:color="auto" w:fill="auto"/>
            <w:vAlign w:val="center"/>
          </w:tcPr>
          <w:p w14:paraId="2E1D053B">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5ABDBB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GB7258-2017《机动车运行安全技术条件》、GB16735-2019《道路车辆 车辆识别代号（VIN）》、GB38900-2020《机动车安全技术检验项目和方法》、GA/T952-2011《法庭科学机动车发动机号码和车架号码检验规程》、GA 802-2019《道路交通管理 机动车类型》</w:t>
            </w:r>
          </w:p>
        </w:tc>
      </w:tr>
      <w:tr w14:paraId="6BF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43242C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7</w:t>
            </w:r>
          </w:p>
        </w:tc>
        <w:tc>
          <w:tcPr>
            <w:tcW w:w="1665" w:type="dxa"/>
            <w:tcBorders>
              <w:tl2br w:val="nil"/>
              <w:tr2bl w:val="nil"/>
            </w:tcBorders>
            <w:shd w:val="clear" w:color="auto" w:fill="auto"/>
            <w:vAlign w:val="center"/>
          </w:tcPr>
          <w:p w14:paraId="0F50F4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轮胎损坏原因鉴定</w:t>
            </w:r>
          </w:p>
        </w:tc>
        <w:tc>
          <w:tcPr>
            <w:tcW w:w="1725" w:type="dxa"/>
            <w:tcBorders>
              <w:tl2br w:val="nil"/>
              <w:tr2bl w:val="nil"/>
            </w:tcBorders>
            <w:shd w:val="clear" w:color="auto" w:fill="auto"/>
            <w:vAlign w:val="center"/>
          </w:tcPr>
          <w:p w14:paraId="01886FFE">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0BDFC2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GB 7258-2017《机动车运行安全技术条件》、GB/T 9768-2017《轮胎使用与保养规程》、GA/T 1508-2018《法庭科学车辆轮胎痕迹检验技术规范》、GA/T 41-2019《道路交通事故现场痕迹物证勘查》</w:t>
            </w:r>
            <w:r>
              <w:rPr>
                <w:rFonts w:hint="eastAsia" w:eastAsia="新宋体" w:cs="Times New Roman"/>
                <w:i w:val="0"/>
                <w:color w:val="auto"/>
                <w:kern w:val="0"/>
                <w:sz w:val="22"/>
                <w:szCs w:val="22"/>
                <w:highlight w:val="none"/>
                <w:u w:val="none"/>
                <w:lang w:val="en-US" w:eastAsia="zh-CN" w:bidi="ar"/>
              </w:rPr>
              <w:t>等</w:t>
            </w:r>
          </w:p>
        </w:tc>
      </w:tr>
      <w:tr w14:paraId="59EE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7AC38A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8</w:t>
            </w:r>
          </w:p>
        </w:tc>
        <w:tc>
          <w:tcPr>
            <w:tcW w:w="1665" w:type="dxa"/>
            <w:tcBorders>
              <w:tl2br w:val="nil"/>
              <w:tr2bl w:val="nil"/>
            </w:tcBorders>
            <w:shd w:val="clear" w:color="auto" w:fill="auto"/>
            <w:vAlign w:val="center"/>
          </w:tcPr>
          <w:p w14:paraId="0E4640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车速鉴定</w:t>
            </w:r>
          </w:p>
        </w:tc>
        <w:tc>
          <w:tcPr>
            <w:tcW w:w="1725" w:type="dxa"/>
            <w:tcBorders>
              <w:tl2br w:val="nil"/>
              <w:tr2bl w:val="nil"/>
            </w:tcBorders>
            <w:shd w:val="clear" w:color="auto" w:fill="auto"/>
            <w:vAlign w:val="center"/>
          </w:tcPr>
          <w:p w14:paraId="4859C951">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77B6E1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lang w:val="en-US"/>
              </w:rPr>
            </w:pPr>
            <w:r>
              <w:rPr>
                <w:rFonts w:hint="default" w:ascii="Times New Roman" w:hAnsi="Times New Roman" w:eastAsia="新宋体" w:cs="Times New Roman"/>
                <w:i w:val="0"/>
                <w:color w:val="auto"/>
                <w:kern w:val="0"/>
                <w:sz w:val="22"/>
                <w:szCs w:val="22"/>
                <w:highlight w:val="none"/>
                <w:u w:val="none"/>
                <w:lang w:val="en-US" w:eastAsia="zh-CN" w:bidi="ar"/>
              </w:rPr>
              <w:t>GB/T 33195-2016《道路交通事故车辆速度鉴定》、GA/T1133-2014《基于视频图像的车辆行驶速度技术鉴定》、SF/T 0072-2020《道路交通事故痕迹物证鉴定通用规范》、GA/T 41-2019《道路交通事故现场痕迹物证勘查》、GB/T 19056-20</w:t>
            </w:r>
            <w:r>
              <w:rPr>
                <w:rFonts w:hint="eastAsia" w:eastAsia="新宋体" w:cs="Times New Roman"/>
                <w:i w:val="0"/>
                <w:color w:val="auto"/>
                <w:kern w:val="0"/>
                <w:sz w:val="22"/>
                <w:szCs w:val="22"/>
                <w:highlight w:val="none"/>
                <w:u w:val="none"/>
                <w:lang w:val="en-US" w:eastAsia="zh-CN" w:bidi="ar"/>
              </w:rPr>
              <w:t>21</w:t>
            </w:r>
            <w:r>
              <w:rPr>
                <w:rFonts w:hint="default" w:ascii="Times New Roman" w:hAnsi="Times New Roman" w:eastAsia="新宋体" w:cs="Times New Roman"/>
                <w:i w:val="0"/>
                <w:color w:val="auto"/>
                <w:kern w:val="0"/>
                <w:sz w:val="22"/>
                <w:szCs w:val="22"/>
                <w:highlight w:val="none"/>
                <w:u w:val="none"/>
                <w:lang w:val="en-US" w:eastAsia="zh-CN" w:bidi="ar"/>
              </w:rPr>
              <w:t>《汽车行驶记录仪》、JT/T 794-2011《道路运输车辆卫星定位系统车载终端技术要求》</w:t>
            </w:r>
            <w:r>
              <w:rPr>
                <w:rFonts w:hint="eastAsia" w:eastAsia="新宋体" w:cs="Times New Roman"/>
                <w:i w:val="0"/>
                <w:color w:val="auto"/>
                <w:kern w:val="0"/>
                <w:sz w:val="22"/>
                <w:szCs w:val="22"/>
                <w:highlight w:val="none"/>
                <w:u w:val="none"/>
                <w:lang w:val="en-US" w:eastAsia="zh-CN" w:bidi="ar"/>
              </w:rPr>
              <w:t>等</w:t>
            </w:r>
          </w:p>
        </w:tc>
      </w:tr>
      <w:tr w14:paraId="130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2DE7B9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9</w:t>
            </w:r>
          </w:p>
        </w:tc>
        <w:tc>
          <w:tcPr>
            <w:tcW w:w="1665" w:type="dxa"/>
            <w:tcBorders>
              <w:tl2br w:val="nil"/>
              <w:tr2bl w:val="nil"/>
            </w:tcBorders>
            <w:shd w:val="clear" w:color="auto" w:fill="auto"/>
            <w:vAlign w:val="center"/>
          </w:tcPr>
          <w:p w14:paraId="29E428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交通事故痕迹鉴定</w:t>
            </w:r>
          </w:p>
        </w:tc>
        <w:tc>
          <w:tcPr>
            <w:tcW w:w="1725" w:type="dxa"/>
            <w:tcBorders>
              <w:tl2br w:val="nil"/>
              <w:tr2bl w:val="nil"/>
            </w:tcBorders>
            <w:shd w:val="clear" w:color="auto" w:fill="auto"/>
            <w:vAlign w:val="center"/>
          </w:tcPr>
          <w:p w14:paraId="572C1838">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4EF0C8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lang w:val="en-US"/>
              </w:rPr>
            </w:pPr>
            <w:r>
              <w:rPr>
                <w:rFonts w:hint="default" w:ascii="Times New Roman" w:hAnsi="Times New Roman" w:eastAsia="新宋体" w:cs="Times New Roman"/>
                <w:i w:val="0"/>
                <w:color w:val="auto"/>
                <w:kern w:val="0"/>
                <w:sz w:val="22"/>
                <w:szCs w:val="22"/>
                <w:highlight w:val="none"/>
                <w:u w:val="none"/>
                <w:lang w:val="en-US" w:eastAsia="zh-CN" w:bidi="ar"/>
              </w:rPr>
              <w:t>GA/T 41-2019《道路交通事故现场痕迹物证勘查》、GA/T 1087-2013《道路交通事故痕迹鉴定》、SF/T 0072-2020《道路交通事故痕迹物证鉴定通用规范》、GA/T 1450-2017《法庭科学车体痕迹检验规范》</w:t>
            </w:r>
            <w:r>
              <w:rPr>
                <w:rFonts w:hint="eastAsia" w:eastAsia="新宋体" w:cs="Times New Roman"/>
                <w:i w:val="0"/>
                <w:color w:val="auto"/>
                <w:kern w:val="0"/>
                <w:sz w:val="22"/>
                <w:szCs w:val="22"/>
                <w:highlight w:val="none"/>
                <w:u w:val="none"/>
                <w:lang w:val="en-US" w:eastAsia="zh-CN" w:bidi="ar"/>
              </w:rPr>
              <w:t>等</w:t>
            </w:r>
          </w:p>
        </w:tc>
      </w:tr>
      <w:tr w14:paraId="2A31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2164BA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10</w:t>
            </w:r>
          </w:p>
        </w:tc>
        <w:tc>
          <w:tcPr>
            <w:tcW w:w="1665" w:type="dxa"/>
            <w:tcBorders>
              <w:tl2br w:val="nil"/>
              <w:tr2bl w:val="nil"/>
            </w:tcBorders>
            <w:shd w:val="clear" w:color="auto" w:fill="auto"/>
            <w:vAlign w:val="center"/>
          </w:tcPr>
          <w:p w14:paraId="37FBB4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信号灯状态鉴定</w:t>
            </w:r>
          </w:p>
        </w:tc>
        <w:tc>
          <w:tcPr>
            <w:tcW w:w="1725" w:type="dxa"/>
            <w:tcBorders>
              <w:tl2br w:val="nil"/>
              <w:tr2bl w:val="nil"/>
            </w:tcBorders>
            <w:shd w:val="clear" w:color="auto" w:fill="auto"/>
            <w:vAlign w:val="center"/>
          </w:tcPr>
          <w:p w14:paraId="2AB0AA04">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06F515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lang w:val="en-US"/>
              </w:rPr>
            </w:pPr>
            <w:r>
              <w:rPr>
                <w:rFonts w:hint="default" w:ascii="Times New Roman" w:hAnsi="Times New Roman" w:eastAsia="新宋体" w:cs="Times New Roman"/>
                <w:i w:val="0"/>
                <w:color w:val="auto"/>
                <w:kern w:val="0"/>
                <w:sz w:val="22"/>
                <w:szCs w:val="22"/>
                <w:highlight w:val="none"/>
                <w:u w:val="none"/>
                <w:lang w:val="en-US" w:eastAsia="zh-CN" w:bidi="ar"/>
              </w:rPr>
              <w:t>SF/T 0073-2020《基于视频图像的道路交通事故信号灯状态鉴定规范》、GB 14886-2016《道路交通信号灯设置与安装规范》、GB 14887-2011《道路交通信号灯》</w:t>
            </w:r>
            <w:r>
              <w:rPr>
                <w:rFonts w:hint="eastAsia" w:eastAsia="新宋体" w:cs="Times New Roman"/>
                <w:i w:val="0"/>
                <w:color w:val="auto"/>
                <w:kern w:val="0"/>
                <w:sz w:val="22"/>
                <w:szCs w:val="22"/>
                <w:highlight w:val="none"/>
                <w:u w:val="none"/>
                <w:lang w:val="en-US" w:eastAsia="zh-CN" w:bidi="ar"/>
              </w:rPr>
              <w:t>等</w:t>
            </w:r>
          </w:p>
        </w:tc>
      </w:tr>
      <w:tr w14:paraId="4A0C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1" w:type="dxa"/>
            <w:tcBorders>
              <w:tl2br w:val="nil"/>
              <w:tr2bl w:val="nil"/>
            </w:tcBorders>
            <w:shd w:val="clear" w:color="auto" w:fill="auto"/>
            <w:vAlign w:val="center"/>
          </w:tcPr>
          <w:p w14:paraId="5DE388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新宋体" w:cs="Times New Roman"/>
                <w:i w:val="0"/>
                <w:color w:val="auto"/>
                <w:sz w:val="22"/>
                <w:szCs w:val="22"/>
                <w:highlight w:val="none"/>
                <w:u w:val="none"/>
              </w:rPr>
            </w:pPr>
            <w:r>
              <w:rPr>
                <w:rFonts w:hint="eastAsia" w:ascii="Times New Roman" w:hAnsi="Times New Roman" w:eastAsia="新宋体" w:cs="Times New Roman"/>
                <w:i w:val="0"/>
                <w:color w:val="auto"/>
                <w:kern w:val="0"/>
                <w:sz w:val="22"/>
                <w:szCs w:val="22"/>
                <w:highlight w:val="none"/>
                <w:u w:val="none"/>
                <w:lang w:val="en-US" w:eastAsia="zh-CN" w:bidi="ar"/>
              </w:rPr>
              <w:t>11</w:t>
            </w:r>
          </w:p>
        </w:tc>
        <w:tc>
          <w:tcPr>
            <w:tcW w:w="1665" w:type="dxa"/>
            <w:tcBorders>
              <w:tl2br w:val="nil"/>
              <w:tr2bl w:val="nil"/>
            </w:tcBorders>
            <w:shd w:val="clear" w:color="auto" w:fill="auto"/>
            <w:vAlign w:val="center"/>
          </w:tcPr>
          <w:p w14:paraId="152BB98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rPr>
            </w:pPr>
            <w:r>
              <w:rPr>
                <w:rFonts w:hint="default" w:ascii="Times New Roman" w:hAnsi="Times New Roman" w:eastAsia="新宋体" w:cs="Times New Roman"/>
                <w:i w:val="0"/>
                <w:color w:val="auto"/>
                <w:kern w:val="0"/>
                <w:sz w:val="22"/>
                <w:szCs w:val="22"/>
                <w:highlight w:val="none"/>
                <w:u w:val="none"/>
                <w:lang w:val="en-US" w:eastAsia="zh-CN" w:bidi="ar"/>
              </w:rPr>
              <w:t>车辆起火原因鉴定</w:t>
            </w:r>
          </w:p>
        </w:tc>
        <w:tc>
          <w:tcPr>
            <w:tcW w:w="1725" w:type="dxa"/>
            <w:tcBorders>
              <w:tl2br w:val="nil"/>
              <w:tr2bl w:val="nil"/>
            </w:tcBorders>
            <w:shd w:val="clear" w:color="auto" w:fill="auto"/>
            <w:vAlign w:val="center"/>
          </w:tcPr>
          <w:p w14:paraId="79598BE2">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新宋体" w:cs="Times New Roman"/>
                <w:i w:val="0"/>
                <w:color w:val="auto"/>
                <w:sz w:val="22"/>
                <w:szCs w:val="22"/>
                <w:highlight w:val="none"/>
                <w:u w:val="none"/>
              </w:rPr>
            </w:pPr>
          </w:p>
        </w:tc>
        <w:tc>
          <w:tcPr>
            <w:tcW w:w="5850" w:type="dxa"/>
            <w:tcBorders>
              <w:tl2br w:val="nil"/>
              <w:tr2bl w:val="nil"/>
            </w:tcBorders>
            <w:shd w:val="clear" w:color="auto" w:fill="auto"/>
            <w:vAlign w:val="center"/>
          </w:tcPr>
          <w:p w14:paraId="1AE8F2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新宋体" w:cs="Times New Roman"/>
                <w:i w:val="0"/>
                <w:color w:val="auto"/>
                <w:sz w:val="22"/>
                <w:szCs w:val="22"/>
                <w:highlight w:val="none"/>
                <w:u w:val="none"/>
                <w:lang w:val="en-US"/>
              </w:rPr>
            </w:pPr>
            <w:r>
              <w:rPr>
                <w:rFonts w:hint="default" w:ascii="Times New Roman" w:hAnsi="Times New Roman" w:eastAsia="新宋体" w:cs="Times New Roman"/>
                <w:i w:val="0"/>
                <w:color w:val="auto"/>
                <w:kern w:val="0"/>
                <w:sz w:val="22"/>
                <w:szCs w:val="22"/>
                <w:highlight w:val="none"/>
                <w:u w:val="none"/>
                <w:lang w:val="en-US" w:eastAsia="zh-CN" w:bidi="ar"/>
              </w:rPr>
              <w:t>XF/T 812-2008《火灾原因调查指南》、XF 839-2009《火灾现场勘验规则》、XF 1301-2016《火灾原因认定规则》</w:t>
            </w:r>
            <w:r>
              <w:rPr>
                <w:rFonts w:hint="eastAsia" w:eastAsia="新宋体" w:cs="Times New Roman"/>
                <w:i w:val="0"/>
                <w:color w:val="auto"/>
                <w:kern w:val="0"/>
                <w:sz w:val="22"/>
                <w:szCs w:val="22"/>
                <w:highlight w:val="none"/>
                <w:u w:val="none"/>
                <w:lang w:val="en-US" w:eastAsia="zh-CN" w:bidi="ar"/>
              </w:rPr>
              <w:t>等</w:t>
            </w:r>
          </w:p>
        </w:tc>
      </w:tr>
    </w:tbl>
    <w:p w14:paraId="009B6CF9">
      <w:pPr>
        <w:tabs>
          <w:tab w:val="left" w:pos="360"/>
        </w:tabs>
        <w:spacing w:line="460" w:lineRule="exact"/>
        <w:ind w:firstLine="442" w:firstLineChars="200"/>
        <w:rPr>
          <w:rFonts w:hint="default" w:ascii="Times New Roman" w:hAnsi="Times New Roman" w:eastAsia="宋体" w:cs="Times New Roman"/>
          <w:b/>
          <w:bCs/>
          <w:color w:val="auto"/>
          <w:sz w:val="22"/>
          <w:szCs w:val="22"/>
          <w:highlight w:val="none"/>
        </w:rPr>
      </w:pPr>
      <w:r>
        <w:rPr>
          <w:rFonts w:hint="eastAsia" w:cs="Times New Roman"/>
          <w:b/>
          <w:bCs/>
          <w:color w:val="auto"/>
          <w:sz w:val="22"/>
          <w:szCs w:val="22"/>
          <w:highlight w:val="none"/>
          <w:lang w:val="en-US" w:eastAsia="zh-CN"/>
        </w:rPr>
        <w:t>四</w:t>
      </w:r>
      <w:r>
        <w:rPr>
          <w:rFonts w:hint="default" w:ascii="Times New Roman" w:hAnsi="Times New Roman" w:eastAsia="宋体" w:cs="Times New Roman"/>
          <w:b/>
          <w:bCs/>
          <w:color w:val="auto"/>
          <w:sz w:val="22"/>
          <w:szCs w:val="22"/>
          <w:highlight w:val="none"/>
        </w:rPr>
        <w:t>、服务要求</w:t>
      </w:r>
    </w:p>
    <w:p w14:paraId="3B4C5978">
      <w:pPr>
        <w:tabs>
          <w:tab w:val="left" w:pos="360"/>
        </w:tabs>
        <w:spacing w:line="460" w:lineRule="exact"/>
        <w:ind w:firstLine="440" w:firstLineChars="200"/>
        <w:rPr>
          <w:color w:val="auto"/>
          <w:sz w:val="22"/>
          <w:szCs w:val="22"/>
          <w:highlight w:val="none"/>
        </w:rPr>
      </w:pPr>
      <w:r>
        <w:rPr>
          <w:color w:val="auto"/>
          <w:sz w:val="22"/>
          <w:szCs w:val="22"/>
          <w:highlight w:val="none"/>
        </w:rPr>
        <w:t>1、中标人在接到招标人的委托书后，应按委托要求时间派技术人员准时到达事故</w:t>
      </w:r>
      <w:r>
        <w:rPr>
          <w:rFonts w:hint="eastAsia"/>
          <w:color w:val="auto"/>
          <w:sz w:val="22"/>
          <w:szCs w:val="22"/>
          <w:highlight w:val="none"/>
          <w:lang w:val="en-US" w:eastAsia="zh-CN"/>
        </w:rPr>
        <w:t>车、违法车辆</w:t>
      </w:r>
      <w:r>
        <w:rPr>
          <w:color w:val="auto"/>
          <w:sz w:val="22"/>
          <w:szCs w:val="22"/>
          <w:highlight w:val="none"/>
        </w:rPr>
        <w:t>停车场，并按照委托项目对事故车辆</w:t>
      </w:r>
      <w:r>
        <w:rPr>
          <w:rFonts w:hint="eastAsia"/>
          <w:color w:val="auto"/>
          <w:sz w:val="22"/>
          <w:szCs w:val="22"/>
          <w:highlight w:val="none"/>
          <w:lang w:eastAsia="zh-CN"/>
        </w:rPr>
        <w:t>、</w:t>
      </w:r>
      <w:r>
        <w:rPr>
          <w:rFonts w:hint="eastAsia"/>
          <w:color w:val="auto"/>
          <w:sz w:val="22"/>
          <w:szCs w:val="22"/>
          <w:highlight w:val="none"/>
          <w:lang w:val="en-US" w:eastAsia="zh-CN"/>
        </w:rPr>
        <w:t>违法车辆</w:t>
      </w:r>
      <w:r>
        <w:rPr>
          <w:color w:val="auto"/>
          <w:sz w:val="22"/>
          <w:szCs w:val="22"/>
          <w:highlight w:val="none"/>
        </w:rPr>
        <w:t>进行检验，按办案单位约定的期限内及时将检验鉴定书并送达办案单位，检验鉴定期限一般不得超过三十日。</w:t>
      </w:r>
    </w:p>
    <w:p w14:paraId="695481D3">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color w:val="auto"/>
          <w:sz w:val="22"/>
          <w:szCs w:val="22"/>
          <w:highlight w:val="none"/>
        </w:rPr>
        <w:t>2、交通事故车辆</w:t>
      </w:r>
      <w:r>
        <w:rPr>
          <w:rFonts w:hint="eastAsia"/>
          <w:color w:val="auto"/>
          <w:sz w:val="22"/>
          <w:szCs w:val="22"/>
          <w:highlight w:val="none"/>
          <w:lang w:eastAsia="zh-CN"/>
        </w:rPr>
        <w:t>、</w:t>
      </w:r>
      <w:r>
        <w:rPr>
          <w:rFonts w:hint="eastAsia"/>
          <w:color w:val="auto"/>
          <w:sz w:val="22"/>
          <w:szCs w:val="22"/>
          <w:highlight w:val="none"/>
          <w:lang w:val="en-US" w:eastAsia="zh-CN"/>
        </w:rPr>
        <w:t>违法车辆</w:t>
      </w:r>
      <w:r>
        <w:rPr>
          <w:color w:val="auto"/>
          <w:sz w:val="22"/>
          <w:szCs w:val="22"/>
          <w:highlight w:val="none"/>
        </w:rPr>
        <w:t>技术检验鉴定工作应严格按照国家标准进行。由检验鉴定小组2名（或以上）技术人员共同检验鉴定，并统一按规定的文字格式规范制作并注明签发日期，检验鉴定书一式壹份（电脑打印），由检验鉴定该车的两名（或以上）专业技术人员共同签名并注明技术职称，并加盖检验鉴定单位印章，并附鉴定机构和人员资质。对车辆做检验鉴定时，应同时按事故痕迹的拍照规范对车辆的外观、损坏部位、检验鉴定的相关参数、数据等进行拍照固定并附照片进行文字说明，与检验鉴定书一并交招标人。</w:t>
      </w:r>
    </w:p>
    <w:p w14:paraId="2DC9D66D">
      <w:pPr>
        <w:tabs>
          <w:tab w:val="left" w:pos="360"/>
        </w:tabs>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3、检验鉴定书中的名词术语必须准确规范，不得使用俗语或外语译音。</w:t>
      </w:r>
    </w:p>
    <w:p w14:paraId="016EC3FF">
      <w:pPr>
        <w:tabs>
          <w:tab w:val="left" w:pos="360"/>
        </w:tabs>
        <w:spacing w:line="460" w:lineRule="exact"/>
        <w:ind w:firstLine="440" w:firstLineChars="200"/>
        <w:rPr>
          <w:rFonts w:hint="eastAsia" w:ascii="宋体" w:hAnsi="宋体" w:eastAsia="宋体" w:cs="宋体"/>
          <w:b/>
          <w:color w:val="auto"/>
          <w:sz w:val="22"/>
          <w:highlight w:val="none"/>
        </w:rPr>
      </w:pPr>
      <w:r>
        <w:rPr>
          <w:rFonts w:hint="default" w:ascii="Times New Roman" w:hAnsi="Times New Roman" w:eastAsia="宋体" w:cs="Times New Roman"/>
          <w:color w:val="auto"/>
          <w:sz w:val="22"/>
          <w:szCs w:val="22"/>
          <w:highlight w:val="none"/>
        </w:rPr>
        <w:t>4、检验鉴定书中的检验记录应具体详细，结论应精简明确。</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3A0ACD42">
      <w:pPr>
        <w:keepNext w:val="0"/>
        <w:keepLines w:val="0"/>
        <w:pageBreakBefore w:val="0"/>
        <w:widowControl w:val="0"/>
        <w:numPr>
          <w:ilvl w:val="0"/>
          <w:numId w:val="4"/>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653BD496">
      <w:pPr>
        <w:pStyle w:val="4"/>
        <w:bidi w:val="0"/>
        <w:rPr>
          <w:rFonts w:hint="eastAsia" w:ascii="宋体" w:hAnsi="宋体" w:eastAsia="宋体" w:cs="宋体"/>
          <w:color w:val="auto"/>
          <w:highlight w:val="none"/>
        </w:rPr>
      </w:pPr>
      <w:bookmarkStart w:id="90" w:name="_Toc27946"/>
      <w:bookmarkStart w:id="91" w:name="_Toc30323"/>
      <w:r>
        <w:rPr>
          <w:rFonts w:hint="eastAsia" w:ascii="宋体" w:hAnsi="宋体" w:eastAsia="宋体" w:cs="宋体"/>
          <w:color w:val="auto"/>
          <w:highlight w:val="none"/>
        </w:rPr>
        <w:t>第五部分   评标原则及方法</w:t>
      </w:r>
      <w:bookmarkEnd w:id="90"/>
      <w:bookmarkEnd w:id="91"/>
    </w:p>
    <w:p w14:paraId="2A4CA1C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36ED367E">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2" w:name="_Toc7847"/>
      <w:bookmarkStart w:id="93" w:name="_Toc4407"/>
      <w:r>
        <w:rPr>
          <w:rFonts w:hint="eastAsia" w:ascii="宋体" w:hAnsi="宋体" w:eastAsia="宋体" w:cs="宋体"/>
          <w:b/>
          <w:color w:val="auto"/>
          <w:sz w:val="22"/>
          <w:szCs w:val="22"/>
          <w:highlight w:val="none"/>
        </w:rPr>
        <w:t>一、总 则</w:t>
      </w:r>
      <w:bookmarkEnd w:id="92"/>
      <w:bookmarkEnd w:id="93"/>
    </w:p>
    <w:p w14:paraId="7798F4C4">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D518C0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4" w:name="_Toc6248"/>
      <w:bookmarkStart w:id="95" w:name="_Toc24468"/>
      <w:r>
        <w:rPr>
          <w:rFonts w:hint="eastAsia" w:ascii="宋体" w:hAnsi="宋体" w:eastAsia="宋体" w:cs="宋体"/>
          <w:b/>
          <w:color w:val="auto"/>
          <w:sz w:val="22"/>
          <w:szCs w:val="22"/>
          <w:highlight w:val="none"/>
        </w:rPr>
        <w:t>二、评标组织</w:t>
      </w:r>
      <w:bookmarkEnd w:id="94"/>
      <w:bookmarkEnd w:id="95"/>
    </w:p>
    <w:p w14:paraId="488C68B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89A2A7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6" w:name="_Toc19369"/>
      <w:bookmarkStart w:id="97" w:name="_Toc15153"/>
      <w:r>
        <w:rPr>
          <w:rFonts w:hint="eastAsia" w:ascii="宋体" w:hAnsi="宋体" w:eastAsia="宋体" w:cs="宋体"/>
          <w:b/>
          <w:color w:val="auto"/>
          <w:sz w:val="22"/>
          <w:szCs w:val="22"/>
          <w:highlight w:val="none"/>
        </w:rPr>
        <w:t>三、评标程序</w:t>
      </w:r>
      <w:bookmarkEnd w:id="96"/>
      <w:bookmarkEnd w:id="97"/>
    </w:p>
    <w:p w14:paraId="2E971F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376E13AA">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8" w:name="_Toc11975"/>
      <w:bookmarkStart w:id="99" w:name="_Toc11306"/>
      <w:r>
        <w:rPr>
          <w:rFonts w:hint="eastAsia" w:ascii="宋体" w:hAnsi="宋体" w:eastAsia="宋体" w:cs="宋体"/>
          <w:b/>
          <w:color w:val="auto"/>
          <w:sz w:val="22"/>
          <w:szCs w:val="22"/>
          <w:highlight w:val="none"/>
        </w:rPr>
        <w:t>四、评标办法</w:t>
      </w:r>
      <w:bookmarkEnd w:id="98"/>
      <w:bookmarkEnd w:id="99"/>
    </w:p>
    <w:p w14:paraId="2084A507">
      <w:pPr>
        <w:spacing w:line="460" w:lineRule="exact"/>
        <w:ind w:firstLine="440" w:firstLineChars="200"/>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default" w:ascii="Times New Roman" w:hAnsi="Times New Roman" w:eastAsia="宋体" w:cs="Times New Roman"/>
          <w:b/>
          <w:color w:val="auto"/>
          <w:sz w:val="22"/>
          <w:szCs w:val="22"/>
          <w:highlight w:val="none"/>
        </w:rPr>
        <w:t>总分设定为100分：技术标</w:t>
      </w:r>
      <w:r>
        <w:rPr>
          <w:rFonts w:hint="eastAsia" w:cs="Times New Roman"/>
          <w:b/>
          <w:color w:val="auto"/>
          <w:sz w:val="22"/>
          <w:szCs w:val="22"/>
          <w:highlight w:val="none"/>
          <w:lang w:val="en-US" w:eastAsia="zh-CN"/>
        </w:rPr>
        <w:t>9</w:t>
      </w:r>
      <w:r>
        <w:rPr>
          <w:rFonts w:hint="default" w:ascii="Times New Roman" w:hAnsi="Times New Roman" w:eastAsia="宋体" w:cs="Times New Roman"/>
          <w:b/>
          <w:color w:val="auto"/>
          <w:sz w:val="22"/>
          <w:szCs w:val="22"/>
          <w:highlight w:val="none"/>
        </w:rPr>
        <w:t>0分（权值</w:t>
      </w:r>
      <w:r>
        <w:rPr>
          <w:rFonts w:hint="eastAsia" w:cs="Times New Roman"/>
          <w:b/>
          <w:color w:val="auto"/>
          <w:sz w:val="22"/>
          <w:szCs w:val="22"/>
          <w:highlight w:val="none"/>
          <w:lang w:val="en-US" w:eastAsia="zh-CN"/>
        </w:rPr>
        <w:t>9</w:t>
      </w:r>
      <w:r>
        <w:rPr>
          <w:rFonts w:hint="default" w:ascii="Times New Roman" w:hAnsi="Times New Roman" w:eastAsia="宋体" w:cs="Times New Roman"/>
          <w:b/>
          <w:color w:val="auto"/>
          <w:sz w:val="22"/>
          <w:szCs w:val="22"/>
          <w:highlight w:val="none"/>
        </w:rPr>
        <w:t>0%），商务标（报价）</w:t>
      </w:r>
      <w:r>
        <w:rPr>
          <w:rFonts w:hint="eastAsia" w:cs="Times New Roman"/>
          <w:b/>
          <w:color w:val="auto"/>
          <w:sz w:val="22"/>
          <w:szCs w:val="22"/>
          <w:highlight w:val="none"/>
          <w:lang w:val="en-US" w:eastAsia="zh-CN"/>
        </w:rPr>
        <w:t>1</w:t>
      </w:r>
      <w:r>
        <w:rPr>
          <w:rFonts w:hint="default" w:ascii="Times New Roman" w:hAnsi="Times New Roman" w:eastAsia="宋体" w:cs="Times New Roman"/>
          <w:b/>
          <w:color w:val="auto"/>
          <w:sz w:val="22"/>
          <w:szCs w:val="22"/>
          <w:highlight w:val="none"/>
        </w:rPr>
        <w:t>0分（权值</w:t>
      </w:r>
      <w:r>
        <w:rPr>
          <w:rFonts w:hint="eastAsia" w:cs="Times New Roman"/>
          <w:b/>
          <w:color w:val="auto"/>
          <w:sz w:val="22"/>
          <w:szCs w:val="22"/>
          <w:highlight w:val="none"/>
          <w:lang w:val="en-US" w:eastAsia="zh-CN"/>
        </w:rPr>
        <w:t>1</w:t>
      </w:r>
      <w:r>
        <w:rPr>
          <w:rFonts w:hint="default" w:ascii="Times New Roman" w:hAnsi="Times New Roman" w:eastAsia="宋体" w:cs="Times New Roman"/>
          <w:b/>
          <w:color w:val="auto"/>
          <w:sz w:val="22"/>
          <w:szCs w:val="22"/>
          <w:highlight w:val="none"/>
        </w:rPr>
        <w:t>0%）。</w:t>
      </w:r>
    </w:p>
    <w:p w14:paraId="787B06B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default" w:ascii="Times New Roman" w:hAnsi="Times New Roman" w:eastAsia="宋体" w:cs="Times New Roman"/>
          <w:b/>
          <w:color w:val="auto"/>
          <w:sz w:val="22"/>
          <w:szCs w:val="22"/>
          <w:highlight w:val="none"/>
        </w:rPr>
      </w:pPr>
      <w:bookmarkStart w:id="100" w:name="_Toc13176"/>
      <w:r>
        <w:rPr>
          <w:rFonts w:hint="default" w:ascii="Times New Roman" w:hAnsi="Times New Roman" w:eastAsia="宋体" w:cs="Times New Roman"/>
          <w:b/>
          <w:color w:val="auto"/>
          <w:sz w:val="22"/>
          <w:szCs w:val="22"/>
          <w:highlight w:val="none"/>
          <w:lang w:eastAsia="zh-CN"/>
        </w:rPr>
        <w:t>五、</w:t>
      </w:r>
      <w:r>
        <w:rPr>
          <w:rFonts w:hint="default" w:ascii="Times New Roman" w:hAnsi="Times New Roman" w:eastAsia="宋体" w:cs="Times New Roman"/>
          <w:b/>
          <w:color w:val="auto"/>
          <w:sz w:val="22"/>
          <w:szCs w:val="22"/>
          <w:highlight w:val="none"/>
        </w:rPr>
        <w:t>评分细则</w:t>
      </w:r>
      <w:bookmarkEnd w:id="100"/>
    </w:p>
    <w:p w14:paraId="1E7A5DAC">
      <w:pPr>
        <w:spacing w:line="460" w:lineRule="exact"/>
        <w:ind w:firstLine="442" w:firstLineChars="200"/>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1、技术分的评定：技术标</w:t>
      </w:r>
      <w:r>
        <w:rPr>
          <w:rFonts w:hint="eastAsia" w:cs="Times New Roman"/>
          <w:b/>
          <w:color w:val="auto"/>
          <w:sz w:val="22"/>
          <w:szCs w:val="22"/>
          <w:highlight w:val="none"/>
          <w:lang w:val="en-US" w:eastAsia="zh-CN"/>
        </w:rPr>
        <w:t>9</w:t>
      </w:r>
      <w:r>
        <w:rPr>
          <w:rFonts w:hint="default" w:ascii="Times New Roman" w:hAnsi="Times New Roman" w:eastAsia="宋体" w:cs="Times New Roman"/>
          <w:b/>
          <w:color w:val="auto"/>
          <w:sz w:val="22"/>
          <w:szCs w:val="22"/>
          <w:highlight w:val="none"/>
        </w:rPr>
        <w:t>0分（权值</w:t>
      </w:r>
      <w:r>
        <w:rPr>
          <w:rFonts w:hint="eastAsia" w:cs="Times New Roman"/>
          <w:b/>
          <w:color w:val="auto"/>
          <w:sz w:val="22"/>
          <w:szCs w:val="22"/>
          <w:highlight w:val="none"/>
          <w:lang w:val="en-US" w:eastAsia="zh-CN"/>
        </w:rPr>
        <w:t>9</w:t>
      </w:r>
      <w:r>
        <w:rPr>
          <w:rFonts w:hint="default" w:ascii="Times New Roman" w:hAnsi="Times New Roman" w:eastAsia="宋体" w:cs="Times New Roman"/>
          <w:b/>
          <w:color w:val="auto"/>
          <w:sz w:val="22"/>
          <w:szCs w:val="22"/>
          <w:highlight w:val="none"/>
        </w:rPr>
        <w:t>0%）</w:t>
      </w:r>
    </w:p>
    <w:p w14:paraId="50DF6DD2">
      <w:pPr>
        <w:spacing w:line="460" w:lineRule="exact"/>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default" w:ascii="Times New Roman" w:hAnsi="Times New Roman" w:eastAsia="宋体" w:cs="Times New Roman"/>
          <w:color w:val="auto"/>
          <w:sz w:val="22"/>
          <w:highlight w:val="none"/>
        </w:rPr>
        <w:t>各评标委员会成员对各投标人的各项评分内容评分的算术平均值为各投标人技术分得分</w:t>
      </w:r>
      <w:r>
        <w:rPr>
          <w:rFonts w:hint="default" w:ascii="Times New Roman" w:hAnsi="Times New Roman" w:eastAsia="宋体" w:cs="Times New Roman"/>
          <w:color w:val="auto"/>
          <w:sz w:val="22"/>
          <w:szCs w:val="22"/>
          <w:highlight w:val="none"/>
        </w:rPr>
        <w:t>（小数点后按四舍五入保留2位）。</w:t>
      </w:r>
    </w:p>
    <w:tbl>
      <w:tblPr>
        <w:tblStyle w:val="5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1"/>
        <w:gridCol w:w="1578"/>
        <w:gridCol w:w="739"/>
        <w:gridCol w:w="5801"/>
      </w:tblGrid>
      <w:tr w14:paraId="1043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2735FFE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2429" w:type="dxa"/>
            <w:gridSpan w:val="2"/>
            <w:vAlign w:val="center"/>
          </w:tcPr>
          <w:p w14:paraId="3E20F922">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评分项目</w:t>
            </w:r>
          </w:p>
        </w:tc>
        <w:tc>
          <w:tcPr>
            <w:tcW w:w="739" w:type="dxa"/>
            <w:vAlign w:val="center"/>
          </w:tcPr>
          <w:p w14:paraId="519F301C">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分值</w:t>
            </w:r>
          </w:p>
        </w:tc>
        <w:tc>
          <w:tcPr>
            <w:tcW w:w="5801" w:type="dxa"/>
            <w:vAlign w:val="center"/>
          </w:tcPr>
          <w:p w14:paraId="1912FDA4">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评分标准</w:t>
            </w:r>
          </w:p>
        </w:tc>
      </w:tr>
      <w:tr w14:paraId="2802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restart"/>
            <w:vAlign w:val="center"/>
          </w:tcPr>
          <w:p w14:paraId="697E97F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2429" w:type="dxa"/>
            <w:gridSpan w:val="2"/>
            <w:vMerge w:val="restart"/>
            <w:vAlign w:val="center"/>
          </w:tcPr>
          <w:p w14:paraId="760E1A8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企业综合</w:t>
            </w:r>
            <w:r>
              <w:rPr>
                <w:rFonts w:hint="eastAsia" w:eastAsia="新宋体" w:cs="Times New Roman"/>
                <w:color w:val="auto"/>
                <w:sz w:val="22"/>
                <w:szCs w:val="22"/>
                <w:highlight w:val="none"/>
                <w:lang w:val="en-US" w:eastAsia="zh-CN"/>
              </w:rPr>
              <w:t>情况</w:t>
            </w:r>
          </w:p>
        </w:tc>
        <w:tc>
          <w:tcPr>
            <w:tcW w:w="739" w:type="dxa"/>
            <w:vAlign w:val="center"/>
          </w:tcPr>
          <w:p w14:paraId="7280554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分</w:t>
            </w:r>
          </w:p>
        </w:tc>
        <w:tc>
          <w:tcPr>
            <w:tcW w:w="5801" w:type="dxa"/>
            <w:vAlign w:val="center"/>
          </w:tcPr>
          <w:p w14:paraId="77444BAC">
            <w:pPr>
              <w:keepNext w:val="0"/>
              <w:keepLines w:val="0"/>
              <w:pageBreakBefore w:val="0"/>
              <w:widowControl/>
              <w:numPr>
                <w:ilvl w:val="0"/>
                <w:numId w:val="5"/>
              </w:numPr>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kern w:val="28"/>
                <w:sz w:val="22"/>
                <w:szCs w:val="22"/>
                <w:highlight w:val="none"/>
                <w:lang w:val="en-US" w:eastAsia="zh-CN" w:bidi="ar"/>
              </w:rPr>
              <w:t>具备有效的质量管理体系、环境管理体系、职业健康安全管理体系认证证书（如为联合体参加投标，联合体各方均须提供，否则不得分），每提供一个得</w:t>
            </w:r>
            <w:r>
              <w:rPr>
                <w:rFonts w:hint="eastAsia" w:eastAsia="新宋体" w:cs="Times New Roman"/>
                <w:bCs/>
                <w:color w:val="auto"/>
                <w:kern w:val="28"/>
                <w:sz w:val="22"/>
                <w:szCs w:val="22"/>
                <w:highlight w:val="none"/>
                <w:lang w:val="en-US" w:eastAsia="zh-CN" w:bidi="ar"/>
              </w:rPr>
              <w:t>1</w:t>
            </w:r>
            <w:r>
              <w:rPr>
                <w:rFonts w:hint="default" w:ascii="Times New Roman" w:hAnsi="Times New Roman" w:eastAsia="新宋体" w:cs="Times New Roman"/>
                <w:bCs/>
                <w:color w:val="auto"/>
                <w:kern w:val="28"/>
                <w:sz w:val="22"/>
                <w:szCs w:val="22"/>
                <w:highlight w:val="none"/>
                <w:lang w:val="en-US" w:eastAsia="zh-CN" w:bidi="ar"/>
              </w:rPr>
              <w:t>分（如联合体，各方均满足才能得</w:t>
            </w:r>
            <w:r>
              <w:rPr>
                <w:rFonts w:hint="eastAsia" w:eastAsia="新宋体" w:cs="Times New Roman"/>
                <w:bCs/>
                <w:color w:val="auto"/>
                <w:kern w:val="28"/>
                <w:sz w:val="22"/>
                <w:szCs w:val="22"/>
                <w:highlight w:val="none"/>
                <w:lang w:val="en-US" w:eastAsia="zh-CN" w:bidi="ar"/>
              </w:rPr>
              <w:t>1</w:t>
            </w:r>
            <w:r>
              <w:rPr>
                <w:rFonts w:hint="default" w:ascii="Times New Roman" w:hAnsi="Times New Roman" w:eastAsia="新宋体" w:cs="Times New Roman"/>
                <w:bCs/>
                <w:color w:val="auto"/>
                <w:kern w:val="28"/>
                <w:sz w:val="22"/>
                <w:szCs w:val="22"/>
                <w:highlight w:val="none"/>
                <w:lang w:val="en-US" w:eastAsia="zh-CN" w:bidi="ar"/>
              </w:rPr>
              <w:t>分），本项最高得</w:t>
            </w:r>
            <w:r>
              <w:rPr>
                <w:rFonts w:hint="eastAsia" w:eastAsia="新宋体" w:cs="Times New Roman"/>
                <w:bCs/>
                <w:color w:val="auto"/>
                <w:kern w:val="28"/>
                <w:sz w:val="22"/>
                <w:szCs w:val="22"/>
                <w:highlight w:val="none"/>
                <w:lang w:val="en-US" w:eastAsia="zh-CN" w:bidi="ar"/>
              </w:rPr>
              <w:t>3</w:t>
            </w:r>
            <w:r>
              <w:rPr>
                <w:rFonts w:hint="default" w:ascii="Times New Roman" w:hAnsi="Times New Roman" w:eastAsia="新宋体" w:cs="Times New Roman"/>
                <w:bCs/>
                <w:color w:val="auto"/>
                <w:kern w:val="28"/>
                <w:sz w:val="22"/>
                <w:szCs w:val="22"/>
                <w:highlight w:val="none"/>
                <w:lang w:val="en-US" w:eastAsia="zh-CN" w:bidi="ar"/>
              </w:rPr>
              <w:t>分。</w:t>
            </w:r>
            <w:r>
              <w:rPr>
                <w:rFonts w:hint="default" w:ascii="Times New Roman" w:hAnsi="Times New Roman" w:eastAsia="新宋体" w:cs="Times New Roman"/>
                <w:b/>
                <w:bCs/>
                <w:color w:val="auto"/>
                <w:kern w:val="2"/>
                <w:sz w:val="22"/>
                <w:szCs w:val="22"/>
                <w:highlight w:val="none"/>
                <w:lang w:val="en-US" w:eastAsia="zh-CN" w:bidi="ar"/>
              </w:rPr>
              <w:t>（注：有效性认定：须提供以上证书扫描件并提供全国认证认可信息公共服务平台http://cx.cnca.cn/CertECloud/result/skipResultList查询到相关证书信息的网页截图证明，否则不得分）。</w:t>
            </w:r>
          </w:p>
        </w:tc>
      </w:tr>
      <w:tr w14:paraId="4EE9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5C21423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2429" w:type="dxa"/>
            <w:gridSpan w:val="2"/>
            <w:vMerge w:val="continue"/>
            <w:vAlign w:val="center"/>
          </w:tcPr>
          <w:p w14:paraId="269E081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739" w:type="dxa"/>
            <w:vAlign w:val="center"/>
          </w:tcPr>
          <w:p w14:paraId="5F8A857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5分</w:t>
            </w:r>
          </w:p>
        </w:tc>
        <w:tc>
          <w:tcPr>
            <w:tcW w:w="5801" w:type="dxa"/>
            <w:vAlign w:val="center"/>
          </w:tcPr>
          <w:p w14:paraId="67B45A50">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根据投标人</w:t>
            </w:r>
            <w:r>
              <w:rPr>
                <w:rFonts w:hint="eastAsia" w:eastAsia="新宋体" w:cs="Times New Roman"/>
                <w:color w:val="auto"/>
                <w:sz w:val="22"/>
                <w:szCs w:val="22"/>
                <w:highlight w:val="none"/>
                <w:lang w:val="en-US" w:eastAsia="zh-CN"/>
              </w:rPr>
              <w:t>的相关鉴定业务范围、相关证书等</w:t>
            </w:r>
            <w:r>
              <w:rPr>
                <w:rFonts w:hint="default" w:ascii="Times New Roman" w:hAnsi="Times New Roman" w:eastAsia="新宋体" w:cs="Times New Roman"/>
                <w:color w:val="auto"/>
                <w:sz w:val="22"/>
                <w:szCs w:val="22"/>
                <w:highlight w:val="none"/>
              </w:rPr>
              <w:t>综合</w:t>
            </w:r>
            <w:r>
              <w:rPr>
                <w:rFonts w:hint="eastAsia" w:eastAsia="新宋体" w:cs="Times New Roman"/>
                <w:color w:val="auto"/>
                <w:sz w:val="22"/>
                <w:szCs w:val="22"/>
                <w:highlight w:val="none"/>
                <w:lang w:val="en-US" w:eastAsia="zh-CN"/>
              </w:rPr>
              <w:t>情况</w:t>
            </w:r>
            <w:r>
              <w:rPr>
                <w:rFonts w:hint="default" w:ascii="Times New Roman" w:hAnsi="Times New Roman" w:eastAsia="新宋体" w:cs="Times New Roman"/>
                <w:color w:val="auto"/>
                <w:sz w:val="22"/>
                <w:szCs w:val="22"/>
                <w:highlight w:val="none"/>
              </w:rPr>
              <w:t>比较打分</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5、4、3、2、1、0</w:t>
            </w:r>
            <w:r>
              <w:rPr>
                <w:rFonts w:hint="default" w:ascii="Times New Roman" w:hAnsi="Times New Roman" w:eastAsia="新宋体" w:cs="Times New Roman"/>
                <w:color w:val="auto"/>
                <w:sz w:val="22"/>
                <w:szCs w:val="22"/>
                <w:highlight w:val="none"/>
              </w:rPr>
              <w:t>分）</w:t>
            </w:r>
          </w:p>
        </w:tc>
      </w:tr>
      <w:tr w14:paraId="2598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restart"/>
            <w:vAlign w:val="center"/>
          </w:tcPr>
          <w:p w14:paraId="1F963D03">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w:t>
            </w:r>
          </w:p>
        </w:tc>
        <w:tc>
          <w:tcPr>
            <w:tcW w:w="851" w:type="dxa"/>
            <w:vMerge w:val="restart"/>
            <w:vAlign w:val="center"/>
          </w:tcPr>
          <w:p w14:paraId="71FB1D4C">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项目组织实施方案</w:t>
            </w:r>
          </w:p>
        </w:tc>
        <w:tc>
          <w:tcPr>
            <w:tcW w:w="1578" w:type="dxa"/>
            <w:vAlign w:val="center"/>
          </w:tcPr>
          <w:p w14:paraId="19430F2B">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整体组织实施方案</w:t>
            </w:r>
          </w:p>
        </w:tc>
        <w:tc>
          <w:tcPr>
            <w:tcW w:w="739" w:type="dxa"/>
            <w:vAlign w:val="center"/>
          </w:tcPr>
          <w:p w14:paraId="51BDC329">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9</w:t>
            </w:r>
            <w:r>
              <w:rPr>
                <w:rFonts w:hint="default" w:ascii="Times New Roman" w:hAnsi="Times New Roman" w:eastAsia="新宋体" w:cs="Times New Roman"/>
                <w:color w:val="auto"/>
                <w:sz w:val="22"/>
                <w:szCs w:val="22"/>
                <w:highlight w:val="none"/>
              </w:rPr>
              <w:t>分</w:t>
            </w:r>
          </w:p>
        </w:tc>
        <w:tc>
          <w:tcPr>
            <w:tcW w:w="5801" w:type="dxa"/>
            <w:vAlign w:val="center"/>
          </w:tcPr>
          <w:p w14:paraId="33A3DECE">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对照</w:t>
            </w:r>
            <w:r>
              <w:rPr>
                <w:rFonts w:hint="default" w:ascii="Times New Roman" w:hAnsi="Times New Roman" w:eastAsia="新宋体" w:cs="Times New Roman"/>
                <w:color w:val="auto"/>
                <w:sz w:val="22"/>
                <w:szCs w:val="22"/>
                <w:highlight w:val="none"/>
                <w:lang w:val="en-US" w:eastAsia="zh-CN"/>
              </w:rPr>
              <w:t>招标</w:t>
            </w:r>
            <w:r>
              <w:rPr>
                <w:rFonts w:hint="default" w:ascii="Times New Roman" w:hAnsi="Times New Roman" w:eastAsia="新宋体" w:cs="Times New Roman"/>
                <w:color w:val="auto"/>
                <w:sz w:val="22"/>
                <w:szCs w:val="22"/>
                <w:highlight w:val="none"/>
                <w:lang w:eastAsia="zh-CN"/>
              </w:rPr>
              <w:t>文件</w:t>
            </w:r>
            <w:r>
              <w:rPr>
                <w:rFonts w:hint="default" w:ascii="Times New Roman" w:hAnsi="Times New Roman" w:eastAsia="新宋体" w:cs="Times New Roman"/>
                <w:color w:val="auto"/>
                <w:sz w:val="22"/>
                <w:szCs w:val="22"/>
                <w:highlight w:val="none"/>
              </w:rPr>
              <w:t>基本要求，项目整体组织实施方案的科学性描述详细程度进行评分</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3、2、1、0</w:t>
            </w:r>
            <w:r>
              <w:rPr>
                <w:rFonts w:hint="default" w:ascii="Times New Roman" w:hAnsi="Times New Roman" w:eastAsia="新宋体" w:cs="Times New Roman"/>
                <w:color w:val="auto"/>
                <w:sz w:val="22"/>
                <w:szCs w:val="22"/>
                <w:highlight w:val="none"/>
              </w:rPr>
              <w:t>分）</w:t>
            </w:r>
          </w:p>
          <w:p w14:paraId="25553427">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对照</w:t>
            </w:r>
            <w:r>
              <w:rPr>
                <w:rFonts w:hint="default" w:ascii="Times New Roman" w:hAnsi="Times New Roman" w:eastAsia="新宋体" w:cs="Times New Roman"/>
                <w:color w:val="auto"/>
                <w:sz w:val="22"/>
                <w:szCs w:val="22"/>
                <w:highlight w:val="none"/>
                <w:lang w:val="en-US" w:eastAsia="zh-CN"/>
              </w:rPr>
              <w:t>招标</w:t>
            </w:r>
            <w:r>
              <w:rPr>
                <w:rFonts w:hint="default" w:ascii="Times New Roman" w:hAnsi="Times New Roman" w:eastAsia="新宋体" w:cs="Times New Roman"/>
                <w:color w:val="auto"/>
                <w:sz w:val="22"/>
                <w:szCs w:val="22"/>
                <w:highlight w:val="none"/>
                <w:lang w:eastAsia="zh-CN"/>
              </w:rPr>
              <w:t>文件</w:t>
            </w:r>
            <w:r>
              <w:rPr>
                <w:rFonts w:hint="default" w:ascii="Times New Roman" w:hAnsi="Times New Roman" w:eastAsia="新宋体" w:cs="Times New Roman"/>
                <w:color w:val="auto"/>
                <w:sz w:val="22"/>
                <w:szCs w:val="22"/>
                <w:highlight w:val="none"/>
              </w:rPr>
              <w:t>基本要求，项目整体组织实施方案的严密性描述详细程度进行评分</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3、2、1、0</w:t>
            </w:r>
            <w:r>
              <w:rPr>
                <w:rFonts w:hint="default" w:ascii="Times New Roman" w:hAnsi="Times New Roman" w:eastAsia="新宋体" w:cs="Times New Roman"/>
                <w:color w:val="auto"/>
                <w:sz w:val="22"/>
                <w:szCs w:val="22"/>
                <w:highlight w:val="none"/>
              </w:rPr>
              <w:t>分）</w:t>
            </w:r>
          </w:p>
          <w:p w14:paraId="4944B78B">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对照</w:t>
            </w:r>
            <w:r>
              <w:rPr>
                <w:rFonts w:hint="default" w:ascii="Times New Roman" w:hAnsi="Times New Roman" w:eastAsia="新宋体" w:cs="Times New Roman"/>
                <w:color w:val="auto"/>
                <w:sz w:val="22"/>
                <w:szCs w:val="22"/>
                <w:highlight w:val="none"/>
                <w:lang w:val="en-US" w:eastAsia="zh-CN"/>
              </w:rPr>
              <w:t>招标</w:t>
            </w:r>
            <w:r>
              <w:rPr>
                <w:rFonts w:hint="default" w:ascii="Times New Roman" w:hAnsi="Times New Roman" w:eastAsia="新宋体" w:cs="Times New Roman"/>
                <w:color w:val="auto"/>
                <w:sz w:val="22"/>
                <w:szCs w:val="22"/>
                <w:highlight w:val="none"/>
                <w:lang w:eastAsia="zh-CN"/>
              </w:rPr>
              <w:t>文件</w:t>
            </w:r>
            <w:r>
              <w:rPr>
                <w:rFonts w:hint="default" w:ascii="Times New Roman" w:hAnsi="Times New Roman" w:eastAsia="新宋体" w:cs="Times New Roman"/>
                <w:color w:val="auto"/>
                <w:sz w:val="22"/>
                <w:szCs w:val="22"/>
                <w:highlight w:val="none"/>
              </w:rPr>
              <w:t>基本要求，项目整体组织实施方案的合理性描述详细程度进行评分</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3、2、1、0</w:t>
            </w:r>
            <w:r>
              <w:rPr>
                <w:rFonts w:hint="default" w:ascii="Times New Roman" w:hAnsi="Times New Roman" w:eastAsia="新宋体" w:cs="Times New Roman"/>
                <w:color w:val="auto"/>
                <w:sz w:val="22"/>
                <w:szCs w:val="22"/>
                <w:highlight w:val="none"/>
              </w:rPr>
              <w:t>分）</w:t>
            </w:r>
          </w:p>
        </w:tc>
      </w:tr>
      <w:tr w14:paraId="5FD7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0E128AC6">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064A61B9">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0F235B5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鉴定的程序和步骤</w:t>
            </w:r>
          </w:p>
        </w:tc>
        <w:tc>
          <w:tcPr>
            <w:tcW w:w="739" w:type="dxa"/>
            <w:vAlign w:val="center"/>
          </w:tcPr>
          <w:p w14:paraId="490B6343">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分</w:t>
            </w:r>
          </w:p>
        </w:tc>
        <w:tc>
          <w:tcPr>
            <w:tcW w:w="5801" w:type="dxa"/>
            <w:vAlign w:val="center"/>
          </w:tcPr>
          <w:p w14:paraId="78740ED8">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根据投标供应商提供的</w:t>
            </w:r>
            <w:r>
              <w:rPr>
                <w:rFonts w:hint="default" w:ascii="Times New Roman" w:hAnsi="Times New Roman" w:eastAsia="新宋体" w:cs="Times New Roman"/>
                <w:color w:val="auto"/>
                <w:sz w:val="22"/>
                <w:szCs w:val="22"/>
                <w:highlight w:val="none"/>
              </w:rPr>
              <w:t>对项目实施鉴定的工作程序和步骤</w:t>
            </w:r>
            <w:r>
              <w:rPr>
                <w:rFonts w:hint="default" w:ascii="Times New Roman" w:hAnsi="Times New Roman" w:eastAsia="新宋体" w:cs="Times New Roman"/>
                <w:color w:val="auto"/>
                <w:sz w:val="22"/>
                <w:szCs w:val="22"/>
                <w:highlight w:val="none"/>
                <w:lang w:val="en-US" w:eastAsia="zh-CN"/>
              </w:rPr>
              <w:t>科学性、合理性进行评分</w:t>
            </w:r>
          </w:p>
          <w:p w14:paraId="40CEABA3">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非常科学、合理的得</w:t>
            </w:r>
            <w:r>
              <w:rPr>
                <w:rFonts w:hint="default" w:ascii="Times New Roman" w:hAnsi="Times New Roman"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6、4</w:t>
            </w:r>
            <w:r>
              <w:rPr>
                <w:rFonts w:hint="default" w:ascii="Times New Roman" w:hAnsi="Times New Roman" w:eastAsia="新宋体" w:cs="Times New Roman"/>
                <w:color w:val="auto"/>
                <w:sz w:val="22"/>
                <w:szCs w:val="22"/>
                <w:highlight w:val="none"/>
                <w:lang w:val="en-US" w:eastAsia="zh-CN"/>
              </w:rPr>
              <w:t>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t>
            </w:r>
          </w:p>
          <w:p w14:paraId="4B21F99C">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较科学、合理的</w:t>
            </w:r>
            <w:r>
              <w:rPr>
                <w:rFonts w:hint="default" w:ascii="Times New Roman" w:hAnsi="Times New Roman"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3、2</w:t>
            </w:r>
            <w:r>
              <w:rPr>
                <w:rFonts w:hint="default" w:ascii="Times New Roman" w:hAnsi="Times New Roman" w:eastAsia="新宋体" w:cs="Times New Roman"/>
                <w:color w:val="auto"/>
                <w:sz w:val="22"/>
                <w:szCs w:val="22"/>
                <w:highlight w:val="none"/>
                <w:lang w:val="en-US" w:eastAsia="zh-CN"/>
              </w:rPr>
              <w:t>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t>
            </w:r>
          </w:p>
          <w:p w14:paraId="5D84DFBA">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不科学、不合理的</w:t>
            </w:r>
            <w:r>
              <w:rPr>
                <w:rFonts w:hint="default" w:ascii="Times New Roman" w:hAnsi="Times New Roman"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1、0</w:t>
            </w:r>
            <w:r>
              <w:rPr>
                <w:rFonts w:hint="default" w:ascii="Times New Roman" w:hAnsi="Times New Roman" w:eastAsia="新宋体" w:cs="Times New Roman"/>
                <w:color w:val="auto"/>
                <w:sz w:val="22"/>
                <w:szCs w:val="22"/>
                <w:highlight w:val="none"/>
                <w:lang w:val="en-US" w:eastAsia="zh-CN"/>
              </w:rPr>
              <w:t>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t>
            </w:r>
          </w:p>
        </w:tc>
      </w:tr>
      <w:tr w14:paraId="4583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3FB7FDAA">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52CBCCF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5C5DE59D">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服务进度的方案和措施</w:t>
            </w:r>
          </w:p>
        </w:tc>
        <w:tc>
          <w:tcPr>
            <w:tcW w:w="739" w:type="dxa"/>
            <w:vAlign w:val="center"/>
          </w:tcPr>
          <w:p w14:paraId="3A387862">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分</w:t>
            </w:r>
          </w:p>
        </w:tc>
        <w:tc>
          <w:tcPr>
            <w:tcW w:w="5801" w:type="dxa"/>
            <w:vAlign w:val="center"/>
          </w:tcPr>
          <w:p w14:paraId="0E6BD001">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根据投标供应商提供的保证服务进度的方案和措施严密性、合理性进行评分</w:t>
            </w:r>
          </w:p>
          <w:p w14:paraId="26708AE1">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方案和措施非常严密、合理的得（</w:t>
            </w: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lang w:val="en-US" w:eastAsia="zh-CN"/>
              </w:rPr>
              <w:t>4分）</w:t>
            </w:r>
          </w:p>
          <w:p w14:paraId="3610F26F">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方案和措施较严密、合理的得（3</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2分）</w:t>
            </w:r>
          </w:p>
          <w:p w14:paraId="4DE46199">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leftChars="0" w:right="0" w:rightChars="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方案和措施不严密、合理的得（1</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0分）</w:t>
            </w:r>
          </w:p>
        </w:tc>
      </w:tr>
      <w:tr w14:paraId="4198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2B9A5417">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3767A59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0D8EB560">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实施质量控制</w:t>
            </w:r>
            <w:r>
              <w:rPr>
                <w:rFonts w:hint="default" w:ascii="Times New Roman" w:hAnsi="Times New Roman" w:eastAsia="新宋体" w:cs="Times New Roman"/>
                <w:color w:val="auto"/>
                <w:sz w:val="22"/>
                <w:szCs w:val="22"/>
                <w:highlight w:val="none"/>
                <w:lang w:val="en-US" w:eastAsia="zh-CN"/>
              </w:rPr>
              <w:t>的</w:t>
            </w:r>
            <w:r>
              <w:rPr>
                <w:rFonts w:hint="default" w:ascii="Times New Roman" w:hAnsi="Times New Roman" w:eastAsia="新宋体" w:cs="Times New Roman"/>
                <w:color w:val="auto"/>
                <w:sz w:val="22"/>
                <w:szCs w:val="22"/>
                <w:highlight w:val="none"/>
              </w:rPr>
              <w:t>保证措施</w:t>
            </w:r>
          </w:p>
        </w:tc>
        <w:tc>
          <w:tcPr>
            <w:tcW w:w="739" w:type="dxa"/>
            <w:vAlign w:val="center"/>
          </w:tcPr>
          <w:p w14:paraId="52EED3F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分</w:t>
            </w:r>
          </w:p>
        </w:tc>
        <w:tc>
          <w:tcPr>
            <w:tcW w:w="5801" w:type="dxa"/>
            <w:vAlign w:val="center"/>
          </w:tcPr>
          <w:p w14:paraId="19DD648B">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根据投标供应商提供的项目组织实施质量控制的保证措施手段的科学、可靠性进行评分</w:t>
            </w:r>
          </w:p>
          <w:p w14:paraId="294C8CEA">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非常科学、可靠的得（</w:t>
            </w: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lang w:val="en-US" w:eastAsia="zh-CN"/>
              </w:rPr>
              <w:t>4分）；</w:t>
            </w:r>
          </w:p>
          <w:p w14:paraId="0C725413">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较科学、可靠的得（3</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2分）；</w:t>
            </w:r>
          </w:p>
          <w:p w14:paraId="51DEF70E">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不科学、可靠的得（1</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0分）。</w:t>
            </w:r>
          </w:p>
        </w:tc>
      </w:tr>
      <w:tr w14:paraId="082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617B014F">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02C8D0A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51BA974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内部管理及员工培训</w:t>
            </w:r>
          </w:p>
        </w:tc>
        <w:tc>
          <w:tcPr>
            <w:tcW w:w="739" w:type="dxa"/>
            <w:vAlign w:val="center"/>
          </w:tcPr>
          <w:p w14:paraId="48637CC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分</w:t>
            </w:r>
          </w:p>
        </w:tc>
        <w:tc>
          <w:tcPr>
            <w:tcW w:w="5801" w:type="dxa"/>
            <w:vAlign w:val="center"/>
          </w:tcPr>
          <w:p w14:paraId="4176DD70">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投标人内部管理考核制度</w:t>
            </w:r>
            <w:r>
              <w:rPr>
                <w:rFonts w:hint="default" w:ascii="Times New Roman" w:hAnsi="Times New Roman" w:eastAsia="新宋体" w:cs="Times New Roman"/>
                <w:color w:val="auto"/>
                <w:sz w:val="22"/>
                <w:szCs w:val="22"/>
                <w:highlight w:val="none"/>
                <w:lang w:val="en-US" w:eastAsia="zh-CN"/>
              </w:rPr>
              <w:t>详细程度进行评分</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3、2、1、0</w:t>
            </w:r>
            <w:r>
              <w:rPr>
                <w:rFonts w:hint="default" w:ascii="Times New Roman" w:hAnsi="Times New Roman" w:eastAsia="新宋体" w:cs="Times New Roman"/>
                <w:color w:val="auto"/>
                <w:sz w:val="22"/>
                <w:szCs w:val="22"/>
                <w:highlight w:val="none"/>
              </w:rPr>
              <w:t>分）</w:t>
            </w:r>
          </w:p>
          <w:p w14:paraId="2CA07C51">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投标人员工培训计划完整性</w:t>
            </w:r>
            <w:r>
              <w:rPr>
                <w:rFonts w:hint="default" w:ascii="Times New Roman" w:hAnsi="Times New Roman" w:eastAsia="新宋体" w:cs="Times New Roman"/>
                <w:color w:val="auto"/>
                <w:sz w:val="22"/>
                <w:szCs w:val="22"/>
                <w:highlight w:val="none"/>
                <w:lang w:val="en-US" w:eastAsia="zh-CN"/>
              </w:rPr>
              <w:t>进行评分</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3、2、1、0</w:t>
            </w:r>
            <w:r>
              <w:rPr>
                <w:rFonts w:hint="default" w:ascii="Times New Roman" w:hAnsi="Times New Roman" w:eastAsia="新宋体" w:cs="Times New Roman"/>
                <w:color w:val="auto"/>
                <w:sz w:val="22"/>
                <w:szCs w:val="22"/>
                <w:highlight w:val="none"/>
              </w:rPr>
              <w:t>分）</w:t>
            </w:r>
          </w:p>
        </w:tc>
      </w:tr>
      <w:tr w14:paraId="3765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63BD36D8">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6FC407E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74AE9400">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应急措施</w:t>
            </w:r>
          </w:p>
        </w:tc>
        <w:tc>
          <w:tcPr>
            <w:tcW w:w="739" w:type="dxa"/>
            <w:vAlign w:val="center"/>
          </w:tcPr>
          <w:p w14:paraId="7177491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分</w:t>
            </w:r>
          </w:p>
        </w:tc>
        <w:tc>
          <w:tcPr>
            <w:tcW w:w="5801" w:type="dxa"/>
            <w:vAlign w:val="center"/>
          </w:tcPr>
          <w:p w14:paraId="4D82AAD5">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突发事件的应急措施，如遇特殊情况，如何在招标人要求的时间内完成鉴定报告，提供的措施合理</w:t>
            </w:r>
            <w:r>
              <w:rPr>
                <w:rFonts w:hint="default" w:ascii="Times New Roman" w:hAnsi="Times New Roman" w:eastAsia="新宋体" w:cs="Times New Roman"/>
                <w:color w:val="auto"/>
                <w:sz w:val="22"/>
                <w:szCs w:val="22"/>
                <w:highlight w:val="none"/>
                <w:lang w:val="en-US" w:eastAsia="zh-CN"/>
              </w:rPr>
              <w:t>性</w:t>
            </w:r>
            <w:r>
              <w:rPr>
                <w:rFonts w:hint="default" w:ascii="Times New Roman" w:hAnsi="Times New Roman" w:eastAsia="新宋体" w:cs="Times New Roman"/>
                <w:color w:val="auto"/>
                <w:sz w:val="22"/>
                <w:szCs w:val="22"/>
                <w:highlight w:val="none"/>
              </w:rPr>
              <w:t>、全面</w:t>
            </w:r>
            <w:r>
              <w:rPr>
                <w:rFonts w:hint="default" w:ascii="Times New Roman" w:hAnsi="Times New Roman" w:eastAsia="新宋体" w:cs="Times New Roman"/>
                <w:color w:val="auto"/>
                <w:sz w:val="22"/>
                <w:szCs w:val="22"/>
                <w:highlight w:val="none"/>
                <w:lang w:val="en-US" w:eastAsia="zh-CN"/>
              </w:rPr>
              <w:t>性进行评分</w:t>
            </w:r>
            <w:r>
              <w:rPr>
                <w:rFonts w:hint="default" w:ascii="Times New Roman" w:hAnsi="Times New Roman" w:eastAsia="新宋体" w:cs="Times New Roman"/>
                <w:color w:val="auto"/>
                <w:sz w:val="22"/>
                <w:szCs w:val="22"/>
                <w:highlight w:val="none"/>
              </w:rPr>
              <w:t>。</w:t>
            </w:r>
          </w:p>
          <w:p w14:paraId="063807C8">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提供的措施</w:t>
            </w:r>
            <w:r>
              <w:rPr>
                <w:rFonts w:hint="default" w:ascii="Times New Roman" w:hAnsi="Times New Roman" w:eastAsia="新宋体" w:cs="Times New Roman"/>
                <w:color w:val="auto"/>
                <w:sz w:val="22"/>
                <w:szCs w:val="22"/>
                <w:highlight w:val="none"/>
                <w:lang w:val="en-US" w:eastAsia="zh-CN"/>
              </w:rPr>
              <w:t>非常</w:t>
            </w:r>
            <w:r>
              <w:rPr>
                <w:rFonts w:hint="default" w:ascii="Times New Roman" w:hAnsi="Times New Roman" w:eastAsia="新宋体" w:cs="Times New Roman"/>
                <w:color w:val="auto"/>
                <w:sz w:val="22"/>
                <w:szCs w:val="22"/>
                <w:highlight w:val="none"/>
              </w:rPr>
              <w:t>合理、全面</w:t>
            </w:r>
            <w:r>
              <w:rPr>
                <w:rFonts w:hint="default" w:ascii="Times New Roman" w:hAnsi="Times New Roman" w:eastAsia="新宋体" w:cs="Times New Roman"/>
                <w:color w:val="auto"/>
                <w:sz w:val="22"/>
                <w:szCs w:val="22"/>
                <w:highlight w:val="none"/>
                <w:lang w:val="en-US" w:eastAsia="zh-CN"/>
              </w:rPr>
              <w:t>的得（</w:t>
            </w:r>
            <w:r>
              <w:rPr>
                <w:rFonts w:hint="eastAsia" w:eastAsia="新宋体" w:cs="Times New Roman"/>
                <w:color w:val="auto"/>
                <w:sz w:val="22"/>
                <w:szCs w:val="22"/>
                <w:highlight w:val="none"/>
                <w:lang w:val="en-US" w:eastAsia="zh-CN"/>
              </w:rPr>
              <w:t>5、3</w:t>
            </w:r>
            <w:r>
              <w:rPr>
                <w:rFonts w:hint="default" w:ascii="Times New Roman" w:hAnsi="Times New Roman" w:eastAsia="新宋体" w:cs="Times New Roman"/>
                <w:color w:val="auto"/>
                <w:sz w:val="22"/>
                <w:szCs w:val="22"/>
                <w:highlight w:val="none"/>
                <w:lang w:val="en-US" w:eastAsia="zh-CN"/>
              </w:rPr>
              <w:t>分）</w:t>
            </w:r>
          </w:p>
          <w:p w14:paraId="412CD645">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提供的措施</w:t>
            </w:r>
            <w:r>
              <w:rPr>
                <w:rFonts w:hint="default" w:ascii="Times New Roman" w:hAnsi="Times New Roman" w:eastAsia="新宋体" w:cs="Times New Roman"/>
                <w:color w:val="auto"/>
                <w:sz w:val="22"/>
                <w:szCs w:val="22"/>
                <w:highlight w:val="none"/>
                <w:lang w:val="en-US" w:eastAsia="zh-CN"/>
              </w:rPr>
              <w:t>较</w:t>
            </w:r>
            <w:r>
              <w:rPr>
                <w:rFonts w:hint="default" w:ascii="Times New Roman" w:hAnsi="Times New Roman" w:eastAsia="新宋体" w:cs="Times New Roman"/>
                <w:color w:val="auto"/>
                <w:sz w:val="22"/>
                <w:szCs w:val="22"/>
                <w:highlight w:val="none"/>
              </w:rPr>
              <w:t>合理、全面</w:t>
            </w:r>
            <w:r>
              <w:rPr>
                <w:rFonts w:hint="default" w:ascii="Times New Roman" w:hAnsi="Times New Roman" w:eastAsia="新宋体" w:cs="Times New Roman"/>
                <w:color w:val="auto"/>
                <w:sz w:val="22"/>
                <w:szCs w:val="22"/>
                <w:highlight w:val="none"/>
                <w:lang w:val="en-US" w:eastAsia="zh-CN"/>
              </w:rPr>
              <w:t>的得（</w:t>
            </w:r>
            <w:r>
              <w:rPr>
                <w:rFonts w:hint="eastAsia" w:eastAsia="新宋体" w:cs="Times New Roman"/>
                <w:color w:val="auto"/>
                <w:sz w:val="22"/>
                <w:szCs w:val="22"/>
                <w:highlight w:val="none"/>
                <w:lang w:val="en-US" w:eastAsia="zh-CN"/>
              </w:rPr>
              <w:t>3、2</w:t>
            </w:r>
            <w:r>
              <w:rPr>
                <w:rFonts w:hint="default" w:ascii="Times New Roman" w:hAnsi="Times New Roman" w:eastAsia="新宋体" w:cs="Times New Roman"/>
                <w:color w:val="auto"/>
                <w:sz w:val="22"/>
                <w:szCs w:val="22"/>
                <w:highlight w:val="none"/>
                <w:lang w:val="en-US" w:eastAsia="zh-CN"/>
              </w:rPr>
              <w:t>分）</w:t>
            </w:r>
          </w:p>
          <w:p w14:paraId="7BBBED53">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提供的措施</w:t>
            </w:r>
            <w:r>
              <w:rPr>
                <w:rFonts w:hint="default" w:ascii="Times New Roman" w:hAnsi="Times New Roman" w:eastAsia="新宋体" w:cs="Times New Roman"/>
                <w:color w:val="auto"/>
                <w:sz w:val="22"/>
                <w:szCs w:val="22"/>
                <w:highlight w:val="none"/>
                <w:lang w:val="en-US" w:eastAsia="zh-CN"/>
              </w:rPr>
              <w:t>不</w:t>
            </w:r>
            <w:r>
              <w:rPr>
                <w:rFonts w:hint="default" w:ascii="Times New Roman" w:hAnsi="Times New Roman" w:eastAsia="新宋体" w:cs="Times New Roman"/>
                <w:color w:val="auto"/>
                <w:sz w:val="22"/>
                <w:szCs w:val="22"/>
                <w:highlight w:val="none"/>
              </w:rPr>
              <w:t>合理、全面</w:t>
            </w:r>
            <w:r>
              <w:rPr>
                <w:rFonts w:hint="default" w:ascii="Times New Roman" w:hAnsi="Times New Roman" w:eastAsia="新宋体" w:cs="Times New Roman"/>
                <w:color w:val="auto"/>
                <w:sz w:val="22"/>
                <w:szCs w:val="22"/>
                <w:highlight w:val="none"/>
                <w:lang w:val="en-US" w:eastAsia="zh-CN"/>
              </w:rPr>
              <w:t>的得（1</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0分）</w:t>
            </w:r>
          </w:p>
        </w:tc>
      </w:tr>
      <w:tr w14:paraId="0D47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1BBAF5DC">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301F3A7E">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Align w:val="center"/>
          </w:tcPr>
          <w:p w14:paraId="6D268B1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合理化建议</w:t>
            </w:r>
          </w:p>
        </w:tc>
        <w:tc>
          <w:tcPr>
            <w:tcW w:w="739" w:type="dxa"/>
            <w:vAlign w:val="center"/>
          </w:tcPr>
          <w:p w14:paraId="4E1BFEDD">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分</w:t>
            </w:r>
          </w:p>
        </w:tc>
        <w:tc>
          <w:tcPr>
            <w:tcW w:w="5801" w:type="dxa"/>
            <w:vAlign w:val="center"/>
          </w:tcPr>
          <w:p w14:paraId="50A4B111">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根据投标供应商提供</w:t>
            </w:r>
            <w:r>
              <w:rPr>
                <w:rFonts w:hint="default" w:ascii="Times New Roman" w:hAnsi="Times New Roman" w:eastAsia="新宋体" w:cs="Times New Roman"/>
                <w:color w:val="auto"/>
                <w:sz w:val="22"/>
                <w:szCs w:val="22"/>
                <w:highlight w:val="none"/>
              </w:rPr>
              <w:t>针对本项目的合理化建议</w:t>
            </w:r>
            <w:r>
              <w:rPr>
                <w:rFonts w:hint="default" w:ascii="Times New Roman" w:hAnsi="Times New Roman" w:eastAsia="新宋体" w:cs="Times New Roman"/>
                <w:color w:val="auto"/>
                <w:sz w:val="22"/>
                <w:szCs w:val="22"/>
                <w:highlight w:val="none"/>
                <w:lang w:val="en-US" w:eastAsia="zh-CN"/>
              </w:rPr>
              <w:t>可行性情况进行评分</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4、3、2、1、0</w:t>
            </w:r>
            <w:r>
              <w:rPr>
                <w:rFonts w:hint="default" w:ascii="Times New Roman" w:hAnsi="Times New Roman" w:eastAsia="新宋体" w:cs="Times New Roman"/>
                <w:color w:val="auto"/>
                <w:sz w:val="22"/>
                <w:szCs w:val="22"/>
                <w:highlight w:val="none"/>
              </w:rPr>
              <w:t>分）</w:t>
            </w:r>
          </w:p>
        </w:tc>
      </w:tr>
      <w:tr w14:paraId="642E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5EA38E42">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55B2E820">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Merge w:val="restart"/>
            <w:vAlign w:val="center"/>
          </w:tcPr>
          <w:p w14:paraId="3D7391E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u w:val="wave" w:color="FFFFFF"/>
              </w:rPr>
              <w:t>技术服务及力量保障</w:t>
            </w:r>
          </w:p>
        </w:tc>
        <w:tc>
          <w:tcPr>
            <w:tcW w:w="739" w:type="dxa"/>
            <w:vAlign w:val="center"/>
          </w:tcPr>
          <w:p w14:paraId="488EEFCF">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6分</w:t>
            </w:r>
            <w:r>
              <w:rPr>
                <w:rFonts w:hint="default" w:ascii="Times New Roman" w:hAnsi="Times New Roman" w:eastAsia="新宋体" w:cs="Times New Roman"/>
                <w:color w:val="auto"/>
                <w:sz w:val="22"/>
                <w:szCs w:val="22"/>
                <w:highlight w:val="none"/>
              </w:rPr>
              <w:t xml:space="preserve"> </w:t>
            </w:r>
          </w:p>
        </w:tc>
        <w:tc>
          <w:tcPr>
            <w:tcW w:w="5801" w:type="dxa"/>
            <w:vAlign w:val="center"/>
          </w:tcPr>
          <w:p w14:paraId="4C6E0B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1、项目负责人</w:t>
            </w:r>
            <w:r>
              <w:rPr>
                <w:rFonts w:hint="default" w:ascii="Times New Roman" w:hAnsi="Times New Roman" w:eastAsia="新宋体" w:cs="Times New Roman"/>
                <w:color w:val="auto"/>
                <w:kern w:val="2"/>
                <w:sz w:val="22"/>
                <w:szCs w:val="22"/>
                <w:highlight w:val="none"/>
                <w:lang w:val="en-US" w:eastAsia="zh-CN" w:bidi="ar"/>
              </w:rPr>
              <w:t>具备痕迹鉴定</w:t>
            </w:r>
            <w:r>
              <w:rPr>
                <w:rFonts w:hint="default" w:ascii="Times New Roman" w:hAnsi="Times New Roman" w:eastAsia="新宋体" w:cs="Times New Roman"/>
                <w:bCs/>
                <w:color w:val="auto"/>
                <w:kern w:val="2"/>
                <w:sz w:val="22"/>
                <w:szCs w:val="22"/>
                <w:highlight w:val="none"/>
                <w:lang w:val="en-US" w:eastAsia="zh-CN" w:bidi="ar"/>
              </w:rPr>
              <w:t>司法鉴定执业证</w:t>
            </w:r>
            <w:r>
              <w:rPr>
                <w:rFonts w:hint="default" w:ascii="Times New Roman" w:hAnsi="Times New Roman" w:eastAsia="新宋体" w:cs="Times New Roman"/>
                <w:color w:val="auto"/>
                <w:kern w:val="2"/>
                <w:sz w:val="22"/>
                <w:szCs w:val="22"/>
                <w:highlight w:val="none"/>
                <w:lang w:val="en-US" w:eastAsia="zh-CN" w:bidi="ar"/>
              </w:rPr>
              <w:t>或产品质量鉴定专家证，每项得1分，最高2分。</w:t>
            </w:r>
          </w:p>
          <w:p w14:paraId="4D63F0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default" w:ascii="Times New Roman" w:hAnsi="Times New Roman" w:eastAsia="新宋体" w:cs="Times New Roman"/>
                <w:bCs/>
                <w:color w:val="auto"/>
                <w:kern w:val="2"/>
                <w:sz w:val="22"/>
                <w:szCs w:val="22"/>
                <w:highlight w:val="none"/>
                <w:lang w:val="en-US" w:eastAsia="zh-CN" w:bidi="ar"/>
              </w:rPr>
            </w:pP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kern w:val="2"/>
                <w:sz w:val="22"/>
                <w:szCs w:val="22"/>
                <w:highlight w:val="none"/>
                <w:lang w:val="en-US" w:eastAsia="zh-CN" w:bidi="ar"/>
              </w:rPr>
              <w:t>拟派</w:t>
            </w:r>
            <w:r>
              <w:rPr>
                <w:rFonts w:hint="default" w:ascii="Times New Roman" w:hAnsi="Times New Roman" w:eastAsia="新宋体" w:cs="Times New Roman"/>
                <w:bCs/>
                <w:color w:val="auto"/>
                <w:kern w:val="2"/>
                <w:sz w:val="22"/>
                <w:szCs w:val="22"/>
                <w:highlight w:val="none"/>
                <w:lang w:val="en-US" w:eastAsia="zh-CN" w:bidi="ar"/>
              </w:rPr>
              <w:t>人员中具备痕迹鉴定司法鉴定执业证4人以上，每增加1人，得1分，最高2分。</w:t>
            </w:r>
          </w:p>
          <w:p w14:paraId="48C4B6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default" w:ascii="Times New Roman" w:hAnsi="Times New Roman" w:eastAsia="新宋体" w:cs="Times New Roman"/>
                <w:bCs/>
                <w:color w:val="auto"/>
                <w:kern w:val="2"/>
                <w:sz w:val="22"/>
                <w:szCs w:val="22"/>
                <w:highlight w:val="none"/>
                <w:lang w:val="en-US" w:eastAsia="zh-CN" w:bidi="ar"/>
              </w:rPr>
            </w:pPr>
            <w:r>
              <w:rPr>
                <w:rFonts w:hint="eastAsia"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color w:val="auto"/>
                <w:kern w:val="2"/>
                <w:sz w:val="22"/>
                <w:szCs w:val="22"/>
                <w:highlight w:val="none"/>
                <w:lang w:val="en-US" w:eastAsia="zh-CN" w:bidi="ar"/>
              </w:rPr>
              <w:t>拟派</w:t>
            </w:r>
            <w:r>
              <w:rPr>
                <w:rFonts w:hint="default" w:ascii="Times New Roman" w:hAnsi="Times New Roman" w:eastAsia="新宋体" w:cs="Times New Roman"/>
                <w:bCs/>
                <w:color w:val="auto"/>
                <w:kern w:val="2"/>
                <w:sz w:val="22"/>
                <w:szCs w:val="22"/>
                <w:highlight w:val="none"/>
                <w:lang w:val="en-US" w:eastAsia="zh-CN" w:bidi="ar"/>
              </w:rPr>
              <w:t>人员中具备产品质量鉴定证书</w:t>
            </w:r>
            <w:r>
              <w:rPr>
                <w:rFonts w:hint="eastAsia" w:ascii="新宋体" w:hAnsi="新宋体" w:eastAsia="新宋体" w:cs="新宋体"/>
                <w:bCs/>
                <w:color w:val="auto"/>
                <w:szCs w:val="22"/>
                <w:highlight w:val="none"/>
              </w:rPr>
              <w:t>（需汽车相关专业）</w:t>
            </w:r>
            <w:r>
              <w:rPr>
                <w:rFonts w:hint="default" w:ascii="Times New Roman" w:hAnsi="Times New Roman" w:eastAsia="新宋体" w:cs="Times New Roman"/>
                <w:bCs/>
                <w:color w:val="auto"/>
                <w:kern w:val="2"/>
                <w:sz w:val="22"/>
                <w:szCs w:val="22"/>
                <w:highlight w:val="none"/>
                <w:lang w:val="en-US" w:eastAsia="zh-CN" w:bidi="ar"/>
              </w:rPr>
              <w:t>或汽车运用专业高级技术职称证书的4人以上，每增加1人，得1分，最高2分。</w:t>
            </w:r>
          </w:p>
          <w:p w14:paraId="73C018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注：人员需提供相关职称资质证书复印件及所在投标人单位的社保证明，否则本项不得分</w:t>
            </w:r>
            <w:r>
              <w:rPr>
                <w:rFonts w:hint="default" w:ascii="Times New Roman" w:hAnsi="Times New Roman" w:eastAsia="新宋体" w:cs="Times New Roman"/>
                <w:color w:val="auto"/>
                <w:sz w:val="22"/>
                <w:szCs w:val="22"/>
                <w:highlight w:val="none"/>
              </w:rPr>
              <w:t>。</w:t>
            </w:r>
          </w:p>
        </w:tc>
      </w:tr>
      <w:tr w14:paraId="5537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14:paraId="2FCAE4C2">
            <w:pPr>
              <w:keepNext w:val="0"/>
              <w:keepLines w:val="0"/>
              <w:pageBreakBefore w:val="0"/>
              <w:tabs>
                <w:tab w:val="right" w:pos="-891"/>
                <w:tab w:val="center" w:pos="1495"/>
              </w:tabs>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851" w:type="dxa"/>
            <w:vMerge w:val="continue"/>
            <w:vAlign w:val="center"/>
          </w:tcPr>
          <w:p w14:paraId="116A206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p>
        </w:tc>
        <w:tc>
          <w:tcPr>
            <w:tcW w:w="1578" w:type="dxa"/>
            <w:vMerge w:val="continue"/>
            <w:vAlign w:val="center"/>
          </w:tcPr>
          <w:p w14:paraId="0DF9904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kern w:val="0"/>
                <w:sz w:val="22"/>
                <w:szCs w:val="22"/>
                <w:highlight w:val="none"/>
                <w:u w:val="wave" w:color="FFFFFF"/>
              </w:rPr>
            </w:pPr>
          </w:p>
        </w:tc>
        <w:tc>
          <w:tcPr>
            <w:tcW w:w="739" w:type="dxa"/>
            <w:vAlign w:val="center"/>
          </w:tcPr>
          <w:p w14:paraId="62427037">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6分</w:t>
            </w:r>
          </w:p>
        </w:tc>
        <w:tc>
          <w:tcPr>
            <w:tcW w:w="5801" w:type="dxa"/>
            <w:vAlign w:val="center"/>
          </w:tcPr>
          <w:p w14:paraId="50523687">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rPr>
              <w:t>根据投标人办公场地、设施，本项目负责人以及项目实施人员配备合理性等技术服务及力量保障，与招标文件要求的响应程度进行综合评分</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6、5、4、3、2、1、0</w:t>
            </w:r>
            <w:r>
              <w:rPr>
                <w:rFonts w:hint="default" w:ascii="Times New Roman" w:hAnsi="Times New Roman" w:eastAsia="新宋体" w:cs="Times New Roman"/>
                <w:color w:val="auto"/>
                <w:sz w:val="22"/>
                <w:szCs w:val="22"/>
                <w:highlight w:val="none"/>
              </w:rPr>
              <w:t>分）</w:t>
            </w:r>
          </w:p>
        </w:tc>
      </w:tr>
      <w:tr w14:paraId="661D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6E30E70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w:t>
            </w:r>
          </w:p>
        </w:tc>
        <w:tc>
          <w:tcPr>
            <w:tcW w:w="2429" w:type="dxa"/>
            <w:gridSpan w:val="2"/>
            <w:vAlign w:val="center"/>
          </w:tcPr>
          <w:p w14:paraId="1B1F5615">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拟投入仪器、设备</w:t>
            </w:r>
          </w:p>
        </w:tc>
        <w:tc>
          <w:tcPr>
            <w:tcW w:w="739" w:type="dxa"/>
            <w:vAlign w:val="center"/>
          </w:tcPr>
          <w:p w14:paraId="3226AE5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8</w:t>
            </w:r>
            <w:r>
              <w:rPr>
                <w:rFonts w:hint="default" w:ascii="Times New Roman" w:hAnsi="Times New Roman" w:eastAsia="新宋体" w:cs="Times New Roman"/>
                <w:color w:val="auto"/>
                <w:sz w:val="22"/>
                <w:szCs w:val="22"/>
                <w:highlight w:val="none"/>
              </w:rPr>
              <w:t>分</w:t>
            </w:r>
          </w:p>
        </w:tc>
        <w:tc>
          <w:tcPr>
            <w:tcW w:w="5801" w:type="dxa"/>
            <w:vAlign w:val="center"/>
          </w:tcPr>
          <w:p w14:paraId="4FD98B00">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为本项目投入符合标准的车辆检测设备：</w:t>
            </w:r>
          </w:p>
          <w:p w14:paraId="0E354DC8">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1、有机动车用的便携式制动性能测试仪的得1分，每增加一台测试仪得0.5分，此项最多得2分；（需提供仪器计量校准合格证书、仪器发票）</w:t>
            </w:r>
          </w:p>
          <w:p w14:paraId="3D30B905">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2、有痕迹比对显微镜、</w:t>
            </w:r>
            <w:r>
              <w:rPr>
                <w:rFonts w:hint="default" w:ascii="Times New Roman" w:hAnsi="Times New Roman" w:eastAsia="新宋体" w:cs="Times New Roman"/>
                <w:bCs/>
                <w:color w:val="auto"/>
                <w:kern w:val="28"/>
                <w:sz w:val="22"/>
                <w:szCs w:val="22"/>
                <w:highlight w:val="none"/>
                <w:lang w:val="en-US" w:eastAsia="zh-CN" w:bidi="ar"/>
              </w:rPr>
              <w:t>体视显微镜、多波段光源、</w:t>
            </w:r>
            <w:r>
              <w:rPr>
                <w:rFonts w:hint="default" w:ascii="Times New Roman" w:hAnsi="Times New Roman" w:eastAsia="新宋体" w:cs="Times New Roman"/>
                <w:color w:val="auto"/>
                <w:sz w:val="22"/>
                <w:szCs w:val="22"/>
                <w:highlight w:val="none"/>
              </w:rPr>
              <w:t>汽车电脑诊断仪的，每项得0.5分，同项不重复计分，最多得</w:t>
            </w: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分；（需提供发票）</w:t>
            </w:r>
          </w:p>
          <w:p w14:paraId="241DC614">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3、有车架号码、发动机号码显现仪器设备的每项得0.5分，最多得1分；（需分别提供车架与发动机号码显现鉴定文书）</w:t>
            </w:r>
          </w:p>
          <w:p w14:paraId="78CCFCE2">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4、配备事件数据记录系统（EDR）读取工具的得1分（需提供发票）；</w:t>
            </w:r>
          </w:p>
          <w:p w14:paraId="6C213BBA">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5、有交通事故现场多功能测试仪的得1分（需提供仪器计量校准合格证书、仪器发票）；</w:t>
            </w:r>
          </w:p>
          <w:p w14:paraId="50986FED">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6、需提供拟投入专用车辆2辆，需提供行驶证，如为租赁用车，需提供车辆租赁合同，每辆得0.5分，最多得1分。</w:t>
            </w:r>
          </w:p>
        </w:tc>
      </w:tr>
      <w:tr w14:paraId="0986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2B50A61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w:t>
            </w:r>
          </w:p>
        </w:tc>
        <w:tc>
          <w:tcPr>
            <w:tcW w:w="2429" w:type="dxa"/>
            <w:gridSpan w:val="2"/>
            <w:vAlign w:val="center"/>
          </w:tcPr>
          <w:p w14:paraId="6FBFCD5C">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本项目的司法鉴定能力验证通过情况</w:t>
            </w:r>
          </w:p>
        </w:tc>
        <w:tc>
          <w:tcPr>
            <w:tcW w:w="739" w:type="dxa"/>
            <w:vAlign w:val="center"/>
          </w:tcPr>
          <w:p w14:paraId="6656696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8分</w:t>
            </w:r>
          </w:p>
        </w:tc>
        <w:tc>
          <w:tcPr>
            <w:tcW w:w="5801" w:type="dxa"/>
            <w:vAlign w:val="center"/>
          </w:tcPr>
          <w:p w14:paraId="357CE508">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提供投标人</w:t>
            </w:r>
            <w:r>
              <w:rPr>
                <w:rFonts w:hint="eastAsia" w:ascii="宋体" w:hAnsi="宋体" w:eastAsia="宋体" w:cs="宋体"/>
                <w:color w:val="auto"/>
                <w:sz w:val="21"/>
                <w:szCs w:val="20"/>
                <w:highlight w:val="none"/>
                <w:lang w:val="en-US" w:eastAsia="zh-CN"/>
              </w:rPr>
              <w:t>（指单独投标人或联合体任意一方）</w:t>
            </w:r>
            <w:r>
              <w:rPr>
                <w:rFonts w:hint="default" w:ascii="Times New Roman" w:hAnsi="Times New Roman" w:eastAsia="新宋体" w:cs="Times New Roman"/>
                <w:color w:val="auto"/>
                <w:sz w:val="22"/>
                <w:szCs w:val="22"/>
                <w:highlight w:val="none"/>
              </w:rPr>
              <w:t>近两年（20</w:t>
            </w:r>
            <w:r>
              <w:rPr>
                <w:rFonts w:hint="eastAsia" w:eastAsia="新宋体" w:cs="Times New Roman"/>
                <w:color w:val="auto"/>
                <w:sz w:val="22"/>
                <w:szCs w:val="22"/>
                <w:highlight w:val="none"/>
                <w:lang w:val="en-US" w:eastAsia="zh-CN"/>
              </w:rPr>
              <w:t>22</w:t>
            </w:r>
            <w:r>
              <w:rPr>
                <w:rFonts w:hint="default" w:ascii="Times New Roman" w:hAnsi="Times New Roman" w:eastAsia="新宋体" w:cs="Times New Roman"/>
                <w:color w:val="auto"/>
                <w:sz w:val="22"/>
                <w:szCs w:val="22"/>
                <w:highlight w:val="none"/>
              </w:rPr>
              <w:t>、20</w:t>
            </w:r>
            <w:r>
              <w:rPr>
                <w:rFonts w:hint="eastAsia" w:eastAsia="新宋体" w:cs="Times New Roman"/>
                <w:color w:val="auto"/>
                <w:sz w:val="22"/>
                <w:szCs w:val="22"/>
                <w:highlight w:val="none"/>
                <w:lang w:val="en-US" w:eastAsia="zh-CN"/>
              </w:rPr>
              <w:t>23</w:t>
            </w:r>
            <w:r>
              <w:rPr>
                <w:rFonts w:hint="default" w:ascii="Times New Roman" w:hAnsi="Times New Roman" w:eastAsia="新宋体" w:cs="Times New Roman"/>
                <w:color w:val="auto"/>
                <w:sz w:val="22"/>
                <w:szCs w:val="22"/>
                <w:highlight w:val="none"/>
              </w:rPr>
              <w:t>年）鉴定能力验证通过情况，</w:t>
            </w:r>
            <w:r>
              <w:rPr>
                <w:rFonts w:hint="eastAsia" w:ascii="宋体" w:hAnsi="宋体" w:cs="新宋体"/>
                <w:color w:val="auto"/>
                <w:sz w:val="22"/>
                <w:szCs w:val="22"/>
                <w:highlight w:val="none"/>
              </w:rPr>
              <w:t>道路交通事故车速鉴定（力学及视频）、道路交通事故速度鉴定（EDR）、道路交通事故痕迹鉴定、道路交通事故信号灯指示状态鉴定、道路交通事故交通行为方式鉴定</w:t>
            </w:r>
            <w:r>
              <w:rPr>
                <w:rFonts w:hint="eastAsia" w:ascii="宋体" w:hAnsi="宋体" w:cs="新宋体"/>
                <w:color w:val="auto"/>
                <w:sz w:val="22"/>
                <w:szCs w:val="22"/>
                <w:highlight w:val="none"/>
                <w:lang w:val="en-US" w:eastAsia="zh-CN"/>
              </w:rPr>
              <w:t>等</w:t>
            </w:r>
            <w:r>
              <w:rPr>
                <w:rFonts w:hint="eastAsia" w:ascii="宋体" w:hAnsi="宋体" w:cs="新宋体"/>
                <w:color w:val="auto"/>
                <w:sz w:val="22"/>
                <w:szCs w:val="22"/>
                <w:highlight w:val="none"/>
              </w:rPr>
              <w:t>能力验证</w:t>
            </w:r>
            <w:r>
              <w:rPr>
                <w:rFonts w:hint="eastAsia" w:ascii="宋体" w:hAnsi="宋体" w:cs="新宋体"/>
                <w:color w:val="auto"/>
                <w:sz w:val="22"/>
                <w:szCs w:val="22"/>
                <w:highlight w:val="none"/>
                <w:lang w:val="en-US" w:eastAsia="zh-CN"/>
              </w:rPr>
              <w:t>评定结果</w:t>
            </w:r>
            <w:r>
              <w:rPr>
                <w:rFonts w:hint="eastAsia" w:ascii="宋体" w:hAnsi="宋体" w:cs="新宋体"/>
                <w:color w:val="auto"/>
                <w:sz w:val="22"/>
                <w:szCs w:val="22"/>
                <w:highlight w:val="none"/>
              </w:rPr>
              <w:t>：</w:t>
            </w:r>
            <w:r>
              <w:rPr>
                <w:rFonts w:hint="eastAsia" w:ascii="宋体" w:hAnsi="宋体" w:cs="新宋体"/>
                <w:color w:val="auto"/>
                <w:sz w:val="22"/>
                <w:szCs w:val="22"/>
                <w:highlight w:val="none"/>
                <w:lang w:val="en-US" w:eastAsia="zh-CN"/>
              </w:rPr>
              <w:t>评定结果每有一项</w:t>
            </w:r>
            <w:r>
              <w:rPr>
                <w:rFonts w:hint="eastAsia" w:ascii="宋体" w:hAnsi="宋体" w:cs="新宋体"/>
                <w:color w:val="auto"/>
                <w:sz w:val="22"/>
                <w:szCs w:val="22"/>
                <w:highlight w:val="none"/>
              </w:rPr>
              <w:t xml:space="preserve"> “满意”的得1分</w:t>
            </w:r>
            <w:r>
              <w:rPr>
                <w:rFonts w:hint="eastAsia" w:ascii="宋体" w:hAnsi="宋体" w:cs="新宋体"/>
                <w:color w:val="auto"/>
                <w:sz w:val="22"/>
                <w:szCs w:val="22"/>
                <w:highlight w:val="none"/>
                <w:lang w:eastAsia="zh-CN"/>
              </w:rPr>
              <w:t>，“</w:t>
            </w:r>
            <w:r>
              <w:rPr>
                <w:rFonts w:hint="eastAsia" w:ascii="宋体" w:hAnsi="宋体" w:cs="新宋体"/>
                <w:color w:val="auto"/>
                <w:sz w:val="22"/>
                <w:szCs w:val="22"/>
                <w:highlight w:val="none"/>
                <w:lang w:val="en-US" w:eastAsia="zh-CN"/>
              </w:rPr>
              <w:t>通过”的得0.5分</w:t>
            </w:r>
            <w:r>
              <w:rPr>
                <w:rFonts w:hint="eastAsia" w:ascii="宋体" w:hAnsi="宋体" w:cs="新宋体"/>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不通过</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的</w:t>
            </w:r>
            <w:r>
              <w:rPr>
                <w:rFonts w:hint="eastAsia" w:ascii="Times New Roman" w:hAnsi="Times New Roman" w:eastAsia="新宋体" w:cs="Times New Roman"/>
                <w:color w:val="auto"/>
                <w:sz w:val="22"/>
                <w:szCs w:val="22"/>
                <w:highlight w:val="none"/>
                <w:lang w:val="en-US" w:eastAsia="zh-CN"/>
              </w:rPr>
              <w:t>或</w:t>
            </w:r>
            <w:r>
              <w:rPr>
                <w:rFonts w:hint="eastAsia" w:ascii="宋体" w:hAnsi="宋体" w:cs="新宋体"/>
                <w:color w:val="auto"/>
                <w:sz w:val="22"/>
                <w:szCs w:val="22"/>
                <w:highlight w:val="none"/>
              </w:rPr>
              <w:t>未提供相应</w:t>
            </w:r>
            <w:r>
              <w:rPr>
                <w:rFonts w:hint="eastAsia" w:ascii="宋体" w:hAnsi="宋体" w:cs="新宋体"/>
                <w:color w:val="auto"/>
                <w:sz w:val="22"/>
                <w:szCs w:val="22"/>
                <w:highlight w:val="none"/>
                <w:lang w:val="en-US" w:eastAsia="zh-CN"/>
              </w:rPr>
              <w:t>证书</w:t>
            </w:r>
            <w:r>
              <w:rPr>
                <w:rFonts w:hint="eastAsia" w:ascii="宋体" w:hAnsi="宋体" w:cs="新宋体"/>
                <w:color w:val="auto"/>
                <w:sz w:val="22"/>
                <w:szCs w:val="22"/>
                <w:highlight w:val="none"/>
              </w:rPr>
              <w:t>的不得分。最高得</w:t>
            </w:r>
            <w:r>
              <w:rPr>
                <w:rFonts w:hint="eastAsia" w:ascii="宋体" w:hAnsi="宋体" w:cs="新宋体"/>
                <w:color w:val="auto"/>
                <w:sz w:val="22"/>
                <w:szCs w:val="22"/>
                <w:highlight w:val="none"/>
                <w:lang w:val="en-US" w:eastAsia="zh-CN"/>
              </w:rPr>
              <w:t>8</w:t>
            </w:r>
            <w:r>
              <w:rPr>
                <w:rFonts w:hint="eastAsia" w:ascii="宋体" w:hAnsi="宋体" w:cs="新宋体"/>
                <w:color w:val="auto"/>
                <w:sz w:val="22"/>
                <w:szCs w:val="22"/>
                <w:highlight w:val="none"/>
              </w:rPr>
              <w:t>分。</w:t>
            </w:r>
          </w:p>
          <w:p w14:paraId="178259B1">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（需分别提供司法鉴定科学研究</w:t>
            </w:r>
            <w:r>
              <w:rPr>
                <w:rFonts w:hint="default" w:ascii="Times New Roman" w:hAnsi="Times New Roman" w:eastAsia="新宋体" w:cs="Times New Roman"/>
                <w:color w:val="auto"/>
                <w:sz w:val="22"/>
                <w:szCs w:val="22"/>
                <w:highlight w:val="none"/>
                <w:lang w:val="en-US" w:eastAsia="zh-CN"/>
              </w:rPr>
              <w:t>院</w:t>
            </w:r>
            <w:r>
              <w:rPr>
                <w:rFonts w:hint="default" w:ascii="Times New Roman" w:hAnsi="Times New Roman" w:eastAsia="新宋体" w:cs="Times New Roman"/>
                <w:color w:val="auto"/>
                <w:sz w:val="22"/>
                <w:szCs w:val="22"/>
                <w:highlight w:val="none"/>
              </w:rPr>
              <w:t>或其他国家权威机构颁发的能力验证证书。）</w:t>
            </w:r>
          </w:p>
        </w:tc>
      </w:tr>
      <w:tr w14:paraId="5E5F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54C833C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w:t>
            </w:r>
          </w:p>
        </w:tc>
        <w:tc>
          <w:tcPr>
            <w:tcW w:w="2429" w:type="dxa"/>
            <w:gridSpan w:val="2"/>
            <w:vAlign w:val="center"/>
          </w:tcPr>
          <w:p w14:paraId="1D5E6904">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本地化服务及响应时间</w:t>
            </w:r>
          </w:p>
        </w:tc>
        <w:tc>
          <w:tcPr>
            <w:tcW w:w="739" w:type="dxa"/>
            <w:vAlign w:val="center"/>
          </w:tcPr>
          <w:p w14:paraId="76C289EC">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10</w:t>
            </w:r>
            <w:r>
              <w:rPr>
                <w:rFonts w:hint="default" w:ascii="Times New Roman" w:hAnsi="Times New Roman" w:eastAsia="新宋体" w:cs="Times New Roman"/>
                <w:color w:val="auto"/>
                <w:sz w:val="22"/>
                <w:szCs w:val="22"/>
                <w:highlight w:val="none"/>
              </w:rPr>
              <w:t>分</w:t>
            </w:r>
          </w:p>
        </w:tc>
        <w:tc>
          <w:tcPr>
            <w:tcW w:w="5801" w:type="dxa"/>
            <w:vAlign w:val="center"/>
          </w:tcPr>
          <w:p w14:paraId="3FCDAEDB">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1、</w:t>
            </w:r>
            <w:r>
              <w:rPr>
                <w:rFonts w:hint="eastAsia" w:eastAsia="新宋体" w:cs="Times New Roman"/>
                <w:color w:val="auto"/>
                <w:sz w:val="22"/>
                <w:szCs w:val="22"/>
                <w:highlight w:val="none"/>
                <w:lang w:val="en-US" w:eastAsia="zh-CN"/>
              </w:rPr>
              <w:t>根据</w:t>
            </w:r>
            <w:r>
              <w:rPr>
                <w:rFonts w:hint="default" w:ascii="Times New Roman" w:hAnsi="Times New Roman" w:eastAsia="新宋体" w:cs="Times New Roman"/>
                <w:color w:val="auto"/>
                <w:sz w:val="22"/>
                <w:szCs w:val="22"/>
                <w:highlight w:val="none"/>
              </w:rPr>
              <w:t>现已有固定的检测服务点，能及时提供正常的交通事故车辆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违法车辆</w:t>
            </w:r>
            <w:r>
              <w:rPr>
                <w:rFonts w:hint="default" w:ascii="Times New Roman" w:hAnsi="Times New Roman" w:eastAsia="新宋体" w:cs="Times New Roman"/>
                <w:color w:val="auto"/>
                <w:sz w:val="22"/>
                <w:szCs w:val="22"/>
                <w:highlight w:val="none"/>
              </w:rPr>
              <w:t>检验、鉴定服务的</w:t>
            </w:r>
            <w:r>
              <w:rPr>
                <w:rFonts w:hint="eastAsia" w:eastAsia="新宋体" w:cs="Times New Roman"/>
                <w:color w:val="auto"/>
                <w:sz w:val="22"/>
                <w:szCs w:val="22"/>
                <w:highlight w:val="none"/>
                <w:lang w:val="en-US" w:eastAsia="zh-CN"/>
              </w:rPr>
              <w:t>响应情况进行比较打分。打分范围：（6、5、4、3、2、1、0分）</w:t>
            </w:r>
            <w:r>
              <w:rPr>
                <w:rFonts w:hint="eastAsia" w:eastAsia="新宋体" w:cs="Times New Roman"/>
                <w:b/>
                <w:bCs/>
                <w:color w:val="auto"/>
                <w:sz w:val="22"/>
                <w:szCs w:val="22"/>
                <w:highlight w:val="none"/>
                <w:lang w:val="en-US" w:eastAsia="zh-CN"/>
              </w:rPr>
              <w:t>提供检测服务点营业执照复印件加盖公章。</w:t>
            </w:r>
          </w:p>
          <w:p w14:paraId="32AF0C43">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2、根据投标人承诺在接到招标人通知后，派人赴现场接处、鉴定的响应时间</w:t>
            </w:r>
            <w:r>
              <w:rPr>
                <w:rFonts w:hint="eastAsia" w:eastAsia="新宋体" w:cs="Times New Roman"/>
                <w:color w:val="auto"/>
                <w:sz w:val="22"/>
                <w:szCs w:val="22"/>
                <w:highlight w:val="none"/>
                <w:lang w:val="en-US" w:eastAsia="zh-CN"/>
              </w:rPr>
              <w:t>综合</w:t>
            </w:r>
            <w:r>
              <w:rPr>
                <w:rFonts w:hint="default" w:ascii="Times New Roman" w:hAnsi="Times New Roman" w:eastAsia="新宋体" w:cs="Times New Roman"/>
                <w:color w:val="auto"/>
                <w:sz w:val="22"/>
                <w:szCs w:val="22"/>
                <w:highlight w:val="none"/>
              </w:rPr>
              <w:t>比较</w:t>
            </w:r>
            <w:r>
              <w:rPr>
                <w:rFonts w:hint="eastAsia"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打分范围：（4、3、2、1、0分）</w:t>
            </w:r>
          </w:p>
        </w:tc>
      </w:tr>
      <w:tr w14:paraId="758D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39C2BEED">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w:t>
            </w:r>
          </w:p>
        </w:tc>
        <w:tc>
          <w:tcPr>
            <w:tcW w:w="2429" w:type="dxa"/>
            <w:gridSpan w:val="2"/>
            <w:vAlign w:val="center"/>
          </w:tcPr>
          <w:p w14:paraId="6E77822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业绩</w:t>
            </w:r>
          </w:p>
        </w:tc>
        <w:tc>
          <w:tcPr>
            <w:tcW w:w="739" w:type="dxa"/>
            <w:vAlign w:val="center"/>
          </w:tcPr>
          <w:p w14:paraId="64CFE601">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分</w:t>
            </w:r>
          </w:p>
        </w:tc>
        <w:tc>
          <w:tcPr>
            <w:tcW w:w="5801" w:type="dxa"/>
            <w:vAlign w:val="center"/>
          </w:tcPr>
          <w:p w14:paraId="621BC242">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color w:val="auto"/>
                <w:sz w:val="22"/>
                <w:szCs w:val="22"/>
                <w:highlight w:val="none"/>
              </w:rPr>
              <w:t>1、20</w:t>
            </w:r>
            <w:r>
              <w:rPr>
                <w:rFonts w:hint="eastAsia" w:eastAsia="新宋体" w:cs="Times New Roman"/>
                <w:color w:val="auto"/>
                <w:sz w:val="22"/>
                <w:szCs w:val="22"/>
                <w:highlight w:val="none"/>
                <w:lang w:val="en-US" w:eastAsia="zh-CN"/>
              </w:rPr>
              <w:t>20</w:t>
            </w:r>
            <w:r>
              <w:rPr>
                <w:rFonts w:hint="default" w:ascii="Times New Roman" w:hAnsi="Times New Roman" w:eastAsia="新宋体" w:cs="Times New Roman"/>
                <w:color w:val="auto"/>
                <w:sz w:val="22"/>
                <w:szCs w:val="22"/>
                <w:highlight w:val="none"/>
              </w:rPr>
              <w:t>年1月1日以来车辆司法鉴定服务项目业绩，每个合同得</w:t>
            </w:r>
            <w:r>
              <w:rPr>
                <w:rFonts w:hint="eastAsia" w:eastAsia="新宋体" w:cs="Times New Roman"/>
                <w:color w:val="auto"/>
                <w:sz w:val="22"/>
                <w:szCs w:val="22"/>
                <w:highlight w:val="none"/>
                <w:lang w:val="en-US" w:eastAsia="zh-CN"/>
              </w:rPr>
              <w:t>0.5</w:t>
            </w:r>
            <w:r>
              <w:rPr>
                <w:rFonts w:hint="default" w:ascii="Times New Roman" w:hAnsi="Times New Roman" w:eastAsia="新宋体" w:cs="Times New Roman"/>
                <w:color w:val="auto"/>
                <w:sz w:val="22"/>
                <w:szCs w:val="22"/>
                <w:highlight w:val="none"/>
              </w:rPr>
              <w:t>分，最高</w:t>
            </w:r>
            <w:r>
              <w:rPr>
                <w:rFonts w:hint="eastAsia"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bCs/>
                <w:color w:val="auto"/>
                <w:sz w:val="22"/>
                <w:szCs w:val="22"/>
                <w:highlight w:val="none"/>
                <w:lang w:val="en-US" w:eastAsia="zh-CN"/>
              </w:rPr>
              <w:t>合同需同时含痕迹鉴定、车辆技术鉴定，否则不得分。</w:t>
            </w:r>
          </w:p>
          <w:p w14:paraId="15BDE32D">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（如联合体投标，联合体各方所完成的每个痕迹鉴定业绩和车辆技术鉴定业绩合并按1份合同评分</w:t>
            </w:r>
            <w:r>
              <w:rPr>
                <w:rFonts w:hint="eastAsia" w:eastAsia="新宋体" w:cs="Times New Roman"/>
                <w:b/>
                <w:bCs/>
                <w:color w:val="auto"/>
                <w:sz w:val="22"/>
                <w:szCs w:val="22"/>
                <w:highlight w:val="none"/>
                <w:lang w:val="en-US" w:eastAsia="zh-CN"/>
              </w:rPr>
              <w:t>。</w:t>
            </w:r>
            <w:r>
              <w:rPr>
                <w:rFonts w:hint="default" w:ascii="Times New Roman" w:hAnsi="Times New Roman" w:eastAsia="新宋体" w:cs="Times New Roman"/>
                <w:color w:val="auto"/>
                <w:sz w:val="22"/>
                <w:szCs w:val="22"/>
                <w:highlight w:val="none"/>
              </w:rPr>
              <w:t>）</w:t>
            </w:r>
          </w:p>
        </w:tc>
      </w:tr>
      <w:tr w14:paraId="256C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14:paraId="2CD3354A">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7</w:t>
            </w:r>
          </w:p>
        </w:tc>
        <w:tc>
          <w:tcPr>
            <w:tcW w:w="2429" w:type="dxa"/>
            <w:gridSpan w:val="2"/>
            <w:vAlign w:val="center"/>
          </w:tcPr>
          <w:p w14:paraId="5C13CDE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满意度评价</w:t>
            </w:r>
          </w:p>
        </w:tc>
        <w:tc>
          <w:tcPr>
            <w:tcW w:w="739" w:type="dxa"/>
            <w:vAlign w:val="center"/>
          </w:tcPr>
          <w:p w14:paraId="609D036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1分</w:t>
            </w:r>
          </w:p>
        </w:tc>
        <w:tc>
          <w:tcPr>
            <w:tcW w:w="5801" w:type="dxa"/>
            <w:vAlign w:val="center"/>
          </w:tcPr>
          <w:p w14:paraId="109201D9">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b/>
                <w:bCs/>
                <w:color w:val="auto"/>
                <w:sz w:val="22"/>
                <w:szCs w:val="22"/>
                <w:highlight w:val="none"/>
                <w:lang w:val="en-US" w:eastAsia="zh-CN"/>
              </w:rPr>
            </w:pPr>
            <w:r>
              <w:rPr>
                <w:rFonts w:hint="eastAsia" w:eastAsia="新宋体" w:cs="Times New Roman"/>
                <w:color w:val="auto"/>
                <w:sz w:val="22"/>
                <w:szCs w:val="22"/>
                <w:highlight w:val="none"/>
                <w:lang w:val="en-US" w:eastAsia="zh-CN"/>
              </w:rPr>
              <w:t>根据6、</w:t>
            </w:r>
            <w:r>
              <w:rPr>
                <w:rFonts w:hint="default" w:ascii="Times New Roman" w:hAnsi="Times New Roman" w:eastAsia="新宋体" w:cs="Times New Roman"/>
                <w:color w:val="auto"/>
                <w:sz w:val="22"/>
                <w:szCs w:val="22"/>
                <w:highlight w:val="none"/>
              </w:rPr>
              <w:t>业绩</w:t>
            </w:r>
            <w:r>
              <w:rPr>
                <w:rFonts w:hint="eastAsia" w:eastAsia="新宋体" w:cs="Times New Roman"/>
                <w:color w:val="auto"/>
                <w:sz w:val="22"/>
                <w:szCs w:val="22"/>
                <w:highlight w:val="none"/>
                <w:lang w:val="en-US" w:eastAsia="zh-CN"/>
              </w:rPr>
              <w:t>提供的合同</w:t>
            </w:r>
            <w:r>
              <w:rPr>
                <w:rFonts w:hint="default" w:ascii="Times New Roman" w:hAnsi="Times New Roman" w:eastAsia="新宋体" w:cs="Times New Roman"/>
                <w:color w:val="auto"/>
                <w:sz w:val="22"/>
                <w:szCs w:val="22"/>
                <w:highlight w:val="none"/>
              </w:rPr>
              <w:t>还附合同业主方的使用满意度证明文件的，每提供一份加</w:t>
            </w:r>
            <w:r>
              <w:rPr>
                <w:rFonts w:hint="eastAsia" w:eastAsia="新宋体" w:cs="Times New Roman"/>
                <w:color w:val="auto"/>
                <w:sz w:val="22"/>
                <w:szCs w:val="22"/>
                <w:highlight w:val="none"/>
                <w:lang w:val="en-US" w:eastAsia="zh-CN"/>
              </w:rPr>
              <w:t>0.5</w:t>
            </w:r>
            <w:r>
              <w:rPr>
                <w:rFonts w:hint="default" w:ascii="Times New Roman" w:hAnsi="Times New Roman" w:eastAsia="新宋体" w:cs="Times New Roman"/>
                <w:color w:val="auto"/>
                <w:sz w:val="22"/>
                <w:szCs w:val="22"/>
                <w:highlight w:val="none"/>
              </w:rPr>
              <w:t>分，最高不超过</w:t>
            </w:r>
            <w:r>
              <w:rPr>
                <w:rFonts w:hint="eastAsia"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分。</w:t>
            </w:r>
          </w:p>
        </w:tc>
      </w:tr>
    </w:tbl>
    <w:p w14:paraId="5750A1C3">
      <w:pPr>
        <w:pStyle w:val="2"/>
        <w:spacing w:line="460" w:lineRule="exact"/>
        <w:ind w:left="439" w:leftChars="209" w:firstLine="0" w:firstLineChars="0"/>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2、商务评分（</w:t>
      </w:r>
      <w:r>
        <w:rPr>
          <w:rFonts w:hint="eastAsia" w:cs="Times New Roman"/>
          <w:b/>
          <w:color w:val="auto"/>
          <w:sz w:val="22"/>
          <w:szCs w:val="22"/>
          <w:highlight w:val="none"/>
          <w:lang w:val="en-US" w:eastAsia="zh-CN"/>
        </w:rPr>
        <w:t>1</w:t>
      </w:r>
      <w:r>
        <w:rPr>
          <w:rFonts w:hint="default" w:ascii="Times New Roman" w:hAnsi="Times New Roman" w:eastAsia="宋体" w:cs="Times New Roman"/>
          <w:b/>
          <w:color w:val="auto"/>
          <w:sz w:val="22"/>
          <w:szCs w:val="22"/>
          <w:highlight w:val="none"/>
        </w:rPr>
        <w:t>0分）（权值</w:t>
      </w:r>
      <w:r>
        <w:rPr>
          <w:rFonts w:hint="eastAsia" w:cs="Times New Roman"/>
          <w:b/>
          <w:color w:val="auto"/>
          <w:sz w:val="22"/>
          <w:szCs w:val="22"/>
          <w:highlight w:val="none"/>
          <w:lang w:val="en-US" w:eastAsia="zh-CN"/>
        </w:rPr>
        <w:t>1</w:t>
      </w:r>
      <w:r>
        <w:rPr>
          <w:rFonts w:hint="default" w:ascii="Times New Roman" w:hAnsi="Times New Roman" w:eastAsia="宋体" w:cs="Times New Roman"/>
          <w:b/>
          <w:color w:val="auto"/>
          <w:sz w:val="22"/>
          <w:szCs w:val="22"/>
          <w:highlight w:val="none"/>
        </w:rPr>
        <w:t>0%）：</w:t>
      </w:r>
    </w:p>
    <w:p w14:paraId="0EB796AD">
      <w:pPr>
        <w:spacing w:line="460" w:lineRule="exact"/>
        <w:ind w:firstLine="442"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rPr>
        <w:t>满足招标文件要求且投标报价（折扣率）最低的为评标基准价（折扣率），其余投标人投标报价（折扣率）与该评标基准价（折扣率）对比，计算出商务评分值（保留小数2位）</w:t>
      </w:r>
      <w:r>
        <w:rPr>
          <w:rFonts w:hint="default" w:ascii="Times New Roman" w:hAnsi="Times New Roman" w:eastAsia="宋体" w:cs="Times New Roman"/>
          <w:color w:val="auto"/>
          <w:sz w:val="22"/>
          <w:szCs w:val="22"/>
          <w:highlight w:val="none"/>
        </w:rPr>
        <w:t>：</w:t>
      </w:r>
    </w:p>
    <w:p w14:paraId="70DC29F4">
      <w:pPr>
        <w:spacing w:line="460" w:lineRule="exact"/>
        <w:ind w:firstLine="442"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rPr>
        <w:t>1）有效投标人的投标报价（折扣率）等于该评标基准价（折扣率）时其商务分为满分</w:t>
      </w:r>
      <w:r>
        <w:rPr>
          <w:rFonts w:hint="eastAsia" w:cs="Times New Roman"/>
          <w:b/>
          <w:bCs/>
          <w:color w:val="auto"/>
          <w:sz w:val="22"/>
          <w:szCs w:val="22"/>
          <w:highlight w:val="none"/>
          <w:lang w:val="en-US" w:eastAsia="zh-CN"/>
        </w:rPr>
        <w:t>1</w:t>
      </w:r>
      <w:r>
        <w:rPr>
          <w:rFonts w:hint="default" w:ascii="Times New Roman" w:hAnsi="Times New Roman" w:eastAsia="宋体" w:cs="Times New Roman"/>
          <w:b/>
          <w:bCs/>
          <w:color w:val="auto"/>
          <w:sz w:val="22"/>
          <w:szCs w:val="22"/>
          <w:highlight w:val="none"/>
        </w:rPr>
        <w:t>0分</w:t>
      </w:r>
      <w:r>
        <w:rPr>
          <w:rFonts w:hint="default" w:ascii="Times New Roman" w:hAnsi="Times New Roman" w:eastAsia="宋体" w:cs="Times New Roman"/>
          <w:color w:val="auto"/>
          <w:sz w:val="22"/>
          <w:szCs w:val="22"/>
          <w:highlight w:val="none"/>
        </w:rPr>
        <w:t>；</w:t>
      </w:r>
    </w:p>
    <w:p w14:paraId="5D639AF0">
      <w:pPr>
        <w:spacing w:line="4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2）其他投标人的价格分按以下公式计算：</w:t>
      </w:r>
    </w:p>
    <w:p w14:paraId="47AE252B">
      <w:pPr>
        <w:spacing w:line="460" w:lineRule="exact"/>
        <w:ind w:firstLine="442"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rPr>
        <w:t>投标报价得分=（评标基准价（折扣率）/投标人的投标报价（折扣率））× 价格权值 ×100</w:t>
      </w:r>
    </w:p>
    <w:p w14:paraId="6F367508">
      <w:pPr>
        <w:spacing w:line="460" w:lineRule="exact"/>
        <w:ind w:firstLine="442" w:firstLineChars="200"/>
        <w:rPr>
          <w:rFonts w:hint="eastAsia" w:ascii="宋体" w:hAnsi="宋体" w:eastAsia="宋体" w:cs="宋体"/>
          <w:b/>
          <w:bCs/>
          <w:color w:val="auto"/>
          <w:sz w:val="22"/>
          <w:szCs w:val="22"/>
          <w:highlight w:val="none"/>
          <w:u w:val="single"/>
        </w:rPr>
      </w:pPr>
      <w:r>
        <w:rPr>
          <w:rFonts w:hint="default" w:ascii="Times New Roman" w:hAnsi="Times New Roman" w:eastAsia="宋体" w:cs="Times New Roman"/>
          <w:b/>
          <w:bCs/>
          <w:color w:val="auto"/>
          <w:sz w:val="22"/>
          <w:szCs w:val="22"/>
          <w:highlight w:val="none"/>
          <w:u w:val="single"/>
          <w:lang w:val="en-US" w:eastAsia="zh-CN"/>
        </w:rPr>
        <w:t>3</w:t>
      </w:r>
      <w:r>
        <w:rPr>
          <w:rFonts w:hint="default" w:ascii="Times New Roman" w:hAnsi="Times New Roman" w:eastAsia="宋体" w:cs="Times New Roman"/>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8FB8CF">
      <w:pPr>
        <w:spacing w:line="460" w:lineRule="exact"/>
        <w:ind w:firstLine="541" w:firstLineChars="245"/>
        <w:outlineLvl w:val="1"/>
        <w:rPr>
          <w:rFonts w:hint="eastAsia" w:ascii="宋体" w:hAnsi="宋体" w:eastAsia="宋体" w:cs="宋体"/>
          <w:b/>
          <w:bCs/>
          <w:color w:val="auto"/>
          <w:sz w:val="22"/>
          <w:szCs w:val="22"/>
          <w:highlight w:val="none"/>
        </w:rPr>
      </w:pPr>
      <w:bookmarkStart w:id="101" w:name="_Toc2482"/>
      <w:bookmarkStart w:id="102" w:name="_Toc27954"/>
      <w:r>
        <w:rPr>
          <w:rFonts w:hint="eastAsia" w:ascii="宋体" w:hAnsi="宋体" w:eastAsia="宋体" w:cs="宋体"/>
          <w:b/>
          <w:bCs/>
          <w:color w:val="auto"/>
          <w:sz w:val="22"/>
          <w:szCs w:val="22"/>
          <w:highlight w:val="none"/>
        </w:rPr>
        <w:t>六、定标办法</w:t>
      </w:r>
      <w:bookmarkEnd w:id="101"/>
      <w:bookmarkEnd w:id="102"/>
    </w:p>
    <w:p w14:paraId="235F71F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ECF120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0D11BED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B935F9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210C7B03">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9F7D28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7DD144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3B37DE01">
      <w:pPr>
        <w:spacing w:line="460" w:lineRule="exact"/>
        <w:ind w:firstLine="541" w:firstLineChars="245"/>
        <w:outlineLvl w:val="1"/>
        <w:rPr>
          <w:rFonts w:hint="eastAsia" w:ascii="宋体" w:hAnsi="宋体" w:eastAsia="宋体" w:cs="宋体"/>
          <w:b/>
          <w:color w:val="auto"/>
          <w:sz w:val="22"/>
          <w:szCs w:val="22"/>
          <w:highlight w:val="none"/>
        </w:rPr>
      </w:pPr>
      <w:bookmarkStart w:id="103" w:name="_Toc17587"/>
      <w:bookmarkStart w:id="104" w:name="_Toc13007"/>
      <w:r>
        <w:rPr>
          <w:rFonts w:hint="eastAsia" w:ascii="宋体" w:hAnsi="宋体" w:eastAsia="宋体" w:cs="宋体"/>
          <w:b/>
          <w:color w:val="auto"/>
          <w:sz w:val="22"/>
          <w:szCs w:val="22"/>
          <w:highlight w:val="none"/>
        </w:rPr>
        <w:t>七、投标人义务</w:t>
      </w:r>
      <w:bookmarkEnd w:id="103"/>
      <w:bookmarkEnd w:id="104"/>
    </w:p>
    <w:p w14:paraId="7F0FDF73">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85CE491">
      <w:pPr>
        <w:spacing w:line="460" w:lineRule="exact"/>
        <w:jc w:val="center"/>
        <w:rPr>
          <w:rFonts w:hint="eastAsia" w:ascii="宋体" w:hAnsi="宋体" w:eastAsia="宋体" w:cs="宋体"/>
          <w:b/>
          <w:color w:val="auto"/>
          <w:sz w:val="32"/>
          <w:szCs w:val="32"/>
          <w:highlight w:val="none"/>
        </w:rPr>
      </w:pPr>
    </w:p>
    <w:p w14:paraId="10914814">
      <w:pPr>
        <w:pStyle w:val="2"/>
        <w:ind w:left="440" w:hanging="440"/>
        <w:rPr>
          <w:rFonts w:hint="eastAsia" w:ascii="宋体" w:hAnsi="宋体" w:eastAsia="宋体" w:cs="宋体"/>
          <w:color w:val="auto"/>
          <w:kern w:val="0"/>
          <w:sz w:val="22"/>
          <w:szCs w:val="22"/>
          <w:highlight w:val="none"/>
        </w:rPr>
      </w:pPr>
    </w:p>
    <w:sectPr>
      <w:headerReference r:id="rId7" w:type="default"/>
      <w:footerReference r:id="rId8" w:type="default"/>
      <w:pgSz w:w="11906" w:h="16838"/>
      <w:pgMar w:top="1134" w:right="1134" w:bottom="1134" w:left="1134" w:header="850"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30204"/>
    <w:charset w:val="00"/>
    <w:family w:val="swiss"/>
    <w:pitch w:val="default"/>
    <w:sig w:usb0="00000000" w:usb1="00000000" w:usb2="00000000" w:usb3="00000000" w:csb0="00000093"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BC94">
    <w:pPr>
      <w:pStyle w:val="35"/>
      <w:ind w:right="360" w:firstLine="4500" w:firstLineChars="25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6F00F">
                          <w:pPr>
                            <w:pStyle w:val="35"/>
                            <w:rPr>
                              <w:rStyle w:val="56"/>
                            </w:rPr>
                          </w:pPr>
                          <w:r>
                            <w:fldChar w:fldCharType="begin"/>
                          </w:r>
                          <w:r>
                            <w:rPr>
                              <w:rStyle w:val="56"/>
                            </w:rPr>
                            <w:instrText xml:space="preserve">PAGE  </w:instrText>
                          </w:r>
                          <w:r>
                            <w:fldChar w:fldCharType="separate"/>
                          </w:r>
                          <w:r>
                            <w:rPr>
                              <w:rStyle w:val="56"/>
                            </w:rP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46F00F">
                    <w:pPr>
                      <w:pStyle w:val="35"/>
                      <w:rPr>
                        <w:rStyle w:val="56"/>
                      </w:rPr>
                    </w:pPr>
                    <w:r>
                      <w:fldChar w:fldCharType="begin"/>
                    </w:r>
                    <w:r>
                      <w:rPr>
                        <w:rStyle w:val="56"/>
                      </w:rPr>
                      <w:instrText xml:space="preserve">PAGE  </w:instrText>
                    </w:r>
                    <w:r>
                      <w:fldChar w:fldCharType="separate"/>
                    </w:r>
                    <w:r>
                      <w:rPr>
                        <w:rStyle w:val="56"/>
                      </w:rP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FD4F">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9FFB5">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09FFB5">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339B">
    <w:pPr>
      <w:pStyle w:val="35"/>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EDA5A">
                          <w:pPr>
                            <w:pStyle w:val="35"/>
                            <w:rPr>
                              <w:rStyle w:val="56"/>
                            </w:rPr>
                          </w:pPr>
                          <w:r>
                            <w:fldChar w:fldCharType="begin"/>
                          </w:r>
                          <w:r>
                            <w:rPr>
                              <w:rStyle w:val="56"/>
                            </w:rPr>
                            <w:instrText xml:space="preserve">PAGE  </w:instrText>
                          </w:r>
                          <w:r>
                            <w:fldChar w:fldCharType="separate"/>
                          </w:r>
                          <w:r>
                            <w:rPr>
                              <w:rStyle w:val="56"/>
                            </w:rP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4EDA5A">
                    <w:pPr>
                      <w:pStyle w:val="35"/>
                      <w:rPr>
                        <w:rStyle w:val="56"/>
                      </w:rPr>
                    </w:pPr>
                    <w:r>
                      <w:fldChar w:fldCharType="begin"/>
                    </w:r>
                    <w:r>
                      <w:rPr>
                        <w:rStyle w:val="56"/>
                      </w:rPr>
                      <w:instrText xml:space="preserve">PAGE  </w:instrText>
                    </w:r>
                    <w:r>
                      <w:fldChar w:fldCharType="separate"/>
                    </w:r>
                    <w:r>
                      <w:rPr>
                        <w:rStyle w:val="56"/>
                      </w:rP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17F3">
    <w:pPr>
      <w:pStyle w:val="36"/>
      <w:pBdr>
        <w:bottom w:val="single" w:color="auto" w:sz="6" w:space="0"/>
      </w:pBdr>
      <w:jc w:val="both"/>
    </w:pPr>
    <w:r>
      <w:rPr>
        <w:rFonts w:hint="eastAsia"/>
      </w:rPr>
      <w:t>温州市政府（分散）采购招标文件                                             项目编号：</w:t>
    </w:r>
    <w:r>
      <w:rPr>
        <w:rFonts w:hint="eastAsia"/>
        <w:lang w:eastAsia="zh-CN"/>
      </w:rPr>
      <w:t xml:space="preserve">WZLCZB（Z）-2024-10471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D979">
    <w:pPr>
      <w:pStyle w:val="36"/>
    </w:pPr>
    <w:r>
      <w:rPr>
        <w:rFonts w:hint="eastAsia"/>
      </w:rPr>
      <w:t>温州市政府（分散）采购招标文件                                             项目编号：</w:t>
    </w:r>
    <w:r>
      <w:rPr>
        <w:rFonts w:hint="eastAsia"/>
        <w:lang w:eastAsia="zh-CN"/>
      </w:rPr>
      <w:t>WZLCZB（Z）-2024-09423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DFC1">
    <w:pPr>
      <w:pStyle w:val="36"/>
      <w:pBdr>
        <w:bottom w:val="single" w:color="auto" w:sz="6" w:space="0"/>
      </w:pBdr>
      <w:jc w:val="both"/>
    </w:pPr>
    <w:r>
      <w:rPr>
        <w:rFonts w:hint="eastAsia"/>
      </w:rPr>
      <w:t>温州市政府（分散）采购招标文件                                             项目编号：</w:t>
    </w:r>
    <w:r>
      <w:rPr>
        <w:rFonts w:hint="eastAsia"/>
        <w:lang w:eastAsia="zh-CN"/>
      </w:rPr>
      <w:t xml:space="preserve">WZLCZB（Z）-2024-10471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55A0A"/>
    <w:multiLevelType w:val="multilevel"/>
    <w:tmpl w:val="A8555A0A"/>
    <w:lvl w:ilvl="0" w:tentative="0">
      <w:start w:val="1"/>
      <w:numFmt w:val="decimal"/>
      <w:lvlText w:val="%1."/>
      <w:lvlJc w:val="left"/>
      <w:pPr>
        <w:ind w:left="420" w:hanging="420"/>
      </w:pPr>
      <w:rPr>
        <w:rFonts w:cs="Arial"/>
      </w:rPr>
    </w:lvl>
    <w:lvl w:ilvl="1" w:tentative="0">
      <w:start w:val="1"/>
      <w:numFmt w:val="decimal"/>
      <w:lvlText w:val="（%2）"/>
      <w:lvlJc w:val="left"/>
      <w:pPr>
        <w:ind w:left="1140" w:hanging="7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CD31F181"/>
    <w:multiLevelType w:val="singleLevel"/>
    <w:tmpl w:val="CD31F181"/>
    <w:lvl w:ilvl="0" w:tentative="0">
      <w:start w:val="1"/>
      <w:numFmt w:val="decimal"/>
      <w:suff w:val="nothing"/>
      <w:lvlText w:val="%1、"/>
      <w:lvlJc w:val="left"/>
    </w:lvl>
  </w:abstractNum>
  <w:abstractNum w:abstractNumId="3">
    <w:nsid w:val="52D7A3B6"/>
    <w:multiLevelType w:val="singleLevel"/>
    <w:tmpl w:val="52D7A3B6"/>
    <w:lvl w:ilvl="0" w:tentative="0">
      <w:start w:val="1"/>
      <w:numFmt w:val="decimal"/>
      <w:suff w:val="nothing"/>
      <w:lvlText w:val="（%1）"/>
      <w:lvlJc w:val="left"/>
    </w:lvl>
  </w:abstractNum>
  <w:abstractNum w:abstractNumId="4">
    <w:nsid w:val="59DE7C9A"/>
    <w:multiLevelType w:val="singleLevel"/>
    <w:tmpl w:val="59DE7C9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Y1MmFmZmM0YzFmYjliMTVjYzA0ZTI1YzRmZjUifQ=="/>
    <w:docVar w:name="KSO_WPS_MARK_KEY" w:val="d01d542a-a399-4ff8-b032-2f9b8ea6ee75"/>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1B2EF4"/>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9FA7544"/>
    <w:rsid w:val="0A07422F"/>
    <w:rsid w:val="0A1B49C1"/>
    <w:rsid w:val="0A3D0590"/>
    <w:rsid w:val="0A7416D8"/>
    <w:rsid w:val="0A8945EB"/>
    <w:rsid w:val="0AF330A5"/>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392996"/>
    <w:rsid w:val="104869BA"/>
    <w:rsid w:val="10575CC4"/>
    <w:rsid w:val="105E41AB"/>
    <w:rsid w:val="10D75E1E"/>
    <w:rsid w:val="10F47168"/>
    <w:rsid w:val="110264F1"/>
    <w:rsid w:val="1104198D"/>
    <w:rsid w:val="1105049E"/>
    <w:rsid w:val="115434FF"/>
    <w:rsid w:val="115D3896"/>
    <w:rsid w:val="118E53A9"/>
    <w:rsid w:val="11B62E53"/>
    <w:rsid w:val="12065C8E"/>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B73402"/>
    <w:rsid w:val="13D309B3"/>
    <w:rsid w:val="13EC3F05"/>
    <w:rsid w:val="13FF0438"/>
    <w:rsid w:val="14077D57"/>
    <w:rsid w:val="14342819"/>
    <w:rsid w:val="14965811"/>
    <w:rsid w:val="149D3694"/>
    <w:rsid w:val="14AE6710"/>
    <w:rsid w:val="14D92610"/>
    <w:rsid w:val="15001500"/>
    <w:rsid w:val="154A25D7"/>
    <w:rsid w:val="15525604"/>
    <w:rsid w:val="156E5828"/>
    <w:rsid w:val="15B36E57"/>
    <w:rsid w:val="15B43A33"/>
    <w:rsid w:val="15C02CFA"/>
    <w:rsid w:val="15D02588"/>
    <w:rsid w:val="15E769F0"/>
    <w:rsid w:val="163004AD"/>
    <w:rsid w:val="164356BB"/>
    <w:rsid w:val="165D6CB3"/>
    <w:rsid w:val="166F777C"/>
    <w:rsid w:val="169C21B8"/>
    <w:rsid w:val="169C6B59"/>
    <w:rsid w:val="16BB60A4"/>
    <w:rsid w:val="16D604C4"/>
    <w:rsid w:val="173A5387"/>
    <w:rsid w:val="17725C57"/>
    <w:rsid w:val="17755246"/>
    <w:rsid w:val="17800AEC"/>
    <w:rsid w:val="17BB770D"/>
    <w:rsid w:val="18245E40"/>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43177"/>
    <w:rsid w:val="1B9A62B3"/>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0162A"/>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BC2B3E"/>
    <w:rsid w:val="1ED05FDD"/>
    <w:rsid w:val="1EDA4565"/>
    <w:rsid w:val="1F0115E6"/>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2797"/>
    <w:rsid w:val="21AB5C9B"/>
    <w:rsid w:val="21B427AB"/>
    <w:rsid w:val="21BD46E0"/>
    <w:rsid w:val="21D16251"/>
    <w:rsid w:val="227C0C68"/>
    <w:rsid w:val="227D1F07"/>
    <w:rsid w:val="22AE5DFE"/>
    <w:rsid w:val="22C205C9"/>
    <w:rsid w:val="23025E80"/>
    <w:rsid w:val="235C31B0"/>
    <w:rsid w:val="23C16FD2"/>
    <w:rsid w:val="242C445B"/>
    <w:rsid w:val="247E04BE"/>
    <w:rsid w:val="248B6BF0"/>
    <w:rsid w:val="24975A35"/>
    <w:rsid w:val="24A451C8"/>
    <w:rsid w:val="24B0777F"/>
    <w:rsid w:val="24B80E3D"/>
    <w:rsid w:val="24BA3A6C"/>
    <w:rsid w:val="24C14262"/>
    <w:rsid w:val="24DB11B1"/>
    <w:rsid w:val="24DB1DC1"/>
    <w:rsid w:val="250A6BBA"/>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C82C80"/>
    <w:rsid w:val="2CF23348"/>
    <w:rsid w:val="2D0212AF"/>
    <w:rsid w:val="2D0721CE"/>
    <w:rsid w:val="2D2D0FB8"/>
    <w:rsid w:val="2D5369A4"/>
    <w:rsid w:val="2D553E12"/>
    <w:rsid w:val="2D563294"/>
    <w:rsid w:val="2D572DE8"/>
    <w:rsid w:val="2D7657B0"/>
    <w:rsid w:val="2DA92533"/>
    <w:rsid w:val="2DC542FD"/>
    <w:rsid w:val="2DF6381D"/>
    <w:rsid w:val="2DFA4A4D"/>
    <w:rsid w:val="2E027319"/>
    <w:rsid w:val="2E740C9C"/>
    <w:rsid w:val="2E912614"/>
    <w:rsid w:val="2EB82B9B"/>
    <w:rsid w:val="2EBD7006"/>
    <w:rsid w:val="2EDB211E"/>
    <w:rsid w:val="2FAF734F"/>
    <w:rsid w:val="2FB74538"/>
    <w:rsid w:val="2FC85BC4"/>
    <w:rsid w:val="2FF16930"/>
    <w:rsid w:val="30255652"/>
    <w:rsid w:val="302A5959"/>
    <w:rsid w:val="305B0C4B"/>
    <w:rsid w:val="306F34C7"/>
    <w:rsid w:val="3095731D"/>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6A6E58"/>
    <w:rsid w:val="37366041"/>
    <w:rsid w:val="373D0F4E"/>
    <w:rsid w:val="375C0B95"/>
    <w:rsid w:val="375D41E8"/>
    <w:rsid w:val="37625DAE"/>
    <w:rsid w:val="377717B0"/>
    <w:rsid w:val="379D7A74"/>
    <w:rsid w:val="37A03DDA"/>
    <w:rsid w:val="37B85359"/>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AC10D0"/>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B04B06"/>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B50A70"/>
    <w:rsid w:val="41CC07BC"/>
    <w:rsid w:val="41DD5AAF"/>
    <w:rsid w:val="420569A4"/>
    <w:rsid w:val="4246080B"/>
    <w:rsid w:val="42784CF1"/>
    <w:rsid w:val="42CE24FD"/>
    <w:rsid w:val="42F302DD"/>
    <w:rsid w:val="43260C43"/>
    <w:rsid w:val="438034F8"/>
    <w:rsid w:val="4388321A"/>
    <w:rsid w:val="43AD0D2E"/>
    <w:rsid w:val="441A31FF"/>
    <w:rsid w:val="443F03D6"/>
    <w:rsid w:val="446A3759"/>
    <w:rsid w:val="446B4961"/>
    <w:rsid w:val="449428DA"/>
    <w:rsid w:val="45132E7E"/>
    <w:rsid w:val="45797DA1"/>
    <w:rsid w:val="45A046DF"/>
    <w:rsid w:val="45B725A0"/>
    <w:rsid w:val="45D33008"/>
    <w:rsid w:val="45D53422"/>
    <w:rsid w:val="462E25CA"/>
    <w:rsid w:val="46303A17"/>
    <w:rsid w:val="465A58CC"/>
    <w:rsid w:val="46931FE6"/>
    <w:rsid w:val="46D637ED"/>
    <w:rsid w:val="46DD3F38"/>
    <w:rsid w:val="46F16F1D"/>
    <w:rsid w:val="46FD2CBF"/>
    <w:rsid w:val="472910BD"/>
    <w:rsid w:val="472A205C"/>
    <w:rsid w:val="47553E8E"/>
    <w:rsid w:val="475A2C17"/>
    <w:rsid w:val="477C293C"/>
    <w:rsid w:val="478D61A3"/>
    <w:rsid w:val="47CA2F97"/>
    <w:rsid w:val="47D84675"/>
    <w:rsid w:val="47E17B3A"/>
    <w:rsid w:val="481379C4"/>
    <w:rsid w:val="481947FE"/>
    <w:rsid w:val="482379D2"/>
    <w:rsid w:val="483B043E"/>
    <w:rsid w:val="486B0826"/>
    <w:rsid w:val="486B1D8E"/>
    <w:rsid w:val="48A93D74"/>
    <w:rsid w:val="48D139F6"/>
    <w:rsid w:val="48F56DD6"/>
    <w:rsid w:val="491916C6"/>
    <w:rsid w:val="49573AC8"/>
    <w:rsid w:val="49AA7971"/>
    <w:rsid w:val="49FE240E"/>
    <w:rsid w:val="4A141151"/>
    <w:rsid w:val="4A316318"/>
    <w:rsid w:val="4A5950C6"/>
    <w:rsid w:val="4A643B84"/>
    <w:rsid w:val="4A777A6A"/>
    <w:rsid w:val="4AC9062D"/>
    <w:rsid w:val="4AE52C42"/>
    <w:rsid w:val="4AF2187D"/>
    <w:rsid w:val="4AFC3953"/>
    <w:rsid w:val="4B1E385E"/>
    <w:rsid w:val="4B2B39B2"/>
    <w:rsid w:val="4B6870F9"/>
    <w:rsid w:val="4B6C2969"/>
    <w:rsid w:val="4BCF6DCB"/>
    <w:rsid w:val="4BD06B38"/>
    <w:rsid w:val="4BDF321A"/>
    <w:rsid w:val="4C0065CE"/>
    <w:rsid w:val="4C18241E"/>
    <w:rsid w:val="4C227943"/>
    <w:rsid w:val="4C4373DD"/>
    <w:rsid w:val="4C472142"/>
    <w:rsid w:val="4C5F22C4"/>
    <w:rsid w:val="4CDD603C"/>
    <w:rsid w:val="4D8C30FC"/>
    <w:rsid w:val="4DC86CD0"/>
    <w:rsid w:val="4DD62C1F"/>
    <w:rsid w:val="4DF46D27"/>
    <w:rsid w:val="4E367509"/>
    <w:rsid w:val="4E3E294A"/>
    <w:rsid w:val="4E5211BA"/>
    <w:rsid w:val="4E90713C"/>
    <w:rsid w:val="4E9D1D1E"/>
    <w:rsid w:val="4F0E0B1D"/>
    <w:rsid w:val="4F563CC4"/>
    <w:rsid w:val="4FBD41CA"/>
    <w:rsid w:val="4FD246D2"/>
    <w:rsid w:val="50077D56"/>
    <w:rsid w:val="50131451"/>
    <w:rsid w:val="50831BFE"/>
    <w:rsid w:val="50B52FE4"/>
    <w:rsid w:val="50BF2E54"/>
    <w:rsid w:val="51390BE4"/>
    <w:rsid w:val="51600E2A"/>
    <w:rsid w:val="51C804DE"/>
    <w:rsid w:val="51CF0D4C"/>
    <w:rsid w:val="51E12FF8"/>
    <w:rsid w:val="51E33826"/>
    <w:rsid w:val="51E71C22"/>
    <w:rsid w:val="520C6B50"/>
    <w:rsid w:val="522E62F3"/>
    <w:rsid w:val="52A33960"/>
    <w:rsid w:val="52B476CE"/>
    <w:rsid w:val="52F47A95"/>
    <w:rsid w:val="531645CA"/>
    <w:rsid w:val="531F2A96"/>
    <w:rsid w:val="53262EC9"/>
    <w:rsid w:val="53334A48"/>
    <w:rsid w:val="53734149"/>
    <w:rsid w:val="53932760"/>
    <w:rsid w:val="539873E7"/>
    <w:rsid w:val="53B46D0C"/>
    <w:rsid w:val="54087353"/>
    <w:rsid w:val="54375044"/>
    <w:rsid w:val="544232E7"/>
    <w:rsid w:val="54557110"/>
    <w:rsid w:val="549661B6"/>
    <w:rsid w:val="54D24E79"/>
    <w:rsid w:val="54D253EC"/>
    <w:rsid w:val="5503429F"/>
    <w:rsid w:val="551027C6"/>
    <w:rsid w:val="552F7315"/>
    <w:rsid w:val="554B0FDD"/>
    <w:rsid w:val="55631D2D"/>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5C4B03"/>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B95D06"/>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C2CFA"/>
    <w:rsid w:val="5FC53466"/>
    <w:rsid w:val="5FD13015"/>
    <w:rsid w:val="5FF56DB4"/>
    <w:rsid w:val="5FF66C0A"/>
    <w:rsid w:val="60190EE3"/>
    <w:rsid w:val="601D48F2"/>
    <w:rsid w:val="601E31F8"/>
    <w:rsid w:val="602832C7"/>
    <w:rsid w:val="603D1F50"/>
    <w:rsid w:val="603F673E"/>
    <w:rsid w:val="60487659"/>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2FE5BAA"/>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CB1350"/>
    <w:rsid w:val="66330E7B"/>
    <w:rsid w:val="66351622"/>
    <w:rsid w:val="665A2304"/>
    <w:rsid w:val="666B1D6E"/>
    <w:rsid w:val="66885687"/>
    <w:rsid w:val="669C6349"/>
    <w:rsid w:val="66A80AC6"/>
    <w:rsid w:val="67144976"/>
    <w:rsid w:val="67202357"/>
    <w:rsid w:val="67603F26"/>
    <w:rsid w:val="67D3264E"/>
    <w:rsid w:val="67D63720"/>
    <w:rsid w:val="67EC027D"/>
    <w:rsid w:val="68024DD3"/>
    <w:rsid w:val="680F332B"/>
    <w:rsid w:val="6832253F"/>
    <w:rsid w:val="685C3C4D"/>
    <w:rsid w:val="687102AD"/>
    <w:rsid w:val="68724B40"/>
    <w:rsid w:val="68902798"/>
    <w:rsid w:val="690C7142"/>
    <w:rsid w:val="693B5FD8"/>
    <w:rsid w:val="69412846"/>
    <w:rsid w:val="695907E9"/>
    <w:rsid w:val="6964290E"/>
    <w:rsid w:val="698304CD"/>
    <w:rsid w:val="69932BAE"/>
    <w:rsid w:val="69A16FDB"/>
    <w:rsid w:val="69BA6060"/>
    <w:rsid w:val="69ED5B2B"/>
    <w:rsid w:val="6A223F21"/>
    <w:rsid w:val="6A4771F0"/>
    <w:rsid w:val="6A58493C"/>
    <w:rsid w:val="6A641277"/>
    <w:rsid w:val="6A64308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E72C30"/>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35746E"/>
    <w:rsid w:val="6E977E1E"/>
    <w:rsid w:val="6E9A083E"/>
    <w:rsid w:val="6F1013D6"/>
    <w:rsid w:val="6F1830F3"/>
    <w:rsid w:val="6F2C4E6B"/>
    <w:rsid w:val="6F7502BE"/>
    <w:rsid w:val="6F8E346E"/>
    <w:rsid w:val="6F922D77"/>
    <w:rsid w:val="6FA85985"/>
    <w:rsid w:val="6FD7718C"/>
    <w:rsid w:val="6FEA2DEF"/>
    <w:rsid w:val="70231C9D"/>
    <w:rsid w:val="70411BFE"/>
    <w:rsid w:val="704768D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4C6374"/>
    <w:rsid w:val="746B4618"/>
    <w:rsid w:val="746F2FAE"/>
    <w:rsid w:val="748E187D"/>
    <w:rsid w:val="74F727ED"/>
    <w:rsid w:val="75395A4F"/>
    <w:rsid w:val="75A62599"/>
    <w:rsid w:val="75C718AC"/>
    <w:rsid w:val="75E5168E"/>
    <w:rsid w:val="75E65018"/>
    <w:rsid w:val="75FD7923"/>
    <w:rsid w:val="764536B8"/>
    <w:rsid w:val="764C1E95"/>
    <w:rsid w:val="765340BE"/>
    <w:rsid w:val="76600B0B"/>
    <w:rsid w:val="769D4729"/>
    <w:rsid w:val="76EC025F"/>
    <w:rsid w:val="77104195"/>
    <w:rsid w:val="77532B5B"/>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8A4AB6"/>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5D67D0"/>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7">
    <w:name w:val="heading 4"/>
    <w:basedOn w:val="1"/>
    <w:next w:val="1"/>
    <w:link w:val="148"/>
    <w:qFormat/>
    <w:uiPriority w:val="0"/>
    <w:pPr>
      <w:keepNext/>
      <w:keepLines/>
      <w:spacing w:line="540" w:lineRule="atLeast"/>
      <w:outlineLvl w:val="3"/>
    </w:pPr>
    <w:rPr>
      <w:sz w:val="28"/>
      <w:szCs w:val="28"/>
    </w:rPr>
  </w:style>
  <w:style w:type="paragraph" w:styleId="8">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2"/>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69"/>
    <w:qFormat/>
    <w:uiPriority w:val="0"/>
    <w:pPr>
      <w:keepNext/>
      <w:keepLines/>
      <w:spacing w:before="240" w:after="64" w:line="317" w:lineRule="auto"/>
      <w:outlineLvl w:val="6"/>
    </w:pPr>
    <w:rPr>
      <w:b/>
      <w:sz w:val="24"/>
      <w:szCs w:val="20"/>
    </w:rPr>
  </w:style>
  <w:style w:type="paragraph" w:styleId="12">
    <w:name w:val="heading 8"/>
    <w:basedOn w:val="1"/>
    <w:next w:val="10"/>
    <w:link w:val="175"/>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43"/>
    <w:qFormat/>
    <w:uiPriority w:val="0"/>
    <w:pPr>
      <w:ind w:left="480" w:hanging="480" w:hangingChars="200"/>
    </w:pPr>
    <w:rPr>
      <w:sz w:val="24"/>
    </w:r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0"/>
    <w:qFormat/>
    <w:uiPriority w:val="0"/>
    <w:pPr>
      <w:shd w:val="clear" w:color="auto" w:fill="000080"/>
    </w:pPr>
  </w:style>
  <w:style w:type="paragraph" w:styleId="19">
    <w:name w:val="annotation text"/>
    <w:basedOn w:val="1"/>
    <w:link w:val="90"/>
    <w:qFormat/>
    <w:uiPriority w:val="0"/>
    <w:pPr>
      <w:jc w:val="left"/>
    </w:pPr>
  </w:style>
  <w:style w:type="paragraph" w:styleId="20">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4"/>
    <w:qFormat/>
    <w:uiPriority w:val="0"/>
    <w:pPr>
      <w:autoSpaceDE w:val="0"/>
      <w:autoSpaceDN w:val="0"/>
      <w:adjustRightInd w:val="0"/>
      <w:jc w:val="center"/>
    </w:pPr>
  </w:style>
  <w:style w:type="paragraph" w:styleId="22">
    <w:name w:val="Body Text"/>
    <w:basedOn w:val="1"/>
    <w:next w:val="23"/>
    <w:link w:val="163"/>
    <w:qFormat/>
    <w:uiPriority w:val="0"/>
    <w:pPr>
      <w:spacing w:after="120"/>
    </w:pPr>
    <w:rPr>
      <w:rFonts w:ascii="仿宋_GB2312"/>
      <w:b/>
    </w:rPr>
  </w:style>
  <w:style w:type="paragraph" w:styleId="23">
    <w:name w:val="Body Text First Indent"/>
    <w:basedOn w:val="22"/>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2"/>
    <w:qFormat/>
    <w:uiPriority w:val="0"/>
    <w:pPr>
      <w:ind w:left="100" w:leftChars="2500"/>
    </w:pPr>
  </w:style>
  <w:style w:type="paragraph" w:styleId="33">
    <w:name w:val="Body Text Indent 2"/>
    <w:basedOn w:val="1"/>
    <w:link w:val="177"/>
    <w:qFormat/>
    <w:uiPriority w:val="0"/>
    <w:pPr>
      <w:spacing w:line="500" w:lineRule="exact"/>
      <w:ind w:firstLine="511" w:firstLineChars="213"/>
    </w:pPr>
    <w:rPr>
      <w:sz w:val="24"/>
    </w:rPr>
  </w:style>
  <w:style w:type="paragraph" w:styleId="34">
    <w:name w:val="Balloon Text"/>
    <w:basedOn w:val="1"/>
    <w:link w:val="150"/>
    <w:qFormat/>
    <w:uiPriority w:val="0"/>
    <w:rPr>
      <w:sz w:val="18"/>
      <w:szCs w:val="18"/>
    </w:rPr>
  </w:style>
  <w:style w:type="paragraph" w:styleId="35">
    <w:name w:val="footer"/>
    <w:basedOn w:val="1"/>
    <w:link w:val="119"/>
    <w:qFormat/>
    <w:uiPriority w:val="0"/>
    <w:pPr>
      <w:tabs>
        <w:tab w:val="center" w:pos="4153"/>
        <w:tab w:val="right" w:pos="8306"/>
      </w:tabs>
      <w:snapToGrid w:val="0"/>
      <w:jc w:val="left"/>
    </w:pPr>
    <w:rPr>
      <w:sz w:val="18"/>
      <w:szCs w:val="18"/>
    </w:rPr>
  </w:style>
  <w:style w:type="paragraph" w:styleId="36">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5"/>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7"/>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0"/>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5"/>
    <w:qFormat/>
    <w:uiPriority w:val="0"/>
    <w:rPr>
      <w:b/>
      <w:bCs/>
    </w:rPr>
  </w:style>
  <w:style w:type="paragraph" w:styleId="51">
    <w:name w:val="Body Text First Indent 2"/>
    <w:basedOn w:val="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1"/>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20"/>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9"/>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1"/>
    <w:qFormat/>
    <w:uiPriority w:val="0"/>
  </w:style>
  <w:style w:type="character" w:customStyle="1" w:styleId="95">
    <w:name w:val="批注主题 Char"/>
    <w:link w:val="50"/>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10"/>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9"/>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5"/>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8"/>
    <w:qFormat/>
    <w:uiPriority w:val="0"/>
    <w:rPr>
      <w:rFonts w:eastAsia="宋体"/>
      <w:kern w:val="2"/>
      <w:sz w:val="21"/>
      <w:szCs w:val="24"/>
      <w:lang w:val="en-US" w:eastAsia="zh-CN" w:bidi="ar-SA"/>
    </w:rPr>
  </w:style>
  <w:style w:type="character" w:customStyle="1" w:styleId="131">
    <w:name w:val="标题 5 Char"/>
    <w:link w:val="8"/>
    <w:qFormat/>
    <w:uiPriority w:val="0"/>
    <w:rPr>
      <w:rFonts w:eastAsia="宋体"/>
      <w:b/>
      <w:bCs/>
      <w:sz w:val="28"/>
      <w:szCs w:val="28"/>
      <w:lang w:bidi="ar-SA"/>
    </w:rPr>
  </w:style>
  <w:style w:type="character" w:customStyle="1" w:styleId="132">
    <w:name w:val="日期 Char"/>
    <w:link w:val="32"/>
    <w:qFormat/>
    <w:uiPriority w:val="0"/>
    <w:rPr>
      <w:rFonts w:eastAsia="宋体"/>
      <w:kern w:val="2"/>
      <w:sz w:val="21"/>
      <w:szCs w:val="24"/>
      <w:lang w:val="en-US" w:eastAsia="zh-CN" w:bidi="ar-SA"/>
    </w:rPr>
  </w:style>
  <w:style w:type="character" w:customStyle="1" w:styleId="133">
    <w:name w:val="副标题 Char"/>
    <w:link w:val="40"/>
    <w:qFormat/>
    <w:uiPriority w:val="0"/>
    <w:rPr>
      <w:rFonts w:ascii="Cambria" w:hAnsi="Cambria" w:eastAsia="宋体"/>
      <w:b/>
      <w:bCs/>
      <w:kern w:val="28"/>
      <w:sz w:val="32"/>
      <w:szCs w:val="32"/>
      <w:lang w:val="en-US" w:eastAsia="zh-CN" w:bidi="ar-SA"/>
    </w:rPr>
  </w:style>
  <w:style w:type="character" w:customStyle="1" w:styleId="134">
    <w:name w:val="页眉 Char"/>
    <w:link w:val="36"/>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4"/>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7"/>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4"/>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7"/>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3"/>
    <w:qFormat/>
    <w:uiPriority w:val="0"/>
    <w:rPr>
      <w:rFonts w:ascii="Arial" w:hAnsi="Arial" w:eastAsia="黑体"/>
      <w:kern w:val="2"/>
      <w:sz w:val="21"/>
      <w:lang w:val="en-US" w:eastAsia="zh-CN" w:bidi="ar-SA"/>
    </w:rPr>
  </w:style>
  <w:style w:type="character" w:customStyle="1" w:styleId="163">
    <w:name w:val="正文文本 Char"/>
    <w:link w:val="22"/>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9"/>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2"/>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3"/>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9"/>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3"/>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7"/>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8"/>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10"/>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10"/>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2"/>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2"/>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67</Pages>
  <Words>26880</Words>
  <Characters>28372</Characters>
  <Lines>322</Lines>
  <Paragraphs>90</Paragraphs>
  <TotalTime>8</TotalTime>
  <ScaleCrop>false</ScaleCrop>
  <LinksUpToDate>false</LinksUpToDate>
  <CharactersWithSpaces>31721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2024-10-31T01:47:00Z</cp:lastPrinted>
  <dcterms:modified xsi:type="dcterms:W3CDTF">2024-11-01T08:02:08Z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B5701A477D854512847632D2AA8697CB_13</vt:lpwstr>
  </property>
</Properties>
</file>