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84363B1">
      <w:pPr>
        <w:rPr>
          <w:rFonts w:ascii="宋体" w:hAnsi="宋体" w:cs="宋体"/>
          <w:b/>
          <w:bCs/>
          <w:color w:val="auto"/>
          <w:spacing w:val="120"/>
          <w:sz w:val="52"/>
          <w:szCs w:val="52"/>
          <w:highlight w:val="none"/>
        </w:rPr>
      </w:pPr>
    </w:p>
    <w:p w14:paraId="0C544C6E">
      <w:pPr>
        <w:rPr>
          <w:rFonts w:ascii="宋体" w:hAnsi="宋体" w:cs="宋体"/>
          <w:b/>
          <w:bCs/>
          <w:color w:val="auto"/>
          <w:sz w:val="52"/>
          <w:szCs w:val="52"/>
          <w:highlight w:val="none"/>
        </w:rPr>
      </w:pPr>
      <w:r>
        <w:rPr>
          <w:rFonts w:hint="eastAsia" w:ascii="宋体" w:hAnsi="宋体" w:cs="宋体"/>
          <w:color w:val="auto"/>
          <w:spacing w:val="20"/>
          <w:sz w:val="84"/>
          <w:highlight w:val="none"/>
        </w:rPr>
        <w:t>温州市政府（分散）采购</w:t>
      </w:r>
    </w:p>
    <w:p w14:paraId="1904C43F">
      <w:pPr>
        <w:jc w:val="center"/>
        <w:rPr>
          <w:rFonts w:ascii="宋体" w:hAnsi="宋体" w:cs="宋体"/>
          <w:b/>
          <w:bCs/>
          <w:color w:val="auto"/>
          <w:spacing w:val="26"/>
          <w:sz w:val="52"/>
          <w:highlight w:val="none"/>
        </w:rPr>
      </w:pPr>
    </w:p>
    <w:p w14:paraId="66E965C6">
      <w:pPr>
        <w:ind w:firstLine="2357" w:firstLineChars="235"/>
        <w:rPr>
          <w:rFonts w:ascii="宋体" w:hAnsi="宋体" w:cs="宋体"/>
          <w:b/>
          <w:bCs/>
          <w:color w:val="auto"/>
          <w:spacing w:val="140"/>
          <w:sz w:val="72"/>
          <w:highlight w:val="none"/>
        </w:rPr>
      </w:pPr>
    </w:p>
    <w:p w14:paraId="22F2424F">
      <w:pPr>
        <w:adjustRightInd w:val="0"/>
        <w:snapToGrid w:val="0"/>
        <w:spacing w:line="480" w:lineRule="auto"/>
        <w:ind w:right="361"/>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tbl>
      <w:tblPr>
        <w:tblStyle w:val="53"/>
        <w:tblW w:w="0" w:type="auto"/>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0"/>
        <w:gridCol w:w="5730"/>
      </w:tblGrid>
      <w:tr w14:paraId="1BF97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42E6A152">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项 目 编 号</w:t>
            </w:r>
            <w:r>
              <w:rPr>
                <w:rFonts w:hint="eastAsia" w:ascii="宋体" w:hAnsi="宋体" w:cs="宋体"/>
                <w:color w:val="auto"/>
                <w:spacing w:val="40"/>
                <w:sz w:val="28"/>
                <w:highlight w:val="none"/>
              </w:rPr>
              <w:t>：</w:t>
            </w:r>
          </w:p>
        </w:tc>
        <w:tc>
          <w:tcPr>
            <w:tcW w:w="5730" w:type="dxa"/>
            <w:vAlign w:val="center"/>
          </w:tcPr>
          <w:p w14:paraId="24C7B1B7">
            <w:pPr>
              <w:spacing w:line="700" w:lineRule="exact"/>
              <w:jc w:val="center"/>
              <w:rPr>
                <w:rFonts w:hint="eastAsia" w:ascii="宋体" w:hAnsi="宋体" w:eastAsia="宋体" w:cs="宋体"/>
                <w:color w:val="auto"/>
                <w:sz w:val="24"/>
                <w:highlight w:val="none"/>
                <w:lang w:eastAsia="zh-CN"/>
              </w:rPr>
            </w:pPr>
            <w:r>
              <w:rPr>
                <w:rFonts w:hint="eastAsia" w:ascii="宋体" w:hAnsi="宋体" w:cs="宋体"/>
                <w:color w:val="auto"/>
                <w:spacing w:val="40"/>
                <w:sz w:val="28"/>
                <w:highlight w:val="none"/>
                <w:lang w:eastAsia="zh-CN"/>
              </w:rPr>
              <w:t>WZLCZB（Z）-2024-10454</w:t>
            </w:r>
          </w:p>
        </w:tc>
      </w:tr>
      <w:tr w14:paraId="5CCF0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4BFDD75B">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项 目 名 称：</w:t>
            </w:r>
          </w:p>
        </w:tc>
        <w:tc>
          <w:tcPr>
            <w:tcW w:w="5730" w:type="dxa"/>
            <w:vAlign w:val="center"/>
          </w:tcPr>
          <w:p w14:paraId="643B94F9">
            <w:pPr>
              <w:spacing w:line="700" w:lineRule="exact"/>
              <w:jc w:val="center"/>
              <w:rPr>
                <w:rFonts w:ascii="宋体" w:hAnsi="宋体" w:cs="宋体"/>
                <w:color w:val="auto"/>
                <w:sz w:val="24"/>
                <w:highlight w:val="none"/>
              </w:rPr>
            </w:pPr>
            <w:r>
              <w:rPr>
                <w:rFonts w:hint="eastAsia" w:ascii="宋体" w:hAnsi="宋体" w:cs="宋体"/>
                <w:color w:val="auto"/>
                <w:sz w:val="30"/>
                <w:szCs w:val="30"/>
                <w:highlight w:val="none"/>
              </w:rPr>
              <w:t>基层智治综合应用鹿城域</w:t>
            </w:r>
          </w:p>
        </w:tc>
      </w:tr>
      <w:tr w14:paraId="6C580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0DA37CBA">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采 购 方 式：</w:t>
            </w:r>
          </w:p>
        </w:tc>
        <w:tc>
          <w:tcPr>
            <w:tcW w:w="5730" w:type="dxa"/>
            <w:vAlign w:val="center"/>
          </w:tcPr>
          <w:p w14:paraId="53F4AB2F">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公开招标</w:t>
            </w:r>
          </w:p>
        </w:tc>
      </w:tr>
      <w:tr w14:paraId="50532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14:paraId="08D44B96">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评 审 方 式：</w:t>
            </w:r>
          </w:p>
        </w:tc>
        <w:tc>
          <w:tcPr>
            <w:tcW w:w="5730" w:type="dxa"/>
            <w:vAlign w:val="center"/>
          </w:tcPr>
          <w:p w14:paraId="536477C2">
            <w:pPr>
              <w:spacing w:line="700" w:lineRule="exact"/>
              <w:jc w:val="center"/>
              <w:rPr>
                <w:rFonts w:ascii="宋体" w:hAnsi="宋体" w:cs="宋体"/>
                <w:color w:val="auto"/>
                <w:sz w:val="24"/>
                <w:highlight w:val="none"/>
              </w:rPr>
            </w:pPr>
            <w:r>
              <w:rPr>
                <w:rFonts w:hint="eastAsia" w:ascii="宋体" w:hAnsi="宋体" w:cs="宋体"/>
                <w:color w:val="auto"/>
                <w:spacing w:val="40"/>
                <w:sz w:val="30"/>
                <w:szCs w:val="30"/>
                <w:highlight w:val="none"/>
              </w:rPr>
              <w:t>线上电子招投标</w:t>
            </w:r>
          </w:p>
        </w:tc>
      </w:tr>
    </w:tbl>
    <w:p w14:paraId="20C4C3DA">
      <w:pPr>
        <w:spacing w:line="700" w:lineRule="exact"/>
        <w:ind w:firstLine="723" w:firstLineChars="300"/>
        <w:jc w:val="left"/>
        <w:rPr>
          <w:rFonts w:ascii="宋体" w:hAnsi="宋体" w:cs="宋体"/>
          <w:b/>
          <w:bCs/>
          <w:color w:val="auto"/>
          <w:sz w:val="24"/>
          <w:highlight w:val="none"/>
        </w:rPr>
      </w:pPr>
    </w:p>
    <w:p w14:paraId="379A39A5">
      <w:pPr>
        <w:spacing w:line="700" w:lineRule="exact"/>
        <w:ind w:firstLine="904" w:firstLineChars="300"/>
        <w:jc w:val="left"/>
        <w:rPr>
          <w:rFonts w:ascii="宋体" w:hAnsi="宋体" w:cs="宋体"/>
          <w:b/>
          <w:color w:val="auto"/>
          <w:spacing w:val="40"/>
          <w:sz w:val="30"/>
          <w:szCs w:val="30"/>
          <w:highlight w:val="none"/>
        </w:rPr>
      </w:pPr>
      <w:r>
        <w:rPr>
          <w:rFonts w:hint="eastAsia" w:ascii="宋体" w:hAnsi="宋体" w:cs="宋体"/>
          <w:b/>
          <w:bCs/>
          <w:color w:val="auto"/>
          <w:sz w:val="30"/>
          <w:szCs w:val="30"/>
          <w:highlight w:val="none"/>
        </w:rPr>
        <w:t xml:space="preserve">     </w:t>
      </w:r>
    </w:p>
    <w:p w14:paraId="32A2324E">
      <w:pPr>
        <w:spacing w:line="700" w:lineRule="exact"/>
        <w:ind w:left="3802" w:leftChars="540" w:hanging="2668" w:hangingChars="700"/>
        <w:rPr>
          <w:rFonts w:ascii="宋体" w:hAnsi="宋体" w:cs="宋体"/>
          <w:b/>
          <w:color w:val="auto"/>
          <w:spacing w:val="40"/>
          <w:sz w:val="30"/>
          <w:szCs w:val="30"/>
          <w:highlight w:val="none"/>
        </w:rPr>
      </w:pPr>
    </w:p>
    <w:p w14:paraId="13709921">
      <w:pPr>
        <w:keepNext/>
        <w:spacing w:line="700" w:lineRule="exact"/>
        <w:rPr>
          <w:rFonts w:ascii="宋体" w:hAnsi="宋体" w:cs="宋体"/>
          <w:color w:val="auto"/>
          <w:spacing w:val="40"/>
          <w:sz w:val="30"/>
          <w:szCs w:val="30"/>
          <w:highlight w:val="none"/>
        </w:rPr>
      </w:pPr>
      <w:r>
        <w:rPr>
          <w:rFonts w:hint="eastAsia" w:ascii="宋体" w:hAnsi="宋体" w:cs="宋体"/>
          <w:b/>
          <w:color w:val="auto"/>
          <w:spacing w:val="40"/>
          <w:sz w:val="30"/>
          <w:szCs w:val="30"/>
          <w:highlight w:val="none"/>
        </w:rPr>
        <w:t xml:space="preserve">    </w:t>
      </w:r>
    </w:p>
    <w:p w14:paraId="61AF42B4">
      <w:pPr>
        <w:spacing w:line="600" w:lineRule="exact"/>
        <w:jc w:val="center"/>
        <w:rPr>
          <w:rFonts w:ascii="宋体" w:hAnsi="宋体" w:cs="宋体"/>
          <w:color w:val="auto"/>
          <w:spacing w:val="30"/>
          <w:sz w:val="30"/>
          <w:highlight w:val="none"/>
        </w:rPr>
      </w:pPr>
      <w:r>
        <w:rPr>
          <w:rFonts w:hint="eastAsia" w:ascii="宋体" w:hAnsi="宋体" w:cs="宋体"/>
          <w:color w:val="auto"/>
          <w:spacing w:val="30"/>
          <w:sz w:val="30"/>
          <w:highlight w:val="none"/>
        </w:rPr>
        <w:t>招 标 人:温州市鹿城区社会治理中心</w:t>
      </w:r>
    </w:p>
    <w:p w14:paraId="1B9EEAAE">
      <w:pPr>
        <w:spacing w:line="600" w:lineRule="exact"/>
        <w:jc w:val="center"/>
        <w:rPr>
          <w:rFonts w:ascii="宋体" w:hAnsi="宋体" w:cs="宋体"/>
          <w:color w:val="auto"/>
          <w:spacing w:val="30"/>
          <w:sz w:val="30"/>
          <w:highlight w:val="none"/>
        </w:rPr>
      </w:pPr>
      <w:r>
        <w:rPr>
          <w:rFonts w:hint="eastAsia" w:ascii="宋体" w:hAnsi="宋体" w:cs="宋体"/>
          <w:color w:val="auto"/>
          <w:spacing w:val="30"/>
          <w:sz w:val="30"/>
          <w:highlight w:val="none"/>
        </w:rPr>
        <w:t>招标代理机构：温州历程招标有限公司</w:t>
      </w:r>
    </w:p>
    <w:p w14:paraId="3A9DCF48">
      <w:pPr>
        <w:spacing w:line="600" w:lineRule="exact"/>
        <w:jc w:val="center"/>
        <w:rPr>
          <w:rFonts w:ascii="宋体" w:hAnsi="宋体" w:cs="宋体"/>
          <w:color w:val="auto"/>
          <w:spacing w:val="30"/>
          <w:sz w:val="30"/>
          <w:highlight w:val="none"/>
        </w:rPr>
      </w:pPr>
      <w:r>
        <w:rPr>
          <w:rFonts w:hint="eastAsia" w:ascii="宋体" w:hAnsi="宋体" w:cs="宋体"/>
          <w:color w:val="auto"/>
          <w:spacing w:val="30"/>
          <w:sz w:val="30"/>
          <w:highlight w:val="none"/>
        </w:rPr>
        <w:t>二0二四年</w:t>
      </w:r>
    </w:p>
    <w:p w14:paraId="5325CE3A">
      <w:pPr>
        <w:rPr>
          <w:color w:val="auto"/>
          <w:highlight w:val="none"/>
        </w:rPr>
      </w:pPr>
      <w:r>
        <w:rPr>
          <w:rFonts w:hint="eastAsia" w:ascii="宋体" w:hAnsi="宋体" w:cs="宋体"/>
          <w:b/>
          <w:color w:val="auto"/>
          <w:sz w:val="36"/>
          <w:szCs w:val="36"/>
          <w:highlight w:val="none"/>
        </w:rPr>
        <w:br w:type="page"/>
      </w:r>
    </w:p>
    <w:p w14:paraId="6C657570">
      <w:pPr>
        <w:jc w:val="center"/>
        <w:rPr>
          <w:rFonts w:ascii="宋体" w:hAnsi="宋体" w:cs="宋体"/>
          <w:color w:val="auto"/>
          <w:highlight w:val="none"/>
        </w:rPr>
      </w:pPr>
    </w:p>
    <w:p w14:paraId="0B5738E2">
      <w:pPr>
        <w:pStyle w:val="41"/>
        <w:tabs>
          <w:tab w:val="right" w:leader="dot" w:pos="9638"/>
        </w:tabs>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目  录</w:t>
      </w:r>
    </w:p>
    <w:p w14:paraId="2C2DFEDC">
      <w:pPr>
        <w:pStyle w:val="41"/>
        <w:tabs>
          <w:tab w:val="right" w:leader="dot" w:pos="9972"/>
        </w:tabs>
        <w:spacing w:line="460" w:lineRule="exact"/>
        <w:rPr>
          <w:color w:val="auto"/>
          <w:highlight w:val="none"/>
        </w:rPr>
      </w:pPr>
      <w:r>
        <w:rPr>
          <w:rFonts w:hint="eastAsia" w:ascii="宋体" w:hAnsi="宋体" w:cs="宋体"/>
          <w:b/>
          <w:color w:val="auto"/>
          <w:sz w:val="40"/>
          <w:szCs w:val="40"/>
          <w:highlight w:val="none"/>
        </w:rPr>
        <w:fldChar w:fldCharType="begin"/>
      </w:r>
      <w:r>
        <w:rPr>
          <w:rFonts w:hint="eastAsia" w:ascii="宋体" w:hAnsi="宋体" w:cs="宋体"/>
          <w:b/>
          <w:color w:val="auto"/>
          <w:sz w:val="40"/>
          <w:szCs w:val="40"/>
          <w:highlight w:val="none"/>
        </w:rPr>
        <w:instrText xml:space="preserve">TOC \o "1-3" \h \u </w:instrText>
      </w:r>
      <w:r>
        <w:rPr>
          <w:rFonts w:hint="eastAsia" w:ascii="宋体" w:hAnsi="宋体" w:cs="宋体"/>
          <w:b/>
          <w:color w:val="auto"/>
          <w:sz w:val="40"/>
          <w:szCs w:val="40"/>
          <w:highlight w:val="none"/>
        </w:rPr>
        <w:fldChar w:fldCharType="separate"/>
      </w:r>
      <w:r>
        <w:rPr>
          <w:color w:val="auto"/>
          <w:highlight w:val="none"/>
        </w:rPr>
        <w:fldChar w:fldCharType="begin"/>
      </w:r>
      <w:r>
        <w:rPr>
          <w:color w:val="auto"/>
          <w:highlight w:val="none"/>
        </w:rPr>
        <w:instrText xml:space="preserve"> HYPERLINK \l "_Toc17095" </w:instrText>
      </w:r>
      <w:r>
        <w:rPr>
          <w:color w:val="auto"/>
          <w:highlight w:val="none"/>
        </w:rPr>
        <w:fldChar w:fldCharType="separate"/>
      </w:r>
      <w:r>
        <w:rPr>
          <w:rFonts w:hint="eastAsia" w:ascii="宋体" w:hAnsi="宋体" w:cs="宋体"/>
          <w:color w:val="auto"/>
          <w:highlight w:val="none"/>
        </w:rPr>
        <w:t>招 标 公 告</w:t>
      </w:r>
      <w:r>
        <w:rPr>
          <w:color w:val="auto"/>
          <w:highlight w:val="none"/>
        </w:rPr>
        <w:tab/>
      </w:r>
      <w:r>
        <w:rPr>
          <w:color w:val="auto"/>
          <w:highlight w:val="none"/>
        </w:rPr>
        <w:fldChar w:fldCharType="begin"/>
      </w:r>
      <w:r>
        <w:rPr>
          <w:color w:val="auto"/>
          <w:highlight w:val="none"/>
        </w:rPr>
        <w:instrText xml:space="preserve"> PAGEREF _Toc17095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7B96FFB5">
      <w:pPr>
        <w:pStyle w:val="41"/>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"_Toc13662" </w:instrText>
      </w:r>
      <w:r>
        <w:rPr>
          <w:color w:val="auto"/>
          <w:highlight w:val="none"/>
        </w:rPr>
        <w:fldChar w:fldCharType="separate"/>
      </w:r>
      <w:r>
        <w:rPr>
          <w:rFonts w:hint="eastAsia" w:ascii="宋体" w:hAnsi="宋体" w:cs="宋体"/>
          <w:color w:val="auto"/>
          <w:highlight w:val="none"/>
        </w:rPr>
        <w:t>第一部分    投标人须知</w:t>
      </w:r>
      <w:r>
        <w:rPr>
          <w:color w:val="auto"/>
          <w:highlight w:val="none"/>
        </w:rPr>
        <w:tab/>
      </w:r>
      <w:r>
        <w:rPr>
          <w:color w:val="auto"/>
          <w:highlight w:val="none"/>
        </w:rPr>
        <w:fldChar w:fldCharType="begin"/>
      </w:r>
      <w:r>
        <w:rPr>
          <w:color w:val="auto"/>
          <w:highlight w:val="none"/>
        </w:rPr>
        <w:instrText xml:space="preserve"> PAGEREF _Toc13662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ADCAF06">
      <w:pPr>
        <w:pStyle w:val="32"/>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"_Toc15856" </w:instrText>
      </w:r>
      <w:r>
        <w:rPr>
          <w:color w:val="auto"/>
          <w:highlight w:val="none"/>
        </w:rPr>
        <w:fldChar w:fldCharType="separate"/>
      </w:r>
      <w:r>
        <w:rPr>
          <w:rFonts w:hint="eastAsia" w:ascii="宋体" w:hAnsi="宋体" w:cs="宋体"/>
          <w:bCs/>
          <w:color w:val="auto"/>
          <w:highlight w:val="none"/>
        </w:rPr>
        <w:t>前 附 表</w:t>
      </w:r>
      <w:r>
        <w:rPr>
          <w:color w:val="auto"/>
          <w:highlight w:val="none"/>
        </w:rPr>
        <w:tab/>
      </w:r>
      <w:r>
        <w:rPr>
          <w:color w:val="auto"/>
          <w:highlight w:val="none"/>
        </w:rPr>
        <w:fldChar w:fldCharType="begin"/>
      </w:r>
      <w:r>
        <w:rPr>
          <w:color w:val="auto"/>
          <w:highlight w:val="none"/>
        </w:rPr>
        <w:instrText xml:space="preserve"> PAGEREF _Toc15856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F336527">
      <w:pPr>
        <w:pStyle w:val="32"/>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"_Toc3302" </w:instrText>
      </w:r>
      <w:r>
        <w:rPr>
          <w:color w:val="auto"/>
          <w:highlight w:val="none"/>
        </w:rPr>
        <w:fldChar w:fldCharType="separate"/>
      </w:r>
      <w:r>
        <w:rPr>
          <w:rFonts w:hint="eastAsia" w:ascii="宋体" w:hAnsi="宋体" w:cs="宋体"/>
          <w:bCs/>
          <w:color w:val="auto"/>
          <w:szCs w:val="26"/>
          <w:highlight w:val="none"/>
        </w:rPr>
        <w:t>一、 说   明</w:t>
      </w:r>
      <w:r>
        <w:rPr>
          <w:color w:val="auto"/>
          <w:highlight w:val="none"/>
        </w:rPr>
        <w:tab/>
      </w:r>
      <w:r>
        <w:rPr>
          <w:color w:val="auto"/>
          <w:highlight w:val="none"/>
        </w:rPr>
        <w:fldChar w:fldCharType="begin"/>
      </w:r>
      <w:r>
        <w:rPr>
          <w:color w:val="auto"/>
          <w:highlight w:val="none"/>
        </w:rPr>
        <w:instrText xml:space="preserve"> PAGEREF _Toc3302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61BC5944">
      <w:pPr>
        <w:pStyle w:val="32"/>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"_Toc2288" </w:instrText>
      </w:r>
      <w:r>
        <w:rPr>
          <w:color w:val="auto"/>
          <w:highlight w:val="none"/>
        </w:rPr>
        <w:fldChar w:fldCharType="separate"/>
      </w:r>
      <w:r>
        <w:rPr>
          <w:rFonts w:hint="eastAsia" w:ascii="宋体" w:hAnsi="宋体" w:cs="宋体"/>
          <w:bCs/>
          <w:color w:val="auto"/>
          <w:szCs w:val="26"/>
          <w:highlight w:val="none"/>
        </w:rPr>
        <w:t>二、 招标文件</w:t>
      </w:r>
      <w:r>
        <w:rPr>
          <w:color w:val="auto"/>
          <w:highlight w:val="none"/>
        </w:rPr>
        <w:tab/>
      </w:r>
      <w:r>
        <w:rPr>
          <w:color w:val="auto"/>
          <w:highlight w:val="none"/>
        </w:rPr>
        <w:fldChar w:fldCharType="begin"/>
      </w:r>
      <w:r>
        <w:rPr>
          <w:color w:val="auto"/>
          <w:highlight w:val="none"/>
        </w:rPr>
        <w:instrText xml:space="preserve"> PAGEREF _Toc2288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11B96637">
      <w:pPr>
        <w:pStyle w:val="32"/>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"_Toc12608" </w:instrText>
      </w:r>
      <w:r>
        <w:rPr>
          <w:color w:val="auto"/>
          <w:highlight w:val="none"/>
        </w:rPr>
        <w:fldChar w:fldCharType="separate"/>
      </w:r>
      <w:r>
        <w:rPr>
          <w:rFonts w:hint="eastAsia" w:ascii="宋体" w:hAnsi="宋体" w:cs="宋体"/>
          <w:bCs/>
          <w:color w:val="auto"/>
          <w:szCs w:val="26"/>
          <w:highlight w:val="none"/>
        </w:rPr>
        <w:t>三、 投标文件的编制</w:t>
      </w:r>
      <w:r>
        <w:rPr>
          <w:color w:val="auto"/>
          <w:highlight w:val="none"/>
        </w:rPr>
        <w:tab/>
      </w:r>
      <w:r>
        <w:rPr>
          <w:color w:val="auto"/>
          <w:highlight w:val="none"/>
        </w:rPr>
        <w:fldChar w:fldCharType="begin"/>
      </w:r>
      <w:r>
        <w:rPr>
          <w:color w:val="auto"/>
          <w:highlight w:val="none"/>
        </w:rPr>
        <w:instrText xml:space="preserve"> PAGEREF _Toc12608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1092FDA9">
      <w:pPr>
        <w:pStyle w:val="32"/>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"_Toc7547" </w:instrText>
      </w:r>
      <w:r>
        <w:rPr>
          <w:color w:val="auto"/>
          <w:highlight w:val="none"/>
        </w:rPr>
        <w:fldChar w:fldCharType="separate"/>
      </w:r>
      <w:r>
        <w:rPr>
          <w:rFonts w:hint="eastAsia" w:ascii="宋体" w:hAnsi="宋体" w:cs="宋体"/>
          <w:bCs/>
          <w:color w:val="auto"/>
          <w:szCs w:val="22"/>
          <w:highlight w:val="none"/>
        </w:rPr>
        <w:t>四、 投标文件的递交</w:t>
      </w:r>
      <w:r>
        <w:rPr>
          <w:color w:val="auto"/>
          <w:highlight w:val="none"/>
        </w:rPr>
        <w:tab/>
      </w:r>
      <w:r>
        <w:rPr>
          <w:color w:val="auto"/>
          <w:highlight w:val="none"/>
        </w:rPr>
        <w:fldChar w:fldCharType="begin"/>
      </w:r>
      <w:r>
        <w:rPr>
          <w:color w:val="auto"/>
          <w:highlight w:val="none"/>
        </w:rPr>
        <w:instrText xml:space="preserve"> PAGEREF _Toc7547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721A0047">
      <w:pPr>
        <w:pStyle w:val="32"/>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"_Toc14838" </w:instrText>
      </w:r>
      <w:r>
        <w:rPr>
          <w:color w:val="auto"/>
          <w:highlight w:val="none"/>
        </w:rPr>
        <w:fldChar w:fldCharType="separate"/>
      </w:r>
      <w:r>
        <w:rPr>
          <w:rFonts w:hint="eastAsia" w:ascii="宋体" w:hAnsi="宋体" w:cs="宋体"/>
          <w:bCs/>
          <w:color w:val="auto"/>
          <w:szCs w:val="22"/>
          <w:highlight w:val="none"/>
        </w:rPr>
        <w:t>五、 开标和评标</w:t>
      </w:r>
      <w:r>
        <w:rPr>
          <w:color w:val="auto"/>
          <w:highlight w:val="none"/>
        </w:rPr>
        <w:tab/>
      </w:r>
      <w:r>
        <w:rPr>
          <w:color w:val="auto"/>
          <w:highlight w:val="none"/>
        </w:rPr>
        <w:fldChar w:fldCharType="begin"/>
      </w:r>
      <w:r>
        <w:rPr>
          <w:color w:val="auto"/>
          <w:highlight w:val="none"/>
        </w:rPr>
        <w:instrText xml:space="preserve"> PAGEREF _Toc14838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6A89935C">
      <w:pPr>
        <w:pStyle w:val="32"/>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"_Toc20212" </w:instrText>
      </w:r>
      <w:r>
        <w:rPr>
          <w:color w:val="auto"/>
          <w:highlight w:val="none"/>
        </w:rPr>
        <w:fldChar w:fldCharType="separate"/>
      </w:r>
      <w:r>
        <w:rPr>
          <w:rFonts w:hint="eastAsia" w:ascii="宋体" w:hAnsi="宋体" w:cs="宋体"/>
          <w:bCs/>
          <w:color w:val="auto"/>
          <w:szCs w:val="26"/>
          <w:highlight w:val="none"/>
        </w:rPr>
        <w:t>六、 授予合同</w:t>
      </w:r>
      <w:r>
        <w:rPr>
          <w:color w:val="auto"/>
          <w:highlight w:val="none"/>
        </w:rPr>
        <w:tab/>
      </w:r>
      <w:r>
        <w:rPr>
          <w:color w:val="auto"/>
          <w:highlight w:val="none"/>
        </w:rPr>
        <w:fldChar w:fldCharType="begin"/>
      </w:r>
      <w:r>
        <w:rPr>
          <w:color w:val="auto"/>
          <w:highlight w:val="none"/>
        </w:rPr>
        <w:instrText xml:space="preserve"> PAGEREF _Toc20212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3AE71C18">
      <w:pPr>
        <w:pStyle w:val="41"/>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"_Toc26331" </w:instrText>
      </w:r>
      <w:r>
        <w:rPr>
          <w:color w:val="auto"/>
          <w:highlight w:val="none"/>
        </w:rPr>
        <w:fldChar w:fldCharType="separate"/>
      </w:r>
      <w:r>
        <w:rPr>
          <w:rFonts w:hint="eastAsia" w:ascii="宋体" w:hAnsi="宋体" w:cs="宋体"/>
          <w:color w:val="auto"/>
          <w:highlight w:val="none"/>
        </w:rPr>
        <w:t>第二部分    合同主要条款</w:t>
      </w:r>
      <w:r>
        <w:rPr>
          <w:color w:val="auto"/>
          <w:highlight w:val="none"/>
        </w:rPr>
        <w:tab/>
      </w:r>
      <w:r>
        <w:rPr>
          <w:color w:val="auto"/>
          <w:highlight w:val="none"/>
        </w:rPr>
        <w:fldChar w:fldCharType="begin"/>
      </w:r>
      <w:r>
        <w:rPr>
          <w:color w:val="auto"/>
          <w:highlight w:val="none"/>
        </w:rPr>
        <w:instrText xml:space="preserve"> PAGEREF _Toc26331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4F2D9F3B">
      <w:pPr>
        <w:pStyle w:val="41"/>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"_Toc6131" </w:instrText>
      </w:r>
      <w:r>
        <w:rPr>
          <w:color w:val="auto"/>
          <w:highlight w:val="none"/>
        </w:rPr>
        <w:fldChar w:fldCharType="separate"/>
      </w:r>
      <w:r>
        <w:rPr>
          <w:rFonts w:hint="eastAsia" w:ascii="宋体" w:hAnsi="宋体" w:cs="宋体"/>
          <w:color w:val="auto"/>
          <w:highlight w:val="none"/>
        </w:rPr>
        <w:t>第三部分    附件</w:t>
      </w:r>
      <w:r>
        <w:rPr>
          <w:color w:val="auto"/>
          <w:highlight w:val="none"/>
        </w:rPr>
        <w:tab/>
      </w:r>
      <w:r>
        <w:rPr>
          <w:color w:val="auto"/>
          <w:highlight w:val="none"/>
        </w:rPr>
        <w:fldChar w:fldCharType="begin"/>
      </w:r>
      <w:r>
        <w:rPr>
          <w:color w:val="auto"/>
          <w:highlight w:val="none"/>
        </w:rPr>
        <w:instrText xml:space="preserve"> PAGEREF _Toc6131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24428476">
      <w:pPr>
        <w:pStyle w:val="32"/>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"_Toc25074" </w:instrText>
      </w:r>
      <w:r>
        <w:rPr>
          <w:color w:val="auto"/>
          <w:highlight w:val="none"/>
        </w:rPr>
        <w:fldChar w:fldCharType="separate"/>
      </w:r>
      <w:r>
        <w:rPr>
          <w:rFonts w:hint="eastAsia" w:ascii="宋体" w:hAnsi="宋体" w:cs="宋体"/>
          <w:color w:val="auto"/>
          <w:highlight w:val="none"/>
        </w:rPr>
        <w:t>附件一</w:t>
      </w:r>
      <w:r>
        <w:rPr>
          <w:color w:val="auto"/>
          <w:highlight w:val="none"/>
        </w:rPr>
        <w:tab/>
      </w:r>
      <w:r>
        <w:rPr>
          <w:color w:val="auto"/>
          <w:highlight w:val="none"/>
        </w:rPr>
        <w:fldChar w:fldCharType="begin"/>
      </w:r>
      <w:r>
        <w:rPr>
          <w:color w:val="auto"/>
          <w:highlight w:val="none"/>
        </w:rPr>
        <w:instrText xml:space="preserve"> PAGEREF _Toc25074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26E0572B">
      <w:pPr>
        <w:pStyle w:val="30"/>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"_Toc21779" </w:instrText>
      </w:r>
      <w:r>
        <w:rPr>
          <w:color w:val="auto"/>
          <w:highlight w:val="none"/>
        </w:rPr>
        <w:fldChar w:fldCharType="separate"/>
      </w:r>
      <w:r>
        <w:rPr>
          <w:rFonts w:hint="eastAsia" w:ascii="宋体" w:hAnsi="宋体" w:cs="宋体"/>
          <w:bCs/>
          <w:color w:val="auto"/>
          <w:szCs w:val="28"/>
          <w:highlight w:val="none"/>
        </w:rPr>
        <w:t>报价文件</w:t>
      </w:r>
      <w:r>
        <w:rPr>
          <w:color w:val="auto"/>
          <w:highlight w:val="none"/>
        </w:rPr>
        <w:tab/>
      </w:r>
      <w:r>
        <w:rPr>
          <w:color w:val="auto"/>
          <w:highlight w:val="none"/>
        </w:rPr>
        <w:fldChar w:fldCharType="begin"/>
      </w:r>
      <w:r>
        <w:rPr>
          <w:color w:val="auto"/>
          <w:highlight w:val="none"/>
        </w:rPr>
        <w:instrText xml:space="preserve"> PAGEREF _Toc21779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077CDE39">
      <w:pPr>
        <w:pStyle w:val="32"/>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"_Toc3459" </w:instrText>
      </w:r>
      <w:r>
        <w:rPr>
          <w:color w:val="auto"/>
          <w:highlight w:val="none"/>
        </w:rPr>
        <w:fldChar w:fldCharType="separate"/>
      </w:r>
      <w:r>
        <w:rPr>
          <w:rFonts w:hint="eastAsia" w:ascii="宋体" w:hAnsi="宋体" w:cs="宋体"/>
          <w:color w:val="auto"/>
          <w:szCs w:val="22"/>
          <w:highlight w:val="none"/>
        </w:rPr>
        <w:t>附件二</w:t>
      </w:r>
      <w:r>
        <w:rPr>
          <w:color w:val="auto"/>
          <w:highlight w:val="none"/>
        </w:rPr>
        <w:tab/>
      </w:r>
      <w:r>
        <w:rPr>
          <w:color w:val="auto"/>
          <w:highlight w:val="none"/>
        </w:rPr>
        <w:fldChar w:fldCharType="begin"/>
      </w:r>
      <w:r>
        <w:rPr>
          <w:color w:val="auto"/>
          <w:highlight w:val="none"/>
        </w:rPr>
        <w:instrText xml:space="preserve"> PAGEREF _Toc3459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5C65DCC3">
      <w:pPr>
        <w:pStyle w:val="30"/>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"_Toc24365" </w:instrText>
      </w:r>
      <w:r>
        <w:rPr>
          <w:color w:val="auto"/>
          <w:highlight w:val="none"/>
        </w:rPr>
        <w:fldChar w:fldCharType="separate"/>
      </w:r>
      <w:r>
        <w:rPr>
          <w:rFonts w:hint="eastAsia" w:ascii="宋体" w:hAnsi="宋体" w:cs="宋体"/>
          <w:bCs/>
          <w:color w:val="auto"/>
          <w:szCs w:val="32"/>
          <w:highlight w:val="none"/>
        </w:rPr>
        <w:t>资格证明文件</w:t>
      </w:r>
      <w:r>
        <w:rPr>
          <w:color w:val="auto"/>
          <w:highlight w:val="none"/>
        </w:rPr>
        <w:tab/>
      </w:r>
      <w:r>
        <w:rPr>
          <w:color w:val="auto"/>
          <w:highlight w:val="none"/>
        </w:rPr>
        <w:fldChar w:fldCharType="begin"/>
      </w:r>
      <w:r>
        <w:rPr>
          <w:color w:val="auto"/>
          <w:highlight w:val="none"/>
        </w:rPr>
        <w:instrText xml:space="preserve"> PAGEREF _Toc24365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4AD31D8D">
      <w:pPr>
        <w:pStyle w:val="32"/>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"_Toc10221" </w:instrText>
      </w:r>
      <w:r>
        <w:rPr>
          <w:color w:val="auto"/>
          <w:highlight w:val="none"/>
        </w:rPr>
        <w:fldChar w:fldCharType="separate"/>
      </w:r>
      <w:r>
        <w:rPr>
          <w:rFonts w:hint="eastAsia" w:ascii="宋体" w:hAnsi="宋体" w:cs="宋体"/>
          <w:bCs/>
          <w:color w:val="auto"/>
          <w:szCs w:val="22"/>
          <w:highlight w:val="none"/>
        </w:rPr>
        <w:t>附件三</w:t>
      </w:r>
      <w:r>
        <w:rPr>
          <w:color w:val="auto"/>
          <w:highlight w:val="none"/>
        </w:rPr>
        <w:tab/>
      </w:r>
      <w:r>
        <w:rPr>
          <w:color w:val="auto"/>
          <w:highlight w:val="none"/>
        </w:rPr>
        <w:fldChar w:fldCharType="begin"/>
      </w:r>
      <w:r>
        <w:rPr>
          <w:color w:val="auto"/>
          <w:highlight w:val="none"/>
        </w:rPr>
        <w:instrText xml:space="preserve"> PAGEREF _Toc10221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2021759A">
      <w:pPr>
        <w:pStyle w:val="30"/>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"_Toc18536" </w:instrText>
      </w:r>
      <w:r>
        <w:rPr>
          <w:color w:val="auto"/>
          <w:highlight w:val="none"/>
        </w:rPr>
        <w:fldChar w:fldCharType="separate"/>
      </w:r>
      <w:r>
        <w:rPr>
          <w:rFonts w:hint="eastAsia" w:ascii="宋体" w:hAnsi="宋体" w:cs="宋体"/>
          <w:bCs/>
          <w:color w:val="auto"/>
          <w:szCs w:val="28"/>
          <w:highlight w:val="none"/>
          <w:lang w:val="zh-CN"/>
        </w:rPr>
        <w:t>商务技术文件</w:t>
      </w:r>
      <w:r>
        <w:rPr>
          <w:color w:val="auto"/>
          <w:highlight w:val="none"/>
        </w:rPr>
        <w:tab/>
      </w:r>
      <w:r>
        <w:rPr>
          <w:color w:val="auto"/>
          <w:highlight w:val="none"/>
        </w:rPr>
        <w:fldChar w:fldCharType="begin"/>
      </w:r>
      <w:r>
        <w:rPr>
          <w:color w:val="auto"/>
          <w:highlight w:val="none"/>
        </w:rPr>
        <w:instrText xml:space="preserve"> PAGEREF _Toc18536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3EA96472">
      <w:pPr>
        <w:pStyle w:val="41"/>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"_Toc6900" </w:instrText>
      </w:r>
      <w:r>
        <w:rPr>
          <w:color w:val="auto"/>
          <w:highlight w:val="none"/>
        </w:rPr>
        <w:fldChar w:fldCharType="separate"/>
      </w:r>
      <w:r>
        <w:rPr>
          <w:rFonts w:hint="eastAsia" w:ascii="宋体" w:hAnsi="宋体" w:cs="宋体"/>
          <w:color w:val="auto"/>
          <w:highlight w:val="none"/>
        </w:rPr>
        <w:t>第四部分 项目技术规范和服务要求</w:t>
      </w:r>
      <w:r>
        <w:rPr>
          <w:color w:val="auto"/>
          <w:highlight w:val="none"/>
        </w:rPr>
        <w:tab/>
      </w:r>
      <w:r>
        <w:rPr>
          <w:color w:val="auto"/>
          <w:highlight w:val="none"/>
        </w:rPr>
        <w:fldChar w:fldCharType="begin"/>
      </w:r>
      <w:r>
        <w:rPr>
          <w:color w:val="auto"/>
          <w:highlight w:val="none"/>
        </w:rPr>
        <w:instrText xml:space="preserve"> PAGEREF _Toc6900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037F388B">
      <w:pPr>
        <w:pStyle w:val="41"/>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"_Toc23954" </w:instrText>
      </w:r>
      <w:r>
        <w:rPr>
          <w:color w:val="auto"/>
          <w:highlight w:val="none"/>
        </w:rPr>
        <w:fldChar w:fldCharType="separate"/>
      </w:r>
      <w:r>
        <w:rPr>
          <w:rFonts w:hint="eastAsia" w:ascii="宋体" w:hAnsi="宋体" w:cs="宋体"/>
          <w:color w:val="auto"/>
          <w:highlight w:val="none"/>
        </w:rPr>
        <w:t>第五部分   评标原则及方法</w:t>
      </w:r>
      <w:r>
        <w:rPr>
          <w:color w:val="auto"/>
          <w:highlight w:val="none"/>
        </w:rPr>
        <w:tab/>
      </w:r>
      <w:r>
        <w:rPr>
          <w:color w:val="auto"/>
          <w:highlight w:val="none"/>
        </w:rPr>
        <w:fldChar w:fldCharType="begin"/>
      </w:r>
      <w:r>
        <w:rPr>
          <w:color w:val="auto"/>
          <w:highlight w:val="none"/>
        </w:rPr>
        <w:instrText xml:space="preserve"> PAGEREF _Toc23954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42A8D8C7">
      <w:pPr>
        <w:pStyle w:val="32"/>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"_Toc8930" </w:instrText>
      </w:r>
      <w:r>
        <w:rPr>
          <w:color w:val="auto"/>
          <w:highlight w:val="none"/>
        </w:rPr>
        <w:fldChar w:fldCharType="separate"/>
      </w:r>
      <w:r>
        <w:rPr>
          <w:rFonts w:hint="eastAsia" w:ascii="宋体" w:hAnsi="宋体" w:cs="宋体"/>
          <w:color w:val="auto"/>
          <w:szCs w:val="22"/>
          <w:highlight w:val="none"/>
        </w:rPr>
        <w:t>一、总 则</w:t>
      </w:r>
      <w:r>
        <w:rPr>
          <w:color w:val="auto"/>
          <w:highlight w:val="none"/>
        </w:rPr>
        <w:tab/>
      </w:r>
      <w:r>
        <w:rPr>
          <w:color w:val="auto"/>
          <w:highlight w:val="none"/>
        </w:rPr>
        <w:fldChar w:fldCharType="begin"/>
      </w:r>
      <w:r>
        <w:rPr>
          <w:color w:val="auto"/>
          <w:highlight w:val="none"/>
        </w:rPr>
        <w:instrText xml:space="preserve"> PAGEREF _Toc8930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6291318B">
      <w:pPr>
        <w:pStyle w:val="32"/>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"_Toc32063" </w:instrText>
      </w:r>
      <w:r>
        <w:rPr>
          <w:color w:val="auto"/>
          <w:highlight w:val="none"/>
        </w:rPr>
        <w:fldChar w:fldCharType="separate"/>
      </w:r>
      <w:r>
        <w:rPr>
          <w:rFonts w:hint="eastAsia" w:ascii="宋体" w:hAnsi="宋体" w:cs="宋体"/>
          <w:color w:val="auto"/>
          <w:szCs w:val="22"/>
          <w:highlight w:val="none"/>
        </w:rPr>
        <w:t>二、评标组织</w:t>
      </w:r>
      <w:r>
        <w:rPr>
          <w:color w:val="auto"/>
          <w:highlight w:val="none"/>
        </w:rPr>
        <w:tab/>
      </w:r>
      <w:r>
        <w:rPr>
          <w:color w:val="auto"/>
          <w:highlight w:val="none"/>
        </w:rPr>
        <w:fldChar w:fldCharType="begin"/>
      </w:r>
      <w:r>
        <w:rPr>
          <w:color w:val="auto"/>
          <w:highlight w:val="none"/>
        </w:rPr>
        <w:instrText xml:space="preserve"> PAGEREF _Toc32063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772686DF">
      <w:pPr>
        <w:pStyle w:val="32"/>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"_Toc29424" </w:instrText>
      </w:r>
      <w:r>
        <w:rPr>
          <w:color w:val="auto"/>
          <w:highlight w:val="none"/>
        </w:rPr>
        <w:fldChar w:fldCharType="separate"/>
      </w:r>
      <w:r>
        <w:rPr>
          <w:rFonts w:hint="eastAsia" w:ascii="宋体" w:hAnsi="宋体" w:cs="宋体"/>
          <w:color w:val="auto"/>
          <w:szCs w:val="22"/>
          <w:highlight w:val="none"/>
        </w:rPr>
        <w:t>三、评标程序</w:t>
      </w:r>
      <w:r>
        <w:rPr>
          <w:color w:val="auto"/>
          <w:highlight w:val="none"/>
        </w:rPr>
        <w:tab/>
      </w:r>
      <w:r>
        <w:rPr>
          <w:color w:val="auto"/>
          <w:highlight w:val="none"/>
        </w:rPr>
        <w:fldChar w:fldCharType="begin"/>
      </w:r>
      <w:r>
        <w:rPr>
          <w:color w:val="auto"/>
          <w:highlight w:val="none"/>
        </w:rPr>
        <w:instrText xml:space="preserve"> PAGEREF _Toc29424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1C111000">
      <w:pPr>
        <w:pStyle w:val="32"/>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"_Toc14452" </w:instrText>
      </w:r>
      <w:r>
        <w:rPr>
          <w:color w:val="auto"/>
          <w:highlight w:val="none"/>
        </w:rPr>
        <w:fldChar w:fldCharType="separate"/>
      </w:r>
      <w:r>
        <w:rPr>
          <w:rFonts w:hint="eastAsia" w:ascii="宋体" w:hAnsi="宋体" w:cs="宋体"/>
          <w:color w:val="auto"/>
          <w:szCs w:val="22"/>
          <w:highlight w:val="none"/>
        </w:rPr>
        <w:t>四、评标办法</w:t>
      </w:r>
      <w:r>
        <w:rPr>
          <w:color w:val="auto"/>
          <w:highlight w:val="none"/>
        </w:rPr>
        <w:tab/>
      </w:r>
      <w:r>
        <w:rPr>
          <w:color w:val="auto"/>
          <w:highlight w:val="none"/>
        </w:rPr>
        <w:fldChar w:fldCharType="begin"/>
      </w:r>
      <w:r>
        <w:rPr>
          <w:color w:val="auto"/>
          <w:highlight w:val="none"/>
        </w:rPr>
        <w:instrText xml:space="preserve"> PAGEREF _Toc14452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559F948F">
      <w:pPr>
        <w:pStyle w:val="32"/>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"_Toc5459" </w:instrText>
      </w:r>
      <w:r>
        <w:rPr>
          <w:color w:val="auto"/>
          <w:highlight w:val="none"/>
        </w:rPr>
        <w:fldChar w:fldCharType="separate"/>
      </w:r>
      <w:r>
        <w:rPr>
          <w:rFonts w:hint="eastAsia" w:ascii="宋体" w:hAnsi="宋体" w:cs="宋体"/>
          <w:color w:val="auto"/>
          <w:szCs w:val="22"/>
          <w:highlight w:val="none"/>
        </w:rPr>
        <w:t>五、 评分细则</w:t>
      </w:r>
      <w:r>
        <w:rPr>
          <w:color w:val="auto"/>
          <w:highlight w:val="none"/>
        </w:rPr>
        <w:tab/>
      </w:r>
      <w:r>
        <w:rPr>
          <w:color w:val="auto"/>
          <w:highlight w:val="none"/>
        </w:rPr>
        <w:fldChar w:fldCharType="begin"/>
      </w:r>
      <w:r>
        <w:rPr>
          <w:color w:val="auto"/>
          <w:highlight w:val="none"/>
        </w:rPr>
        <w:instrText xml:space="preserve"> PAGEREF _Toc5459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66131381">
      <w:pPr>
        <w:pStyle w:val="32"/>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"_Toc21216" </w:instrText>
      </w:r>
      <w:r>
        <w:rPr>
          <w:color w:val="auto"/>
          <w:highlight w:val="none"/>
        </w:rPr>
        <w:fldChar w:fldCharType="separate"/>
      </w:r>
      <w:r>
        <w:rPr>
          <w:rFonts w:hint="eastAsia" w:ascii="宋体" w:hAnsi="宋体" w:cs="宋体"/>
          <w:bCs/>
          <w:color w:val="auto"/>
          <w:szCs w:val="22"/>
          <w:highlight w:val="none"/>
        </w:rPr>
        <w:t>六、定标办法</w:t>
      </w:r>
      <w:r>
        <w:rPr>
          <w:color w:val="auto"/>
          <w:highlight w:val="none"/>
        </w:rPr>
        <w:tab/>
      </w:r>
      <w:r>
        <w:rPr>
          <w:color w:val="auto"/>
          <w:highlight w:val="none"/>
        </w:rPr>
        <w:fldChar w:fldCharType="begin"/>
      </w:r>
      <w:r>
        <w:rPr>
          <w:color w:val="auto"/>
          <w:highlight w:val="none"/>
        </w:rPr>
        <w:instrText xml:space="preserve"> PAGEREF _Toc21216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04E028BD">
      <w:pPr>
        <w:pStyle w:val="32"/>
        <w:tabs>
          <w:tab w:val="right" w:leader="dot" w:pos="9972"/>
        </w:tabs>
        <w:spacing w:line="460" w:lineRule="exact"/>
        <w:rPr>
          <w:color w:val="auto"/>
          <w:highlight w:val="none"/>
        </w:rPr>
      </w:pPr>
      <w:r>
        <w:rPr>
          <w:color w:val="auto"/>
          <w:highlight w:val="none"/>
        </w:rPr>
        <w:fldChar w:fldCharType="begin"/>
      </w:r>
      <w:r>
        <w:rPr>
          <w:color w:val="auto"/>
          <w:highlight w:val="none"/>
        </w:rPr>
        <w:instrText xml:space="preserve"> HYPERLINK \l "_Toc18537" </w:instrText>
      </w:r>
      <w:r>
        <w:rPr>
          <w:color w:val="auto"/>
          <w:highlight w:val="none"/>
        </w:rPr>
        <w:fldChar w:fldCharType="separate"/>
      </w:r>
      <w:r>
        <w:rPr>
          <w:rFonts w:hint="eastAsia" w:ascii="宋体" w:hAnsi="宋体" w:cs="宋体"/>
          <w:color w:val="auto"/>
          <w:szCs w:val="22"/>
          <w:highlight w:val="none"/>
        </w:rPr>
        <w:t>七、投标人义务</w:t>
      </w:r>
      <w:r>
        <w:rPr>
          <w:color w:val="auto"/>
          <w:highlight w:val="none"/>
        </w:rPr>
        <w:tab/>
      </w:r>
      <w:r>
        <w:rPr>
          <w:color w:val="auto"/>
          <w:highlight w:val="none"/>
        </w:rPr>
        <w:fldChar w:fldCharType="begin"/>
      </w:r>
      <w:r>
        <w:rPr>
          <w:color w:val="auto"/>
          <w:highlight w:val="none"/>
        </w:rPr>
        <w:instrText xml:space="preserve"> PAGEREF _Toc18537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26878B37">
      <w:pPr>
        <w:spacing w:line="460" w:lineRule="exact"/>
        <w:ind w:firstLine="1785" w:firstLineChars="850"/>
        <w:rPr>
          <w:rFonts w:ascii="宋体" w:hAnsi="宋体" w:cs="宋体"/>
          <w:b/>
          <w:color w:val="auto"/>
          <w:sz w:val="22"/>
          <w:szCs w:val="22"/>
          <w:highlight w:val="none"/>
        </w:rPr>
      </w:pPr>
      <w:r>
        <w:rPr>
          <w:rFonts w:hint="eastAsia" w:ascii="宋体" w:hAnsi="宋体" w:cs="宋体"/>
          <w:color w:val="auto"/>
          <w:szCs w:val="40"/>
          <w:highlight w:val="none"/>
        </w:rPr>
        <w:fldChar w:fldCharType="end"/>
      </w:r>
    </w:p>
    <w:p w14:paraId="38F48B6E">
      <w:pPr>
        <w:rPr>
          <w:rFonts w:ascii="宋体" w:hAnsi="宋体" w:cs="宋体"/>
          <w:color w:val="auto"/>
          <w:highlight w:val="none"/>
        </w:rPr>
      </w:pPr>
      <w:bookmarkStart w:id="0" w:name="_Toc32649"/>
      <w:r>
        <w:rPr>
          <w:rFonts w:hint="eastAsia" w:ascii="宋体" w:hAnsi="宋体" w:cs="宋体"/>
          <w:color w:val="auto"/>
          <w:highlight w:val="none"/>
        </w:rPr>
        <w:br w:type="page"/>
      </w:r>
    </w:p>
    <w:p w14:paraId="1895DB9F">
      <w:pPr>
        <w:pStyle w:val="2"/>
        <w:rPr>
          <w:rFonts w:ascii="宋体" w:hAnsi="宋体" w:eastAsia="宋体" w:cs="宋体"/>
          <w:color w:val="auto"/>
          <w:highlight w:val="none"/>
        </w:rPr>
      </w:pPr>
      <w:bookmarkStart w:id="1" w:name="_Toc17095"/>
      <w:r>
        <w:rPr>
          <w:rFonts w:hint="eastAsia" w:ascii="宋体" w:hAnsi="宋体" w:eastAsia="宋体" w:cs="宋体"/>
          <w:color w:val="auto"/>
          <w:highlight w:val="none"/>
        </w:rPr>
        <w:t>招 标 公 告</w:t>
      </w:r>
      <w:bookmarkEnd w:id="0"/>
      <w:bookmarkEnd w:id="1"/>
    </w:p>
    <w:p w14:paraId="48172260">
      <w:pPr>
        <w:tabs>
          <w:tab w:val="left" w:pos="360"/>
        </w:tabs>
        <w:spacing w:line="460" w:lineRule="exact"/>
        <w:ind w:firstLine="552" w:firstLineChars="250"/>
        <w:rPr>
          <w:rFonts w:ascii="宋体" w:hAnsi="宋体" w:cs="宋体"/>
          <w:b/>
          <w:bCs/>
          <w:color w:val="auto"/>
          <w:sz w:val="22"/>
          <w:highlight w:val="none"/>
        </w:rPr>
      </w:pPr>
      <w:r>
        <w:rPr>
          <w:b/>
          <w:bCs/>
          <w:color w:val="auto"/>
          <w:sz w:val="22"/>
          <w:highlight w:val="none"/>
        </w:rPr>
        <mc:AlternateContent>
          <mc:Choice Requires="wps">
            <w:drawing>
              <wp:anchor distT="0" distB="0" distL="114300" distR="114300" simplePos="0" relativeHeight="251659264" behindDoc="0" locked="0" layoutInCell="1" allowOverlap="1">
                <wp:simplePos x="0" y="0"/>
                <wp:positionH relativeFrom="column">
                  <wp:posOffset>-196850</wp:posOffset>
                </wp:positionH>
                <wp:positionV relativeFrom="paragraph">
                  <wp:posOffset>3810</wp:posOffset>
                </wp:positionV>
                <wp:extent cx="6499225" cy="95313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5.5pt;margin-top:0.3pt;height:75.05pt;width:511.75pt;z-index:251659264;v-text-anchor:middle;mso-width-relative:page;mso-height-relative:page;" filled="f" stroked="t"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666Q2AAAAAgBAAAPAAAAAAAAAAEAIAAAACIAAABkcnMv&#10;ZG93bnJldi54bWxQSwECFAAUAAAACACHTuJA2yveaAMCAAARBAAADgAAAAAAAAABACAAAAAnAQAA&#10;ZHJzL2Uyb0RvYy54bWxQSwUGAAAAAAYABgBZAQAAnAUAAAAA&#10;">
                <v:fill on="f" focussize="0,0"/>
                <v:stroke weight="1pt" color="#000000" joinstyle="round"/>
                <v:imagedata o:title=""/>
                <o:lock v:ext="edit" aspectratio="f"/>
              </v:rect>
            </w:pict>
          </mc:Fallback>
        </mc:AlternateContent>
      </w:r>
      <w:r>
        <w:rPr>
          <w:rFonts w:hint="eastAsia" w:ascii="宋体" w:hAnsi="宋体" w:cs="宋体"/>
          <w:b/>
          <w:bCs/>
          <w:color w:val="auto"/>
          <w:sz w:val="22"/>
          <w:highlight w:val="none"/>
        </w:rPr>
        <w:t>项目概况</w:t>
      </w:r>
    </w:p>
    <w:p w14:paraId="3A8E9EE2">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基层智治综合应用鹿城域招标项目的潜在投标人应在浙江政府采购网获取（下载）招标文件，并于</w:t>
      </w:r>
      <w:r>
        <w:rPr>
          <w:rFonts w:hint="eastAsia" w:ascii="宋体" w:hAnsi="宋体" w:cs="宋体"/>
          <w:color w:val="auto"/>
          <w:sz w:val="22"/>
          <w:highlight w:val="none"/>
          <w:lang w:val="en-US" w:eastAsia="zh-CN"/>
        </w:rPr>
        <w:t>2024年11月11日14:30</w:t>
      </w:r>
      <w:r>
        <w:rPr>
          <w:rFonts w:hint="eastAsia" w:ascii="宋体" w:hAnsi="宋体" w:cs="宋体"/>
          <w:color w:val="auto"/>
          <w:sz w:val="22"/>
          <w:highlight w:val="none"/>
        </w:rPr>
        <w:t>（北京时间）前递交（上传）投标文件。</w:t>
      </w:r>
    </w:p>
    <w:p w14:paraId="0C720E0F">
      <w:pPr>
        <w:pStyle w:val="49"/>
        <w:spacing w:before="0" w:beforeAutospacing="0" w:after="0" w:afterAutospacing="0" w:line="460" w:lineRule="exact"/>
        <w:rPr>
          <w:b/>
          <w:bCs/>
          <w:color w:val="auto"/>
          <w:sz w:val="22"/>
          <w:szCs w:val="22"/>
          <w:highlight w:val="none"/>
        </w:rPr>
      </w:pPr>
    </w:p>
    <w:p w14:paraId="0E9213A5">
      <w:pPr>
        <w:pStyle w:val="49"/>
        <w:spacing w:before="0" w:beforeAutospacing="0" w:after="0" w:afterAutospacing="0" w:line="460" w:lineRule="exact"/>
        <w:rPr>
          <w:color w:val="auto"/>
          <w:sz w:val="22"/>
          <w:szCs w:val="22"/>
          <w:highlight w:val="none"/>
        </w:rPr>
      </w:pPr>
      <w:r>
        <w:rPr>
          <w:rFonts w:hint="eastAsia"/>
          <w:b/>
          <w:bCs/>
          <w:color w:val="auto"/>
          <w:sz w:val="22"/>
          <w:szCs w:val="22"/>
          <w:highlight w:val="none"/>
        </w:rPr>
        <w:t>一、项目基本情况</w:t>
      </w:r>
      <w:r>
        <w:rPr>
          <w:rFonts w:hint="eastAsia"/>
          <w:color w:val="auto"/>
          <w:sz w:val="22"/>
          <w:szCs w:val="22"/>
          <w:highlight w:val="none"/>
        </w:rPr>
        <w:t>                                           </w:t>
      </w:r>
    </w:p>
    <w:p w14:paraId="15084B47">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项目编号：</w:t>
      </w:r>
      <w:r>
        <w:rPr>
          <w:rFonts w:hint="eastAsia"/>
          <w:color w:val="auto"/>
          <w:sz w:val="22"/>
          <w:szCs w:val="22"/>
          <w:highlight w:val="none"/>
          <w:lang w:eastAsia="zh-CN"/>
        </w:rPr>
        <w:t>WZLCZB（Z）-2024-10454</w:t>
      </w:r>
      <w:r>
        <w:rPr>
          <w:rFonts w:hint="eastAsia"/>
          <w:color w:val="auto"/>
          <w:sz w:val="22"/>
          <w:szCs w:val="22"/>
          <w:highlight w:val="none"/>
        </w:rPr>
        <w:t> </w:t>
      </w:r>
    </w:p>
    <w:p w14:paraId="7A3CAE51">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项目名称：基层智治综合应用鹿城域</w:t>
      </w:r>
    </w:p>
    <w:p w14:paraId="04F85D3B">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预算金额（元）：1317000  </w:t>
      </w:r>
    </w:p>
    <w:p w14:paraId="471D4107">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最高限价（元）：1317000 </w:t>
      </w:r>
    </w:p>
    <w:p w14:paraId="485483E8">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采购需求：</w:t>
      </w:r>
    </w:p>
    <w:p w14:paraId="6D55375E">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标项名称:基层智治综合应用鹿城域 </w:t>
      </w:r>
      <w:r>
        <w:rPr>
          <w:rFonts w:hint="eastAsia"/>
          <w:color w:val="auto"/>
          <w:sz w:val="22"/>
          <w:szCs w:val="22"/>
          <w:highlight w:val="none"/>
        </w:rPr>
        <w:br w:type="textWrapping"/>
      </w:r>
      <w:r>
        <w:rPr>
          <w:rFonts w:hint="eastAsia"/>
          <w:color w:val="auto"/>
          <w:sz w:val="22"/>
          <w:szCs w:val="22"/>
          <w:highlight w:val="none"/>
        </w:rPr>
        <w:t>   数量:1  </w:t>
      </w:r>
      <w:r>
        <w:rPr>
          <w:rFonts w:hint="eastAsia"/>
          <w:color w:val="auto"/>
          <w:sz w:val="22"/>
          <w:szCs w:val="22"/>
          <w:highlight w:val="none"/>
        </w:rPr>
        <w:br w:type="textWrapping"/>
      </w:r>
      <w:r>
        <w:rPr>
          <w:rFonts w:hint="eastAsia"/>
          <w:color w:val="auto"/>
          <w:sz w:val="22"/>
          <w:szCs w:val="22"/>
          <w:highlight w:val="none"/>
        </w:rPr>
        <w:t>   预算金额（元）:1317000 </w:t>
      </w:r>
      <w:r>
        <w:rPr>
          <w:rFonts w:hint="eastAsia"/>
          <w:color w:val="auto"/>
          <w:sz w:val="22"/>
          <w:szCs w:val="22"/>
          <w:highlight w:val="none"/>
        </w:rPr>
        <w:br w:type="textWrapping"/>
      </w:r>
      <w:r>
        <w:rPr>
          <w:rFonts w:hint="eastAsia"/>
          <w:color w:val="auto"/>
          <w:sz w:val="22"/>
          <w:szCs w:val="22"/>
          <w:highlight w:val="none"/>
        </w:rPr>
        <w:t>   简要规格描述或项目基本概况介绍、用途：具体详见招标文件 </w:t>
      </w:r>
      <w:r>
        <w:rPr>
          <w:rFonts w:hint="eastAsia"/>
          <w:color w:val="auto"/>
          <w:sz w:val="22"/>
          <w:szCs w:val="22"/>
          <w:highlight w:val="none"/>
        </w:rPr>
        <w:br w:type="textWrapping"/>
      </w:r>
      <w:r>
        <w:rPr>
          <w:rFonts w:hint="eastAsia"/>
          <w:color w:val="auto"/>
          <w:sz w:val="22"/>
          <w:szCs w:val="22"/>
          <w:highlight w:val="none"/>
        </w:rPr>
        <w:t>   备注： </w:t>
      </w:r>
    </w:p>
    <w:p w14:paraId="7939F40D">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合同履约期限：标项 1，具体详见招标文件</w:t>
      </w:r>
    </w:p>
    <w:p w14:paraId="3F548DEF">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本项目（</w:t>
      </w:r>
      <w:r>
        <w:rPr>
          <w:rFonts w:hint="eastAsia"/>
          <w:color w:val="auto"/>
          <w:sz w:val="22"/>
          <w:szCs w:val="22"/>
          <w:highlight w:val="none"/>
          <w:lang w:val="en-US" w:eastAsia="zh-CN"/>
        </w:rPr>
        <w:t>否</w:t>
      </w:r>
      <w:r>
        <w:rPr>
          <w:rFonts w:hint="eastAsia"/>
          <w:color w:val="auto"/>
          <w:sz w:val="22"/>
          <w:szCs w:val="22"/>
          <w:highlight w:val="none"/>
        </w:rPr>
        <w:t>）接受联合体投标。</w:t>
      </w:r>
    </w:p>
    <w:p w14:paraId="29D5E35D">
      <w:pPr>
        <w:pStyle w:val="49"/>
        <w:spacing w:before="0" w:beforeAutospacing="0" w:after="0" w:afterAutospacing="0" w:line="460" w:lineRule="exact"/>
        <w:rPr>
          <w:color w:val="auto"/>
          <w:sz w:val="22"/>
          <w:szCs w:val="22"/>
          <w:highlight w:val="none"/>
        </w:rPr>
      </w:pPr>
      <w:r>
        <w:rPr>
          <w:rFonts w:hint="eastAsia"/>
          <w:b/>
          <w:bCs/>
          <w:color w:val="auto"/>
          <w:sz w:val="22"/>
          <w:szCs w:val="22"/>
          <w:highlight w:val="none"/>
        </w:rPr>
        <w:t>二、申请人的资格要求：</w:t>
      </w:r>
    </w:p>
    <w:p w14:paraId="0D8042F3">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C9527CB">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2.落实政府采购政策需满足的资格要求：无 </w:t>
      </w:r>
    </w:p>
    <w:p w14:paraId="51243D1C">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3.本项目的特定资格要求：无  </w:t>
      </w:r>
    </w:p>
    <w:p w14:paraId="76493502">
      <w:pPr>
        <w:pStyle w:val="49"/>
        <w:spacing w:before="0" w:beforeAutospacing="0" w:after="0" w:afterAutospacing="0" w:line="460" w:lineRule="exact"/>
        <w:rPr>
          <w:b/>
          <w:bCs/>
          <w:color w:val="auto"/>
          <w:sz w:val="22"/>
          <w:szCs w:val="22"/>
          <w:highlight w:val="none"/>
        </w:rPr>
      </w:pPr>
      <w:r>
        <w:rPr>
          <w:rFonts w:hint="eastAsia"/>
          <w:b/>
          <w:bCs/>
          <w:color w:val="auto"/>
          <w:sz w:val="22"/>
          <w:szCs w:val="22"/>
          <w:highlight w:val="none"/>
        </w:rPr>
        <w:t>三、获取招标文件 </w:t>
      </w:r>
    </w:p>
    <w:p w14:paraId="718385C2">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时间：</w:t>
      </w:r>
      <w:r>
        <w:rPr>
          <w:rFonts w:hint="eastAsia"/>
          <w:color w:val="auto"/>
          <w:sz w:val="22"/>
          <w:szCs w:val="22"/>
          <w:highlight w:val="none"/>
          <w:lang w:val="en-US" w:eastAsia="zh-CN"/>
        </w:rPr>
        <w:t>2024年10月21日</w:t>
      </w:r>
      <w:r>
        <w:rPr>
          <w:rFonts w:hint="eastAsia"/>
          <w:color w:val="auto"/>
          <w:sz w:val="22"/>
          <w:szCs w:val="22"/>
          <w:highlight w:val="none"/>
        </w:rPr>
        <w:t>至</w:t>
      </w:r>
      <w:r>
        <w:rPr>
          <w:rFonts w:hint="eastAsia"/>
          <w:color w:val="auto"/>
          <w:sz w:val="22"/>
          <w:szCs w:val="22"/>
          <w:highlight w:val="none"/>
          <w:lang w:val="en-US" w:eastAsia="zh-CN"/>
        </w:rPr>
        <w:t>2024年11月11日</w:t>
      </w:r>
      <w:bookmarkStart w:id="49" w:name="_GoBack"/>
      <w:bookmarkEnd w:id="49"/>
      <w:r>
        <w:rPr>
          <w:rFonts w:hint="eastAsia"/>
          <w:color w:val="auto"/>
          <w:sz w:val="22"/>
          <w:szCs w:val="22"/>
          <w:highlight w:val="none"/>
        </w:rPr>
        <w:t>，每天上午00:00至12:00，下午12:00至23:59（北京时间，线上获取法定节假日均可，线下获取文件法定节假日除外）</w:t>
      </w:r>
    </w:p>
    <w:p w14:paraId="5DAF6361">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地点（网址）：浙江政府采购网（https://zfcg.czt.zj.gov.cn/） </w:t>
      </w:r>
    </w:p>
    <w:p w14:paraId="2C845C7A">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方式：供应商登录政采云平台https://www.zcygov.cn/在线申请获取采购文件（进入“项目采购”应用，在获取采购文件菜单中选择项目，申请获取采购文件）</w:t>
      </w:r>
    </w:p>
    <w:p w14:paraId="6CDC7ECC">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售价（元）：0 </w:t>
      </w:r>
    </w:p>
    <w:p w14:paraId="61F94714">
      <w:pPr>
        <w:pStyle w:val="49"/>
        <w:spacing w:before="0" w:beforeAutospacing="0" w:after="0" w:afterAutospacing="0" w:line="460" w:lineRule="exact"/>
        <w:rPr>
          <w:b/>
          <w:bCs/>
          <w:color w:val="auto"/>
          <w:sz w:val="22"/>
          <w:szCs w:val="22"/>
          <w:highlight w:val="none"/>
        </w:rPr>
      </w:pPr>
      <w:r>
        <w:rPr>
          <w:rFonts w:hint="eastAsia"/>
          <w:b/>
          <w:bCs/>
          <w:color w:val="auto"/>
          <w:sz w:val="22"/>
          <w:szCs w:val="22"/>
          <w:highlight w:val="none"/>
        </w:rPr>
        <w:t>四、提交投标文件截止时间、开标时间和地点</w:t>
      </w:r>
    </w:p>
    <w:p w14:paraId="3328A48E">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提交投标文件截止时间：</w:t>
      </w:r>
      <w:r>
        <w:rPr>
          <w:rFonts w:hint="eastAsia"/>
          <w:color w:val="auto"/>
          <w:sz w:val="22"/>
          <w:szCs w:val="22"/>
          <w:highlight w:val="none"/>
          <w:lang w:val="en-US" w:eastAsia="zh-CN"/>
        </w:rPr>
        <w:t>2024年11月11日14:30分整</w:t>
      </w:r>
      <w:r>
        <w:rPr>
          <w:rFonts w:hint="eastAsia"/>
          <w:color w:val="auto"/>
          <w:sz w:val="22"/>
          <w:szCs w:val="22"/>
          <w:highlight w:val="none"/>
        </w:rPr>
        <w:t>（北京时间）</w:t>
      </w:r>
    </w:p>
    <w:p w14:paraId="393DB0B5">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投标地点（网址）：</w:t>
      </w:r>
      <w:r>
        <w:rPr>
          <w:rFonts w:hint="eastAsia"/>
          <w:color w:val="auto"/>
          <w:sz w:val="22"/>
          <w:highlight w:val="none"/>
        </w:rPr>
        <w:t>温州市鹿城区勤民路鹿城壹号18幢803室（政采云平台：http://zfcg.czt.zj.gov.cn）</w:t>
      </w:r>
      <w:r>
        <w:rPr>
          <w:rFonts w:hint="eastAsia"/>
          <w:color w:val="auto"/>
          <w:sz w:val="22"/>
          <w:szCs w:val="22"/>
          <w:highlight w:val="none"/>
        </w:rPr>
        <w:t> </w:t>
      </w:r>
    </w:p>
    <w:p w14:paraId="0EB0D06C">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开标时间：</w:t>
      </w:r>
      <w:r>
        <w:rPr>
          <w:rFonts w:hint="eastAsia"/>
          <w:color w:val="auto"/>
          <w:sz w:val="22"/>
          <w:szCs w:val="22"/>
          <w:highlight w:val="none"/>
          <w:lang w:val="en-US" w:eastAsia="zh-CN"/>
        </w:rPr>
        <w:t>2024年11月11日14:30分整</w:t>
      </w:r>
      <w:r>
        <w:rPr>
          <w:rFonts w:hint="eastAsia"/>
          <w:color w:val="auto"/>
          <w:sz w:val="22"/>
          <w:szCs w:val="22"/>
          <w:highlight w:val="none"/>
        </w:rPr>
        <w:t> </w:t>
      </w:r>
    </w:p>
    <w:p w14:paraId="30386958">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开标地点（网址）：</w:t>
      </w:r>
      <w:r>
        <w:rPr>
          <w:rFonts w:hint="eastAsia"/>
          <w:color w:val="auto"/>
          <w:sz w:val="22"/>
          <w:highlight w:val="none"/>
        </w:rPr>
        <w:t>温州市鹿城区勤民路鹿城壹号18幢803室（政采云平台：http://zfcg.czt.zj.gov.cn）</w:t>
      </w:r>
      <w:r>
        <w:rPr>
          <w:rFonts w:hint="eastAsia"/>
          <w:color w:val="auto"/>
          <w:sz w:val="22"/>
          <w:szCs w:val="22"/>
          <w:highlight w:val="none"/>
        </w:rPr>
        <w:t>  </w:t>
      </w:r>
    </w:p>
    <w:p w14:paraId="7F2E31F4">
      <w:pPr>
        <w:pStyle w:val="49"/>
        <w:spacing w:before="0" w:beforeAutospacing="0" w:after="0" w:afterAutospacing="0" w:line="460" w:lineRule="exact"/>
        <w:rPr>
          <w:color w:val="auto"/>
          <w:sz w:val="22"/>
          <w:szCs w:val="22"/>
          <w:highlight w:val="none"/>
        </w:rPr>
      </w:pPr>
      <w:r>
        <w:rPr>
          <w:rFonts w:hint="eastAsia"/>
          <w:b/>
          <w:bCs/>
          <w:color w:val="auto"/>
          <w:sz w:val="22"/>
          <w:szCs w:val="22"/>
          <w:highlight w:val="none"/>
        </w:rPr>
        <w:t>五、公告期限</w:t>
      </w:r>
      <w:r>
        <w:rPr>
          <w:rFonts w:hint="eastAsia"/>
          <w:color w:val="auto"/>
          <w:sz w:val="22"/>
          <w:szCs w:val="22"/>
          <w:highlight w:val="none"/>
        </w:rPr>
        <w:t> </w:t>
      </w:r>
    </w:p>
    <w:p w14:paraId="2A3F4771">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自本公告发布之日起5个工作日。</w:t>
      </w:r>
    </w:p>
    <w:p w14:paraId="58A47FCF">
      <w:pPr>
        <w:pStyle w:val="49"/>
        <w:spacing w:before="0" w:beforeAutospacing="0" w:after="0" w:afterAutospacing="0" w:line="460" w:lineRule="exact"/>
        <w:rPr>
          <w:b/>
          <w:bCs/>
          <w:color w:val="auto"/>
          <w:sz w:val="22"/>
          <w:szCs w:val="22"/>
          <w:highlight w:val="none"/>
        </w:rPr>
      </w:pPr>
      <w:r>
        <w:rPr>
          <w:rFonts w:hint="eastAsia"/>
          <w:b/>
          <w:bCs/>
          <w:color w:val="auto"/>
          <w:sz w:val="22"/>
          <w:szCs w:val="22"/>
          <w:highlight w:val="none"/>
        </w:rPr>
        <w:t>六、其他补充事宜</w:t>
      </w:r>
    </w:p>
    <w:p w14:paraId="39C80629">
      <w:pPr>
        <w:pStyle w:val="49"/>
        <w:spacing w:before="0" w:beforeAutospacing="0" w:after="0" w:afterAutospacing="0" w:line="460" w:lineRule="exact"/>
        <w:ind w:firstLine="440" w:firstLineChars="200"/>
        <w:rPr>
          <w:color w:val="auto"/>
          <w:sz w:val="22"/>
          <w:highlight w:val="none"/>
        </w:rPr>
      </w:pPr>
      <w:r>
        <w:rPr>
          <w:rFonts w:hint="eastAsia"/>
          <w:color w:val="auto"/>
          <w:sz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9A12431">
      <w:pPr>
        <w:pStyle w:val="49"/>
        <w:spacing w:before="0" w:beforeAutospacing="0" w:after="0" w:afterAutospacing="0" w:line="460" w:lineRule="exact"/>
        <w:ind w:firstLine="440" w:firstLineChars="200"/>
        <w:rPr>
          <w:color w:val="auto"/>
          <w:sz w:val="22"/>
          <w:highlight w:val="none"/>
        </w:rPr>
      </w:pPr>
      <w:r>
        <w:rPr>
          <w:rFonts w:hint="eastAsia"/>
          <w:color w:val="auto"/>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45F648B6">
      <w:pPr>
        <w:pStyle w:val="49"/>
        <w:spacing w:before="75" w:beforeAutospacing="0" w:after="75" w:afterAutospacing="0" w:line="460" w:lineRule="exact"/>
        <w:ind w:firstLine="435"/>
        <w:rPr>
          <w:color w:val="auto"/>
          <w:sz w:val="22"/>
          <w:szCs w:val="22"/>
          <w:highlight w:val="none"/>
        </w:rPr>
      </w:pPr>
      <w:r>
        <w:rPr>
          <w:rFonts w:hint="eastAsia"/>
          <w:color w:val="auto"/>
          <w:sz w:val="22"/>
          <w:highlight w:val="none"/>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三）招标</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w:t>
      </w:r>
    </w:p>
    <w:p w14:paraId="145050F3">
      <w:pPr>
        <w:tabs>
          <w:tab w:val="left" w:pos="360"/>
        </w:tabs>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七、对本次招标提出询问，请按以下方式联系</w:t>
      </w:r>
      <w:r>
        <w:rPr>
          <w:rFonts w:hint="eastAsia" w:ascii="宋体" w:hAnsi="宋体" w:cs="宋体"/>
          <w:color w:val="auto"/>
          <w:sz w:val="22"/>
          <w:szCs w:val="22"/>
          <w:highlight w:val="none"/>
        </w:rPr>
        <w:t>　　　　　　　　　　　　</w:t>
      </w:r>
    </w:p>
    <w:p w14:paraId="683E4428">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1.采购人信息</w:t>
      </w:r>
    </w:p>
    <w:p w14:paraId="37C9901E">
      <w:pPr>
        <w:pStyle w:val="49"/>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rPr>
        <w:t>名  称：温州市鹿城区社会治理中心</w:t>
      </w:r>
    </w:p>
    <w:p w14:paraId="4AAAA3B8">
      <w:pPr>
        <w:pStyle w:val="49"/>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rPr>
        <w:t>地  址：温州市鹿城区广化街道龙瑞大厦B幢3楼</w:t>
      </w:r>
    </w:p>
    <w:p w14:paraId="0F579500">
      <w:pPr>
        <w:pStyle w:val="49"/>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rPr>
        <w:t>传  真：0577</w:t>
      </w:r>
      <w:r>
        <w:rPr>
          <w:rFonts w:hint="eastAsia"/>
          <w:color w:val="auto"/>
          <w:sz w:val="22"/>
          <w:szCs w:val="22"/>
          <w:highlight w:val="none"/>
          <w:lang w:val="en-US" w:eastAsia="zh-CN"/>
        </w:rPr>
        <w:t>-</w:t>
      </w:r>
      <w:r>
        <w:rPr>
          <w:rFonts w:hint="eastAsia"/>
          <w:color w:val="auto"/>
          <w:sz w:val="22"/>
          <w:szCs w:val="22"/>
          <w:highlight w:val="none"/>
        </w:rPr>
        <w:t>88120832</w:t>
      </w:r>
    </w:p>
    <w:p w14:paraId="2DFBDB98">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项目联系人（询问）：肖俊迪</w:t>
      </w:r>
    </w:p>
    <w:p w14:paraId="322431B5">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项目联系方式（询问）：1</w:t>
      </w:r>
      <w:r>
        <w:rPr>
          <w:color w:val="auto"/>
          <w:sz w:val="22"/>
          <w:szCs w:val="22"/>
          <w:highlight w:val="none"/>
        </w:rPr>
        <w:t>8867782469</w:t>
      </w:r>
    </w:p>
    <w:p w14:paraId="3193BE47">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质疑联系人：蒋思思</w:t>
      </w:r>
    </w:p>
    <w:p w14:paraId="0BF77540">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质疑联系方式：1</w:t>
      </w:r>
      <w:r>
        <w:rPr>
          <w:color w:val="auto"/>
          <w:sz w:val="22"/>
          <w:szCs w:val="22"/>
          <w:highlight w:val="none"/>
        </w:rPr>
        <w:t>3566287550</w:t>
      </w:r>
    </w:p>
    <w:p w14:paraId="2F59C85B">
      <w:pPr>
        <w:pStyle w:val="49"/>
        <w:spacing w:before="0" w:beforeAutospacing="0" w:after="0" w:afterAutospacing="0" w:line="460" w:lineRule="exact"/>
        <w:rPr>
          <w:color w:val="auto"/>
          <w:sz w:val="22"/>
          <w:szCs w:val="22"/>
          <w:highlight w:val="none"/>
        </w:rPr>
      </w:pPr>
      <w:r>
        <w:rPr>
          <w:rFonts w:hint="eastAsia"/>
          <w:color w:val="auto"/>
          <w:sz w:val="22"/>
          <w:szCs w:val="22"/>
          <w:highlight w:val="none"/>
        </w:rPr>
        <w:t>  2.采购代理机构信息</w:t>
      </w:r>
    </w:p>
    <w:p w14:paraId="22681610">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名  称：温州历程招标有限公司 </w:t>
      </w:r>
    </w:p>
    <w:p w14:paraId="0E2336D6">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地  址：温州市鹿城区勤民路鹿城壹号18幢803室</w:t>
      </w:r>
    </w:p>
    <w:p w14:paraId="77FB6D1B">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 xml:space="preserve">传  真：0577-89887255   </w:t>
      </w:r>
    </w:p>
    <w:p w14:paraId="03959BF3">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项目联系人（询问）： 张斌、郑永强 </w:t>
      </w:r>
    </w:p>
    <w:p w14:paraId="1D8C6590">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项目联系方式（询问）：0577-89887322、13757727199</w:t>
      </w:r>
    </w:p>
    <w:p w14:paraId="2E210634">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质疑联系人：肖忠文</w:t>
      </w:r>
    </w:p>
    <w:p w14:paraId="43F7B7E8">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质疑联系方式：13757727199 </w:t>
      </w:r>
    </w:p>
    <w:p w14:paraId="6F3A2195">
      <w:pPr>
        <w:pStyle w:val="49"/>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3.同级政府采购监督管理部门</w:t>
      </w:r>
    </w:p>
    <w:p w14:paraId="69508907">
      <w:pPr>
        <w:tabs>
          <w:tab w:val="left" w:pos="360"/>
        </w:tabs>
        <w:spacing w:line="460" w:lineRule="exact"/>
        <w:ind w:firstLine="550" w:firstLineChars="250"/>
        <w:rPr>
          <w:rFonts w:hint="eastAsia"/>
          <w:color w:val="auto"/>
          <w:sz w:val="22"/>
          <w:szCs w:val="22"/>
          <w:highlight w:val="none"/>
        </w:rPr>
      </w:pPr>
      <w:r>
        <w:rPr>
          <w:rFonts w:hint="eastAsia"/>
          <w:color w:val="auto"/>
          <w:sz w:val="22"/>
          <w:szCs w:val="22"/>
          <w:highlight w:val="none"/>
        </w:rPr>
        <w:t>名    称：温州市鹿城区财政局</w:t>
      </w:r>
    </w:p>
    <w:p w14:paraId="195BB272">
      <w:pPr>
        <w:tabs>
          <w:tab w:val="left" w:pos="360"/>
        </w:tabs>
        <w:spacing w:line="460" w:lineRule="exact"/>
        <w:ind w:firstLine="550" w:firstLineChars="250"/>
        <w:rPr>
          <w:rFonts w:hint="eastAsia"/>
          <w:color w:val="auto"/>
          <w:sz w:val="22"/>
          <w:szCs w:val="22"/>
          <w:highlight w:val="none"/>
        </w:rPr>
      </w:pPr>
      <w:r>
        <w:rPr>
          <w:rFonts w:hint="eastAsia"/>
          <w:color w:val="auto"/>
          <w:sz w:val="22"/>
          <w:szCs w:val="22"/>
          <w:highlight w:val="none"/>
        </w:rPr>
        <w:t> 地    址：浙江省温州市鹿城区江滨西路552号博林大厦2楼</w:t>
      </w:r>
    </w:p>
    <w:p w14:paraId="0B6447E5">
      <w:pPr>
        <w:tabs>
          <w:tab w:val="left" w:pos="360"/>
        </w:tabs>
        <w:spacing w:line="460" w:lineRule="exact"/>
        <w:ind w:firstLine="550" w:firstLineChars="250"/>
        <w:rPr>
          <w:rFonts w:hint="eastAsia" w:eastAsia="宋体"/>
          <w:color w:val="auto"/>
          <w:sz w:val="22"/>
          <w:szCs w:val="22"/>
          <w:highlight w:val="none"/>
          <w:lang w:val="en-US" w:eastAsia="zh-CN"/>
        </w:rPr>
      </w:pPr>
      <w:r>
        <w:rPr>
          <w:rFonts w:hint="eastAsia"/>
          <w:color w:val="auto"/>
          <w:sz w:val="22"/>
          <w:szCs w:val="22"/>
          <w:highlight w:val="none"/>
        </w:rPr>
        <w:t> 传    真：</w:t>
      </w:r>
      <w:r>
        <w:rPr>
          <w:rFonts w:hint="eastAsia"/>
          <w:color w:val="auto"/>
          <w:sz w:val="22"/>
          <w:szCs w:val="22"/>
          <w:highlight w:val="none"/>
          <w:lang w:val="en-US" w:eastAsia="zh-CN"/>
        </w:rPr>
        <w:t>/</w:t>
      </w:r>
    </w:p>
    <w:p w14:paraId="0E1845AA">
      <w:pPr>
        <w:tabs>
          <w:tab w:val="left" w:pos="360"/>
        </w:tabs>
        <w:spacing w:line="460" w:lineRule="exact"/>
        <w:ind w:firstLine="550" w:firstLineChars="250"/>
        <w:rPr>
          <w:rFonts w:hint="eastAsia"/>
          <w:color w:val="auto"/>
          <w:sz w:val="22"/>
          <w:szCs w:val="22"/>
          <w:highlight w:val="none"/>
        </w:rPr>
      </w:pPr>
      <w:r>
        <w:rPr>
          <w:rFonts w:hint="eastAsia"/>
          <w:color w:val="auto"/>
          <w:sz w:val="22"/>
          <w:szCs w:val="22"/>
          <w:highlight w:val="none"/>
        </w:rPr>
        <w:t> 联 系 人：黄女士\朱先生</w:t>
      </w:r>
    </w:p>
    <w:p w14:paraId="5395A99A">
      <w:pPr>
        <w:tabs>
          <w:tab w:val="left" w:pos="360"/>
        </w:tabs>
        <w:spacing w:line="460" w:lineRule="exact"/>
        <w:ind w:firstLine="550" w:firstLineChars="250"/>
        <w:rPr>
          <w:rFonts w:hint="eastAsia"/>
          <w:color w:val="auto"/>
          <w:sz w:val="22"/>
          <w:szCs w:val="22"/>
          <w:highlight w:val="none"/>
        </w:rPr>
      </w:pPr>
      <w:r>
        <w:rPr>
          <w:rFonts w:hint="eastAsia"/>
          <w:color w:val="auto"/>
          <w:sz w:val="22"/>
          <w:szCs w:val="22"/>
          <w:highlight w:val="none"/>
        </w:rPr>
        <w:t> 监督投诉电话：0577-88359173</w:t>
      </w:r>
    </w:p>
    <w:p w14:paraId="0A60D537">
      <w:pPr>
        <w:tabs>
          <w:tab w:val="left" w:pos="360"/>
        </w:tabs>
        <w:spacing w:line="460" w:lineRule="exact"/>
        <w:ind w:firstLine="550" w:firstLineChars="250"/>
        <w:rPr>
          <w:color w:val="auto"/>
          <w:sz w:val="22"/>
          <w:szCs w:val="22"/>
          <w:highlight w:val="none"/>
        </w:rPr>
      </w:pPr>
    </w:p>
    <w:p w14:paraId="3FE05946">
      <w:pPr>
        <w:rPr>
          <w:rFonts w:ascii="宋体" w:hAnsi="宋体" w:cs="宋体"/>
          <w:color w:val="auto"/>
          <w:highlight w:val="none"/>
        </w:rPr>
      </w:pPr>
      <w:bookmarkStart w:id="2" w:name="_Toc5772"/>
      <w:r>
        <w:rPr>
          <w:rFonts w:hint="eastAsia" w:ascii="宋体" w:hAnsi="宋体" w:cs="宋体"/>
          <w:color w:val="auto"/>
          <w:highlight w:val="none"/>
        </w:rPr>
        <w:br w:type="page"/>
      </w:r>
    </w:p>
    <w:p w14:paraId="1CCDB869">
      <w:pPr>
        <w:pStyle w:val="2"/>
        <w:rPr>
          <w:rFonts w:ascii="宋体" w:hAnsi="宋体" w:eastAsia="宋体" w:cs="宋体"/>
          <w:color w:val="auto"/>
          <w:highlight w:val="none"/>
        </w:rPr>
      </w:pPr>
      <w:bookmarkStart w:id="3" w:name="_Toc13662"/>
      <w:r>
        <w:rPr>
          <w:rFonts w:hint="eastAsia" w:ascii="宋体" w:hAnsi="宋体" w:eastAsia="宋体" w:cs="宋体"/>
          <w:color w:val="auto"/>
          <w:highlight w:val="none"/>
        </w:rPr>
        <w:t>第一部分    投标人须知</w:t>
      </w:r>
      <w:bookmarkEnd w:id="2"/>
      <w:bookmarkEnd w:id="3"/>
    </w:p>
    <w:p w14:paraId="1B284FCA">
      <w:pPr>
        <w:keepNext/>
        <w:keepLines/>
        <w:shd w:val="clear" w:color="auto" w:fill="FFFFFF"/>
        <w:tabs>
          <w:tab w:val="left" w:pos="706"/>
        </w:tabs>
        <w:snapToGrid w:val="0"/>
        <w:spacing w:line="360" w:lineRule="auto"/>
        <w:jc w:val="center"/>
        <w:outlineLvl w:val="1"/>
        <w:rPr>
          <w:rFonts w:ascii="宋体" w:hAnsi="宋体" w:cs="宋体"/>
          <w:b/>
          <w:bCs/>
          <w:color w:val="auto"/>
          <w:sz w:val="24"/>
          <w:highlight w:val="none"/>
        </w:rPr>
      </w:pPr>
      <w:bookmarkStart w:id="4" w:name="_Toc33194387"/>
      <w:bookmarkStart w:id="5" w:name="_Toc354996695"/>
      <w:bookmarkStart w:id="6" w:name="_Toc1839"/>
      <w:bookmarkStart w:id="7" w:name="_Toc233618971"/>
      <w:bookmarkStart w:id="8" w:name="_Toc15856"/>
      <w:r>
        <w:rPr>
          <w:rFonts w:hint="eastAsia" w:ascii="宋体" w:hAnsi="宋体" w:cs="宋体"/>
          <w:b/>
          <w:bCs/>
          <w:color w:val="auto"/>
          <w:sz w:val="24"/>
          <w:highlight w:val="none"/>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14:paraId="3975F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14:paraId="7489C256">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63F141CB">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内容规定</w:t>
            </w:r>
          </w:p>
        </w:tc>
      </w:tr>
      <w:tr w14:paraId="6F2D7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EE93377">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536857C9">
            <w:pPr>
              <w:tabs>
                <w:tab w:val="left" w:pos="3780"/>
              </w:tabs>
              <w:snapToGrid w:val="0"/>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一、项目名称</w:t>
            </w:r>
            <w:r>
              <w:rPr>
                <w:rFonts w:hint="eastAsia" w:ascii="宋体" w:hAnsi="宋体" w:cs="宋体"/>
                <w:color w:val="auto"/>
                <w:sz w:val="22"/>
                <w:szCs w:val="22"/>
                <w:highlight w:val="none"/>
              </w:rPr>
              <w:t>：基层智治综合应用鹿城域</w:t>
            </w:r>
          </w:p>
          <w:p w14:paraId="64FCA816">
            <w:pPr>
              <w:spacing w:line="460" w:lineRule="exact"/>
              <w:rPr>
                <w:rFonts w:ascii="宋体" w:hAnsi="宋体" w:cs="宋体"/>
                <w:b/>
                <w:bCs/>
                <w:color w:val="auto"/>
                <w:sz w:val="22"/>
                <w:szCs w:val="22"/>
                <w:highlight w:val="none"/>
              </w:rPr>
            </w:pPr>
            <w:bookmarkStart w:id="9" w:name="_Hlt75139851"/>
            <w:bookmarkEnd w:id="9"/>
            <w:r>
              <w:rPr>
                <w:rFonts w:hint="eastAsia" w:ascii="宋体" w:hAnsi="宋体" w:cs="宋体"/>
                <w:b/>
                <w:bCs/>
                <w:color w:val="auto"/>
                <w:sz w:val="22"/>
                <w:szCs w:val="22"/>
                <w:highlight w:val="none"/>
              </w:rPr>
              <w:t>二、采购内容：</w:t>
            </w:r>
          </w:p>
          <w:tbl>
            <w:tblPr>
              <w:tblStyle w:val="52"/>
              <w:tblW w:w="90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2493"/>
              <w:gridCol w:w="730"/>
              <w:gridCol w:w="2217"/>
              <w:gridCol w:w="2873"/>
            </w:tblGrid>
            <w:tr w14:paraId="31CEE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4BC94DAD">
                  <w:pPr>
                    <w:tabs>
                      <w:tab w:val="left" w:pos="360"/>
                    </w:tabs>
                    <w:spacing w:line="460" w:lineRule="exact"/>
                    <w:jc w:val="center"/>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rPr>
                    <w:t>序号</w:t>
                  </w:r>
                </w:p>
              </w:tc>
              <w:tc>
                <w:tcPr>
                  <w:tcW w:w="2493" w:type="dxa"/>
                  <w:tcBorders>
                    <w:top w:val="single" w:color="auto" w:sz="4" w:space="0"/>
                    <w:left w:val="single" w:color="auto" w:sz="4" w:space="0"/>
                    <w:bottom w:val="single" w:color="auto" w:sz="4" w:space="0"/>
                    <w:right w:val="single" w:color="auto" w:sz="4" w:space="0"/>
                  </w:tcBorders>
                  <w:vAlign w:val="center"/>
                </w:tcPr>
                <w:p w14:paraId="04B5BF17">
                  <w:pPr>
                    <w:tabs>
                      <w:tab w:val="left" w:pos="360"/>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730" w:type="dxa"/>
                  <w:tcBorders>
                    <w:top w:val="single" w:color="auto" w:sz="4" w:space="0"/>
                    <w:left w:val="single" w:color="auto" w:sz="4" w:space="0"/>
                    <w:bottom w:val="single" w:color="auto" w:sz="4" w:space="0"/>
                    <w:right w:val="single" w:color="auto" w:sz="4" w:space="0"/>
                  </w:tcBorders>
                  <w:vAlign w:val="center"/>
                </w:tcPr>
                <w:p w14:paraId="4B7095A5">
                  <w:pPr>
                    <w:tabs>
                      <w:tab w:val="left" w:pos="360"/>
                    </w:tabs>
                    <w:spacing w:line="460" w:lineRule="exact"/>
                    <w:jc w:val="center"/>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rPr>
                    <w:t>单位</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14:paraId="3929AEF0">
                  <w:pPr>
                    <w:tabs>
                      <w:tab w:val="left" w:pos="360"/>
                    </w:tabs>
                    <w:spacing w:line="460" w:lineRule="exact"/>
                    <w:jc w:val="center"/>
                    <w:rPr>
                      <w:rFonts w:ascii="宋体" w:hAnsi="宋体" w:cs="宋体"/>
                      <w:color w:val="auto"/>
                      <w:sz w:val="22"/>
                      <w:szCs w:val="22"/>
                      <w:highlight w:val="none"/>
                    </w:rPr>
                  </w:pPr>
                  <w:r>
                    <w:rPr>
                      <w:rFonts w:hint="eastAsia" w:ascii="宋体" w:hAnsi="宋体" w:cs="宋体"/>
                      <w:color w:val="auto"/>
                      <w:sz w:val="22"/>
                      <w:highlight w:val="none"/>
                    </w:rPr>
                    <w:t>预算金额（元）</w:t>
                  </w:r>
                </w:p>
              </w:tc>
              <w:tc>
                <w:tcPr>
                  <w:tcW w:w="2873" w:type="dxa"/>
                  <w:tcBorders>
                    <w:top w:val="single" w:color="auto" w:sz="4" w:space="0"/>
                    <w:left w:val="single" w:color="auto" w:sz="4" w:space="0"/>
                    <w:bottom w:val="single" w:color="auto" w:sz="4" w:space="0"/>
                    <w:right w:val="single" w:color="auto" w:sz="4" w:space="0"/>
                  </w:tcBorders>
                  <w:vAlign w:val="center"/>
                </w:tcPr>
                <w:p w14:paraId="0F28F86B">
                  <w:pPr>
                    <w:widowControl/>
                    <w:snapToGrid w:val="0"/>
                    <w:spacing w:line="46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简要技术要求、用途</w:t>
                  </w:r>
                </w:p>
              </w:tc>
            </w:tr>
            <w:tr w14:paraId="37084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30" w:type="dxa"/>
                  <w:tcBorders>
                    <w:top w:val="single" w:color="auto" w:sz="4" w:space="0"/>
                    <w:left w:val="single" w:color="auto" w:sz="4" w:space="0"/>
                    <w:right w:val="single" w:color="auto" w:sz="4" w:space="0"/>
                  </w:tcBorders>
                  <w:vAlign w:val="center"/>
                </w:tcPr>
                <w:p w14:paraId="68D193B0">
                  <w:pPr>
                    <w:tabs>
                      <w:tab w:val="left" w:pos="360"/>
                    </w:tabs>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2493" w:type="dxa"/>
                  <w:tcBorders>
                    <w:top w:val="single" w:color="auto" w:sz="4" w:space="0"/>
                    <w:left w:val="single" w:color="auto" w:sz="4" w:space="0"/>
                    <w:right w:val="single" w:color="auto" w:sz="4" w:space="0"/>
                  </w:tcBorders>
                  <w:vAlign w:val="center"/>
                </w:tcPr>
                <w:p w14:paraId="4B1BBF32">
                  <w:pPr>
                    <w:spacing w:line="460" w:lineRule="exact"/>
                    <w:jc w:val="center"/>
                    <w:rPr>
                      <w:rFonts w:ascii="宋体" w:hAnsi="宋体" w:cs="宋体"/>
                      <w:color w:val="auto"/>
                      <w:sz w:val="22"/>
                      <w:highlight w:val="none"/>
                    </w:rPr>
                  </w:pPr>
                  <w:r>
                    <w:rPr>
                      <w:rFonts w:hint="eastAsia" w:ascii="宋体" w:hAnsi="宋体" w:cs="宋体"/>
                      <w:color w:val="auto"/>
                      <w:sz w:val="22"/>
                      <w:highlight w:val="none"/>
                    </w:rPr>
                    <w:t>基层智治综合应用鹿城域</w:t>
                  </w:r>
                </w:p>
              </w:tc>
              <w:tc>
                <w:tcPr>
                  <w:tcW w:w="730" w:type="dxa"/>
                  <w:tcBorders>
                    <w:top w:val="single" w:color="auto" w:sz="4" w:space="0"/>
                    <w:left w:val="single" w:color="auto" w:sz="4" w:space="0"/>
                    <w:bottom w:val="single" w:color="auto" w:sz="4" w:space="0"/>
                    <w:right w:val="single" w:color="auto" w:sz="4" w:space="0"/>
                  </w:tcBorders>
                  <w:vAlign w:val="center"/>
                </w:tcPr>
                <w:p w14:paraId="0282CF76">
                  <w:pPr>
                    <w:tabs>
                      <w:tab w:val="left" w:pos="360"/>
                    </w:tabs>
                    <w:spacing w:line="460" w:lineRule="exact"/>
                    <w:jc w:val="center"/>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1项</w:t>
                  </w:r>
                </w:p>
              </w:tc>
              <w:tc>
                <w:tcPr>
                  <w:tcW w:w="2217" w:type="dxa"/>
                  <w:tcBorders>
                    <w:top w:val="single" w:color="auto" w:sz="4" w:space="0"/>
                    <w:left w:val="single" w:color="auto" w:sz="4" w:space="0"/>
                    <w:right w:val="single" w:color="auto" w:sz="4" w:space="0"/>
                  </w:tcBorders>
                  <w:shd w:val="clear" w:color="auto" w:fill="auto"/>
                  <w:vAlign w:val="center"/>
                </w:tcPr>
                <w:p w14:paraId="6F5DA3BA">
                  <w:pPr>
                    <w:tabs>
                      <w:tab w:val="left" w:pos="360"/>
                    </w:tabs>
                    <w:spacing w:line="460" w:lineRule="exact"/>
                    <w:jc w:val="center"/>
                    <w:rPr>
                      <w:rFonts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1317000</w:t>
                  </w:r>
                </w:p>
              </w:tc>
              <w:tc>
                <w:tcPr>
                  <w:tcW w:w="2873" w:type="dxa"/>
                  <w:tcBorders>
                    <w:top w:val="single" w:color="auto" w:sz="4" w:space="0"/>
                    <w:left w:val="single" w:color="auto" w:sz="4" w:space="0"/>
                    <w:right w:val="single" w:color="auto" w:sz="4" w:space="0"/>
                  </w:tcBorders>
                  <w:vAlign w:val="center"/>
                </w:tcPr>
                <w:p w14:paraId="765F09CF">
                  <w:pPr>
                    <w:shd w:val="clear" w:color="auto" w:fill="FFFFFF"/>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详见招标文件第四部分“项目技术规范和服务要求”</w:t>
                  </w:r>
                </w:p>
              </w:tc>
            </w:tr>
          </w:tbl>
          <w:p w14:paraId="53E7657E">
            <w:pPr>
              <w:tabs>
                <w:tab w:val="left" w:pos="360"/>
              </w:tabs>
              <w:spacing w:line="460" w:lineRule="exact"/>
              <w:ind w:firstLine="552" w:firstLineChars="250"/>
              <w:rPr>
                <w:rFonts w:ascii="宋体" w:hAnsi="宋体" w:cs="宋体"/>
                <w:color w:val="auto"/>
                <w:highlight w:val="none"/>
              </w:rPr>
            </w:pPr>
            <w:r>
              <w:rPr>
                <w:rFonts w:hint="eastAsia" w:ascii="宋体" w:hAnsi="宋体" w:cs="宋体"/>
                <w:b/>
                <w:color w:val="auto"/>
                <w:sz w:val="22"/>
                <w:szCs w:val="22"/>
                <w:highlight w:val="none"/>
              </w:rPr>
              <w:t>如投标人报价超过预算金额按无效标处理。</w:t>
            </w:r>
          </w:p>
        </w:tc>
      </w:tr>
      <w:tr w14:paraId="0F217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D44EDDA">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1865A96D">
            <w:pPr>
              <w:snapToGrid w:val="0"/>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lang w:val="zh-CN"/>
              </w:rPr>
              <w:t>投标</w:t>
            </w:r>
            <w:r>
              <w:rPr>
                <w:rFonts w:hint="eastAsia" w:ascii="宋体" w:hAnsi="宋体" w:cs="宋体"/>
                <w:b/>
                <w:bCs/>
                <w:color w:val="auto"/>
                <w:sz w:val="22"/>
                <w:szCs w:val="22"/>
                <w:highlight w:val="none"/>
              </w:rPr>
              <w:t>有效期：</w:t>
            </w:r>
            <w:r>
              <w:rPr>
                <w:rFonts w:hint="eastAsia" w:ascii="宋体" w:hAnsi="宋体" w:cs="宋体"/>
                <w:color w:val="auto"/>
                <w:sz w:val="22"/>
                <w:szCs w:val="22"/>
                <w:highlight w:val="none"/>
              </w:rPr>
              <w:t>自投标截止日起120天。</w:t>
            </w:r>
          </w:p>
        </w:tc>
      </w:tr>
      <w:tr w14:paraId="7AFFD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2D02653">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565AF898">
            <w:pPr>
              <w:snapToGrid w:val="0"/>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投标保证金数额：无</w:t>
            </w:r>
            <w:r>
              <w:rPr>
                <w:rFonts w:hint="eastAsia" w:ascii="宋体" w:hAnsi="宋体" w:cs="宋体"/>
                <w:color w:val="auto"/>
                <w:sz w:val="22"/>
                <w:szCs w:val="22"/>
                <w:highlight w:val="none"/>
              </w:rPr>
              <w:t>。</w:t>
            </w:r>
          </w:p>
        </w:tc>
      </w:tr>
      <w:tr w14:paraId="47F70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353991E">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7925DEC0">
            <w:pPr>
              <w:snapToGrid w:val="0"/>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招标服务费：人民币壹万伍仟元整（¥15000.00元）,由中标人在领取中标通知书时支付。</w:t>
            </w:r>
          </w:p>
          <w:p w14:paraId="3CDF573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户   名：温州历程招标有限公司</w:t>
            </w:r>
          </w:p>
          <w:p w14:paraId="5F21054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账   号：33050162870409101001</w:t>
            </w:r>
          </w:p>
          <w:p w14:paraId="10D49F7C">
            <w:pPr>
              <w:spacing w:line="460" w:lineRule="exact"/>
              <w:ind w:firstLine="539" w:firstLineChars="245"/>
              <w:rPr>
                <w:rFonts w:ascii="宋体" w:hAnsi="宋体" w:cs="宋体"/>
                <w:color w:val="auto"/>
                <w:highlight w:val="none"/>
              </w:rPr>
            </w:pPr>
            <w:r>
              <w:rPr>
                <w:rFonts w:hint="eastAsia" w:ascii="宋体" w:hAnsi="宋体" w:cs="宋体"/>
                <w:color w:val="auto"/>
                <w:sz w:val="22"/>
                <w:szCs w:val="22"/>
                <w:highlight w:val="none"/>
              </w:rPr>
              <w:t>开户行：中国建设银行温州黎明支行</w:t>
            </w:r>
          </w:p>
        </w:tc>
      </w:tr>
      <w:tr w14:paraId="0E776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A3A3418">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55ED5F8C">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投标文件的组成：</w:t>
            </w:r>
            <w:r>
              <w:rPr>
                <w:rFonts w:hint="eastAsia" w:ascii="宋体" w:hAnsi="宋体" w:cs="宋体"/>
                <w:color w:val="auto"/>
                <w:sz w:val="22"/>
                <w:szCs w:val="22"/>
                <w:highlight w:val="none"/>
              </w:rPr>
              <w:t>完整的《投标文件》由“资格文件”、“报价文件”和“商务技术文件”三个部分组成。</w:t>
            </w:r>
          </w:p>
        </w:tc>
      </w:tr>
      <w:tr w14:paraId="61B07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6C7B909">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07123CBB">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投标文件的编制：</w:t>
            </w:r>
            <w:r>
              <w:rPr>
                <w:rFonts w:hint="eastAsia" w:ascii="宋体" w:hAnsi="宋体" w:cs="宋体"/>
                <w:color w:val="auto"/>
                <w:sz w:val="22"/>
                <w:szCs w:val="22"/>
                <w:highlight w:val="none"/>
              </w:rPr>
              <w:t>供应商应先安装“政采云电子交易客户端”，并按照本招标文件和“政府采购云平台”的要求，通过“政采云电子交易客户端”编制并加密投标文件。</w:t>
            </w:r>
          </w:p>
        </w:tc>
      </w:tr>
      <w:tr w14:paraId="01F77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9C7782A">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0459BEC0">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投标文件的签章：</w:t>
            </w:r>
            <w:r>
              <w:rPr>
                <w:rFonts w:hint="eastAsia" w:ascii="宋体" w:hAnsi="宋体" w:cs="宋体"/>
                <w:color w:val="auto"/>
                <w:sz w:val="22"/>
                <w:szCs w:val="22"/>
                <w:highlight w:val="none"/>
              </w:rPr>
              <w:t>电子签章。</w:t>
            </w:r>
          </w:p>
        </w:tc>
      </w:tr>
      <w:tr w14:paraId="7E714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D99941A">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57D3598D">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投标文件的形式：</w:t>
            </w:r>
            <w:r>
              <w:rPr>
                <w:rFonts w:hint="eastAsia" w:ascii="宋体" w:hAnsi="宋体" w:cs="宋体"/>
                <w:color w:val="auto"/>
                <w:sz w:val="22"/>
                <w:szCs w:val="22"/>
                <w:highlight w:val="none"/>
              </w:rPr>
              <w:t>☑电子投标文件（包括“电子加密投标文件”和“备份投标文件”，在投标文件编制完成后同时生成）；</w:t>
            </w:r>
          </w:p>
          <w:p w14:paraId="621F583A">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（1）“电子加密投标文件”是指通过“政采云电子交易客户端”完成投标文件编制后生成并加密的数据电文形式的投标文件。</w:t>
            </w:r>
          </w:p>
          <w:p w14:paraId="67889963">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65141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C047203">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3196CF0F">
            <w:pPr>
              <w:spacing w:line="460" w:lineRule="exact"/>
              <w:rPr>
                <w:color w:val="auto"/>
                <w:sz w:val="22"/>
                <w:szCs w:val="28"/>
                <w:highlight w:val="none"/>
              </w:rPr>
            </w:pPr>
            <w:r>
              <w:rPr>
                <w:rFonts w:hint="eastAsia"/>
                <w:color w:val="auto"/>
                <w:sz w:val="22"/>
                <w:szCs w:val="28"/>
                <w:highlight w:val="none"/>
              </w:rPr>
              <w:t>投标文件份数：</w:t>
            </w:r>
          </w:p>
          <w:p w14:paraId="0192307E">
            <w:pPr>
              <w:numPr>
                <w:ilvl w:val="0"/>
                <w:numId w:val="1"/>
              </w:numPr>
              <w:spacing w:line="460" w:lineRule="exact"/>
              <w:rPr>
                <w:color w:val="auto"/>
                <w:sz w:val="22"/>
                <w:szCs w:val="28"/>
                <w:highlight w:val="none"/>
              </w:rPr>
            </w:pPr>
            <w:r>
              <w:rPr>
                <w:rFonts w:hint="eastAsia"/>
                <w:color w:val="auto"/>
                <w:sz w:val="22"/>
                <w:szCs w:val="28"/>
                <w:highlight w:val="none"/>
              </w:rPr>
              <w:t>“电子加密投标文件”：在线上传递交、一份。</w:t>
            </w:r>
          </w:p>
          <w:p w14:paraId="605B1488">
            <w:pPr>
              <w:numPr>
                <w:ilvl w:val="0"/>
                <w:numId w:val="1"/>
              </w:numPr>
              <w:spacing w:line="460" w:lineRule="exact"/>
              <w:rPr>
                <w:color w:val="auto"/>
                <w:sz w:val="22"/>
                <w:szCs w:val="28"/>
                <w:highlight w:val="none"/>
              </w:rPr>
            </w:pPr>
            <w:r>
              <w:rPr>
                <w:rFonts w:hint="eastAsia"/>
                <w:color w:val="auto"/>
                <w:sz w:val="22"/>
                <w:szCs w:val="28"/>
                <w:highlight w:val="none"/>
              </w:rPr>
              <w:t>“备份投标文件”：密封包装后投标截止时间前递交、一份</w:t>
            </w:r>
          </w:p>
          <w:p w14:paraId="212F9F8B">
            <w:pPr>
              <w:spacing w:line="460" w:lineRule="exact"/>
              <w:rPr>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14:paraId="3B085949">
            <w:pPr>
              <w:tabs>
                <w:tab w:val="left" w:pos="360"/>
              </w:tabs>
              <w:spacing w:line="460" w:lineRule="exact"/>
              <w:rPr>
                <w:color w:val="auto"/>
                <w:sz w:val="22"/>
                <w:szCs w:val="28"/>
                <w:highlight w:val="none"/>
              </w:rPr>
            </w:pPr>
            <w:r>
              <w:rPr>
                <w:rFonts w:hint="eastAsia"/>
                <w:color w:val="auto"/>
                <w:sz w:val="22"/>
                <w:szCs w:val="28"/>
                <w:highlight w:val="none"/>
              </w:rPr>
              <w:t>可以（邮寄形式，建议顺丰）在投标截止时间前递交，并需采购代理机构确认是否收到，</w:t>
            </w:r>
          </w:p>
          <w:p w14:paraId="4A560B6D">
            <w:pPr>
              <w:spacing w:line="460" w:lineRule="exact"/>
              <w:rPr>
                <w:color w:val="auto"/>
                <w:sz w:val="22"/>
                <w:szCs w:val="28"/>
                <w:highlight w:val="none"/>
              </w:rPr>
            </w:pPr>
            <w:r>
              <w:rPr>
                <w:rFonts w:hint="eastAsia"/>
                <w:color w:val="auto"/>
                <w:sz w:val="22"/>
                <w:szCs w:val="28"/>
                <w:highlight w:val="none"/>
              </w:rPr>
              <w:t>邮寄地址：温州市鹿城区勤民路鹿城壹号18幢803室</w:t>
            </w:r>
          </w:p>
          <w:p w14:paraId="6201407E">
            <w:pPr>
              <w:spacing w:line="460" w:lineRule="exact"/>
              <w:rPr>
                <w:color w:val="auto"/>
                <w:highlight w:val="none"/>
              </w:rPr>
            </w:pPr>
            <w:r>
              <w:rPr>
                <w:rFonts w:hint="eastAsia"/>
                <w:color w:val="auto"/>
                <w:sz w:val="22"/>
                <w:szCs w:val="28"/>
                <w:highlight w:val="none"/>
              </w:rPr>
              <w:t>联系人：肖宗文    联系电话：13757727199</w:t>
            </w:r>
          </w:p>
        </w:tc>
      </w:tr>
      <w:tr w14:paraId="06F3F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DE46276">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4DA224A7">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投标文件的上传和递交：</w:t>
            </w:r>
          </w:p>
          <w:p w14:paraId="60650810">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（1）“电子加密投标文件”的上传、递交：</w:t>
            </w:r>
          </w:p>
          <w:p w14:paraId="1EF32F26">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a.投标人应在投标截止时间前将“电子加密投标文件   ”成功上传递交至“政府采购云平台”，否则投标无效。</w:t>
            </w:r>
          </w:p>
          <w:p w14:paraId="72647668">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b.“电子加密投标文件”成功上传递交后，供应商可自行打印投标文件接收回执。</w:t>
            </w:r>
          </w:p>
          <w:p w14:paraId="131F5710">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（2）“备份投标文件”的密封包装、递交：</w:t>
            </w:r>
          </w:p>
          <w:p w14:paraId="345BCE37">
            <w:pPr>
              <w:tabs>
                <w:tab w:val="left" w:pos="360"/>
              </w:tabs>
              <w:spacing w:line="460" w:lineRule="exact"/>
              <w:rPr>
                <w:rFonts w:ascii="宋体" w:hAnsi="宋体" w:cs="宋体"/>
                <w:b/>
                <w:bCs/>
                <w:color w:val="auto"/>
                <w:sz w:val="22"/>
                <w:szCs w:val="22"/>
                <w:highlight w:val="none"/>
              </w:rPr>
            </w:pPr>
            <w:r>
              <w:rPr>
                <w:rFonts w:hint="eastAsia" w:ascii="宋体" w:hAnsi="宋体" w:cs="宋体"/>
                <w:color w:val="auto"/>
                <w:sz w:val="22"/>
                <w:szCs w:val="22"/>
                <w:highlight w:val="none"/>
              </w:rPr>
              <w:t>a.投标人在“政府采购云平台”完成“电子加密投标文件”的上传递交后，</w:t>
            </w:r>
            <w:r>
              <w:rPr>
                <w:rFonts w:hint="eastAsia" w:ascii="宋体" w:hAnsi="宋体" w:cs="宋体"/>
                <w:b/>
                <w:bCs/>
                <w:color w:val="auto"/>
                <w:sz w:val="22"/>
                <w:szCs w:val="22"/>
                <w:highlight w:val="none"/>
              </w:rPr>
              <w:t>还可以在投标截止时间前递交以介质（U盘）存储的数据电文形式的“备份投标文件”，（可以</w:t>
            </w:r>
            <w:r>
              <w:rPr>
                <w:rFonts w:hint="eastAsia" w:ascii="宋体" w:hAnsi="宋体" w:cs="宋体"/>
                <w:b/>
                <w:color w:val="auto"/>
                <w:sz w:val="22"/>
                <w:szCs w:val="22"/>
                <w:highlight w:val="none"/>
                <w:u w:val="single"/>
              </w:rPr>
              <w:t>（邮寄形式，建议顺丰）在投标截止时间前递交，并需采购代理机构确认是否收到</w:t>
            </w:r>
            <w:r>
              <w:rPr>
                <w:rFonts w:hint="eastAsia" w:ascii="宋体" w:hAnsi="宋体" w:cs="宋体"/>
                <w:b/>
                <w:bCs/>
                <w:color w:val="auto"/>
                <w:sz w:val="22"/>
                <w:szCs w:val="22"/>
                <w:highlight w:val="none"/>
              </w:rPr>
              <w:t>）</w:t>
            </w:r>
          </w:p>
          <w:p w14:paraId="4102DFCF">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2650DB26">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19B1A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85F5AC9">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5D2AA324">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电子加密投标文件的解密和异常情况处理：</w:t>
            </w:r>
          </w:p>
          <w:p w14:paraId="47C178EA">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644884DE">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D1E2D03">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（3）投标截止时间前，投标人仅递交了“备份投标文件”而未将电子加密投标文件上传至“政府采购云平台”的，投标无效。</w:t>
            </w:r>
          </w:p>
        </w:tc>
      </w:tr>
      <w:tr w14:paraId="43256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4FB8C750">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14:paraId="7EC327D1">
            <w:pPr>
              <w:widowControl/>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提交投标文件截止时间：详见招标公告 </w:t>
            </w:r>
          </w:p>
          <w:p w14:paraId="1FDB8260">
            <w:pPr>
              <w:widowControl/>
              <w:snapToGrid w:val="0"/>
              <w:spacing w:line="460" w:lineRule="exact"/>
              <w:jc w:val="left"/>
              <w:rPr>
                <w:color w:val="auto"/>
                <w:highlight w:val="none"/>
              </w:rPr>
            </w:pPr>
            <w:r>
              <w:rPr>
                <w:rFonts w:hint="eastAsia" w:ascii="宋体" w:hAnsi="宋体" w:cs="宋体"/>
                <w:color w:val="auto"/>
                <w:sz w:val="22"/>
                <w:szCs w:val="22"/>
                <w:highlight w:val="none"/>
              </w:rPr>
              <w:t>投标地点（网址）：详见招标公告 </w:t>
            </w:r>
          </w:p>
        </w:tc>
      </w:tr>
      <w:tr w14:paraId="4B782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0C6DFD01">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13</w:t>
            </w:r>
          </w:p>
        </w:tc>
        <w:tc>
          <w:tcPr>
            <w:tcW w:w="9590" w:type="dxa"/>
            <w:tcBorders>
              <w:top w:val="single" w:color="000000" w:sz="2" w:space="0"/>
              <w:left w:val="single" w:color="000000" w:sz="2" w:space="0"/>
              <w:bottom w:val="single" w:color="auto" w:sz="4" w:space="0"/>
              <w:right w:val="single" w:color="000000" w:sz="8" w:space="0"/>
            </w:tcBorders>
            <w:vAlign w:val="center"/>
          </w:tcPr>
          <w:p w14:paraId="728FCD54">
            <w:pPr>
              <w:widowControl/>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开标时间：详见招标公告</w:t>
            </w:r>
          </w:p>
          <w:p w14:paraId="11C4F1AD">
            <w:pPr>
              <w:widowControl/>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开标地点（网址）：详见招标公告</w:t>
            </w:r>
          </w:p>
        </w:tc>
      </w:tr>
      <w:tr w14:paraId="23307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5C2A9DED">
            <w:pPr>
              <w:snapToGrid w:val="0"/>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14</w:t>
            </w:r>
          </w:p>
        </w:tc>
        <w:tc>
          <w:tcPr>
            <w:tcW w:w="9590" w:type="dxa"/>
            <w:tcBorders>
              <w:top w:val="single" w:color="auto" w:sz="4" w:space="0"/>
              <w:left w:val="single" w:color="000000" w:sz="2" w:space="0"/>
              <w:bottom w:val="single" w:color="auto" w:sz="4" w:space="0"/>
              <w:right w:val="single" w:color="000000" w:sz="8" w:space="0"/>
            </w:tcBorders>
            <w:vAlign w:val="center"/>
          </w:tcPr>
          <w:p w14:paraId="69F97CAA">
            <w:pPr>
              <w:snapToGrid w:val="0"/>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带“▲”条款系指实质性要求条款。“★”是关键技术参数及要求。</w:t>
            </w:r>
          </w:p>
        </w:tc>
      </w:tr>
      <w:tr w14:paraId="558FE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1479839B">
            <w:pPr>
              <w:widowControl/>
              <w:snapToGrid w:val="0"/>
              <w:spacing w:line="460" w:lineRule="exact"/>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15</w:t>
            </w:r>
          </w:p>
        </w:tc>
        <w:tc>
          <w:tcPr>
            <w:tcW w:w="9590" w:type="dxa"/>
            <w:tcBorders>
              <w:top w:val="single" w:color="auto" w:sz="4" w:space="0"/>
              <w:left w:val="single" w:color="000000" w:sz="2" w:space="0"/>
              <w:bottom w:val="single" w:color="auto" w:sz="4" w:space="0"/>
              <w:right w:val="single" w:color="000000" w:sz="8" w:space="0"/>
            </w:tcBorders>
            <w:vAlign w:val="center"/>
          </w:tcPr>
          <w:p w14:paraId="14BA9918">
            <w:pPr>
              <w:widowControl/>
              <w:snapToGrid w:val="0"/>
              <w:spacing w:line="460" w:lineRule="exact"/>
              <w:jc w:val="left"/>
              <w:rPr>
                <w:rFonts w:ascii="宋体" w:hAnsi="宋体" w:cs="宋体"/>
                <w:b/>
                <w:bCs/>
                <w:color w:val="auto"/>
                <w:sz w:val="22"/>
                <w:szCs w:val="22"/>
                <w:highlight w:val="none"/>
              </w:rPr>
            </w:pPr>
            <w:r>
              <w:rPr>
                <w:rFonts w:hint="eastAsia" w:ascii="宋体" w:hAnsi="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71EB9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0BD04C10">
            <w:pPr>
              <w:widowControl/>
              <w:snapToGrid w:val="0"/>
              <w:spacing w:line="460" w:lineRule="exact"/>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16</w:t>
            </w:r>
          </w:p>
        </w:tc>
        <w:tc>
          <w:tcPr>
            <w:tcW w:w="9590" w:type="dxa"/>
            <w:tcBorders>
              <w:top w:val="single" w:color="000000" w:sz="2" w:space="0"/>
              <w:left w:val="single" w:color="000000" w:sz="2" w:space="0"/>
              <w:bottom w:val="single" w:color="000000" w:sz="2" w:space="0"/>
              <w:right w:val="single" w:color="000000" w:sz="8" w:space="0"/>
            </w:tcBorders>
            <w:vAlign w:val="center"/>
          </w:tcPr>
          <w:p w14:paraId="5102C27A">
            <w:pPr>
              <w:snapToGrid w:val="0"/>
              <w:spacing w:line="460" w:lineRule="exact"/>
              <w:rPr>
                <w:rFonts w:ascii="宋体" w:hAnsi="宋体" w:cs="宋体"/>
                <w:color w:val="auto"/>
                <w:sz w:val="22"/>
                <w:szCs w:val="22"/>
                <w:highlight w:val="none"/>
              </w:rPr>
            </w:pPr>
            <w:r>
              <w:rPr>
                <w:rFonts w:hint="eastAsia" w:ascii="宋体" w:hAnsi="宋体" w:cs="宋体"/>
                <w:b/>
                <w:color w:val="auto"/>
                <w:kern w:val="10"/>
                <w:sz w:val="22"/>
                <w:szCs w:val="22"/>
                <w:highlight w:val="none"/>
              </w:rPr>
              <w:t>潜在供应商需在浙江政府采购网http://http://zfcg.czt.zj.gov.cn/进行免费注册，具体详见浙江政府采购网供应商注册要求。</w:t>
            </w:r>
          </w:p>
        </w:tc>
      </w:tr>
      <w:tr w14:paraId="73FE2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56B52BB">
            <w:pPr>
              <w:widowControl/>
              <w:snapToGrid w:val="0"/>
              <w:spacing w:line="460" w:lineRule="exact"/>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17</w:t>
            </w:r>
          </w:p>
        </w:tc>
        <w:tc>
          <w:tcPr>
            <w:tcW w:w="9590" w:type="dxa"/>
            <w:tcBorders>
              <w:top w:val="single" w:color="000000" w:sz="2" w:space="0"/>
              <w:left w:val="single" w:color="000000" w:sz="2" w:space="0"/>
              <w:bottom w:val="single" w:color="000000" w:sz="2" w:space="0"/>
              <w:right w:val="single" w:color="000000" w:sz="8" w:space="0"/>
            </w:tcBorders>
            <w:vAlign w:val="center"/>
          </w:tcPr>
          <w:p w14:paraId="3151B9CF">
            <w:pPr>
              <w:adjustRightInd w:val="0"/>
              <w:snapToGrid w:val="0"/>
              <w:spacing w:line="460" w:lineRule="exact"/>
              <w:ind w:firstLine="442" w:firstLineChars="200"/>
              <w:rPr>
                <w:rFonts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27520701">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10E36BD0">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（1）项目预算：</w:t>
            </w:r>
            <w:r>
              <w:rPr>
                <w:rFonts w:hint="eastAsia" w:ascii="新宋体" w:hAnsi="新宋体" w:eastAsia="新宋体" w:cs="新宋体"/>
                <w:color w:val="auto"/>
                <w:sz w:val="22"/>
                <w:szCs w:val="28"/>
                <w:highlight w:val="none"/>
                <w:u w:val="single"/>
              </w:rPr>
              <w:t xml:space="preserve"> 131.7 </w:t>
            </w:r>
            <w:r>
              <w:rPr>
                <w:rFonts w:hint="eastAsia" w:ascii="新宋体" w:hAnsi="新宋体" w:eastAsia="新宋体" w:cs="新宋体"/>
                <w:color w:val="auto"/>
                <w:sz w:val="22"/>
                <w:szCs w:val="28"/>
                <w:highlight w:val="none"/>
              </w:rPr>
              <w:t>万元</w:t>
            </w:r>
          </w:p>
          <w:p w14:paraId="7FABB1BF">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（2）项目属性：</w:t>
            </w:r>
            <w:r>
              <w:rPr>
                <w:rFonts w:hint="eastAsia" w:ascii="新宋体" w:hAnsi="新宋体" w:eastAsia="新宋体" w:cs="新宋体"/>
                <w:color w:val="auto"/>
                <w:sz w:val="22"/>
                <w:szCs w:val="28"/>
                <w:highlight w:val="none"/>
                <w:u w:val="single"/>
              </w:rPr>
              <w:t xml:space="preserve"> ②服务类</w:t>
            </w:r>
            <w:r>
              <w:rPr>
                <w:rFonts w:hint="eastAsia" w:ascii="新宋体" w:hAnsi="新宋体" w:eastAsia="新宋体" w:cs="新宋体"/>
                <w:color w:val="auto"/>
                <w:sz w:val="22"/>
                <w:szCs w:val="28"/>
                <w:highlight w:val="none"/>
              </w:rPr>
              <w:t xml:space="preserve"> （①货物类/②服务类/③工程类）</w:t>
            </w:r>
          </w:p>
          <w:p w14:paraId="78CEEC83">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（3）项目对应的中小企业划分标准所属行业：</w:t>
            </w:r>
            <w:r>
              <w:rPr>
                <w:rFonts w:hint="eastAsia" w:ascii="新宋体" w:hAnsi="新宋体" w:eastAsia="新宋体" w:cs="新宋体"/>
                <w:color w:val="auto"/>
                <w:sz w:val="22"/>
                <w:szCs w:val="28"/>
                <w:highlight w:val="none"/>
                <w:u w:val="single"/>
              </w:rPr>
              <w:t xml:space="preserve"> 软件和信息技术服务业 </w:t>
            </w:r>
            <w:r>
              <w:rPr>
                <w:rFonts w:hint="eastAsia" w:ascii="新宋体" w:hAnsi="新宋体" w:eastAsia="新宋体" w:cs="新宋体"/>
                <w:color w:val="auto"/>
                <w:sz w:val="22"/>
                <w:szCs w:val="28"/>
                <w:highlight w:val="none"/>
              </w:rPr>
              <w:t>（具体根据《中小企业划型标准规定》执行）</w:t>
            </w:r>
          </w:p>
          <w:p w14:paraId="35544ECF">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7E60205B">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（4）本项目</w:t>
            </w:r>
            <w:r>
              <w:rPr>
                <w:rFonts w:hint="eastAsia" w:ascii="新宋体" w:hAnsi="新宋体" w:eastAsia="新宋体" w:cs="新宋体"/>
                <w:color w:val="auto"/>
                <w:sz w:val="22"/>
                <w:szCs w:val="28"/>
                <w:highlight w:val="none"/>
                <w:u w:val="single"/>
              </w:rPr>
              <w:t xml:space="preserve"> （否） </w:t>
            </w:r>
            <w:r>
              <w:rPr>
                <w:rFonts w:hint="eastAsia" w:ascii="新宋体" w:hAnsi="新宋体" w:eastAsia="新宋体" w:cs="新宋体"/>
                <w:color w:val="auto"/>
                <w:sz w:val="22"/>
                <w:szCs w:val="28"/>
                <w:highlight w:val="none"/>
              </w:rPr>
              <w:t>属于预留份额专门面向中小企业采购的项目。</w:t>
            </w:r>
          </w:p>
          <w:p w14:paraId="48C63600">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（5）上述第4项中确定为“是”的采购项目，预留份额通过（①）措施进行：</w:t>
            </w:r>
          </w:p>
          <w:p w14:paraId="77126A0D">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14:paraId="187B5C93">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(比例)； </w:t>
            </w:r>
          </w:p>
          <w:p w14:paraId="4F9B43F3">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(比例)分包给一家或者多家中小企业。</w:t>
            </w:r>
          </w:p>
          <w:p w14:paraId="128AA53C">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（6）对于经主管预算单位统筹后未预留份额专门面向中小企业采购的采购项目，以及预留份额项目中的非预留部分采购包，请贵单位明确对符合本办法规定的小微企业报价给予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10% </w:t>
            </w:r>
            <w:r>
              <w:rPr>
                <w:rFonts w:hint="eastAsia" w:ascii="新宋体" w:hAnsi="新宋体" w:eastAsia="新宋体" w:cs="新宋体"/>
                <w:color w:val="auto"/>
                <w:sz w:val="22"/>
                <w:szCs w:val="28"/>
                <w:highlight w:val="none"/>
              </w:rPr>
              <w:t xml:space="preserve">（工程项目为5%）的扣除，用扣除后的价格参加评审。 </w:t>
            </w:r>
          </w:p>
          <w:p w14:paraId="6BF1AE1C">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8"/>
                <w:highlight w:val="none"/>
                <w:u w:val="single"/>
              </w:rPr>
              <w:t xml:space="preserve"> 4% </w:t>
            </w:r>
            <w:r>
              <w:rPr>
                <w:rFonts w:hint="eastAsia" w:ascii="新宋体" w:hAnsi="新宋体" w:eastAsia="新宋体" w:cs="新宋体"/>
                <w:color w:val="auto"/>
                <w:sz w:val="22"/>
                <w:szCs w:val="28"/>
                <w:highlight w:val="none"/>
              </w:rPr>
              <w:t>（工程项目为 2%）的扣除，用扣除后的价格参加评审。</w:t>
            </w:r>
          </w:p>
          <w:p w14:paraId="31B154AB">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7B09FE8E">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2、节能产品、环境标志产品的强制采购政策</w:t>
            </w:r>
          </w:p>
          <w:p w14:paraId="49779701">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0BE8E04D">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3、节能产品、环境标志产品的优先采购政策</w:t>
            </w:r>
          </w:p>
          <w:p w14:paraId="7FF1A2C4">
            <w:pPr>
              <w:widowControl/>
              <w:snapToGrid w:val="0"/>
              <w:spacing w:line="460" w:lineRule="exact"/>
              <w:ind w:firstLine="440" w:firstLineChars="200"/>
              <w:jc w:val="left"/>
              <w:rPr>
                <w:rFonts w:ascii="宋体" w:hAnsi="宋体" w:cs="宋体"/>
                <w:b/>
                <w:color w:val="auto"/>
                <w:kern w:val="10"/>
                <w:sz w:val="22"/>
                <w:szCs w:val="22"/>
                <w:highlight w:val="none"/>
              </w:rPr>
            </w:pPr>
            <w:r>
              <w:rPr>
                <w:rFonts w:hint="eastAsia" w:ascii="宋体" w:hAnsi="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008C4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91B717A">
            <w:pPr>
              <w:widowControl/>
              <w:snapToGrid w:val="0"/>
              <w:spacing w:line="460" w:lineRule="exact"/>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18</w:t>
            </w:r>
          </w:p>
        </w:tc>
        <w:tc>
          <w:tcPr>
            <w:tcW w:w="9590" w:type="dxa"/>
            <w:tcBorders>
              <w:top w:val="single" w:color="000000" w:sz="2" w:space="0"/>
              <w:left w:val="single" w:color="000000" w:sz="2" w:space="0"/>
              <w:bottom w:val="single" w:color="000000" w:sz="2" w:space="0"/>
              <w:right w:val="single" w:color="000000" w:sz="8" w:space="0"/>
            </w:tcBorders>
            <w:vAlign w:val="center"/>
          </w:tcPr>
          <w:p w14:paraId="2CDD4531">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sz w:val="22"/>
                <w:szCs w:val="22"/>
                <w:highlight w:val="none"/>
              </w:rPr>
              <w:t>根据《关于在政府采购活动中查询及使用信用记录有关问题的通知》财库[2016]125号的规定：</w:t>
            </w:r>
          </w:p>
          <w:p w14:paraId="3FB4239F">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1）招标人或采购代理机构将对本项目供应商的信用记录进行查询。查询渠道为信用中国网站（www.creditchina.gov.cn）、中国政府采购网（www.ccgp.gov.cn）；</w:t>
            </w:r>
          </w:p>
          <w:p w14:paraId="7CC754CA">
            <w:pPr>
              <w:snapToGrid w:val="0"/>
              <w:spacing w:line="460" w:lineRule="exact"/>
              <w:ind w:firstLine="110" w:firstLine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2）截止时点：</w:t>
            </w:r>
            <w:r>
              <w:rPr>
                <w:rFonts w:hint="eastAsia" w:ascii="宋体" w:hAnsi="宋体" w:cs="宋体"/>
                <w:color w:val="auto"/>
                <w:sz w:val="22"/>
                <w:highlight w:val="none"/>
              </w:rPr>
              <w:t>招标公告发布之日至投标截止时间前</w:t>
            </w:r>
            <w:r>
              <w:rPr>
                <w:rFonts w:hint="eastAsia" w:ascii="宋体" w:hAnsi="宋体" w:cs="宋体"/>
                <w:color w:val="auto"/>
                <w:sz w:val="22"/>
                <w:szCs w:val="22"/>
                <w:highlight w:val="none"/>
              </w:rPr>
              <w:t>；</w:t>
            </w:r>
          </w:p>
          <w:p w14:paraId="060CB4E9">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3）查询记录和证据的留存：信用信息查询记录和证据以网页截图等方式留存。</w:t>
            </w:r>
          </w:p>
          <w:p w14:paraId="3084F4EF">
            <w:pPr>
              <w:snapToGrid w:val="0"/>
              <w:spacing w:line="460" w:lineRule="exact"/>
              <w:ind w:left="105" w:leftChars="50"/>
              <w:rPr>
                <w:rFonts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77B547B1">
            <w:pPr>
              <w:snapToGrid w:val="0"/>
              <w:spacing w:line="460" w:lineRule="exact"/>
              <w:rPr>
                <w:rFonts w:ascii="宋体" w:hAnsi="宋体" w:cs="宋体"/>
                <w:b/>
                <w:color w:val="auto"/>
                <w:kern w:val="10"/>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5）联合体成员任意一方存在不良信用记录的，视同联合体存在不良信用记录。</w:t>
            </w:r>
          </w:p>
        </w:tc>
      </w:tr>
      <w:tr w14:paraId="6D945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10375" w:type="dxa"/>
            <w:gridSpan w:val="2"/>
            <w:tcBorders>
              <w:top w:val="single" w:color="000000" w:sz="2" w:space="0"/>
              <w:left w:val="single" w:color="000000" w:sz="8" w:space="0"/>
              <w:bottom w:val="single" w:color="000000" w:sz="2" w:space="0"/>
              <w:right w:val="single" w:color="000000" w:sz="8" w:space="0"/>
            </w:tcBorders>
            <w:vAlign w:val="center"/>
          </w:tcPr>
          <w:p w14:paraId="21845A99">
            <w:pPr>
              <w:snapToGrid w:val="0"/>
              <w:spacing w:line="460" w:lineRule="exact"/>
              <w:ind w:left="105" w:leftChars="50"/>
              <w:rPr>
                <w:rFonts w:ascii="宋体" w:hAnsi="宋体" w:cs="宋体"/>
                <w:b/>
                <w:bCs/>
                <w:color w:val="auto"/>
                <w:kern w:val="0"/>
                <w:sz w:val="22"/>
                <w:szCs w:val="22"/>
                <w:highlight w:val="none"/>
              </w:rPr>
            </w:pPr>
            <w:r>
              <w:rPr>
                <w:rFonts w:hint="eastAsia" w:ascii="宋体" w:hAnsi="宋体" w:cs="宋体"/>
                <w:b/>
                <w:bCs/>
                <w:color w:val="auto"/>
                <w:sz w:val="22"/>
                <w:szCs w:val="22"/>
                <w:highlight w:val="none"/>
              </w:rPr>
              <w:t>注：招标文件其他组成部分涉及与前附表相同内容，如有不明确或不一致，以前附表规定为准。</w:t>
            </w:r>
          </w:p>
        </w:tc>
      </w:tr>
    </w:tbl>
    <w:p w14:paraId="6E18258F">
      <w:pPr>
        <w:spacing w:before="100" w:beforeAutospacing="1" w:after="100" w:afterAutospacing="1" w:line="460" w:lineRule="exact"/>
        <w:jc w:val="center"/>
        <w:outlineLvl w:val="1"/>
        <w:rPr>
          <w:rFonts w:ascii="宋体" w:hAnsi="宋体" w:cs="宋体"/>
          <w:b/>
          <w:bCs/>
          <w:color w:val="auto"/>
          <w:sz w:val="32"/>
          <w:szCs w:val="32"/>
          <w:highlight w:val="none"/>
        </w:rPr>
      </w:pPr>
      <w:bookmarkStart w:id="10" w:name="_Toc20846"/>
      <w:bookmarkStart w:id="11" w:name="_Toc3302"/>
      <w:r>
        <w:rPr>
          <w:rFonts w:hint="eastAsia" w:ascii="宋体" w:hAnsi="宋体" w:cs="宋体"/>
          <w:b/>
          <w:bCs/>
          <w:color w:val="auto"/>
          <w:sz w:val="26"/>
          <w:szCs w:val="26"/>
          <w:highlight w:val="none"/>
        </w:rPr>
        <w:t>一、 说   明</w:t>
      </w:r>
      <w:bookmarkEnd w:id="10"/>
      <w:bookmarkEnd w:id="11"/>
    </w:p>
    <w:p w14:paraId="2F65DE8E">
      <w:pPr>
        <w:tabs>
          <w:tab w:val="left" w:pos="360"/>
        </w:tabs>
        <w:spacing w:line="460" w:lineRule="exact"/>
        <w:ind w:firstLine="550" w:firstLineChars="250"/>
        <w:rPr>
          <w:rFonts w:ascii="宋体" w:hAnsi="宋体" w:cs="宋体"/>
          <w:b/>
          <w:color w:val="auto"/>
          <w:sz w:val="22"/>
          <w:szCs w:val="22"/>
          <w:highlight w:val="none"/>
        </w:rPr>
      </w:pPr>
      <w:r>
        <w:rPr>
          <w:rFonts w:hint="eastAsia" w:ascii="宋体" w:hAnsi="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7217ADF2">
      <w:pPr>
        <w:tabs>
          <w:tab w:val="left" w:pos="360"/>
        </w:tabs>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2、定义</w:t>
      </w:r>
    </w:p>
    <w:p w14:paraId="11791E3E">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招标人：是指依法进行政府采购的国家机关、事业单位、团体组织</w:t>
      </w:r>
    </w:p>
    <w:p w14:paraId="6E89F7C7">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招标代理机构：受招标人委托，在委托的范围内办理政府采购事宜的机构；</w:t>
      </w:r>
    </w:p>
    <w:p w14:paraId="3DF38388">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投标人：是指参加本政府采购项目投标的供应商；</w:t>
      </w:r>
    </w:p>
    <w:p w14:paraId="4209C429">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投标人代表：是指参加本项目投标活动的供应商法定代表人或法定代表人授权代表；</w:t>
      </w:r>
    </w:p>
    <w:p w14:paraId="0BB724E0">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投标联合体：是指两个以上供应商组成联合体，以一个供应商的身份参加投标；</w:t>
      </w:r>
    </w:p>
    <w:p w14:paraId="0C0E5FE6">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甲方：是指合同签订的一方，一般与招标人、用户相同；</w:t>
      </w:r>
    </w:p>
    <w:p w14:paraId="1E81A8B6">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乙方：是指合同签订的另一方，与中标人相同；</w:t>
      </w:r>
    </w:p>
    <w:p w14:paraId="6F3223C2">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制造商：是指拥有投标产品自主知识产权的单位；</w:t>
      </w:r>
    </w:p>
    <w:p w14:paraId="7192BAEA">
      <w:pPr>
        <w:tabs>
          <w:tab w:val="left" w:pos="360"/>
        </w:tabs>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2519A383">
      <w:pPr>
        <w:tabs>
          <w:tab w:val="left" w:pos="360"/>
        </w:tabs>
        <w:spacing w:line="460" w:lineRule="exact"/>
        <w:ind w:firstLine="552" w:firstLineChars="250"/>
        <w:rPr>
          <w:rFonts w:ascii="宋体" w:hAnsi="宋体" w:cs="宋体"/>
          <w:b/>
          <w:bCs/>
          <w:color w:val="auto"/>
          <w:sz w:val="22"/>
          <w:szCs w:val="22"/>
          <w:highlight w:val="none"/>
        </w:rPr>
      </w:pPr>
      <w:r>
        <w:rPr>
          <w:rFonts w:hint="eastAsia" w:ascii="宋体" w:hAnsi="宋体" w:cs="宋体"/>
          <w:b/>
          <w:bCs/>
          <w:color w:val="auto"/>
          <w:sz w:val="22"/>
          <w:szCs w:val="22"/>
          <w:highlight w:val="none"/>
        </w:rPr>
        <w:t>带“▲”条款系指实质性要求条款。“★”是关键技术参数及要求。</w:t>
      </w:r>
    </w:p>
    <w:p w14:paraId="63A29FD8">
      <w:pPr>
        <w:tabs>
          <w:tab w:val="left" w:pos="360"/>
        </w:tabs>
        <w:spacing w:line="460" w:lineRule="exact"/>
        <w:ind w:firstLine="541" w:firstLineChars="245"/>
        <w:rPr>
          <w:rFonts w:ascii="宋体" w:hAnsi="宋体" w:cs="宋体"/>
          <w:color w:val="auto"/>
          <w:sz w:val="22"/>
          <w:szCs w:val="22"/>
          <w:highlight w:val="none"/>
        </w:rPr>
      </w:pPr>
      <w:r>
        <w:rPr>
          <w:rFonts w:hint="eastAsia" w:ascii="宋体" w:hAnsi="宋体" w:cs="宋体"/>
          <w:b/>
          <w:color w:val="auto"/>
          <w:sz w:val="22"/>
          <w:szCs w:val="22"/>
          <w:highlight w:val="none"/>
        </w:rPr>
        <w:t>3、投标人代表</w:t>
      </w:r>
    </w:p>
    <w:p w14:paraId="70DB17B4">
      <w:pPr>
        <w:tabs>
          <w:tab w:val="left" w:pos="360"/>
        </w:tabs>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szCs w:val="22"/>
          <w:highlight w:val="none"/>
        </w:rPr>
        <w:t>3.1</w:t>
      </w:r>
      <w:r>
        <w:rPr>
          <w:rFonts w:hint="eastAsia" w:ascii="宋体" w:hAnsi="宋体" w:cs="宋体"/>
          <w:bCs/>
          <w:color w:val="auto"/>
          <w:sz w:val="22"/>
          <w:highlight w:val="none"/>
        </w:rPr>
        <w:t>指全权代表投标人参加投标活动并签署投标文件的人。如果投标人代表不是法定代表人，须持有《法定代表人授权书》（见附件）</w:t>
      </w:r>
    </w:p>
    <w:p w14:paraId="2029465C">
      <w:pPr>
        <w:tabs>
          <w:tab w:val="left" w:pos="360"/>
        </w:tabs>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cs="宋体"/>
          <w:b/>
          <w:color w:val="auto"/>
          <w:sz w:val="22"/>
          <w:szCs w:val="22"/>
          <w:highlight w:val="none"/>
        </w:rPr>
        <w:t>。</w:t>
      </w:r>
    </w:p>
    <w:p w14:paraId="6A7CF589">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4、投标费用</w:t>
      </w:r>
    </w:p>
    <w:p w14:paraId="56E478DC">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4.1投</w:t>
      </w:r>
      <w:r>
        <w:rPr>
          <w:rFonts w:hint="eastAsia" w:ascii="宋体" w:hAnsi="宋体" w:cs="宋体"/>
          <w:color w:val="auto"/>
          <w:sz w:val="22"/>
          <w:szCs w:val="22"/>
          <w:highlight w:val="none"/>
        </w:rPr>
        <w:t>标人应承担所有与准备和参加投标有关费用，不论投标的结果如何，招标人或招标代理机构均无义务和责任承担这些费用。</w:t>
      </w:r>
    </w:p>
    <w:p w14:paraId="15FD85F0">
      <w:pPr>
        <w:spacing w:before="100" w:beforeAutospacing="1" w:after="100" w:afterAutospacing="1" w:line="460" w:lineRule="exact"/>
        <w:jc w:val="center"/>
        <w:outlineLvl w:val="1"/>
        <w:rPr>
          <w:rFonts w:ascii="宋体" w:hAnsi="宋体" w:cs="宋体"/>
          <w:b/>
          <w:bCs/>
          <w:color w:val="auto"/>
          <w:sz w:val="26"/>
          <w:szCs w:val="26"/>
          <w:highlight w:val="none"/>
        </w:rPr>
      </w:pPr>
      <w:bookmarkStart w:id="12" w:name="_Toc9899"/>
      <w:bookmarkStart w:id="13" w:name="_Toc2288"/>
      <w:r>
        <w:rPr>
          <w:rFonts w:hint="eastAsia" w:ascii="宋体" w:hAnsi="宋体" w:cs="宋体"/>
          <w:b/>
          <w:bCs/>
          <w:color w:val="auto"/>
          <w:sz w:val="26"/>
          <w:szCs w:val="26"/>
          <w:highlight w:val="none"/>
        </w:rPr>
        <w:t>二、 招标文件</w:t>
      </w:r>
      <w:bookmarkEnd w:id="12"/>
      <w:bookmarkEnd w:id="13"/>
    </w:p>
    <w:p w14:paraId="3A07FEE3">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1、招标文件由招标文件目录所列内容及相关资料组成。</w:t>
      </w:r>
    </w:p>
    <w:p w14:paraId="5FCA14DE">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2、招标文件的澄清</w:t>
      </w:r>
    </w:p>
    <w:p w14:paraId="668F70A6">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27E16EA4">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3、招标文件的修改</w:t>
      </w:r>
    </w:p>
    <w:p w14:paraId="0E5E575B">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544A065D">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36E3027D">
      <w:pPr>
        <w:spacing w:before="100" w:beforeAutospacing="1" w:after="100" w:afterAutospacing="1" w:line="460" w:lineRule="exact"/>
        <w:jc w:val="center"/>
        <w:outlineLvl w:val="1"/>
        <w:rPr>
          <w:rFonts w:ascii="宋体" w:hAnsi="宋体" w:cs="宋体"/>
          <w:b/>
          <w:bCs/>
          <w:color w:val="auto"/>
          <w:sz w:val="26"/>
          <w:szCs w:val="26"/>
          <w:highlight w:val="none"/>
        </w:rPr>
      </w:pPr>
      <w:bookmarkStart w:id="14" w:name="_Toc12726"/>
      <w:bookmarkStart w:id="15" w:name="_Toc12608"/>
      <w:r>
        <w:rPr>
          <w:rFonts w:hint="eastAsia" w:ascii="宋体" w:hAnsi="宋体" w:cs="宋体"/>
          <w:b/>
          <w:bCs/>
          <w:color w:val="auto"/>
          <w:sz w:val="26"/>
          <w:szCs w:val="26"/>
          <w:highlight w:val="none"/>
        </w:rPr>
        <w:t>三、 投标文件的编制</w:t>
      </w:r>
      <w:bookmarkEnd w:id="14"/>
      <w:bookmarkEnd w:id="15"/>
    </w:p>
    <w:p w14:paraId="3DE3540C">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14:paraId="551C13A5">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highlight w:val="none"/>
        </w:rPr>
        <w:t>2、投标人应保证所提供文件资料的真实性，所有文件资料必须是针对本次投标的。如发现投标人提供了虚假文件资料，其投标将被否决，并自行承担相应的法律责任。</w:t>
      </w:r>
    </w:p>
    <w:p w14:paraId="312A7F21">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3、</w:t>
      </w:r>
      <w:r>
        <w:rPr>
          <w:rFonts w:hint="eastAsia" w:ascii="宋体" w:hAnsi="宋体" w:cs="宋体"/>
          <w:b/>
          <w:bCs/>
          <w:color w:val="auto"/>
          <w:sz w:val="22"/>
          <w:szCs w:val="22"/>
          <w:highlight w:val="none"/>
        </w:rPr>
        <w:t>投标文件的构成：</w:t>
      </w:r>
    </w:p>
    <w:p w14:paraId="465BD4D4">
      <w:pPr>
        <w:spacing w:line="460" w:lineRule="exact"/>
        <w:ind w:firstLine="539" w:firstLineChars="245"/>
        <w:rPr>
          <w:rFonts w:ascii="宋体" w:hAnsi="宋体" w:cs="宋体"/>
          <w:color w:val="auto"/>
          <w:sz w:val="22"/>
          <w:szCs w:val="22"/>
          <w:highlight w:val="none"/>
        </w:rPr>
      </w:pPr>
      <w:r>
        <w:rPr>
          <w:rFonts w:hint="eastAsia" w:ascii="宋体" w:hAnsi="宋体" w:cs="宋体"/>
          <w:color w:val="auto"/>
          <w:kern w:val="0"/>
          <w:sz w:val="22"/>
          <w:szCs w:val="22"/>
          <w:highlight w:val="none"/>
        </w:rPr>
        <w:t>投标</w:t>
      </w:r>
      <w:r>
        <w:rPr>
          <w:rFonts w:hint="eastAsia" w:ascii="宋体" w:hAnsi="宋体" w:cs="宋体"/>
          <w:color w:val="auto"/>
          <w:kern w:val="0"/>
          <w:sz w:val="22"/>
          <w:szCs w:val="22"/>
          <w:highlight w:val="none"/>
          <w:lang w:val="zh-CN"/>
        </w:rPr>
        <w:t>文件应当包括以下主要内容：资格文件、报价文件、商务技术文件。</w:t>
      </w:r>
    </w:p>
    <w:p w14:paraId="4C009990">
      <w:pPr>
        <w:spacing w:line="460" w:lineRule="exact"/>
        <w:ind w:firstLine="541" w:firstLineChars="245"/>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rPr>
        <w:t>3.1</w:t>
      </w:r>
      <w:r>
        <w:rPr>
          <w:rFonts w:hint="eastAsia" w:ascii="宋体" w:hAnsi="宋体" w:cs="宋体"/>
          <w:b/>
          <w:bCs/>
          <w:color w:val="auto"/>
          <w:kern w:val="0"/>
          <w:sz w:val="22"/>
          <w:szCs w:val="22"/>
          <w:highlight w:val="none"/>
          <w:lang w:val="zh-CN"/>
        </w:rPr>
        <w:t xml:space="preserve">投标人的资格文件至少应包括以下内容： </w:t>
      </w:r>
    </w:p>
    <w:p w14:paraId="4E100D44">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基本资格条件审查材料：</w:t>
      </w:r>
      <w:r>
        <w:rPr>
          <w:rFonts w:hint="eastAsia" w:ascii="宋体" w:hAnsi="宋体" w:cs="宋体"/>
          <w:color w:val="auto"/>
          <w:kern w:val="0"/>
          <w:sz w:val="22"/>
          <w:szCs w:val="22"/>
          <w:highlight w:val="none"/>
        </w:rPr>
        <w:t>即证明供应商</w:t>
      </w:r>
      <w:r>
        <w:rPr>
          <w:rFonts w:hint="eastAsia" w:ascii="宋体" w:hAnsi="宋体" w:cs="宋体"/>
          <w:color w:val="auto"/>
          <w:kern w:val="0"/>
          <w:sz w:val="22"/>
          <w:szCs w:val="22"/>
          <w:highlight w:val="none"/>
          <w:lang w:val="zh-CN"/>
        </w:rPr>
        <w:t>参加本次政府采购活动前3年内</w:t>
      </w:r>
      <w:r>
        <w:rPr>
          <w:rFonts w:hint="eastAsia"/>
          <w:color w:val="auto"/>
          <w:sz w:val="22"/>
          <w:szCs w:val="22"/>
          <w:highlight w:val="none"/>
        </w:rPr>
        <w:t>满足《中华人民共和国政府采购法》</w:t>
      </w:r>
      <w:r>
        <w:rPr>
          <w:rFonts w:hint="eastAsia" w:ascii="宋体" w:hAnsi="宋体" w:cs="宋体"/>
          <w:color w:val="auto"/>
          <w:kern w:val="0"/>
          <w:sz w:val="22"/>
          <w:szCs w:val="22"/>
          <w:highlight w:val="none"/>
          <w:lang w:val="zh-CN"/>
        </w:rPr>
        <w:t>的有关资格证明文件。</w:t>
      </w:r>
      <w:r>
        <w:rPr>
          <w:rFonts w:hint="eastAsia" w:ascii="宋体" w:hAnsi="宋体" w:cs="宋体"/>
          <w:color w:val="auto"/>
          <w:kern w:val="0"/>
          <w:sz w:val="22"/>
          <w:szCs w:val="22"/>
          <w:highlight w:val="none"/>
        </w:rPr>
        <w:t>包括：</w:t>
      </w:r>
    </w:p>
    <w:p w14:paraId="58D9CF61">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（1）资格条件承诺函；</w:t>
      </w:r>
    </w:p>
    <w:p w14:paraId="36F5A8BC">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（2）营业执照(或事业法人登记证书或其它工商等登记证明材料；自然人参与政府采购，提供身份证)复印件； </w:t>
      </w:r>
    </w:p>
    <w:p w14:paraId="09570EBD">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BDD255A">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（3）投标人信用查询；</w:t>
      </w:r>
    </w:p>
    <w:p w14:paraId="1DEECC7B">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（4）政府采购活动现场确认声明书；</w:t>
      </w:r>
    </w:p>
    <w:p w14:paraId="6D275BFA">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（5）落实政府采购政策需满足的资格要求证明材料（如有）；</w:t>
      </w:r>
    </w:p>
    <w:p w14:paraId="1A008919">
      <w:pPr>
        <w:snapToGrid w:val="0"/>
        <w:spacing w:line="460" w:lineRule="exact"/>
        <w:ind w:left="525" w:leftChars="250"/>
        <w:rPr>
          <w:rFonts w:ascii="宋体" w:hAnsi="宋体" w:cs="宋体"/>
          <w:color w:val="auto"/>
          <w:sz w:val="22"/>
          <w:szCs w:val="22"/>
          <w:highlight w:val="none"/>
        </w:rPr>
      </w:pPr>
      <w:r>
        <w:rPr>
          <w:rFonts w:hint="eastAsia" w:ascii="宋体" w:hAnsi="宋体" w:cs="宋体"/>
          <w:color w:val="auto"/>
          <w:sz w:val="22"/>
          <w:szCs w:val="22"/>
          <w:highlight w:val="none"/>
        </w:rPr>
        <w:t>上述资格条件审查材料有一项不提供的，视为资格审查不通过。</w:t>
      </w:r>
    </w:p>
    <w:p w14:paraId="2198408D">
      <w:pPr>
        <w:snapToGrid w:val="0"/>
        <w:spacing w:line="460" w:lineRule="exact"/>
        <w:ind w:left="105" w:leftChars="50" w:firstLine="442" w:firstLineChars="200"/>
        <w:rPr>
          <w:rFonts w:ascii="宋体" w:hAnsi="宋体" w:cs="宋体"/>
          <w:color w:val="auto"/>
          <w:sz w:val="22"/>
          <w:szCs w:val="22"/>
          <w:highlight w:val="none"/>
          <w:u w:val="single"/>
          <w:lang w:val="zh-CN"/>
        </w:rPr>
      </w:pPr>
      <w:r>
        <w:rPr>
          <w:rFonts w:hint="eastAsia" w:ascii="宋体" w:hAnsi="宋体" w:cs="宋体"/>
          <w:b/>
          <w:bCs/>
          <w:color w:val="auto"/>
          <w:sz w:val="22"/>
          <w:szCs w:val="22"/>
          <w:highlight w:val="none"/>
        </w:rPr>
        <w:t xml:space="preserve">3.2投标人的报价文件至少应包括以下内容： </w:t>
      </w:r>
    </w:p>
    <w:p w14:paraId="68F12B1A">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（1）投标函；</w:t>
      </w:r>
    </w:p>
    <w:p w14:paraId="070F6209">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（2）投标报价一览表；</w:t>
      </w:r>
    </w:p>
    <w:p w14:paraId="7430A1B9">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（3）投标分项报价表</w:t>
      </w:r>
    </w:p>
    <w:p w14:paraId="08B927BA">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（4）中小企业声明函、监狱企业、残疾人福利性单位及其他相关的充分的证明材料。（如有） </w:t>
      </w:r>
    </w:p>
    <w:p w14:paraId="4235C53D">
      <w:pPr>
        <w:snapToGrid w:val="0"/>
        <w:spacing w:line="460" w:lineRule="exact"/>
        <w:ind w:firstLine="442" w:firstLineChars="200"/>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rPr>
        <w:t>3.3</w:t>
      </w:r>
      <w:r>
        <w:rPr>
          <w:rFonts w:hint="eastAsia" w:ascii="宋体" w:hAnsi="宋体" w:cs="宋体"/>
          <w:b/>
          <w:bCs/>
          <w:color w:val="auto"/>
          <w:kern w:val="0"/>
          <w:sz w:val="22"/>
          <w:szCs w:val="22"/>
          <w:highlight w:val="none"/>
          <w:lang w:val="zh-CN"/>
        </w:rPr>
        <w:t xml:space="preserve">投标人的商务技术文件应包括以下内容： </w:t>
      </w:r>
    </w:p>
    <w:p w14:paraId="23DC979E">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（1）法定代表人授权委托书（需提供法定代表人及授权委托人的身份证复印件加盖公章）；</w:t>
      </w:r>
    </w:p>
    <w:p w14:paraId="60B155CC">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（2）投标人情况表</w:t>
      </w:r>
    </w:p>
    <w:p w14:paraId="0E35654E">
      <w:pPr>
        <w:snapToGrid w:val="0"/>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偏离表（</w:t>
      </w:r>
      <w:r>
        <w:rPr>
          <w:rFonts w:hint="eastAsia" w:ascii="宋体" w:hAnsi="宋体" w:cs="宋体"/>
          <w:color w:val="auto"/>
          <w:sz w:val="22"/>
          <w:szCs w:val="22"/>
          <w:highlight w:val="none"/>
        </w:rPr>
        <w:t>商务、技术偏离</w:t>
      </w:r>
      <w:r>
        <w:rPr>
          <w:rFonts w:hint="eastAsia" w:ascii="宋体" w:hAnsi="宋体" w:cs="宋体"/>
          <w:color w:val="auto"/>
          <w:sz w:val="22"/>
          <w:szCs w:val="22"/>
          <w:highlight w:val="none"/>
          <w:lang w:val="zh-CN"/>
        </w:rPr>
        <w:t>）</w:t>
      </w:r>
    </w:p>
    <w:p w14:paraId="317C0DEB">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（4）投标供应商情况</w:t>
      </w:r>
    </w:p>
    <w:p w14:paraId="7F2ECD21">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（5）总体技术方案</w:t>
      </w:r>
    </w:p>
    <w:p w14:paraId="4180663F">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（6）技术性能</w:t>
      </w:r>
    </w:p>
    <w:p w14:paraId="75DF5115">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（7）项目实施方案</w:t>
      </w:r>
    </w:p>
    <w:p w14:paraId="13367670">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（8）关键技术能力</w:t>
      </w:r>
    </w:p>
    <w:p w14:paraId="2B6A5811">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（9）培训计划</w:t>
      </w:r>
    </w:p>
    <w:p w14:paraId="29C1528D">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（10）服务团队评价</w:t>
      </w:r>
    </w:p>
    <w:p w14:paraId="7888C4E9">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（11）供应商业绩</w:t>
      </w:r>
    </w:p>
    <w:p w14:paraId="31F708BF">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（12）售后服务、</w:t>
      </w:r>
    </w:p>
    <w:p w14:paraId="6D1742A7">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（13）其他必要提供的资料。</w:t>
      </w:r>
    </w:p>
    <w:p w14:paraId="3064F482">
      <w:pPr>
        <w:spacing w:line="460" w:lineRule="exact"/>
        <w:ind w:firstLine="440" w:firstLineChars="200"/>
        <w:rPr>
          <w:rFonts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投标文件中所需的各种证书、证件、证明资料如是复印件，须在复印件上加盖有效公章。</w:t>
      </w:r>
    </w:p>
    <w:p w14:paraId="2C04F22C">
      <w:pPr>
        <w:pStyle w:val="31"/>
        <w:snapToGrid w:val="0"/>
        <w:spacing w:line="460" w:lineRule="exact"/>
        <w:ind w:firstLine="440" w:firstLineChars="200"/>
        <w:rPr>
          <w:rFonts w:hAnsi="宋体" w:cs="宋体"/>
          <w:b w:val="0"/>
          <w:bCs/>
          <w:color w:val="auto"/>
          <w:sz w:val="22"/>
          <w:szCs w:val="22"/>
          <w:highlight w:val="none"/>
        </w:rPr>
      </w:pPr>
      <w:r>
        <w:rPr>
          <w:rFonts w:hint="eastAsia" w:hAnsi="宋体" w:cs="宋体"/>
          <w:b w:val="0"/>
          <w:bCs/>
          <w:color w:val="auto"/>
          <w:sz w:val="22"/>
          <w:szCs w:val="22"/>
          <w:highlight w:val="none"/>
          <w:lang w:val="zh-CN"/>
        </w:rPr>
        <w:t>投标人的</w:t>
      </w:r>
      <w:r>
        <w:rPr>
          <w:rFonts w:hint="eastAsia" w:hAnsi="宋体" w:cs="宋体"/>
          <w:b w:val="0"/>
          <w:bCs/>
          <w:color w:val="auto"/>
          <w:sz w:val="22"/>
          <w:szCs w:val="22"/>
          <w:highlight w:val="none"/>
        </w:rPr>
        <w:t>投标文件必须按照招标文件要求制作。</w:t>
      </w:r>
    </w:p>
    <w:p w14:paraId="54CB5EBF">
      <w:pPr>
        <w:pStyle w:val="31"/>
        <w:snapToGrid w:val="0"/>
        <w:spacing w:line="460" w:lineRule="exact"/>
        <w:ind w:firstLine="440" w:firstLineChars="200"/>
        <w:rPr>
          <w:rFonts w:hAnsi="宋体" w:cs="宋体"/>
          <w:bCs/>
          <w:color w:val="auto"/>
          <w:sz w:val="22"/>
          <w:szCs w:val="22"/>
          <w:highlight w:val="none"/>
        </w:rPr>
      </w:pPr>
      <w:r>
        <w:rPr>
          <w:rFonts w:hint="eastAsia" w:hAnsi="宋体" w:cs="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14:paraId="18FE9A48">
      <w:pPr>
        <w:spacing w:line="460" w:lineRule="exact"/>
        <w:ind w:firstLine="541" w:firstLineChars="245"/>
        <w:rPr>
          <w:rFonts w:ascii="宋体" w:hAnsi="宋体" w:cs="宋体"/>
          <w:b/>
          <w:color w:val="auto"/>
          <w:sz w:val="22"/>
          <w:szCs w:val="22"/>
          <w:highlight w:val="none"/>
        </w:rPr>
      </w:pPr>
      <w:r>
        <w:rPr>
          <w:rFonts w:hint="eastAsia" w:ascii="宋体" w:hAnsi="宋体" w:cs="宋体"/>
          <w:b/>
          <w:bCs/>
          <w:color w:val="auto"/>
          <w:sz w:val="22"/>
          <w:szCs w:val="22"/>
          <w:highlight w:val="none"/>
        </w:rPr>
        <w:t>4、投标报价</w:t>
      </w:r>
    </w:p>
    <w:p w14:paraId="7A718E46">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4.1投标人应根据国家的有关规定和招标文件要求并结合企业的实际情况进行投标报价。投标报价以人民币为结算货币，承包报价必须包括完成本项目所提供相关服务所需的一切人员工资、奖金、各种加班费、高温补贴费、各种社会保险、食宿与交通、设备及工具、器材、消耗材料、管理费用、税费、利润、完成合同所需的一切本身和不可或缺的所有工作开支、政策性文件规定及合同包含的所有风险、责任等各项全部费用并承担一切风险责任。在合同服务期间内不得违反国家相关政策规定。</w:t>
      </w:r>
    </w:p>
    <w:p w14:paraId="716C16A0">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4.2投标人必须按附件中的投标报价一览表、投标分项报价表内容填写价格，并由投标人代表签署。</w:t>
      </w:r>
    </w:p>
    <w:p w14:paraId="5AACFA6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4.3</w:t>
      </w:r>
      <w:r>
        <w:rPr>
          <w:rFonts w:hint="eastAsia" w:ascii="宋体" w:hAnsi="宋体" w:cs="宋体"/>
          <w:color w:val="auto"/>
          <w:sz w:val="22"/>
          <w:highlight w:val="none"/>
        </w:rPr>
        <w:t>投标货币以人民币进行投标</w:t>
      </w:r>
      <w:r>
        <w:rPr>
          <w:rFonts w:hint="eastAsia" w:ascii="宋体" w:hAnsi="宋体" w:cs="宋体"/>
          <w:color w:val="auto"/>
          <w:sz w:val="22"/>
          <w:szCs w:val="22"/>
          <w:highlight w:val="none"/>
        </w:rPr>
        <w:t>。</w:t>
      </w:r>
    </w:p>
    <w:p w14:paraId="390FFCA4">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4.4</w:t>
      </w:r>
      <w:r>
        <w:rPr>
          <w:rFonts w:hint="eastAsia" w:ascii="宋体" w:hAnsi="宋体" w:cs="宋体"/>
          <w:color w:val="auto"/>
          <w:sz w:val="22"/>
          <w:highlight w:val="none"/>
        </w:rPr>
        <w:t>招标人和招标代理机构不接受任何选择投标，对任何服务只允许一个价格。</w:t>
      </w:r>
    </w:p>
    <w:p w14:paraId="355BFFA3">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4.5招标人和</w:t>
      </w:r>
      <w:r>
        <w:rPr>
          <w:rFonts w:hint="eastAsia" w:ascii="宋体" w:hAnsi="宋体" w:cs="宋体"/>
          <w:color w:val="auto"/>
          <w:sz w:val="22"/>
          <w:highlight w:val="none"/>
        </w:rPr>
        <w:t>招标代理机构</w:t>
      </w:r>
      <w:r>
        <w:rPr>
          <w:rFonts w:hint="eastAsia" w:ascii="宋体" w:hAnsi="宋体" w:cs="宋体"/>
          <w:color w:val="auto"/>
          <w:sz w:val="22"/>
          <w:szCs w:val="22"/>
          <w:highlight w:val="none"/>
        </w:rPr>
        <w:t>要求分类报价是为了方便评标，但在任何情况下不限制招标人以其认为最合适的条款、条件签订合同的权利。</w:t>
      </w:r>
    </w:p>
    <w:p w14:paraId="256AE4D0">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4.6投标报价报出后，投标人不得以任何理由予以变更。任何包含价格调整的要求，将被认为是非实质性响应投标而予以否决。</w:t>
      </w:r>
    </w:p>
    <w:p w14:paraId="10D8B5D0">
      <w:pPr>
        <w:spacing w:line="460" w:lineRule="exact"/>
        <w:ind w:firstLine="539" w:firstLineChars="245"/>
        <w:rPr>
          <w:rFonts w:ascii="宋体" w:hAnsi="宋体" w:cs="宋体"/>
          <w:b/>
          <w:color w:val="auto"/>
          <w:sz w:val="22"/>
          <w:szCs w:val="22"/>
          <w:highlight w:val="none"/>
        </w:rPr>
      </w:pPr>
      <w:r>
        <w:rPr>
          <w:rFonts w:hint="eastAsia" w:ascii="宋体" w:hAnsi="宋体" w:cs="宋体"/>
          <w:bCs/>
          <w:color w:val="auto"/>
          <w:sz w:val="22"/>
          <w:szCs w:val="22"/>
          <w:highlight w:val="none"/>
        </w:rPr>
        <w:t>4.7最低报价不能作为中标的保证。</w:t>
      </w:r>
    </w:p>
    <w:p w14:paraId="64C3B385">
      <w:pPr>
        <w:spacing w:line="460" w:lineRule="exact"/>
        <w:ind w:firstLine="541" w:firstLineChars="245"/>
        <w:rPr>
          <w:rFonts w:ascii="宋体" w:hAnsi="宋体" w:cs="宋体"/>
          <w:b/>
          <w:color w:val="auto"/>
          <w:sz w:val="22"/>
          <w:szCs w:val="22"/>
          <w:highlight w:val="none"/>
        </w:rPr>
      </w:pPr>
      <w:r>
        <w:rPr>
          <w:rFonts w:hint="eastAsia" w:ascii="宋体" w:hAnsi="宋体" w:cs="宋体"/>
          <w:b/>
          <w:bCs/>
          <w:color w:val="auto"/>
          <w:sz w:val="22"/>
          <w:szCs w:val="22"/>
          <w:highlight w:val="none"/>
        </w:rPr>
        <w:t>5、投标有效期</w:t>
      </w:r>
    </w:p>
    <w:p w14:paraId="42CACFAE">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5.1自开标之日起 120 天内投标应保持有效。</w:t>
      </w:r>
    </w:p>
    <w:p w14:paraId="798E224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5CC6A083">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6、投标保证金</w:t>
      </w:r>
    </w:p>
    <w:p w14:paraId="4B08B8C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无。</w:t>
      </w:r>
    </w:p>
    <w:p w14:paraId="28A669F0">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7、投标文件编制</w:t>
      </w:r>
    </w:p>
    <w:p w14:paraId="133AF162">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7.1本项目通过“政府采购云平台（http://zfcg.czt.zj.gov.cn）”实行在线投标响应（电子投标）。供应商应通过“政采云电子交易客户端”，并按照本招标文件和“政府采购云平台”的要求编制并加密投标文件。</w:t>
      </w:r>
    </w:p>
    <w:p w14:paraId="574B043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7.2投标人应当按照本章节 “投标文件的构成”规定的内容及顺序在“政采云电子交易客户端”编制投标文件。其中《资格文件》和《商务技术文件》中不得出现本项目投标报价。</w:t>
      </w:r>
    </w:p>
    <w:p w14:paraId="73EE3E25">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15D3152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7.4《投标文件》内容不完整、编排混乱导致《投标文件》被误读、漏读或者查找不到相关内容的，投标人自行负责。</w:t>
      </w:r>
    </w:p>
    <w:p w14:paraId="5DDFD2AF">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7.5《投标文件》因字迹潦草或表达不清所引起的后果由投标人负责。</w:t>
      </w:r>
    </w:p>
    <w:p w14:paraId="6EA26906">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67A40922">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8、投标文件的签章</w:t>
      </w:r>
    </w:p>
    <w:p w14:paraId="1AFF443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8.1《投标文件》的签章：见《前附表》；</w:t>
      </w:r>
    </w:p>
    <w:p w14:paraId="4DE94DF8">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8.2《投标文件》应由投标人法定代表人或其授权代表签字（或盖章），并时加盖投标人公章。</w:t>
      </w:r>
    </w:p>
    <w:p w14:paraId="0A61085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8.3电子签章操作指南详见采购公告附件《供应商项目采购-电子招投标操作指南》。</w:t>
      </w:r>
    </w:p>
    <w:p w14:paraId="47891AD7">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9、投标文件的形式</w:t>
      </w:r>
    </w:p>
    <w:p w14:paraId="71D776E7">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9.1投标文件的形式：见《前附表》；</w:t>
      </w:r>
    </w:p>
    <w:p w14:paraId="71F98316">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9.2“电子加密投标文件”：“电子加密投标文件”是指通过“政采云电子交易客户端”完成投标文件编制后生成并加密的数据电文形式的投标文件。</w:t>
      </w:r>
    </w:p>
    <w:p w14:paraId="0C26D6E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490F5C1F">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10、投标文件的份数</w:t>
      </w:r>
    </w:p>
    <w:p w14:paraId="6D4DE2EE">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10.1投标文件的份数：见《前附表》。</w:t>
      </w:r>
    </w:p>
    <w:p w14:paraId="6007C436">
      <w:pPr>
        <w:spacing w:before="100" w:beforeAutospacing="1" w:after="100" w:afterAutospacing="1" w:line="440" w:lineRule="exact"/>
        <w:jc w:val="center"/>
        <w:outlineLvl w:val="1"/>
        <w:rPr>
          <w:rFonts w:ascii="宋体" w:hAnsi="宋体" w:cs="宋体"/>
          <w:b/>
          <w:bCs/>
          <w:color w:val="auto"/>
          <w:sz w:val="22"/>
          <w:szCs w:val="22"/>
          <w:highlight w:val="none"/>
        </w:rPr>
      </w:pPr>
      <w:bookmarkStart w:id="16" w:name="_Toc7547"/>
      <w:bookmarkStart w:id="17" w:name="_Toc15422"/>
      <w:r>
        <w:rPr>
          <w:rFonts w:hint="eastAsia" w:ascii="宋体" w:hAnsi="宋体" w:cs="宋体"/>
          <w:b/>
          <w:bCs/>
          <w:color w:val="auto"/>
          <w:sz w:val="22"/>
          <w:szCs w:val="22"/>
          <w:highlight w:val="none"/>
        </w:rPr>
        <w:t>四、 投标文件的递交</w:t>
      </w:r>
      <w:bookmarkEnd w:id="16"/>
      <w:bookmarkEnd w:id="17"/>
    </w:p>
    <w:p w14:paraId="24FF4048">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1、投标文件的上传和递交</w:t>
      </w:r>
    </w:p>
    <w:p w14:paraId="6F51DCE0">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1.1“投标文件”的上传、递交：见《前附表》。</w:t>
      </w:r>
    </w:p>
    <w:p w14:paraId="32936B98">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2、“电子加密投标文件”解密和异常情况处理</w:t>
      </w:r>
    </w:p>
    <w:p w14:paraId="5C93878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2.1“电子加密投标文件”解密：见《前附表》。</w:t>
      </w:r>
    </w:p>
    <w:p w14:paraId="22C40431">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3、投标文件的补充、修改或撤回</w:t>
      </w:r>
    </w:p>
    <w:p w14:paraId="54E188B7">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B46C82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3.2投标截止时间后，投标人不得撤回、修改《投标文件》。</w:t>
      </w:r>
    </w:p>
    <w:p w14:paraId="157A04D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4、投标文件的备选方案</w:t>
      </w:r>
    </w:p>
    <w:p w14:paraId="0518A99D">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1E2FA907">
      <w:pPr>
        <w:spacing w:before="100" w:beforeAutospacing="1" w:after="100" w:afterAutospacing="1" w:line="460" w:lineRule="exact"/>
        <w:jc w:val="center"/>
        <w:outlineLvl w:val="1"/>
        <w:rPr>
          <w:rFonts w:ascii="宋体" w:hAnsi="宋体" w:cs="宋体"/>
          <w:b/>
          <w:bCs/>
          <w:color w:val="auto"/>
          <w:sz w:val="22"/>
          <w:szCs w:val="22"/>
          <w:highlight w:val="none"/>
        </w:rPr>
      </w:pPr>
      <w:bookmarkStart w:id="18" w:name="_Toc30172"/>
      <w:bookmarkStart w:id="19" w:name="_Toc14838"/>
      <w:r>
        <w:rPr>
          <w:rFonts w:hint="eastAsia" w:ascii="宋体" w:hAnsi="宋体" w:cs="宋体"/>
          <w:b/>
          <w:bCs/>
          <w:color w:val="auto"/>
          <w:sz w:val="22"/>
          <w:szCs w:val="22"/>
          <w:highlight w:val="none"/>
        </w:rPr>
        <w:t>五、 开标和评标</w:t>
      </w:r>
      <w:bookmarkEnd w:id="18"/>
      <w:bookmarkEnd w:id="19"/>
    </w:p>
    <w:p w14:paraId="257445D7">
      <w:pPr>
        <w:spacing w:line="460" w:lineRule="exact"/>
        <w:ind w:firstLine="541" w:firstLineChars="245"/>
        <w:rPr>
          <w:rFonts w:ascii="宋体" w:hAnsi="宋体" w:cs="宋体"/>
          <w:b/>
          <w:color w:val="auto"/>
          <w:sz w:val="22"/>
          <w:szCs w:val="22"/>
          <w:highlight w:val="none"/>
        </w:rPr>
      </w:pPr>
      <w:r>
        <w:rPr>
          <w:rFonts w:hint="eastAsia" w:ascii="宋体" w:hAnsi="宋体" w:cs="宋体"/>
          <w:b/>
          <w:bCs/>
          <w:color w:val="auto"/>
          <w:sz w:val="22"/>
          <w:szCs w:val="22"/>
          <w:highlight w:val="none"/>
        </w:rPr>
        <w:t>1、评标委员会</w:t>
      </w:r>
    </w:p>
    <w:p w14:paraId="78A809D7">
      <w:pPr>
        <w:spacing w:line="460" w:lineRule="exact"/>
        <w:ind w:firstLine="539" w:firstLineChars="245"/>
        <w:rPr>
          <w:rFonts w:ascii="宋体" w:hAnsi="宋体" w:cs="宋体"/>
          <w:b/>
          <w:color w:val="auto"/>
          <w:sz w:val="22"/>
          <w:szCs w:val="22"/>
          <w:highlight w:val="none"/>
        </w:rPr>
      </w:pPr>
      <w:r>
        <w:rPr>
          <w:rFonts w:hint="eastAsia" w:ascii="宋体" w:hAnsi="宋体" w:cs="宋体"/>
          <w:bCs/>
          <w:color w:val="auto"/>
          <w:sz w:val="22"/>
          <w:szCs w:val="22"/>
          <w:highlight w:val="none"/>
        </w:rPr>
        <w:t>招标人和招标代理机构组建评标委员会。评标委员会的成员在评标过程中必须严格遵守《政府采购法》等有关法律、法规的规定。</w:t>
      </w:r>
    </w:p>
    <w:p w14:paraId="618E7AE9">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2、评标过程的保密性</w:t>
      </w:r>
    </w:p>
    <w:p w14:paraId="320E1596">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14:paraId="615EE645">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3、开标形式</w:t>
      </w:r>
    </w:p>
    <w:p w14:paraId="10B4C98C">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 采购组织机构将按照招标文件规定的时间通过“政府采购云平台”组织开标、开启投标文件，所有供应商均应当准时(在线)参加。</w:t>
      </w:r>
    </w:p>
    <w:p w14:paraId="02A4C998">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4、开标准备</w:t>
      </w:r>
    </w:p>
    <w:p w14:paraId="06D67582">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4.1开标的准备工作由采购组织机构负责落实；</w:t>
      </w:r>
    </w:p>
    <w:p w14:paraId="6C66B2ED">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4.2</w:t>
      </w:r>
      <w:r>
        <w:rPr>
          <w:rFonts w:hint="eastAsia" w:ascii="宋体" w:hAnsi="宋体" w:cs="宋体"/>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cs="宋体"/>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3AEB0F7F">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5、开标流程</w:t>
      </w:r>
    </w:p>
    <w:p w14:paraId="66BE4AEF">
      <w:pPr>
        <w:spacing w:line="460" w:lineRule="exact"/>
        <w:ind w:firstLine="539" w:firstLineChars="245"/>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5.1开标、评标</w:t>
      </w:r>
    </w:p>
    <w:p w14:paraId="2D4D9DD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15AC69D1">
      <w:pPr>
        <w:spacing w:line="460" w:lineRule="exact"/>
        <w:ind w:firstLine="539" w:firstLineChars="245"/>
        <w:rPr>
          <w:rFonts w:ascii="宋体" w:hAnsi="宋体" w:cs="宋体"/>
          <w:color w:val="auto"/>
          <w:highlight w:val="none"/>
        </w:rPr>
      </w:pPr>
      <w:r>
        <w:rPr>
          <w:rFonts w:hint="eastAsia" w:ascii="宋体" w:hAnsi="宋体" w:cs="宋体"/>
          <w:bCs/>
          <w:color w:val="auto"/>
          <w:sz w:val="22"/>
          <w:szCs w:val="22"/>
          <w:highlight w:val="none"/>
        </w:rPr>
        <w:t>投标人不足3家的，不得开标。</w:t>
      </w:r>
    </w:p>
    <w:p w14:paraId="12643951">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（2）解密成功后，开启投标人的《报价文件》，由供应商对自己报价文件相关内容进行签字确认，（不予确认的应说明理由，否则视为无异议）。</w:t>
      </w:r>
    </w:p>
    <w:p w14:paraId="29F7895B">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（3）开启《投标文件》，进入资格审查；</w:t>
      </w:r>
      <w:r>
        <w:rPr>
          <w:rFonts w:hint="eastAsia" w:ascii="宋体" w:hAnsi="宋体" w:cs="宋体"/>
          <w:bCs/>
          <w:color w:val="auto"/>
          <w:sz w:val="22"/>
          <w:szCs w:val="22"/>
          <w:highlight w:val="none"/>
        </w:rPr>
        <w:t>合格投标人不足3家的，不得评标。</w:t>
      </w:r>
    </w:p>
    <w:p w14:paraId="185D32FD">
      <w:pPr>
        <w:spacing w:line="460" w:lineRule="exact"/>
        <w:ind w:firstLine="539" w:firstLineChars="245"/>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4A79DFF6">
      <w:pPr>
        <w:spacing w:line="460" w:lineRule="exact"/>
        <w:ind w:firstLine="539" w:firstLineChars="245"/>
        <w:rPr>
          <w:rFonts w:ascii="宋体" w:hAnsi="宋体" w:cs="宋体"/>
          <w:bCs/>
          <w:color w:val="auto"/>
          <w:sz w:val="22"/>
          <w:szCs w:val="22"/>
          <w:highlight w:val="none"/>
        </w:rPr>
      </w:pPr>
      <w:r>
        <w:rPr>
          <w:rFonts w:hint="eastAsia" w:ascii="宋体" w:hAnsi="宋体" w:cs="宋体"/>
          <w:color w:val="auto"/>
          <w:kern w:val="0"/>
          <w:sz w:val="22"/>
          <w:szCs w:val="22"/>
          <w:highlight w:val="none"/>
        </w:rPr>
        <w:t>（4）开启资格审查通过的投标人的商务技术文件进入符合性审查，</w:t>
      </w:r>
      <w:r>
        <w:rPr>
          <w:rFonts w:hint="eastAsia" w:ascii="宋体" w:hAnsi="宋体" w:cs="宋体"/>
          <w:bCs/>
          <w:color w:val="auto"/>
          <w:sz w:val="22"/>
          <w:szCs w:val="22"/>
          <w:highlight w:val="none"/>
        </w:rPr>
        <w:t>以确定其是否满足招标文件的实质性要求，合格投标人不足3家的，不得评标。</w:t>
      </w:r>
    </w:p>
    <w:p w14:paraId="4091C838">
      <w:pPr>
        <w:spacing w:line="460" w:lineRule="exact"/>
        <w:ind w:firstLine="541" w:firstLineChars="245"/>
        <w:rPr>
          <w:rFonts w:ascii="宋体" w:hAnsi="宋体" w:cs="宋体"/>
          <w:bCs/>
          <w:color w:val="auto"/>
          <w:sz w:val="22"/>
          <w:szCs w:val="22"/>
          <w:highlight w:val="none"/>
        </w:rPr>
      </w:pPr>
      <w:r>
        <w:rPr>
          <w:rFonts w:hint="eastAsia" w:ascii="宋体" w:hAnsi="宋体" w:cs="宋体"/>
          <w:b/>
          <w:color w:val="auto"/>
          <w:sz w:val="22"/>
          <w:szCs w:val="22"/>
          <w:highlight w:val="none"/>
        </w:rPr>
        <w:t>没有满足招标文件的实质性要求的投标作无效标处理。</w:t>
      </w:r>
      <w:r>
        <w:rPr>
          <w:rFonts w:hint="eastAsia" w:ascii="宋体" w:hAnsi="宋体" w:cs="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14:paraId="33BADCBE">
      <w:pPr>
        <w:spacing w:line="460" w:lineRule="exact"/>
        <w:ind w:firstLine="539" w:firstLineChars="245"/>
        <w:rPr>
          <w:rFonts w:ascii="宋体" w:hAnsi="宋体" w:cs="宋体"/>
          <w:color w:val="auto"/>
          <w:highlight w:val="none"/>
        </w:rPr>
      </w:pPr>
      <w:r>
        <w:rPr>
          <w:rFonts w:hint="eastAsia" w:ascii="宋体" w:hAnsi="宋体" w:cs="宋体"/>
          <w:bCs/>
          <w:color w:val="auto"/>
          <w:sz w:val="22"/>
          <w:szCs w:val="22"/>
          <w:highlight w:val="none"/>
        </w:rPr>
        <w:t>（5）对通过资格审查、符合性审查的合格供应商进行商务技术部分的评审。</w:t>
      </w:r>
    </w:p>
    <w:p w14:paraId="22B33B0B">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（6）评标委员会对报价的合理性、准确性等进行审查核实。</w:t>
      </w:r>
    </w:p>
    <w:p w14:paraId="50ECDC8D">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14:paraId="29D5F8F9">
      <w:pPr>
        <w:spacing w:line="460" w:lineRule="exact"/>
        <w:ind w:firstLine="541" w:firstLineChars="245"/>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特别说明：如遇“政府采购云平台”电子化开标或评审程序调整的，按调整后程序执行。</w:t>
      </w:r>
    </w:p>
    <w:p w14:paraId="10BD2394">
      <w:pPr>
        <w:spacing w:line="460" w:lineRule="exact"/>
        <w:ind w:firstLine="539" w:firstLineChars="245"/>
        <w:rPr>
          <w:rFonts w:ascii="宋体" w:hAnsi="宋体" w:cs="宋体"/>
          <w:color w:val="auto"/>
          <w:sz w:val="22"/>
          <w:szCs w:val="22"/>
          <w:highlight w:val="none"/>
        </w:rPr>
      </w:pPr>
      <w:bookmarkStart w:id="20" w:name="_Toc24550037"/>
      <w:bookmarkStart w:id="21" w:name="_Toc33194393"/>
      <w:r>
        <w:rPr>
          <w:rFonts w:hint="eastAsia" w:ascii="宋体" w:hAnsi="宋体" w:cs="宋体"/>
          <w:color w:val="auto"/>
          <w:sz w:val="22"/>
          <w:szCs w:val="22"/>
          <w:highlight w:val="none"/>
        </w:rPr>
        <w:t>6、投标人资格审查</w:t>
      </w:r>
      <w:bookmarkEnd w:id="20"/>
      <w:bookmarkEnd w:id="21"/>
    </w:p>
    <w:p w14:paraId="430AA44E">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6.1开标大会结束后，招标人或采购代理机构首先依法对各投标人的资格进行审查，审查各投标人的资格是否满足招标文件的要求。招</w:t>
      </w:r>
      <w:r>
        <w:rPr>
          <w:rFonts w:hint="eastAsia" w:ascii="宋体" w:hAnsi="宋体" w:cs="宋体"/>
          <w:color w:val="auto"/>
          <w:sz w:val="22"/>
          <w:szCs w:val="22"/>
          <w:highlight w:val="none"/>
        </w:rPr>
        <w:t>标人或采购代理机构对投标人所提交的资格证明材料仅负审核的责任。如发现投标人所提交的资格证明材料不合法或与事实不符，招标人可取消其中标资格并追究投标人的法律责任。</w:t>
      </w:r>
    </w:p>
    <w:p w14:paraId="0A4E1F61">
      <w:pPr>
        <w:spacing w:line="460" w:lineRule="exact"/>
        <w:ind w:firstLine="539" w:firstLineChars="245"/>
        <w:rPr>
          <w:rFonts w:ascii="宋体" w:hAnsi="宋体" w:cs="宋体"/>
          <w:bCs/>
          <w:color w:val="auto"/>
          <w:kern w:val="0"/>
          <w:sz w:val="22"/>
          <w:szCs w:val="22"/>
          <w:highlight w:val="none"/>
        </w:rPr>
      </w:pPr>
      <w:r>
        <w:rPr>
          <w:rFonts w:hint="eastAsia" w:ascii="宋体" w:hAnsi="宋体" w:cs="宋体"/>
          <w:bCs/>
          <w:color w:val="auto"/>
          <w:sz w:val="22"/>
          <w:szCs w:val="22"/>
          <w:highlight w:val="none"/>
        </w:rPr>
        <w:t>6.2投标人提交的资格证明材料无法证明其符合招标文件规定的“投标人资格要求”的，招标人或采购代理机构</w:t>
      </w:r>
      <w:r>
        <w:rPr>
          <w:rFonts w:hint="eastAsia" w:ascii="宋体" w:hAnsi="宋体" w:cs="宋体"/>
          <w:bCs/>
          <w:color w:val="auto"/>
          <w:kern w:val="0"/>
          <w:sz w:val="22"/>
          <w:szCs w:val="22"/>
          <w:highlight w:val="none"/>
        </w:rPr>
        <w:t>将对其作资格审查不通过处理（无效投标），并不再将其投标提交评标委员会进行后续评审。</w:t>
      </w:r>
    </w:p>
    <w:p w14:paraId="721673F3">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6</w:t>
      </w:r>
      <w:r>
        <w:rPr>
          <w:rFonts w:hint="eastAsia" w:ascii="宋体" w:hAnsi="宋体" w:cs="宋体"/>
          <w:bCs/>
          <w:color w:val="auto"/>
          <w:kern w:val="0"/>
          <w:sz w:val="22"/>
          <w:szCs w:val="22"/>
          <w:highlight w:val="none"/>
        </w:rPr>
        <w:t>.3单位负责人为同一人或者存在直接控股、管理关系的不同供应商参加同一合同项下的政府采购活动的，相关投标人均作资格无效处理。</w:t>
      </w:r>
    </w:p>
    <w:p w14:paraId="626B1574">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7、评标委员按照招标文件中规定的评标方法和标准，对投标文件进行商务和技术评估，综合比较与评价。</w:t>
      </w:r>
    </w:p>
    <w:p w14:paraId="4122FDCC">
      <w:pPr>
        <w:spacing w:line="460" w:lineRule="exact"/>
        <w:ind w:firstLine="541" w:firstLineChars="245"/>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8、投标人存在下列情况之一的，投标无效：</w:t>
      </w:r>
    </w:p>
    <w:p w14:paraId="766F6235">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（1）投标文件未按招标文件要求签署、盖章的；</w:t>
      </w:r>
    </w:p>
    <w:p w14:paraId="2A17890F">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（2）不具备招标文件中规定的资格要求的； </w:t>
      </w:r>
    </w:p>
    <w:p w14:paraId="63F1DD63">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（3）明显不符合招标文件中主要技术规格、技术标准的；</w:t>
      </w:r>
    </w:p>
    <w:p w14:paraId="50C7101B">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（4）投标文件内容不全或关键字迹模糊无法辨认的；</w:t>
      </w:r>
    </w:p>
    <w:p w14:paraId="7FC1C049">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（5）报价超过招标文件中规定的预算金额的；</w:t>
      </w:r>
    </w:p>
    <w:p w14:paraId="46FAA09D">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（6）投标人代表没有法定代表人合法、有效委托的；</w:t>
      </w:r>
    </w:p>
    <w:p w14:paraId="17F076B0">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（7）投标文件存在一个或一个以上备选（替代）投标方案的；</w:t>
      </w:r>
    </w:p>
    <w:p w14:paraId="7F05F4A2">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（8）仅提交“备份投标文件”的；</w:t>
      </w:r>
    </w:p>
    <w:p w14:paraId="2286DB9F">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（9）投标文件含有招标人不能接受的附加条件的；</w:t>
      </w:r>
    </w:p>
    <w:p w14:paraId="2AA4247A">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（10）法律、法规和招标文件规定的其他无效情形。</w:t>
      </w:r>
    </w:p>
    <w:p w14:paraId="76181B42">
      <w:pPr>
        <w:spacing w:line="460" w:lineRule="exact"/>
        <w:ind w:firstLine="541" w:firstLineChars="245"/>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9、有下列情形之一的，视为投标人串通投标，其投标无效</w:t>
      </w:r>
    </w:p>
    <w:p w14:paraId="15DAA2FF">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（1）不同投标人的投标文件由同一单位或者个人编制；</w:t>
      </w:r>
    </w:p>
    <w:p w14:paraId="7FABD96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（2）不同投标人委托同一单位或者个人办理投标事宜；</w:t>
      </w:r>
    </w:p>
    <w:p w14:paraId="7EBFB97A">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（3）不同投标人的投标文件载明的项目管理成员或者联系人员为同一人；</w:t>
      </w:r>
    </w:p>
    <w:p w14:paraId="1C3B69BE">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（4）不同投标人的投标文件异常一致或者投标报价呈规律性差异；</w:t>
      </w:r>
    </w:p>
    <w:p w14:paraId="2E547192">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（5）不同投标人的投标文件相互混装。</w:t>
      </w:r>
    </w:p>
    <w:p w14:paraId="7895B5D1">
      <w:pPr>
        <w:spacing w:line="460" w:lineRule="exact"/>
        <w:ind w:firstLine="541" w:firstLineChars="245"/>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10、投标文件报价出现前后不一致的，按照下列规定修正：</w:t>
      </w:r>
    </w:p>
    <w:p w14:paraId="226D1394">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4D94E9F5">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（2）大写金额和小写金额不一致的，以大写金额为准；</w:t>
      </w:r>
    </w:p>
    <w:p w14:paraId="64E049FF">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（3）单价金额小数点或者百分比有明显错位的，以开标一览表的总价为准，并修改单价；</w:t>
      </w:r>
    </w:p>
    <w:p w14:paraId="0B83AE5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（4）总价金额与按单价汇总金额不一致的，以单价金额计算结果为准。</w:t>
      </w:r>
    </w:p>
    <w:p w14:paraId="55C4900E">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70D74F5C">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0F0C7A4E">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12、投标文件的澄清</w:t>
      </w:r>
    </w:p>
    <w:p w14:paraId="6CBCBBCE">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1F7DB3E4">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346AF497">
      <w:pPr>
        <w:spacing w:line="460" w:lineRule="exact"/>
        <w:ind w:firstLine="759" w:firstLineChars="345"/>
        <w:rPr>
          <w:rFonts w:ascii="宋体" w:hAnsi="宋体" w:cs="宋体"/>
          <w:b/>
          <w:color w:val="auto"/>
          <w:sz w:val="22"/>
          <w:szCs w:val="22"/>
          <w:highlight w:val="none"/>
        </w:rPr>
      </w:pPr>
      <w:r>
        <w:rPr>
          <w:rFonts w:hint="eastAsia" w:ascii="宋体" w:hAnsi="宋体" w:cs="宋体"/>
          <w:color w:val="auto"/>
          <w:sz w:val="22"/>
          <w:szCs w:val="22"/>
          <w:highlight w:val="none"/>
        </w:rPr>
        <w:t>拒不按要求对其投标文件进行澄清，说明或补正的投标人，评标委员会可以否决其投标。</w:t>
      </w:r>
    </w:p>
    <w:p w14:paraId="063618A1">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12.2经澄清后，若偏差仍存在，且不可接受，投标人则被认为是“没有实质性响应招标文件要求”，其投标将被拒绝。</w:t>
      </w:r>
    </w:p>
    <w:p w14:paraId="645B8ECF">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13、评审结果的修改</w:t>
      </w:r>
    </w:p>
    <w:p w14:paraId="27828F7D">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13.1评标结果汇总完成后，除下列情形外，任何人不得修改评标结果：</w:t>
      </w:r>
    </w:p>
    <w:p w14:paraId="56C784A7">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（1）分值汇总计算错误的；</w:t>
      </w:r>
    </w:p>
    <w:p w14:paraId="3F38D721">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（2）分项评分超出评分标准范围的；</w:t>
      </w:r>
    </w:p>
    <w:p w14:paraId="02A1EC60">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（3）评标委员会成员对客观评审因素评分不一致的；</w:t>
      </w:r>
    </w:p>
    <w:p w14:paraId="18F5DB1F">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（4）经评标委员会认定评分畸高、畸低的。</w:t>
      </w:r>
    </w:p>
    <w:p w14:paraId="2AE3E93D">
      <w:pPr>
        <w:spacing w:line="460" w:lineRule="exact"/>
        <w:ind w:firstLine="759" w:firstLineChars="345"/>
        <w:rPr>
          <w:rFonts w:ascii="宋体" w:hAnsi="宋体" w:cs="宋体"/>
          <w:bCs/>
          <w:color w:val="auto"/>
          <w:highlight w:val="none"/>
        </w:rPr>
      </w:pPr>
      <w:r>
        <w:rPr>
          <w:rFonts w:hint="eastAsia" w:ascii="宋体" w:hAnsi="宋体" w:cs="宋体"/>
          <w:bCs/>
          <w:color w:val="auto"/>
          <w:sz w:val="22"/>
          <w:szCs w:val="22"/>
          <w:highlight w:val="none"/>
        </w:rPr>
        <w:t>13.2书面评标报告签署前，经复核发现存在以上情形之一的，评标委员会将当场修改评标结果，并在评标报告中记载。</w:t>
      </w:r>
    </w:p>
    <w:p w14:paraId="0477A3C1">
      <w:pPr>
        <w:spacing w:line="460" w:lineRule="exact"/>
        <w:ind w:firstLine="759" w:firstLineChars="345"/>
        <w:rPr>
          <w:rFonts w:ascii="宋体" w:hAnsi="宋体" w:cs="宋体"/>
          <w:b/>
          <w:color w:val="auto"/>
          <w:sz w:val="22"/>
          <w:szCs w:val="22"/>
          <w:highlight w:val="none"/>
        </w:rPr>
      </w:pPr>
      <w:r>
        <w:rPr>
          <w:rFonts w:hint="eastAsia" w:ascii="宋体" w:hAnsi="宋体" w:cs="宋体"/>
          <w:color w:val="auto"/>
          <w:sz w:val="22"/>
          <w:szCs w:val="22"/>
          <w:highlight w:val="none"/>
        </w:rPr>
        <w:t>14</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确定中标候选人</w:t>
      </w:r>
    </w:p>
    <w:p w14:paraId="7CD1C760">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14.1由评标委员会确定中标候选人。</w:t>
      </w:r>
    </w:p>
    <w:p w14:paraId="16DAAAC9">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5DD68CB4">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15、确定中标人</w:t>
      </w:r>
    </w:p>
    <w:p w14:paraId="0AE0AB43">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6816E2F5">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510DC4FE">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16、起草、签署评审报告</w:t>
      </w:r>
    </w:p>
    <w:p w14:paraId="184B2502">
      <w:pPr>
        <w:spacing w:line="460" w:lineRule="exact"/>
        <w:ind w:firstLine="759" w:firstLineChars="345"/>
        <w:rPr>
          <w:rFonts w:ascii="宋体" w:hAnsi="宋体" w:cs="宋体"/>
          <w:b/>
          <w:bCs/>
          <w:color w:val="auto"/>
          <w:sz w:val="22"/>
          <w:szCs w:val="22"/>
          <w:highlight w:val="none"/>
        </w:rPr>
      </w:pPr>
      <w:r>
        <w:rPr>
          <w:rFonts w:hint="eastAsia" w:ascii="宋体" w:hAnsi="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15D78450">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17</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中标人确定后，招标人将在政府指定媒体公告中标结果，招标人向中标人发出中标通知书。</w:t>
      </w:r>
    </w:p>
    <w:p w14:paraId="07FBA897">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18、招标人对决标结果不做任何解释，也不保证最低价中标。</w:t>
      </w:r>
    </w:p>
    <w:p w14:paraId="5C7F4CD2">
      <w:pPr>
        <w:spacing w:line="460" w:lineRule="exact"/>
        <w:ind w:firstLine="759" w:firstLineChars="345"/>
        <w:rPr>
          <w:rFonts w:ascii="宋体" w:hAnsi="宋体" w:cs="宋体"/>
          <w:b/>
          <w:color w:val="auto"/>
          <w:sz w:val="22"/>
          <w:szCs w:val="22"/>
          <w:highlight w:val="none"/>
        </w:rPr>
      </w:pPr>
      <w:r>
        <w:rPr>
          <w:rFonts w:hint="eastAsia" w:ascii="宋体" w:hAnsi="宋体" w:cs="宋体"/>
          <w:color w:val="auto"/>
          <w:sz w:val="22"/>
          <w:szCs w:val="22"/>
          <w:highlight w:val="none"/>
        </w:rPr>
        <w:t>19、评标细则详见“评标原则及方法”。</w:t>
      </w:r>
    </w:p>
    <w:p w14:paraId="1AB2F553">
      <w:pPr>
        <w:spacing w:before="100" w:beforeAutospacing="1" w:after="100" w:afterAutospacing="1" w:line="440" w:lineRule="exact"/>
        <w:jc w:val="center"/>
        <w:outlineLvl w:val="1"/>
        <w:rPr>
          <w:rFonts w:ascii="宋体" w:hAnsi="宋体" w:cs="宋体"/>
          <w:b/>
          <w:bCs/>
          <w:color w:val="auto"/>
          <w:sz w:val="26"/>
          <w:szCs w:val="26"/>
          <w:highlight w:val="none"/>
        </w:rPr>
      </w:pPr>
      <w:bookmarkStart w:id="22" w:name="_Toc26836"/>
      <w:bookmarkStart w:id="23" w:name="_Toc20212"/>
      <w:r>
        <w:rPr>
          <w:rFonts w:hint="eastAsia" w:ascii="宋体" w:hAnsi="宋体" w:cs="宋体"/>
          <w:b/>
          <w:bCs/>
          <w:color w:val="auto"/>
          <w:sz w:val="26"/>
          <w:szCs w:val="26"/>
          <w:highlight w:val="none"/>
        </w:rPr>
        <w:t>六、 授予合同</w:t>
      </w:r>
      <w:bookmarkEnd w:id="22"/>
      <w:bookmarkEnd w:id="23"/>
    </w:p>
    <w:p w14:paraId="5E7A2D3E">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1、中标通知书</w:t>
      </w:r>
    </w:p>
    <w:p w14:paraId="1026974A">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1.1中标人确定后，招标人将向中标人发出中标通知书。 </w:t>
      </w:r>
    </w:p>
    <w:p w14:paraId="3386BDB6">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1.2中标通知书是合同的一个组成部分,对招标人和中标人均具有同等法律效力。</w:t>
      </w:r>
    </w:p>
    <w:p w14:paraId="5328C210">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2、授标时更改采购货物数量的权力</w:t>
      </w:r>
    </w:p>
    <w:p w14:paraId="5DA9BC92">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2.1招标人在授予合同时有权对采购货物的数量和服务在一定幅度范围内予以增加或减少,但不得对单价和其他的条款和条件作任何改变。</w:t>
      </w:r>
    </w:p>
    <w:p w14:paraId="53B4284C">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3、签订合同</w:t>
      </w:r>
    </w:p>
    <w:p w14:paraId="417ABDBB">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3.1中标人应按中标通知书规定的时间、地点与招标人签订合同。</w:t>
      </w:r>
    </w:p>
    <w:p w14:paraId="1CCD8BC6">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3.2</w:t>
      </w:r>
      <w:r>
        <w:rPr>
          <w:rFonts w:hint="eastAsia" w:ascii="宋体" w:hAnsi="宋体" w:cs="宋体"/>
          <w:bCs/>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14:paraId="1477E06E">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3.3招标文件、中标人的投标文件、投标修改文件、评标过程中有关澄清文件及经投标人和评委双方签字的询标纪要和中标通知书均作为合同附件。</w:t>
      </w:r>
    </w:p>
    <w:p w14:paraId="55E9A9F6">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3.4拒签合同的违约责任</w:t>
      </w:r>
    </w:p>
    <w:p w14:paraId="002A1F95">
      <w:pPr>
        <w:spacing w:line="460" w:lineRule="exact"/>
        <w:ind w:firstLine="568" w:firstLineChars="245"/>
        <w:rPr>
          <w:rFonts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中标人接到中标通知书后，在规定时间内借故否认已经承诺的条件而拒签合同的，以违约处理。</w:t>
      </w:r>
    </w:p>
    <w:p w14:paraId="6B0A491B">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4、质疑与投诉</w:t>
      </w:r>
    </w:p>
    <w:p w14:paraId="04A37093">
      <w:pPr>
        <w:spacing w:line="460" w:lineRule="exact"/>
        <w:ind w:firstLine="568" w:firstLineChars="245"/>
        <w:rPr>
          <w:rFonts w:ascii="宋体" w:hAnsi="宋体" w:cs="宋体"/>
          <w:bCs/>
          <w:color w:val="auto"/>
          <w:sz w:val="22"/>
          <w:highlight w:val="none"/>
        </w:rPr>
      </w:pPr>
      <w:r>
        <w:rPr>
          <w:rFonts w:hint="eastAsia" w:ascii="宋体" w:hAnsi="宋体" w:cs="宋体"/>
          <w:bCs/>
          <w:color w:val="auto"/>
          <w:spacing w:val="6"/>
          <w:sz w:val="22"/>
          <w:szCs w:val="22"/>
          <w:highlight w:val="none"/>
        </w:rPr>
        <w:t>4.1</w:t>
      </w:r>
      <w:r>
        <w:rPr>
          <w:rFonts w:hint="eastAsia" w:ascii="宋体" w:hAnsi="宋体" w:cs="宋体"/>
          <w:b/>
          <w:color w:val="auto"/>
          <w:sz w:val="22"/>
          <w:highlight w:val="none"/>
        </w:rPr>
        <w:t>特别提醒：</w:t>
      </w:r>
      <w:r>
        <w:rPr>
          <w:rFonts w:hint="eastAsia" w:ascii="宋体" w:hAnsi="宋体" w:cs="宋体"/>
          <w:color w:val="auto"/>
          <w:sz w:val="22"/>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bCs/>
          <w:color w:val="auto"/>
          <w:sz w:val="22"/>
          <w:highlight w:val="none"/>
        </w:rPr>
        <w:t>，供应商在法定质疑期内应一次性提出针对同一采购程序环节的质疑，否则</w:t>
      </w:r>
      <w:r>
        <w:rPr>
          <w:rFonts w:hint="eastAsia" w:ascii="新宋体" w:hAnsi="新宋体" w:eastAsia="新宋体" w:cs="新宋体"/>
          <w:color w:val="auto"/>
          <w:sz w:val="22"/>
          <w:szCs w:val="22"/>
          <w:highlight w:val="none"/>
        </w:rPr>
        <w:t>不予受理、答复</w:t>
      </w:r>
      <w:r>
        <w:rPr>
          <w:rFonts w:hint="eastAsia" w:ascii="宋体" w:hAnsi="宋体" w:cs="宋体"/>
          <w:bCs/>
          <w:color w:val="auto"/>
          <w:sz w:val="22"/>
          <w:highlight w:val="none"/>
        </w:rPr>
        <w:t>。</w:t>
      </w:r>
    </w:p>
    <w:p w14:paraId="0D225826">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4.2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14:paraId="799C6BBD">
      <w:pPr>
        <w:spacing w:line="460" w:lineRule="exact"/>
        <w:ind w:firstLine="539" w:firstLineChars="245"/>
        <w:rPr>
          <w:rFonts w:ascii="宋体" w:hAnsi="宋体" w:cs="宋体"/>
          <w:color w:val="auto"/>
          <w:highlight w:val="none"/>
        </w:rPr>
      </w:pPr>
      <w:r>
        <w:rPr>
          <w:rFonts w:hint="eastAsia" w:ascii="宋体" w:hAnsi="宋体" w:cs="宋体"/>
          <w:bCs/>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bookmarkStart w:id="24" w:name="_Toc28194"/>
    </w:p>
    <w:p w14:paraId="00DE2BDF">
      <w:pPr>
        <w:rPr>
          <w:rFonts w:ascii="宋体" w:hAnsi="宋体" w:cs="宋体"/>
          <w:color w:val="auto"/>
          <w:highlight w:val="none"/>
        </w:rPr>
      </w:pPr>
      <w:r>
        <w:rPr>
          <w:rFonts w:hint="eastAsia" w:ascii="宋体" w:hAnsi="宋体" w:cs="宋体"/>
          <w:color w:val="auto"/>
          <w:highlight w:val="none"/>
        </w:rPr>
        <w:br w:type="page"/>
      </w:r>
    </w:p>
    <w:p w14:paraId="6645C760">
      <w:pPr>
        <w:pStyle w:val="2"/>
        <w:rPr>
          <w:rFonts w:ascii="宋体" w:hAnsi="宋体" w:eastAsia="宋体" w:cs="宋体"/>
          <w:color w:val="auto"/>
          <w:highlight w:val="none"/>
        </w:rPr>
      </w:pPr>
      <w:bookmarkStart w:id="25" w:name="_Toc26331"/>
      <w:r>
        <w:rPr>
          <w:rFonts w:hint="eastAsia" w:ascii="宋体" w:hAnsi="宋体" w:eastAsia="宋体" w:cs="宋体"/>
          <w:color w:val="auto"/>
          <w:highlight w:val="none"/>
        </w:rPr>
        <w:t>第二部分    合同主要条款</w:t>
      </w:r>
      <w:bookmarkEnd w:id="24"/>
      <w:bookmarkEnd w:id="25"/>
    </w:p>
    <w:p w14:paraId="1DFEA504">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注：如甲、乙双方同意，合同格式也可以按照其他形式, 具体条款以甲方为主协商确定。但合同条款的基本内容应与以下要求的内容相一致。</w:t>
      </w:r>
    </w:p>
    <w:p w14:paraId="4D0D420D">
      <w:pPr>
        <w:widowControl/>
        <w:snapToGrid w:val="0"/>
        <w:spacing w:line="420" w:lineRule="atLeast"/>
        <w:jc w:val="center"/>
        <w:rPr>
          <w:rFonts w:ascii="宋体" w:hAnsi="宋体" w:cs="宋体"/>
          <w:color w:val="auto"/>
          <w:kern w:val="0"/>
          <w:sz w:val="44"/>
          <w:szCs w:val="44"/>
          <w:highlight w:val="none"/>
        </w:rPr>
      </w:pPr>
    </w:p>
    <w:p w14:paraId="10ABBE06">
      <w:pPr>
        <w:widowControl/>
        <w:snapToGrid w:val="0"/>
        <w:spacing w:line="420" w:lineRule="atLeast"/>
        <w:jc w:val="center"/>
        <w:rPr>
          <w:rFonts w:ascii="宋体" w:hAnsi="宋体" w:cs="宋体"/>
          <w:color w:val="auto"/>
          <w:kern w:val="0"/>
          <w:sz w:val="44"/>
          <w:szCs w:val="44"/>
          <w:highlight w:val="none"/>
        </w:rPr>
      </w:pPr>
    </w:p>
    <w:p w14:paraId="27A5A2BB">
      <w:pPr>
        <w:widowControl/>
        <w:snapToGrid w:val="0"/>
        <w:spacing w:line="420" w:lineRule="atLeast"/>
        <w:jc w:val="center"/>
        <w:rPr>
          <w:rFonts w:ascii="宋体" w:hAnsi="宋体" w:cs="宋体"/>
          <w:color w:val="auto"/>
          <w:kern w:val="0"/>
          <w:sz w:val="44"/>
          <w:szCs w:val="44"/>
          <w:highlight w:val="none"/>
        </w:rPr>
      </w:pPr>
    </w:p>
    <w:p w14:paraId="18609C67">
      <w:pPr>
        <w:widowControl/>
        <w:snapToGrid w:val="0"/>
        <w:spacing w:line="420" w:lineRule="atLeast"/>
        <w:jc w:val="center"/>
        <w:rPr>
          <w:rFonts w:ascii="宋体" w:hAnsi="宋体" w:cs="宋体"/>
          <w:color w:val="auto"/>
          <w:kern w:val="0"/>
          <w:sz w:val="44"/>
          <w:szCs w:val="44"/>
          <w:highlight w:val="none"/>
        </w:rPr>
      </w:pPr>
    </w:p>
    <w:p w14:paraId="4D5CE54C">
      <w:pPr>
        <w:widowControl/>
        <w:snapToGrid w:val="0"/>
        <w:spacing w:line="420" w:lineRule="atLeast"/>
        <w:jc w:val="center"/>
        <w:rPr>
          <w:rFonts w:ascii="宋体" w:hAnsi="宋体" w:cs="宋体"/>
          <w:color w:val="auto"/>
          <w:kern w:val="0"/>
          <w:sz w:val="44"/>
          <w:szCs w:val="44"/>
          <w:highlight w:val="none"/>
        </w:rPr>
      </w:pPr>
      <w:r>
        <w:rPr>
          <w:rFonts w:hint="eastAsia" w:ascii="宋体" w:hAnsi="宋体" w:cs="宋体"/>
          <w:color w:val="auto"/>
          <w:kern w:val="0"/>
          <w:sz w:val="44"/>
          <w:szCs w:val="44"/>
          <w:highlight w:val="none"/>
        </w:rPr>
        <w:t>基层智治综合应用鹿城域</w:t>
      </w:r>
    </w:p>
    <w:p w14:paraId="7FD57231">
      <w:pPr>
        <w:widowControl/>
        <w:snapToGrid w:val="0"/>
        <w:spacing w:line="420" w:lineRule="atLeast"/>
        <w:jc w:val="center"/>
        <w:rPr>
          <w:rFonts w:ascii="宋体" w:hAnsi="宋体" w:cs="宋体"/>
          <w:color w:val="auto"/>
          <w:kern w:val="0"/>
          <w:sz w:val="44"/>
          <w:szCs w:val="44"/>
          <w:highlight w:val="none"/>
        </w:rPr>
      </w:pPr>
    </w:p>
    <w:p w14:paraId="3A8ABCFC">
      <w:pPr>
        <w:widowControl/>
        <w:snapToGrid w:val="0"/>
        <w:spacing w:line="420" w:lineRule="atLeast"/>
        <w:jc w:val="center"/>
        <w:rPr>
          <w:rFonts w:ascii="宋体" w:hAnsi="宋体" w:cs="宋体"/>
          <w:color w:val="auto"/>
          <w:kern w:val="0"/>
          <w:sz w:val="44"/>
          <w:szCs w:val="44"/>
          <w:highlight w:val="none"/>
        </w:rPr>
      </w:pPr>
      <w:r>
        <w:rPr>
          <w:rFonts w:hint="eastAsia" w:ascii="宋体" w:hAnsi="宋体" w:cs="宋体"/>
          <w:color w:val="auto"/>
          <w:kern w:val="0"/>
          <w:sz w:val="44"/>
          <w:szCs w:val="44"/>
          <w:highlight w:val="none"/>
        </w:rPr>
        <w:t>采购合同</w:t>
      </w:r>
    </w:p>
    <w:p w14:paraId="7780DAB2">
      <w:pPr>
        <w:widowControl/>
        <w:snapToGrid w:val="0"/>
        <w:spacing w:line="420" w:lineRule="atLeast"/>
        <w:jc w:val="left"/>
        <w:rPr>
          <w:rFonts w:ascii="宋体" w:hAnsi="宋体" w:cs="宋体"/>
          <w:color w:val="auto"/>
          <w:kern w:val="0"/>
          <w:sz w:val="30"/>
          <w:szCs w:val="30"/>
          <w:highlight w:val="none"/>
        </w:rPr>
      </w:pPr>
    </w:p>
    <w:p w14:paraId="2552E5FD">
      <w:pPr>
        <w:widowControl/>
        <w:snapToGrid w:val="0"/>
        <w:spacing w:line="360" w:lineRule="auto"/>
        <w:jc w:val="left"/>
        <w:rPr>
          <w:rFonts w:ascii="宋体" w:hAnsi="宋体" w:cs="宋体"/>
          <w:color w:val="auto"/>
          <w:kern w:val="0"/>
          <w:sz w:val="30"/>
          <w:szCs w:val="30"/>
          <w:highlight w:val="none"/>
        </w:rPr>
      </w:pPr>
    </w:p>
    <w:p w14:paraId="784DD02E">
      <w:pPr>
        <w:widowControl/>
        <w:snapToGrid w:val="0"/>
        <w:spacing w:line="360" w:lineRule="auto"/>
        <w:ind w:firstLine="600" w:firstLineChars="200"/>
        <w:jc w:val="left"/>
        <w:rPr>
          <w:rFonts w:ascii="宋体" w:hAnsi="宋体" w:cs="宋体"/>
          <w:color w:val="auto"/>
          <w:kern w:val="0"/>
          <w:sz w:val="30"/>
          <w:szCs w:val="30"/>
          <w:highlight w:val="none"/>
          <w:u w:val="single"/>
        </w:rPr>
      </w:pPr>
      <w:r>
        <w:rPr>
          <w:rFonts w:hint="eastAsia" w:ascii="宋体" w:hAnsi="宋体" w:cs="宋体"/>
          <w:color w:val="auto"/>
          <w:kern w:val="0"/>
          <w:sz w:val="30"/>
          <w:szCs w:val="30"/>
          <w:highlight w:val="none"/>
        </w:rPr>
        <w:t>项目名称：</w:t>
      </w:r>
      <w:r>
        <w:rPr>
          <w:rFonts w:hint="eastAsia" w:ascii="宋体" w:hAnsi="宋体" w:cs="宋体"/>
          <w:color w:val="auto"/>
          <w:kern w:val="0"/>
          <w:sz w:val="30"/>
          <w:szCs w:val="30"/>
          <w:highlight w:val="none"/>
          <w:u w:val="single"/>
        </w:rPr>
        <w:t xml:space="preserve">                                  </w:t>
      </w:r>
    </w:p>
    <w:p w14:paraId="5C387A88">
      <w:pPr>
        <w:widowControl/>
        <w:snapToGrid w:val="0"/>
        <w:spacing w:line="360" w:lineRule="auto"/>
        <w:ind w:firstLine="600" w:firstLineChars="200"/>
        <w:jc w:val="left"/>
        <w:rPr>
          <w:rFonts w:ascii="宋体" w:hAnsi="宋体" w:cs="宋体"/>
          <w:color w:val="auto"/>
          <w:kern w:val="0"/>
          <w:sz w:val="30"/>
          <w:szCs w:val="30"/>
          <w:highlight w:val="none"/>
          <w:u w:val="single"/>
        </w:rPr>
      </w:pPr>
    </w:p>
    <w:p w14:paraId="7DC19D20">
      <w:pPr>
        <w:widowControl/>
        <w:snapToGrid w:val="0"/>
        <w:spacing w:line="720" w:lineRule="auto"/>
        <w:ind w:firstLine="600" w:firstLineChars="200"/>
        <w:jc w:val="left"/>
        <w:rPr>
          <w:rFonts w:ascii="宋体" w:hAnsi="宋体" w:cs="宋体"/>
          <w:color w:val="auto"/>
          <w:kern w:val="0"/>
          <w:sz w:val="30"/>
          <w:szCs w:val="30"/>
          <w:highlight w:val="none"/>
        </w:rPr>
      </w:pPr>
      <w:r>
        <w:rPr>
          <w:rFonts w:hint="eastAsia" w:ascii="宋体" w:hAnsi="宋体" w:cs="宋体"/>
          <w:color w:val="auto"/>
          <w:kern w:val="0"/>
          <w:sz w:val="30"/>
          <w:szCs w:val="30"/>
          <w:highlight w:val="none"/>
        </w:rPr>
        <w:t>甲方（盖章）：</w:t>
      </w:r>
      <w:r>
        <w:rPr>
          <w:rFonts w:hint="eastAsia" w:ascii="宋体" w:hAnsi="宋体" w:cs="宋体"/>
          <w:color w:val="auto"/>
          <w:kern w:val="0"/>
          <w:sz w:val="30"/>
          <w:szCs w:val="30"/>
          <w:highlight w:val="none"/>
          <w:u w:val="single"/>
        </w:rPr>
        <w:t xml:space="preserve">            </w:t>
      </w:r>
    </w:p>
    <w:p w14:paraId="07B5E025">
      <w:pPr>
        <w:widowControl/>
        <w:snapToGrid w:val="0"/>
        <w:spacing w:line="720" w:lineRule="auto"/>
        <w:ind w:firstLine="600" w:firstLineChars="200"/>
        <w:jc w:val="left"/>
        <w:rPr>
          <w:rFonts w:ascii="宋体" w:hAnsi="宋体" w:cs="宋体"/>
          <w:color w:val="auto"/>
          <w:kern w:val="0"/>
          <w:sz w:val="30"/>
          <w:szCs w:val="30"/>
          <w:highlight w:val="none"/>
          <w:u w:val="single"/>
        </w:rPr>
      </w:pPr>
      <w:r>
        <w:rPr>
          <w:rFonts w:hint="eastAsia" w:ascii="宋体" w:hAnsi="宋体" w:cs="宋体"/>
          <w:color w:val="auto"/>
          <w:kern w:val="0"/>
          <w:sz w:val="30"/>
          <w:szCs w:val="30"/>
          <w:highlight w:val="none"/>
        </w:rPr>
        <w:t>乙方（盖章）：</w:t>
      </w:r>
      <w:r>
        <w:rPr>
          <w:rFonts w:hint="eastAsia" w:ascii="宋体" w:hAnsi="宋体" w:cs="宋体"/>
          <w:color w:val="auto"/>
          <w:kern w:val="0"/>
          <w:sz w:val="30"/>
          <w:szCs w:val="30"/>
          <w:highlight w:val="none"/>
          <w:u w:val="single"/>
        </w:rPr>
        <w:t xml:space="preserve">                              </w:t>
      </w:r>
    </w:p>
    <w:p w14:paraId="6764A74F">
      <w:pPr>
        <w:widowControl/>
        <w:snapToGrid w:val="0"/>
        <w:spacing w:line="720" w:lineRule="auto"/>
        <w:ind w:firstLine="600" w:firstLineChars="200"/>
        <w:jc w:val="left"/>
        <w:rPr>
          <w:rFonts w:ascii="宋体" w:hAnsi="宋体" w:cs="宋体"/>
          <w:color w:val="auto"/>
          <w:kern w:val="0"/>
          <w:sz w:val="30"/>
          <w:szCs w:val="30"/>
          <w:highlight w:val="none"/>
          <w:u w:val="single"/>
        </w:rPr>
      </w:pPr>
      <w:r>
        <w:rPr>
          <w:rFonts w:hint="eastAsia" w:ascii="宋体" w:hAnsi="宋体" w:cs="宋体"/>
          <w:color w:val="auto"/>
          <w:kern w:val="0"/>
          <w:sz w:val="30"/>
          <w:szCs w:val="30"/>
          <w:highlight w:val="none"/>
        </w:rPr>
        <w:t>签署时间：</w:t>
      </w:r>
      <w:r>
        <w:rPr>
          <w:rFonts w:hint="eastAsia" w:ascii="宋体" w:hAnsi="宋体" w:cs="宋体"/>
          <w:color w:val="auto"/>
          <w:kern w:val="0"/>
          <w:sz w:val="30"/>
          <w:szCs w:val="30"/>
          <w:highlight w:val="none"/>
          <w:u w:val="single"/>
        </w:rPr>
        <w:t xml:space="preserve">                                  </w:t>
      </w:r>
    </w:p>
    <w:p w14:paraId="1B736090">
      <w:pPr>
        <w:widowControl/>
        <w:snapToGrid w:val="0"/>
        <w:spacing w:line="720" w:lineRule="auto"/>
        <w:ind w:firstLine="600" w:firstLineChars="200"/>
        <w:jc w:val="left"/>
        <w:rPr>
          <w:rFonts w:ascii="宋体" w:hAnsi="宋体" w:cs="宋体"/>
          <w:color w:val="auto"/>
          <w:kern w:val="0"/>
          <w:sz w:val="30"/>
          <w:szCs w:val="30"/>
          <w:highlight w:val="none"/>
          <w:u w:val="single"/>
        </w:rPr>
      </w:pPr>
      <w:r>
        <w:rPr>
          <w:rFonts w:hint="eastAsia" w:ascii="宋体" w:hAnsi="宋体" w:cs="宋体"/>
          <w:color w:val="auto"/>
          <w:kern w:val="0"/>
          <w:sz w:val="30"/>
          <w:szCs w:val="30"/>
          <w:highlight w:val="none"/>
        </w:rPr>
        <w:t>签署地点：</w:t>
      </w:r>
      <w:r>
        <w:rPr>
          <w:rFonts w:hint="eastAsia" w:ascii="宋体" w:hAnsi="宋体" w:cs="宋体"/>
          <w:color w:val="auto"/>
          <w:kern w:val="0"/>
          <w:sz w:val="30"/>
          <w:szCs w:val="30"/>
          <w:highlight w:val="none"/>
          <w:u w:val="single"/>
        </w:rPr>
        <w:t xml:space="preserve">            </w:t>
      </w:r>
    </w:p>
    <w:p w14:paraId="344C2624">
      <w:pPr>
        <w:widowControl/>
        <w:snapToGrid w:val="0"/>
        <w:spacing w:line="720" w:lineRule="auto"/>
        <w:jc w:val="left"/>
        <w:rPr>
          <w:rFonts w:ascii="宋体" w:hAnsi="宋体" w:cs="宋体"/>
          <w:color w:val="auto"/>
          <w:kern w:val="0"/>
          <w:sz w:val="30"/>
          <w:szCs w:val="30"/>
          <w:highlight w:val="none"/>
        </w:rPr>
      </w:pPr>
    </w:p>
    <w:p w14:paraId="686004E6">
      <w:pPr>
        <w:widowControl/>
        <w:tabs>
          <w:tab w:val="left" w:pos="720"/>
        </w:tabs>
        <w:snapToGrid w:val="0"/>
        <w:spacing w:line="360" w:lineRule="auto"/>
        <w:jc w:val="left"/>
        <w:rPr>
          <w:rFonts w:ascii="宋体" w:hAnsi="宋体" w:cs="宋体"/>
          <w:color w:val="auto"/>
          <w:kern w:val="0"/>
          <w:sz w:val="22"/>
          <w:szCs w:val="22"/>
          <w:highlight w:val="none"/>
        </w:rPr>
      </w:pPr>
    </w:p>
    <w:p w14:paraId="46A8D2E1">
      <w:pPr>
        <w:widowControl/>
        <w:tabs>
          <w:tab w:val="left" w:pos="720"/>
        </w:tabs>
        <w:snapToGrid w:val="0"/>
        <w:spacing w:line="360" w:lineRule="auto"/>
        <w:jc w:val="left"/>
        <w:rPr>
          <w:rFonts w:ascii="宋体" w:hAnsi="宋体" w:cs="宋体"/>
          <w:color w:val="auto"/>
          <w:kern w:val="0"/>
          <w:sz w:val="22"/>
          <w:szCs w:val="22"/>
          <w:highlight w:val="none"/>
        </w:rPr>
      </w:pPr>
    </w:p>
    <w:p w14:paraId="55AEEE15">
      <w:pPr>
        <w:widowControl/>
        <w:tabs>
          <w:tab w:val="left" w:pos="720"/>
        </w:tabs>
        <w:snapToGrid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   总则</w:t>
      </w:r>
    </w:p>
    <w:p w14:paraId="32F08E7F">
      <w:pPr>
        <w:widowControl/>
        <w:tabs>
          <w:tab w:val="left" w:pos="720"/>
        </w:tabs>
        <w:snapToGrid w:val="0"/>
        <w:spacing w:line="360" w:lineRule="auto"/>
        <w:ind w:left="720" w:hanging="72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   甲方责任</w:t>
      </w:r>
    </w:p>
    <w:p w14:paraId="51976312">
      <w:pPr>
        <w:widowControl/>
        <w:tabs>
          <w:tab w:val="left" w:pos="720"/>
        </w:tabs>
        <w:snapToGrid w:val="0"/>
        <w:spacing w:line="360" w:lineRule="auto"/>
        <w:ind w:left="720" w:hanging="72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   乙方责任</w:t>
      </w:r>
    </w:p>
    <w:p w14:paraId="37C08793">
      <w:pPr>
        <w:widowControl/>
        <w:tabs>
          <w:tab w:val="left" w:pos="720"/>
        </w:tabs>
        <w:snapToGrid w:val="0"/>
        <w:spacing w:line="360" w:lineRule="auto"/>
        <w:ind w:left="720" w:hanging="72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四、   项目工期与进度表</w:t>
      </w:r>
    </w:p>
    <w:p w14:paraId="701DEAAA">
      <w:pPr>
        <w:widowControl/>
        <w:tabs>
          <w:tab w:val="left" w:pos="720"/>
        </w:tabs>
        <w:snapToGrid w:val="0"/>
        <w:spacing w:line="360" w:lineRule="auto"/>
        <w:ind w:left="720" w:hanging="72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五、   项目上线、试运行和验收</w:t>
      </w:r>
    </w:p>
    <w:p w14:paraId="46C07AE9">
      <w:pPr>
        <w:widowControl/>
        <w:tabs>
          <w:tab w:val="left" w:pos="720"/>
        </w:tabs>
        <w:snapToGrid w:val="0"/>
        <w:spacing w:line="360" w:lineRule="auto"/>
        <w:ind w:left="720" w:hanging="72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六、   售后服务和技术培训</w:t>
      </w:r>
    </w:p>
    <w:p w14:paraId="61381FEC">
      <w:pPr>
        <w:widowControl/>
        <w:tabs>
          <w:tab w:val="left" w:pos="720"/>
        </w:tabs>
        <w:snapToGrid w:val="0"/>
        <w:spacing w:line="360" w:lineRule="auto"/>
        <w:ind w:left="720" w:hanging="72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七、   项目合同金额</w:t>
      </w:r>
    </w:p>
    <w:p w14:paraId="412D946D">
      <w:pPr>
        <w:widowControl/>
        <w:tabs>
          <w:tab w:val="left" w:pos="720"/>
        </w:tabs>
        <w:snapToGrid w:val="0"/>
        <w:spacing w:line="360" w:lineRule="auto"/>
        <w:ind w:left="720" w:hanging="72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八、   项目合同支付条款</w:t>
      </w:r>
    </w:p>
    <w:p w14:paraId="0CA3DE76">
      <w:pPr>
        <w:widowControl/>
        <w:tabs>
          <w:tab w:val="left" w:pos="720"/>
        </w:tabs>
        <w:snapToGrid w:val="0"/>
        <w:spacing w:line="360" w:lineRule="auto"/>
        <w:ind w:left="720" w:hanging="72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九、   项目合同修改</w:t>
      </w:r>
    </w:p>
    <w:p w14:paraId="059A0593">
      <w:pPr>
        <w:widowControl/>
        <w:tabs>
          <w:tab w:val="left" w:pos="720"/>
        </w:tabs>
        <w:snapToGrid w:val="0"/>
        <w:spacing w:line="360" w:lineRule="auto"/>
        <w:ind w:left="720" w:hanging="72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十、   违约责任</w:t>
      </w:r>
    </w:p>
    <w:p w14:paraId="00D48E6E">
      <w:pPr>
        <w:widowControl/>
        <w:tabs>
          <w:tab w:val="left" w:pos="720"/>
        </w:tabs>
        <w:snapToGrid w:val="0"/>
        <w:spacing w:line="360" w:lineRule="auto"/>
        <w:ind w:left="720" w:hanging="72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十一、   项目合同终止</w:t>
      </w:r>
    </w:p>
    <w:p w14:paraId="7568C403">
      <w:pPr>
        <w:widowControl/>
        <w:tabs>
          <w:tab w:val="left" w:pos="720"/>
        </w:tabs>
        <w:snapToGrid w:val="0"/>
        <w:spacing w:line="360" w:lineRule="auto"/>
        <w:ind w:left="720" w:hanging="72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十二、   不可抗力</w:t>
      </w:r>
    </w:p>
    <w:p w14:paraId="4F348DD1">
      <w:pPr>
        <w:widowControl/>
        <w:tabs>
          <w:tab w:val="left" w:pos="720"/>
        </w:tabs>
        <w:snapToGrid w:val="0"/>
        <w:spacing w:line="360" w:lineRule="auto"/>
        <w:ind w:left="720" w:hanging="72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十三、   项目保密</w:t>
      </w:r>
    </w:p>
    <w:p w14:paraId="2E317181">
      <w:pPr>
        <w:widowControl/>
        <w:tabs>
          <w:tab w:val="left" w:pos="720"/>
        </w:tabs>
        <w:snapToGrid w:val="0"/>
        <w:spacing w:line="360" w:lineRule="auto"/>
        <w:ind w:left="720" w:hanging="72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十四、   争议解决方式</w:t>
      </w:r>
    </w:p>
    <w:p w14:paraId="39DC2EE4">
      <w:pPr>
        <w:widowControl/>
        <w:tabs>
          <w:tab w:val="left" w:pos="720"/>
        </w:tabs>
        <w:snapToGrid w:val="0"/>
        <w:spacing w:line="360" w:lineRule="auto"/>
        <w:ind w:left="720" w:hanging="72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十五、   项目合同附件清单</w:t>
      </w:r>
    </w:p>
    <w:p w14:paraId="4EFFB02D">
      <w:pPr>
        <w:widowControl/>
        <w:tabs>
          <w:tab w:val="left" w:pos="720"/>
        </w:tabs>
        <w:snapToGrid w:val="0"/>
        <w:spacing w:line="360" w:lineRule="auto"/>
        <w:ind w:left="720" w:hanging="72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十六、   项目合同生效及其它</w:t>
      </w:r>
    </w:p>
    <w:p w14:paraId="421695E6">
      <w:pPr>
        <w:widowControl/>
        <w:tabs>
          <w:tab w:val="left" w:pos="720"/>
        </w:tabs>
        <w:snapToGrid w:val="0"/>
        <w:spacing w:line="360" w:lineRule="auto"/>
        <w:ind w:left="720" w:hanging="72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十七、   项目合同签字并盖章</w:t>
      </w:r>
    </w:p>
    <w:p w14:paraId="77817371">
      <w:pPr>
        <w:widowControl/>
        <w:snapToGrid w:val="0"/>
        <w:spacing w:line="360" w:lineRule="auto"/>
        <w:jc w:val="left"/>
        <w:rPr>
          <w:rFonts w:ascii="宋体" w:hAnsi="宋体" w:cs="宋体"/>
          <w:color w:val="auto"/>
          <w:kern w:val="0"/>
          <w:sz w:val="22"/>
          <w:szCs w:val="22"/>
          <w:highlight w:val="none"/>
        </w:rPr>
      </w:pPr>
    </w:p>
    <w:p w14:paraId="3C369C8E">
      <w:pPr>
        <w:widowControl/>
        <w:snapToGrid w:val="0"/>
        <w:spacing w:line="360" w:lineRule="auto"/>
        <w:jc w:val="left"/>
        <w:rPr>
          <w:rFonts w:ascii="宋体" w:hAnsi="宋体" w:cs="宋体"/>
          <w:color w:val="auto"/>
          <w:kern w:val="0"/>
          <w:sz w:val="22"/>
          <w:szCs w:val="22"/>
          <w:highlight w:val="none"/>
        </w:rPr>
      </w:pPr>
    </w:p>
    <w:p w14:paraId="1620B9A6">
      <w:pPr>
        <w:widowControl/>
        <w:snapToGrid w:val="0"/>
        <w:spacing w:line="360" w:lineRule="auto"/>
        <w:jc w:val="left"/>
        <w:rPr>
          <w:rFonts w:ascii="宋体" w:hAnsi="宋体" w:cs="宋体"/>
          <w:color w:val="auto"/>
          <w:kern w:val="0"/>
          <w:sz w:val="22"/>
          <w:szCs w:val="22"/>
          <w:highlight w:val="none"/>
        </w:rPr>
      </w:pPr>
    </w:p>
    <w:p w14:paraId="007EC26A">
      <w:pPr>
        <w:widowControl/>
        <w:snapToGrid w:val="0"/>
        <w:spacing w:line="360" w:lineRule="auto"/>
        <w:jc w:val="left"/>
        <w:rPr>
          <w:rFonts w:ascii="宋体" w:hAnsi="宋体" w:cs="宋体"/>
          <w:color w:val="auto"/>
          <w:kern w:val="0"/>
          <w:sz w:val="22"/>
          <w:szCs w:val="22"/>
          <w:highlight w:val="none"/>
        </w:rPr>
      </w:pPr>
    </w:p>
    <w:p w14:paraId="19F51D53">
      <w:pPr>
        <w:widowControl/>
        <w:snapToGrid w:val="0"/>
        <w:spacing w:line="360" w:lineRule="auto"/>
        <w:jc w:val="left"/>
        <w:rPr>
          <w:rFonts w:ascii="宋体" w:hAnsi="宋体" w:cs="宋体"/>
          <w:color w:val="auto"/>
          <w:kern w:val="0"/>
          <w:sz w:val="22"/>
          <w:szCs w:val="22"/>
          <w:highlight w:val="none"/>
        </w:rPr>
      </w:pPr>
    </w:p>
    <w:p w14:paraId="6B72B133">
      <w:pPr>
        <w:widowControl/>
        <w:snapToGrid w:val="0"/>
        <w:spacing w:line="360" w:lineRule="auto"/>
        <w:jc w:val="left"/>
        <w:rPr>
          <w:rFonts w:ascii="宋体" w:hAnsi="宋体" w:cs="宋体"/>
          <w:color w:val="auto"/>
          <w:kern w:val="0"/>
          <w:sz w:val="22"/>
          <w:szCs w:val="22"/>
          <w:highlight w:val="none"/>
        </w:rPr>
      </w:pPr>
    </w:p>
    <w:p w14:paraId="2A04D1C6">
      <w:pPr>
        <w:widowControl/>
        <w:snapToGrid w:val="0"/>
        <w:spacing w:line="360" w:lineRule="auto"/>
        <w:jc w:val="left"/>
        <w:rPr>
          <w:rFonts w:ascii="宋体" w:hAnsi="宋体" w:cs="宋体"/>
          <w:color w:val="auto"/>
          <w:kern w:val="0"/>
          <w:sz w:val="22"/>
          <w:szCs w:val="22"/>
          <w:highlight w:val="none"/>
        </w:rPr>
      </w:pPr>
    </w:p>
    <w:p w14:paraId="15F06BE1">
      <w:pPr>
        <w:widowControl/>
        <w:snapToGrid w:val="0"/>
        <w:spacing w:line="360" w:lineRule="auto"/>
        <w:jc w:val="left"/>
        <w:rPr>
          <w:rFonts w:ascii="宋体" w:hAnsi="宋体" w:cs="宋体"/>
          <w:color w:val="auto"/>
          <w:kern w:val="0"/>
          <w:sz w:val="22"/>
          <w:szCs w:val="22"/>
          <w:highlight w:val="none"/>
        </w:rPr>
      </w:pPr>
    </w:p>
    <w:p w14:paraId="43674D23">
      <w:pPr>
        <w:widowControl/>
        <w:snapToGrid w:val="0"/>
        <w:spacing w:line="360" w:lineRule="auto"/>
        <w:jc w:val="left"/>
        <w:rPr>
          <w:rFonts w:ascii="宋体" w:hAnsi="宋体" w:cs="宋体"/>
          <w:color w:val="auto"/>
          <w:kern w:val="0"/>
          <w:sz w:val="22"/>
          <w:szCs w:val="22"/>
          <w:highlight w:val="none"/>
        </w:rPr>
      </w:pPr>
    </w:p>
    <w:p w14:paraId="6D070C9B">
      <w:pPr>
        <w:widowControl/>
        <w:snapToGrid w:val="0"/>
        <w:spacing w:line="360" w:lineRule="auto"/>
        <w:jc w:val="left"/>
        <w:rPr>
          <w:rFonts w:ascii="宋体" w:hAnsi="宋体" w:cs="宋体"/>
          <w:color w:val="auto"/>
          <w:kern w:val="0"/>
          <w:sz w:val="22"/>
          <w:szCs w:val="22"/>
          <w:highlight w:val="none"/>
        </w:rPr>
      </w:pPr>
    </w:p>
    <w:p w14:paraId="427B8ECB">
      <w:pPr>
        <w:widowControl/>
        <w:snapToGrid w:val="0"/>
        <w:spacing w:line="360" w:lineRule="auto"/>
        <w:jc w:val="left"/>
        <w:rPr>
          <w:rFonts w:ascii="宋体" w:hAnsi="宋体" w:cs="宋体"/>
          <w:color w:val="auto"/>
          <w:kern w:val="0"/>
          <w:sz w:val="22"/>
          <w:szCs w:val="22"/>
          <w:highlight w:val="none"/>
        </w:rPr>
      </w:pPr>
    </w:p>
    <w:p w14:paraId="1921DE96">
      <w:pPr>
        <w:widowControl/>
        <w:snapToGrid w:val="0"/>
        <w:spacing w:line="360" w:lineRule="auto"/>
        <w:jc w:val="left"/>
        <w:rPr>
          <w:rFonts w:ascii="宋体" w:hAnsi="宋体" w:cs="宋体"/>
          <w:color w:val="auto"/>
          <w:kern w:val="0"/>
          <w:sz w:val="22"/>
          <w:szCs w:val="22"/>
          <w:highlight w:val="none"/>
        </w:rPr>
      </w:pPr>
    </w:p>
    <w:p w14:paraId="4364D5FE">
      <w:pPr>
        <w:widowControl/>
        <w:tabs>
          <w:tab w:val="left" w:pos="495"/>
        </w:tabs>
        <w:snapToGrid w:val="0"/>
        <w:spacing w:line="360" w:lineRule="auto"/>
        <w:jc w:val="left"/>
        <w:rPr>
          <w:rFonts w:ascii="宋体" w:hAnsi="宋体" w:cs="宋体"/>
          <w:color w:val="auto"/>
          <w:kern w:val="0"/>
          <w:sz w:val="22"/>
          <w:szCs w:val="22"/>
          <w:highlight w:val="none"/>
        </w:rPr>
      </w:pPr>
    </w:p>
    <w:p w14:paraId="0E723F47">
      <w:pPr>
        <w:widowControl/>
        <w:tabs>
          <w:tab w:val="left" w:pos="495"/>
        </w:tabs>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一、总则</w:t>
      </w:r>
    </w:p>
    <w:p w14:paraId="4FF23DA4">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（一）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年</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日在（业主单位名称）的招标采购中，甲方接受乙方对本次</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项目的投标，甲、乙双方根据《中华人民共和国民法典》、《中华人民共和国政府采购法》等法律法规和本合同的招标文件、投标文件及其投标中的承诺，经双方协商，同意按下述条款和条件签订本合同，共同遵守。</w:t>
      </w:r>
    </w:p>
    <w:p w14:paraId="1B3394EC">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（二）项目建设目标：（根据招标文件、投标文件内容填写）</w:t>
      </w:r>
    </w:p>
    <w:p w14:paraId="24E4DB22">
      <w:pPr>
        <w:widowControl/>
        <w:numPr>
          <w:ilvl w:val="0"/>
          <w:numId w:val="2"/>
        </w:numPr>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项目建设内容：（根据招标文件、投标文件内容填写）</w:t>
      </w:r>
    </w:p>
    <w:p w14:paraId="7AB76012">
      <w:pPr>
        <w:widowControl/>
        <w:tabs>
          <w:tab w:val="left" w:pos="495"/>
        </w:tabs>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二、甲方责任</w:t>
      </w:r>
    </w:p>
    <w:p w14:paraId="67ED7FA2">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（一）甲方提出项目建设任务和需求，负责项目的总体组织工作，并保留根据实际工作需求，提出对项目建设方案进行适当修改的权利。 </w:t>
      </w:r>
    </w:p>
    <w:p w14:paraId="1D4655AD">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（二）甲方应为乙方的调研、安装、测试、调试等工作提供必要的工作环境及协助人员。</w:t>
      </w:r>
    </w:p>
    <w:p w14:paraId="2E518FF0">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（三）甲方负责组织由乙方提供的技术培训工作。</w:t>
      </w:r>
    </w:p>
    <w:p w14:paraId="0A0BA59C">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（四）甲方负责协调最终甲方和乙方的关系，并提供最终甲方的联系方式。</w:t>
      </w:r>
    </w:p>
    <w:p w14:paraId="7BDD06B8">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（五）甲方对乙方向甲方提供的内部资料予以保密，且不向任何第三方泄露乙方的商业机密和技术机密。</w:t>
      </w:r>
    </w:p>
    <w:p w14:paraId="6957B1C2">
      <w:pPr>
        <w:widowControl/>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三、乙方责任</w:t>
      </w:r>
    </w:p>
    <w:p w14:paraId="644B557D">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（一）乙方应根据项目招标文件中《业务需求和技术指标》的要求细化项目建设需求，并根据投标文件中的《建设方案》进行项目建设，负责项目的具体实施工作。</w:t>
      </w:r>
    </w:p>
    <w:p w14:paraId="391B7979">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（二）乙方根据招标文件的基本技术要求与甲方共同确定项目所需的系统软件、硬件的数量及规格要求。</w:t>
      </w:r>
    </w:p>
    <w:p w14:paraId="6E0FE15C">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（三）乙方保证按合同规定时间完工，并在工程结束时提交完整的相应技术文档及用户手册，并积极配合甲方对工程项目进行验收。</w:t>
      </w:r>
    </w:p>
    <w:p w14:paraId="72456E6B">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（四）乙方向甲方提供</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年（不少于3年）的</w:t>
      </w:r>
      <w:r>
        <w:rPr>
          <w:rFonts w:hint="eastAsia" w:ascii="新宋体" w:hAnsi="新宋体" w:eastAsia="新宋体" w:cs="新宋体"/>
          <w:color w:val="auto"/>
          <w:kern w:val="0"/>
          <w:sz w:val="22"/>
          <w:szCs w:val="22"/>
          <w:highlight w:val="none"/>
          <w:u w:val="single"/>
        </w:rPr>
        <w:t>原厂商</w:t>
      </w:r>
      <w:r>
        <w:rPr>
          <w:rFonts w:hint="eastAsia" w:ascii="新宋体" w:hAnsi="新宋体" w:eastAsia="新宋体" w:cs="新宋体"/>
          <w:color w:val="auto"/>
          <w:kern w:val="0"/>
          <w:sz w:val="22"/>
          <w:szCs w:val="22"/>
          <w:highlight w:val="none"/>
        </w:rPr>
        <w:t>免费维护和保修服务（详见附件《技术支持和售后服务方案》）(包括软件、硬件及系统)，免费维护和保修服务从验收合格之日起计算。</w:t>
      </w:r>
    </w:p>
    <w:p w14:paraId="6CAA0391">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（五）乙方为甲方提供项目的所有软件使用、管理及维护等方面的</w:t>
      </w:r>
      <w:r>
        <w:rPr>
          <w:rFonts w:hint="eastAsia" w:ascii="新宋体" w:hAnsi="新宋体" w:eastAsia="新宋体" w:cs="新宋体"/>
          <w:color w:val="auto"/>
          <w:kern w:val="0"/>
          <w:sz w:val="22"/>
          <w:szCs w:val="22"/>
          <w:highlight w:val="none"/>
          <w:u w:val="single"/>
        </w:rPr>
        <w:t xml:space="preserve"> 免费 </w:t>
      </w:r>
      <w:r>
        <w:rPr>
          <w:rFonts w:hint="eastAsia" w:ascii="新宋体" w:hAnsi="新宋体" w:eastAsia="新宋体" w:cs="新宋体"/>
          <w:color w:val="auto"/>
          <w:kern w:val="0"/>
          <w:sz w:val="22"/>
          <w:szCs w:val="22"/>
          <w:highlight w:val="none"/>
        </w:rPr>
        <w:t>培训（详见附件《技术支持和售后服务方案》）。</w:t>
      </w:r>
    </w:p>
    <w:p w14:paraId="5157C5E4">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六）发包需甲方同意，未经甲方书面授权或同意，乙方不得以任何方式将项目部分或全部转交第三方或由第三方提供相关服务。否则一经发现，甲方有权立即单方解除合同，乙方应立即返还甲方已经支付的全部项目款，并赔偿甲方合同总价</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%的违约金。</w:t>
      </w:r>
    </w:p>
    <w:p w14:paraId="2F4F8B2E">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（七）乙方应对甲方提供的系统运行中获取的包括但不限于甲方联系方式等内部资料采取必要的保密技术手段，不得运用于乙方任何研发、销售、技术分析等用途，且不得向任何第三方泄露甲方的任何内部资料。</w:t>
      </w:r>
    </w:p>
    <w:p w14:paraId="199B24E7">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八）乙方自行负责为其工作人员配备符合工作、劳动条件的设备、装置、器具、保障其饮食起居等问题，在任何情况下乙方对其工作人员的人身安全、施工安全等负全部责任，甲方对此概不负责。如因情况紧急等原因甲方先行承担的，有权向乙方追偿。</w:t>
      </w:r>
    </w:p>
    <w:p w14:paraId="6FE36671">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九）乙方应满足上述产品质量标准，并保证该软件硬件的运行不影响甲方内部网络信息安全性和保密性，因乙方没有履行上述义务造成甲方被第三方追责或损失的，乙方应承担全部责任，甲方先行赔偿的，有权按赔偿金额及损失向乙方追偿。</w:t>
      </w:r>
    </w:p>
    <w:p w14:paraId="01DDE38F">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（十）本项目中定制开发的软件知识产权及使用权归甲方所有，乙方应在项目验收时将该项目定制开发系统的全部源代码无偿交付甲方。</w:t>
      </w:r>
    </w:p>
    <w:p w14:paraId="386F84A5">
      <w:pPr>
        <w:widowControl/>
        <w:tabs>
          <w:tab w:val="left" w:pos="495"/>
        </w:tabs>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四、项目工期与进度表（请填写招标文件要求的合同工期与进度计划）</w:t>
      </w:r>
    </w:p>
    <w:p w14:paraId="2940816A">
      <w:pPr>
        <w:widowControl/>
        <w:tabs>
          <w:tab w:val="left" w:pos="495"/>
        </w:tabs>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本项目总工期为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天（包括不少于3个月试运行），工期以合同签订日起计算，项目验收合格日截止。</w:t>
      </w:r>
    </w:p>
    <w:p w14:paraId="2AB19753">
      <w:pPr>
        <w:widowControl/>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五、项目上线、试运行和验收</w:t>
      </w:r>
    </w:p>
    <w:p w14:paraId="7A07207E">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乙方应在系统上线前，进行完整系统测试后，向甲方提供详细的系统上线方案，由甲方确认。在甲方确认无误后，乙方应负责按系统上线方案进行系统的安装调试工作。在安装、调试过程中，乙方应对甲方技术人员所提出的问题给予满意的答复，并提供安装调试过程中的各种文档资料，以便于甲方能掌握操作方法和维修方法。项目上线后，乙方应向甲方提供安装、调试报告，报告中应包括安装调试结果和安装调试过程中出现的问题及解决办法等内容。</w:t>
      </w:r>
    </w:p>
    <w:p w14:paraId="7E767DB4">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（二）项目上线、软件及系统的安装调试工作完成后，应进行至少为期3个月的试运行，乙方应派遣技术人员（应明确人数及资质要求）在现场进行技术服务，负责软件及系统试运行阶段的服务工作。</w:t>
      </w:r>
    </w:p>
    <w:p w14:paraId="22C14D04">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（三）在试运行期间，由于各种原因造成某些技术指标达不到要求，乙方应负责解决，且试运行期相应顺延。</w:t>
      </w:r>
    </w:p>
    <w:p w14:paraId="6CB45835">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（四）软件及系统试运行结束后，按照《温州市市本级党政机关信息化项目建设管理办法》进行验收。</w:t>
      </w:r>
    </w:p>
    <w:p w14:paraId="5DA8ED93">
      <w:pPr>
        <w:widowControl/>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六、售后服务和技术培训</w:t>
      </w:r>
    </w:p>
    <w:p w14:paraId="34AF1837">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乙方应按附件《技术支持和售后服务方案》的内容为甲方提供免费技术培训和售后服务。</w:t>
      </w:r>
    </w:p>
    <w:p w14:paraId="3C40BA77">
      <w:pPr>
        <w:widowControl/>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七、项目合同金额</w:t>
      </w:r>
    </w:p>
    <w:p w14:paraId="1A3E41D2">
      <w:pPr>
        <w:widowControl/>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（一）本合同中提及金额均为含税价。</w:t>
      </w:r>
    </w:p>
    <w:p w14:paraId="616FDFEA">
      <w:pPr>
        <w:widowControl/>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（二）合同总金额为：人民币：</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元（大写：</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元整）</w:t>
      </w:r>
    </w:p>
    <w:p w14:paraId="1BEE10EA">
      <w:pPr>
        <w:widowControl/>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（三）合同详细价格清单</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3521"/>
        <w:gridCol w:w="619"/>
        <w:gridCol w:w="1080"/>
        <w:gridCol w:w="900"/>
        <w:gridCol w:w="1260"/>
      </w:tblGrid>
      <w:tr w14:paraId="78BA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tcBorders>
              <w:top w:val="double" w:color="auto" w:sz="4" w:space="0"/>
              <w:left w:val="double" w:color="auto" w:sz="4" w:space="0"/>
            </w:tcBorders>
            <w:vAlign w:val="center"/>
          </w:tcPr>
          <w:p w14:paraId="170BB2FB">
            <w:pPr>
              <w:widowControl/>
              <w:spacing w:line="460" w:lineRule="exact"/>
              <w:jc w:val="center"/>
              <w:rPr>
                <w:rFonts w:ascii="新宋体" w:hAnsi="新宋体" w:eastAsia="新宋体" w:cs="新宋体"/>
                <w:caps/>
                <w:color w:val="auto"/>
                <w:kern w:val="0"/>
                <w:sz w:val="22"/>
                <w:szCs w:val="22"/>
                <w:highlight w:val="none"/>
              </w:rPr>
            </w:pPr>
            <w:r>
              <w:rPr>
                <w:rFonts w:hint="eastAsia" w:ascii="新宋体" w:hAnsi="新宋体" w:eastAsia="新宋体" w:cs="新宋体"/>
                <w:caps/>
                <w:color w:val="auto"/>
                <w:kern w:val="0"/>
                <w:sz w:val="22"/>
                <w:szCs w:val="22"/>
                <w:highlight w:val="none"/>
              </w:rPr>
              <w:t>软件模块名称</w:t>
            </w:r>
          </w:p>
        </w:tc>
        <w:tc>
          <w:tcPr>
            <w:tcW w:w="3521" w:type="dxa"/>
            <w:tcBorders>
              <w:top w:val="double" w:color="auto" w:sz="4" w:space="0"/>
            </w:tcBorders>
            <w:vAlign w:val="center"/>
          </w:tcPr>
          <w:p w14:paraId="36DE1615">
            <w:pPr>
              <w:widowControl/>
              <w:spacing w:line="460" w:lineRule="exact"/>
              <w:jc w:val="center"/>
              <w:rPr>
                <w:rFonts w:ascii="新宋体" w:hAnsi="新宋体" w:eastAsia="新宋体" w:cs="新宋体"/>
                <w:caps/>
                <w:color w:val="auto"/>
                <w:kern w:val="0"/>
                <w:sz w:val="22"/>
                <w:szCs w:val="22"/>
                <w:highlight w:val="none"/>
              </w:rPr>
            </w:pPr>
            <w:r>
              <w:rPr>
                <w:rFonts w:hint="eastAsia" w:ascii="新宋体" w:hAnsi="新宋体" w:eastAsia="新宋体" w:cs="新宋体"/>
                <w:caps/>
                <w:color w:val="auto"/>
                <w:kern w:val="0"/>
                <w:sz w:val="22"/>
                <w:szCs w:val="22"/>
                <w:highlight w:val="none"/>
              </w:rPr>
              <w:t>说明</w:t>
            </w:r>
          </w:p>
        </w:tc>
        <w:tc>
          <w:tcPr>
            <w:tcW w:w="619" w:type="dxa"/>
            <w:tcBorders>
              <w:top w:val="double" w:color="auto" w:sz="4" w:space="0"/>
            </w:tcBorders>
            <w:vAlign w:val="center"/>
          </w:tcPr>
          <w:p w14:paraId="010207BD">
            <w:pPr>
              <w:widowControl/>
              <w:spacing w:line="460" w:lineRule="exact"/>
              <w:jc w:val="center"/>
              <w:rPr>
                <w:rFonts w:ascii="新宋体" w:hAnsi="新宋体" w:eastAsia="新宋体" w:cs="新宋体"/>
                <w:caps/>
                <w:color w:val="auto"/>
                <w:kern w:val="0"/>
                <w:sz w:val="22"/>
                <w:szCs w:val="22"/>
                <w:highlight w:val="none"/>
              </w:rPr>
            </w:pPr>
            <w:r>
              <w:rPr>
                <w:rFonts w:hint="eastAsia" w:ascii="新宋体" w:hAnsi="新宋体" w:eastAsia="新宋体" w:cs="新宋体"/>
                <w:caps/>
                <w:color w:val="auto"/>
                <w:kern w:val="0"/>
                <w:sz w:val="22"/>
                <w:szCs w:val="22"/>
                <w:highlight w:val="none"/>
              </w:rPr>
              <w:t>数量</w:t>
            </w:r>
          </w:p>
        </w:tc>
        <w:tc>
          <w:tcPr>
            <w:tcW w:w="1080" w:type="dxa"/>
            <w:tcBorders>
              <w:top w:val="double" w:color="auto" w:sz="4" w:space="0"/>
            </w:tcBorders>
            <w:vAlign w:val="center"/>
          </w:tcPr>
          <w:p w14:paraId="45EF848C">
            <w:pPr>
              <w:widowControl/>
              <w:spacing w:line="460" w:lineRule="exact"/>
              <w:jc w:val="center"/>
              <w:rPr>
                <w:rFonts w:ascii="新宋体" w:hAnsi="新宋体" w:eastAsia="新宋体" w:cs="新宋体"/>
                <w:caps/>
                <w:color w:val="auto"/>
                <w:kern w:val="0"/>
                <w:sz w:val="22"/>
                <w:szCs w:val="22"/>
                <w:highlight w:val="none"/>
              </w:rPr>
            </w:pPr>
            <w:r>
              <w:rPr>
                <w:rFonts w:hint="eastAsia" w:ascii="新宋体" w:hAnsi="新宋体" w:eastAsia="新宋体" w:cs="新宋体"/>
                <w:caps/>
                <w:color w:val="auto"/>
                <w:kern w:val="0"/>
                <w:sz w:val="22"/>
                <w:szCs w:val="22"/>
                <w:highlight w:val="none"/>
              </w:rPr>
              <w:t>单价</w:t>
            </w:r>
          </w:p>
        </w:tc>
        <w:tc>
          <w:tcPr>
            <w:tcW w:w="900" w:type="dxa"/>
            <w:tcBorders>
              <w:top w:val="double" w:color="auto" w:sz="4" w:space="0"/>
            </w:tcBorders>
            <w:vAlign w:val="center"/>
          </w:tcPr>
          <w:p w14:paraId="10BCD31E">
            <w:pPr>
              <w:widowControl/>
              <w:spacing w:line="460" w:lineRule="exact"/>
              <w:jc w:val="center"/>
              <w:rPr>
                <w:rFonts w:ascii="新宋体" w:hAnsi="新宋体" w:eastAsia="新宋体" w:cs="新宋体"/>
                <w:caps/>
                <w:color w:val="auto"/>
                <w:kern w:val="0"/>
                <w:sz w:val="22"/>
                <w:szCs w:val="22"/>
                <w:highlight w:val="none"/>
              </w:rPr>
            </w:pPr>
            <w:r>
              <w:rPr>
                <w:rFonts w:hint="eastAsia" w:ascii="新宋体" w:hAnsi="新宋体" w:eastAsia="新宋体" w:cs="新宋体"/>
                <w:caps/>
                <w:color w:val="auto"/>
                <w:kern w:val="0"/>
                <w:sz w:val="22"/>
                <w:szCs w:val="22"/>
                <w:highlight w:val="none"/>
              </w:rPr>
              <w:t>总价</w:t>
            </w:r>
          </w:p>
        </w:tc>
        <w:tc>
          <w:tcPr>
            <w:tcW w:w="1260" w:type="dxa"/>
            <w:tcBorders>
              <w:top w:val="double" w:color="auto" w:sz="4" w:space="0"/>
              <w:right w:val="double" w:color="auto" w:sz="4" w:space="0"/>
            </w:tcBorders>
            <w:vAlign w:val="center"/>
          </w:tcPr>
          <w:p w14:paraId="36FBE630">
            <w:pPr>
              <w:widowControl/>
              <w:spacing w:line="460" w:lineRule="exact"/>
              <w:jc w:val="center"/>
              <w:rPr>
                <w:rFonts w:ascii="新宋体" w:hAnsi="新宋体" w:eastAsia="新宋体" w:cs="新宋体"/>
                <w:caps/>
                <w:color w:val="auto"/>
                <w:kern w:val="0"/>
                <w:sz w:val="22"/>
                <w:szCs w:val="22"/>
                <w:highlight w:val="none"/>
              </w:rPr>
            </w:pPr>
            <w:r>
              <w:rPr>
                <w:rFonts w:hint="eastAsia" w:ascii="新宋体" w:hAnsi="新宋体" w:eastAsia="新宋体" w:cs="新宋体"/>
                <w:caps/>
                <w:color w:val="auto"/>
                <w:kern w:val="0"/>
                <w:sz w:val="22"/>
                <w:szCs w:val="22"/>
                <w:highlight w:val="none"/>
              </w:rPr>
              <w:t>保修期限</w:t>
            </w:r>
          </w:p>
        </w:tc>
      </w:tr>
      <w:tr w14:paraId="7A44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tcBorders>
              <w:left w:val="double" w:color="auto" w:sz="4" w:space="0"/>
            </w:tcBorders>
            <w:vAlign w:val="center"/>
          </w:tcPr>
          <w:p w14:paraId="28B6D48E">
            <w:pPr>
              <w:spacing w:line="460" w:lineRule="exact"/>
              <w:rPr>
                <w:rFonts w:ascii="新宋体" w:hAnsi="新宋体" w:eastAsia="新宋体" w:cs="新宋体"/>
                <w:color w:val="auto"/>
                <w:sz w:val="22"/>
                <w:szCs w:val="22"/>
                <w:highlight w:val="none"/>
              </w:rPr>
            </w:pPr>
          </w:p>
        </w:tc>
        <w:tc>
          <w:tcPr>
            <w:tcW w:w="3521" w:type="dxa"/>
            <w:vAlign w:val="center"/>
          </w:tcPr>
          <w:p w14:paraId="09050D27">
            <w:pPr>
              <w:spacing w:line="460" w:lineRule="exact"/>
              <w:rPr>
                <w:rFonts w:ascii="新宋体" w:hAnsi="新宋体" w:eastAsia="新宋体" w:cs="新宋体"/>
                <w:color w:val="auto"/>
                <w:sz w:val="22"/>
                <w:szCs w:val="22"/>
                <w:highlight w:val="none"/>
              </w:rPr>
            </w:pPr>
          </w:p>
        </w:tc>
        <w:tc>
          <w:tcPr>
            <w:tcW w:w="619" w:type="dxa"/>
            <w:vAlign w:val="center"/>
          </w:tcPr>
          <w:p w14:paraId="21D6422C">
            <w:pPr>
              <w:spacing w:line="460" w:lineRule="exact"/>
              <w:jc w:val="center"/>
              <w:rPr>
                <w:rFonts w:ascii="新宋体" w:hAnsi="新宋体" w:eastAsia="新宋体" w:cs="新宋体"/>
                <w:color w:val="auto"/>
                <w:sz w:val="22"/>
                <w:szCs w:val="22"/>
                <w:highlight w:val="none"/>
              </w:rPr>
            </w:pPr>
          </w:p>
        </w:tc>
        <w:tc>
          <w:tcPr>
            <w:tcW w:w="1080" w:type="dxa"/>
            <w:vAlign w:val="center"/>
          </w:tcPr>
          <w:p w14:paraId="33B563E2">
            <w:pPr>
              <w:spacing w:line="460" w:lineRule="exact"/>
              <w:jc w:val="right"/>
              <w:rPr>
                <w:rFonts w:ascii="新宋体" w:hAnsi="新宋体" w:eastAsia="新宋体" w:cs="新宋体"/>
                <w:color w:val="auto"/>
                <w:sz w:val="22"/>
                <w:szCs w:val="22"/>
                <w:highlight w:val="none"/>
              </w:rPr>
            </w:pPr>
          </w:p>
        </w:tc>
        <w:tc>
          <w:tcPr>
            <w:tcW w:w="900" w:type="dxa"/>
            <w:vAlign w:val="center"/>
          </w:tcPr>
          <w:p w14:paraId="50C59D08">
            <w:pPr>
              <w:spacing w:line="460" w:lineRule="exact"/>
              <w:jc w:val="right"/>
              <w:rPr>
                <w:rFonts w:ascii="新宋体" w:hAnsi="新宋体" w:eastAsia="新宋体" w:cs="新宋体"/>
                <w:color w:val="auto"/>
                <w:sz w:val="22"/>
                <w:szCs w:val="22"/>
                <w:highlight w:val="none"/>
              </w:rPr>
            </w:pPr>
          </w:p>
        </w:tc>
        <w:tc>
          <w:tcPr>
            <w:tcW w:w="1260" w:type="dxa"/>
            <w:tcBorders>
              <w:right w:val="double" w:color="auto" w:sz="4" w:space="0"/>
            </w:tcBorders>
            <w:vAlign w:val="center"/>
          </w:tcPr>
          <w:p w14:paraId="48262422">
            <w:pPr>
              <w:pStyle w:val="31"/>
              <w:tabs>
                <w:tab w:val="left" w:pos="8540"/>
              </w:tabs>
              <w:spacing w:line="460" w:lineRule="exact"/>
              <w:jc w:val="center"/>
              <w:rPr>
                <w:rFonts w:ascii="新宋体" w:hAnsi="新宋体" w:eastAsia="新宋体" w:cs="新宋体"/>
                <w:color w:val="auto"/>
                <w:sz w:val="22"/>
                <w:szCs w:val="22"/>
                <w:highlight w:val="none"/>
              </w:rPr>
            </w:pPr>
          </w:p>
        </w:tc>
      </w:tr>
      <w:tr w14:paraId="2ED1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tcBorders>
              <w:left w:val="double" w:color="auto" w:sz="4" w:space="0"/>
            </w:tcBorders>
            <w:vAlign w:val="center"/>
          </w:tcPr>
          <w:p w14:paraId="431A0DD9">
            <w:pPr>
              <w:spacing w:line="460" w:lineRule="exact"/>
              <w:rPr>
                <w:rFonts w:ascii="新宋体" w:hAnsi="新宋体" w:eastAsia="新宋体" w:cs="新宋体"/>
                <w:color w:val="auto"/>
                <w:sz w:val="22"/>
                <w:szCs w:val="22"/>
                <w:highlight w:val="none"/>
              </w:rPr>
            </w:pPr>
          </w:p>
        </w:tc>
        <w:tc>
          <w:tcPr>
            <w:tcW w:w="3521" w:type="dxa"/>
            <w:vAlign w:val="center"/>
          </w:tcPr>
          <w:p w14:paraId="59920756">
            <w:pPr>
              <w:spacing w:line="460" w:lineRule="exact"/>
              <w:rPr>
                <w:rFonts w:ascii="新宋体" w:hAnsi="新宋体" w:eastAsia="新宋体" w:cs="新宋体"/>
                <w:color w:val="auto"/>
                <w:sz w:val="22"/>
                <w:szCs w:val="22"/>
                <w:highlight w:val="none"/>
              </w:rPr>
            </w:pPr>
          </w:p>
        </w:tc>
        <w:tc>
          <w:tcPr>
            <w:tcW w:w="619" w:type="dxa"/>
            <w:vAlign w:val="center"/>
          </w:tcPr>
          <w:p w14:paraId="52304F59">
            <w:pPr>
              <w:spacing w:line="460" w:lineRule="exact"/>
              <w:jc w:val="center"/>
              <w:rPr>
                <w:rFonts w:ascii="新宋体" w:hAnsi="新宋体" w:eastAsia="新宋体" w:cs="新宋体"/>
                <w:color w:val="auto"/>
                <w:sz w:val="22"/>
                <w:szCs w:val="22"/>
                <w:highlight w:val="none"/>
              </w:rPr>
            </w:pPr>
          </w:p>
        </w:tc>
        <w:tc>
          <w:tcPr>
            <w:tcW w:w="1080" w:type="dxa"/>
            <w:vAlign w:val="center"/>
          </w:tcPr>
          <w:p w14:paraId="2260F2C2">
            <w:pPr>
              <w:spacing w:line="460" w:lineRule="exact"/>
              <w:jc w:val="right"/>
              <w:rPr>
                <w:rFonts w:ascii="新宋体" w:hAnsi="新宋体" w:eastAsia="新宋体" w:cs="新宋体"/>
                <w:color w:val="auto"/>
                <w:sz w:val="22"/>
                <w:szCs w:val="22"/>
                <w:highlight w:val="none"/>
              </w:rPr>
            </w:pPr>
          </w:p>
        </w:tc>
        <w:tc>
          <w:tcPr>
            <w:tcW w:w="900" w:type="dxa"/>
            <w:vAlign w:val="center"/>
          </w:tcPr>
          <w:p w14:paraId="7C4DC5C1">
            <w:pPr>
              <w:spacing w:line="460" w:lineRule="exact"/>
              <w:jc w:val="right"/>
              <w:rPr>
                <w:rFonts w:ascii="新宋体" w:hAnsi="新宋体" w:eastAsia="新宋体" w:cs="新宋体"/>
                <w:color w:val="auto"/>
                <w:sz w:val="22"/>
                <w:szCs w:val="22"/>
                <w:highlight w:val="none"/>
              </w:rPr>
            </w:pPr>
          </w:p>
        </w:tc>
        <w:tc>
          <w:tcPr>
            <w:tcW w:w="1260" w:type="dxa"/>
            <w:tcBorders>
              <w:right w:val="double" w:color="auto" w:sz="4" w:space="0"/>
            </w:tcBorders>
            <w:vAlign w:val="center"/>
          </w:tcPr>
          <w:p w14:paraId="4EA86FAE">
            <w:pPr>
              <w:pStyle w:val="31"/>
              <w:tabs>
                <w:tab w:val="left" w:pos="8540"/>
              </w:tabs>
              <w:spacing w:line="460" w:lineRule="exact"/>
              <w:jc w:val="center"/>
              <w:rPr>
                <w:rFonts w:ascii="新宋体" w:hAnsi="新宋体" w:eastAsia="新宋体" w:cs="新宋体"/>
                <w:color w:val="auto"/>
                <w:sz w:val="22"/>
                <w:szCs w:val="22"/>
                <w:highlight w:val="none"/>
              </w:rPr>
            </w:pPr>
          </w:p>
        </w:tc>
      </w:tr>
      <w:tr w14:paraId="68EB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tcBorders>
              <w:left w:val="double" w:color="auto" w:sz="4" w:space="0"/>
            </w:tcBorders>
            <w:vAlign w:val="center"/>
          </w:tcPr>
          <w:p w14:paraId="2B06563E">
            <w:pPr>
              <w:spacing w:line="460" w:lineRule="exact"/>
              <w:rPr>
                <w:rFonts w:ascii="新宋体" w:hAnsi="新宋体" w:eastAsia="新宋体" w:cs="新宋体"/>
                <w:color w:val="auto"/>
                <w:sz w:val="22"/>
                <w:szCs w:val="22"/>
                <w:highlight w:val="none"/>
              </w:rPr>
            </w:pPr>
          </w:p>
        </w:tc>
        <w:tc>
          <w:tcPr>
            <w:tcW w:w="3521" w:type="dxa"/>
            <w:vAlign w:val="center"/>
          </w:tcPr>
          <w:p w14:paraId="2D275B2C">
            <w:pPr>
              <w:spacing w:line="460" w:lineRule="exact"/>
              <w:rPr>
                <w:rFonts w:ascii="新宋体" w:hAnsi="新宋体" w:eastAsia="新宋体" w:cs="新宋体"/>
                <w:color w:val="auto"/>
                <w:sz w:val="22"/>
                <w:szCs w:val="22"/>
                <w:highlight w:val="none"/>
              </w:rPr>
            </w:pPr>
          </w:p>
        </w:tc>
        <w:tc>
          <w:tcPr>
            <w:tcW w:w="619" w:type="dxa"/>
            <w:vAlign w:val="center"/>
          </w:tcPr>
          <w:p w14:paraId="59E167DF">
            <w:pPr>
              <w:spacing w:line="460" w:lineRule="exact"/>
              <w:jc w:val="center"/>
              <w:rPr>
                <w:rFonts w:ascii="新宋体" w:hAnsi="新宋体" w:eastAsia="新宋体" w:cs="新宋体"/>
                <w:color w:val="auto"/>
                <w:sz w:val="22"/>
                <w:szCs w:val="22"/>
                <w:highlight w:val="none"/>
              </w:rPr>
            </w:pPr>
          </w:p>
        </w:tc>
        <w:tc>
          <w:tcPr>
            <w:tcW w:w="1080" w:type="dxa"/>
            <w:vAlign w:val="center"/>
          </w:tcPr>
          <w:p w14:paraId="375ABB64">
            <w:pPr>
              <w:spacing w:line="460" w:lineRule="exact"/>
              <w:jc w:val="right"/>
              <w:rPr>
                <w:rFonts w:ascii="新宋体" w:hAnsi="新宋体" w:eastAsia="新宋体" w:cs="新宋体"/>
                <w:color w:val="auto"/>
                <w:sz w:val="22"/>
                <w:szCs w:val="22"/>
                <w:highlight w:val="none"/>
              </w:rPr>
            </w:pPr>
          </w:p>
        </w:tc>
        <w:tc>
          <w:tcPr>
            <w:tcW w:w="900" w:type="dxa"/>
            <w:vAlign w:val="center"/>
          </w:tcPr>
          <w:p w14:paraId="2ED3BBF4">
            <w:pPr>
              <w:spacing w:line="460" w:lineRule="exact"/>
              <w:jc w:val="right"/>
              <w:rPr>
                <w:rFonts w:ascii="新宋体" w:hAnsi="新宋体" w:eastAsia="新宋体" w:cs="新宋体"/>
                <w:color w:val="auto"/>
                <w:sz w:val="22"/>
                <w:szCs w:val="22"/>
                <w:highlight w:val="none"/>
              </w:rPr>
            </w:pPr>
          </w:p>
        </w:tc>
        <w:tc>
          <w:tcPr>
            <w:tcW w:w="1260" w:type="dxa"/>
            <w:tcBorders>
              <w:right w:val="double" w:color="auto" w:sz="4" w:space="0"/>
            </w:tcBorders>
            <w:vAlign w:val="center"/>
          </w:tcPr>
          <w:p w14:paraId="0BDE4434">
            <w:pPr>
              <w:pStyle w:val="31"/>
              <w:tabs>
                <w:tab w:val="left" w:pos="8540"/>
              </w:tabs>
              <w:spacing w:line="460" w:lineRule="exact"/>
              <w:jc w:val="center"/>
              <w:rPr>
                <w:rFonts w:ascii="新宋体" w:hAnsi="新宋体" w:eastAsia="新宋体" w:cs="新宋体"/>
                <w:color w:val="auto"/>
                <w:sz w:val="22"/>
                <w:szCs w:val="22"/>
                <w:highlight w:val="none"/>
              </w:rPr>
            </w:pPr>
          </w:p>
        </w:tc>
      </w:tr>
      <w:tr w14:paraId="7A14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tcBorders>
              <w:left w:val="double" w:color="auto" w:sz="4" w:space="0"/>
            </w:tcBorders>
            <w:vAlign w:val="center"/>
          </w:tcPr>
          <w:p w14:paraId="23202480">
            <w:pPr>
              <w:spacing w:line="460" w:lineRule="exact"/>
              <w:rPr>
                <w:rFonts w:ascii="新宋体" w:hAnsi="新宋体" w:eastAsia="新宋体" w:cs="新宋体"/>
                <w:color w:val="auto"/>
                <w:sz w:val="22"/>
                <w:szCs w:val="22"/>
                <w:highlight w:val="none"/>
              </w:rPr>
            </w:pPr>
          </w:p>
        </w:tc>
        <w:tc>
          <w:tcPr>
            <w:tcW w:w="3521" w:type="dxa"/>
            <w:vAlign w:val="center"/>
          </w:tcPr>
          <w:p w14:paraId="2325196B">
            <w:pPr>
              <w:spacing w:line="460" w:lineRule="exact"/>
              <w:rPr>
                <w:rFonts w:ascii="新宋体" w:hAnsi="新宋体" w:eastAsia="新宋体" w:cs="新宋体"/>
                <w:color w:val="auto"/>
                <w:sz w:val="22"/>
                <w:szCs w:val="22"/>
                <w:highlight w:val="none"/>
              </w:rPr>
            </w:pPr>
          </w:p>
        </w:tc>
        <w:tc>
          <w:tcPr>
            <w:tcW w:w="619" w:type="dxa"/>
            <w:vAlign w:val="center"/>
          </w:tcPr>
          <w:p w14:paraId="614CEC52">
            <w:pPr>
              <w:spacing w:line="460" w:lineRule="exact"/>
              <w:jc w:val="center"/>
              <w:rPr>
                <w:rFonts w:ascii="新宋体" w:hAnsi="新宋体" w:eastAsia="新宋体" w:cs="新宋体"/>
                <w:color w:val="auto"/>
                <w:sz w:val="22"/>
                <w:szCs w:val="22"/>
                <w:highlight w:val="none"/>
              </w:rPr>
            </w:pPr>
          </w:p>
        </w:tc>
        <w:tc>
          <w:tcPr>
            <w:tcW w:w="1080" w:type="dxa"/>
            <w:vAlign w:val="center"/>
          </w:tcPr>
          <w:p w14:paraId="5F12E672">
            <w:pPr>
              <w:spacing w:line="460" w:lineRule="exact"/>
              <w:jc w:val="right"/>
              <w:rPr>
                <w:rFonts w:ascii="新宋体" w:hAnsi="新宋体" w:eastAsia="新宋体" w:cs="新宋体"/>
                <w:color w:val="auto"/>
                <w:sz w:val="22"/>
                <w:szCs w:val="22"/>
                <w:highlight w:val="none"/>
              </w:rPr>
            </w:pPr>
          </w:p>
        </w:tc>
        <w:tc>
          <w:tcPr>
            <w:tcW w:w="900" w:type="dxa"/>
            <w:vAlign w:val="center"/>
          </w:tcPr>
          <w:p w14:paraId="731F8964">
            <w:pPr>
              <w:spacing w:line="460" w:lineRule="exact"/>
              <w:jc w:val="right"/>
              <w:rPr>
                <w:rFonts w:ascii="新宋体" w:hAnsi="新宋体" w:eastAsia="新宋体" w:cs="新宋体"/>
                <w:color w:val="auto"/>
                <w:sz w:val="22"/>
                <w:szCs w:val="22"/>
                <w:highlight w:val="none"/>
              </w:rPr>
            </w:pPr>
          </w:p>
        </w:tc>
        <w:tc>
          <w:tcPr>
            <w:tcW w:w="1260" w:type="dxa"/>
            <w:tcBorders>
              <w:right w:val="double" w:color="auto" w:sz="4" w:space="0"/>
            </w:tcBorders>
            <w:vAlign w:val="center"/>
          </w:tcPr>
          <w:p w14:paraId="1BE6A356">
            <w:pPr>
              <w:pStyle w:val="31"/>
              <w:tabs>
                <w:tab w:val="left" w:pos="8540"/>
              </w:tabs>
              <w:spacing w:line="460" w:lineRule="exact"/>
              <w:jc w:val="center"/>
              <w:rPr>
                <w:rFonts w:ascii="新宋体" w:hAnsi="新宋体" w:eastAsia="新宋体" w:cs="新宋体"/>
                <w:color w:val="auto"/>
                <w:sz w:val="22"/>
                <w:szCs w:val="22"/>
                <w:highlight w:val="none"/>
              </w:rPr>
            </w:pPr>
          </w:p>
        </w:tc>
      </w:tr>
      <w:tr w14:paraId="1E1E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85" w:type="dxa"/>
            <w:tcBorders>
              <w:left w:val="double" w:color="auto" w:sz="4" w:space="0"/>
              <w:bottom w:val="double" w:color="auto" w:sz="4" w:space="0"/>
            </w:tcBorders>
            <w:vAlign w:val="center"/>
          </w:tcPr>
          <w:p w14:paraId="0E8336B9">
            <w:pPr>
              <w:pStyle w:val="31"/>
              <w:tabs>
                <w:tab w:val="left" w:pos="8540"/>
              </w:tabs>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合计总价</w:t>
            </w:r>
          </w:p>
        </w:tc>
        <w:tc>
          <w:tcPr>
            <w:tcW w:w="5220" w:type="dxa"/>
            <w:gridSpan w:val="3"/>
            <w:tcBorders>
              <w:bottom w:val="double" w:color="auto" w:sz="4" w:space="0"/>
            </w:tcBorders>
            <w:vAlign w:val="center"/>
          </w:tcPr>
          <w:p w14:paraId="5AD701B1">
            <w:pPr>
              <w:pStyle w:val="31"/>
              <w:tabs>
                <w:tab w:val="left" w:pos="8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（大写）</w:t>
            </w:r>
          </w:p>
        </w:tc>
        <w:tc>
          <w:tcPr>
            <w:tcW w:w="2160" w:type="dxa"/>
            <w:gridSpan w:val="2"/>
            <w:tcBorders>
              <w:bottom w:val="double" w:color="auto" w:sz="4" w:space="0"/>
              <w:right w:val="double" w:color="auto" w:sz="4" w:space="0"/>
            </w:tcBorders>
            <w:vAlign w:val="center"/>
          </w:tcPr>
          <w:p w14:paraId="0568BCC5">
            <w:pPr>
              <w:pStyle w:val="31"/>
              <w:tabs>
                <w:tab w:val="left" w:pos="8540"/>
              </w:tabs>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r>
    </w:tbl>
    <w:p w14:paraId="133090B0">
      <w:pPr>
        <w:widowControl/>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八、项目合同支付条款</w:t>
      </w:r>
    </w:p>
    <w:p w14:paraId="492B7C4A">
      <w:pPr>
        <w:spacing w:line="460" w:lineRule="exact"/>
        <w:ind w:firstLine="539" w:firstLineChars="245"/>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履约保证金：卖方根据买方双方协议，在合同签订后7个工作日内卖方向买方提供合同总金额的1%，即¥     （人名币    元）履约保证金（或银行、保险公司出具保函形式）；</w:t>
      </w:r>
    </w:p>
    <w:p w14:paraId="244C003F">
      <w:pPr>
        <w:spacing w:line="460" w:lineRule="exact"/>
        <w:ind w:firstLine="539" w:firstLineChars="245"/>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第一笔款：合同签订生效之后7个工作日内，向卖方支付合同总价的46%，即人民币     元整（RMB￥     ）；</w:t>
      </w:r>
    </w:p>
    <w:p w14:paraId="12B230CE">
      <w:pPr>
        <w:spacing w:line="460" w:lineRule="exact"/>
        <w:ind w:firstLine="539" w:firstLineChars="245"/>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第二笔款：完成项目设计、开发、部署、测试、培训等工作，经采购人确认后，，7个工作日内向卖方支付合同总价的34%，即人民币即人民币</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元整（RMB￥</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w:t>
      </w:r>
    </w:p>
    <w:p w14:paraId="5906FFFD">
      <w:pPr>
        <w:spacing w:line="460" w:lineRule="exact"/>
        <w:ind w:firstLine="539" w:firstLineChars="245"/>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第三笔款：全面完成项目约定建设内容，并通过验收后，7个工作日内向卖方支付合同总价的20%，即人民币即人民币</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元整（RMB￥</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w:t>
      </w:r>
    </w:p>
    <w:p w14:paraId="7C976CBD">
      <w:pPr>
        <w:spacing w:line="460" w:lineRule="exact"/>
        <w:ind w:firstLine="539" w:firstLineChars="245"/>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履约保证金：待质保期满后，无质量问题，无息退还履约保证金（或保函形式）。</w:t>
      </w:r>
    </w:p>
    <w:p w14:paraId="58339B13">
      <w:pPr>
        <w:spacing w:line="460" w:lineRule="exact"/>
        <w:ind w:firstLine="541" w:firstLineChars="245"/>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注：以上金额支付均需财政审批通过拨款到位后方后支付。</w:t>
      </w:r>
    </w:p>
    <w:p w14:paraId="4ED11107">
      <w:pPr>
        <w:widowControl/>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九、项目合同修改</w:t>
      </w:r>
    </w:p>
    <w:p w14:paraId="45870D50">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项目建设过程中原则上不能进行合同变更、修改和补充。若确需变更，经合同双方协商一致后，只有在双方授权的代表签署书面文件后才有效，并作为附件成为本合同不可分割的组成部分。</w:t>
      </w:r>
    </w:p>
    <w:p w14:paraId="691692BF">
      <w:pPr>
        <w:widowControl/>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十、违约责任</w:t>
      </w:r>
    </w:p>
    <w:p w14:paraId="22089DAD">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（一）在履行合同的过程中，如果乙方遇到除不可抗力因素外的情形将不能按照合同规定的时间完成系统实施和提供服务时，应当在情况发生时</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日内以书面形式将拖延的事实、可能拖延的时间和原因通知甲方。甲方在收到乙方通知后，应尽快对情况进行评价，并确定是否酌情延长交货时间和提供服务以及是否收取误期赔偿费。延期应通过修改合同的方式由双方书面确认。</w:t>
      </w:r>
    </w:p>
    <w:p w14:paraId="3F95CC17">
      <w:pPr>
        <w:widowControl/>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除了合同条款第十二条的情况外，除非延期是根据合同条款第十条第（一）的规定取得甲方的同意而不收取误期赔偿费之外，若乙方违反本合同第三条、第四条约定提供服务，甲方有权从合同价中扣除误期赔偿费每延期一日，乙方应向甲方支付合同总价</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%的违约金，延期超过</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日（延期时间原则上不超过本项目总工期的0.5倍），甲方有权单方解除合同，要求乙方退回已支付的全部项目款并要求乙方向甲方支付合同总价</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%的违约金。</w:t>
      </w:r>
    </w:p>
    <w:p w14:paraId="70C36AD0">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乙方应提供项目所需的软件硬件符合国家、部门、行业相关技术标准的证明，且不侵犯任何第三方包括但不限于知识产权等任何权益，并保证该软件硬件的运行不影响甲方内部网络信息安全性和保密性问题，因乙方没有履行上述义务造成甲方被第三方追责或损失的，所有责任与损失均由乙方承担，如甲方先行承担的，有权向乙方追偿。乙方应当同时用相同功能的合法软件硬件进行替换，或者取得相关授权，确保能够继续履行本合同所规定的各项权利，并且乙方应当赔偿甲方由此而造成的损失。</w:t>
      </w:r>
    </w:p>
    <w:p w14:paraId="13E5B350">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（四）乙方应在工程结束时向甲方提交一式</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份完整的相应技术文档及用户手册，如在工程验收合格之日起</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日内仍未按上述要求提交的，每延迟一日，应向甲方支付违约</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元。如乙方不履行支付义务的，甲方有权直接在履约保函（或保证金）中予以扣减。</w:t>
      </w:r>
    </w:p>
    <w:p w14:paraId="6E1CC061">
      <w:pPr>
        <w:widowControl/>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十一、项目合同终止 </w:t>
      </w:r>
    </w:p>
    <w:p w14:paraId="600D2B8B">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由于合同一方不履行合同或严重违反合同，造成合同部分或全部无法履行时，对方除有权向违约方索赔外，并有权单方终止合同。</w:t>
      </w:r>
    </w:p>
    <w:p w14:paraId="744C5952">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（一）违约终止合同</w:t>
      </w:r>
    </w:p>
    <w:p w14:paraId="300B993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若乙方存在以下情形，则视乙方违约，甲方可单方向乙方发出书面解除合同通知书，提出终止合同，同时甲方有权要求乙方退回己支付的全部项目款以及支付合同总价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%违约金：</w:t>
      </w:r>
    </w:p>
    <w:p w14:paraId="4801F20E">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l、乙方未能在合同规定的期限内通过竣工验收，延期超过</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日的或未能在甲方同意延长的限期内完成合同规定义务的；</w:t>
      </w:r>
    </w:p>
    <w:p w14:paraId="0DAFCE7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、乙方拒绝履行合同或者未达到合同所规定的建设需求和服务，经甲方给予合理期限后仍不能达到建设需求和服务的；</w:t>
      </w:r>
    </w:p>
    <w:p w14:paraId="2C907AB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3、合同签订后个</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工作日内，如乙方不支付履约保函（或保证金）；</w:t>
      </w:r>
    </w:p>
    <w:p w14:paraId="3DC1270F">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4、未经甲方书面授权或同意，乙方将项目部分或全部转交第三方或由第三方提供相关服务的。</w:t>
      </w:r>
    </w:p>
    <w:p w14:paraId="36043D19">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（二）因破产而终止合同</w:t>
      </w:r>
    </w:p>
    <w:p w14:paraId="5BA8A8F8">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如果乙方破产或无清偿能力，甲方可在任何时候以书面形式通知乙方，单方提出终止合同而未支付的尾款无需再支付，甲方对乙方已经履行的符合合同约定的部分合同内容不付任何价款，乙方应当返还甲方先前支付的全部预付款。该终止合同的行为视为不损害或不影响甲方已经采取或将要采取的任何行动或补救措施的权利。</w:t>
      </w:r>
    </w:p>
    <w:p w14:paraId="70671778">
      <w:pPr>
        <w:widowControl/>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十二、不可抗力</w:t>
      </w:r>
    </w:p>
    <w:p w14:paraId="3DFC4D95">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本合同规定的不可抗力事件是指甲、乙双方在缔结合同时所不能预见的，并且它的发生及其后果是无法避免和无法克服的事件，诸如战争和严重的风灾、水灾、雪灾、地震等自然灾害，以及政策性等不由双方控制的，也包括双方同意的其他不可抗力事件。</w:t>
      </w:r>
    </w:p>
    <w:p w14:paraId="133911B1">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（二）签约双方任一方由于受不可抗力事件的影响而不能执行合同时，履行合同的期限应予以延长，其延长的期限应相当于事件所影响的时间。</w:t>
      </w:r>
    </w:p>
    <w:p w14:paraId="0F686E7F">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因不可抗力事件受阻一方应在不可抗力事件发生后尽快用书面方式或电报、传真通知对方，并于事件发生后7天内将有关国家职能机关或具有国家授权认定的机构出具的证明文件及其他说明材料用特快专递或挂号信寄给对方审阅确认。一旦不可抗力事件的影响预计持续120天以上，双方应通过友好协商在30天的时间内达成进一步履行合同的协议，如不能达成共识，甲方也有权单方解除合同，不付给乙方其他经济补偿，对乙方已经履行的符合合同约定的部分内容不付任何价款，乙方应当返还甲方先前支付给乙方的全部预付款。</w:t>
      </w:r>
    </w:p>
    <w:p w14:paraId="3463C4A5">
      <w:pPr>
        <w:widowControl/>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十三、项目保密</w:t>
      </w:r>
    </w:p>
    <w:p w14:paraId="727BC4DB">
      <w:pPr>
        <w:widowControl/>
        <w:tabs>
          <w:tab w:val="left" w:pos="0"/>
        </w:tabs>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甲方向乙方提供的所有资料，仅供本项目小组人员参考使用，乙方须严守资料中所涉秘密、妥善保管，不得遗失、转借、复印。乙方更换本项目小组成员时应获得甲方书面同意，否则甲方有权直接扣除合同总金额</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%的履约保证金。</w:t>
      </w:r>
    </w:p>
    <w:p w14:paraId="113BFA60">
      <w:pPr>
        <w:widowControl/>
        <w:tabs>
          <w:tab w:val="left" w:pos="0"/>
        </w:tabs>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（二）乙方发现甲方的保密事项已经泄露或可能泄露时，应当立即采取补救措施，并及时书面报告甲方。</w:t>
      </w:r>
    </w:p>
    <w:p w14:paraId="4500EF3F">
      <w:pPr>
        <w:widowControl/>
        <w:tabs>
          <w:tab w:val="left" w:pos="0"/>
        </w:tabs>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（三）本项目完成后15天内，乙方应主动退还本项目过程中甲方提供的全部资料。</w:t>
      </w:r>
    </w:p>
    <w:p w14:paraId="4FE70A78">
      <w:pPr>
        <w:widowControl/>
        <w:tabs>
          <w:tab w:val="left" w:pos="560"/>
        </w:tabs>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（四）乙方在接受和退还涉密内容的资料时建立登记制度。</w:t>
      </w:r>
    </w:p>
    <w:p w14:paraId="6D897B7A">
      <w:pPr>
        <w:widowControl/>
        <w:tabs>
          <w:tab w:val="left" w:pos="560"/>
        </w:tabs>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五）乙方造成的泄失密事件，乙方应承担违约责任，向甲方支付违约金，违约金数额为本合同总价，若泄密事件造成甲方的实际经济损失大于违约金数额，则乙方应赔偿甲方实际经济损失；构成刑事犯罪的，还应依法追究刑事责任。</w:t>
      </w:r>
    </w:p>
    <w:p w14:paraId="4E52E803">
      <w:pPr>
        <w:widowControl/>
        <w:tabs>
          <w:tab w:val="left" w:pos="0"/>
        </w:tabs>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六）本项目所有文档及本项目所接触的双方资料，未经对方授权代表书面许可，不得向与合同无关的其他方泄漏任何技术文件或与合同有关的数据，包括合同本身。不论本协议或合同是否期满、变更、解除、终止，本条款均有效。</w:t>
      </w:r>
    </w:p>
    <w:p w14:paraId="5D9B9C1F">
      <w:pPr>
        <w:widowControl/>
        <w:tabs>
          <w:tab w:val="left" w:pos="0"/>
        </w:tabs>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（七）乙方应与甲方签订安全保密协议，甲方有权对乙方进行资格审查，开展安全教育，落实安全监管措施，指派具有相应技术能力的人员对乙方操作行为全程监督、严格审计。</w:t>
      </w:r>
    </w:p>
    <w:p w14:paraId="35C133B8">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十四、争议解决方式</w:t>
      </w:r>
    </w:p>
    <w:p w14:paraId="4FE9E73E">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（一）合同的实施或与合同有关的一切争端应通过双方友好协商解决。如果友好协商自争端出现之日起60天后还不能解决，任何一方都可依法提交甲方所在地有管辖权的人民法院解决。</w:t>
      </w:r>
    </w:p>
    <w:p w14:paraId="5B5927B6">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（二）由此产生的所有费用，包括但不限于诉讼费、律师费、公告费、保全费、差旅费等一切费用由败诉方承担。</w:t>
      </w:r>
    </w:p>
    <w:p w14:paraId="06556A6E">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（三）在诉讼期间，除正在进行诉讼的部分以外，双方应继续执行合同的其余部分。</w:t>
      </w:r>
    </w:p>
    <w:p w14:paraId="15E0B45D">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（四）本合同适用中华人民共和国法律。</w:t>
      </w:r>
    </w:p>
    <w:p w14:paraId="68740250">
      <w:pPr>
        <w:widowControl/>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十五、项目合同附件清单</w:t>
      </w:r>
    </w:p>
    <w:p w14:paraId="4589AF8C">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附件一：招标文件</w:t>
      </w:r>
    </w:p>
    <w:p w14:paraId="4E206AB2">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附件二：乙方投标书</w:t>
      </w:r>
    </w:p>
    <w:p w14:paraId="4CAA0A87">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附件三：《技术支持和售后服务方案》</w:t>
      </w:r>
    </w:p>
    <w:p w14:paraId="3262AB0B">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附件四：技术方案</w:t>
      </w:r>
    </w:p>
    <w:p w14:paraId="0E48A236">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附件五：项目管理小组成员</w:t>
      </w:r>
    </w:p>
    <w:p w14:paraId="1383A399">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（可按项目实际增加附件内容）</w:t>
      </w:r>
    </w:p>
    <w:p w14:paraId="3C27DDFA">
      <w:pPr>
        <w:widowControl/>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十六、项目合同生效及其它</w:t>
      </w:r>
    </w:p>
    <w:p w14:paraId="607B9EE7">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（一）本合同自双方授权代表签字并加盖公章之日起生效。</w:t>
      </w:r>
    </w:p>
    <w:p w14:paraId="018BF105">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（二）本合同一式</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份，甲方执</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份，乙方执</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份，代理执</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份。合同附件及招标文件、乙方投标书等是合同不可分割的一部分，具有同等法律效力。</w:t>
      </w:r>
    </w:p>
    <w:p w14:paraId="70A9EBE9">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（三）本合同终止日期为系统保修期的结束日期，到期后自行终止。</w:t>
      </w:r>
    </w:p>
    <w:p w14:paraId="41CC3219">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（四）送达条款</w:t>
      </w:r>
    </w:p>
    <w:p w14:paraId="51AAB00A">
      <w:pPr>
        <w:widowControl/>
        <w:snapToGrid w:val="0"/>
        <w:spacing w:line="460" w:lineRule="exact"/>
        <w:ind w:firstLine="440" w:firstLineChars="200"/>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16.4.1 本合同项下任何一方向对方发出的通知、信件、数据电文等，应当发送至本合同（首部/附件/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1C304A00">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16.4.2 任何一方当事人向对/他方所发出的信件，自信件【尽量约定为邮政特快专递】交邮后的第7日视为送达；发出的短信/传真/微信/电子邮件，自前述电子文件内容在发送方正确填写地址且未被系统退回的情况下，视为进入对方数据电文接收系统即视为送达。若送达日为非工作日, 则视为在下一工作日送达。</w:t>
      </w:r>
    </w:p>
    <w:p w14:paraId="039397BA">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16.4.3 本合同（首部/附件/第1.1条）约定的地址、联系人及电子通信终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14:paraId="5030771D">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16.4.4 合同送达条款与争议解决条款均为独立条款，不受合同整体或其他条款的效力的影响。</w:t>
      </w:r>
    </w:p>
    <w:p w14:paraId="6E566461">
      <w:pPr>
        <w:widowControl/>
        <w:spacing w:line="460" w:lineRule="exact"/>
        <w:ind w:left="4840" w:hanging="4840" w:hangingChars="2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十七、项目合同签字并盖章</w:t>
      </w:r>
    </w:p>
    <w:p w14:paraId="0355DD12">
      <w:pPr>
        <w:widowControl/>
        <w:spacing w:line="460" w:lineRule="exact"/>
        <w:ind w:left="4840" w:hanging="4840" w:hangingChars="2200"/>
        <w:jc w:val="left"/>
        <w:rPr>
          <w:rFonts w:ascii="新宋体" w:hAnsi="新宋体" w:eastAsia="新宋体" w:cs="新宋体"/>
          <w:color w:val="auto"/>
          <w:kern w:val="0"/>
          <w:sz w:val="22"/>
          <w:szCs w:val="22"/>
          <w:highlight w:val="none"/>
        </w:rPr>
      </w:pPr>
    </w:p>
    <w:p w14:paraId="100EAA86">
      <w:pPr>
        <w:widowControl/>
        <w:spacing w:line="460" w:lineRule="exact"/>
        <w:ind w:left="4840" w:hanging="4840" w:hangingChars="2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甲方：（业主单位名称）      乙方： </w:t>
      </w:r>
    </w:p>
    <w:p w14:paraId="1DB085E3">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法定（委托）代表人（签字）：                  法定（委托）代表人（签字）：</w:t>
      </w:r>
    </w:p>
    <w:p w14:paraId="180D1994">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项目联系人：                                  项目联系人：</w:t>
      </w:r>
    </w:p>
    <w:p w14:paraId="499AFA83">
      <w:pPr>
        <w:widowControl/>
        <w:spacing w:line="460" w:lineRule="exact"/>
        <w:ind w:left="5018" w:hanging="5018" w:hangingChars="2281"/>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通信地址：                                    通信地址： </w:t>
      </w:r>
    </w:p>
    <w:p w14:paraId="598952D3">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电话：                                        电话：</w:t>
      </w:r>
    </w:p>
    <w:p w14:paraId="043B3D53">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传真：                                        传真：</w:t>
      </w:r>
    </w:p>
    <w:p w14:paraId="6FAC565E">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签字日期：    年   月   日                    签字日期：    年   月   日</w:t>
      </w:r>
    </w:p>
    <w:p w14:paraId="417A3D59">
      <w:pPr>
        <w:rPr>
          <w:color w:val="auto"/>
          <w:highlight w:val="none"/>
        </w:rPr>
      </w:pPr>
    </w:p>
    <w:p w14:paraId="09905A13">
      <w:pPr>
        <w:spacing w:line="460" w:lineRule="exact"/>
        <w:ind w:firstLine="539" w:firstLineChars="245"/>
        <w:rPr>
          <w:rFonts w:ascii="宋体" w:hAnsi="宋体" w:cs="宋体"/>
          <w:color w:val="auto"/>
          <w:sz w:val="22"/>
          <w:szCs w:val="22"/>
          <w:highlight w:val="none"/>
        </w:rPr>
      </w:pPr>
    </w:p>
    <w:p w14:paraId="01DC3D1C">
      <w:pPr>
        <w:rPr>
          <w:rFonts w:ascii="宋体" w:hAnsi="宋体" w:cs="宋体"/>
          <w:b/>
          <w:color w:val="auto"/>
          <w:sz w:val="30"/>
          <w:highlight w:val="none"/>
        </w:rPr>
      </w:pPr>
      <w:r>
        <w:rPr>
          <w:rFonts w:hint="eastAsia" w:ascii="宋体" w:hAnsi="宋体" w:cs="宋体"/>
          <w:b/>
          <w:color w:val="auto"/>
          <w:sz w:val="30"/>
          <w:highlight w:val="none"/>
        </w:rPr>
        <w:br w:type="page"/>
      </w:r>
    </w:p>
    <w:p w14:paraId="7921031B">
      <w:pPr>
        <w:pStyle w:val="2"/>
        <w:rPr>
          <w:rFonts w:ascii="宋体" w:hAnsi="宋体" w:eastAsia="宋体" w:cs="宋体"/>
          <w:color w:val="auto"/>
          <w:highlight w:val="none"/>
        </w:rPr>
      </w:pPr>
      <w:bookmarkStart w:id="26" w:name="_Toc6131"/>
      <w:r>
        <w:rPr>
          <w:rFonts w:hint="eastAsia" w:ascii="宋体" w:hAnsi="宋体" w:eastAsia="宋体" w:cs="宋体"/>
          <w:color w:val="auto"/>
          <w:highlight w:val="none"/>
        </w:rPr>
        <w:t>第三部分    附件</w:t>
      </w:r>
      <w:bookmarkEnd w:id="26"/>
    </w:p>
    <w:p w14:paraId="02811BE6">
      <w:pPr>
        <w:pStyle w:val="24"/>
        <w:spacing w:line="460" w:lineRule="exact"/>
        <w:ind w:left="433" w:hanging="433" w:hangingChars="196"/>
        <w:outlineLvl w:val="1"/>
        <w:rPr>
          <w:rFonts w:ascii="宋体" w:hAnsi="宋体" w:cs="宋体"/>
          <w:b/>
          <w:color w:val="auto"/>
          <w:sz w:val="22"/>
          <w:highlight w:val="none"/>
        </w:rPr>
      </w:pPr>
      <w:bookmarkStart w:id="27" w:name="_Toc25074"/>
      <w:r>
        <w:rPr>
          <w:rFonts w:hint="eastAsia" w:ascii="宋体" w:hAnsi="宋体" w:cs="宋体"/>
          <w:b/>
          <w:color w:val="auto"/>
          <w:sz w:val="22"/>
          <w:highlight w:val="none"/>
        </w:rPr>
        <w:t>附件一</w:t>
      </w:r>
      <w:bookmarkEnd w:id="27"/>
    </w:p>
    <w:p w14:paraId="2E17FF21">
      <w:pPr>
        <w:spacing w:line="400" w:lineRule="exact"/>
        <w:jc w:val="center"/>
        <w:outlineLvl w:val="2"/>
        <w:rPr>
          <w:rFonts w:ascii="宋体" w:hAnsi="宋体" w:cs="宋体"/>
          <w:b/>
          <w:bCs/>
          <w:color w:val="auto"/>
          <w:sz w:val="28"/>
          <w:szCs w:val="28"/>
          <w:highlight w:val="none"/>
        </w:rPr>
      </w:pPr>
      <w:bookmarkStart w:id="28" w:name="_Toc21779"/>
      <w:r>
        <w:rPr>
          <w:rFonts w:hint="eastAsia" w:ascii="宋体" w:hAnsi="宋体" w:cs="宋体"/>
          <w:b/>
          <w:bCs/>
          <w:color w:val="auto"/>
          <w:sz w:val="28"/>
          <w:szCs w:val="28"/>
          <w:highlight w:val="none"/>
        </w:rPr>
        <w:t>报价文件</w:t>
      </w:r>
      <w:bookmarkEnd w:id="28"/>
    </w:p>
    <w:p w14:paraId="69A34DC9">
      <w:pPr>
        <w:spacing w:line="400" w:lineRule="exact"/>
        <w:jc w:val="center"/>
        <w:outlineLvl w:val="3"/>
        <w:rPr>
          <w:rFonts w:ascii="宋体" w:hAnsi="宋体" w:cs="宋体"/>
          <w:b/>
          <w:color w:val="auto"/>
          <w:sz w:val="22"/>
          <w:szCs w:val="22"/>
          <w:highlight w:val="none"/>
          <w:lang w:val="zh-CN"/>
        </w:rPr>
      </w:pPr>
      <w:r>
        <w:rPr>
          <w:rFonts w:hint="eastAsia" w:ascii="宋体" w:hAnsi="宋体" w:cs="宋体"/>
          <w:b/>
          <w:color w:val="auto"/>
          <w:sz w:val="22"/>
          <w:szCs w:val="22"/>
          <w:highlight w:val="none"/>
        </w:rPr>
        <w:t>1、</w:t>
      </w:r>
      <w:r>
        <w:rPr>
          <w:rFonts w:hint="eastAsia" w:ascii="宋体" w:hAnsi="宋体" w:cs="宋体"/>
          <w:b/>
          <w:color w:val="auto"/>
          <w:sz w:val="22"/>
          <w:szCs w:val="22"/>
          <w:highlight w:val="none"/>
          <w:lang w:val="zh-CN"/>
        </w:rPr>
        <w:t>投标函</w:t>
      </w:r>
    </w:p>
    <w:p w14:paraId="38EBFCB9">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致：温州市鹿城区社会治理中心</w:t>
      </w:r>
    </w:p>
    <w:p w14:paraId="504B23D7">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项目（招标编号：</w:t>
      </w:r>
      <w:r>
        <w:rPr>
          <w:rFonts w:hint="eastAsia" w:ascii="宋体" w:hAnsi="宋体" w:cs="宋体"/>
          <w:b/>
          <w:color w:val="auto"/>
          <w:sz w:val="22"/>
          <w:szCs w:val="22"/>
          <w:highlight w:val="none"/>
          <w:u w:val="single"/>
        </w:rPr>
        <w:t xml:space="preserve">        </w:t>
      </w:r>
      <w:r>
        <w:rPr>
          <w:rFonts w:hint="eastAsia" w:ascii="宋体" w:hAnsi="宋体" w:cs="宋体"/>
          <w:b/>
          <w:color w:val="auto"/>
          <w:sz w:val="22"/>
          <w:szCs w:val="22"/>
          <w:highlight w:val="none"/>
        </w:rPr>
        <w:t xml:space="preserve"> </w:t>
      </w:r>
      <w:r>
        <w:rPr>
          <w:rFonts w:hint="eastAsia" w:ascii="宋体" w:hAnsi="宋体" w:cs="宋体"/>
          <w:color w:val="auto"/>
          <w:sz w:val="22"/>
          <w:szCs w:val="22"/>
          <w:highlight w:val="none"/>
        </w:rPr>
        <w:t>）的投标邀请，我方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（授权代表全名，职务）代表我方处理有关本投标的一切事宜。为此：</w:t>
      </w:r>
    </w:p>
    <w:p w14:paraId="6DAAD8C0">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1、我方同意在投标人</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规定的开标日期起遵守本投标书中的承诺且在投标有效期满之前均具有约束力。</w:t>
      </w:r>
    </w:p>
    <w:p w14:paraId="4E4A424C">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2、我方承诺已经具备《中华人民共和国政府采购法》中规定的参加政府采购活动的供应商应当具备的条件：</w:t>
      </w:r>
    </w:p>
    <w:p w14:paraId="11DE43E4">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(1)具有独立承担民事责任的能力；</w:t>
      </w:r>
    </w:p>
    <w:p w14:paraId="16DF32FC">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(2)遵守国家法律、行政法规，具有良好的信誉和商业道德；</w:t>
      </w:r>
    </w:p>
    <w:p w14:paraId="0BB3A705">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(3)具有履行合同的能力和良好的履行合同记录；</w:t>
      </w:r>
    </w:p>
    <w:p w14:paraId="061B2A82">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(4)良好的资金、财务状况；</w:t>
      </w:r>
    </w:p>
    <w:p w14:paraId="5B3A7FD6">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(5)提供的产品和服务符合中国政府规定的相应标准和环保标准；</w:t>
      </w:r>
    </w:p>
    <w:p w14:paraId="6E4720F0">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(6)没有违反政府采购法规、政策的记录；</w:t>
      </w:r>
    </w:p>
    <w:p w14:paraId="39C77C1E">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(7)没有发生重大经济纠纷和走私犯罪记录。</w:t>
      </w:r>
    </w:p>
    <w:p w14:paraId="34F15827">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3、提供</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规定的全部投标文件，包括资格文件、报价文件、商务技术文件。具体内容为：</w:t>
      </w:r>
    </w:p>
    <w:p w14:paraId="29CF8E0F">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(1)资格文件</w:t>
      </w:r>
    </w:p>
    <w:p w14:paraId="1A89B0A4">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(2)报价文件；</w:t>
      </w:r>
    </w:p>
    <w:p w14:paraId="2F4A393A">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商务</w:t>
      </w:r>
      <w:r>
        <w:rPr>
          <w:rFonts w:hint="eastAsia" w:ascii="宋体" w:hAnsi="宋体" w:cs="宋体"/>
          <w:color w:val="auto"/>
          <w:kern w:val="0"/>
          <w:sz w:val="22"/>
          <w:szCs w:val="22"/>
          <w:highlight w:val="none"/>
          <w:lang w:val="zh-CN"/>
        </w:rPr>
        <w:t>技术文件</w:t>
      </w:r>
      <w:r>
        <w:rPr>
          <w:rFonts w:hint="eastAsia" w:ascii="宋体" w:hAnsi="宋体" w:cs="宋体"/>
          <w:color w:val="auto"/>
          <w:sz w:val="22"/>
          <w:szCs w:val="22"/>
          <w:highlight w:val="none"/>
        </w:rPr>
        <w:t>；</w:t>
      </w:r>
    </w:p>
    <w:p w14:paraId="4D824202">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kern w:val="44"/>
          <w:sz w:val="22"/>
          <w:szCs w:val="22"/>
          <w:highlight w:val="none"/>
        </w:rPr>
        <w:t>编制和提交投标文件须知</w:t>
      </w:r>
      <w:r>
        <w:rPr>
          <w:rFonts w:hint="eastAsia" w:ascii="宋体" w:hAnsi="宋体" w:cs="宋体"/>
          <w:color w:val="auto"/>
          <w:sz w:val="22"/>
          <w:szCs w:val="22"/>
          <w:highlight w:val="none"/>
        </w:rPr>
        <w:t>要求投标人提交的全部文件；</w:t>
      </w:r>
    </w:p>
    <w:p w14:paraId="192B1BB3">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(5)按招标文件要求提供和交付的货物和服务的投标报价详见开标一览表；</w:t>
      </w:r>
    </w:p>
    <w:p w14:paraId="25D254C1">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(6)保证忠实地执行双方所签订的合同，并承担合同规定的责任和义务；</w:t>
      </w:r>
    </w:p>
    <w:p w14:paraId="110A48D5">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(7)保证遵守招标文件中的其他有关规定。</w:t>
      </w:r>
    </w:p>
    <w:p w14:paraId="5298C940">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4、投标有效期内不撤销投标文件，如中标，有效期将延至合同终止日为止。</w:t>
      </w:r>
    </w:p>
    <w:p w14:paraId="4A6D8D17">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5、我方完全理解贵方不一定要接受最低价的投标。</w:t>
      </w:r>
    </w:p>
    <w:p w14:paraId="67CA9A52">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628F3C5D">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7、如中标，按招标文件规定的招标代理服务费标准，在领取中标通知书时向招标代理机构支付招标代理服务费。</w:t>
      </w:r>
    </w:p>
    <w:p w14:paraId="2C0BB04D">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8、我方愿意向贵方提供任何与该项投标有关的数据、情况和服务资料。若贵方需要，我方愿意提供我方作出的一切承诺的证明材料。</w:t>
      </w:r>
    </w:p>
    <w:p w14:paraId="57773EC1">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14AF6894">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84BAFE9">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(1)提供虚假材料谋取中标、成交的；</w:t>
      </w:r>
    </w:p>
    <w:p w14:paraId="7AA855AF">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(2)采取不正当手段诋毁、排挤其他供应商的；</w:t>
      </w:r>
    </w:p>
    <w:p w14:paraId="26EC04D3">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(3)与招标人、其它供应商或者招标代理机构恶意串通的；</w:t>
      </w:r>
    </w:p>
    <w:p w14:paraId="4781DC02">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(4)向招标人、招标代理机构行贿或者提供其他不正当利益的；</w:t>
      </w:r>
    </w:p>
    <w:p w14:paraId="5BE20BE5">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(5)在招标采购过程中与招标人进行协商谈判的；</w:t>
      </w:r>
    </w:p>
    <w:p w14:paraId="09EF41DC">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(6)拒绝有关部门监督检查或提供虚假情况的。</w:t>
      </w:r>
    </w:p>
    <w:p w14:paraId="3ABE5D74">
      <w:pPr>
        <w:shd w:val="clear" w:color="auto" w:fill="FFFFFF"/>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供应商有前款第(1)至(6)项情形之一的，中标、成交无效。</w:t>
      </w:r>
    </w:p>
    <w:p w14:paraId="3413FE63">
      <w:pPr>
        <w:shd w:val="clear" w:color="auto" w:fill="FFFFFF"/>
        <w:snapToGrid w:val="0"/>
        <w:spacing w:line="360" w:lineRule="auto"/>
        <w:rPr>
          <w:rFonts w:ascii="宋体" w:hAnsi="宋体" w:cs="宋体"/>
          <w:color w:val="auto"/>
          <w:kern w:val="0"/>
          <w:sz w:val="22"/>
          <w:szCs w:val="22"/>
          <w:highlight w:val="none"/>
          <w:lang w:val="zh-CN"/>
        </w:rPr>
      </w:pPr>
    </w:p>
    <w:p w14:paraId="7E12EE3C">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法定（授权）代表人（签字）：</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p>
    <w:p w14:paraId="374A5E92">
      <w:pPr>
        <w:shd w:val="clear" w:color="auto" w:fill="FFFFFF"/>
        <w:snapToGrid w:val="0"/>
        <w:spacing w:line="360" w:lineRule="auto"/>
        <w:ind w:firstLine="440" w:firstLineChars="200"/>
        <w:rPr>
          <w:rFonts w:ascii="宋体" w:hAnsi="宋体" w:cs="宋体"/>
          <w:color w:val="auto"/>
          <w:kern w:val="0"/>
          <w:sz w:val="22"/>
          <w:szCs w:val="22"/>
          <w:highlight w:val="none"/>
          <w:u w:val="single"/>
          <w:lang w:val="zh-CN"/>
        </w:rPr>
      </w:pPr>
      <w:r>
        <w:rPr>
          <w:rFonts w:hint="eastAsia" w:ascii="宋体" w:hAnsi="宋体" w:cs="宋体"/>
          <w:color w:val="auto"/>
          <w:kern w:val="0"/>
          <w:sz w:val="22"/>
          <w:szCs w:val="22"/>
          <w:highlight w:val="none"/>
          <w:lang w:val="zh-CN"/>
        </w:rPr>
        <w:t>投标人盖 章：</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r>
        <w:rPr>
          <w:rFonts w:hint="eastAsia" w:ascii="宋体" w:hAnsi="宋体" w:cs="宋体"/>
          <w:color w:val="auto"/>
          <w:kern w:val="0"/>
          <w:sz w:val="22"/>
          <w:szCs w:val="22"/>
          <w:highlight w:val="none"/>
          <w:u w:val="single"/>
          <w:lang w:val="zh-CN"/>
        </w:rPr>
        <w:t xml:space="preserve">                      </w:t>
      </w:r>
    </w:p>
    <w:p w14:paraId="3B1ADABC">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 xml:space="preserve">联系电话：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 xml:space="preserve">传真：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 xml:space="preserve">电子邮件：  </w:t>
      </w:r>
      <w:r>
        <w:rPr>
          <w:rFonts w:hint="eastAsia" w:ascii="宋体" w:hAnsi="宋体" w:cs="宋体"/>
          <w:color w:val="auto"/>
          <w:kern w:val="0"/>
          <w:sz w:val="22"/>
          <w:szCs w:val="22"/>
          <w:highlight w:val="none"/>
          <w:u w:val="single"/>
          <w:lang w:val="zh-CN"/>
        </w:rPr>
        <w:t xml:space="preserve">              </w:t>
      </w:r>
    </w:p>
    <w:p w14:paraId="10463405">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联系地址：</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r>
        <w:rPr>
          <w:rFonts w:hint="eastAsia" w:ascii="宋体" w:hAnsi="宋体" w:cs="宋体"/>
          <w:color w:val="auto"/>
          <w:kern w:val="0"/>
          <w:sz w:val="22"/>
          <w:szCs w:val="22"/>
          <w:highlight w:val="none"/>
          <w:u w:val="single"/>
          <w:lang w:val="zh-CN"/>
        </w:rPr>
        <w:t xml:space="preserve">                                                    </w:t>
      </w:r>
    </w:p>
    <w:p w14:paraId="70464F7F">
      <w:pPr>
        <w:shd w:val="clear" w:color="auto" w:fill="FFFFFF"/>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邮政编码：</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传真号码：</w:t>
      </w:r>
      <w:r>
        <w:rPr>
          <w:rFonts w:hint="eastAsia" w:ascii="宋体" w:hAnsi="宋体" w:cs="宋体"/>
          <w:color w:val="auto"/>
          <w:kern w:val="0"/>
          <w:sz w:val="22"/>
          <w:szCs w:val="22"/>
          <w:highlight w:val="none"/>
          <w:u w:val="single"/>
          <w:lang w:val="zh-CN"/>
        </w:rPr>
        <w:t xml:space="preserve">                     </w:t>
      </w:r>
    </w:p>
    <w:p w14:paraId="5464B75E">
      <w:pPr>
        <w:shd w:val="clear" w:color="auto" w:fill="FFFFFF"/>
        <w:snapToGrid w:val="0"/>
        <w:spacing w:line="360" w:lineRule="auto"/>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lang w:val="zh-CN"/>
        </w:rPr>
        <w:t>日</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期</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lang w:val="zh-CN"/>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rPr>
        <w:tab/>
      </w:r>
      <w:r>
        <w:rPr>
          <w:rFonts w:hint="eastAsia" w:ascii="宋体" w:hAnsi="宋体" w:cs="宋体"/>
          <w:color w:val="auto"/>
          <w:kern w:val="0"/>
          <w:sz w:val="22"/>
          <w:szCs w:val="22"/>
          <w:highlight w:val="none"/>
          <w:lang w:val="zh-CN"/>
        </w:rPr>
        <w:t>月</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日</w:t>
      </w:r>
    </w:p>
    <w:p w14:paraId="36DB7148">
      <w:pPr>
        <w:spacing w:line="440" w:lineRule="exact"/>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val="zh-CN"/>
        </w:rPr>
        <w:t>注：未按照本投标响应函要求填报的将被视为非实质性响应，从而可能导致该投标文件被拒绝。</w:t>
      </w:r>
    </w:p>
    <w:p w14:paraId="1B95B2B9">
      <w:pPr>
        <w:pStyle w:val="24"/>
        <w:ind w:left="442" w:hanging="442"/>
        <w:rPr>
          <w:rFonts w:ascii="宋体" w:hAnsi="宋体" w:cs="宋体"/>
          <w:b/>
          <w:bCs/>
          <w:color w:val="auto"/>
          <w:sz w:val="22"/>
          <w:szCs w:val="22"/>
          <w:highlight w:val="none"/>
        </w:rPr>
      </w:pPr>
    </w:p>
    <w:p w14:paraId="58F61555">
      <w:pPr>
        <w:pStyle w:val="24"/>
        <w:ind w:left="442" w:hanging="442"/>
        <w:rPr>
          <w:rFonts w:ascii="宋体" w:hAnsi="宋体" w:cs="宋体"/>
          <w:b/>
          <w:bCs/>
          <w:color w:val="auto"/>
          <w:sz w:val="22"/>
          <w:szCs w:val="22"/>
          <w:highlight w:val="none"/>
        </w:rPr>
      </w:pPr>
    </w:p>
    <w:p w14:paraId="739D4B92">
      <w:pPr>
        <w:pStyle w:val="24"/>
        <w:ind w:left="442" w:hanging="442"/>
        <w:rPr>
          <w:rFonts w:ascii="宋体" w:hAnsi="宋体" w:cs="宋体"/>
          <w:b/>
          <w:bCs/>
          <w:color w:val="auto"/>
          <w:sz w:val="22"/>
          <w:szCs w:val="22"/>
          <w:highlight w:val="none"/>
        </w:rPr>
      </w:pPr>
    </w:p>
    <w:p w14:paraId="74691D3E">
      <w:pPr>
        <w:pStyle w:val="24"/>
        <w:ind w:left="442" w:hanging="442"/>
        <w:rPr>
          <w:rFonts w:ascii="宋体" w:hAnsi="宋体" w:cs="宋体"/>
          <w:b/>
          <w:bCs/>
          <w:color w:val="auto"/>
          <w:sz w:val="22"/>
          <w:szCs w:val="22"/>
          <w:highlight w:val="none"/>
        </w:rPr>
      </w:pPr>
    </w:p>
    <w:p w14:paraId="7F93C171">
      <w:pPr>
        <w:pStyle w:val="24"/>
        <w:ind w:left="442" w:hanging="442"/>
        <w:rPr>
          <w:rFonts w:ascii="宋体" w:hAnsi="宋体" w:cs="宋体"/>
          <w:b/>
          <w:bCs/>
          <w:color w:val="auto"/>
          <w:sz w:val="22"/>
          <w:szCs w:val="22"/>
          <w:highlight w:val="none"/>
        </w:rPr>
      </w:pPr>
    </w:p>
    <w:p w14:paraId="6270F7DF">
      <w:pPr>
        <w:pStyle w:val="24"/>
        <w:ind w:left="442" w:hanging="442"/>
        <w:rPr>
          <w:rFonts w:ascii="宋体" w:hAnsi="宋体" w:cs="宋体"/>
          <w:b/>
          <w:bCs/>
          <w:color w:val="auto"/>
          <w:sz w:val="22"/>
          <w:szCs w:val="22"/>
          <w:highlight w:val="none"/>
        </w:rPr>
      </w:pPr>
    </w:p>
    <w:p w14:paraId="22E20E8A">
      <w:pPr>
        <w:spacing w:line="460" w:lineRule="exact"/>
        <w:rPr>
          <w:rFonts w:ascii="宋体" w:hAnsi="宋体" w:cs="宋体"/>
          <w:b/>
          <w:bCs/>
          <w:color w:val="auto"/>
          <w:sz w:val="22"/>
          <w:szCs w:val="22"/>
          <w:highlight w:val="none"/>
        </w:rPr>
      </w:pPr>
    </w:p>
    <w:p w14:paraId="55548685">
      <w:pPr>
        <w:spacing w:line="400" w:lineRule="exact"/>
        <w:jc w:val="center"/>
        <w:outlineLvl w:val="3"/>
        <w:rPr>
          <w:rFonts w:ascii="宋体" w:hAnsi="宋体" w:cs="宋体"/>
          <w:b/>
          <w:color w:val="auto"/>
          <w:sz w:val="22"/>
          <w:szCs w:val="22"/>
          <w:highlight w:val="none"/>
          <w:lang w:val="zh-CN"/>
        </w:rPr>
      </w:pPr>
      <w:r>
        <w:rPr>
          <w:rFonts w:hint="eastAsia" w:ascii="宋体" w:hAnsi="宋体" w:cs="宋体"/>
          <w:b/>
          <w:color w:val="auto"/>
          <w:sz w:val="22"/>
          <w:szCs w:val="22"/>
          <w:highlight w:val="none"/>
        </w:rPr>
        <w:t>2、</w:t>
      </w:r>
      <w:r>
        <w:rPr>
          <w:rFonts w:hint="eastAsia" w:ascii="宋体" w:hAnsi="宋体" w:cs="宋体"/>
          <w:b/>
          <w:color w:val="auto"/>
          <w:sz w:val="22"/>
          <w:szCs w:val="22"/>
          <w:highlight w:val="none"/>
          <w:lang w:val="zh-CN"/>
        </w:rPr>
        <w:t>投标报价一览表</w:t>
      </w:r>
    </w:p>
    <w:p w14:paraId="26B9739C">
      <w:pPr>
        <w:spacing w:line="38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 </w:t>
      </w:r>
    </w:p>
    <w:p w14:paraId="3394F29A">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742BC9FF">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WZLCZB（Z）-2024-10454</w:t>
      </w:r>
    </w:p>
    <w:p w14:paraId="4EF1237D">
      <w:pPr>
        <w:keepNext/>
        <w:spacing w:line="360" w:lineRule="auto"/>
        <w:rPr>
          <w:color w:val="auto"/>
          <w:highlight w:val="none"/>
        </w:rPr>
      </w:pPr>
      <w:r>
        <w:rPr>
          <w:rFonts w:hint="eastAsia" w:ascii="宋体" w:hAnsi="宋体" w:cs="宋体"/>
          <w:color w:val="auto"/>
          <w:sz w:val="22"/>
          <w:szCs w:val="22"/>
          <w:highlight w:val="none"/>
        </w:rPr>
        <w:t>项目名称：基层智治综合应用鹿城域</w:t>
      </w:r>
    </w:p>
    <w:tbl>
      <w:tblPr>
        <w:tblStyle w:val="52"/>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14:paraId="0132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14:paraId="13EB42F6">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2522" w:type="dxa"/>
            <w:vAlign w:val="center"/>
          </w:tcPr>
          <w:p w14:paraId="437494F5">
            <w:pPr>
              <w:spacing w:line="380" w:lineRule="exact"/>
              <w:jc w:val="center"/>
              <w:rPr>
                <w:rFonts w:ascii="宋体" w:hAnsi="宋体" w:cs="宋体"/>
                <w:color w:val="auto"/>
                <w:sz w:val="22"/>
                <w:highlight w:val="none"/>
              </w:rPr>
            </w:pPr>
            <w:r>
              <w:rPr>
                <w:rFonts w:hint="eastAsia" w:ascii="宋体" w:hAnsi="宋体" w:cs="宋体"/>
                <w:bCs/>
                <w:color w:val="auto"/>
                <w:sz w:val="22"/>
                <w:szCs w:val="22"/>
                <w:highlight w:val="none"/>
              </w:rPr>
              <w:t>项目名称</w:t>
            </w:r>
          </w:p>
        </w:tc>
        <w:tc>
          <w:tcPr>
            <w:tcW w:w="5413" w:type="dxa"/>
            <w:vAlign w:val="center"/>
          </w:tcPr>
          <w:p w14:paraId="6A8360AE">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报价（人民币）</w:t>
            </w:r>
          </w:p>
        </w:tc>
        <w:tc>
          <w:tcPr>
            <w:tcW w:w="868" w:type="dxa"/>
            <w:vAlign w:val="center"/>
          </w:tcPr>
          <w:p w14:paraId="4D20DFB5">
            <w:pPr>
              <w:spacing w:line="38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14:paraId="14C8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vAlign w:val="center"/>
          </w:tcPr>
          <w:p w14:paraId="1C2823DC">
            <w:pPr>
              <w:spacing w:line="380" w:lineRule="exact"/>
              <w:jc w:val="center"/>
              <w:rPr>
                <w:rFonts w:ascii="宋体" w:hAnsi="宋体" w:cs="宋体"/>
                <w:color w:val="auto"/>
                <w:sz w:val="22"/>
                <w:highlight w:val="none"/>
              </w:rPr>
            </w:pPr>
          </w:p>
        </w:tc>
        <w:tc>
          <w:tcPr>
            <w:tcW w:w="2522" w:type="dxa"/>
            <w:vMerge w:val="restart"/>
            <w:vAlign w:val="center"/>
          </w:tcPr>
          <w:p w14:paraId="4AF46758">
            <w:pPr>
              <w:spacing w:line="380" w:lineRule="exact"/>
              <w:jc w:val="center"/>
              <w:rPr>
                <w:rFonts w:ascii="宋体" w:hAnsi="宋体" w:cs="宋体"/>
                <w:color w:val="auto"/>
                <w:sz w:val="22"/>
                <w:highlight w:val="none"/>
              </w:rPr>
            </w:pPr>
          </w:p>
        </w:tc>
        <w:tc>
          <w:tcPr>
            <w:tcW w:w="5413" w:type="dxa"/>
            <w:vAlign w:val="center"/>
          </w:tcPr>
          <w:p w14:paraId="1D2D77B2">
            <w:pPr>
              <w:spacing w:line="380" w:lineRule="exact"/>
              <w:rPr>
                <w:rFonts w:ascii="宋体" w:hAnsi="宋体" w:cs="宋体"/>
                <w:color w:val="auto"/>
                <w:sz w:val="22"/>
                <w:highlight w:val="none"/>
              </w:rPr>
            </w:pPr>
            <w:r>
              <w:rPr>
                <w:rFonts w:hint="eastAsia" w:ascii="宋体" w:hAnsi="宋体" w:cs="宋体"/>
                <w:color w:val="auto"/>
                <w:sz w:val="22"/>
                <w:highlight w:val="none"/>
              </w:rPr>
              <w:t>大写：</w:t>
            </w:r>
          </w:p>
        </w:tc>
        <w:tc>
          <w:tcPr>
            <w:tcW w:w="868" w:type="dxa"/>
            <w:vMerge w:val="restart"/>
            <w:vAlign w:val="center"/>
          </w:tcPr>
          <w:p w14:paraId="7455A5DA">
            <w:pPr>
              <w:spacing w:line="380" w:lineRule="exact"/>
              <w:jc w:val="center"/>
              <w:rPr>
                <w:rFonts w:ascii="宋体" w:hAnsi="宋体" w:cs="宋体"/>
                <w:color w:val="auto"/>
                <w:sz w:val="22"/>
                <w:highlight w:val="none"/>
              </w:rPr>
            </w:pPr>
          </w:p>
        </w:tc>
      </w:tr>
      <w:tr w14:paraId="2728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vAlign w:val="center"/>
          </w:tcPr>
          <w:p w14:paraId="6DC61694">
            <w:pPr>
              <w:spacing w:line="380" w:lineRule="exact"/>
              <w:jc w:val="center"/>
              <w:rPr>
                <w:rFonts w:ascii="宋体" w:hAnsi="宋体" w:cs="宋体"/>
                <w:color w:val="auto"/>
                <w:sz w:val="22"/>
                <w:highlight w:val="none"/>
              </w:rPr>
            </w:pPr>
          </w:p>
        </w:tc>
        <w:tc>
          <w:tcPr>
            <w:tcW w:w="2522" w:type="dxa"/>
            <w:vMerge w:val="continue"/>
            <w:vAlign w:val="center"/>
          </w:tcPr>
          <w:p w14:paraId="635D102B">
            <w:pPr>
              <w:spacing w:line="380" w:lineRule="exact"/>
              <w:jc w:val="center"/>
              <w:rPr>
                <w:rFonts w:ascii="宋体" w:hAnsi="宋体" w:cs="宋体"/>
                <w:color w:val="auto"/>
                <w:sz w:val="22"/>
                <w:highlight w:val="none"/>
              </w:rPr>
            </w:pPr>
          </w:p>
        </w:tc>
        <w:tc>
          <w:tcPr>
            <w:tcW w:w="5413" w:type="dxa"/>
            <w:vAlign w:val="center"/>
          </w:tcPr>
          <w:p w14:paraId="04422AC0">
            <w:pPr>
              <w:spacing w:line="380" w:lineRule="exact"/>
              <w:rPr>
                <w:rFonts w:ascii="宋体" w:hAnsi="宋体" w:cs="宋体"/>
                <w:color w:val="auto"/>
                <w:sz w:val="22"/>
                <w:highlight w:val="none"/>
              </w:rPr>
            </w:pPr>
            <w:r>
              <w:rPr>
                <w:rFonts w:hint="eastAsia" w:ascii="宋体" w:hAnsi="宋体" w:cs="宋体"/>
                <w:color w:val="auto"/>
                <w:sz w:val="22"/>
                <w:highlight w:val="none"/>
              </w:rPr>
              <w:t>小写：</w:t>
            </w:r>
          </w:p>
        </w:tc>
        <w:tc>
          <w:tcPr>
            <w:tcW w:w="868" w:type="dxa"/>
            <w:vMerge w:val="continue"/>
            <w:vAlign w:val="center"/>
          </w:tcPr>
          <w:p w14:paraId="796EB527">
            <w:pPr>
              <w:spacing w:line="380" w:lineRule="exact"/>
              <w:jc w:val="center"/>
              <w:rPr>
                <w:rFonts w:ascii="宋体" w:hAnsi="宋体" w:cs="宋体"/>
                <w:color w:val="auto"/>
                <w:sz w:val="22"/>
                <w:highlight w:val="none"/>
              </w:rPr>
            </w:pPr>
          </w:p>
        </w:tc>
      </w:tr>
    </w:tbl>
    <w:p w14:paraId="5BFDDE58">
      <w:pPr>
        <w:spacing w:line="40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说明：</w:t>
      </w:r>
    </w:p>
    <w:p w14:paraId="3547B32E">
      <w:pPr>
        <w:numPr>
          <w:ilvl w:val="0"/>
          <w:numId w:val="3"/>
        </w:numPr>
        <w:spacing w:line="45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此栏投标报价应与附件一中“3、投标分项报价表”中的总计价相一致。</w:t>
      </w:r>
    </w:p>
    <w:p w14:paraId="1AB1C40E">
      <w:pPr>
        <w:numPr>
          <w:ilvl w:val="0"/>
          <w:numId w:val="3"/>
        </w:numPr>
        <w:spacing w:line="45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不提供此表格将被视为没有实质性响应招标文件</w:t>
      </w:r>
    </w:p>
    <w:p w14:paraId="30BB067B">
      <w:pPr>
        <w:spacing w:line="360" w:lineRule="auto"/>
        <w:jc w:val="center"/>
        <w:rPr>
          <w:rFonts w:ascii="宋体" w:hAnsi="宋体" w:cs="宋体"/>
          <w:color w:val="auto"/>
          <w:sz w:val="22"/>
          <w:szCs w:val="22"/>
          <w:highlight w:val="none"/>
        </w:rPr>
      </w:pPr>
    </w:p>
    <w:p w14:paraId="11F47BC5">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6B3CFB4C">
      <w:pPr>
        <w:spacing w:line="360" w:lineRule="auto"/>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                  法定代表人或其授权代表（签字或盖章）</w:t>
      </w:r>
      <w:r>
        <w:rPr>
          <w:rFonts w:hint="eastAsia" w:ascii="宋体" w:hAnsi="宋体" w:cs="宋体"/>
          <w:color w:val="auto"/>
          <w:sz w:val="22"/>
          <w:szCs w:val="22"/>
          <w:highlight w:val="none"/>
        </w:rPr>
        <w:t>：</w:t>
      </w:r>
    </w:p>
    <w:p w14:paraId="1D817E6F">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                                日    期：</w:t>
      </w:r>
    </w:p>
    <w:p w14:paraId="0BDC2A7D">
      <w:pPr>
        <w:pStyle w:val="25"/>
        <w:ind w:left="860" w:hanging="440"/>
        <w:rPr>
          <w:rFonts w:ascii="宋体" w:hAnsi="宋体"/>
          <w:color w:val="auto"/>
          <w:sz w:val="22"/>
          <w:szCs w:val="22"/>
          <w:highlight w:val="none"/>
        </w:rPr>
      </w:pPr>
    </w:p>
    <w:p w14:paraId="1856BFCD">
      <w:pPr>
        <w:pStyle w:val="25"/>
        <w:ind w:left="860" w:hanging="440"/>
        <w:rPr>
          <w:rFonts w:ascii="宋体" w:hAnsi="宋体"/>
          <w:color w:val="auto"/>
          <w:sz w:val="22"/>
          <w:szCs w:val="22"/>
          <w:highlight w:val="none"/>
        </w:rPr>
      </w:pPr>
    </w:p>
    <w:p w14:paraId="5308CC66">
      <w:pPr>
        <w:pStyle w:val="25"/>
        <w:ind w:left="860" w:hanging="440"/>
        <w:rPr>
          <w:rFonts w:ascii="宋体" w:hAnsi="宋体"/>
          <w:color w:val="auto"/>
          <w:sz w:val="22"/>
          <w:szCs w:val="22"/>
          <w:highlight w:val="none"/>
        </w:rPr>
      </w:pPr>
    </w:p>
    <w:p w14:paraId="13965659">
      <w:pPr>
        <w:pStyle w:val="25"/>
        <w:ind w:left="860" w:hanging="440"/>
        <w:rPr>
          <w:rFonts w:ascii="宋体" w:hAnsi="宋体"/>
          <w:color w:val="auto"/>
          <w:sz w:val="22"/>
          <w:szCs w:val="22"/>
          <w:highlight w:val="none"/>
        </w:rPr>
      </w:pPr>
    </w:p>
    <w:p w14:paraId="097B6063">
      <w:pPr>
        <w:pStyle w:val="25"/>
        <w:ind w:left="860" w:hanging="440"/>
        <w:rPr>
          <w:rFonts w:ascii="宋体" w:hAnsi="宋体"/>
          <w:color w:val="auto"/>
          <w:sz w:val="22"/>
          <w:szCs w:val="22"/>
          <w:highlight w:val="none"/>
        </w:rPr>
      </w:pPr>
    </w:p>
    <w:p w14:paraId="5D2D7773">
      <w:pPr>
        <w:pStyle w:val="25"/>
        <w:ind w:left="860" w:hanging="440"/>
        <w:rPr>
          <w:rFonts w:ascii="宋体" w:hAnsi="宋体"/>
          <w:color w:val="auto"/>
          <w:sz w:val="22"/>
          <w:szCs w:val="22"/>
          <w:highlight w:val="none"/>
        </w:rPr>
      </w:pPr>
    </w:p>
    <w:p w14:paraId="344C6D8A">
      <w:pPr>
        <w:pStyle w:val="25"/>
        <w:ind w:left="860" w:hanging="440"/>
        <w:rPr>
          <w:rFonts w:ascii="宋体" w:hAnsi="宋体"/>
          <w:color w:val="auto"/>
          <w:sz w:val="22"/>
          <w:szCs w:val="22"/>
          <w:highlight w:val="none"/>
        </w:rPr>
      </w:pPr>
    </w:p>
    <w:p w14:paraId="73131D26">
      <w:pPr>
        <w:pStyle w:val="25"/>
        <w:ind w:left="860" w:hanging="440"/>
        <w:rPr>
          <w:rFonts w:ascii="宋体" w:hAnsi="宋体"/>
          <w:color w:val="auto"/>
          <w:sz w:val="22"/>
          <w:szCs w:val="22"/>
          <w:highlight w:val="none"/>
        </w:rPr>
      </w:pPr>
    </w:p>
    <w:p w14:paraId="3F5228BA">
      <w:pPr>
        <w:pStyle w:val="25"/>
        <w:ind w:left="860" w:hanging="440"/>
        <w:rPr>
          <w:rFonts w:ascii="宋体" w:hAnsi="宋体"/>
          <w:color w:val="auto"/>
          <w:sz w:val="22"/>
          <w:szCs w:val="22"/>
          <w:highlight w:val="none"/>
        </w:rPr>
      </w:pPr>
    </w:p>
    <w:p w14:paraId="4DF12D07">
      <w:pPr>
        <w:pStyle w:val="25"/>
        <w:ind w:left="860" w:hanging="440"/>
        <w:rPr>
          <w:rFonts w:ascii="宋体" w:hAnsi="宋体"/>
          <w:color w:val="auto"/>
          <w:sz w:val="22"/>
          <w:szCs w:val="22"/>
          <w:highlight w:val="none"/>
        </w:rPr>
      </w:pPr>
    </w:p>
    <w:p w14:paraId="38594DFE">
      <w:pPr>
        <w:pStyle w:val="25"/>
        <w:ind w:left="860" w:hanging="440"/>
        <w:rPr>
          <w:rFonts w:ascii="宋体" w:hAnsi="宋体"/>
          <w:color w:val="auto"/>
          <w:sz w:val="22"/>
          <w:szCs w:val="22"/>
          <w:highlight w:val="none"/>
        </w:rPr>
      </w:pPr>
    </w:p>
    <w:p w14:paraId="5511EB0E">
      <w:pPr>
        <w:pStyle w:val="25"/>
        <w:ind w:left="860" w:hanging="440"/>
        <w:rPr>
          <w:rFonts w:ascii="宋体" w:hAnsi="宋体"/>
          <w:color w:val="auto"/>
          <w:sz w:val="22"/>
          <w:szCs w:val="22"/>
          <w:highlight w:val="none"/>
        </w:rPr>
      </w:pPr>
    </w:p>
    <w:p w14:paraId="2B735380">
      <w:pPr>
        <w:pStyle w:val="25"/>
        <w:ind w:left="0" w:leftChars="0" w:firstLine="0" w:firstLineChars="0"/>
        <w:rPr>
          <w:rFonts w:ascii="宋体" w:hAnsi="宋体"/>
          <w:color w:val="auto"/>
          <w:sz w:val="22"/>
          <w:szCs w:val="22"/>
          <w:highlight w:val="none"/>
        </w:rPr>
      </w:pPr>
    </w:p>
    <w:p w14:paraId="0257200F">
      <w:pPr>
        <w:rPr>
          <w:rFonts w:ascii="宋体" w:hAnsi="宋体" w:cs="宋体"/>
          <w:b/>
          <w:color w:val="auto"/>
          <w:sz w:val="22"/>
          <w:szCs w:val="22"/>
          <w:highlight w:val="none"/>
          <w:lang w:val="zh-CN"/>
        </w:rPr>
      </w:pPr>
      <w:r>
        <w:rPr>
          <w:rFonts w:hint="eastAsia" w:ascii="宋体" w:hAnsi="宋体" w:cs="宋体"/>
          <w:b/>
          <w:color w:val="auto"/>
          <w:sz w:val="22"/>
          <w:szCs w:val="22"/>
          <w:highlight w:val="none"/>
          <w:lang w:val="zh-CN"/>
        </w:rPr>
        <w:br w:type="page"/>
      </w:r>
    </w:p>
    <w:p w14:paraId="637588A8">
      <w:pPr>
        <w:spacing w:line="400" w:lineRule="exact"/>
        <w:jc w:val="center"/>
        <w:outlineLvl w:val="3"/>
        <w:rPr>
          <w:rFonts w:ascii="宋体" w:hAnsi="宋体" w:cs="宋体"/>
          <w:b/>
          <w:color w:val="auto"/>
          <w:sz w:val="22"/>
          <w:szCs w:val="22"/>
          <w:highlight w:val="none"/>
          <w:lang w:val="zh-CN"/>
        </w:rPr>
      </w:pPr>
      <w:r>
        <w:rPr>
          <w:rFonts w:hint="eastAsia" w:ascii="宋体" w:hAnsi="宋体" w:cs="宋体"/>
          <w:b/>
          <w:color w:val="auto"/>
          <w:sz w:val="22"/>
          <w:szCs w:val="22"/>
          <w:highlight w:val="none"/>
          <w:lang w:val="zh-CN"/>
        </w:rPr>
        <w:t>3、分项报价表</w:t>
      </w:r>
    </w:p>
    <w:p w14:paraId="2F08917E">
      <w:pPr>
        <w:spacing w:line="360" w:lineRule="auto"/>
        <w:rPr>
          <w:rFonts w:ascii="宋体" w:hAnsi="宋体" w:cs="宋体"/>
          <w:color w:val="auto"/>
          <w:sz w:val="22"/>
          <w:szCs w:val="22"/>
          <w:highlight w:val="none"/>
        </w:rPr>
      </w:pPr>
    </w:p>
    <w:p w14:paraId="76C24DEF">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WZLCZB（Z）-2024-10454</w:t>
      </w:r>
    </w:p>
    <w:p w14:paraId="1734CEC0">
      <w:pPr>
        <w:keepNext/>
        <w:spacing w:line="360" w:lineRule="auto"/>
        <w:rPr>
          <w:rFonts w:ascii="宋体" w:hAnsi="宋体" w:cs="宋体"/>
          <w:b/>
          <w:color w:val="auto"/>
          <w:sz w:val="22"/>
          <w:szCs w:val="22"/>
          <w:highlight w:val="none"/>
        </w:rPr>
      </w:pPr>
      <w:r>
        <w:rPr>
          <w:rFonts w:hint="eastAsia" w:ascii="宋体" w:hAnsi="宋体" w:cs="宋体"/>
          <w:color w:val="auto"/>
          <w:sz w:val="22"/>
          <w:szCs w:val="22"/>
          <w:highlight w:val="none"/>
        </w:rPr>
        <w:t>项目名称：基层智治综合应用鹿城域</w:t>
      </w:r>
    </w:p>
    <w:tbl>
      <w:tblPr>
        <w:tblStyle w:val="52"/>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10"/>
        <w:gridCol w:w="1670"/>
        <w:gridCol w:w="2579"/>
        <w:gridCol w:w="717"/>
        <w:gridCol w:w="1203"/>
        <w:gridCol w:w="1149"/>
        <w:gridCol w:w="736"/>
      </w:tblGrid>
      <w:tr w14:paraId="6445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75" w:type="dxa"/>
            <w:vAlign w:val="center"/>
          </w:tcPr>
          <w:p w14:paraId="5FEC5837">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序号</w:t>
            </w:r>
          </w:p>
        </w:tc>
        <w:tc>
          <w:tcPr>
            <w:tcW w:w="1310" w:type="dxa"/>
            <w:vAlign w:val="center"/>
          </w:tcPr>
          <w:p w14:paraId="0901263A">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名称</w:t>
            </w:r>
          </w:p>
        </w:tc>
        <w:tc>
          <w:tcPr>
            <w:tcW w:w="1670" w:type="dxa"/>
            <w:vAlign w:val="center"/>
          </w:tcPr>
          <w:p w14:paraId="0C24364C">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品牌（如有）</w:t>
            </w:r>
          </w:p>
        </w:tc>
        <w:tc>
          <w:tcPr>
            <w:tcW w:w="2579" w:type="dxa"/>
            <w:vAlign w:val="center"/>
          </w:tcPr>
          <w:p w14:paraId="6443B010">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规格型号（或具体服务）</w:t>
            </w:r>
          </w:p>
        </w:tc>
        <w:tc>
          <w:tcPr>
            <w:tcW w:w="717" w:type="dxa"/>
            <w:vAlign w:val="center"/>
          </w:tcPr>
          <w:p w14:paraId="13C64755">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数量</w:t>
            </w:r>
          </w:p>
        </w:tc>
        <w:tc>
          <w:tcPr>
            <w:tcW w:w="1203" w:type="dxa"/>
            <w:vAlign w:val="center"/>
          </w:tcPr>
          <w:p w14:paraId="38AB4279">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单价（元）</w:t>
            </w:r>
          </w:p>
        </w:tc>
        <w:tc>
          <w:tcPr>
            <w:tcW w:w="1149" w:type="dxa"/>
            <w:vAlign w:val="center"/>
          </w:tcPr>
          <w:p w14:paraId="1D21F772">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总价（元）</w:t>
            </w:r>
          </w:p>
        </w:tc>
        <w:tc>
          <w:tcPr>
            <w:tcW w:w="736" w:type="dxa"/>
            <w:vAlign w:val="center"/>
          </w:tcPr>
          <w:p w14:paraId="3B1EA1F0">
            <w:pPr>
              <w:spacing w:line="460" w:lineRule="exact"/>
              <w:jc w:val="center"/>
              <w:rPr>
                <w:rFonts w:ascii="宋体" w:hAnsi="宋体" w:cs="宋体"/>
                <w:bCs/>
                <w:color w:val="auto"/>
                <w:sz w:val="22"/>
                <w:szCs w:val="22"/>
                <w:highlight w:val="none"/>
              </w:rPr>
            </w:pPr>
          </w:p>
          <w:p w14:paraId="21373FA4">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备注</w:t>
            </w:r>
          </w:p>
          <w:p w14:paraId="5F914D0B">
            <w:pPr>
              <w:spacing w:line="460" w:lineRule="exact"/>
              <w:jc w:val="center"/>
              <w:rPr>
                <w:rFonts w:ascii="宋体" w:hAnsi="宋体" w:cs="宋体"/>
                <w:bCs/>
                <w:color w:val="auto"/>
                <w:sz w:val="22"/>
                <w:szCs w:val="22"/>
                <w:highlight w:val="none"/>
              </w:rPr>
            </w:pPr>
          </w:p>
        </w:tc>
      </w:tr>
      <w:tr w14:paraId="5627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5" w:type="dxa"/>
            <w:vAlign w:val="center"/>
          </w:tcPr>
          <w:p w14:paraId="5BC012CE">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1310" w:type="dxa"/>
            <w:vAlign w:val="center"/>
          </w:tcPr>
          <w:p w14:paraId="729E4C90">
            <w:pPr>
              <w:snapToGrid w:val="0"/>
              <w:spacing w:line="460" w:lineRule="exact"/>
              <w:jc w:val="center"/>
              <w:rPr>
                <w:rFonts w:ascii="宋体" w:hAnsi="宋体" w:cs="宋体"/>
                <w:bCs/>
                <w:color w:val="auto"/>
                <w:sz w:val="22"/>
                <w:szCs w:val="22"/>
                <w:highlight w:val="none"/>
              </w:rPr>
            </w:pPr>
          </w:p>
        </w:tc>
        <w:tc>
          <w:tcPr>
            <w:tcW w:w="1670" w:type="dxa"/>
            <w:vAlign w:val="center"/>
          </w:tcPr>
          <w:p w14:paraId="3DEC2773">
            <w:pPr>
              <w:snapToGrid w:val="0"/>
              <w:spacing w:line="460" w:lineRule="exact"/>
              <w:jc w:val="center"/>
              <w:rPr>
                <w:rFonts w:ascii="宋体" w:hAnsi="宋体" w:cs="宋体"/>
                <w:bCs/>
                <w:color w:val="auto"/>
                <w:sz w:val="22"/>
                <w:szCs w:val="22"/>
                <w:highlight w:val="none"/>
              </w:rPr>
            </w:pPr>
          </w:p>
        </w:tc>
        <w:tc>
          <w:tcPr>
            <w:tcW w:w="2579" w:type="dxa"/>
            <w:vAlign w:val="center"/>
          </w:tcPr>
          <w:p w14:paraId="27B2396D">
            <w:pPr>
              <w:snapToGrid w:val="0"/>
              <w:spacing w:line="460" w:lineRule="exact"/>
              <w:jc w:val="center"/>
              <w:rPr>
                <w:rFonts w:ascii="宋体" w:hAnsi="宋体" w:cs="宋体"/>
                <w:bCs/>
                <w:color w:val="auto"/>
                <w:sz w:val="22"/>
                <w:szCs w:val="22"/>
                <w:highlight w:val="none"/>
              </w:rPr>
            </w:pPr>
          </w:p>
        </w:tc>
        <w:tc>
          <w:tcPr>
            <w:tcW w:w="717" w:type="dxa"/>
            <w:vAlign w:val="center"/>
          </w:tcPr>
          <w:p w14:paraId="7B51CB7B">
            <w:pPr>
              <w:snapToGrid w:val="0"/>
              <w:spacing w:line="460" w:lineRule="exact"/>
              <w:jc w:val="center"/>
              <w:rPr>
                <w:rFonts w:ascii="宋体" w:hAnsi="宋体" w:cs="宋体"/>
                <w:bCs/>
                <w:color w:val="auto"/>
                <w:sz w:val="22"/>
                <w:szCs w:val="22"/>
                <w:highlight w:val="none"/>
              </w:rPr>
            </w:pPr>
          </w:p>
        </w:tc>
        <w:tc>
          <w:tcPr>
            <w:tcW w:w="1203" w:type="dxa"/>
            <w:vAlign w:val="center"/>
          </w:tcPr>
          <w:p w14:paraId="0BF8396E">
            <w:pPr>
              <w:spacing w:line="460" w:lineRule="exact"/>
              <w:jc w:val="center"/>
              <w:rPr>
                <w:rFonts w:ascii="宋体" w:hAnsi="宋体" w:cs="宋体"/>
                <w:bCs/>
                <w:color w:val="auto"/>
                <w:sz w:val="22"/>
                <w:szCs w:val="22"/>
                <w:highlight w:val="none"/>
              </w:rPr>
            </w:pPr>
          </w:p>
        </w:tc>
        <w:tc>
          <w:tcPr>
            <w:tcW w:w="1149" w:type="dxa"/>
            <w:vAlign w:val="center"/>
          </w:tcPr>
          <w:p w14:paraId="4CBFDB4C">
            <w:pPr>
              <w:spacing w:line="460" w:lineRule="exact"/>
              <w:jc w:val="center"/>
              <w:rPr>
                <w:rFonts w:ascii="宋体" w:hAnsi="宋体" w:cs="宋体"/>
                <w:bCs/>
                <w:color w:val="auto"/>
                <w:sz w:val="22"/>
                <w:szCs w:val="22"/>
                <w:highlight w:val="none"/>
              </w:rPr>
            </w:pPr>
          </w:p>
        </w:tc>
        <w:tc>
          <w:tcPr>
            <w:tcW w:w="736" w:type="dxa"/>
            <w:vAlign w:val="center"/>
          </w:tcPr>
          <w:p w14:paraId="774CBE22">
            <w:pPr>
              <w:spacing w:line="460" w:lineRule="exact"/>
              <w:jc w:val="center"/>
              <w:rPr>
                <w:rFonts w:ascii="宋体" w:hAnsi="宋体" w:cs="宋体"/>
                <w:bCs/>
                <w:color w:val="auto"/>
                <w:sz w:val="22"/>
                <w:szCs w:val="22"/>
                <w:highlight w:val="none"/>
              </w:rPr>
            </w:pPr>
          </w:p>
        </w:tc>
      </w:tr>
      <w:tr w14:paraId="2389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75" w:type="dxa"/>
            <w:vAlign w:val="center"/>
          </w:tcPr>
          <w:p w14:paraId="3655F920">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1310" w:type="dxa"/>
            <w:vAlign w:val="center"/>
          </w:tcPr>
          <w:p w14:paraId="1B431AFE">
            <w:pPr>
              <w:snapToGrid w:val="0"/>
              <w:spacing w:line="460" w:lineRule="exact"/>
              <w:jc w:val="center"/>
              <w:rPr>
                <w:rFonts w:ascii="宋体" w:hAnsi="宋体" w:cs="宋体"/>
                <w:bCs/>
                <w:color w:val="auto"/>
                <w:sz w:val="22"/>
                <w:szCs w:val="22"/>
                <w:highlight w:val="none"/>
              </w:rPr>
            </w:pPr>
          </w:p>
        </w:tc>
        <w:tc>
          <w:tcPr>
            <w:tcW w:w="1670" w:type="dxa"/>
            <w:vAlign w:val="center"/>
          </w:tcPr>
          <w:p w14:paraId="786F37FE">
            <w:pPr>
              <w:snapToGrid w:val="0"/>
              <w:spacing w:line="460" w:lineRule="exact"/>
              <w:jc w:val="center"/>
              <w:rPr>
                <w:rFonts w:ascii="宋体" w:hAnsi="宋体" w:cs="宋体"/>
                <w:bCs/>
                <w:color w:val="auto"/>
                <w:sz w:val="22"/>
                <w:szCs w:val="22"/>
                <w:highlight w:val="none"/>
              </w:rPr>
            </w:pPr>
          </w:p>
        </w:tc>
        <w:tc>
          <w:tcPr>
            <w:tcW w:w="2579" w:type="dxa"/>
            <w:vAlign w:val="center"/>
          </w:tcPr>
          <w:p w14:paraId="5DC4148A">
            <w:pPr>
              <w:snapToGrid w:val="0"/>
              <w:spacing w:line="460" w:lineRule="exact"/>
              <w:jc w:val="center"/>
              <w:rPr>
                <w:rFonts w:ascii="宋体" w:hAnsi="宋体" w:cs="宋体"/>
                <w:bCs/>
                <w:color w:val="auto"/>
                <w:sz w:val="22"/>
                <w:szCs w:val="22"/>
                <w:highlight w:val="none"/>
              </w:rPr>
            </w:pPr>
          </w:p>
        </w:tc>
        <w:tc>
          <w:tcPr>
            <w:tcW w:w="717" w:type="dxa"/>
            <w:vAlign w:val="center"/>
          </w:tcPr>
          <w:p w14:paraId="4654E958">
            <w:pPr>
              <w:snapToGrid w:val="0"/>
              <w:spacing w:line="460" w:lineRule="exact"/>
              <w:jc w:val="center"/>
              <w:rPr>
                <w:rFonts w:ascii="宋体" w:hAnsi="宋体" w:cs="宋体"/>
                <w:bCs/>
                <w:color w:val="auto"/>
                <w:sz w:val="22"/>
                <w:szCs w:val="22"/>
                <w:highlight w:val="none"/>
              </w:rPr>
            </w:pPr>
          </w:p>
        </w:tc>
        <w:tc>
          <w:tcPr>
            <w:tcW w:w="1203" w:type="dxa"/>
            <w:vAlign w:val="center"/>
          </w:tcPr>
          <w:p w14:paraId="4288AE6F">
            <w:pPr>
              <w:spacing w:line="460" w:lineRule="exact"/>
              <w:jc w:val="center"/>
              <w:rPr>
                <w:rFonts w:ascii="宋体" w:hAnsi="宋体" w:cs="宋体"/>
                <w:bCs/>
                <w:color w:val="auto"/>
                <w:sz w:val="22"/>
                <w:szCs w:val="22"/>
                <w:highlight w:val="none"/>
              </w:rPr>
            </w:pPr>
          </w:p>
        </w:tc>
        <w:tc>
          <w:tcPr>
            <w:tcW w:w="1149" w:type="dxa"/>
            <w:vAlign w:val="center"/>
          </w:tcPr>
          <w:p w14:paraId="1098AD85">
            <w:pPr>
              <w:spacing w:line="460" w:lineRule="exact"/>
              <w:jc w:val="center"/>
              <w:rPr>
                <w:rFonts w:ascii="宋体" w:hAnsi="宋体" w:cs="宋体"/>
                <w:bCs/>
                <w:color w:val="auto"/>
                <w:sz w:val="22"/>
                <w:szCs w:val="22"/>
                <w:highlight w:val="none"/>
              </w:rPr>
            </w:pPr>
          </w:p>
        </w:tc>
        <w:tc>
          <w:tcPr>
            <w:tcW w:w="736" w:type="dxa"/>
            <w:vAlign w:val="center"/>
          </w:tcPr>
          <w:p w14:paraId="4C458EF3">
            <w:pPr>
              <w:spacing w:line="460" w:lineRule="exact"/>
              <w:jc w:val="center"/>
              <w:rPr>
                <w:rFonts w:ascii="宋体" w:hAnsi="宋体" w:cs="宋体"/>
                <w:bCs/>
                <w:color w:val="auto"/>
                <w:sz w:val="22"/>
                <w:szCs w:val="22"/>
                <w:highlight w:val="none"/>
              </w:rPr>
            </w:pPr>
          </w:p>
        </w:tc>
      </w:tr>
      <w:tr w14:paraId="4A42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5" w:type="dxa"/>
            <w:vAlign w:val="center"/>
          </w:tcPr>
          <w:p w14:paraId="787C19D9">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1310" w:type="dxa"/>
            <w:vAlign w:val="center"/>
          </w:tcPr>
          <w:p w14:paraId="4BF8801C">
            <w:pPr>
              <w:snapToGrid w:val="0"/>
              <w:spacing w:line="460" w:lineRule="exact"/>
              <w:jc w:val="center"/>
              <w:rPr>
                <w:rFonts w:ascii="宋体" w:hAnsi="宋体" w:cs="宋体"/>
                <w:bCs/>
                <w:color w:val="auto"/>
                <w:sz w:val="22"/>
                <w:szCs w:val="22"/>
                <w:highlight w:val="none"/>
              </w:rPr>
            </w:pPr>
          </w:p>
        </w:tc>
        <w:tc>
          <w:tcPr>
            <w:tcW w:w="1670" w:type="dxa"/>
            <w:vAlign w:val="center"/>
          </w:tcPr>
          <w:p w14:paraId="175789C4">
            <w:pPr>
              <w:snapToGrid w:val="0"/>
              <w:spacing w:line="460" w:lineRule="exact"/>
              <w:jc w:val="center"/>
              <w:rPr>
                <w:rFonts w:ascii="宋体" w:hAnsi="宋体" w:cs="宋体"/>
                <w:bCs/>
                <w:color w:val="auto"/>
                <w:sz w:val="22"/>
                <w:szCs w:val="22"/>
                <w:highlight w:val="none"/>
              </w:rPr>
            </w:pPr>
          </w:p>
        </w:tc>
        <w:tc>
          <w:tcPr>
            <w:tcW w:w="2579" w:type="dxa"/>
            <w:vAlign w:val="center"/>
          </w:tcPr>
          <w:p w14:paraId="144CE4A5">
            <w:pPr>
              <w:snapToGrid w:val="0"/>
              <w:spacing w:line="460" w:lineRule="exact"/>
              <w:jc w:val="center"/>
              <w:rPr>
                <w:rFonts w:ascii="宋体" w:hAnsi="宋体" w:cs="宋体"/>
                <w:bCs/>
                <w:color w:val="auto"/>
                <w:sz w:val="22"/>
                <w:szCs w:val="22"/>
                <w:highlight w:val="none"/>
              </w:rPr>
            </w:pPr>
          </w:p>
        </w:tc>
        <w:tc>
          <w:tcPr>
            <w:tcW w:w="717" w:type="dxa"/>
            <w:vAlign w:val="center"/>
          </w:tcPr>
          <w:p w14:paraId="64EC4982">
            <w:pPr>
              <w:snapToGrid w:val="0"/>
              <w:spacing w:line="460" w:lineRule="exact"/>
              <w:jc w:val="center"/>
              <w:rPr>
                <w:rFonts w:ascii="宋体" w:hAnsi="宋体" w:cs="宋体"/>
                <w:bCs/>
                <w:color w:val="auto"/>
                <w:sz w:val="22"/>
                <w:szCs w:val="22"/>
                <w:highlight w:val="none"/>
              </w:rPr>
            </w:pPr>
          </w:p>
        </w:tc>
        <w:tc>
          <w:tcPr>
            <w:tcW w:w="1203" w:type="dxa"/>
            <w:vAlign w:val="center"/>
          </w:tcPr>
          <w:p w14:paraId="57CCE993">
            <w:pPr>
              <w:spacing w:line="460" w:lineRule="exact"/>
              <w:jc w:val="center"/>
              <w:rPr>
                <w:rFonts w:ascii="宋体" w:hAnsi="宋体" w:cs="宋体"/>
                <w:bCs/>
                <w:color w:val="auto"/>
                <w:sz w:val="22"/>
                <w:szCs w:val="22"/>
                <w:highlight w:val="none"/>
              </w:rPr>
            </w:pPr>
          </w:p>
        </w:tc>
        <w:tc>
          <w:tcPr>
            <w:tcW w:w="1149" w:type="dxa"/>
            <w:vAlign w:val="center"/>
          </w:tcPr>
          <w:p w14:paraId="6B299513">
            <w:pPr>
              <w:spacing w:line="460" w:lineRule="exact"/>
              <w:jc w:val="center"/>
              <w:rPr>
                <w:rFonts w:ascii="宋体" w:hAnsi="宋体" w:cs="宋体"/>
                <w:bCs/>
                <w:color w:val="auto"/>
                <w:sz w:val="22"/>
                <w:szCs w:val="22"/>
                <w:highlight w:val="none"/>
              </w:rPr>
            </w:pPr>
          </w:p>
        </w:tc>
        <w:tc>
          <w:tcPr>
            <w:tcW w:w="736" w:type="dxa"/>
            <w:vAlign w:val="center"/>
          </w:tcPr>
          <w:p w14:paraId="3548F097">
            <w:pPr>
              <w:spacing w:line="460" w:lineRule="exact"/>
              <w:jc w:val="center"/>
              <w:rPr>
                <w:rFonts w:ascii="宋体" w:hAnsi="宋体" w:cs="宋体"/>
                <w:bCs/>
                <w:color w:val="auto"/>
                <w:sz w:val="22"/>
                <w:szCs w:val="22"/>
                <w:highlight w:val="none"/>
              </w:rPr>
            </w:pPr>
          </w:p>
        </w:tc>
      </w:tr>
      <w:tr w14:paraId="2F29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vAlign w:val="center"/>
          </w:tcPr>
          <w:p w14:paraId="78FD52F5">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4</w:t>
            </w:r>
          </w:p>
        </w:tc>
        <w:tc>
          <w:tcPr>
            <w:tcW w:w="1310" w:type="dxa"/>
            <w:vAlign w:val="center"/>
          </w:tcPr>
          <w:p w14:paraId="29646C61">
            <w:pPr>
              <w:snapToGrid w:val="0"/>
              <w:spacing w:line="460" w:lineRule="exact"/>
              <w:jc w:val="center"/>
              <w:rPr>
                <w:rFonts w:ascii="宋体" w:hAnsi="宋体" w:cs="宋体"/>
                <w:bCs/>
                <w:color w:val="auto"/>
                <w:sz w:val="22"/>
                <w:szCs w:val="22"/>
                <w:highlight w:val="none"/>
              </w:rPr>
            </w:pPr>
          </w:p>
        </w:tc>
        <w:tc>
          <w:tcPr>
            <w:tcW w:w="1670" w:type="dxa"/>
            <w:vAlign w:val="center"/>
          </w:tcPr>
          <w:p w14:paraId="0C9E83F5">
            <w:pPr>
              <w:snapToGrid w:val="0"/>
              <w:spacing w:line="460" w:lineRule="exact"/>
              <w:jc w:val="center"/>
              <w:rPr>
                <w:rFonts w:ascii="宋体" w:hAnsi="宋体" w:cs="宋体"/>
                <w:bCs/>
                <w:color w:val="auto"/>
                <w:sz w:val="22"/>
                <w:szCs w:val="22"/>
                <w:highlight w:val="none"/>
              </w:rPr>
            </w:pPr>
          </w:p>
        </w:tc>
        <w:tc>
          <w:tcPr>
            <w:tcW w:w="2579" w:type="dxa"/>
            <w:vAlign w:val="center"/>
          </w:tcPr>
          <w:p w14:paraId="383902C1">
            <w:pPr>
              <w:snapToGrid w:val="0"/>
              <w:spacing w:line="460" w:lineRule="exact"/>
              <w:jc w:val="center"/>
              <w:rPr>
                <w:rFonts w:ascii="宋体" w:hAnsi="宋体" w:cs="宋体"/>
                <w:bCs/>
                <w:color w:val="auto"/>
                <w:sz w:val="22"/>
                <w:szCs w:val="22"/>
                <w:highlight w:val="none"/>
              </w:rPr>
            </w:pPr>
          </w:p>
        </w:tc>
        <w:tc>
          <w:tcPr>
            <w:tcW w:w="717" w:type="dxa"/>
            <w:vAlign w:val="center"/>
          </w:tcPr>
          <w:p w14:paraId="7E2B7B27">
            <w:pPr>
              <w:snapToGrid w:val="0"/>
              <w:spacing w:line="460" w:lineRule="exact"/>
              <w:jc w:val="center"/>
              <w:rPr>
                <w:rFonts w:ascii="宋体" w:hAnsi="宋体" w:cs="宋体"/>
                <w:bCs/>
                <w:color w:val="auto"/>
                <w:sz w:val="22"/>
                <w:szCs w:val="22"/>
                <w:highlight w:val="none"/>
              </w:rPr>
            </w:pPr>
          </w:p>
        </w:tc>
        <w:tc>
          <w:tcPr>
            <w:tcW w:w="1203" w:type="dxa"/>
            <w:vAlign w:val="center"/>
          </w:tcPr>
          <w:p w14:paraId="65208D96">
            <w:pPr>
              <w:spacing w:line="460" w:lineRule="exact"/>
              <w:jc w:val="center"/>
              <w:rPr>
                <w:rFonts w:ascii="宋体" w:hAnsi="宋体" w:cs="宋体"/>
                <w:bCs/>
                <w:color w:val="auto"/>
                <w:sz w:val="22"/>
                <w:szCs w:val="22"/>
                <w:highlight w:val="none"/>
              </w:rPr>
            </w:pPr>
          </w:p>
        </w:tc>
        <w:tc>
          <w:tcPr>
            <w:tcW w:w="1149" w:type="dxa"/>
            <w:vAlign w:val="center"/>
          </w:tcPr>
          <w:p w14:paraId="2CE4AE9A">
            <w:pPr>
              <w:spacing w:line="460" w:lineRule="exact"/>
              <w:jc w:val="center"/>
              <w:rPr>
                <w:rFonts w:ascii="宋体" w:hAnsi="宋体" w:cs="宋体"/>
                <w:bCs/>
                <w:color w:val="auto"/>
                <w:sz w:val="22"/>
                <w:szCs w:val="22"/>
                <w:highlight w:val="none"/>
              </w:rPr>
            </w:pPr>
          </w:p>
        </w:tc>
        <w:tc>
          <w:tcPr>
            <w:tcW w:w="736" w:type="dxa"/>
            <w:vAlign w:val="center"/>
          </w:tcPr>
          <w:p w14:paraId="5C0B0E21">
            <w:pPr>
              <w:spacing w:line="460" w:lineRule="exact"/>
              <w:jc w:val="center"/>
              <w:rPr>
                <w:rFonts w:ascii="宋体" w:hAnsi="宋体" w:cs="宋体"/>
                <w:bCs/>
                <w:color w:val="auto"/>
                <w:sz w:val="22"/>
                <w:szCs w:val="22"/>
                <w:highlight w:val="none"/>
              </w:rPr>
            </w:pPr>
          </w:p>
        </w:tc>
      </w:tr>
      <w:tr w14:paraId="4270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vAlign w:val="center"/>
          </w:tcPr>
          <w:p w14:paraId="76788049">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5</w:t>
            </w:r>
          </w:p>
        </w:tc>
        <w:tc>
          <w:tcPr>
            <w:tcW w:w="1310" w:type="dxa"/>
            <w:vAlign w:val="center"/>
          </w:tcPr>
          <w:p w14:paraId="07DE6BEE">
            <w:pPr>
              <w:snapToGrid w:val="0"/>
              <w:spacing w:line="460" w:lineRule="exact"/>
              <w:jc w:val="center"/>
              <w:rPr>
                <w:rFonts w:ascii="宋体" w:hAnsi="宋体" w:cs="宋体"/>
                <w:bCs/>
                <w:color w:val="auto"/>
                <w:sz w:val="22"/>
                <w:szCs w:val="22"/>
                <w:highlight w:val="none"/>
              </w:rPr>
            </w:pPr>
          </w:p>
        </w:tc>
        <w:tc>
          <w:tcPr>
            <w:tcW w:w="1670" w:type="dxa"/>
            <w:vAlign w:val="center"/>
          </w:tcPr>
          <w:p w14:paraId="7ADF433A">
            <w:pPr>
              <w:snapToGrid w:val="0"/>
              <w:spacing w:line="460" w:lineRule="exact"/>
              <w:jc w:val="center"/>
              <w:rPr>
                <w:rFonts w:ascii="宋体" w:hAnsi="宋体" w:cs="宋体"/>
                <w:bCs/>
                <w:color w:val="auto"/>
                <w:sz w:val="22"/>
                <w:szCs w:val="22"/>
                <w:highlight w:val="none"/>
              </w:rPr>
            </w:pPr>
          </w:p>
        </w:tc>
        <w:tc>
          <w:tcPr>
            <w:tcW w:w="2579" w:type="dxa"/>
            <w:vAlign w:val="center"/>
          </w:tcPr>
          <w:p w14:paraId="622309FF">
            <w:pPr>
              <w:snapToGrid w:val="0"/>
              <w:spacing w:line="460" w:lineRule="exact"/>
              <w:jc w:val="center"/>
              <w:rPr>
                <w:rFonts w:ascii="宋体" w:hAnsi="宋体" w:cs="宋体"/>
                <w:bCs/>
                <w:color w:val="auto"/>
                <w:sz w:val="22"/>
                <w:szCs w:val="22"/>
                <w:highlight w:val="none"/>
              </w:rPr>
            </w:pPr>
          </w:p>
        </w:tc>
        <w:tc>
          <w:tcPr>
            <w:tcW w:w="717" w:type="dxa"/>
            <w:vAlign w:val="center"/>
          </w:tcPr>
          <w:p w14:paraId="75435446">
            <w:pPr>
              <w:snapToGrid w:val="0"/>
              <w:spacing w:line="460" w:lineRule="exact"/>
              <w:jc w:val="center"/>
              <w:rPr>
                <w:rFonts w:ascii="宋体" w:hAnsi="宋体" w:cs="宋体"/>
                <w:bCs/>
                <w:color w:val="auto"/>
                <w:sz w:val="22"/>
                <w:szCs w:val="22"/>
                <w:highlight w:val="none"/>
              </w:rPr>
            </w:pPr>
          </w:p>
        </w:tc>
        <w:tc>
          <w:tcPr>
            <w:tcW w:w="1203" w:type="dxa"/>
            <w:vAlign w:val="center"/>
          </w:tcPr>
          <w:p w14:paraId="3304FD10">
            <w:pPr>
              <w:spacing w:line="460" w:lineRule="exact"/>
              <w:jc w:val="center"/>
              <w:rPr>
                <w:rFonts w:ascii="宋体" w:hAnsi="宋体" w:cs="宋体"/>
                <w:bCs/>
                <w:color w:val="auto"/>
                <w:sz w:val="22"/>
                <w:szCs w:val="22"/>
                <w:highlight w:val="none"/>
              </w:rPr>
            </w:pPr>
          </w:p>
        </w:tc>
        <w:tc>
          <w:tcPr>
            <w:tcW w:w="1149" w:type="dxa"/>
            <w:vAlign w:val="center"/>
          </w:tcPr>
          <w:p w14:paraId="616D1D8F">
            <w:pPr>
              <w:spacing w:line="460" w:lineRule="exact"/>
              <w:jc w:val="center"/>
              <w:rPr>
                <w:rFonts w:ascii="宋体" w:hAnsi="宋体" w:cs="宋体"/>
                <w:bCs/>
                <w:color w:val="auto"/>
                <w:sz w:val="22"/>
                <w:szCs w:val="22"/>
                <w:highlight w:val="none"/>
              </w:rPr>
            </w:pPr>
          </w:p>
        </w:tc>
        <w:tc>
          <w:tcPr>
            <w:tcW w:w="736" w:type="dxa"/>
            <w:vAlign w:val="center"/>
          </w:tcPr>
          <w:p w14:paraId="3213F37B">
            <w:pPr>
              <w:spacing w:line="460" w:lineRule="exact"/>
              <w:jc w:val="center"/>
              <w:rPr>
                <w:rFonts w:ascii="宋体" w:hAnsi="宋体" w:cs="宋体"/>
                <w:bCs/>
                <w:color w:val="auto"/>
                <w:sz w:val="22"/>
                <w:szCs w:val="22"/>
                <w:highlight w:val="none"/>
              </w:rPr>
            </w:pPr>
          </w:p>
        </w:tc>
      </w:tr>
      <w:tr w14:paraId="7822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vAlign w:val="center"/>
          </w:tcPr>
          <w:p w14:paraId="729820DA">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6</w:t>
            </w:r>
          </w:p>
        </w:tc>
        <w:tc>
          <w:tcPr>
            <w:tcW w:w="1310" w:type="dxa"/>
            <w:vAlign w:val="center"/>
          </w:tcPr>
          <w:p w14:paraId="51312D6D">
            <w:pPr>
              <w:snapToGrid w:val="0"/>
              <w:spacing w:line="460" w:lineRule="exact"/>
              <w:jc w:val="center"/>
              <w:rPr>
                <w:rFonts w:ascii="宋体" w:hAnsi="宋体" w:cs="宋体"/>
                <w:bCs/>
                <w:color w:val="auto"/>
                <w:sz w:val="22"/>
                <w:szCs w:val="22"/>
                <w:highlight w:val="none"/>
              </w:rPr>
            </w:pPr>
          </w:p>
        </w:tc>
        <w:tc>
          <w:tcPr>
            <w:tcW w:w="1670" w:type="dxa"/>
            <w:vAlign w:val="center"/>
          </w:tcPr>
          <w:p w14:paraId="66A88D88">
            <w:pPr>
              <w:snapToGrid w:val="0"/>
              <w:spacing w:line="460" w:lineRule="exact"/>
              <w:jc w:val="center"/>
              <w:rPr>
                <w:rFonts w:ascii="宋体" w:hAnsi="宋体" w:cs="宋体"/>
                <w:bCs/>
                <w:color w:val="auto"/>
                <w:sz w:val="22"/>
                <w:szCs w:val="22"/>
                <w:highlight w:val="none"/>
              </w:rPr>
            </w:pPr>
          </w:p>
        </w:tc>
        <w:tc>
          <w:tcPr>
            <w:tcW w:w="2579" w:type="dxa"/>
            <w:vAlign w:val="center"/>
          </w:tcPr>
          <w:p w14:paraId="6B4A7990">
            <w:pPr>
              <w:snapToGrid w:val="0"/>
              <w:spacing w:line="460" w:lineRule="exact"/>
              <w:jc w:val="center"/>
              <w:rPr>
                <w:rFonts w:ascii="宋体" w:hAnsi="宋体" w:cs="宋体"/>
                <w:bCs/>
                <w:color w:val="auto"/>
                <w:sz w:val="22"/>
                <w:szCs w:val="22"/>
                <w:highlight w:val="none"/>
              </w:rPr>
            </w:pPr>
          </w:p>
        </w:tc>
        <w:tc>
          <w:tcPr>
            <w:tcW w:w="717" w:type="dxa"/>
            <w:vAlign w:val="center"/>
          </w:tcPr>
          <w:p w14:paraId="23267D61">
            <w:pPr>
              <w:snapToGrid w:val="0"/>
              <w:spacing w:line="460" w:lineRule="exact"/>
              <w:jc w:val="center"/>
              <w:rPr>
                <w:rFonts w:ascii="宋体" w:hAnsi="宋体" w:cs="宋体"/>
                <w:bCs/>
                <w:color w:val="auto"/>
                <w:sz w:val="22"/>
                <w:szCs w:val="22"/>
                <w:highlight w:val="none"/>
              </w:rPr>
            </w:pPr>
          </w:p>
        </w:tc>
        <w:tc>
          <w:tcPr>
            <w:tcW w:w="1203" w:type="dxa"/>
            <w:vAlign w:val="center"/>
          </w:tcPr>
          <w:p w14:paraId="16A4B3A7">
            <w:pPr>
              <w:spacing w:line="460" w:lineRule="exact"/>
              <w:jc w:val="center"/>
              <w:rPr>
                <w:rFonts w:ascii="宋体" w:hAnsi="宋体" w:cs="宋体"/>
                <w:bCs/>
                <w:color w:val="auto"/>
                <w:sz w:val="22"/>
                <w:szCs w:val="22"/>
                <w:highlight w:val="none"/>
              </w:rPr>
            </w:pPr>
          </w:p>
        </w:tc>
        <w:tc>
          <w:tcPr>
            <w:tcW w:w="1149" w:type="dxa"/>
            <w:vAlign w:val="center"/>
          </w:tcPr>
          <w:p w14:paraId="478CD719">
            <w:pPr>
              <w:spacing w:line="460" w:lineRule="exact"/>
              <w:jc w:val="center"/>
              <w:rPr>
                <w:rFonts w:ascii="宋体" w:hAnsi="宋体" w:cs="宋体"/>
                <w:bCs/>
                <w:color w:val="auto"/>
                <w:sz w:val="22"/>
                <w:szCs w:val="22"/>
                <w:highlight w:val="none"/>
              </w:rPr>
            </w:pPr>
          </w:p>
        </w:tc>
        <w:tc>
          <w:tcPr>
            <w:tcW w:w="736" w:type="dxa"/>
            <w:vAlign w:val="center"/>
          </w:tcPr>
          <w:p w14:paraId="0124B43A">
            <w:pPr>
              <w:spacing w:line="460" w:lineRule="exact"/>
              <w:jc w:val="center"/>
              <w:rPr>
                <w:rFonts w:ascii="宋体" w:hAnsi="宋体" w:cs="宋体"/>
                <w:bCs/>
                <w:color w:val="auto"/>
                <w:sz w:val="22"/>
                <w:szCs w:val="22"/>
                <w:highlight w:val="none"/>
              </w:rPr>
            </w:pPr>
          </w:p>
        </w:tc>
      </w:tr>
      <w:tr w14:paraId="5A4A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Align w:val="center"/>
          </w:tcPr>
          <w:p w14:paraId="66A8B4BC">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w:t>
            </w:r>
          </w:p>
        </w:tc>
        <w:tc>
          <w:tcPr>
            <w:tcW w:w="1310" w:type="dxa"/>
            <w:vAlign w:val="center"/>
          </w:tcPr>
          <w:p w14:paraId="712A6BA2">
            <w:pPr>
              <w:snapToGrid w:val="0"/>
              <w:spacing w:line="460" w:lineRule="exact"/>
              <w:jc w:val="center"/>
              <w:rPr>
                <w:rFonts w:ascii="宋体" w:hAnsi="宋体" w:cs="宋体"/>
                <w:bCs/>
                <w:color w:val="auto"/>
                <w:sz w:val="22"/>
                <w:szCs w:val="22"/>
                <w:highlight w:val="none"/>
              </w:rPr>
            </w:pPr>
          </w:p>
        </w:tc>
        <w:tc>
          <w:tcPr>
            <w:tcW w:w="1670" w:type="dxa"/>
            <w:vAlign w:val="center"/>
          </w:tcPr>
          <w:p w14:paraId="03700FCE">
            <w:pPr>
              <w:snapToGrid w:val="0"/>
              <w:spacing w:line="460" w:lineRule="exact"/>
              <w:jc w:val="center"/>
              <w:rPr>
                <w:rFonts w:ascii="宋体" w:hAnsi="宋体" w:cs="宋体"/>
                <w:bCs/>
                <w:color w:val="auto"/>
                <w:sz w:val="22"/>
                <w:szCs w:val="22"/>
                <w:highlight w:val="none"/>
              </w:rPr>
            </w:pPr>
          </w:p>
        </w:tc>
        <w:tc>
          <w:tcPr>
            <w:tcW w:w="2579" w:type="dxa"/>
            <w:vAlign w:val="center"/>
          </w:tcPr>
          <w:p w14:paraId="7D1AFF50">
            <w:pPr>
              <w:snapToGrid w:val="0"/>
              <w:spacing w:line="460" w:lineRule="exact"/>
              <w:jc w:val="center"/>
              <w:rPr>
                <w:rFonts w:ascii="宋体" w:hAnsi="宋体" w:cs="宋体"/>
                <w:bCs/>
                <w:color w:val="auto"/>
                <w:sz w:val="22"/>
                <w:szCs w:val="22"/>
                <w:highlight w:val="none"/>
              </w:rPr>
            </w:pPr>
          </w:p>
        </w:tc>
        <w:tc>
          <w:tcPr>
            <w:tcW w:w="717" w:type="dxa"/>
            <w:vAlign w:val="center"/>
          </w:tcPr>
          <w:p w14:paraId="0FC1AA15">
            <w:pPr>
              <w:snapToGrid w:val="0"/>
              <w:spacing w:line="460" w:lineRule="exact"/>
              <w:jc w:val="center"/>
              <w:rPr>
                <w:rFonts w:ascii="宋体" w:hAnsi="宋体" w:cs="宋体"/>
                <w:bCs/>
                <w:color w:val="auto"/>
                <w:sz w:val="22"/>
                <w:szCs w:val="22"/>
                <w:highlight w:val="none"/>
              </w:rPr>
            </w:pPr>
          </w:p>
        </w:tc>
        <w:tc>
          <w:tcPr>
            <w:tcW w:w="1203" w:type="dxa"/>
            <w:vAlign w:val="center"/>
          </w:tcPr>
          <w:p w14:paraId="13A6B196">
            <w:pPr>
              <w:spacing w:line="460" w:lineRule="exact"/>
              <w:jc w:val="center"/>
              <w:rPr>
                <w:rFonts w:ascii="宋体" w:hAnsi="宋体" w:cs="宋体"/>
                <w:bCs/>
                <w:color w:val="auto"/>
                <w:sz w:val="22"/>
                <w:szCs w:val="22"/>
                <w:highlight w:val="none"/>
              </w:rPr>
            </w:pPr>
          </w:p>
        </w:tc>
        <w:tc>
          <w:tcPr>
            <w:tcW w:w="1149" w:type="dxa"/>
            <w:vAlign w:val="center"/>
          </w:tcPr>
          <w:p w14:paraId="7CF785AE">
            <w:pPr>
              <w:spacing w:line="460" w:lineRule="exact"/>
              <w:jc w:val="center"/>
              <w:rPr>
                <w:rFonts w:ascii="宋体" w:hAnsi="宋体" w:cs="宋体"/>
                <w:bCs/>
                <w:color w:val="auto"/>
                <w:sz w:val="22"/>
                <w:szCs w:val="22"/>
                <w:highlight w:val="none"/>
              </w:rPr>
            </w:pPr>
          </w:p>
        </w:tc>
        <w:tc>
          <w:tcPr>
            <w:tcW w:w="736" w:type="dxa"/>
            <w:vAlign w:val="center"/>
          </w:tcPr>
          <w:p w14:paraId="3ED05B46">
            <w:pPr>
              <w:spacing w:line="460" w:lineRule="exact"/>
              <w:jc w:val="center"/>
              <w:rPr>
                <w:rFonts w:ascii="宋体" w:hAnsi="宋体" w:cs="宋体"/>
                <w:bCs/>
                <w:color w:val="auto"/>
                <w:sz w:val="22"/>
                <w:szCs w:val="22"/>
                <w:highlight w:val="none"/>
              </w:rPr>
            </w:pPr>
          </w:p>
        </w:tc>
      </w:tr>
      <w:tr w14:paraId="3DFA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5" w:type="dxa"/>
            <w:vAlign w:val="center"/>
          </w:tcPr>
          <w:p w14:paraId="71200F4F">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7</w:t>
            </w:r>
          </w:p>
        </w:tc>
        <w:tc>
          <w:tcPr>
            <w:tcW w:w="5559" w:type="dxa"/>
            <w:gridSpan w:val="3"/>
            <w:vAlign w:val="center"/>
          </w:tcPr>
          <w:p w14:paraId="75F832D2">
            <w:pPr>
              <w:spacing w:line="460" w:lineRule="exact"/>
              <w:jc w:val="center"/>
              <w:rPr>
                <w:rFonts w:ascii="宋体" w:hAnsi="宋体" w:cs="宋体"/>
                <w:bCs/>
                <w:color w:val="auto"/>
                <w:sz w:val="22"/>
                <w:szCs w:val="22"/>
                <w:highlight w:val="none"/>
              </w:rPr>
            </w:pPr>
            <w:r>
              <w:rPr>
                <w:rFonts w:hint="eastAsia" w:ascii="宋体" w:hAnsi="宋体" w:cs="宋体"/>
                <w:color w:val="auto"/>
                <w:sz w:val="22"/>
                <w:szCs w:val="22"/>
                <w:highlight w:val="none"/>
              </w:rPr>
              <w:t>税金</w:t>
            </w:r>
          </w:p>
        </w:tc>
        <w:tc>
          <w:tcPr>
            <w:tcW w:w="3805" w:type="dxa"/>
            <w:gridSpan w:val="4"/>
            <w:vAlign w:val="center"/>
          </w:tcPr>
          <w:p w14:paraId="4DC29C7F">
            <w:pPr>
              <w:spacing w:line="460" w:lineRule="exact"/>
              <w:jc w:val="center"/>
              <w:rPr>
                <w:rFonts w:ascii="宋体" w:hAnsi="宋体" w:cs="宋体"/>
                <w:bCs/>
                <w:color w:val="auto"/>
                <w:sz w:val="22"/>
                <w:szCs w:val="22"/>
                <w:highlight w:val="none"/>
              </w:rPr>
            </w:pPr>
          </w:p>
        </w:tc>
      </w:tr>
      <w:tr w14:paraId="2030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Align w:val="center"/>
          </w:tcPr>
          <w:p w14:paraId="51A0F06C">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8</w:t>
            </w:r>
          </w:p>
        </w:tc>
        <w:tc>
          <w:tcPr>
            <w:tcW w:w="5559" w:type="dxa"/>
            <w:gridSpan w:val="3"/>
            <w:vAlign w:val="center"/>
          </w:tcPr>
          <w:p w14:paraId="263431BB">
            <w:pPr>
              <w:spacing w:line="460" w:lineRule="exact"/>
              <w:jc w:val="center"/>
              <w:rPr>
                <w:rFonts w:ascii="宋体" w:hAnsi="宋体" w:cs="宋体"/>
                <w:bCs/>
                <w:color w:val="auto"/>
                <w:sz w:val="22"/>
                <w:szCs w:val="22"/>
                <w:highlight w:val="none"/>
              </w:rPr>
            </w:pPr>
            <w:r>
              <w:rPr>
                <w:rFonts w:hint="eastAsia" w:ascii="宋体" w:hAnsi="宋体" w:cs="宋体"/>
                <w:color w:val="auto"/>
                <w:sz w:val="22"/>
                <w:szCs w:val="22"/>
                <w:highlight w:val="none"/>
              </w:rPr>
              <w:t>其他</w:t>
            </w:r>
          </w:p>
        </w:tc>
        <w:tc>
          <w:tcPr>
            <w:tcW w:w="3805" w:type="dxa"/>
            <w:gridSpan w:val="4"/>
            <w:vAlign w:val="center"/>
          </w:tcPr>
          <w:p w14:paraId="3B64AC40">
            <w:pPr>
              <w:spacing w:line="460" w:lineRule="exact"/>
              <w:jc w:val="center"/>
              <w:rPr>
                <w:rFonts w:ascii="宋体" w:hAnsi="宋体" w:cs="宋体"/>
                <w:bCs/>
                <w:color w:val="auto"/>
                <w:sz w:val="22"/>
                <w:szCs w:val="22"/>
                <w:highlight w:val="none"/>
              </w:rPr>
            </w:pPr>
          </w:p>
        </w:tc>
      </w:tr>
      <w:tr w14:paraId="0239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vAlign w:val="center"/>
          </w:tcPr>
          <w:p w14:paraId="0D3B7D1B">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9</w:t>
            </w:r>
          </w:p>
        </w:tc>
        <w:tc>
          <w:tcPr>
            <w:tcW w:w="5559" w:type="dxa"/>
            <w:gridSpan w:val="3"/>
            <w:vAlign w:val="center"/>
          </w:tcPr>
          <w:p w14:paraId="3E3B1A0C">
            <w:pPr>
              <w:spacing w:line="460" w:lineRule="exact"/>
              <w:jc w:val="center"/>
              <w:rPr>
                <w:rFonts w:ascii="宋体" w:hAnsi="宋体" w:cs="宋体"/>
                <w:bCs/>
                <w:color w:val="auto"/>
                <w:sz w:val="22"/>
                <w:szCs w:val="22"/>
                <w:highlight w:val="none"/>
              </w:rPr>
            </w:pPr>
            <w:r>
              <w:rPr>
                <w:rFonts w:hint="eastAsia" w:ascii="宋体" w:hAnsi="宋体" w:cs="宋体"/>
                <w:color w:val="auto"/>
                <w:sz w:val="22"/>
                <w:szCs w:val="22"/>
                <w:highlight w:val="none"/>
              </w:rPr>
              <w:t>采购代理服务费</w:t>
            </w:r>
          </w:p>
        </w:tc>
        <w:tc>
          <w:tcPr>
            <w:tcW w:w="3805" w:type="dxa"/>
            <w:gridSpan w:val="4"/>
            <w:vAlign w:val="center"/>
          </w:tcPr>
          <w:p w14:paraId="7C6322C3">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含</w:t>
            </w:r>
          </w:p>
        </w:tc>
      </w:tr>
      <w:tr w14:paraId="08B4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234" w:type="dxa"/>
            <w:gridSpan w:val="4"/>
            <w:vAlign w:val="center"/>
          </w:tcPr>
          <w:p w14:paraId="72558693">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投标报价（小写）</w:t>
            </w:r>
          </w:p>
        </w:tc>
        <w:tc>
          <w:tcPr>
            <w:tcW w:w="3805" w:type="dxa"/>
            <w:gridSpan w:val="4"/>
            <w:vAlign w:val="center"/>
          </w:tcPr>
          <w:p w14:paraId="5618990F">
            <w:pPr>
              <w:spacing w:line="460" w:lineRule="exact"/>
              <w:jc w:val="center"/>
              <w:rPr>
                <w:rFonts w:ascii="宋体" w:hAnsi="宋体" w:cs="宋体"/>
                <w:bCs/>
                <w:color w:val="auto"/>
                <w:sz w:val="22"/>
                <w:szCs w:val="22"/>
                <w:highlight w:val="none"/>
              </w:rPr>
            </w:pPr>
          </w:p>
        </w:tc>
      </w:tr>
      <w:tr w14:paraId="7EE1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234" w:type="dxa"/>
            <w:gridSpan w:val="4"/>
            <w:vAlign w:val="center"/>
          </w:tcPr>
          <w:p w14:paraId="179D5267">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投标报价（大写）</w:t>
            </w:r>
          </w:p>
        </w:tc>
        <w:tc>
          <w:tcPr>
            <w:tcW w:w="3805" w:type="dxa"/>
            <w:gridSpan w:val="4"/>
            <w:vAlign w:val="center"/>
          </w:tcPr>
          <w:p w14:paraId="096EE8B4">
            <w:pPr>
              <w:spacing w:line="460" w:lineRule="exact"/>
              <w:jc w:val="center"/>
              <w:rPr>
                <w:rFonts w:ascii="宋体" w:hAnsi="宋体" w:cs="宋体"/>
                <w:bCs/>
                <w:color w:val="auto"/>
                <w:sz w:val="22"/>
                <w:szCs w:val="22"/>
                <w:highlight w:val="none"/>
              </w:rPr>
            </w:pPr>
          </w:p>
        </w:tc>
      </w:tr>
    </w:tbl>
    <w:p w14:paraId="3B4573CC">
      <w:pPr>
        <w:spacing w:line="380" w:lineRule="exact"/>
        <w:rPr>
          <w:rFonts w:ascii="宋体" w:hAnsi="宋体" w:cs="宋体"/>
          <w:b/>
          <w:color w:val="auto"/>
          <w:sz w:val="22"/>
          <w:szCs w:val="22"/>
          <w:highlight w:val="none"/>
        </w:rPr>
      </w:pPr>
    </w:p>
    <w:p w14:paraId="727838CA">
      <w:pPr>
        <w:spacing w:line="380" w:lineRule="exact"/>
        <w:rPr>
          <w:rFonts w:ascii="宋体" w:hAnsi="宋体" w:cs="宋体"/>
          <w:b/>
          <w:bCs/>
          <w:color w:val="auto"/>
          <w:sz w:val="22"/>
          <w:szCs w:val="22"/>
          <w:highlight w:val="none"/>
        </w:rPr>
      </w:pPr>
      <w:r>
        <w:rPr>
          <w:rFonts w:hint="eastAsia" w:ascii="宋体" w:hAnsi="宋体" w:cs="宋体"/>
          <w:b/>
          <w:color w:val="auto"/>
          <w:sz w:val="22"/>
          <w:szCs w:val="22"/>
          <w:highlight w:val="none"/>
        </w:rPr>
        <w:t xml:space="preserve">说明： </w:t>
      </w:r>
      <w:r>
        <w:rPr>
          <w:rFonts w:hint="eastAsia" w:ascii="宋体" w:hAnsi="宋体" w:cs="宋体"/>
          <w:b/>
          <w:bCs/>
          <w:color w:val="auto"/>
          <w:sz w:val="22"/>
          <w:szCs w:val="22"/>
          <w:highlight w:val="none"/>
        </w:rPr>
        <w:t>1、此表总计价应与附件一中“2、报价一览表”中报价相一致。</w:t>
      </w:r>
    </w:p>
    <w:p w14:paraId="09279BDE">
      <w:pPr>
        <w:spacing w:line="380" w:lineRule="exact"/>
        <w:ind w:firstLine="755" w:firstLineChars="342"/>
        <w:rPr>
          <w:rFonts w:ascii="宋体" w:hAnsi="宋体" w:cs="宋体"/>
          <w:b/>
          <w:bCs/>
          <w:color w:val="auto"/>
          <w:sz w:val="22"/>
          <w:szCs w:val="22"/>
          <w:highlight w:val="none"/>
        </w:rPr>
      </w:pPr>
      <w:r>
        <w:rPr>
          <w:rFonts w:hint="eastAsia" w:ascii="宋体" w:hAnsi="宋体" w:cs="宋体"/>
          <w:b/>
          <w:bCs/>
          <w:color w:val="auto"/>
          <w:sz w:val="22"/>
          <w:szCs w:val="22"/>
          <w:highlight w:val="none"/>
        </w:rPr>
        <w:t>2、不提供详细分项报价将视为没有实质性响应招标文件。</w:t>
      </w:r>
    </w:p>
    <w:p w14:paraId="4F933823">
      <w:pPr>
        <w:spacing w:line="380" w:lineRule="exact"/>
        <w:ind w:firstLine="720"/>
        <w:rPr>
          <w:rFonts w:ascii="宋体" w:hAnsi="宋体" w:cs="宋体"/>
          <w:color w:val="auto"/>
          <w:sz w:val="20"/>
          <w:szCs w:val="22"/>
          <w:highlight w:val="none"/>
        </w:rPr>
      </w:pPr>
      <w:r>
        <w:rPr>
          <w:rFonts w:hint="eastAsia" w:ascii="宋体" w:hAnsi="宋体" w:cs="宋体"/>
          <w:b/>
          <w:bCs/>
          <w:color w:val="auto"/>
          <w:sz w:val="22"/>
          <w:szCs w:val="22"/>
          <w:highlight w:val="none"/>
        </w:rPr>
        <w:t>3、如果免费请在该项内容栏内注明“免”，如果含在产品价格中则填“含”，如无此项内容则填“无”。</w:t>
      </w:r>
    </w:p>
    <w:p w14:paraId="5DDD8229">
      <w:pPr>
        <w:spacing w:line="400" w:lineRule="exact"/>
        <w:ind w:firstLine="5500" w:firstLineChars="2500"/>
        <w:jc w:val="lef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15D74ADE">
      <w:pPr>
        <w:spacing w:line="400" w:lineRule="exact"/>
        <w:ind w:firstLine="5500" w:firstLineChars="2500"/>
        <w:jc w:val="left"/>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7F5FF6AB">
      <w:pPr>
        <w:spacing w:line="380" w:lineRule="exact"/>
        <w:ind w:firstLine="5500" w:firstLineChars="2500"/>
        <w:jc w:val="left"/>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1F86FE07">
      <w:pPr>
        <w:rPr>
          <w:rFonts w:ascii="宋体" w:hAnsi="宋体" w:cs="宋体"/>
          <w:color w:val="auto"/>
          <w:sz w:val="22"/>
          <w:szCs w:val="22"/>
          <w:highlight w:val="none"/>
        </w:rPr>
      </w:pPr>
    </w:p>
    <w:p w14:paraId="18CC086B">
      <w:pPr>
        <w:rPr>
          <w:rFonts w:ascii="宋体" w:hAnsi="宋体" w:cs="宋体"/>
          <w:b/>
          <w:bCs/>
          <w:color w:val="auto"/>
          <w:sz w:val="28"/>
          <w:szCs w:val="28"/>
          <w:highlight w:val="none"/>
        </w:rPr>
      </w:pPr>
    </w:p>
    <w:p w14:paraId="666BBB59">
      <w:pPr>
        <w:spacing w:line="420" w:lineRule="exact"/>
        <w:ind w:left="514" w:leftChars="245"/>
        <w:outlineLvl w:val="3"/>
        <w:rPr>
          <w:rFonts w:ascii="宋体" w:hAnsi="宋体" w:cs="宋体"/>
          <w:b/>
          <w:bCs/>
          <w:color w:val="auto"/>
          <w:sz w:val="22"/>
          <w:szCs w:val="22"/>
          <w:highlight w:val="none"/>
        </w:rPr>
      </w:pPr>
      <w:r>
        <w:rPr>
          <w:rFonts w:hint="eastAsia" w:ascii="宋体" w:hAnsi="宋体" w:cs="宋体"/>
          <w:b/>
          <w:bCs/>
          <w:color w:val="auto"/>
          <w:sz w:val="28"/>
          <w:szCs w:val="28"/>
          <w:highlight w:val="none"/>
        </w:rPr>
        <w:t>4、监狱企业的相关证明材料</w:t>
      </w:r>
    </w:p>
    <w:p w14:paraId="4DFF344D">
      <w:pPr>
        <w:spacing w:line="460" w:lineRule="exact"/>
        <w:ind w:firstLine="571" w:firstLineChars="245"/>
        <w:rPr>
          <w:rFonts w:ascii="宋体" w:hAnsi="宋体" w:cs="宋体"/>
          <w:b/>
          <w:bCs/>
          <w:color w:val="auto"/>
          <w:sz w:val="22"/>
          <w:szCs w:val="22"/>
          <w:highlight w:val="none"/>
          <w:u w:val="single"/>
          <w:lang w:val="zh-CN"/>
        </w:rPr>
      </w:pPr>
      <w:r>
        <w:rPr>
          <w:rFonts w:hint="eastAsia" w:ascii="宋体" w:hAnsi="宋体" w:cs="宋体"/>
          <w:b/>
          <w:color w:val="auto"/>
          <w:spacing w:val="6"/>
          <w:sz w:val="22"/>
          <w:szCs w:val="22"/>
          <w:highlight w:val="none"/>
        </w:rPr>
        <w:t>需提供相关证明材料，</w:t>
      </w:r>
      <w:r>
        <w:rPr>
          <w:rFonts w:hint="eastAsia" w:ascii="宋体" w:hAnsi="宋体" w:cs="宋体"/>
          <w:b/>
          <w:bCs/>
          <w:color w:val="auto"/>
          <w:sz w:val="22"/>
          <w:szCs w:val="22"/>
          <w:highlight w:val="none"/>
          <w:u w:val="single"/>
          <w:lang w:val="zh-CN"/>
        </w:rPr>
        <w:t>未提供证明材料或不能清楚辨析</w:t>
      </w:r>
      <w:r>
        <w:rPr>
          <w:rFonts w:hint="eastAsia" w:ascii="宋体" w:hAnsi="宋体" w:cs="宋体"/>
          <w:b/>
          <w:bCs/>
          <w:color w:val="auto"/>
          <w:sz w:val="22"/>
          <w:szCs w:val="22"/>
          <w:highlight w:val="none"/>
          <w:u w:val="single"/>
        </w:rPr>
        <w:t>是监狱企业的按非监狱企业处理，所提供的证明材料应为最新的最近的</w:t>
      </w:r>
      <w:r>
        <w:rPr>
          <w:rFonts w:hint="eastAsia" w:ascii="宋体" w:hAnsi="宋体" w:cs="宋体"/>
          <w:b/>
          <w:bCs/>
          <w:color w:val="auto"/>
          <w:sz w:val="22"/>
          <w:szCs w:val="22"/>
          <w:highlight w:val="none"/>
          <w:u w:val="single"/>
          <w:lang w:val="zh-CN"/>
        </w:rPr>
        <w:t>。</w:t>
      </w:r>
    </w:p>
    <w:p w14:paraId="5286482F">
      <w:pPr>
        <w:adjustRightInd w:val="0"/>
        <w:snapToGrid w:val="0"/>
        <w:spacing w:line="300" w:lineRule="auto"/>
        <w:jc w:val="center"/>
        <w:rPr>
          <w:rFonts w:ascii="宋体" w:hAnsi="宋体" w:cs="宋体"/>
          <w:b/>
          <w:color w:val="auto"/>
          <w:spacing w:val="6"/>
          <w:sz w:val="22"/>
          <w:szCs w:val="22"/>
          <w:highlight w:val="none"/>
        </w:rPr>
      </w:pPr>
    </w:p>
    <w:p w14:paraId="048C2797">
      <w:pPr>
        <w:adjustRightInd w:val="0"/>
        <w:snapToGrid w:val="0"/>
        <w:spacing w:line="300" w:lineRule="auto"/>
        <w:jc w:val="center"/>
        <w:rPr>
          <w:rFonts w:ascii="宋体" w:hAnsi="宋体" w:cs="宋体"/>
          <w:b/>
          <w:color w:val="auto"/>
          <w:spacing w:val="6"/>
          <w:sz w:val="22"/>
          <w:szCs w:val="22"/>
          <w:highlight w:val="none"/>
        </w:rPr>
      </w:pPr>
    </w:p>
    <w:p w14:paraId="0FD790A5">
      <w:pPr>
        <w:adjustRightInd w:val="0"/>
        <w:snapToGrid w:val="0"/>
        <w:spacing w:line="300" w:lineRule="auto"/>
        <w:jc w:val="center"/>
        <w:rPr>
          <w:rFonts w:ascii="宋体" w:hAnsi="宋体" w:cs="宋体"/>
          <w:b/>
          <w:color w:val="auto"/>
          <w:spacing w:val="6"/>
          <w:sz w:val="22"/>
          <w:szCs w:val="22"/>
          <w:highlight w:val="none"/>
        </w:rPr>
      </w:pPr>
    </w:p>
    <w:p w14:paraId="5BD4B3AD">
      <w:pPr>
        <w:adjustRightInd w:val="0"/>
        <w:snapToGrid w:val="0"/>
        <w:spacing w:line="300" w:lineRule="auto"/>
        <w:jc w:val="center"/>
        <w:rPr>
          <w:rFonts w:ascii="宋体" w:hAnsi="宋体" w:cs="宋体"/>
          <w:color w:val="auto"/>
          <w:kern w:val="0"/>
          <w:sz w:val="22"/>
          <w:szCs w:val="22"/>
          <w:highlight w:val="none"/>
        </w:rPr>
      </w:pPr>
      <w:r>
        <w:rPr>
          <w:rFonts w:hint="eastAsia" w:ascii="宋体" w:hAnsi="宋体" w:cs="宋体"/>
          <w:b/>
          <w:color w:val="auto"/>
          <w:spacing w:val="6"/>
          <w:sz w:val="22"/>
          <w:szCs w:val="22"/>
          <w:highlight w:val="none"/>
        </w:rPr>
        <w:t>监狱企业声明函</w:t>
      </w:r>
    </w:p>
    <w:p w14:paraId="09FDD45C">
      <w:pPr>
        <w:snapToGrid w:val="0"/>
        <w:spacing w:line="460" w:lineRule="exact"/>
        <w:ind w:firstLine="464" w:firstLineChars="200"/>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【非监狱企业不用提供】</w:t>
      </w:r>
    </w:p>
    <w:p w14:paraId="69C87F19">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本企业郑重声明，根据《关于政府采购支持监狱企业发展有关问题的通知》（财库[2014]68号）的规定，本企业为监狱企业。 </w:t>
      </w:r>
    </w:p>
    <w:p w14:paraId="4BC0CC54">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根据上述标准，我企业属于监狱企业的理由为：</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 </w:t>
      </w:r>
    </w:p>
    <w:p w14:paraId="3E6BA216">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本企业为参加（招标项目名称</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）（招标编号</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）采购活动并承担本工程。 </w:t>
      </w:r>
    </w:p>
    <w:p w14:paraId="4235EB3A">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本企业对上述声明的真实性负责。如有虚假，将依法承担相应责任。  </w:t>
      </w:r>
    </w:p>
    <w:p w14:paraId="298DE39E">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投标人全称（盖章）：</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4361EC2E">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日期：    年    月   日 </w:t>
      </w:r>
    </w:p>
    <w:p w14:paraId="1EAE7B00">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26B1841F">
      <w:pPr>
        <w:adjustRightInd w:val="0"/>
        <w:snapToGrid w:val="0"/>
        <w:spacing w:line="460" w:lineRule="exact"/>
        <w:ind w:firstLine="464" w:firstLineChars="200"/>
        <w:rPr>
          <w:rFonts w:ascii="宋体" w:hAnsi="宋体" w:cs="宋体"/>
          <w:color w:val="auto"/>
          <w:kern w:val="0"/>
          <w:sz w:val="22"/>
          <w:szCs w:val="22"/>
          <w:highlight w:val="none"/>
        </w:rPr>
      </w:pPr>
      <w:r>
        <w:rPr>
          <w:rFonts w:hint="eastAsia" w:ascii="宋体" w:hAnsi="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32659EE">
      <w:pPr>
        <w:spacing w:line="460" w:lineRule="exact"/>
        <w:rPr>
          <w:rFonts w:ascii="宋体" w:hAnsi="宋体" w:cs="宋体"/>
          <w:color w:val="auto"/>
          <w:spacing w:val="20"/>
          <w:sz w:val="22"/>
          <w:szCs w:val="22"/>
          <w:highlight w:val="none"/>
        </w:rPr>
      </w:pPr>
    </w:p>
    <w:p w14:paraId="7154A991">
      <w:pPr>
        <w:spacing w:line="460" w:lineRule="exact"/>
        <w:rPr>
          <w:rFonts w:ascii="宋体" w:hAnsi="宋体" w:cs="宋体"/>
          <w:color w:val="auto"/>
          <w:spacing w:val="20"/>
          <w:sz w:val="22"/>
          <w:szCs w:val="22"/>
          <w:highlight w:val="none"/>
        </w:rPr>
      </w:pPr>
    </w:p>
    <w:p w14:paraId="57FA2307">
      <w:pPr>
        <w:spacing w:line="380" w:lineRule="exact"/>
        <w:rPr>
          <w:rFonts w:ascii="宋体" w:hAnsi="宋体" w:cs="宋体"/>
          <w:color w:val="auto"/>
          <w:sz w:val="22"/>
          <w:szCs w:val="22"/>
          <w:highlight w:val="none"/>
        </w:rPr>
      </w:pPr>
    </w:p>
    <w:p w14:paraId="321E9DFC">
      <w:pPr>
        <w:spacing w:line="380" w:lineRule="exact"/>
        <w:rPr>
          <w:rFonts w:ascii="宋体" w:hAnsi="宋体" w:cs="宋体"/>
          <w:color w:val="auto"/>
          <w:sz w:val="22"/>
          <w:szCs w:val="22"/>
          <w:highlight w:val="none"/>
        </w:rPr>
      </w:pPr>
    </w:p>
    <w:p w14:paraId="5B9F893D">
      <w:pPr>
        <w:spacing w:line="380" w:lineRule="exact"/>
        <w:rPr>
          <w:rFonts w:ascii="宋体" w:hAnsi="宋体" w:cs="宋体"/>
          <w:color w:val="auto"/>
          <w:sz w:val="22"/>
          <w:szCs w:val="22"/>
          <w:highlight w:val="none"/>
        </w:rPr>
      </w:pPr>
    </w:p>
    <w:p w14:paraId="1260C7F3">
      <w:pPr>
        <w:spacing w:line="380" w:lineRule="exact"/>
        <w:rPr>
          <w:rFonts w:ascii="宋体" w:hAnsi="宋体" w:cs="宋体"/>
          <w:color w:val="auto"/>
          <w:sz w:val="22"/>
          <w:szCs w:val="22"/>
          <w:highlight w:val="none"/>
        </w:rPr>
      </w:pPr>
    </w:p>
    <w:p w14:paraId="25E36023">
      <w:pPr>
        <w:spacing w:line="380" w:lineRule="exact"/>
        <w:rPr>
          <w:rFonts w:ascii="宋体" w:hAnsi="宋体" w:cs="宋体"/>
          <w:color w:val="auto"/>
          <w:sz w:val="22"/>
          <w:szCs w:val="22"/>
          <w:highlight w:val="none"/>
        </w:rPr>
      </w:pPr>
    </w:p>
    <w:p w14:paraId="1EEBF4A9">
      <w:pPr>
        <w:spacing w:line="380" w:lineRule="exact"/>
        <w:rPr>
          <w:rFonts w:ascii="宋体" w:hAnsi="宋体" w:cs="宋体"/>
          <w:color w:val="auto"/>
          <w:sz w:val="22"/>
          <w:szCs w:val="22"/>
          <w:highlight w:val="none"/>
        </w:rPr>
      </w:pPr>
    </w:p>
    <w:p w14:paraId="5D15B7FB">
      <w:pPr>
        <w:spacing w:line="380" w:lineRule="exact"/>
        <w:rPr>
          <w:rFonts w:ascii="宋体" w:hAnsi="宋体" w:cs="宋体"/>
          <w:color w:val="auto"/>
          <w:sz w:val="22"/>
          <w:szCs w:val="22"/>
          <w:highlight w:val="none"/>
        </w:rPr>
      </w:pPr>
    </w:p>
    <w:p w14:paraId="2540080E">
      <w:pPr>
        <w:tabs>
          <w:tab w:val="left" w:pos="1620"/>
        </w:tabs>
        <w:spacing w:line="460" w:lineRule="exact"/>
        <w:outlineLvl w:val="3"/>
        <w:rPr>
          <w:rFonts w:ascii="宋体" w:hAnsi="宋体" w:cs="宋体"/>
          <w:b/>
          <w:bCs/>
          <w:color w:val="auto"/>
          <w:sz w:val="22"/>
          <w:szCs w:val="22"/>
          <w:highlight w:val="none"/>
        </w:rPr>
      </w:pPr>
      <w:r>
        <w:rPr>
          <w:rFonts w:hint="eastAsia" w:ascii="宋体" w:hAnsi="宋体" w:cs="宋体"/>
          <w:b/>
          <w:bCs/>
          <w:color w:val="auto"/>
          <w:sz w:val="28"/>
          <w:szCs w:val="28"/>
          <w:highlight w:val="none"/>
        </w:rPr>
        <w:t>5、中小企业的相关证明材料</w:t>
      </w:r>
    </w:p>
    <w:p w14:paraId="2481BBD5">
      <w:pPr>
        <w:snapToGrid w:val="0"/>
        <w:spacing w:line="460" w:lineRule="exact"/>
        <w:ind w:firstLine="464" w:firstLineChars="200"/>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【非</w:t>
      </w:r>
      <w:r>
        <w:rPr>
          <w:rFonts w:hint="eastAsia" w:ascii="宋体" w:hAnsi="宋体" w:cs="宋体"/>
          <w:color w:val="auto"/>
          <w:spacing w:val="6"/>
          <w:sz w:val="22"/>
          <w:szCs w:val="22"/>
          <w:highlight w:val="none"/>
          <w:lang w:val="zh-CN"/>
        </w:rPr>
        <w:t>小型、微型</w:t>
      </w:r>
      <w:r>
        <w:rPr>
          <w:rFonts w:hint="eastAsia" w:ascii="宋体" w:hAnsi="宋体" w:cs="宋体"/>
          <w:color w:val="auto"/>
          <w:spacing w:val="6"/>
          <w:sz w:val="22"/>
          <w:szCs w:val="22"/>
          <w:highlight w:val="none"/>
        </w:rPr>
        <w:t>企业不用提供】</w:t>
      </w:r>
    </w:p>
    <w:p w14:paraId="200F9D71">
      <w:pPr>
        <w:spacing w:line="380" w:lineRule="exact"/>
        <w:rPr>
          <w:rFonts w:ascii="宋体" w:hAnsi="宋体" w:cs="宋体"/>
          <w:color w:val="auto"/>
          <w:sz w:val="22"/>
          <w:szCs w:val="22"/>
          <w:highlight w:val="none"/>
        </w:rPr>
      </w:pPr>
    </w:p>
    <w:p w14:paraId="1217C155">
      <w:pPr>
        <w:spacing w:line="460" w:lineRule="exact"/>
        <w:ind w:firstLine="539" w:firstLineChars="245"/>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根据《政府采购促进中小企业发展管理办法》（财库﹝2020﹞46号），</w:t>
      </w:r>
      <w:r>
        <w:rPr>
          <w:rFonts w:hint="eastAsia" w:ascii="新宋体" w:hAnsi="新宋体" w:eastAsia="新宋体"/>
          <w:color w:val="auto"/>
          <w:sz w:val="22"/>
          <w:szCs w:val="22"/>
          <w:highlight w:val="none"/>
          <w:lang w:val="zh-CN"/>
        </w:rPr>
        <w:t>对</w:t>
      </w:r>
      <w:r>
        <w:rPr>
          <w:rFonts w:hint="eastAsia" w:ascii="新宋体" w:hAnsi="新宋体" w:eastAsia="新宋体"/>
          <w:color w:val="auto"/>
          <w:sz w:val="22"/>
          <w:szCs w:val="22"/>
          <w:highlight w:val="none"/>
        </w:rPr>
        <w:t>货物类项目</w:t>
      </w:r>
      <w:r>
        <w:rPr>
          <w:rFonts w:hint="eastAsia" w:ascii="新宋体" w:hAnsi="新宋体" w:eastAsia="新宋体"/>
          <w:color w:val="auto"/>
          <w:sz w:val="22"/>
          <w:szCs w:val="22"/>
          <w:highlight w:val="none"/>
          <w:lang w:val="zh-CN"/>
        </w:rPr>
        <w:t>投标产品为小型或微型企业生产的，</w:t>
      </w:r>
      <w:r>
        <w:rPr>
          <w:rFonts w:hint="eastAsia" w:ascii="新宋体" w:hAnsi="新宋体" w:eastAsia="新宋体"/>
          <w:color w:val="auto"/>
          <w:sz w:val="22"/>
          <w:szCs w:val="22"/>
          <w:highlight w:val="none"/>
        </w:rPr>
        <w:t>工程、服务类项目由小型或微型企业承建、承接的</w:t>
      </w:r>
      <w:r>
        <w:rPr>
          <w:rFonts w:hint="eastAsia" w:ascii="新宋体" w:hAnsi="新宋体" w:eastAsia="新宋体"/>
          <w:color w:val="auto"/>
          <w:sz w:val="22"/>
          <w:szCs w:val="22"/>
          <w:highlight w:val="none"/>
          <w:lang w:val="zh-CN"/>
        </w:rPr>
        <w:t>，</w:t>
      </w:r>
      <w:r>
        <w:rPr>
          <w:rFonts w:hint="eastAsia" w:ascii="新宋体" w:hAnsi="新宋体" w:eastAsia="新宋体"/>
          <w:color w:val="auto"/>
          <w:sz w:val="22"/>
          <w:szCs w:val="22"/>
          <w:highlight w:val="none"/>
          <w:u w:val="single"/>
          <w:lang w:val="zh-CN"/>
        </w:rPr>
        <w:t>价格给予</w:t>
      </w:r>
      <w:r>
        <w:rPr>
          <w:rFonts w:hint="eastAsia" w:ascii="新宋体" w:hAnsi="新宋体" w:eastAsia="新宋体"/>
          <w:color w:val="auto"/>
          <w:sz w:val="22"/>
          <w:szCs w:val="22"/>
          <w:highlight w:val="none"/>
          <w:u w:val="single"/>
        </w:rPr>
        <w:t>10</w:t>
      </w:r>
      <w:r>
        <w:rPr>
          <w:rFonts w:hint="eastAsia" w:ascii="新宋体" w:hAnsi="新宋体" w:eastAsia="新宋体"/>
          <w:color w:val="auto"/>
          <w:sz w:val="22"/>
          <w:szCs w:val="22"/>
          <w:highlight w:val="none"/>
          <w:u w:val="single"/>
          <w:lang w:val="zh-CN"/>
        </w:rPr>
        <w:t>%的扣除</w:t>
      </w:r>
      <w:r>
        <w:rPr>
          <w:rFonts w:hint="eastAsia" w:ascii="宋体" w:hAnsi="宋体" w:cs="宋体"/>
          <w:color w:val="auto"/>
          <w:sz w:val="22"/>
          <w:szCs w:val="22"/>
          <w:highlight w:val="none"/>
          <w:lang w:val="zh-CN"/>
        </w:rPr>
        <w:t>，用扣除后的价格参与价格评分。</w:t>
      </w:r>
    </w:p>
    <w:p w14:paraId="3460A615">
      <w:pPr>
        <w:spacing w:line="460" w:lineRule="exact"/>
        <w:ind w:firstLine="541" w:firstLineChars="245"/>
        <w:rPr>
          <w:rFonts w:ascii="宋体" w:hAnsi="宋体" w:cs="宋体"/>
          <w:color w:val="auto"/>
          <w:sz w:val="22"/>
          <w:szCs w:val="22"/>
          <w:highlight w:val="none"/>
          <w:lang w:val="zh-CN"/>
        </w:rPr>
      </w:pPr>
      <w:r>
        <w:rPr>
          <w:rFonts w:hint="eastAsia" w:ascii="宋体" w:hAnsi="宋体" w:cs="宋体"/>
          <w:b/>
          <w:bCs/>
          <w:color w:val="auto"/>
          <w:sz w:val="22"/>
          <w:szCs w:val="22"/>
          <w:highlight w:val="none"/>
          <w:u w:val="single"/>
        </w:rPr>
        <w:t>同时</w:t>
      </w:r>
      <w:r>
        <w:rPr>
          <w:rFonts w:hint="eastAsia" w:ascii="宋体" w:hAnsi="宋体" w:cs="宋体"/>
          <w:b/>
          <w:bCs/>
          <w:color w:val="auto"/>
          <w:sz w:val="22"/>
          <w:szCs w:val="22"/>
          <w:highlight w:val="none"/>
          <w:u w:val="single"/>
          <w:lang w:val="zh-CN"/>
        </w:rPr>
        <w:t>符合以下所有要求的投标人被认定为小型、微型企业：</w:t>
      </w:r>
    </w:p>
    <w:p w14:paraId="7AD0430D">
      <w:pPr>
        <w:spacing w:line="460" w:lineRule="exact"/>
        <w:ind w:firstLine="541" w:firstLineChars="245"/>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①企业按照《关于印发中小企业划型标准规定的通知》（工信部联企业〔2011〕300号）的所属行业规定为小型、微型企业。</w:t>
      </w:r>
    </w:p>
    <w:p w14:paraId="22A9383E">
      <w:pPr>
        <w:spacing w:line="460" w:lineRule="exact"/>
        <w:ind w:firstLine="541" w:firstLineChars="245"/>
        <w:rPr>
          <w:rFonts w:ascii="宋体" w:hAnsi="宋体" w:cs="宋体"/>
          <w:color w:val="auto"/>
          <w:sz w:val="22"/>
          <w:szCs w:val="22"/>
          <w:highlight w:val="none"/>
        </w:rPr>
      </w:pPr>
      <w:r>
        <w:rPr>
          <w:rFonts w:hint="eastAsia" w:ascii="宋体" w:hAnsi="宋体" w:cs="宋体"/>
          <w:b/>
          <w:bCs/>
          <w:color w:val="auto"/>
          <w:sz w:val="22"/>
          <w:szCs w:val="22"/>
          <w:highlight w:val="none"/>
          <w:u w:val="single"/>
        </w:rPr>
        <w:t>②</w:t>
      </w:r>
      <w:r>
        <w:rPr>
          <w:rFonts w:hint="eastAsia" w:ascii="宋体" w:hAnsi="宋体" w:cs="宋体"/>
          <w:b/>
          <w:bCs/>
          <w:color w:val="auto"/>
          <w:sz w:val="22"/>
          <w:szCs w:val="22"/>
          <w:highlight w:val="none"/>
          <w:u w:val="single"/>
          <w:lang w:val="zh-CN"/>
        </w:rPr>
        <w:t>投标文件中必须提供《中小企业声明函》。</w:t>
      </w:r>
    </w:p>
    <w:p w14:paraId="50DF795D">
      <w:pPr>
        <w:spacing w:line="460" w:lineRule="exact"/>
        <w:jc w:val="center"/>
        <w:rPr>
          <w:rFonts w:ascii="宋体" w:hAnsi="宋体" w:cs="宋体"/>
          <w:color w:val="auto"/>
          <w:sz w:val="24"/>
          <w:highlight w:val="none"/>
        </w:rPr>
      </w:pPr>
      <w:r>
        <w:rPr>
          <w:rFonts w:hint="eastAsia" w:ascii="宋体" w:hAnsi="宋体" w:cs="宋体"/>
          <w:b/>
          <w:bCs/>
          <w:color w:val="auto"/>
          <w:sz w:val="24"/>
          <w:highlight w:val="none"/>
        </w:rPr>
        <w:t>《中小企业声明函（工程、服务）》</w:t>
      </w:r>
    </w:p>
    <w:p w14:paraId="283FD2A2">
      <w:pPr>
        <w:snapToGrid w:val="0"/>
        <w:spacing w:line="46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【不属于中小企业单位的无需填写、递交】</w:t>
      </w:r>
    </w:p>
    <w:p w14:paraId="33804F45">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cs="宋体"/>
          <w:color w:val="auto"/>
          <w:spacing w:val="20"/>
          <w:sz w:val="22"/>
          <w:szCs w:val="22"/>
          <w:highlight w:val="none"/>
          <w:u w:val="single"/>
        </w:rPr>
        <w:t>（单位名称）</w:t>
      </w:r>
      <w:r>
        <w:rPr>
          <w:rFonts w:hint="eastAsia" w:ascii="宋体" w:hAnsi="宋体" w:cs="宋体"/>
          <w:color w:val="auto"/>
          <w:spacing w:val="20"/>
          <w:sz w:val="22"/>
          <w:szCs w:val="22"/>
          <w:highlight w:val="none"/>
        </w:rPr>
        <w:t>的</w:t>
      </w:r>
      <w:r>
        <w:rPr>
          <w:rFonts w:hint="eastAsia" w:ascii="宋体" w:hAnsi="宋体" w:cs="宋体"/>
          <w:color w:val="auto"/>
          <w:spacing w:val="20"/>
          <w:sz w:val="22"/>
          <w:szCs w:val="22"/>
          <w:highlight w:val="none"/>
          <w:u w:val="single"/>
        </w:rPr>
        <w:t>（项目名称）</w:t>
      </w:r>
      <w:r>
        <w:rPr>
          <w:rFonts w:hint="eastAsia" w:ascii="宋体" w:hAnsi="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5C6DC94E">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1.</w:t>
      </w:r>
      <w:r>
        <w:rPr>
          <w:rFonts w:hint="eastAsia" w:ascii="宋体" w:hAnsi="宋体" w:cs="宋体"/>
          <w:color w:val="auto"/>
          <w:spacing w:val="20"/>
          <w:sz w:val="22"/>
          <w:szCs w:val="22"/>
          <w:highlight w:val="none"/>
          <w:u w:val="single"/>
        </w:rPr>
        <w:t>（标的名称）</w:t>
      </w:r>
      <w:r>
        <w:rPr>
          <w:rFonts w:hint="eastAsia" w:ascii="宋体" w:hAnsi="宋体" w:cs="宋体"/>
          <w:color w:val="auto"/>
          <w:spacing w:val="20"/>
          <w:sz w:val="22"/>
          <w:szCs w:val="22"/>
          <w:highlight w:val="none"/>
        </w:rPr>
        <w:t>，属于</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行业； 承建（承接）企业为</w:t>
      </w:r>
      <w:r>
        <w:rPr>
          <w:rFonts w:hint="eastAsia" w:ascii="宋体" w:hAnsi="宋体" w:cs="宋体"/>
          <w:color w:val="auto"/>
          <w:spacing w:val="20"/>
          <w:sz w:val="22"/>
          <w:szCs w:val="22"/>
          <w:highlight w:val="none"/>
          <w:u w:val="single"/>
        </w:rPr>
        <w:t>（企业名称）</w:t>
      </w:r>
      <w:r>
        <w:rPr>
          <w:rFonts w:hint="eastAsia" w:ascii="宋体" w:hAnsi="宋体" w:cs="宋体"/>
          <w:color w:val="auto"/>
          <w:spacing w:val="20"/>
          <w:sz w:val="22"/>
          <w:szCs w:val="22"/>
          <w:highlight w:val="none"/>
        </w:rPr>
        <w:t>，从业人员</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人，营业收入为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万元，资产总额为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万元，属于</w:t>
      </w:r>
      <w:r>
        <w:rPr>
          <w:rFonts w:hint="eastAsia" w:ascii="宋体" w:hAnsi="宋体" w:cs="宋体"/>
          <w:color w:val="auto"/>
          <w:spacing w:val="20"/>
          <w:sz w:val="22"/>
          <w:szCs w:val="22"/>
          <w:highlight w:val="none"/>
          <w:u w:val="single"/>
        </w:rPr>
        <w:t>（中型企业、 小型企业、微型企业）</w:t>
      </w:r>
      <w:r>
        <w:rPr>
          <w:rFonts w:hint="eastAsia" w:ascii="宋体" w:hAnsi="宋体" w:cs="宋体"/>
          <w:color w:val="auto"/>
          <w:spacing w:val="20"/>
          <w:sz w:val="22"/>
          <w:szCs w:val="22"/>
          <w:highlight w:val="none"/>
        </w:rPr>
        <w:t xml:space="preserve">； </w:t>
      </w:r>
    </w:p>
    <w:p w14:paraId="7AD09ADC">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2.</w:t>
      </w:r>
      <w:r>
        <w:rPr>
          <w:rFonts w:hint="eastAsia" w:ascii="宋体" w:hAnsi="宋体" w:cs="宋体"/>
          <w:color w:val="auto"/>
          <w:spacing w:val="20"/>
          <w:sz w:val="22"/>
          <w:szCs w:val="22"/>
          <w:highlight w:val="none"/>
          <w:u w:val="single"/>
        </w:rPr>
        <w:t>（标的名称）</w:t>
      </w:r>
      <w:r>
        <w:rPr>
          <w:rFonts w:hint="eastAsia" w:ascii="宋体" w:hAnsi="宋体" w:cs="宋体"/>
          <w:color w:val="auto"/>
          <w:spacing w:val="20"/>
          <w:sz w:val="22"/>
          <w:szCs w:val="22"/>
          <w:highlight w:val="none"/>
        </w:rPr>
        <w:t>，属于</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行业；承建（承接）企业为</w:t>
      </w:r>
      <w:r>
        <w:rPr>
          <w:rFonts w:hint="eastAsia" w:ascii="宋体" w:hAnsi="宋体" w:cs="宋体"/>
          <w:color w:val="auto"/>
          <w:spacing w:val="20"/>
          <w:sz w:val="22"/>
          <w:szCs w:val="22"/>
          <w:highlight w:val="none"/>
          <w:u w:val="single"/>
        </w:rPr>
        <w:t>（企业名称）</w:t>
      </w:r>
      <w:r>
        <w:rPr>
          <w:rFonts w:hint="eastAsia" w:ascii="宋体" w:hAnsi="宋体" w:cs="宋体"/>
          <w:color w:val="auto"/>
          <w:spacing w:val="20"/>
          <w:sz w:val="22"/>
          <w:szCs w:val="22"/>
          <w:highlight w:val="none"/>
        </w:rPr>
        <w:t>，从业人员</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人，营业收入为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万元，资产总额为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万元，属于</w:t>
      </w:r>
      <w:r>
        <w:rPr>
          <w:rFonts w:hint="eastAsia" w:ascii="宋体" w:hAnsi="宋体" w:cs="宋体"/>
          <w:color w:val="auto"/>
          <w:spacing w:val="20"/>
          <w:sz w:val="22"/>
          <w:szCs w:val="22"/>
          <w:highlight w:val="none"/>
          <w:u w:val="single"/>
        </w:rPr>
        <w:t>（中型企业、 小型企业、微型企业）</w:t>
      </w:r>
      <w:r>
        <w:rPr>
          <w:rFonts w:hint="eastAsia" w:ascii="宋体" w:hAnsi="宋体" w:cs="宋体"/>
          <w:color w:val="auto"/>
          <w:spacing w:val="20"/>
          <w:sz w:val="22"/>
          <w:szCs w:val="22"/>
          <w:highlight w:val="none"/>
        </w:rPr>
        <w:t>；</w:t>
      </w:r>
    </w:p>
    <w:p w14:paraId="2FD1EED9">
      <w:pPr>
        <w:spacing w:line="460" w:lineRule="exact"/>
        <w:ind w:firstLine="639" w:firstLineChars="245"/>
        <w:rPr>
          <w:rFonts w:ascii="宋体" w:hAnsi="宋体" w:cs="宋体"/>
          <w:b/>
          <w:bCs/>
          <w:color w:val="auto"/>
          <w:spacing w:val="20"/>
          <w:sz w:val="22"/>
          <w:szCs w:val="22"/>
          <w:highlight w:val="none"/>
        </w:rPr>
      </w:pPr>
      <w:r>
        <w:rPr>
          <w:rFonts w:hint="eastAsia" w:ascii="宋体" w:hAnsi="宋体" w:cs="宋体"/>
          <w:b/>
          <w:bCs/>
          <w:color w:val="auto"/>
          <w:spacing w:val="20"/>
          <w:sz w:val="22"/>
          <w:szCs w:val="22"/>
          <w:highlight w:val="none"/>
        </w:rPr>
        <w:t>……</w:t>
      </w:r>
    </w:p>
    <w:p w14:paraId="23C4B74D">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以上企业，不属于大企业的分支机构，不存在控股股东为大企业的情形，也不存在与大企业的负责人为同一人的情形。</w:t>
      </w:r>
    </w:p>
    <w:p w14:paraId="4CB8CEDA">
      <w:pPr>
        <w:spacing w:line="460" w:lineRule="exact"/>
        <w:ind w:firstLine="637" w:firstLineChars="245"/>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 xml:space="preserve">本企业对上述声明内容的真实性负责。如有虚假，将依法承担相应责任。 </w:t>
      </w:r>
    </w:p>
    <w:p w14:paraId="68E45EC7">
      <w:pPr>
        <w:spacing w:line="460" w:lineRule="exact"/>
        <w:jc w:val="center"/>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 xml:space="preserve">           企业名称（盖章）：</w:t>
      </w:r>
    </w:p>
    <w:p w14:paraId="1C14F37A">
      <w:pPr>
        <w:spacing w:line="460" w:lineRule="exact"/>
        <w:jc w:val="center"/>
        <w:rPr>
          <w:rFonts w:ascii="宋体" w:hAnsi="宋体" w:cs="宋体"/>
          <w:color w:val="auto"/>
          <w:spacing w:val="20"/>
          <w:sz w:val="22"/>
          <w:szCs w:val="22"/>
          <w:highlight w:val="none"/>
        </w:rPr>
      </w:pPr>
      <w:r>
        <w:rPr>
          <w:rFonts w:hint="eastAsia" w:ascii="宋体" w:hAnsi="宋体" w:cs="宋体"/>
          <w:color w:val="auto"/>
          <w:spacing w:val="20"/>
          <w:sz w:val="22"/>
          <w:szCs w:val="22"/>
          <w:highlight w:val="none"/>
        </w:rPr>
        <w:t xml:space="preserve">  日 期：</w:t>
      </w:r>
    </w:p>
    <w:p w14:paraId="6ACD5A79">
      <w:pPr>
        <w:spacing w:line="420" w:lineRule="exact"/>
        <w:ind w:left="514" w:leftChars="245"/>
        <w:outlineLvl w:val="3"/>
        <w:rPr>
          <w:rFonts w:ascii="宋体" w:hAnsi="宋体" w:cs="宋体"/>
          <w:b/>
          <w:bCs/>
          <w:color w:val="auto"/>
          <w:sz w:val="22"/>
          <w:szCs w:val="22"/>
          <w:highlight w:val="none"/>
        </w:rPr>
      </w:pPr>
      <w:r>
        <w:rPr>
          <w:rFonts w:hint="eastAsia" w:ascii="宋体" w:hAnsi="宋体" w:cs="宋体"/>
          <w:b/>
          <w:bCs/>
          <w:color w:val="auto"/>
          <w:sz w:val="28"/>
          <w:szCs w:val="28"/>
          <w:highlight w:val="none"/>
        </w:rPr>
        <w:t>6、残疾人福利性单位的相关证明材料</w:t>
      </w:r>
    </w:p>
    <w:p w14:paraId="6314B4EA">
      <w:pPr>
        <w:spacing w:line="460" w:lineRule="exact"/>
        <w:ind w:firstLine="699" w:firstLineChars="300"/>
        <w:rPr>
          <w:rFonts w:ascii="宋体" w:hAnsi="宋体" w:cs="宋体"/>
          <w:color w:val="auto"/>
          <w:spacing w:val="20"/>
          <w:sz w:val="22"/>
          <w:szCs w:val="22"/>
          <w:highlight w:val="none"/>
        </w:rPr>
      </w:pPr>
      <w:r>
        <w:rPr>
          <w:rFonts w:hint="eastAsia" w:ascii="宋体" w:hAnsi="宋体" w:cs="宋体"/>
          <w:b/>
          <w:color w:val="auto"/>
          <w:spacing w:val="6"/>
          <w:sz w:val="22"/>
          <w:szCs w:val="22"/>
          <w:highlight w:val="none"/>
        </w:rPr>
        <w:t>需提供相关证明材料，</w:t>
      </w:r>
      <w:r>
        <w:rPr>
          <w:rFonts w:hint="eastAsia" w:ascii="宋体" w:hAnsi="宋体" w:cs="宋体"/>
          <w:b/>
          <w:bCs/>
          <w:color w:val="auto"/>
          <w:sz w:val="22"/>
          <w:szCs w:val="22"/>
          <w:highlight w:val="none"/>
          <w:u w:val="single"/>
          <w:lang w:val="zh-CN"/>
        </w:rPr>
        <w:t>未提供证明材料或不能清楚辨析</w:t>
      </w:r>
      <w:r>
        <w:rPr>
          <w:rFonts w:hint="eastAsia" w:ascii="宋体" w:hAnsi="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cs="宋体"/>
          <w:b/>
          <w:bCs/>
          <w:color w:val="auto"/>
          <w:sz w:val="22"/>
          <w:szCs w:val="22"/>
          <w:highlight w:val="none"/>
          <w:u w:val="single"/>
          <w:lang w:val="zh-CN"/>
        </w:rPr>
        <w:t>。</w:t>
      </w:r>
    </w:p>
    <w:p w14:paraId="2C6D50A6">
      <w:pPr>
        <w:spacing w:line="460" w:lineRule="exact"/>
        <w:rPr>
          <w:rFonts w:ascii="宋体" w:hAnsi="宋体" w:cs="宋体"/>
          <w:color w:val="auto"/>
          <w:spacing w:val="20"/>
          <w:sz w:val="22"/>
          <w:szCs w:val="22"/>
          <w:highlight w:val="none"/>
        </w:rPr>
      </w:pPr>
    </w:p>
    <w:p w14:paraId="78BBA966">
      <w:pPr>
        <w:spacing w:line="460" w:lineRule="exact"/>
        <w:rPr>
          <w:rFonts w:ascii="宋体" w:hAnsi="宋体" w:cs="宋体"/>
          <w:color w:val="auto"/>
          <w:spacing w:val="20"/>
          <w:sz w:val="22"/>
          <w:szCs w:val="22"/>
          <w:highlight w:val="none"/>
        </w:rPr>
      </w:pPr>
    </w:p>
    <w:p w14:paraId="525E97A1">
      <w:pPr>
        <w:spacing w:line="460" w:lineRule="exact"/>
        <w:jc w:val="center"/>
        <w:rPr>
          <w:rFonts w:ascii="宋体" w:hAnsi="宋体" w:cs="宋体"/>
          <w:color w:val="auto"/>
          <w:spacing w:val="6"/>
          <w:sz w:val="22"/>
          <w:szCs w:val="22"/>
          <w:highlight w:val="none"/>
        </w:rPr>
      </w:pPr>
      <w:r>
        <w:rPr>
          <w:rFonts w:hint="eastAsia" w:ascii="宋体" w:hAnsi="宋体" w:cs="宋体"/>
          <w:b/>
          <w:color w:val="auto"/>
          <w:spacing w:val="6"/>
          <w:sz w:val="22"/>
          <w:szCs w:val="22"/>
          <w:highlight w:val="none"/>
        </w:rPr>
        <w:t>残疾人福利性单位声明函</w:t>
      </w:r>
    </w:p>
    <w:p w14:paraId="11EBD2C8">
      <w:pPr>
        <w:widowControl/>
        <w:adjustRightInd w:val="0"/>
        <w:snapToGrid w:val="0"/>
        <w:spacing w:line="460" w:lineRule="exact"/>
        <w:ind w:firstLine="440" w:firstLineChars="20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【不属于残疾人福利性单位的无需填写、递交】</w:t>
      </w:r>
    </w:p>
    <w:p w14:paraId="1F020D96">
      <w:pPr>
        <w:snapToGrid w:val="0"/>
        <w:spacing w:line="460" w:lineRule="exact"/>
        <w:jc w:val="center"/>
        <w:rPr>
          <w:rFonts w:ascii="宋体" w:hAnsi="宋体" w:cs="宋体"/>
          <w:b/>
          <w:bCs/>
          <w:color w:val="auto"/>
          <w:sz w:val="22"/>
          <w:szCs w:val="22"/>
          <w:highlight w:val="none"/>
        </w:rPr>
      </w:pPr>
    </w:p>
    <w:p w14:paraId="2CCFFF8C">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cs="宋体"/>
          <w:color w:val="auto"/>
          <w:sz w:val="22"/>
          <w:szCs w:val="22"/>
          <w:highlight w:val="none"/>
        </w:rPr>
        <w:t>〔2017〕141</w:t>
      </w:r>
      <w:r>
        <w:rPr>
          <w:rFonts w:hint="eastAsia" w:ascii="宋体" w:hAnsi="宋体" w:cs="宋体"/>
          <w:color w:val="auto"/>
          <w:spacing w:val="6"/>
          <w:sz w:val="22"/>
          <w:szCs w:val="22"/>
          <w:highlight w:val="none"/>
        </w:rPr>
        <w:t>号）的规定，本单位为符合条件的残疾人福利性单位，且本单位参加</w:t>
      </w:r>
      <w:r>
        <w:rPr>
          <w:rFonts w:hint="eastAsia" w:ascii="宋体" w:hAnsi="宋体" w:cs="宋体"/>
          <w:color w:val="auto"/>
          <w:spacing w:val="6"/>
          <w:sz w:val="22"/>
          <w:szCs w:val="22"/>
          <w:highlight w:val="none"/>
          <w:u w:val="single"/>
        </w:rPr>
        <w:t>（招标人名称）</w:t>
      </w:r>
      <w:r>
        <w:rPr>
          <w:rFonts w:hint="eastAsia" w:ascii="宋体" w:hAnsi="宋体" w:cs="宋体"/>
          <w:color w:val="auto"/>
          <w:spacing w:val="6"/>
          <w:sz w:val="22"/>
          <w:szCs w:val="22"/>
          <w:highlight w:val="none"/>
        </w:rPr>
        <w:t>单位的</w:t>
      </w:r>
      <w:r>
        <w:rPr>
          <w:rFonts w:hint="eastAsia" w:ascii="宋体" w:hAnsi="宋体" w:cs="宋体"/>
          <w:color w:val="auto"/>
          <w:spacing w:val="6"/>
          <w:sz w:val="22"/>
          <w:szCs w:val="22"/>
          <w:highlight w:val="none"/>
          <w:u w:val="single"/>
        </w:rPr>
        <w:t>（招标项目名称）</w:t>
      </w:r>
      <w:r>
        <w:rPr>
          <w:rFonts w:hint="eastAsia" w:ascii="宋体" w:hAnsi="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428B5F59">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77D5A9BA">
      <w:pPr>
        <w:snapToGrid w:val="0"/>
        <w:spacing w:line="460" w:lineRule="exact"/>
        <w:ind w:firstLine="464" w:firstLineChars="200"/>
        <w:rPr>
          <w:rFonts w:ascii="宋体" w:hAnsi="宋体" w:cs="宋体"/>
          <w:color w:val="auto"/>
          <w:spacing w:val="6"/>
          <w:sz w:val="22"/>
          <w:szCs w:val="22"/>
          <w:highlight w:val="none"/>
        </w:rPr>
      </w:pPr>
    </w:p>
    <w:p w14:paraId="5ADD40F3">
      <w:pPr>
        <w:snapToGrid w:val="0"/>
        <w:spacing w:line="460" w:lineRule="exact"/>
        <w:ind w:firstLine="464" w:firstLineChars="200"/>
        <w:rPr>
          <w:rFonts w:ascii="宋体" w:hAnsi="宋体" w:cs="宋体"/>
          <w:color w:val="auto"/>
          <w:spacing w:val="6"/>
          <w:sz w:val="22"/>
          <w:szCs w:val="22"/>
          <w:highlight w:val="none"/>
        </w:rPr>
      </w:pPr>
    </w:p>
    <w:p w14:paraId="75119832">
      <w:pPr>
        <w:adjustRightInd w:val="0"/>
        <w:snapToGrid w:val="0"/>
        <w:spacing w:line="460" w:lineRule="exact"/>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投标人全称（盖章）：</w:t>
      </w:r>
      <w:r>
        <w:rPr>
          <w:rFonts w:hint="eastAsia" w:ascii="宋体" w:hAnsi="宋体" w:cs="宋体"/>
          <w:color w:val="auto"/>
          <w:kern w:val="0"/>
          <w:sz w:val="22"/>
          <w:szCs w:val="22"/>
          <w:highlight w:val="none"/>
          <w:u w:val="single"/>
        </w:rPr>
        <w:t xml:space="preserve">                    </w:t>
      </w:r>
    </w:p>
    <w:p w14:paraId="3F08A1E9">
      <w:pPr>
        <w:pStyle w:val="24"/>
        <w:spacing w:line="460" w:lineRule="exact"/>
        <w:ind w:left="437" w:leftChars="208" w:firstLine="0" w:firstLineChars="0"/>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49384947">
      <w:pPr>
        <w:pStyle w:val="24"/>
        <w:spacing w:line="460" w:lineRule="exact"/>
        <w:ind w:left="440" w:hanging="440"/>
        <w:rPr>
          <w:rFonts w:ascii="宋体" w:hAnsi="宋体" w:cs="宋体"/>
          <w:color w:val="auto"/>
          <w:kern w:val="0"/>
          <w:sz w:val="22"/>
          <w:szCs w:val="22"/>
          <w:highlight w:val="none"/>
        </w:rPr>
      </w:pPr>
    </w:p>
    <w:p w14:paraId="0F5FF646">
      <w:pPr>
        <w:pStyle w:val="24"/>
        <w:ind w:left="440" w:hanging="440"/>
        <w:rPr>
          <w:rFonts w:ascii="宋体" w:hAnsi="宋体" w:cs="宋体"/>
          <w:color w:val="auto"/>
          <w:kern w:val="0"/>
          <w:sz w:val="22"/>
          <w:szCs w:val="22"/>
          <w:highlight w:val="none"/>
        </w:rPr>
      </w:pPr>
    </w:p>
    <w:p w14:paraId="6F7787DC">
      <w:pPr>
        <w:pStyle w:val="24"/>
        <w:ind w:left="440" w:hanging="440"/>
        <w:rPr>
          <w:rFonts w:ascii="宋体" w:hAnsi="宋体" w:cs="宋体"/>
          <w:color w:val="auto"/>
          <w:kern w:val="0"/>
          <w:sz w:val="22"/>
          <w:szCs w:val="22"/>
          <w:highlight w:val="none"/>
        </w:rPr>
      </w:pPr>
    </w:p>
    <w:p w14:paraId="57A3F81C">
      <w:pPr>
        <w:pStyle w:val="24"/>
        <w:ind w:left="440" w:hanging="440"/>
        <w:rPr>
          <w:rFonts w:ascii="宋体" w:hAnsi="宋体" w:cs="宋体"/>
          <w:color w:val="auto"/>
          <w:kern w:val="0"/>
          <w:sz w:val="22"/>
          <w:szCs w:val="22"/>
          <w:highlight w:val="none"/>
        </w:rPr>
      </w:pPr>
    </w:p>
    <w:p w14:paraId="4872274F">
      <w:pPr>
        <w:pStyle w:val="24"/>
        <w:ind w:left="440" w:hanging="440"/>
        <w:rPr>
          <w:rFonts w:ascii="宋体" w:hAnsi="宋体" w:cs="宋体"/>
          <w:color w:val="auto"/>
          <w:kern w:val="0"/>
          <w:sz w:val="22"/>
          <w:szCs w:val="22"/>
          <w:highlight w:val="none"/>
        </w:rPr>
      </w:pPr>
    </w:p>
    <w:p w14:paraId="5E5AD312">
      <w:pPr>
        <w:pStyle w:val="24"/>
        <w:ind w:left="440" w:hanging="440"/>
        <w:rPr>
          <w:rFonts w:ascii="宋体" w:hAnsi="宋体" w:cs="宋体"/>
          <w:color w:val="auto"/>
          <w:kern w:val="0"/>
          <w:sz w:val="22"/>
          <w:szCs w:val="22"/>
          <w:highlight w:val="none"/>
        </w:rPr>
      </w:pPr>
    </w:p>
    <w:p w14:paraId="5D603D6B">
      <w:pPr>
        <w:pStyle w:val="24"/>
        <w:ind w:left="440" w:hanging="440"/>
        <w:rPr>
          <w:rFonts w:ascii="宋体" w:hAnsi="宋体" w:cs="宋体"/>
          <w:color w:val="auto"/>
          <w:kern w:val="0"/>
          <w:sz w:val="22"/>
          <w:szCs w:val="22"/>
          <w:highlight w:val="none"/>
        </w:rPr>
      </w:pPr>
    </w:p>
    <w:p w14:paraId="50211094">
      <w:pPr>
        <w:pStyle w:val="24"/>
        <w:ind w:left="440" w:hanging="440"/>
        <w:rPr>
          <w:rFonts w:ascii="宋体" w:hAnsi="宋体" w:cs="宋体"/>
          <w:color w:val="auto"/>
          <w:kern w:val="0"/>
          <w:sz w:val="22"/>
          <w:szCs w:val="22"/>
          <w:highlight w:val="none"/>
        </w:rPr>
      </w:pPr>
    </w:p>
    <w:p w14:paraId="1F85EE63">
      <w:pPr>
        <w:pStyle w:val="24"/>
        <w:ind w:left="440" w:hanging="440"/>
        <w:rPr>
          <w:rFonts w:ascii="宋体" w:hAnsi="宋体" w:cs="宋体"/>
          <w:color w:val="auto"/>
          <w:kern w:val="0"/>
          <w:sz w:val="22"/>
          <w:szCs w:val="22"/>
          <w:highlight w:val="none"/>
        </w:rPr>
      </w:pPr>
    </w:p>
    <w:p w14:paraId="7016FFAA">
      <w:pPr>
        <w:pStyle w:val="24"/>
        <w:ind w:left="440" w:hanging="440"/>
        <w:rPr>
          <w:rFonts w:ascii="宋体" w:hAnsi="宋体" w:cs="宋体"/>
          <w:color w:val="auto"/>
          <w:kern w:val="0"/>
          <w:sz w:val="22"/>
          <w:szCs w:val="22"/>
          <w:highlight w:val="none"/>
        </w:rPr>
      </w:pPr>
    </w:p>
    <w:p w14:paraId="3D5B0356">
      <w:pPr>
        <w:pStyle w:val="24"/>
        <w:ind w:left="440" w:hanging="440"/>
        <w:rPr>
          <w:rFonts w:ascii="宋体" w:hAnsi="宋体" w:cs="宋体"/>
          <w:color w:val="auto"/>
          <w:kern w:val="0"/>
          <w:sz w:val="22"/>
          <w:szCs w:val="22"/>
          <w:highlight w:val="none"/>
        </w:rPr>
      </w:pPr>
    </w:p>
    <w:p w14:paraId="679BC757">
      <w:pPr>
        <w:pStyle w:val="24"/>
        <w:ind w:left="440" w:hanging="440"/>
        <w:rPr>
          <w:rFonts w:ascii="宋体" w:hAnsi="宋体" w:cs="宋体"/>
          <w:color w:val="auto"/>
          <w:kern w:val="0"/>
          <w:sz w:val="22"/>
          <w:szCs w:val="22"/>
          <w:highlight w:val="none"/>
        </w:rPr>
      </w:pPr>
    </w:p>
    <w:p w14:paraId="5E3B5149">
      <w:pPr>
        <w:pStyle w:val="24"/>
        <w:ind w:left="440" w:hanging="440"/>
        <w:rPr>
          <w:rFonts w:ascii="宋体" w:hAnsi="宋体" w:cs="宋体"/>
          <w:color w:val="auto"/>
          <w:kern w:val="0"/>
          <w:sz w:val="22"/>
          <w:szCs w:val="22"/>
          <w:highlight w:val="none"/>
        </w:rPr>
      </w:pPr>
    </w:p>
    <w:p w14:paraId="24AA40F4">
      <w:pPr>
        <w:pStyle w:val="24"/>
        <w:ind w:left="440" w:hanging="440"/>
        <w:rPr>
          <w:rFonts w:ascii="宋体" w:hAnsi="宋体" w:cs="宋体"/>
          <w:color w:val="auto"/>
          <w:kern w:val="0"/>
          <w:sz w:val="22"/>
          <w:szCs w:val="22"/>
          <w:highlight w:val="none"/>
        </w:rPr>
      </w:pPr>
    </w:p>
    <w:p w14:paraId="328A858B">
      <w:pPr>
        <w:pStyle w:val="24"/>
        <w:ind w:left="440" w:hanging="440"/>
        <w:rPr>
          <w:rFonts w:ascii="宋体" w:hAnsi="宋体" w:cs="宋体"/>
          <w:color w:val="auto"/>
          <w:kern w:val="0"/>
          <w:sz w:val="22"/>
          <w:szCs w:val="22"/>
          <w:highlight w:val="none"/>
        </w:rPr>
      </w:pPr>
    </w:p>
    <w:p w14:paraId="0731E21E">
      <w:pPr>
        <w:pStyle w:val="24"/>
        <w:ind w:left="440" w:hanging="440"/>
        <w:rPr>
          <w:rFonts w:ascii="宋体" w:hAnsi="宋体" w:cs="宋体"/>
          <w:color w:val="auto"/>
          <w:kern w:val="0"/>
          <w:sz w:val="22"/>
          <w:szCs w:val="22"/>
          <w:highlight w:val="none"/>
        </w:rPr>
      </w:pPr>
    </w:p>
    <w:p w14:paraId="1FBC4A5A">
      <w:pPr>
        <w:rPr>
          <w:rFonts w:ascii="宋体" w:hAnsi="宋体" w:cs="宋体"/>
          <w:b/>
          <w:color w:val="auto"/>
          <w:sz w:val="22"/>
          <w:szCs w:val="22"/>
          <w:highlight w:val="none"/>
        </w:rPr>
      </w:pPr>
      <w:r>
        <w:rPr>
          <w:rFonts w:hint="eastAsia" w:ascii="宋体" w:hAnsi="宋体" w:cs="宋体"/>
          <w:b/>
          <w:color w:val="auto"/>
          <w:sz w:val="22"/>
          <w:szCs w:val="22"/>
          <w:highlight w:val="none"/>
        </w:rPr>
        <w:br w:type="page"/>
      </w:r>
    </w:p>
    <w:p w14:paraId="157D340B">
      <w:pPr>
        <w:pStyle w:val="24"/>
        <w:spacing w:line="460" w:lineRule="exact"/>
        <w:ind w:left="433" w:hanging="433" w:hangingChars="196"/>
        <w:outlineLvl w:val="1"/>
        <w:rPr>
          <w:rFonts w:ascii="宋体" w:hAnsi="宋体" w:cs="宋体"/>
          <w:b/>
          <w:color w:val="auto"/>
          <w:sz w:val="22"/>
          <w:szCs w:val="22"/>
          <w:highlight w:val="none"/>
        </w:rPr>
      </w:pPr>
      <w:bookmarkStart w:id="29" w:name="_Toc3459"/>
      <w:r>
        <w:rPr>
          <w:rFonts w:hint="eastAsia" w:ascii="宋体" w:hAnsi="宋体" w:cs="宋体"/>
          <w:b/>
          <w:color w:val="auto"/>
          <w:sz w:val="22"/>
          <w:szCs w:val="22"/>
          <w:highlight w:val="none"/>
        </w:rPr>
        <w:t>附件二</w:t>
      </w:r>
      <w:bookmarkEnd w:id="29"/>
    </w:p>
    <w:p w14:paraId="7F423933">
      <w:pPr>
        <w:spacing w:line="460" w:lineRule="exact"/>
        <w:jc w:val="center"/>
        <w:outlineLvl w:val="2"/>
        <w:rPr>
          <w:rFonts w:ascii="宋体" w:hAnsi="宋体" w:cs="宋体"/>
          <w:color w:val="auto"/>
          <w:sz w:val="28"/>
          <w:szCs w:val="28"/>
          <w:highlight w:val="none"/>
        </w:rPr>
      </w:pPr>
      <w:bookmarkStart w:id="30" w:name="_Toc24365"/>
      <w:r>
        <w:rPr>
          <w:rFonts w:hint="eastAsia" w:ascii="宋体" w:hAnsi="宋体" w:cs="宋体"/>
          <w:b/>
          <w:bCs/>
          <w:color w:val="auto"/>
          <w:sz w:val="32"/>
          <w:szCs w:val="32"/>
          <w:highlight w:val="none"/>
        </w:rPr>
        <w:t>资格证明文件</w:t>
      </w:r>
      <w:bookmarkEnd w:id="30"/>
      <w:r>
        <w:rPr>
          <w:rFonts w:hint="eastAsia" w:ascii="宋体" w:hAnsi="宋体" w:cs="宋体"/>
          <w:color w:val="auto"/>
          <w:sz w:val="28"/>
          <w:szCs w:val="28"/>
          <w:highlight w:val="none"/>
        </w:rPr>
        <w:t xml:space="preserve"> </w:t>
      </w:r>
    </w:p>
    <w:p w14:paraId="2A994401">
      <w:pPr>
        <w:pStyle w:val="49"/>
        <w:tabs>
          <w:tab w:val="left" w:pos="630"/>
          <w:tab w:val="left" w:pos="840"/>
          <w:tab w:val="left" w:pos="1050"/>
        </w:tabs>
        <w:adjustRightInd w:val="0"/>
        <w:snapToGrid w:val="0"/>
        <w:spacing w:before="0" w:beforeAutospacing="0" w:after="0" w:afterAutospacing="0" w:line="360" w:lineRule="auto"/>
        <w:jc w:val="center"/>
        <w:rPr>
          <w:b/>
          <w:color w:val="auto"/>
          <w:sz w:val="32"/>
          <w:szCs w:val="32"/>
          <w:highlight w:val="none"/>
        </w:rPr>
      </w:pPr>
    </w:p>
    <w:p w14:paraId="54D2922F">
      <w:pPr>
        <w:pStyle w:val="49"/>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1、资格条件承诺函</w:t>
      </w:r>
    </w:p>
    <w:p w14:paraId="2D3EFB47">
      <w:pPr>
        <w:shd w:val="clear" w:color="auto" w:fill="FFFFFF"/>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温州市鹿城区社会治理中心、温州历程招标有限公司：</w:t>
      </w:r>
    </w:p>
    <w:p w14:paraId="643AA357">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（采购项目名称、编号）投标，现郑重承诺，</w:t>
      </w:r>
      <w:r>
        <w:rPr>
          <w:rFonts w:hint="eastAsia" w:ascii="宋体" w:hAnsi="宋体" w:cs="宋体"/>
          <w:color w:val="auto"/>
          <w:kern w:val="0"/>
          <w:sz w:val="22"/>
          <w:szCs w:val="22"/>
          <w:highlight w:val="none"/>
        </w:rPr>
        <w:t>参加本次政府采购活动前3年内</w:t>
      </w:r>
      <w:r>
        <w:rPr>
          <w:rFonts w:hint="eastAsia" w:ascii="宋体" w:hAnsi="宋体" w:cs="宋体"/>
          <w:color w:val="auto"/>
          <w:sz w:val="22"/>
          <w:szCs w:val="22"/>
          <w:highlight w:val="none"/>
        </w:rPr>
        <w:t>：</w:t>
      </w:r>
    </w:p>
    <w:p w14:paraId="38992490">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1、我方符合《中华人民共和国政府采购法》第22条规定的资格条件，即</w:t>
      </w:r>
    </w:p>
    <w:p w14:paraId="661C67A0">
      <w:pPr>
        <w:widowControl/>
        <w:snapToGrid w:val="0"/>
        <w:spacing w:line="440" w:lineRule="exact"/>
        <w:ind w:left="420" w:leftChars="200" w:firstLine="220" w:firstLineChars="1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14:paraId="6AC0519E">
      <w:pPr>
        <w:widowControl/>
        <w:snapToGrid w:val="0"/>
        <w:spacing w:line="440" w:lineRule="exact"/>
        <w:ind w:left="420" w:leftChars="200" w:firstLine="220" w:firstLineChars="1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14:paraId="6F081B33">
      <w:pPr>
        <w:widowControl/>
        <w:snapToGrid w:val="0"/>
        <w:spacing w:line="440" w:lineRule="exact"/>
        <w:ind w:left="420" w:leftChars="200" w:firstLine="220" w:firstLineChars="1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14:paraId="25085696">
      <w:pPr>
        <w:widowControl/>
        <w:snapToGrid w:val="0"/>
        <w:spacing w:line="440" w:lineRule="exact"/>
        <w:ind w:left="420" w:leftChars="200" w:firstLine="220" w:firstLineChars="1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14:paraId="4BEE7110">
      <w:pPr>
        <w:widowControl/>
        <w:snapToGrid w:val="0"/>
        <w:spacing w:line="440" w:lineRule="exact"/>
        <w:ind w:left="989" w:leftChars="314" w:hanging="330" w:hangingChars="15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57451F9">
      <w:pPr>
        <w:widowControl/>
        <w:spacing w:line="440" w:lineRule="exact"/>
        <w:ind w:left="479" w:leftChars="228" w:firstLine="180" w:firstLineChars="82"/>
        <w:rPr>
          <w:rFonts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kern w:val="0"/>
          <w:sz w:val="22"/>
          <w:szCs w:val="22"/>
          <w:highlight w:val="none"/>
        </w:rPr>
        <w:t>www.creditchina.gov.cn）、</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2A798B29">
      <w:pPr>
        <w:widowControl/>
        <w:spacing w:line="440" w:lineRule="exact"/>
        <w:ind w:left="479" w:leftChars="228" w:firstLine="180" w:firstLineChars="82"/>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3、我方与参加本次项目同一合同项下政府采购活动的其他供应商不存在单位负责人为同一人或者直接控股、管理关系。</w:t>
      </w:r>
    </w:p>
    <w:p w14:paraId="13DC653C">
      <w:pPr>
        <w:widowControl/>
        <w:spacing w:line="440" w:lineRule="exact"/>
        <w:ind w:left="479" w:leftChars="228" w:firstLine="180" w:firstLineChars="82"/>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4、我方不属于公益一类事业单位。</w:t>
      </w:r>
    </w:p>
    <w:p w14:paraId="09247143">
      <w:pPr>
        <w:widowControl/>
        <w:snapToGrid w:val="0"/>
        <w:spacing w:line="440" w:lineRule="exact"/>
        <w:ind w:firstLine="440" w:firstLineChars="200"/>
        <w:jc w:val="left"/>
        <w:rPr>
          <w:rFonts w:ascii="宋体" w:hAnsi="宋体" w:cs="宋体"/>
          <w:color w:val="auto"/>
          <w:kern w:val="0"/>
          <w:sz w:val="22"/>
          <w:szCs w:val="22"/>
          <w:highlight w:val="none"/>
        </w:rPr>
      </w:pPr>
    </w:p>
    <w:p w14:paraId="5619CF3C">
      <w:pPr>
        <w:widowControl/>
        <w:snapToGrid w:val="0"/>
        <w:spacing w:line="440" w:lineRule="exact"/>
        <w:ind w:left="210" w:leftChars="100"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我方任何资格（投标/成交/签订合同）</w:t>
      </w:r>
      <w:r>
        <w:rPr>
          <w:rFonts w:hint="eastAsia" w:ascii="宋体" w:hAnsi="宋体" w:cs="宋体"/>
          <w:color w:val="auto"/>
          <w:sz w:val="22"/>
          <w:szCs w:val="22"/>
          <w:highlight w:val="none"/>
        </w:rPr>
        <w:t>及其他任何形式的处理。</w:t>
      </w:r>
    </w:p>
    <w:p w14:paraId="37301DF8">
      <w:pPr>
        <w:widowControl/>
        <w:snapToGrid w:val="0"/>
        <w:spacing w:line="440" w:lineRule="exact"/>
        <w:ind w:firstLine="440" w:firstLineChars="200"/>
        <w:jc w:val="left"/>
        <w:rPr>
          <w:rFonts w:ascii="宋体" w:hAnsi="宋体" w:cs="宋体"/>
          <w:color w:val="auto"/>
          <w:kern w:val="0"/>
          <w:sz w:val="22"/>
          <w:szCs w:val="22"/>
          <w:highlight w:val="none"/>
        </w:rPr>
      </w:pPr>
    </w:p>
    <w:p w14:paraId="4BFA7F85">
      <w:pPr>
        <w:snapToGrid w:val="0"/>
        <w:spacing w:line="360" w:lineRule="auto"/>
        <w:ind w:firstLine="5060" w:firstLineChars="2300"/>
        <w:rPr>
          <w:rFonts w:ascii="宋体" w:hAnsi="宋体" w:cs="宋体"/>
          <w:color w:val="auto"/>
          <w:kern w:val="0"/>
          <w:sz w:val="22"/>
          <w:szCs w:val="22"/>
          <w:highlight w:val="none"/>
          <w:lang w:val="zh-CN"/>
        </w:rPr>
      </w:pPr>
    </w:p>
    <w:p w14:paraId="63FAF5A5">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kern w:val="0"/>
          <w:sz w:val="22"/>
          <w:szCs w:val="22"/>
          <w:highlight w:val="none"/>
        </w:rPr>
        <w:t xml:space="preserve"> ：</w:t>
      </w:r>
    </w:p>
    <w:p w14:paraId="2DAE9D19">
      <w:pPr>
        <w:widowControl/>
        <w:snapToGrid w:val="0"/>
        <w:spacing w:line="4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14:paraId="1ECD9FFA">
      <w:pPr>
        <w:widowControl/>
        <w:snapToGrid w:val="0"/>
        <w:spacing w:line="460" w:lineRule="exact"/>
        <w:ind w:firstLine="440" w:firstLineChars="200"/>
        <w:jc w:val="left"/>
        <w:rPr>
          <w:rFonts w:ascii="宋体" w:hAnsi="宋体" w:cs="宋体"/>
          <w:color w:val="auto"/>
          <w:kern w:val="0"/>
          <w:sz w:val="22"/>
          <w:szCs w:val="22"/>
          <w:highlight w:val="none"/>
        </w:rPr>
      </w:pPr>
    </w:p>
    <w:p w14:paraId="517EEFC5">
      <w:pPr>
        <w:pStyle w:val="24"/>
        <w:spacing w:line="460" w:lineRule="exact"/>
        <w:ind w:left="479" w:leftChars="228" w:firstLine="5280" w:firstLineChars="24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0DC12A04">
      <w:pPr>
        <w:rPr>
          <w:rFonts w:ascii="宋体" w:hAnsi="宋体" w:cs="宋体"/>
          <w:color w:val="auto"/>
          <w:highlight w:val="none"/>
        </w:rPr>
      </w:pPr>
    </w:p>
    <w:p w14:paraId="46759FF0">
      <w:pPr>
        <w:pStyle w:val="49"/>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2、有效营业执照</w:t>
      </w:r>
    </w:p>
    <w:p w14:paraId="298594C7">
      <w:pPr>
        <w:pStyle w:val="49"/>
        <w:tabs>
          <w:tab w:val="left" w:pos="630"/>
          <w:tab w:val="left" w:pos="840"/>
          <w:tab w:val="left" w:pos="1050"/>
        </w:tabs>
        <w:adjustRightInd w:val="0"/>
        <w:snapToGrid w:val="0"/>
        <w:spacing w:before="0" w:beforeAutospacing="0" w:after="0" w:afterAutospacing="0" w:line="360" w:lineRule="auto"/>
        <w:ind w:left="420"/>
        <w:rPr>
          <w:bCs/>
          <w:color w:val="auto"/>
          <w:highlight w:val="none"/>
        </w:rPr>
      </w:pPr>
    </w:p>
    <w:p w14:paraId="04A960ED">
      <w:pPr>
        <w:pStyle w:val="49"/>
        <w:tabs>
          <w:tab w:val="left" w:pos="630"/>
          <w:tab w:val="left" w:pos="840"/>
          <w:tab w:val="left" w:pos="1050"/>
        </w:tabs>
        <w:adjustRightInd w:val="0"/>
        <w:snapToGrid w:val="0"/>
        <w:spacing w:before="0" w:beforeAutospacing="0" w:after="0" w:afterAutospacing="0" w:line="360" w:lineRule="auto"/>
        <w:ind w:left="420"/>
        <w:rPr>
          <w:bCs/>
          <w:color w:val="auto"/>
          <w:sz w:val="22"/>
          <w:szCs w:val="22"/>
          <w:highlight w:val="none"/>
        </w:rPr>
      </w:pPr>
      <w:r>
        <w:rPr>
          <w:rFonts w:hint="eastAsia"/>
          <w:bCs/>
          <w:color w:val="auto"/>
          <w:sz w:val="22"/>
          <w:szCs w:val="22"/>
          <w:highlight w:val="none"/>
        </w:rPr>
        <w:t>投标人须在投标文件中出具符合以下情况的证明材料复印件（五选一）：</w:t>
      </w:r>
    </w:p>
    <w:p w14:paraId="70F81446">
      <w:pPr>
        <w:pStyle w:val="49"/>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①如投标人是企业（包括合伙企业），提供在工商部门注册的有效“企业法人营业执照”或“营业执照”；</w:t>
      </w:r>
    </w:p>
    <w:p w14:paraId="782EB9C3">
      <w:pPr>
        <w:pStyle w:val="49"/>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②如投标人是事业单位，提供有效的“事业单位法人证书”；</w:t>
      </w:r>
    </w:p>
    <w:p w14:paraId="33996341">
      <w:pPr>
        <w:pStyle w:val="49"/>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③如投标人是非企业专业服务机构的，提供执业许可证等证明文件；</w:t>
      </w:r>
    </w:p>
    <w:p w14:paraId="1E81805E">
      <w:pPr>
        <w:pStyle w:val="49"/>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④如投标人是个体工商户，提供有效的“个体工商户营业执照”；</w:t>
      </w:r>
    </w:p>
    <w:p w14:paraId="69266220">
      <w:pPr>
        <w:pStyle w:val="49"/>
        <w:tabs>
          <w:tab w:val="left" w:pos="312"/>
        </w:tabs>
        <w:adjustRightInd w:val="0"/>
        <w:snapToGrid w:val="0"/>
        <w:spacing w:before="0" w:beforeAutospacing="0" w:after="0" w:afterAutospacing="0" w:line="360" w:lineRule="auto"/>
        <w:ind w:left="420" w:leftChars="200"/>
        <w:rPr>
          <w:bCs/>
          <w:color w:val="auto"/>
          <w:sz w:val="22"/>
          <w:szCs w:val="22"/>
          <w:highlight w:val="none"/>
        </w:rPr>
      </w:pPr>
      <w:r>
        <w:rPr>
          <w:rFonts w:hint="eastAsia"/>
          <w:bCs/>
          <w:color w:val="auto"/>
          <w:sz w:val="22"/>
          <w:szCs w:val="22"/>
          <w:highlight w:val="none"/>
        </w:rPr>
        <w:t>⑤如投标人是自然人，提供有效的自然人身份证明（居民身份证正反面或公安机关出具的临时居民身份证正反面或港澳台胞证或护照）。</w:t>
      </w:r>
    </w:p>
    <w:p w14:paraId="008F4683">
      <w:pPr>
        <w:pStyle w:val="49"/>
        <w:tabs>
          <w:tab w:val="left" w:pos="312"/>
        </w:tabs>
        <w:adjustRightInd w:val="0"/>
        <w:snapToGrid w:val="0"/>
        <w:spacing w:before="0" w:beforeAutospacing="0" w:after="0" w:afterAutospacing="0" w:line="360" w:lineRule="auto"/>
        <w:rPr>
          <w:bCs/>
          <w:color w:val="auto"/>
          <w:sz w:val="22"/>
          <w:szCs w:val="22"/>
          <w:highlight w:val="none"/>
        </w:rPr>
      </w:pPr>
    </w:p>
    <w:p w14:paraId="1390BDC0">
      <w:pPr>
        <w:pStyle w:val="219"/>
        <w:tabs>
          <w:tab w:val="left" w:pos="1212"/>
          <w:tab w:val="left" w:pos="3888"/>
        </w:tabs>
        <w:snapToGrid w:val="0"/>
        <w:spacing w:line="360" w:lineRule="auto"/>
        <w:ind w:firstLine="420"/>
        <w:rPr>
          <w:rFonts w:hAnsi="宋体"/>
          <w:color w:val="auto"/>
          <w:sz w:val="22"/>
          <w:szCs w:val="22"/>
          <w:highlight w:val="none"/>
        </w:rPr>
      </w:pPr>
      <w:r>
        <w:rPr>
          <w:rFonts w:hint="eastAsia" w:hAnsi="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2CC1E0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5BA8EF7C">
      <w:pPr>
        <w:rPr>
          <w:rFonts w:ascii="宋体" w:hAnsi="宋体" w:cs="宋体"/>
          <w:color w:val="auto"/>
          <w:highlight w:val="none"/>
        </w:rPr>
      </w:pPr>
    </w:p>
    <w:p w14:paraId="7AF850AE">
      <w:pPr>
        <w:pStyle w:val="49"/>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3、投标人信用查询</w:t>
      </w:r>
    </w:p>
    <w:p w14:paraId="233C29A2">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1、投标人信用信息查询的查询渠道：“信用中国”(www.creditchina.gov.cn)；“中国政府采购网”（http://www.ccgp.gov.cn/）；</w:t>
      </w:r>
    </w:p>
    <w:p w14:paraId="56160098">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2、投标人信用信息查询截止时点：招标公告发布之日至投标截止时间前。</w:t>
      </w:r>
    </w:p>
    <w:p w14:paraId="2521B1C5">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3、投标人信用信息查询记录和证据留存的具体方式：</w:t>
      </w:r>
      <w:r>
        <w:rPr>
          <w:rFonts w:hint="eastAsia" w:ascii="宋体" w:hAnsi="宋体" w:cs="宋体"/>
          <w:b/>
          <w:bCs/>
          <w:color w:val="auto"/>
          <w:sz w:val="22"/>
          <w:highlight w:val="none"/>
        </w:rPr>
        <w:t>网页截图</w:t>
      </w:r>
      <w:r>
        <w:rPr>
          <w:rFonts w:hint="eastAsia" w:ascii="宋体" w:hAnsi="宋体" w:cs="宋体"/>
          <w:color w:val="auto"/>
          <w:sz w:val="22"/>
          <w:highlight w:val="none"/>
        </w:rPr>
        <w:t>；</w:t>
      </w:r>
    </w:p>
    <w:p w14:paraId="18AD9149">
      <w:pPr>
        <w:tabs>
          <w:tab w:val="left" w:pos="360"/>
        </w:tabs>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highlight w:val="none"/>
        </w:rPr>
        <w:t>4、信用信息的使用规则：对列入失信被执行人、重大税收违法案件当事人名单、政府采购严重违法失信行为记录名单的投标人，其投标将作无效标处理。</w:t>
      </w:r>
    </w:p>
    <w:p w14:paraId="55AB5245">
      <w:pPr>
        <w:rPr>
          <w:rFonts w:cs="宋体"/>
          <w:b/>
          <w:color w:val="auto"/>
          <w:kern w:val="0"/>
          <w:sz w:val="28"/>
          <w:szCs w:val="28"/>
          <w:highlight w:val="none"/>
        </w:rPr>
      </w:pPr>
    </w:p>
    <w:p w14:paraId="287FF61D">
      <w:pPr>
        <w:rPr>
          <w:rFonts w:cs="宋体"/>
          <w:b/>
          <w:color w:val="auto"/>
          <w:kern w:val="0"/>
          <w:sz w:val="28"/>
          <w:szCs w:val="28"/>
          <w:highlight w:val="none"/>
        </w:rPr>
      </w:pPr>
      <w:r>
        <w:rPr>
          <w:rFonts w:hint="eastAsia" w:cs="宋体"/>
          <w:b/>
          <w:color w:val="auto"/>
          <w:kern w:val="0"/>
          <w:sz w:val="28"/>
          <w:szCs w:val="28"/>
          <w:highlight w:val="none"/>
        </w:rPr>
        <w:br w:type="page"/>
      </w:r>
    </w:p>
    <w:p w14:paraId="5011703B">
      <w:pPr>
        <w:pStyle w:val="49"/>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4、政府采购活动现场确认声明书</w:t>
      </w:r>
    </w:p>
    <w:p w14:paraId="480B5C07">
      <w:pPr>
        <w:spacing w:line="460" w:lineRule="exact"/>
        <w:rPr>
          <w:rFonts w:ascii="宋体" w:hAnsi="宋体" w:cs="宋体"/>
          <w:b/>
          <w:bCs/>
          <w:color w:val="auto"/>
          <w:sz w:val="22"/>
          <w:szCs w:val="22"/>
          <w:highlight w:val="none"/>
        </w:rPr>
      </w:pPr>
      <w:r>
        <w:rPr>
          <w:rFonts w:hint="eastAsia" w:ascii="宋体" w:hAnsi="宋体" w:cs="宋体"/>
          <w:color w:val="auto"/>
          <w:sz w:val="22"/>
          <w:szCs w:val="22"/>
          <w:highlight w:val="none"/>
        </w:rPr>
        <w:t>温州历程招标有限公司：</w:t>
      </w:r>
    </w:p>
    <w:p w14:paraId="76D65527">
      <w:pPr>
        <w:spacing w:line="460" w:lineRule="exact"/>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rPr>
        <w:t>本人经由</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（供应商名称）负责人</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（姓名）合法授权参加</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项目（编号：</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）采购活动，经与本单位法人代表（负责人）联系确认，现就有关公平竞争事项郑重声明如下：</w:t>
      </w:r>
    </w:p>
    <w:p w14:paraId="178DA67E">
      <w:pPr>
        <w:numPr>
          <w:ilvl w:val="0"/>
          <w:numId w:val="4"/>
        </w:num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本单位与招标人之间 □不存在利害关系 □存在下列利害关系：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A.投资关系    </w:t>
      </w:r>
    </w:p>
    <w:p w14:paraId="3038E3DA">
      <w:pPr>
        <w:spacing w:line="460" w:lineRule="exact"/>
        <w:ind w:firstLine="660" w:firstLineChars="3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B.行政隶属关系    </w:t>
      </w:r>
    </w:p>
    <w:p w14:paraId="1189DEE4">
      <w:pPr>
        <w:spacing w:line="460" w:lineRule="exact"/>
        <w:ind w:firstLine="660" w:firstLineChars="3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C.业务指导关系  </w:t>
      </w:r>
    </w:p>
    <w:p w14:paraId="7138893F">
      <w:pPr>
        <w:spacing w:line="460" w:lineRule="exact"/>
        <w:ind w:firstLine="660" w:firstLineChars="300"/>
        <w:rPr>
          <w:rFonts w:ascii="宋体" w:hAnsi="宋体" w:cs="宋体"/>
          <w:color w:val="auto"/>
          <w:sz w:val="22"/>
          <w:szCs w:val="22"/>
          <w:highlight w:val="none"/>
        </w:rPr>
      </w:pPr>
      <w:r>
        <w:rPr>
          <w:rFonts w:hint="eastAsia" w:ascii="宋体" w:hAnsi="宋体" w:cs="宋体"/>
          <w:color w:val="auto"/>
          <w:kern w:val="0"/>
          <w:sz w:val="22"/>
          <w:szCs w:val="22"/>
          <w:highlight w:val="none"/>
        </w:rPr>
        <w:t>D.其他可能影响采购公正的利害关系</w:t>
      </w:r>
      <w:r>
        <w:rPr>
          <w:rStyle w:val="333"/>
          <w:rFonts w:hint="default"/>
          <w:color w:val="auto"/>
          <w:sz w:val="22"/>
          <w:szCs w:val="22"/>
          <w:highlight w:val="none"/>
        </w:rPr>
        <w:t xml:space="preserve">（如有，请如实说明）                 </w:t>
      </w:r>
      <w:r>
        <w:rPr>
          <w:rFonts w:hint="eastAsia" w:ascii="宋体" w:hAnsi="宋体" w:cs="宋体"/>
          <w:color w:val="auto"/>
          <w:kern w:val="0"/>
          <w:sz w:val="22"/>
          <w:szCs w:val="22"/>
          <w:highlight w:val="none"/>
        </w:rPr>
        <w:t>。</w:t>
      </w:r>
    </w:p>
    <w:p w14:paraId="20F62D79">
      <w:pPr>
        <w:numPr>
          <w:ilvl w:val="0"/>
          <w:numId w:val="4"/>
        </w:num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现已清楚知道参加本项目采购活动的其他所有供应商名称，本单位 </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□与其他所有供应商之间均不存在利害关系 </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□与</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供应商名称）之间存在下列利害关系</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A.法定代表人或负责人或实际控制人是同一人</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B.法定代表人或负责人或实际控制人是夫妻关系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C.法定代表人或负责人或实际控制人是直系血亲关系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D.法定代表人或负责人或实际控制人存在三代以内旁系血亲关系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E.法定代表人或负责人或实际控制人存在近姻亲关系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F.法定代表人或负责人或实际控制人存在股份控制或实际控制关系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G.存在共同直接或间接投资设立子公司、联营企业和合营企业情况</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I.其他利害关系情况</w:t>
      </w:r>
      <w:r>
        <w:rPr>
          <w:rFonts w:hint="eastAsia" w:ascii="宋体" w:hAnsi="宋体" w:cs="宋体"/>
          <w:color w:val="auto"/>
          <w:kern w:val="0"/>
          <w:sz w:val="22"/>
          <w:szCs w:val="22"/>
          <w:highlight w:val="none"/>
          <w:u w:val="single"/>
        </w:rPr>
        <w:t xml:space="preserve">                              。</w:t>
      </w:r>
    </w:p>
    <w:p w14:paraId="1F3B50E7">
      <w:pPr>
        <w:pStyle w:val="24"/>
        <w:spacing w:line="460" w:lineRule="exact"/>
        <w:ind w:left="0" w:firstLine="0" w:firstLineChars="0"/>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（三）现已清楚知道并严格遵守政府采购法律法规和现场纪律</w:t>
      </w:r>
    </w:p>
    <w:p w14:paraId="419B6E82">
      <w:pPr>
        <w:pStyle w:val="24"/>
        <w:spacing w:line="460" w:lineRule="exact"/>
        <w:ind w:left="0" w:firstLine="0" w:firstLineChars="0"/>
        <w:rPr>
          <w:rFonts w:ascii="宋体" w:hAnsi="宋体" w:cs="宋体"/>
          <w:color w:val="auto"/>
          <w:kern w:val="0"/>
          <w:sz w:val="22"/>
          <w:szCs w:val="22"/>
          <w:highlight w:val="none"/>
        </w:rPr>
      </w:pPr>
      <w:r>
        <w:rPr>
          <w:rFonts w:hint="eastAsia" w:ascii="宋体" w:hAnsi="宋体" w:cs="宋体"/>
          <w:color w:val="auto"/>
          <w:kern w:val="0"/>
          <w:sz w:val="22"/>
          <w:szCs w:val="22"/>
          <w:highlight w:val="none"/>
        </w:rPr>
        <w:t>（四）我发现</w:t>
      </w:r>
      <w:r>
        <w:rPr>
          <w:rStyle w:val="333"/>
          <w:rFonts w:hint="default"/>
          <w:color w:val="auto"/>
          <w:sz w:val="22"/>
          <w:szCs w:val="22"/>
          <w:highlight w:val="none"/>
        </w:rPr>
        <w:t xml:space="preserve">                  与                  （供应商名称）</w:t>
      </w:r>
      <w:r>
        <w:rPr>
          <w:rFonts w:hint="eastAsia" w:ascii="宋体" w:hAnsi="宋体" w:cs="宋体"/>
          <w:color w:val="auto"/>
          <w:kern w:val="0"/>
          <w:sz w:val="22"/>
          <w:szCs w:val="22"/>
          <w:highlight w:val="none"/>
        </w:rPr>
        <w:t>之间存在或可能存在上述第二条第</w:t>
      </w:r>
      <w:r>
        <w:rPr>
          <w:rStyle w:val="333"/>
          <w:rFonts w:hint="default"/>
          <w:color w:val="auto"/>
          <w:sz w:val="22"/>
          <w:szCs w:val="22"/>
          <w:highlight w:val="none"/>
        </w:rPr>
        <w:t xml:space="preserve">        </w:t>
      </w:r>
      <w:r>
        <w:rPr>
          <w:rFonts w:hint="eastAsia" w:ascii="宋体" w:hAnsi="宋体" w:cs="宋体"/>
          <w:color w:val="auto"/>
          <w:kern w:val="0"/>
          <w:sz w:val="22"/>
          <w:szCs w:val="22"/>
          <w:highlight w:val="none"/>
        </w:rPr>
        <w:t>项利害关系。</w:t>
      </w:r>
    </w:p>
    <w:p w14:paraId="02EB3ABC">
      <w:pPr>
        <w:pStyle w:val="24"/>
        <w:spacing w:line="460" w:lineRule="exact"/>
        <w:ind w:left="0" w:firstLine="0" w:firstLineChars="0"/>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供应商代表签名:</w:t>
      </w:r>
    </w:p>
    <w:p w14:paraId="1538F90B">
      <w:pPr>
        <w:pStyle w:val="24"/>
        <w:spacing w:line="460" w:lineRule="exact"/>
        <w:ind w:left="0" w:firstLine="0" w:firstLineChars="0"/>
        <w:jc w:val="right"/>
        <w:rPr>
          <w:rFonts w:ascii="宋体" w:hAnsi="宋体" w:cs="宋体"/>
          <w:b/>
          <w:bCs/>
          <w:color w:val="auto"/>
          <w:sz w:val="22"/>
          <w:szCs w:val="22"/>
          <w:highlight w:val="none"/>
        </w:rPr>
      </w:pPr>
      <w:r>
        <w:rPr>
          <w:rFonts w:hint="eastAsia" w:ascii="宋体" w:hAnsi="宋体" w:cs="宋体"/>
          <w:b/>
          <w:color w:val="auto"/>
          <w:kern w:val="0"/>
          <w:sz w:val="22"/>
          <w:szCs w:val="22"/>
          <w:highlight w:val="none"/>
        </w:rPr>
        <w:t>日期:202  年    月    日</w:t>
      </w:r>
    </w:p>
    <w:p w14:paraId="45B6DE0F">
      <w:pPr>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p>
    <w:p w14:paraId="1371C5BC">
      <w:pPr>
        <w:pStyle w:val="49"/>
        <w:tabs>
          <w:tab w:val="left" w:pos="630"/>
          <w:tab w:val="left" w:pos="840"/>
          <w:tab w:val="left" w:pos="1050"/>
        </w:tabs>
        <w:adjustRightInd w:val="0"/>
        <w:snapToGrid w:val="0"/>
        <w:spacing w:before="0" w:beforeAutospacing="0" w:after="0" w:afterAutospacing="0" w:line="360" w:lineRule="auto"/>
        <w:jc w:val="center"/>
        <w:outlineLvl w:val="3"/>
        <w:rPr>
          <w:b/>
          <w:color w:val="auto"/>
          <w:sz w:val="28"/>
          <w:szCs w:val="28"/>
          <w:highlight w:val="none"/>
        </w:rPr>
      </w:pPr>
      <w:r>
        <w:rPr>
          <w:rFonts w:hint="eastAsia"/>
          <w:b/>
          <w:color w:val="auto"/>
          <w:sz w:val="28"/>
          <w:szCs w:val="28"/>
          <w:highlight w:val="none"/>
        </w:rPr>
        <w:t>5、落实政府采购政策需满足的资格要求证明材料</w:t>
      </w:r>
    </w:p>
    <w:p w14:paraId="0EBB8070">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（根据招标公告落实政府采购政策需满足的资格要求选择提供相应的材料；未要求的，无需提供）</w:t>
      </w:r>
    </w:p>
    <w:p w14:paraId="4A3AF292">
      <w:pPr>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p>
    <w:p w14:paraId="5278B97C">
      <w:pPr>
        <w:outlineLvl w:val="1"/>
        <w:rPr>
          <w:rFonts w:ascii="宋体" w:hAnsi="宋体" w:cs="宋体"/>
          <w:b/>
          <w:bCs/>
          <w:color w:val="auto"/>
          <w:sz w:val="22"/>
          <w:szCs w:val="22"/>
          <w:highlight w:val="none"/>
        </w:rPr>
      </w:pPr>
      <w:bookmarkStart w:id="31" w:name="_Toc10221"/>
      <w:r>
        <w:rPr>
          <w:rFonts w:hint="eastAsia" w:ascii="宋体" w:hAnsi="宋体" w:cs="宋体"/>
          <w:b/>
          <w:bCs/>
          <w:color w:val="auto"/>
          <w:sz w:val="22"/>
          <w:szCs w:val="22"/>
          <w:highlight w:val="none"/>
        </w:rPr>
        <w:t>附件三</w:t>
      </w:r>
      <w:bookmarkEnd w:id="31"/>
    </w:p>
    <w:p w14:paraId="7C7099D8">
      <w:pPr>
        <w:spacing w:line="460" w:lineRule="exact"/>
        <w:jc w:val="center"/>
        <w:outlineLvl w:val="2"/>
        <w:rPr>
          <w:rFonts w:ascii="宋体" w:hAnsi="宋体" w:cs="宋体"/>
          <w:b/>
          <w:bCs/>
          <w:color w:val="auto"/>
          <w:sz w:val="28"/>
          <w:szCs w:val="28"/>
          <w:highlight w:val="none"/>
          <w:lang w:val="zh-CN"/>
        </w:rPr>
      </w:pPr>
      <w:bookmarkStart w:id="32" w:name="_Toc18536"/>
      <w:r>
        <w:rPr>
          <w:rFonts w:hint="eastAsia" w:ascii="宋体" w:hAnsi="宋体" w:cs="宋体"/>
          <w:b/>
          <w:bCs/>
          <w:color w:val="auto"/>
          <w:sz w:val="28"/>
          <w:szCs w:val="28"/>
          <w:highlight w:val="none"/>
          <w:lang w:val="zh-CN"/>
        </w:rPr>
        <w:t>商务技术文件</w:t>
      </w:r>
      <w:bookmarkEnd w:id="32"/>
    </w:p>
    <w:p w14:paraId="06CADE78">
      <w:pPr>
        <w:spacing w:line="400" w:lineRule="exact"/>
        <w:jc w:val="center"/>
        <w:rPr>
          <w:rFonts w:ascii="宋体" w:hAnsi="宋体" w:cs="宋体"/>
          <w:b/>
          <w:bCs/>
          <w:color w:val="auto"/>
          <w:sz w:val="28"/>
          <w:szCs w:val="28"/>
          <w:highlight w:val="none"/>
        </w:rPr>
      </w:pPr>
    </w:p>
    <w:p w14:paraId="2FC563C2">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1、法定代表人授权书</w:t>
      </w:r>
    </w:p>
    <w:p w14:paraId="4290CBDD">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温州市鹿城区社会治理中心、温州历程招标有限公司：</w:t>
      </w:r>
    </w:p>
    <w:p w14:paraId="47E9B494">
      <w:pPr>
        <w:spacing w:line="460" w:lineRule="exact"/>
        <w:rPr>
          <w:rFonts w:ascii="宋体" w:hAnsi="宋体" w:cs="宋体"/>
          <w:color w:val="auto"/>
          <w:sz w:val="22"/>
          <w:szCs w:val="22"/>
          <w:highlight w:val="none"/>
          <w:u w:val="single"/>
        </w:rPr>
      </w:pPr>
    </w:p>
    <w:p w14:paraId="6BC15CB1">
      <w:pPr>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（全权代表姓名）为全权代表，参加贵处组织的（项目名称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）的招标活动，全权代表我方处理招标活动中的一切事宜。</w:t>
      </w:r>
    </w:p>
    <w:p w14:paraId="740DE4B7">
      <w:pPr>
        <w:spacing w:line="460" w:lineRule="exact"/>
        <w:ind w:firstLine="2955"/>
        <w:rPr>
          <w:rFonts w:ascii="宋体" w:hAnsi="宋体" w:cs="宋体"/>
          <w:color w:val="auto"/>
          <w:sz w:val="22"/>
          <w:szCs w:val="22"/>
          <w:highlight w:val="none"/>
        </w:rPr>
      </w:pPr>
    </w:p>
    <w:p w14:paraId="540C2868">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7176F538">
      <w:pPr>
        <w:spacing w:line="460" w:lineRule="exact"/>
        <w:ind w:firstLine="4081" w:firstLineChars="1855"/>
        <w:rPr>
          <w:rFonts w:ascii="宋体" w:hAnsi="宋体" w:cs="宋体"/>
          <w:color w:val="auto"/>
          <w:sz w:val="22"/>
          <w:szCs w:val="22"/>
          <w:highlight w:val="none"/>
        </w:rPr>
      </w:pPr>
      <w:r>
        <w:rPr>
          <w:rFonts w:hint="eastAsia" w:ascii="宋体" w:hAnsi="宋体" w:cs="宋体"/>
          <w:color w:val="auto"/>
          <w:sz w:val="22"/>
          <w:szCs w:val="22"/>
          <w:highlight w:val="none"/>
        </w:rPr>
        <w:t>法定代表人  (签字或盖章)：</w:t>
      </w:r>
    </w:p>
    <w:p w14:paraId="7BAA6492">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投标人全称（公章）：</w:t>
      </w:r>
    </w:p>
    <w:p w14:paraId="52E11F5D">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   期：  </w:t>
      </w:r>
    </w:p>
    <w:p w14:paraId="217D0309">
      <w:pPr>
        <w:spacing w:line="380" w:lineRule="exact"/>
        <w:rPr>
          <w:rFonts w:ascii="宋体" w:hAnsi="宋体" w:cs="宋体"/>
          <w:color w:val="auto"/>
          <w:sz w:val="22"/>
          <w:szCs w:val="22"/>
          <w:highlight w:val="none"/>
        </w:rPr>
      </w:pPr>
    </w:p>
    <w:p w14:paraId="53EA385A">
      <w:pPr>
        <w:spacing w:line="380" w:lineRule="exact"/>
        <w:rPr>
          <w:rFonts w:ascii="宋体" w:hAnsi="宋体" w:cs="宋体"/>
          <w:color w:val="auto"/>
          <w:sz w:val="22"/>
          <w:szCs w:val="22"/>
          <w:highlight w:val="none"/>
        </w:rPr>
      </w:pPr>
    </w:p>
    <w:p w14:paraId="5B80A47E">
      <w:pPr>
        <w:spacing w:line="380" w:lineRule="exact"/>
        <w:rPr>
          <w:rFonts w:ascii="宋体" w:hAnsi="宋体" w:cs="宋体"/>
          <w:color w:val="auto"/>
          <w:sz w:val="22"/>
          <w:szCs w:val="22"/>
          <w:highlight w:val="none"/>
        </w:rPr>
      </w:pPr>
    </w:p>
    <w:p w14:paraId="713360C5">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附：</w:t>
      </w:r>
    </w:p>
    <w:p w14:paraId="5B144E17">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 xml:space="preserve">授权代表姓名：                               </w:t>
      </w:r>
    </w:p>
    <w:p w14:paraId="3504B12E">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职务：</w:t>
      </w:r>
    </w:p>
    <w:p w14:paraId="100E0FF9">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详细通讯地址：</w:t>
      </w:r>
    </w:p>
    <w:p w14:paraId="06878A45">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电话：</w:t>
      </w:r>
    </w:p>
    <w:p w14:paraId="18D01F22">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传真：</w:t>
      </w:r>
    </w:p>
    <w:p w14:paraId="03471952">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邮政编码:</w:t>
      </w:r>
    </w:p>
    <w:p w14:paraId="59A31A95">
      <w:pPr>
        <w:spacing w:line="380" w:lineRule="exact"/>
        <w:rPr>
          <w:rFonts w:ascii="宋体" w:hAnsi="宋体" w:cs="宋体"/>
          <w:color w:val="auto"/>
          <w:sz w:val="22"/>
          <w:szCs w:val="22"/>
          <w:highlight w:val="none"/>
        </w:rPr>
      </w:pPr>
    </w:p>
    <w:p w14:paraId="613F9E05">
      <w:pPr>
        <w:spacing w:line="460" w:lineRule="exact"/>
        <w:jc w:val="center"/>
        <w:rPr>
          <w:rFonts w:ascii="宋体" w:hAnsi="宋体" w:cs="宋体"/>
          <w:b/>
          <w:bCs/>
          <w:color w:val="auto"/>
          <w:sz w:val="28"/>
          <w:szCs w:val="28"/>
          <w:highlight w:val="none"/>
        </w:rPr>
      </w:pPr>
    </w:p>
    <w:p w14:paraId="609E1921">
      <w:pPr>
        <w:spacing w:line="460" w:lineRule="exact"/>
        <w:jc w:val="center"/>
        <w:rPr>
          <w:rFonts w:ascii="宋体" w:hAnsi="宋体" w:cs="宋体"/>
          <w:b/>
          <w:bCs/>
          <w:color w:val="auto"/>
          <w:sz w:val="28"/>
          <w:szCs w:val="28"/>
          <w:highlight w:val="none"/>
        </w:rPr>
      </w:pPr>
    </w:p>
    <w:p w14:paraId="2C36F5BC">
      <w:pPr>
        <w:spacing w:line="460" w:lineRule="exact"/>
        <w:jc w:val="center"/>
        <w:outlineLvl w:val="9"/>
        <w:rPr>
          <w:rFonts w:ascii="宋体" w:hAnsi="宋体" w:cs="宋体"/>
          <w:b/>
          <w:bCs/>
          <w:color w:val="auto"/>
          <w:sz w:val="28"/>
          <w:szCs w:val="28"/>
          <w:highlight w:val="none"/>
        </w:rPr>
      </w:pPr>
    </w:p>
    <w:p w14:paraId="537DF29B">
      <w:pPr>
        <w:outlineLvl w:val="9"/>
        <w:rPr>
          <w:rFonts w:ascii="宋体" w:hAnsi="宋体" w:eastAsia="宋体" w:cs="宋体"/>
          <w:bCs/>
          <w:color w:val="auto"/>
          <w:sz w:val="28"/>
          <w:szCs w:val="28"/>
          <w:highlight w:val="none"/>
        </w:rPr>
      </w:pPr>
    </w:p>
    <w:p w14:paraId="21D0FED3">
      <w:pPr>
        <w:outlineLvl w:val="9"/>
        <w:rPr>
          <w:rFonts w:ascii="宋体" w:hAnsi="宋体" w:cs="宋体"/>
          <w:b/>
          <w:bCs/>
          <w:color w:val="auto"/>
          <w:sz w:val="28"/>
          <w:szCs w:val="28"/>
          <w:highlight w:val="none"/>
        </w:rPr>
      </w:pPr>
    </w:p>
    <w:p w14:paraId="69CCA84F">
      <w:pPr>
        <w:outlineLvl w:val="9"/>
        <w:rPr>
          <w:color w:val="auto"/>
          <w:highlight w:val="none"/>
        </w:rPr>
      </w:pPr>
    </w:p>
    <w:p w14:paraId="6B61DFB9">
      <w:pPr>
        <w:spacing w:line="460" w:lineRule="exact"/>
        <w:jc w:val="center"/>
        <w:rPr>
          <w:rFonts w:ascii="宋体" w:hAnsi="宋体" w:cs="宋体"/>
          <w:b/>
          <w:bCs/>
          <w:color w:val="auto"/>
          <w:sz w:val="28"/>
          <w:szCs w:val="28"/>
          <w:highlight w:val="none"/>
        </w:rPr>
      </w:pPr>
    </w:p>
    <w:p w14:paraId="24D0B42B">
      <w:pPr>
        <w:spacing w:line="460" w:lineRule="exact"/>
        <w:jc w:val="center"/>
        <w:rPr>
          <w:rFonts w:ascii="宋体" w:hAnsi="宋体" w:cs="宋体"/>
          <w:b/>
          <w:bCs/>
          <w:color w:val="auto"/>
          <w:sz w:val="28"/>
          <w:szCs w:val="28"/>
          <w:highlight w:val="none"/>
        </w:rPr>
      </w:pPr>
      <w:r>
        <w:rPr>
          <w:rFonts w:hint="eastAsia" w:ascii="宋体" w:hAnsi="宋体" w:cs="宋体"/>
          <w:color w:val="auto"/>
          <w:sz w:val="22"/>
          <w:szCs w:val="22"/>
          <w:highlight w:val="none"/>
          <w:lang w:val="zh-CN"/>
        </w:rPr>
        <mc:AlternateContent>
          <mc:Choice Requires="wps">
            <w:drawing>
              <wp:anchor distT="0" distB="0" distL="114300" distR="114300" simplePos="0" relativeHeight="251661312"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3"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4FF5E33">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61312;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MWk6asBAgAARAQAAA4AAAAAAAAAAQAgAAAAJwEAAGRy&#10;cy9lMm9Eb2MueG1sUEsFBgAAAAAGAAYAWQEAAJoFAAAAAA==&#10;">
                <v:fill on="t" focussize="0,0"/>
                <v:stroke color="#000000" joinstyle="miter"/>
                <v:imagedata o:title=""/>
                <o:lock v:ext="edit" aspectratio="f"/>
                <v:textbox>
                  <w:txbxContent>
                    <w:p w14:paraId="14FF5E33">
                      <w:r>
                        <w:rPr>
                          <w:rFonts w:hint="eastAsia" w:ascii="新宋体" w:hAnsi="新宋体" w:eastAsia="新宋体"/>
                          <w:sz w:val="22"/>
                          <w:szCs w:val="22"/>
                        </w:rPr>
                        <w:t xml:space="preserve">  法定代表人身份证（正反面）：</w:t>
                      </w:r>
                    </w:p>
                  </w:txbxContent>
                </v:textbox>
              </v:shape>
            </w:pict>
          </mc:Fallback>
        </mc:AlternateContent>
      </w:r>
    </w:p>
    <w:p w14:paraId="759CA81D">
      <w:pPr>
        <w:spacing w:line="460" w:lineRule="exact"/>
        <w:jc w:val="center"/>
        <w:rPr>
          <w:rFonts w:ascii="宋体" w:hAnsi="宋体" w:cs="宋体"/>
          <w:b/>
          <w:bCs/>
          <w:color w:val="auto"/>
          <w:sz w:val="28"/>
          <w:szCs w:val="28"/>
          <w:highlight w:val="none"/>
        </w:rPr>
      </w:pPr>
    </w:p>
    <w:p w14:paraId="15EA6037">
      <w:pPr>
        <w:spacing w:line="460" w:lineRule="exact"/>
        <w:jc w:val="center"/>
        <w:rPr>
          <w:rFonts w:ascii="宋体" w:hAnsi="宋体" w:cs="宋体"/>
          <w:b/>
          <w:bCs/>
          <w:color w:val="auto"/>
          <w:sz w:val="28"/>
          <w:szCs w:val="28"/>
          <w:highlight w:val="none"/>
        </w:rPr>
      </w:pPr>
    </w:p>
    <w:p w14:paraId="5B79E53C">
      <w:pPr>
        <w:spacing w:line="460" w:lineRule="exact"/>
        <w:jc w:val="center"/>
        <w:rPr>
          <w:rFonts w:ascii="宋体" w:hAnsi="宋体" w:cs="宋体"/>
          <w:b/>
          <w:bCs/>
          <w:color w:val="auto"/>
          <w:sz w:val="28"/>
          <w:szCs w:val="28"/>
          <w:highlight w:val="none"/>
        </w:rPr>
      </w:pPr>
    </w:p>
    <w:p w14:paraId="6E5C2508">
      <w:pPr>
        <w:spacing w:line="460" w:lineRule="exact"/>
        <w:jc w:val="center"/>
        <w:rPr>
          <w:rFonts w:ascii="宋体" w:hAnsi="宋体" w:cs="宋体"/>
          <w:b/>
          <w:bCs/>
          <w:color w:val="auto"/>
          <w:sz w:val="28"/>
          <w:szCs w:val="28"/>
          <w:highlight w:val="none"/>
        </w:rPr>
      </w:pPr>
    </w:p>
    <w:p w14:paraId="600595DF">
      <w:pPr>
        <w:spacing w:line="460" w:lineRule="exact"/>
        <w:jc w:val="center"/>
        <w:rPr>
          <w:rFonts w:ascii="宋体" w:hAnsi="宋体" w:cs="宋体"/>
          <w:b/>
          <w:bCs/>
          <w:color w:val="auto"/>
          <w:sz w:val="28"/>
          <w:szCs w:val="28"/>
          <w:highlight w:val="none"/>
        </w:rPr>
      </w:pPr>
    </w:p>
    <w:p w14:paraId="5153707D">
      <w:pPr>
        <w:spacing w:line="460" w:lineRule="exact"/>
        <w:jc w:val="center"/>
        <w:rPr>
          <w:rFonts w:ascii="宋体" w:hAnsi="宋体" w:cs="宋体"/>
          <w:b/>
          <w:bCs/>
          <w:color w:val="auto"/>
          <w:sz w:val="28"/>
          <w:szCs w:val="28"/>
          <w:highlight w:val="none"/>
        </w:rPr>
      </w:pPr>
    </w:p>
    <w:p w14:paraId="090F5B82">
      <w:pPr>
        <w:spacing w:line="460" w:lineRule="exact"/>
        <w:jc w:val="center"/>
        <w:rPr>
          <w:rFonts w:ascii="宋体" w:hAnsi="宋体" w:cs="宋体"/>
          <w:b/>
          <w:bCs/>
          <w:color w:val="auto"/>
          <w:sz w:val="28"/>
          <w:szCs w:val="28"/>
          <w:highlight w:val="none"/>
        </w:rPr>
      </w:pPr>
    </w:p>
    <w:p w14:paraId="2D363383">
      <w:pPr>
        <w:spacing w:line="460" w:lineRule="exact"/>
        <w:jc w:val="center"/>
        <w:rPr>
          <w:rFonts w:ascii="宋体" w:hAnsi="宋体" w:cs="宋体"/>
          <w:b/>
          <w:bCs/>
          <w:color w:val="auto"/>
          <w:sz w:val="28"/>
          <w:szCs w:val="28"/>
          <w:highlight w:val="none"/>
        </w:rPr>
      </w:pPr>
    </w:p>
    <w:p w14:paraId="136305A7">
      <w:pPr>
        <w:spacing w:line="460" w:lineRule="exact"/>
        <w:jc w:val="center"/>
        <w:rPr>
          <w:rFonts w:ascii="宋体" w:hAnsi="宋体" w:cs="宋体"/>
          <w:b/>
          <w:bCs/>
          <w:color w:val="auto"/>
          <w:sz w:val="28"/>
          <w:szCs w:val="28"/>
          <w:highlight w:val="none"/>
        </w:rPr>
      </w:pPr>
    </w:p>
    <w:p w14:paraId="58DCA212">
      <w:pPr>
        <w:spacing w:line="460" w:lineRule="exact"/>
        <w:jc w:val="center"/>
        <w:rPr>
          <w:rFonts w:ascii="宋体" w:hAnsi="宋体" w:cs="宋体"/>
          <w:b/>
          <w:bCs/>
          <w:color w:val="auto"/>
          <w:sz w:val="28"/>
          <w:szCs w:val="28"/>
          <w:highlight w:val="none"/>
        </w:rPr>
      </w:pPr>
    </w:p>
    <w:p w14:paraId="2342748B">
      <w:pPr>
        <w:spacing w:line="460" w:lineRule="exact"/>
        <w:jc w:val="center"/>
        <w:rPr>
          <w:rFonts w:ascii="宋体" w:hAnsi="宋体" w:cs="宋体"/>
          <w:b/>
          <w:bCs/>
          <w:color w:val="auto"/>
          <w:sz w:val="28"/>
          <w:szCs w:val="28"/>
          <w:highlight w:val="none"/>
        </w:rPr>
      </w:pPr>
    </w:p>
    <w:p w14:paraId="477DB078">
      <w:pPr>
        <w:spacing w:line="460" w:lineRule="exact"/>
        <w:jc w:val="center"/>
        <w:rPr>
          <w:rFonts w:ascii="宋体" w:hAnsi="宋体" w:cs="宋体"/>
          <w:b/>
          <w:bCs/>
          <w:color w:val="auto"/>
          <w:sz w:val="28"/>
          <w:szCs w:val="28"/>
          <w:highlight w:val="none"/>
        </w:rPr>
      </w:pPr>
    </w:p>
    <w:p w14:paraId="3BE7B95F">
      <w:pPr>
        <w:spacing w:line="460" w:lineRule="exact"/>
        <w:jc w:val="center"/>
        <w:rPr>
          <w:rFonts w:ascii="宋体" w:hAnsi="宋体" w:cs="宋体"/>
          <w:b/>
          <w:bCs/>
          <w:color w:val="auto"/>
          <w:sz w:val="28"/>
          <w:szCs w:val="28"/>
          <w:highlight w:val="none"/>
        </w:rPr>
      </w:pPr>
      <w:r>
        <w:rPr>
          <w:rFonts w:hint="eastAsia" w:ascii="宋体" w:hAnsi="宋体" w:cs="宋体"/>
          <w:color w:val="auto"/>
          <w:sz w:val="22"/>
          <w:szCs w:val="22"/>
          <w:highlight w:val="none"/>
          <w:lang w:val="zh-CN"/>
        </w:rPr>
        <mc:AlternateContent>
          <mc:Choice Requires="wps">
            <w:drawing>
              <wp:anchor distT="0" distB="0" distL="114300" distR="114300" simplePos="0" relativeHeight="251662336"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4"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C006E34">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2336;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Yaotd2AAAAAoBAAAPAAAAAAAA&#10;AAEAIAAAACIAAABkcnMvZG93bnJldi54bWxQSwECFAAUAAAACACHTuJAbhx3KxICAABGBAAADgAA&#10;AAAAAAABACAAAAAnAQAAZHJzL2Uyb0RvYy54bWxQSwUGAAAAAAYABgBZAQAAqwUAAAAA&#10;">
                <v:fill on="t" focussize="0,0"/>
                <v:stroke color="#000000" joinstyle="miter"/>
                <v:imagedata o:title=""/>
                <o:lock v:ext="edit" aspectratio="f"/>
                <v:textbox>
                  <w:txbxContent>
                    <w:p w14:paraId="1C006E34">
                      <w:r>
                        <w:rPr>
                          <w:rFonts w:hint="eastAsia" w:ascii="新宋体" w:hAnsi="新宋体" w:eastAsia="新宋体"/>
                          <w:sz w:val="22"/>
                          <w:szCs w:val="22"/>
                        </w:rPr>
                        <w:t xml:space="preserve">  授权代表身份证（正反面）：</w:t>
                      </w:r>
                    </w:p>
                  </w:txbxContent>
                </v:textbox>
              </v:shape>
            </w:pict>
          </mc:Fallback>
        </mc:AlternateContent>
      </w:r>
    </w:p>
    <w:p w14:paraId="43BF39D1">
      <w:pPr>
        <w:spacing w:line="460" w:lineRule="exact"/>
        <w:jc w:val="center"/>
        <w:rPr>
          <w:rFonts w:ascii="宋体" w:hAnsi="宋体" w:cs="宋体"/>
          <w:b/>
          <w:bCs/>
          <w:color w:val="auto"/>
          <w:sz w:val="28"/>
          <w:szCs w:val="28"/>
          <w:highlight w:val="none"/>
        </w:rPr>
      </w:pPr>
    </w:p>
    <w:p w14:paraId="1A19EBA2">
      <w:pPr>
        <w:spacing w:line="460" w:lineRule="exact"/>
        <w:jc w:val="center"/>
        <w:rPr>
          <w:rFonts w:ascii="宋体" w:hAnsi="宋体" w:cs="宋体"/>
          <w:b/>
          <w:bCs/>
          <w:color w:val="auto"/>
          <w:sz w:val="28"/>
          <w:szCs w:val="28"/>
          <w:highlight w:val="none"/>
        </w:rPr>
      </w:pPr>
    </w:p>
    <w:p w14:paraId="6F715E1F">
      <w:pPr>
        <w:spacing w:line="460" w:lineRule="exact"/>
        <w:jc w:val="center"/>
        <w:rPr>
          <w:rFonts w:ascii="宋体" w:hAnsi="宋体" w:cs="宋体"/>
          <w:b/>
          <w:bCs/>
          <w:color w:val="auto"/>
          <w:sz w:val="28"/>
          <w:szCs w:val="28"/>
          <w:highlight w:val="none"/>
        </w:rPr>
      </w:pPr>
    </w:p>
    <w:p w14:paraId="6B34B4E9">
      <w:pPr>
        <w:spacing w:line="460" w:lineRule="exact"/>
        <w:jc w:val="center"/>
        <w:rPr>
          <w:rFonts w:ascii="宋体" w:hAnsi="宋体" w:cs="宋体"/>
          <w:b/>
          <w:bCs/>
          <w:color w:val="auto"/>
          <w:sz w:val="28"/>
          <w:szCs w:val="28"/>
          <w:highlight w:val="none"/>
        </w:rPr>
      </w:pPr>
    </w:p>
    <w:p w14:paraId="600D2CFA">
      <w:pPr>
        <w:spacing w:line="460" w:lineRule="exact"/>
        <w:jc w:val="center"/>
        <w:rPr>
          <w:rFonts w:ascii="宋体" w:hAnsi="宋体" w:cs="宋体"/>
          <w:b/>
          <w:bCs/>
          <w:color w:val="auto"/>
          <w:sz w:val="28"/>
          <w:szCs w:val="28"/>
          <w:highlight w:val="none"/>
        </w:rPr>
      </w:pPr>
    </w:p>
    <w:p w14:paraId="74836708">
      <w:pPr>
        <w:spacing w:line="460" w:lineRule="exact"/>
        <w:jc w:val="center"/>
        <w:rPr>
          <w:rFonts w:ascii="宋体" w:hAnsi="宋体" w:cs="宋体"/>
          <w:b/>
          <w:bCs/>
          <w:color w:val="auto"/>
          <w:sz w:val="28"/>
          <w:szCs w:val="28"/>
          <w:highlight w:val="none"/>
        </w:rPr>
      </w:pPr>
    </w:p>
    <w:p w14:paraId="7014938B">
      <w:pPr>
        <w:spacing w:line="460" w:lineRule="exact"/>
        <w:jc w:val="center"/>
        <w:rPr>
          <w:rFonts w:ascii="宋体" w:hAnsi="宋体" w:cs="宋体"/>
          <w:b/>
          <w:bCs/>
          <w:color w:val="auto"/>
          <w:sz w:val="28"/>
          <w:szCs w:val="28"/>
          <w:highlight w:val="none"/>
        </w:rPr>
      </w:pPr>
    </w:p>
    <w:p w14:paraId="606D1C3A">
      <w:pPr>
        <w:spacing w:line="460" w:lineRule="exact"/>
        <w:jc w:val="center"/>
        <w:rPr>
          <w:rFonts w:ascii="宋体" w:hAnsi="宋体" w:cs="宋体"/>
          <w:b/>
          <w:bCs/>
          <w:color w:val="auto"/>
          <w:sz w:val="28"/>
          <w:szCs w:val="28"/>
          <w:highlight w:val="none"/>
        </w:rPr>
      </w:pPr>
    </w:p>
    <w:p w14:paraId="54E0CA17">
      <w:pPr>
        <w:spacing w:line="460" w:lineRule="exact"/>
        <w:jc w:val="center"/>
        <w:rPr>
          <w:rFonts w:ascii="宋体" w:hAnsi="宋体" w:cs="宋体"/>
          <w:b/>
          <w:bCs/>
          <w:color w:val="auto"/>
          <w:sz w:val="28"/>
          <w:szCs w:val="28"/>
          <w:highlight w:val="none"/>
        </w:rPr>
      </w:pPr>
    </w:p>
    <w:p w14:paraId="4EB5B935">
      <w:pPr>
        <w:spacing w:line="460" w:lineRule="exact"/>
        <w:jc w:val="center"/>
        <w:rPr>
          <w:rFonts w:ascii="宋体" w:hAnsi="宋体" w:cs="宋体"/>
          <w:b/>
          <w:bCs/>
          <w:color w:val="auto"/>
          <w:sz w:val="28"/>
          <w:szCs w:val="28"/>
          <w:highlight w:val="none"/>
        </w:rPr>
      </w:pPr>
    </w:p>
    <w:p w14:paraId="2C8F12D4">
      <w:pPr>
        <w:spacing w:line="460" w:lineRule="exact"/>
        <w:jc w:val="center"/>
        <w:rPr>
          <w:rFonts w:ascii="宋体" w:hAnsi="宋体" w:cs="宋体"/>
          <w:b/>
          <w:bCs/>
          <w:color w:val="auto"/>
          <w:sz w:val="28"/>
          <w:szCs w:val="28"/>
          <w:highlight w:val="none"/>
        </w:rPr>
      </w:pPr>
    </w:p>
    <w:p w14:paraId="07D20A10">
      <w:pPr>
        <w:spacing w:line="460" w:lineRule="exact"/>
        <w:jc w:val="center"/>
        <w:rPr>
          <w:rFonts w:ascii="宋体" w:hAnsi="宋体" w:cs="宋体"/>
          <w:b/>
          <w:bCs/>
          <w:color w:val="auto"/>
          <w:sz w:val="28"/>
          <w:szCs w:val="28"/>
          <w:highlight w:val="none"/>
        </w:rPr>
      </w:pPr>
    </w:p>
    <w:p w14:paraId="1FD8C063">
      <w:pPr>
        <w:spacing w:line="460" w:lineRule="exact"/>
        <w:rPr>
          <w:rFonts w:ascii="宋体" w:hAnsi="宋体" w:cs="宋体"/>
          <w:b/>
          <w:bCs/>
          <w:color w:val="auto"/>
          <w:sz w:val="28"/>
          <w:szCs w:val="28"/>
          <w:highlight w:val="none"/>
        </w:rPr>
      </w:pPr>
    </w:p>
    <w:p w14:paraId="39AB7224">
      <w:pPr>
        <w:widowControl/>
        <w:snapToGrid w:val="0"/>
        <w:spacing w:line="720" w:lineRule="auto"/>
        <w:jc w:val="left"/>
        <w:rPr>
          <w:rFonts w:ascii="宋体" w:hAnsi="宋体" w:cs="宋体"/>
          <w:color w:val="auto"/>
          <w:kern w:val="0"/>
          <w:sz w:val="22"/>
          <w:szCs w:val="22"/>
          <w:highlight w:val="none"/>
        </w:rPr>
        <w:sectPr>
          <w:headerReference r:id="rId5" w:type="first"/>
          <w:footerReference r:id="rId8" w:type="first"/>
          <w:headerReference r:id="rId3" w:type="default"/>
          <w:footerReference r:id="rId6" w:type="default"/>
          <w:headerReference r:id="rId4" w:type="even"/>
          <w:footerReference r:id="rId7" w:type="even"/>
          <w:pgSz w:w="12240" w:h="15840"/>
          <w:pgMar w:top="1134" w:right="1134" w:bottom="1134" w:left="1134" w:header="850" w:footer="992" w:gutter="0"/>
          <w:pgNumType w:start="1"/>
          <w:cols w:space="720" w:num="1"/>
        </w:sectPr>
      </w:pPr>
    </w:p>
    <w:p w14:paraId="522F5C8A">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2、投标人情况表</w:t>
      </w:r>
    </w:p>
    <w:p w14:paraId="7DFE01D5">
      <w:pPr>
        <w:tabs>
          <w:tab w:val="left" w:pos="78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3C41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14993135">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单位名称（盖章）</w:t>
            </w:r>
          </w:p>
        </w:tc>
        <w:tc>
          <w:tcPr>
            <w:tcW w:w="2804" w:type="dxa"/>
            <w:gridSpan w:val="2"/>
          </w:tcPr>
          <w:p w14:paraId="54017639">
            <w:pPr>
              <w:spacing w:line="480" w:lineRule="exact"/>
              <w:rPr>
                <w:rFonts w:ascii="宋体" w:hAnsi="宋体" w:cs="宋体"/>
                <w:color w:val="auto"/>
                <w:sz w:val="22"/>
                <w:szCs w:val="22"/>
                <w:highlight w:val="none"/>
              </w:rPr>
            </w:pPr>
          </w:p>
        </w:tc>
        <w:tc>
          <w:tcPr>
            <w:tcW w:w="1115" w:type="dxa"/>
            <w:gridSpan w:val="2"/>
          </w:tcPr>
          <w:p w14:paraId="57215CD8">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电 话</w:t>
            </w:r>
          </w:p>
        </w:tc>
        <w:tc>
          <w:tcPr>
            <w:tcW w:w="2588" w:type="dxa"/>
            <w:gridSpan w:val="2"/>
          </w:tcPr>
          <w:p w14:paraId="35F3B924">
            <w:pPr>
              <w:spacing w:line="480" w:lineRule="exact"/>
              <w:rPr>
                <w:rFonts w:ascii="宋体" w:hAnsi="宋体" w:cs="宋体"/>
                <w:color w:val="auto"/>
                <w:sz w:val="22"/>
                <w:szCs w:val="22"/>
                <w:highlight w:val="none"/>
              </w:rPr>
            </w:pPr>
          </w:p>
        </w:tc>
        <w:tc>
          <w:tcPr>
            <w:tcW w:w="1488" w:type="dxa"/>
          </w:tcPr>
          <w:p w14:paraId="6212586B">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主管部门</w:t>
            </w:r>
          </w:p>
        </w:tc>
        <w:tc>
          <w:tcPr>
            <w:tcW w:w="1502" w:type="dxa"/>
          </w:tcPr>
          <w:p w14:paraId="74D6DF81">
            <w:pPr>
              <w:spacing w:line="480" w:lineRule="exact"/>
              <w:rPr>
                <w:rFonts w:ascii="宋体" w:hAnsi="宋体" w:cs="宋体"/>
                <w:color w:val="auto"/>
                <w:sz w:val="22"/>
                <w:szCs w:val="22"/>
                <w:highlight w:val="none"/>
              </w:rPr>
            </w:pPr>
          </w:p>
        </w:tc>
        <w:tc>
          <w:tcPr>
            <w:tcW w:w="1488" w:type="dxa"/>
          </w:tcPr>
          <w:p w14:paraId="72494182">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企业负责人</w:t>
            </w:r>
          </w:p>
        </w:tc>
        <w:tc>
          <w:tcPr>
            <w:tcW w:w="1115" w:type="dxa"/>
          </w:tcPr>
          <w:p w14:paraId="7F631CEC">
            <w:pPr>
              <w:spacing w:line="480" w:lineRule="exact"/>
              <w:rPr>
                <w:rFonts w:ascii="宋体" w:hAnsi="宋体" w:cs="宋体"/>
                <w:color w:val="auto"/>
                <w:sz w:val="22"/>
                <w:szCs w:val="22"/>
                <w:highlight w:val="none"/>
              </w:rPr>
            </w:pPr>
          </w:p>
        </w:tc>
        <w:tc>
          <w:tcPr>
            <w:tcW w:w="1461" w:type="dxa"/>
            <w:gridSpan w:val="2"/>
          </w:tcPr>
          <w:p w14:paraId="18597DF3">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职务</w:t>
            </w:r>
          </w:p>
        </w:tc>
      </w:tr>
      <w:tr w14:paraId="36A2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3D08BBAD">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地    址</w:t>
            </w:r>
          </w:p>
        </w:tc>
        <w:tc>
          <w:tcPr>
            <w:tcW w:w="2804" w:type="dxa"/>
            <w:gridSpan w:val="2"/>
          </w:tcPr>
          <w:p w14:paraId="1314B6BD">
            <w:pPr>
              <w:spacing w:line="480" w:lineRule="exact"/>
              <w:rPr>
                <w:rFonts w:ascii="宋体" w:hAnsi="宋体" w:cs="宋体"/>
                <w:color w:val="auto"/>
                <w:sz w:val="22"/>
                <w:szCs w:val="22"/>
                <w:highlight w:val="none"/>
              </w:rPr>
            </w:pPr>
          </w:p>
        </w:tc>
        <w:tc>
          <w:tcPr>
            <w:tcW w:w="1115" w:type="dxa"/>
            <w:gridSpan w:val="2"/>
          </w:tcPr>
          <w:p w14:paraId="1CB330CD">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传 真</w:t>
            </w:r>
          </w:p>
        </w:tc>
        <w:tc>
          <w:tcPr>
            <w:tcW w:w="2588" w:type="dxa"/>
            <w:gridSpan w:val="2"/>
          </w:tcPr>
          <w:p w14:paraId="2163EE88">
            <w:pPr>
              <w:spacing w:line="480" w:lineRule="exact"/>
              <w:rPr>
                <w:rFonts w:ascii="宋体" w:hAnsi="宋体" w:cs="宋体"/>
                <w:color w:val="auto"/>
                <w:sz w:val="22"/>
                <w:szCs w:val="22"/>
                <w:highlight w:val="none"/>
              </w:rPr>
            </w:pPr>
          </w:p>
        </w:tc>
        <w:tc>
          <w:tcPr>
            <w:tcW w:w="1488" w:type="dxa"/>
          </w:tcPr>
          <w:p w14:paraId="11C2AAE1">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企业性质</w:t>
            </w:r>
          </w:p>
        </w:tc>
        <w:tc>
          <w:tcPr>
            <w:tcW w:w="1502" w:type="dxa"/>
          </w:tcPr>
          <w:p w14:paraId="74223A8C">
            <w:pPr>
              <w:spacing w:line="480" w:lineRule="exact"/>
              <w:rPr>
                <w:rFonts w:ascii="宋体" w:hAnsi="宋体" w:cs="宋体"/>
                <w:color w:val="auto"/>
                <w:sz w:val="22"/>
                <w:szCs w:val="22"/>
                <w:highlight w:val="none"/>
              </w:rPr>
            </w:pPr>
          </w:p>
        </w:tc>
        <w:tc>
          <w:tcPr>
            <w:tcW w:w="1488" w:type="dxa"/>
          </w:tcPr>
          <w:p w14:paraId="602D11A1">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授权代表</w:t>
            </w:r>
          </w:p>
        </w:tc>
        <w:tc>
          <w:tcPr>
            <w:tcW w:w="1115" w:type="dxa"/>
          </w:tcPr>
          <w:p w14:paraId="3C0A4899">
            <w:pPr>
              <w:spacing w:line="480" w:lineRule="exact"/>
              <w:rPr>
                <w:rFonts w:ascii="宋体" w:hAnsi="宋体" w:cs="宋体"/>
                <w:color w:val="auto"/>
                <w:sz w:val="22"/>
                <w:szCs w:val="22"/>
                <w:highlight w:val="none"/>
              </w:rPr>
            </w:pPr>
          </w:p>
        </w:tc>
        <w:tc>
          <w:tcPr>
            <w:tcW w:w="1461" w:type="dxa"/>
            <w:gridSpan w:val="2"/>
          </w:tcPr>
          <w:p w14:paraId="718FD9C4">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职务</w:t>
            </w:r>
          </w:p>
        </w:tc>
      </w:tr>
      <w:tr w14:paraId="72E1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03B0BA59">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单位简介</w:t>
            </w:r>
          </w:p>
          <w:p w14:paraId="2DE99DFB">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及机构</w:t>
            </w:r>
          </w:p>
        </w:tc>
        <w:tc>
          <w:tcPr>
            <w:tcW w:w="6507" w:type="dxa"/>
            <w:gridSpan w:val="6"/>
            <w:vAlign w:val="center"/>
          </w:tcPr>
          <w:p w14:paraId="765E821E">
            <w:pPr>
              <w:spacing w:line="480" w:lineRule="exact"/>
              <w:jc w:val="center"/>
              <w:rPr>
                <w:rFonts w:ascii="宋体" w:hAnsi="宋体" w:cs="宋体"/>
                <w:color w:val="auto"/>
                <w:sz w:val="22"/>
                <w:szCs w:val="22"/>
                <w:highlight w:val="none"/>
              </w:rPr>
            </w:pPr>
          </w:p>
        </w:tc>
        <w:tc>
          <w:tcPr>
            <w:tcW w:w="1488" w:type="dxa"/>
            <w:vAlign w:val="center"/>
          </w:tcPr>
          <w:p w14:paraId="22B2B43C">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单位优势</w:t>
            </w:r>
          </w:p>
          <w:p w14:paraId="3CB914AC">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及特长</w:t>
            </w:r>
          </w:p>
        </w:tc>
        <w:tc>
          <w:tcPr>
            <w:tcW w:w="5566" w:type="dxa"/>
            <w:gridSpan w:val="5"/>
          </w:tcPr>
          <w:p w14:paraId="235AF123">
            <w:pPr>
              <w:spacing w:line="480" w:lineRule="exact"/>
              <w:rPr>
                <w:rFonts w:ascii="宋体" w:hAnsi="宋体" w:cs="宋体"/>
                <w:color w:val="auto"/>
                <w:sz w:val="22"/>
                <w:szCs w:val="22"/>
                <w:highlight w:val="none"/>
              </w:rPr>
            </w:pPr>
          </w:p>
        </w:tc>
      </w:tr>
      <w:tr w14:paraId="5A54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54B8D458">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单位概况</w:t>
            </w:r>
          </w:p>
        </w:tc>
        <w:tc>
          <w:tcPr>
            <w:tcW w:w="1115" w:type="dxa"/>
            <w:vMerge w:val="restart"/>
          </w:tcPr>
          <w:p w14:paraId="51B71BE5">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职工总数</w:t>
            </w:r>
          </w:p>
        </w:tc>
        <w:tc>
          <w:tcPr>
            <w:tcW w:w="1689" w:type="dxa"/>
            <w:vMerge w:val="restart"/>
          </w:tcPr>
          <w:p w14:paraId="78B5F78E">
            <w:pPr>
              <w:spacing w:line="480" w:lineRule="exact"/>
              <w:ind w:firstLine="1540" w:firstLineChars="700"/>
              <w:rPr>
                <w:rFonts w:ascii="宋体" w:hAnsi="宋体" w:cs="宋体"/>
                <w:color w:val="auto"/>
                <w:sz w:val="22"/>
                <w:szCs w:val="22"/>
                <w:highlight w:val="none"/>
              </w:rPr>
            </w:pPr>
          </w:p>
        </w:tc>
        <w:tc>
          <w:tcPr>
            <w:tcW w:w="3703" w:type="dxa"/>
            <w:gridSpan w:val="4"/>
            <w:vMerge w:val="restart"/>
          </w:tcPr>
          <w:p w14:paraId="77E6FAD8">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各人员构成情况</w:t>
            </w:r>
          </w:p>
        </w:tc>
        <w:tc>
          <w:tcPr>
            <w:tcW w:w="1488" w:type="dxa"/>
            <w:vMerge w:val="restart"/>
            <w:vAlign w:val="center"/>
          </w:tcPr>
          <w:p w14:paraId="73321ED6">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上一年主要  经济指标</w:t>
            </w:r>
          </w:p>
        </w:tc>
        <w:tc>
          <w:tcPr>
            <w:tcW w:w="1502" w:type="dxa"/>
            <w:vAlign w:val="center"/>
          </w:tcPr>
          <w:p w14:paraId="64D5E702">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指标名称</w:t>
            </w:r>
          </w:p>
        </w:tc>
        <w:tc>
          <w:tcPr>
            <w:tcW w:w="1488" w:type="dxa"/>
            <w:tcBorders>
              <w:tr2bl w:val="single" w:color="auto" w:sz="4" w:space="0"/>
            </w:tcBorders>
            <w:vAlign w:val="center"/>
          </w:tcPr>
          <w:p w14:paraId="7D0C2DE3">
            <w:pPr>
              <w:spacing w:line="480" w:lineRule="exact"/>
              <w:jc w:val="center"/>
              <w:rPr>
                <w:rFonts w:ascii="宋体" w:hAnsi="宋体" w:cs="宋体"/>
                <w:color w:val="auto"/>
                <w:sz w:val="22"/>
                <w:szCs w:val="22"/>
                <w:highlight w:val="none"/>
              </w:rPr>
            </w:pPr>
          </w:p>
        </w:tc>
        <w:tc>
          <w:tcPr>
            <w:tcW w:w="1470" w:type="dxa"/>
            <w:gridSpan w:val="2"/>
            <w:vAlign w:val="center"/>
          </w:tcPr>
          <w:p w14:paraId="57494876">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实际完成</w:t>
            </w:r>
          </w:p>
        </w:tc>
        <w:tc>
          <w:tcPr>
            <w:tcW w:w="1106" w:type="dxa"/>
            <w:tcBorders>
              <w:tr2bl w:val="single" w:color="auto" w:sz="4" w:space="0"/>
            </w:tcBorders>
            <w:vAlign w:val="center"/>
          </w:tcPr>
          <w:p w14:paraId="316DBF65">
            <w:pPr>
              <w:spacing w:line="480" w:lineRule="exact"/>
              <w:jc w:val="center"/>
              <w:rPr>
                <w:rFonts w:ascii="宋体" w:hAnsi="宋体" w:cs="宋体"/>
                <w:color w:val="auto"/>
                <w:sz w:val="22"/>
                <w:szCs w:val="22"/>
                <w:highlight w:val="none"/>
              </w:rPr>
            </w:pPr>
          </w:p>
        </w:tc>
      </w:tr>
      <w:tr w14:paraId="02E4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6E5DFE8E">
            <w:pPr>
              <w:spacing w:line="480" w:lineRule="exact"/>
              <w:rPr>
                <w:rFonts w:ascii="宋体" w:hAnsi="宋体" w:cs="宋体"/>
                <w:color w:val="auto"/>
                <w:sz w:val="22"/>
                <w:szCs w:val="22"/>
                <w:highlight w:val="none"/>
              </w:rPr>
            </w:pPr>
          </w:p>
        </w:tc>
        <w:tc>
          <w:tcPr>
            <w:tcW w:w="1115" w:type="dxa"/>
            <w:vMerge w:val="continue"/>
          </w:tcPr>
          <w:p w14:paraId="26FB7EE1">
            <w:pPr>
              <w:spacing w:line="480" w:lineRule="exact"/>
              <w:rPr>
                <w:rFonts w:ascii="宋体" w:hAnsi="宋体" w:cs="宋体"/>
                <w:color w:val="auto"/>
                <w:sz w:val="22"/>
                <w:szCs w:val="22"/>
                <w:highlight w:val="none"/>
              </w:rPr>
            </w:pPr>
          </w:p>
        </w:tc>
        <w:tc>
          <w:tcPr>
            <w:tcW w:w="1689" w:type="dxa"/>
            <w:vMerge w:val="continue"/>
          </w:tcPr>
          <w:p w14:paraId="193F49CB">
            <w:pPr>
              <w:spacing w:line="480" w:lineRule="exact"/>
              <w:rPr>
                <w:rFonts w:ascii="宋体" w:hAnsi="宋体" w:cs="宋体"/>
                <w:color w:val="auto"/>
                <w:sz w:val="22"/>
                <w:szCs w:val="22"/>
                <w:highlight w:val="none"/>
              </w:rPr>
            </w:pPr>
          </w:p>
        </w:tc>
        <w:tc>
          <w:tcPr>
            <w:tcW w:w="3703" w:type="dxa"/>
            <w:gridSpan w:val="4"/>
            <w:vMerge w:val="continue"/>
          </w:tcPr>
          <w:p w14:paraId="2BFEB23C">
            <w:pPr>
              <w:spacing w:line="480" w:lineRule="exact"/>
              <w:rPr>
                <w:rFonts w:ascii="宋体" w:hAnsi="宋体" w:cs="宋体"/>
                <w:color w:val="auto"/>
                <w:sz w:val="22"/>
                <w:szCs w:val="22"/>
                <w:highlight w:val="none"/>
              </w:rPr>
            </w:pPr>
          </w:p>
        </w:tc>
        <w:tc>
          <w:tcPr>
            <w:tcW w:w="1488" w:type="dxa"/>
            <w:vMerge w:val="continue"/>
          </w:tcPr>
          <w:p w14:paraId="65087831">
            <w:pPr>
              <w:spacing w:line="480" w:lineRule="exact"/>
              <w:rPr>
                <w:rFonts w:ascii="宋体" w:hAnsi="宋体" w:cs="宋体"/>
                <w:color w:val="auto"/>
                <w:sz w:val="22"/>
                <w:szCs w:val="22"/>
                <w:highlight w:val="none"/>
              </w:rPr>
            </w:pPr>
          </w:p>
        </w:tc>
        <w:tc>
          <w:tcPr>
            <w:tcW w:w="1502" w:type="dxa"/>
            <w:vAlign w:val="center"/>
          </w:tcPr>
          <w:p w14:paraId="10F7EC2F">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总产值</w:t>
            </w:r>
          </w:p>
        </w:tc>
        <w:tc>
          <w:tcPr>
            <w:tcW w:w="1488" w:type="dxa"/>
            <w:vAlign w:val="center"/>
          </w:tcPr>
          <w:p w14:paraId="122C8EA2">
            <w:pPr>
              <w:spacing w:line="480" w:lineRule="exact"/>
              <w:ind w:firstLine="660" w:firstLineChars="300"/>
              <w:jc w:val="right"/>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70" w:type="dxa"/>
            <w:gridSpan w:val="2"/>
            <w:vAlign w:val="center"/>
          </w:tcPr>
          <w:p w14:paraId="5268A23C">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总产值</w:t>
            </w:r>
          </w:p>
        </w:tc>
        <w:tc>
          <w:tcPr>
            <w:tcW w:w="1106" w:type="dxa"/>
            <w:vAlign w:val="center"/>
          </w:tcPr>
          <w:p w14:paraId="1324B948">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r>
      <w:tr w14:paraId="6AFA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1C748DB4">
            <w:pPr>
              <w:spacing w:line="480" w:lineRule="exact"/>
              <w:rPr>
                <w:rFonts w:ascii="宋体" w:hAnsi="宋体" w:cs="宋体"/>
                <w:color w:val="auto"/>
                <w:sz w:val="22"/>
                <w:szCs w:val="22"/>
                <w:highlight w:val="none"/>
              </w:rPr>
            </w:pPr>
          </w:p>
        </w:tc>
        <w:tc>
          <w:tcPr>
            <w:tcW w:w="1115" w:type="dxa"/>
            <w:vMerge w:val="restart"/>
          </w:tcPr>
          <w:p w14:paraId="3E6D0078">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流动资金</w:t>
            </w:r>
          </w:p>
        </w:tc>
        <w:tc>
          <w:tcPr>
            <w:tcW w:w="1689" w:type="dxa"/>
            <w:vMerge w:val="restart"/>
          </w:tcPr>
          <w:p w14:paraId="76B7D069">
            <w:pPr>
              <w:spacing w:line="48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04C33DAA">
            <w:pPr>
              <w:spacing w:line="480" w:lineRule="exact"/>
              <w:ind w:firstLine="660" w:firstLineChars="300"/>
              <w:jc w:val="right"/>
              <w:rPr>
                <w:rFonts w:ascii="宋体" w:hAnsi="宋体" w:cs="宋体"/>
                <w:color w:val="auto"/>
                <w:sz w:val="22"/>
                <w:szCs w:val="22"/>
                <w:highlight w:val="none"/>
              </w:rPr>
            </w:pPr>
            <w:r>
              <w:rPr>
                <w:rFonts w:hint="eastAsia" w:ascii="宋体" w:hAnsi="宋体" w:cs="宋体"/>
                <w:color w:val="auto"/>
                <w:sz w:val="22"/>
                <w:szCs w:val="22"/>
                <w:highlight w:val="none"/>
              </w:rPr>
              <w:t xml:space="preserve">万元 </w:t>
            </w:r>
          </w:p>
        </w:tc>
        <w:tc>
          <w:tcPr>
            <w:tcW w:w="728" w:type="dxa"/>
            <w:vMerge w:val="restart"/>
          </w:tcPr>
          <w:p w14:paraId="51215D6D">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资金来源</w:t>
            </w:r>
          </w:p>
        </w:tc>
        <w:tc>
          <w:tcPr>
            <w:tcW w:w="1487" w:type="dxa"/>
            <w:gridSpan w:val="2"/>
            <w:vAlign w:val="center"/>
          </w:tcPr>
          <w:p w14:paraId="080A010F">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自有资金</w:t>
            </w:r>
          </w:p>
        </w:tc>
        <w:tc>
          <w:tcPr>
            <w:tcW w:w="1488" w:type="dxa"/>
            <w:vAlign w:val="center"/>
          </w:tcPr>
          <w:p w14:paraId="02D7437E">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c>
          <w:tcPr>
            <w:tcW w:w="1488" w:type="dxa"/>
            <w:vMerge w:val="continue"/>
          </w:tcPr>
          <w:p w14:paraId="1744DE3E">
            <w:pPr>
              <w:spacing w:line="480" w:lineRule="exact"/>
              <w:rPr>
                <w:rFonts w:ascii="宋体" w:hAnsi="宋体" w:cs="宋体"/>
                <w:color w:val="auto"/>
                <w:sz w:val="22"/>
                <w:szCs w:val="22"/>
                <w:highlight w:val="none"/>
              </w:rPr>
            </w:pPr>
          </w:p>
        </w:tc>
        <w:tc>
          <w:tcPr>
            <w:tcW w:w="1502" w:type="dxa"/>
            <w:vAlign w:val="center"/>
          </w:tcPr>
          <w:p w14:paraId="480E9D1C">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实现利润</w:t>
            </w:r>
          </w:p>
        </w:tc>
        <w:tc>
          <w:tcPr>
            <w:tcW w:w="1488" w:type="dxa"/>
            <w:vAlign w:val="center"/>
          </w:tcPr>
          <w:p w14:paraId="73AE0892">
            <w:pPr>
              <w:spacing w:line="480" w:lineRule="exact"/>
              <w:ind w:firstLine="660" w:firstLineChars="300"/>
              <w:jc w:val="right"/>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70" w:type="dxa"/>
            <w:gridSpan w:val="2"/>
            <w:vAlign w:val="center"/>
          </w:tcPr>
          <w:p w14:paraId="768BBB3A">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实现利润</w:t>
            </w:r>
          </w:p>
        </w:tc>
        <w:tc>
          <w:tcPr>
            <w:tcW w:w="1106" w:type="dxa"/>
            <w:vAlign w:val="center"/>
          </w:tcPr>
          <w:p w14:paraId="699A9961">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r>
      <w:tr w14:paraId="2813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397EE3C4">
            <w:pPr>
              <w:spacing w:line="480" w:lineRule="exact"/>
              <w:rPr>
                <w:rFonts w:ascii="宋体" w:hAnsi="宋体" w:cs="宋体"/>
                <w:color w:val="auto"/>
                <w:sz w:val="22"/>
                <w:szCs w:val="22"/>
                <w:highlight w:val="none"/>
              </w:rPr>
            </w:pPr>
          </w:p>
        </w:tc>
        <w:tc>
          <w:tcPr>
            <w:tcW w:w="1115" w:type="dxa"/>
            <w:vMerge w:val="continue"/>
            <w:tcBorders>
              <w:bottom w:val="single" w:color="auto" w:sz="4" w:space="0"/>
            </w:tcBorders>
          </w:tcPr>
          <w:p w14:paraId="53F4A45A">
            <w:pPr>
              <w:spacing w:line="480" w:lineRule="exact"/>
              <w:rPr>
                <w:rFonts w:ascii="宋体" w:hAnsi="宋体" w:cs="宋体"/>
                <w:color w:val="auto"/>
                <w:sz w:val="22"/>
                <w:szCs w:val="22"/>
                <w:highlight w:val="none"/>
              </w:rPr>
            </w:pPr>
          </w:p>
        </w:tc>
        <w:tc>
          <w:tcPr>
            <w:tcW w:w="1689" w:type="dxa"/>
            <w:vMerge w:val="continue"/>
            <w:tcBorders>
              <w:bottom w:val="single" w:color="auto" w:sz="4" w:space="0"/>
            </w:tcBorders>
          </w:tcPr>
          <w:p w14:paraId="6B51FBD7">
            <w:pPr>
              <w:spacing w:line="480" w:lineRule="exact"/>
              <w:rPr>
                <w:rFonts w:ascii="宋体" w:hAnsi="宋体" w:cs="宋体"/>
                <w:color w:val="auto"/>
                <w:sz w:val="22"/>
                <w:szCs w:val="22"/>
                <w:highlight w:val="none"/>
              </w:rPr>
            </w:pPr>
          </w:p>
        </w:tc>
        <w:tc>
          <w:tcPr>
            <w:tcW w:w="728" w:type="dxa"/>
            <w:vMerge w:val="continue"/>
            <w:tcBorders>
              <w:bottom w:val="single" w:color="auto" w:sz="4" w:space="0"/>
            </w:tcBorders>
          </w:tcPr>
          <w:p w14:paraId="43375D91">
            <w:pPr>
              <w:spacing w:line="480" w:lineRule="exact"/>
              <w:rPr>
                <w:rFonts w:ascii="宋体" w:hAnsi="宋体" w:cs="宋体"/>
                <w:color w:val="auto"/>
                <w:sz w:val="22"/>
                <w:szCs w:val="22"/>
                <w:highlight w:val="none"/>
              </w:rPr>
            </w:pPr>
          </w:p>
        </w:tc>
        <w:tc>
          <w:tcPr>
            <w:tcW w:w="1487" w:type="dxa"/>
            <w:gridSpan w:val="2"/>
            <w:tcBorders>
              <w:bottom w:val="single" w:color="auto" w:sz="4" w:space="0"/>
            </w:tcBorders>
          </w:tcPr>
          <w:p w14:paraId="3E0D6442">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银行贷款</w:t>
            </w:r>
          </w:p>
        </w:tc>
        <w:tc>
          <w:tcPr>
            <w:tcW w:w="1488" w:type="dxa"/>
            <w:tcBorders>
              <w:bottom w:val="single" w:color="auto" w:sz="4" w:space="0"/>
            </w:tcBorders>
          </w:tcPr>
          <w:p w14:paraId="22CC16FD">
            <w:pPr>
              <w:spacing w:line="48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88" w:type="dxa"/>
            <w:vMerge w:val="continue"/>
            <w:tcBorders>
              <w:bottom w:val="single" w:color="auto" w:sz="4" w:space="0"/>
            </w:tcBorders>
          </w:tcPr>
          <w:p w14:paraId="0A9AA7AD">
            <w:pPr>
              <w:spacing w:line="480" w:lineRule="exact"/>
              <w:rPr>
                <w:rFonts w:ascii="宋体" w:hAnsi="宋体" w:cs="宋体"/>
                <w:color w:val="auto"/>
                <w:sz w:val="22"/>
                <w:szCs w:val="22"/>
                <w:highlight w:val="none"/>
              </w:rPr>
            </w:pPr>
          </w:p>
        </w:tc>
        <w:tc>
          <w:tcPr>
            <w:tcW w:w="1502" w:type="dxa"/>
            <w:vMerge w:val="restart"/>
            <w:tcBorders>
              <w:bottom w:val="single" w:color="auto" w:sz="4" w:space="0"/>
            </w:tcBorders>
            <w:vAlign w:val="center"/>
          </w:tcPr>
          <w:p w14:paraId="6A1F616D">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主要业绩</w:t>
            </w:r>
          </w:p>
        </w:tc>
        <w:tc>
          <w:tcPr>
            <w:tcW w:w="4064" w:type="dxa"/>
            <w:gridSpan w:val="4"/>
            <w:vMerge w:val="restart"/>
            <w:tcBorders>
              <w:bottom w:val="single" w:color="auto" w:sz="4" w:space="0"/>
            </w:tcBorders>
            <w:vAlign w:val="center"/>
          </w:tcPr>
          <w:p w14:paraId="50E97AAC">
            <w:pPr>
              <w:spacing w:line="480" w:lineRule="exact"/>
              <w:jc w:val="center"/>
              <w:rPr>
                <w:rFonts w:ascii="宋体" w:hAnsi="宋体" w:cs="宋体"/>
                <w:color w:val="auto"/>
                <w:sz w:val="22"/>
                <w:szCs w:val="22"/>
                <w:highlight w:val="none"/>
              </w:rPr>
            </w:pPr>
          </w:p>
        </w:tc>
      </w:tr>
      <w:tr w14:paraId="1655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21FBF80A">
            <w:pPr>
              <w:spacing w:line="480" w:lineRule="exact"/>
              <w:rPr>
                <w:rFonts w:ascii="宋体" w:hAnsi="宋体" w:cs="宋体"/>
                <w:color w:val="auto"/>
                <w:sz w:val="22"/>
                <w:szCs w:val="22"/>
                <w:highlight w:val="none"/>
              </w:rPr>
            </w:pPr>
          </w:p>
        </w:tc>
        <w:tc>
          <w:tcPr>
            <w:tcW w:w="1115" w:type="dxa"/>
            <w:vMerge w:val="restart"/>
          </w:tcPr>
          <w:p w14:paraId="5A676050">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固定资产</w:t>
            </w:r>
          </w:p>
        </w:tc>
        <w:tc>
          <w:tcPr>
            <w:tcW w:w="1689" w:type="dxa"/>
            <w:vMerge w:val="restart"/>
          </w:tcPr>
          <w:p w14:paraId="4AE6BE3F">
            <w:pPr>
              <w:spacing w:line="48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原值   万元</w:t>
            </w:r>
          </w:p>
          <w:p w14:paraId="111D40EB">
            <w:pPr>
              <w:spacing w:line="48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净值   万元</w:t>
            </w:r>
          </w:p>
        </w:tc>
        <w:tc>
          <w:tcPr>
            <w:tcW w:w="728" w:type="dxa"/>
            <w:vMerge w:val="restart"/>
          </w:tcPr>
          <w:p w14:paraId="2A503C88">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资金性质</w:t>
            </w:r>
          </w:p>
        </w:tc>
        <w:tc>
          <w:tcPr>
            <w:tcW w:w="1487" w:type="dxa"/>
            <w:gridSpan w:val="2"/>
          </w:tcPr>
          <w:p w14:paraId="632EF9FB">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生产性</w:t>
            </w:r>
          </w:p>
        </w:tc>
        <w:tc>
          <w:tcPr>
            <w:tcW w:w="1488" w:type="dxa"/>
          </w:tcPr>
          <w:p w14:paraId="1C390474">
            <w:pPr>
              <w:spacing w:line="480" w:lineRule="exact"/>
              <w:ind w:left="220" w:hanging="220" w:hangingChars="100"/>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c>
          <w:tcPr>
            <w:tcW w:w="1488" w:type="dxa"/>
            <w:vMerge w:val="continue"/>
          </w:tcPr>
          <w:p w14:paraId="526C89B1">
            <w:pPr>
              <w:spacing w:line="480" w:lineRule="exact"/>
              <w:rPr>
                <w:rFonts w:ascii="宋体" w:hAnsi="宋体" w:cs="宋体"/>
                <w:color w:val="auto"/>
                <w:sz w:val="22"/>
                <w:szCs w:val="22"/>
                <w:highlight w:val="none"/>
              </w:rPr>
            </w:pPr>
          </w:p>
        </w:tc>
        <w:tc>
          <w:tcPr>
            <w:tcW w:w="1502" w:type="dxa"/>
            <w:vMerge w:val="continue"/>
          </w:tcPr>
          <w:p w14:paraId="28EB23F1">
            <w:pPr>
              <w:spacing w:line="480" w:lineRule="exact"/>
              <w:rPr>
                <w:rFonts w:ascii="宋体" w:hAnsi="宋体" w:cs="宋体"/>
                <w:color w:val="auto"/>
                <w:sz w:val="22"/>
                <w:szCs w:val="22"/>
                <w:highlight w:val="none"/>
              </w:rPr>
            </w:pPr>
          </w:p>
        </w:tc>
        <w:tc>
          <w:tcPr>
            <w:tcW w:w="4064" w:type="dxa"/>
            <w:gridSpan w:val="4"/>
            <w:vMerge w:val="continue"/>
          </w:tcPr>
          <w:p w14:paraId="5FCEA9D1">
            <w:pPr>
              <w:spacing w:line="480" w:lineRule="exact"/>
              <w:rPr>
                <w:rFonts w:ascii="宋体" w:hAnsi="宋体" w:cs="宋体"/>
                <w:color w:val="auto"/>
                <w:sz w:val="22"/>
                <w:szCs w:val="22"/>
                <w:highlight w:val="none"/>
              </w:rPr>
            </w:pPr>
          </w:p>
        </w:tc>
      </w:tr>
      <w:tr w14:paraId="0831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6FB0120E">
            <w:pPr>
              <w:spacing w:line="480" w:lineRule="exact"/>
              <w:rPr>
                <w:rFonts w:ascii="宋体" w:hAnsi="宋体" w:cs="宋体"/>
                <w:color w:val="auto"/>
                <w:sz w:val="22"/>
                <w:szCs w:val="22"/>
                <w:highlight w:val="none"/>
              </w:rPr>
            </w:pPr>
          </w:p>
        </w:tc>
        <w:tc>
          <w:tcPr>
            <w:tcW w:w="1115" w:type="dxa"/>
            <w:vMerge w:val="continue"/>
          </w:tcPr>
          <w:p w14:paraId="50B1A72F">
            <w:pPr>
              <w:spacing w:line="480" w:lineRule="exact"/>
              <w:rPr>
                <w:rFonts w:ascii="宋体" w:hAnsi="宋体" w:cs="宋体"/>
                <w:color w:val="auto"/>
                <w:sz w:val="22"/>
                <w:szCs w:val="22"/>
                <w:highlight w:val="none"/>
              </w:rPr>
            </w:pPr>
          </w:p>
        </w:tc>
        <w:tc>
          <w:tcPr>
            <w:tcW w:w="1689" w:type="dxa"/>
            <w:vMerge w:val="continue"/>
          </w:tcPr>
          <w:p w14:paraId="4A6798E8">
            <w:pPr>
              <w:spacing w:line="480" w:lineRule="exact"/>
              <w:rPr>
                <w:rFonts w:ascii="宋体" w:hAnsi="宋体" w:cs="宋体"/>
                <w:color w:val="auto"/>
                <w:sz w:val="22"/>
                <w:szCs w:val="22"/>
                <w:highlight w:val="none"/>
              </w:rPr>
            </w:pPr>
          </w:p>
        </w:tc>
        <w:tc>
          <w:tcPr>
            <w:tcW w:w="728" w:type="dxa"/>
            <w:vMerge w:val="continue"/>
          </w:tcPr>
          <w:p w14:paraId="0361C62A">
            <w:pPr>
              <w:spacing w:line="480" w:lineRule="exact"/>
              <w:rPr>
                <w:rFonts w:ascii="宋体" w:hAnsi="宋体" w:cs="宋体"/>
                <w:color w:val="auto"/>
                <w:sz w:val="22"/>
                <w:szCs w:val="22"/>
                <w:highlight w:val="none"/>
              </w:rPr>
            </w:pPr>
          </w:p>
        </w:tc>
        <w:tc>
          <w:tcPr>
            <w:tcW w:w="1487" w:type="dxa"/>
            <w:gridSpan w:val="2"/>
          </w:tcPr>
          <w:p w14:paraId="58FBF07B">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非生产性</w:t>
            </w:r>
          </w:p>
        </w:tc>
        <w:tc>
          <w:tcPr>
            <w:tcW w:w="1488" w:type="dxa"/>
          </w:tcPr>
          <w:p w14:paraId="54457380">
            <w:pPr>
              <w:spacing w:line="480" w:lineRule="exact"/>
              <w:ind w:left="220" w:hanging="220" w:hangingChars="100"/>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c>
          <w:tcPr>
            <w:tcW w:w="1488" w:type="dxa"/>
            <w:vMerge w:val="continue"/>
          </w:tcPr>
          <w:p w14:paraId="076CE705">
            <w:pPr>
              <w:spacing w:line="480" w:lineRule="exact"/>
              <w:rPr>
                <w:rFonts w:ascii="宋体" w:hAnsi="宋体" w:cs="宋体"/>
                <w:color w:val="auto"/>
                <w:sz w:val="22"/>
                <w:szCs w:val="22"/>
                <w:highlight w:val="none"/>
              </w:rPr>
            </w:pPr>
          </w:p>
        </w:tc>
        <w:tc>
          <w:tcPr>
            <w:tcW w:w="1502" w:type="dxa"/>
            <w:vMerge w:val="continue"/>
          </w:tcPr>
          <w:p w14:paraId="77E76568">
            <w:pPr>
              <w:spacing w:line="480" w:lineRule="exact"/>
              <w:rPr>
                <w:rFonts w:ascii="宋体" w:hAnsi="宋体" w:cs="宋体"/>
                <w:color w:val="auto"/>
                <w:sz w:val="22"/>
                <w:szCs w:val="22"/>
                <w:highlight w:val="none"/>
              </w:rPr>
            </w:pPr>
          </w:p>
        </w:tc>
        <w:tc>
          <w:tcPr>
            <w:tcW w:w="4064" w:type="dxa"/>
            <w:gridSpan w:val="4"/>
            <w:vMerge w:val="continue"/>
          </w:tcPr>
          <w:p w14:paraId="032A48A3">
            <w:pPr>
              <w:spacing w:line="480" w:lineRule="exact"/>
              <w:rPr>
                <w:rFonts w:ascii="宋体" w:hAnsi="宋体" w:cs="宋体"/>
                <w:color w:val="auto"/>
                <w:sz w:val="22"/>
                <w:szCs w:val="22"/>
                <w:highlight w:val="none"/>
              </w:rPr>
            </w:pPr>
          </w:p>
        </w:tc>
      </w:tr>
    </w:tbl>
    <w:p w14:paraId="1668D047">
      <w:pPr>
        <w:spacing w:line="460" w:lineRule="exact"/>
        <w:rPr>
          <w:rFonts w:ascii="宋体" w:hAnsi="宋体" w:cs="宋体"/>
          <w:color w:val="auto"/>
          <w:sz w:val="22"/>
          <w:szCs w:val="22"/>
          <w:highlight w:val="none"/>
        </w:rPr>
        <w:sectPr>
          <w:headerReference r:id="rId9" w:type="default"/>
          <w:footerReference r:id="rId10" w:type="default"/>
          <w:pgSz w:w="16838" w:h="11906" w:orient="landscape"/>
          <w:pgMar w:top="1134" w:right="1134" w:bottom="1134" w:left="1134" w:header="850" w:footer="992" w:gutter="0"/>
          <w:cols w:space="720" w:num="1"/>
          <w:docGrid w:type="lines" w:linePitch="321" w:charSpace="0"/>
        </w:sectPr>
      </w:pPr>
    </w:p>
    <w:p w14:paraId="75FEE3DD">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3、</w:t>
      </w:r>
      <w:r>
        <w:rPr>
          <w:rFonts w:hint="eastAsia" w:ascii="宋体" w:hAnsi="宋体" w:cs="宋体"/>
          <w:b/>
          <w:bCs/>
          <w:color w:val="auto"/>
          <w:sz w:val="28"/>
          <w:szCs w:val="28"/>
          <w:highlight w:val="none"/>
          <w:lang w:val="zh-CN"/>
        </w:rPr>
        <w:t>偏离表（</w:t>
      </w:r>
      <w:r>
        <w:rPr>
          <w:rFonts w:hint="eastAsia" w:ascii="宋体" w:hAnsi="宋体" w:cs="宋体"/>
          <w:b/>
          <w:bCs/>
          <w:color w:val="auto"/>
          <w:sz w:val="28"/>
          <w:szCs w:val="28"/>
          <w:highlight w:val="none"/>
        </w:rPr>
        <w:t>商务、技术偏离</w:t>
      </w:r>
      <w:r>
        <w:rPr>
          <w:rFonts w:hint="eastAsia" w:ascii="宋体" w:hAnsi="宋体" w:cs="宋体"/>
          <w:b/>
          <w:bCs/>
          <w:color w:val="auto"/>
          <w:sz w:val="28"/>
          <w:szCs w:val="28"/>
          <w:highlight w:val="none"/>
          <w:lang w:val="zh-CN"/>
        </w:rPr>
        <w:t>）</w:t>
      </w:r>
    </w:p>
    <w:p w14:paraId="4E78950A">
      <w:pPr>
        <w:spacing w:line="360" w:lineRule="auto"/>
        <w:rPr>
          <w:rFonts w:ascii="宋体" w:hAnsi="宋体" w:cs="宋体"/>
          <w:color w:val="auto"/>
          <w:sz w:val="22"/>
          <w:szCs w:val="22"/>
          <w:highlight w:val="none"/>
        </w:rPr>
      </w:pPr>
    </w:p>
    <w:p w14:paraId="02FA6EF0">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WZLCZB（Z）-2024-10454</w:t>
      </w:r>
    </w:p>
    <w:p w14:paraId="5C7E998B">
      <w:pPr>
        <w:keepNext/>
        <w:spacing w:line="360" w:lineRule="auto"/>
        <w:rPr>
          <w:rFonts w:ascii="宋体" w:hAnsi="宋体" w:cs="宋体"/>
          <w:b/>
          <w:bCs/>
          <w:color w:val="auto"/>
          <w:sz w:val="22"/>
          <w:szCs w:val="22"/>
          <w:highlight w:val="none"/>
        </w:rPr>
      </w:pPr>
      <w:r>
        <w:rPr>
          <w:rFonts w:hint="eastAsia" w:ascii="宋体" w:hAnsi="宋体" w:cs="宋体"/>
          <w:color w:val="auto"/>
          <w:sz w:val="22"/>
          <w:szCs w:val="22"/>
          <w:highlight w:val="none"/>
        </w:rPr>
        <w:t>项目名称：基层智治综合应用鹿城域</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1159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7FD557B7">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序  号</w:t>
            </w:r>
          </w:p>
        </w:tc>
        <w:tc>
          <w:tcPr>
            <w:tcW w:w="3687" w:type="dxa"/>
            <w:shd w:val="clear" w:color="auto" w:fill="FFFFFF"/>
            <w:vAlign w:val="center"/>
          </w:tcPr>
          <w:p w14:paraId="3692FFBE">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招标文件</w:t>
            </w:r>
          </w:p>
          <w:p w14:paraId="4069E408">
            <w:pPr>
              <w:jc w:val="center"/>
              <w:rPr>
                <w:rFonts w:ascii="宋体" w:hAnsi="宋体" w:cs="宋体"/>
                <w:b/>
                <w:color w:val="auto"/>
                <w:sz w:val="22"/>
                <w:szCs w:val="22"/>
                <w:highlight w:val="none"/>
              </w:rPr>
            </w:pPr>
            <w:r>
              <w:rPr>
                <w:rFonts w:hint="eastAsia" w:ascii="宋体" w:hAnsi="宋体" w:cs="宋体"/>
                <w:b/>
                <w:color w:val="auto"/>
                <w:sz w:val="22"/>
                <w:szCs w:val="22"/>
                <w:highlight w:val="none"/>
              </w:rPr>
              <w:t>规格要求</w:t>
            </w:r>
          </w:p>
        </w:tc>
        <w:tc>
          <w:tcPr>
            <w:tcW w:w="3402" w:type="dxa"/>
            <w:shd w:val="clear" w:color="auto" w:fill="FFFFFF"/>
            <w:vAlign w:val="center"/>
          </w:tcPr>
          <w:p w14:paraId="395DCFBD">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投标文件</w:t>
            </w:r>
          </w:p>
          <w:p w14:paraId="5EF74E6A">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对应规格</w:t>
            </w:r>
          </w:p>
        </w:tc>
        <w:tc>
          <w:tcPr>
            <w:tcW w:w="1580" w:type="dxa"/>
            <w:shd w:val="clear" w:color="auto" w:fill="FFFFFF"/>
            <w:vAlign w:val="center"/>
          </w:tcPr>
          <w:p w14:paraId="508820A8">
            <w:pPr>
              <w:jc w:val="center"/>
              <w:rPr>
                <w:rFonts w:ascii="宋体" w:hAnsi="宋体" w:cs="宋体"/>
                <w:b/>
                <w:color w:val="auto"/>
                <w:sz w:val="22"/>
                <w:szCs w:val="22"/>
                <w:highlight w:val="none"/>
              </w:rPr>
            </w:pPr>
            <w:r>
              <w:rPr>
                <w:rFonts w:hint="eastAsia" w:ascii="宋体" w:hAnsi="宋体" w:cs="宋体"/>
                <w:b/>
                <w:color w:val="auto"/>
                <w:sz w:val="22"/>
                <w:szCs w:val="22"/>
                <w:highlight w:val="none"/>
              </w:rPr>
              <w:t>说   明</w:t>
            </w:r>
          </w:p>
        </w:tc>
      </w:tr>
      <w:tr w14:paraId="60C3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3A26AADF">
            <w:pPr>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tc>
        <w:tc>
          <w:tcPr>
            <w:tcW w:w="3687" w:type="dxa"/>
            <w:vAlign w:val="center"/>
          </w:tcPr>
          <w:p w14:paraId="7875F610">
            <w:pPr>
              <w:jc w:val="center"/>
              <w:rPr>
                <w:rFonts w:ascii="宋体" w:hAnsi="宋体" w:cs="宋体"/>
                <w:color w:val="auto"/>
                <w:sz w:val="22"/>
                <w:szCs w:val="22"/>
                <w:highlight w:val="none"/>
              </w:rPr>
            </w:pPr>
          </w:p>
        </w:tc>
        <w:tc>
          <w:tcPr>
            <w:tcW w:w="3402" w:type="dxa"/>
            <w:vAlign w:val="center"/>
          </w:tcPr>
          <w:p w14:paraId="606DC7D6">
            <w:pPr>
              <w:jc w:val="center"/>
              <w:rPr>
                <w:rFonts w:ascii="宋体" w:hAnsi="宋体" w:cs="宋体"/>
                <w:color w:val="auto"/>
                <w:sz w:val="22"/>
                <w:szCs w:val="22"/>
                <w:highlight w:val="none"/>
              </w:rPr>
            </w:pPr>
          </w:p>
        </w:tc>
        <w:tc>
          <w:tcPr>
            <w:tcW w:w="1580" w:type="dxa"/>
            <w:vAlign w:val="center"/>
          </w:tcPr>
          <w:p w14:paraId="6E9838AD">
            <w:pPr>
              <w:jc w:val="center"/>
              <w:rPr>
                <w:rFonts w:ascii="宋体" w:hAnsi="宋体" w:cs="宋体"/>
                <w:color w:val="auto"/>
                <w:sz w:val="22"/>
                <w:szCs w:val="22"/>
                <w:highlight w:val="none"/>
              </w:rPr>
            </w:pPr>
          </w:p>
        </w:tc>
      </w:tr>
      <w:tr w14:paraId="3FF9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D81FDF3">
            <w:pPr>
              <w:jc w:val="center"/>
              <w:rPr>
                <w:rFonts w:ascii="宋体" w:hAnsi="宋体" w:cs="宋体"/>
                <w:color w:val="auto"/>
                <w:sz w:val="22"/>
                <w:szCs w:val="22"/>
                <w:highlight w:val="none"/>
              </w:rPr>
            </w:pPr>
          </w:p>
        </w:tc>
        <w:tc>
          <w:tcPr>
            <w:tcW w:w="3687" w:type="dxa"/>
            <w:vAlign w:val="center"/>
          </w:tcPr>
          <w:p w14:paraId="3EF839EE">
            <w:pPr>
              <w:jc w:val="center"/>
              <w:rPr>
                <w:rFonts w:ascii="宋体" w:hAnsi="宋体" w:cs="宋体"/>
                <w:color w:val="auto"/>
                <w:sz w:val="22"/>
                <w:szCs w:val="22"/>
                <w:highlight w:val="none"/>
              </w:rPr>
            </w:pPr>
          </w:p>
        </w:tc>
        <w:tc>
          <w:tcPr>
            <w:tcW w:w="3402" w:type="dxa"/>
            <w:vAlign w:val="center"/>
          </w:tcPr>
          <w:p w14:paraId="53D33374">
            <w:pPr>
              <w:jc w:val="center"/>
              <w:rPr>
                <w:rFonts w:ascii="宋体" w:hAnsi="宋体" w:cs="宋体"/>
                <w:color w:val="auto"/>
                <w:sz w:val="22"/>
                <w:szCs w:val="22"/>
                <w:highlight w:val="none"/>
              </w:rPr>
            </w:pPr>
          </w:p>
        </w:tc>
        <w:tc>
          <w:tcPr>
            <w:tcW w:w="1580" w:type="dxa"/>
            <w:vAlign w:val="center"/>
          </w:tcPr>
          <w:p w14:paraId="6869DABB">
            <w:pPr>
              <w:jc w:val="center"/>
              <w:rPr>
                <w:rFonts w:ascii="宋体" w:hAnsi="宋体" w:cs="宋体"/>
                <w:color w:val="auto"/>
                <w:sz w:val="22"/>
                <w:szCs w:val="22"/>
                <w:highlight w:val="none"/>
              </w:rPr>
            </w:pPr>
          </w:p>
        </w:tc>
      </w:tr>
      <w:tr w14:paraId="05AB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348124A">
            <w:pPr>
              <w:jc w:val="center"/>
              <w:rPr>
                <w:rFonts w:ascii="宋体" w:hAnsi="宋体" w:cs="宋体"/>
                <w:color w:val="auto"/>
                <w:sz w:val="22"/>
                <w:szCs w:val="22"/>
                <w:highlight w:val="none"/>
              </w:rPr>
            </w:pPr>
          </w:p>
        </w:tc>
        <w:tc>
          <w:tcPr>
            <w:tcW w:w="3687" w:type="dxa"/>
            <w:vAlign w:val="center"/>
          </w:tcPr>
          <w:p w14:paraId="0EF272C8">
            <w:pPr>
              <w:jc w:val="center"/>
              <w:rPr>
                <w:rFonts w:ascii="宋体" w:hAnsi="宋体" w:cs="宋体"/>
                <w:color w:val="auto"/>
                <w:sz w:val="22"/>
                <w:szCs w:val="22"/>
                <w:highlight w:val="none"/>
              </w:rPr>
            </w:pPr>
          </w:p>
        </w:tc>
        <w:tc>
          <w:tcPr>
            <w:tcW w:w="3402" w:type="dxa"/>
            <w:vAlign w:val="center"/>
          </w:tcPr>
          <w:p w14:paraId="062A2A97">
            <w:pPr>
              <w:jc w:val="center"/>
              <w:rPr>
                <w:rFonts w:ascii="宋体" w:hAnsi="宋体" w:cs="宋体"/>
                <w:color w:val="auto"/>
                <w:sz w:val="22"/>
                <w:szCs w:val="22"/>
                <w:highlight w:val="none"/>
              </w:rPr>
            </w:pPr>
          </w:p>
        </w:tc>
        <w:tc>
          <w:tcPr>
            <w:tcW w:w="1580" w:type="dxa"/>
            <w:vAlign w:val="center"/>
          </w:tcPr>
          <w:p w14:paraId="1AB0A4B8">
            <w:pPr>
              <w:jc w:val="center"/>
              <w:rPr>
                <w:rFonts w:ascii="宋体" w:hAnsi="宋体" w:cs="宋体"/>
                <w:color w:val="auto"/>
                <w:sz w:val="22"/>
                <w:szCs w:val="22"/>
                <w:highlight w:val="none"/>
              </w:rPr>
            </w:pPr>
          </w:p>
        </w:tc>
      </w:tr>
      <w:tr w14:paraId="66EF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30B1C19F">
            <w:pPr>
              <w:jc w:val="center"/>
              <w:rPr>
                <w:rFonts w:ascii="宋体" w:hAnsi="宋体" w:cs="宋体"/>
                <w:color w:val="auto"/>
                <w:sz w:val="22"/>
                <w:szCs w:val="22"/>
                <w:highlight w:val="none"/>
              </w:rPr>
            </w:pPr>
          </w:p>
        </w:tc>
        <w:tc>
          <w:tcPr>
            <w:tcW w:w="3687" w:type="dxa"/>
            <w:vAlign w:val="center"/>
          </w:tcPr>
          <w:p w14:paraId="2E5DBA31">
            <w:pPr>
              <w:jc w:val="center"/>
              <w:rPr>
                <w:rFonts w:ascii="宋体" w:hAnsi="宋体" w:cs="宋体"/>
                <w:color w:val="auto"/>
                <w:sz w:val="22"/>
                <w:szCs w:val="22"/>
                <w:highlight w:val="none"/>
              </w:rPr>
            </w:pPr>
          </w:p>
        </w:tc>
        <w:tc>
          <w:tcPr>
            <w:tcW w:w="3402" w:type="dxa"/>
            <w:vAlign w:val="center"/>
          </w:tcPr>
          <w:p w14:paraId="5CBCC3F0">
            <w:pPr>
              <w:jc w:val="center"/>
              <w:rPr>
                <w:rFonts w:ascii="宋体" w:hAnsi="宋体" w:cs="宋体"/>
                <w:color w:val="auto"/>
                <w:sz w:val="22"/>
                <w:szCs w:val="22"/>
                <w:highlight w:val="none"/>
              </w:rPr>
            </w:pPr>
          </w:p>
        </w:tc>
        <w:tc>
          <w:tcPr>
            <w:tcW w:w="1580" w:type="dxa"/>
            <w:vAlign w:val="center"/>
          </w:tcPr>
          <w:p w14:paraId="50B5BBBB">
            <w:pPr>
              <w:jc w:val="center"/>
              <w:rPr>
                <w:rFonts w:ascii="宋体" w:hAnsi="宋体" w:cs="宋体"/>
                <w:color w:val="auto"/>
                <w:sz w:val="22"/>
                <w:szCs w:val="22"/>
                <w:highlight w:val="none"/>
              </w:rPr>
            </w:pPr>
          </w:p>
        </w:tc>
      </w:tr>
      <w:tr w14:paraId="780A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C126E9E">
            <w:pPr>
              <w:jc w:val="center"/>
              <w:rPr>
                <w:rFonts w:ascii="宋体" w:hAnsi="宋体" w:cs="宋体"/>
                <w:color w:val="auto"/>
                <w:sz w:val="22"/>
                <w:szCs w:val="22"/>
                <w:highlight w:val="none"/>
              </w:rPr>
            </w:pPr>
          </w:p>
        </w:tc>
        <w:tc>
          <w:tcPr>
            <w:tcW w:w="3687" w:type="dxa"/>
            <w:vAlign w:val="center"/>
          </w:tcPr>
          <w:p w14:paraId="0A2A6111">
            <w:pPr>
              <w:jc w:val="center"/>
              <w:rPr>
                <w:rFonts w:ascii="宋体" w:hAnsi="宋体" w:cs="宋体"/>
                <w:color w:val="auto"/>
                <w:sz w:val="22"/>
                <w:szCs w:val="22"/>
                <w:highlight w:val="none"/>
              </w:rPr>
            </w:pPr>
          </w:p>
        </w:tc>
        <w:tc>
          <w:tcPr>
            <w:tcW w:w="3402" w:type="dxa"/>
            <w:vAlign w:val="center"/>
          </w:tcPr>
          <w:p w14:paraId="16DA8F76">
            <w:pPr>
              <w:jc w:val="center"/>
              <w:rPr>
                <w:rFonts w:ascii="宋体" w:hAnsi="宋体" w:cs="宋体"/>
                <w:color w:val="auto"/>
                <w:sz w:val="22"/>
                <w:szCs w:val="22"/>
                <w:highlight w:val="none"/>
              </w:rPr>
            </w:pPr>
          </w:p>
        </w:tc>
        <w:tc>
          <w:tcPr>
            <w:tcW w:w="1580" w:type="dxa"/>
            <w:vAlign w:val="center"/>
          </w:tcPr>
          <w:p w14:paraId="59BE63E1">
            <w:pPr>
              <w:jc w:val="center"/>
              <w:rPr>
                <w:rFonts w:ascii="宋体" w:hAnsi="宋体" w:cs="宋体"/>
                <w:color w:val="auto"/>
                <w:sz w:val="22"/>
                <w:szCs w:val="22"/>
                <w:highlight w:val="none"/>
              </w:rPr>
            </w:pPr>
          </w:p>
        </w:tc>
      </w:tr>
      <w:tr w14:paraId="547E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74BC5C2">
            <w:pPr>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tc>
        <w:tc>
          <w:tcPr>
            <w:tcW w:w="3687" w:type="dxa"/>
            <w:vAlign w:val="center"/>
          </w:tcPr>
          <w:p w14:paraId="40EE6DBB">
            <w:pPr>
              <w:jc w:val="center"/>
              <w:rPr>
                <w:rFonts w:ascii="宋体" w:hAnsi="宋体" w:cs="宋体"/>
                <w:color w:val="auto"/>
                <w:sz w:val="22"/>
                <w:szCs w:val="22"/>
                <w:highlight w:val="none"/>
              </w:rPr>
            </w:pPr>
          </w:p>
        </w:tc>
        <w:tc>
          <w:tcPr>
            <w:tcW w:w="3402" w:type="dxa"/>
            <w:vAlign w:val="center"/>
          </w:tcPr>
          <w:p w14:paraId="15F47900">
            <w:pPr>
              <w:jc w:val="center"/>
              <w:rPr>
                <w:rFonts w:ascii="宋体" w:hAnsi="宋体" w:cs="宋体"/>
                <w:color w:val="auto"/>
                <w:sz w:val="22"/>
                <w:szCs w:val="22"/>
                <w:highlight w:val="none"/>
              </w:rPr>
            </w:pPr>
          </w:p>
        </w:tc>
        <w:tc>
          <w:tcPr>
            <w:tcW w:w="1580" w:type="dxa"/>
            <w:vAlign w:val="center"/>
          </w:tcPr>
          <w:p w14:paraId="5ED2B536">
            <w:pPr>
              <w:jc w:val="center"/>
              <w:rPr>
                <w:rFonts w:ascii="宋体" w:hAnsi="宋体" w:cs="宋体"/>
                <w:color w:val="auto"/>
                <w:sz w:val="22"/>
                <w:szCs w:val="22"/>
                <w:highlight w:val="none"/>
              </w:rPr>
            </w:pPr>
          </w:p>
        </w:tc>
      </w:tr>
      <w:tr w14:paraId="1272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1F653814">
            <w:pPr>
              <w:jc w:val="center"/>
              <w:rPr>
                <w:rFonts w:ascii="宋体" w:hAnsi="宋体" w:cs="宋体"/>
                <w:color w:val="auto"/>
                <w:sz w:val="22"/>
                <w:szCs w:val="22"/>
                <w:highlight w:val="none"/>
              </w:rPr>
            </w:pPr>
          </w:p>
        </w:tc>
        <w:tc>
          <w:tcPr>
            <w:tcW w:w="3687" w:type="dxa"/>
            <w:vAlign w:val="center"/>
          </w:tcPr>
          <w:p w14:paraId="09251875">
            <w:pPr>
              <w:jc w:val="center"/>
              <w:rPr>
                <w:rFonts w:ascii="宋体" w:hAnsi="宋体" w:cs="宋体"/>
                <w:color w:val="auto"/>
                <w:sz w:val="22"/>
                <w:szCs w:val="22"/>
                <w:highlight w:val="none"/>
              </w:rPr>
            </w:pPr>
          </w:p>
        </w:tc>
        <w:tc>
          <w:tcPr>
            <w:tcW w:w="3402" w:type="dxa"/>
            <w:vAlign w:val="center"/>
          </w:tcPr>
          <w:p w14:paraId="6F27F507">
            <w:pPr>
              <w:jc w:val="center"/>
              <w:rPr>
                <w:rFonts w:ascii="宋体" w:hAnsi="宋体" w:cs="宋体"/>
                <w:color w:val="auto"/>
                <w:sz w:val="22"/>
                <w:szCs w:val="22"/>
                <w:highlight w:val="none"/>
              </w:rPr>
            </w:pPr>
          </w:p>
        </w:tc>
        <w:tc>
          <w:tcPr>
            <w:tcW w:w="1580" w:type="dxa"/>
            <w:vAlign w:val="center"/>
          </w:tcPr>
          <w:p w14:paraId="6AEFF40B">
            <w:pPr>
              <w:jc w:val="center"/>
              <w:rPr>
                <w:rFonts w:ascii="宋体" w:hAnsi="宋体" w:cs="宋体"/>
                <w:color w:val="auto"/>
                <w:sz w:val="22"/>
                <w:szCs w:val="22"/>
                <w:highlight w:val="none"/>
              </w:rPr>
            </w:pPr>
          </w:p>
        </w:tc>
      </w:tr>
      <w:tr w14:paraId="1E7D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29E7A6B">
            <w:pPr>
              <w:jc w:val="center"/>
              <w:rPr>
                <w:rFonts w:ascii="宋体" w:hAnsi="宋体" w:cs="宋体"/>
                <w:color w:val="auto"/>
                <w:sz w:val="22"/>
                <w:szCs w:val="22"/>
                <w:highlight w:val="none"/>
              </w:rPr>
            </w:pPr>
          </w:p>
        </w:tc>
        <w:tc>
          <w:tcPr>
            <w:tcW w:w="3687" w:type="dxa"/>
            <w:vAlign w:val="center"/>
          </w:tcPr>
          <w:p w14:paraId="54CB22A7">
            <w:pPr>
              <w:jc w:val="center"/>
              <w:rPr>
                <w:rFonts w:ascii="宋体" w:hAnsi="宋体" w:cs="宋体"/>
                <w:color w:val="auto"/>
                <w:sz w:val="22"/>
                <w:szCs w:val="22"/>
                <w:highlight w:val="none"/>
              </w:rPr>
            </w:pPr>
          </w:p>
        </w:tc>
        <w:tc>
          <w:tcPr>
            <w:tcW w:w="3402" w:type="dxa"/>
            <w:vAlign w:val="center"/>
          </w:tcPr>
          <w:p w14:paraId="0FFD3AF6">
            <w:pPr>
              <w:jc w:val="center"/>
              <w:rPr>
                <w:rFonts w:ascii="宋体" w:hAnsi="宋体" w:cs="宋体"/>
                <w:color w:val="auto"/>
                <w:sz w:val="22"/>
                <w:szCs w:val="22"/>
                <w:highlight w:val="none"/>
              </w:rPr>
            </w:pPr>
          </w:p>
        </w:tc>
        <w:tc>
          <w:tcPr>
            <w:tcW w:w="1580" w:type="dxa"/>
            <w:vAlign w:val="center"/>
          </w:tcPr>
          <w:p w14:paraId="00CB9E20">
            <w:pPr>
              <w:jc w:val="center"/>
              <w:rPr>
                <w:rFonts w:ascii="宋体" w:hAnsi="宋体" w:cs="宋体"/>
                <w:color w:val="auto"/>
                <w:sz w:val="22"/>
                <w:szCs w:val="22"/>
                <w:highlight w:val="none"/>
              </w:rPr>
            </w:pPr>
          </w:p>
        </w:tc>
      </w:tr>
      <w:tr w14:paraId="1587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0C4D15B">
            <w:pPr>
              <w:jc w:val="center"/>
              <w:rPr>
                <w:rFonts w:ascii="宋体" w:hAnsi="宋体" w:cs="宋体"/>
                <w:color w:val="auto"/>
                <w:sz w:val="22"/>
                <w:szCs w:val="22"/>
                <w:highlight w:val="none"/>
              </w:rPr>
            </w:pPr>
          </w:p>
        </w:tc>
        <w:tc>
          <w:tcPr>
            <w:tcW w:w="3687" w:type="dxa"/>
            <w:vAlign w:val="center"/>
          </w:tcPr>
          <w:p w14:paraId="79A0788B">
            <w:pPr>
              <w:jc w:val="center"/>
              <w:rPr>
                <w:rFonts w:ascii="宋体" w:hAnsi="宋体" w:cs="宋体"/>
                <w:color w:val="auto"/>
                <w:sz w:val="22"/>
                <w:szCs w:val="22"/>
                <w:highlight w:val="none"/>
              </w:rPr>
            </w:pPr>
          </w:p>
        </w:tc>
        <w:tc>
          <w:tcPr>
            <w:tcW w:w="3402" w:type="dxa"/>
            <w:vAlign w:val="center"/>
          </w:tcPr>
          <w:p w14:paraId="1C3D64FC">
            <w:pPr>
              <w:jc w:val="center"/>
              <w:rPr>
                <w:rFonts w:ascii="宋体" w:hAnsi="宋体" w:cs="宋体"/>
                <w:color w:val="auto"/>
                <w:sz w:val="22"/>
                <w:szCs w:val="22"/>
                <w:highlight w:val="none"/>
              </w:rPr>
            </w:pPr>
          </w:p>
        </w:tc>
        <w:tc>
          <w:tcPr>
            <w:tcW w:w="1580" w:type="dxa"/>
            <w:vAlign w:val="center"/>
          </w:tcPr>
          <w:p w14:paraId="7A57CE04">
            <w:pPr>
              <w:jc w:val="center"/>
              <w:rPr>
                <w:rFonts w:ascii="宋体" w:hAnsi="宋体" w:cs="宋体"/>
                <w:color w:val="auto"/>
                <w:sz w:val="22"/>
                <w:szCs w:val="22"/>
                <w:highlight w:val="none"/>
              </w:rPr>
            </w:pPr>
          </w:p>
        </w:tc>
      </w:tr>
      <w:tr w14:paraId="7DFB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820EE5D">
            <w:pPr>
              <w:jc w:val="center"/>
              <w:rPr>
                <w:rFonts w:ascii="宋体" w:hAnsi="宋体" w:cs="宋体"/>
                <w:color w:val="auto"/>
                <w:sz w:val="22"/>
                <w:szCs w:val="22"/>
                <w:highlight w:val="none"/>
              </w:rPr>
            </w:pPr>
          </w:p>
        </w:tc>
        <w:tc>
          <w:tcPr>
            <w:tcW w:w="3687" w:type="dxa"/>
            <w:vAlign w:val="center"/>
          </w:tcPr>
          <w:p w14:paraId="72652A91">
            <w:pPr>
              <w:jc w:val="center"/>
              <w:rPr>
                <w:rFonts w:ascii="宋体" w:hAnsi="宋体" w:cs="宋体"/>
                <w:color w:val="auto"/>
                <w:sz w:val="22"/>
                <w:szCs w:val="22"/>
                <w:highlight w:val="none"/>
              </w:rPr>
            </w:pPr>
          </w:p>
        </w:tc>
        <w:tc>
          <w:tcPr>
            <w:tcW w:w="3402" w:type="dxa"/>
            <w:vAlign w:val="center"/>
          </w:tcPr>
          <w:p w14:paraId="2E1EF324">
            <w:pPr>
              <w:jc w:val="center"/>
              <w:rPr>
                <w:rFonts w:ascii="宋体" w:hAnsi="宋体" w:cs="宋体"/>
                <w:color w:val="auto"/>
                <w:sz w:val="22"/>
                <w:szCs w:val="22"/>
                <w:highlight w:val="none"/>
              </w:rPr>
            </w:pPr>
          </w:p>
        </w:tc>
        <w:tc>
          <w:tcPr>
            <w:tcW w:w="1580" w:type="dxa"/>
            <w:vAlign w:val="center"/>
          </w:tcPr>
          <w:p w14:paraId="7462664B">
            <w:pPr>
              <w:jc w:val="center"/>
              <w:rPr>
                <w:rFonts w:ascii="宋体" w:hAnsi="宋体" w:cs="宋体"/>
                <w:color w:val="auto"/>
                <w:sz w:val="22"/>
                <w:szCs w:val="22"/>
                <w:highlight w:val="none"/>
              </w:rPr>
            </w:pPr>
          </w:p>
        </w:tc>
      </w:tr>
      <w:tr w14:paraId="0C6F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D50A387">
            <w:pPr>
              <w:jc w:val="center"/>
              <w:rPr>
                <w:rFonts w:ascii="宋体" w:hAnsi="宋体" w:cs="宋体"/>
                <w:color w:val="auto"/>
                <w:sz w:val="22"/>
                <w:szCs w:val="22"/>
                <w:highlight w:val="none"/>
              </w:rPr>
            </w:pPr>
          </w:p>
        </w:tc>
        <w:tc>
          <w:tcPr>
            <w:tcW w:w="3687" w:type="dxa"/>
            <w:vAlign w:val="center"/>
          </w:tcPr>
          <w:p w14:paraId="099E3BB3">
            <w:pPr>
              <w:jc w:val="center"/>
              <w:rPr>
                <w:rFonts w:ascii="宋体" w:hAnsi="宋体" w:cs="宋体"/>
                <w:color w:val="auto"/>
                <w:sz w:val="22"/>
                <w:szCs w:val="22"/>
                <w:highlight w:val="none"/>
              </w:rPr>
            </w:pPr>
          </w:p>
        </w:tc>
        <w:tc>
          <w:tcPr>
            <w:tcW w:w="3402" w:type="dxa"/>
            <w:vAlign w:val="center"/>
          </w:tcPr>
          <w:p w14:paraId="16650AB6">
            <w:pPr>
              <w:jc w:val="center"/>
              <w:rPr>
                <w:rFonts w:ascii="宋体" w:hAnsi="宋体" w:cs="宋体"/>
                <w:color w:val="auto"/>
                <w:sz w:val="22"/>
                <w:szCs w:val="22"/>
                <w:highlight w:val="none"/>
              </w:rPr>
            </w:pPr>
          </w:p>
        </w:tc>
        <w:tc>
          <w:tcPr>
            <w:tcW w:w="1580" w:type="dxa"/>
            <w:vAlign w:val="center"/>
          </w:tcPr>
          <w:p w14:paraId="3D58A2F0">
            <w:pPr>
              <w:jc w:val="center"/>
              <w:rPr>
                <w:rFonts w:ascii="宋体" w:hAnsi="宋体" w:cs="宋体"/>
                <w:color w:val="auto"/>
                <w:sz w:val="22"/>
                <w:szCs w:val="22"/>
                <w:highlight w:val="none"/>
              </w:rPr>
            </w:pPr>
          </w:p>
        </w:tc>
      </w:tr>
    </w:tbl>
    <w:p w14:paraId="30A27881">
      <w:pPr>
        <w:rPr>
          <w:rFonts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b/>
          <w:bCs/>
          <w:color w:val="auto"/>
          <w:sz w:val="22"/>
          <w:szCs w:val="22"/>
          <w:highlight w:val="none"/>
        </w:rPr>
        <w:t>注： 如有偏离，必须在偏离表中进行详细对比说明并注明正偏离和负偏离，如不说明偏离情况，视为完全响应采购文件要求无偏离</w:t>
      </w:r>
    </w:p>
    <w:p w14:paraId="63F5B970">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64D7EFF4">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4B1D3D8E">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3BCF493A">
      <w:pPr>
        <w:rPr>
          <w:rFonts w:ascii="宋体" w:hAnsi="宋体" w:cs="宋体"/>
          <w:b/>
          <w:color w:val="auto"/>
          <w:sz w:val="24"/>
          <w:highlight w:val="none"/>
        </w:rPr>
      </w:pPr>
      <w:bookmarkStart w:id="33" w:name="_Toc415152386"/>
      <w:r>
        <w:rPr>
          <w:rFonts w:hint="eastAsia" w:ascii="宋体" w:hAnsi="宋体" w:cs="宋体"/>
          <w:b/>
          <w:color w:val="auto"/>
          <w:sz w:val="24"/>
          <w:highlight w:val="none"/>
        </w:rPr>
        <w:br w:type="page"/>
      </w:r>
    </w:p>
    <w:p w14:paraId="1A390B57">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4、</w:t>
      </w:r>
      <w:bookmarkEnd w:id="33"/>
      <w:r>
        <w:rPr>
          <w:rFonts w:hint="eastAsia" w:ascii="宋体" w:hAnsi="宋体" w:cs="宋体"/>
          <w:b/>
          <w:bCs/>
          <w:color w:val="auto"/>
          <w:sz w:val="28"/>
          <w:szCs w:val="28"/>
          <w:highlight w:val="none"/>
        </w:rPr>
        <w:t>投标供应商情况</w:t>
      </w:r>
    </w:p>
    <w:p w14:paraId="1974D735">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WZLCZB（Z）-2024-10454</w:t>
      </w:r>
    </w:p>
    <w:p w14:paraId="3270D47C">
      <w:pPr>
        <w:keepNext/>
        <w:spacing w:line="360" w:lineRule="auto"/>
        <w:rPr>
          <w:color w:val="auto"/>
          <w:highlight w:val="none"/>
        </w:rPr>
      </w:pPr>
      <w:r>
        <w:rPr>
          <w:rFonts w:hint="eastAsia" w:ascii="宋体" w:hAnsi="宋体" w:cs="宋体"/>
          <w:color w:val="auto"/>
          <w:sz w:val="22"/>
          <w:szCs w:val="22"/>
          <w:highlight w:val="none"/>
        </w:rPr>
        <w:t>项目名称：基层智治综合应用鹿城域</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14:paraId="339D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14:paraId="2D9476C9">
            <w:pPr>
              <w:spacing w:line="360" w:lineRule="auto"/>
              <w:rPr>
                <w:rFonts w:ascii="宋体" w:hAnsi="宋体" w:cs="宋体"/>
                <w:color w:val="auto"/>
                <w:sz w:val="22"/>
                <w:szCs w:val="22"/>
                <w:highlight w:val="none"/>
              </w:rPr>
            </w:pPr>
          </w:p>
        </w:tc>
      </w:tr>
    </w:tbl>
    <w:p w14:paraId="44DEDA6B">
      <w:pPr>
        <w:pStyle w:val="31"/>
        <w:spacing w:line="400" w:lineRule="atLeast"/>
        <w:rPr>
          <w:rFonts w:hAnsi="宋体" w:cs="宋体"/>
          <w:color w:val="auto"/>
          <w:sz w:val="22"/>
          <w:szCs w:val="22"/>
          <w:highlight w:val="none"/>
        </w:rPr>
      </w:pPr>
    </w:p>
    <w:p w14:paraId="346E1C94">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7F4B2E35">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02389C4C">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日  期：</w:t>
      </w:r>
    </w:p>
    <w:p w14:paraId="50D0B898">
      <w:pPr>
        <w:spacing w:line="460" w:lineRule="exact"/>
        <w:ind w:firstLine="5060" w:firstLineChars="2300"/>
        <w:rPr>
          <w:rFonts w:ascii="宋体" w:hAnsi="宋体" w:cs="宋体"/>
          <w:color w:val="auto"/>
          <w:sz w:val="22"/>
          <w:szCs w:val="22"/>
          <w:highlight w:val="none"/>
        </w:rPr>
      </w:pPr>
    </w:p>
    <w:p w14:paraId="724686C5">
      <w:pPr>
        <w:spacing w:line="460" w:lineRule="exact"/>
        <w:rPr>
          <w:rFonts w:ascii="宋体" w:hAnsi="宋体" w:cs="宋体"/>
          <w:color w:val="auto"/>
          <w:sz w:val="22"/>
          <w:szCs w:val="22"/>
          <w:highlight w:val="none"/>
        </w:rPr>
      </w:pPr>
    </w:p>
    <w:p w14:paraId="16AD2576">
      <w:pPr>
        <w:rPr>
          <w:rFonts w:ascii="宋体" w:hAnsi="宋体" w:cs="宋体"/>
          <w:b/>
          <w:color w:val="auto"/>
          <w:sz w:val="24"/>
          <w:highlight w:val="none"/>
        </w:rPr>
      </w:pPr>
      <w:r>
        <w:rPr>
          <w:rFonts w:hint="eastAsia" w:ascii="宋体" w:hAnsi="宋体" w:cs="宋体"/>
          <w:b/>
          <w:color w:val="auto"/>
          <w:sz w:val="24"/>
          <w:highlight w:val="none"/>
        </w:rPr>
        <w:br w:type="page"/>
      </w:r>
    </w:p>
    <w:p w14:paraId="0B82D6F1">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5、总体技术方案</w:t>
      </w:r>
    </w:p>
    <w:p w14:paraId="357CA26F">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WZLCZB（Z）-2024-10454</w:t>
      </w:r>
    </w:p>
    <w:p w14:paraId="09704FB9">
      <w:pPr>
        <w:keepNext/>
        <w:spacing w:line="360" w:lineRule="auto"/>
        <w:rPr>
          <w:rFonts w:ascii="宋体" w:hAnsi="宋体" w:cs="宋体"/>
          <w:b/>
          <w:bCs/>
          <w:color w:val="auto"/>
          <w:sz w:val="22"/>
          <w:szCs w:val="22"/>
          <w:highlight w:val="none"/>
        </w:rPr>
      </w:pPr>
      <w:r>
        <w:rPr>
          <w:rFonts w:hint="eastAsia" w:ascii="宋体" w:hAnsi="宋体" w:cs="宋体"/>
          <w:color w:val="auto"/>
          <w:sz w:val="22"/>
          <w:szCs w:val="22"/>
          <w:highlight w:val="none"/>
        </w:rPr>
        <w:t>项目名称：基层智治综合应用鹿城域</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3E53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34AF260D">
            <w:pPr>
              <w:spacing w:line="360" w:lineRule="auto"/>
              <w:rPr>
                <w:rFonts w:ascii="宋体" w:hAnsi="宋体" w:cs="宋体"/>
                <w:color w:val="auto"/>
                <w:sz w:val="22"/>
                <w:szCs w:val="22"/>
                <w:highlight w:val="none"/>
              </w:rPr>
            </w:pPr>
          </w:p>
        </w:tc>
      </w:tr>
    </w:tbl>
    <w:p w14:paraId="29AAC8FC">
      <w:pPr>
        <w:spacing w:line="400" w:lineRule="exact"/>
        <w:ind w:firstLine="4620" w:firstLineChars="2100"/>
        <w:rPr>
          <w:rFonts w:ascii="宋体" w:hAnsi="宋体" w:cs="宋体"/>
          <w:color w:val="auto"/>
          <w:sz w:val="22"/>
          <w:szCs w:val="22"/>
          <w:highlight w:val="none"/>
        </w:rPr>
      </w:pPr>
    </w:p>
    <w:p w14:paraId="17ED3342">
      <w:pPr>
        <w:spacing w:line="360" w:lineRule="auto"/>
        <w:ind w:firstLine="5280" w:firstLineChars="24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01D417F0">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40A70510">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                                                日    期：</w:t>
      </w:r>
    </w:p>
    <w:p w14:paraId="627A1D77">
      <w:pPr>
        <w:spacing w:line="460" w:lineRule="exact"/>
        <w:ind w:firstLine="5060" w:firstLineChars="2300"/>
        <w:rPr>
          <w:rFonts w:ascii="宋体" w:hAnsi="宋体" w:cs="宋体"/>
          <w:color w:val="auto"/>
          <w:sz w:val="22"/>
          <w:szCs w:val="22"/>
          <w:highlight w:val="none"/>
        </w:rPr>
      </w:pPr>
    </w:p>
    <w:p w14:paraId="01C9493B">
      <w:pPr>
        <w:rPr>
          <w:rFonts w:ascii="宋体" w:hAnsi="宋体" w:cs="宋体"/>
          <w:color w:val="auto"/>
          <w:highlight w:val="none"/>
        </w:rPr>
      </w:pPr>
    </w:p>
    <w:p w14:paraId="220B1E99">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1FA195F9">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6、技术性能</w:t>
      </w:r>
    </w:p>
    <w:p w14:paraId="15033964">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WZLCZB（Z）-2024-10454</w:t>
      </w:r>
    </w:p>
    <w:p w14:paraId="37BD7331">
      <w:pPr>
        <w:keepNext/>
        <w:spacing w:line="360" w:lineRule="auto"/>
        <w:rPr>
          <w:rFonts w:ascii="宋体" w:hAnsi="宋体" w:cs="宋体"/>
          <w:b/>
          <w:bCs/>
          <w:color w:val="auto"/>
          <w:sz w:val="22"/>
          <w:szCs w:val="22"/>
          <w:highlight w:val="none"/>
        </w:rPr>
      </w:pPr>
      <w:r>
        <w:rPr>
          <w:rFonts w:hint="eastAsia" w:ascii="宋体" w:hAnsi="宋体" w:cs="宋体"/>
          <w:color w:val="auto"/>
          <w:sz w:val="22"/>
          <w:szCs w:val="22"/>
          <w:highlight w:val="none"/>
        </w:rPr>
        <w:t>项目名称：基层智治综合应用鹿城域</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5D76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79F8EBAD">
            <w:pPr>
              <w:spacing w:line="360" w:lineRule="auto"/>
              <w:rPr>
                <w:rFonts w:ascii="宋体" w:hAnsi="宋体" w:cs="宋体"/>
                <w:color w:val="auto"/>
                <w:sz w:val="22"/>
                <w:szCs w:val="22"/>
                <w:highlight w:val="none"/>
              </w:rPr>
            </w:pPr>
          </w:p>
        </w:tc>
      </w:tr>
    </w:tbl>
    <w:p w14:paraId="1AA74AA2">
      <w:pPr>
        <w:pStyle w:val="31"/>
        <w:spacing w:line="400" w:lineRule="atLeast"/>
        <w:rPr>
          <w:rFonts w:hAnsi="宋体" w:cs="宋体"/>
          <w:color w:val="auto"/>
          <w:sz w:val="22"/>
          <w:highlight w:val="none"/>
        </w:rPr>
      </w:pPr>
    </w:p>
    <w:p w14:paraId="1EE6E399">
      <w:pPr>
        <w:pStyle w:val="31"/>
        <w:spacing w:line="460" w:lineRule="atLeast"/>
        <w:ind w:left="657" w:leftChars="313" w:firstLine="3960" w:firstLineChars="1800"/>
        <w:rPr>
          <w:rFonts w:hAnsi="宋体" w:cs="宋体"/>
          <w:b w:val="0"/>
          <w:bCs/>
          <w:color w:val="auto"/>
          <w:sz w:val="22"/>
          <w:highlight w:val="none"/>
        </w:rPr>
      </w:pPr>
      <w:r>
        <w:rPr>
          <w:rFonts w:hint="eastAsia" w:hAnsi="宋体" w:cs="宋体"/>
          <w:b w:val="0"/>
          <w:bCs/>
          <w:color w:val="auto"/>
          <w:sz w:val="22"/>
          <w:highlight w:val="none"/>
        </w:rPr>
        <w:t>投标人名称（盖章）：</w:t>
      </w:r>
    </w:p>
    <w:p w14:paraId="1AB627A5">
      <w:pPr>
        <w:pStyle w:val="31"/>
        <w:spacing w:line="460" w:lineRule="atLeast"/>
        <w:ind w:left="660" w:hanging="660" w:hangingChars="300"/>
        <w:rPr>
          <w:rFonts w:hAnsi="宋体" w:cs="宋体"/>
          <w:b w:val="0"/>
          <w:bCs/>
          <w:color w:val="auto"/>
          <w:sz w:val="22"/>
          <w:highlight w:val="none"/>
        </w:rPr>
      </w:pPr>
      <w:r>
        <w:rPr>
          <w:rFonts w:hint="eastAsia" w:hAnsi="宋体" w:cs="宋体"/>
          <w:b w:val="0"/>
          <w:bCs/>
          <w:color w:val="auto"/>
          <w:sz w:val="22"/>
          <w:highlight w:val="none"/>
        </w:rPr>
        <w:t xml:space="preserve">                                          法定代表人或其授权代表（签字或盖章）：   </w:t>
      </w:r>
    </w:p>
    <w:p w14:paraId="591BAE38">
      <w:pPr>
        <w:pStyle w:val="31"/>
        <w:spacing w:line="460" w:lineRule="atLeast"/>
        <w:ind w:left="660" w:hanging="660" w:hangingChars="300"/>
        <w:rPr>
          <w:rFonts w:hAnsi="宋体" w:cs="宋体"/>
          <w:b w:val="0"/>
          <w:bCs/>
          <w:color w:val="auto"/>
          <w:sz w:val="22"/>
          <w:highlight w:val="none"/>
        </w:rPr>
      </w:pPr>
      <w:r>
        <w:rPr>
          <w:rFonts w:hint="eastAsia" w:hAnsi="宋体" w:cs="宋体"/>
          <w:b w:val="0"/>
          <w:bCs/>
          <w:color w:val="auto"/>
          <w:sz w:val="22"/>
          <w:highlight w:val="none"/>
        </w:rPr>
        <w:t xml:space="preserve">                                          日   期： </w:t>
      </w:r>
    </w:p>
    <w:p w14:paraId="15F78CE9">
      <w:pPr>
        <w:rPr>
          <w:rFonts w:ascii="宋体" w:hAnsi="宋体" w:cs="宋体"/>
          <w:b/>
          <w:bCs/>
          <w:color w:val="auto"/>
          <w:sz w:val="22"/>
          <w:szCs w:val="22"/>
          <w:highlight w:val="none"/>
        </w:rPr>
      </w:pPr>
    </w:p>
    <w:p w14:paraId="54E59611">
      <w:pPr>
        <w:pStyle w:val="9"/>
        <w:rPr>
          <w:rFonts w:ascii="宋体" w:hAnsi="宋体" w:cs="宋体"/>
          <w:bCs/>
          <w:color w:val="auto"/>
          <w:sz w:val="22"/>
          <w:szCs w:val="22"/>
          <w:highlight w:val="none"/>
        </w:rPr>
      </w:pPr>
    </w:p>
    <w:p w14:paraId="06BAF8B3">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DE39B6E">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7、项目实施方案</w:t>
      </w:r>
    </w:p>
    <w:p w14:paraId="2FCEB1D7">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WZLCZB（Z）-2024-10454</w:t>
      </w:r>
    </w:p>
    <w:p w14:paraId="278947A5">
      <w:pPr>
        <w:keepNext/>
        <w:spacing w:line="360" w:lineRule="auto"/>
        <w:rPr>
          <w:rFonts w:ascii="宋体" w:hAnsi="宋体" w:cs="宋体"/>
          <w:b/>
          <w:bCs/>
          <w:color w:val="auto"/>
          <w:sz w:val="22"/>
          <w:szCs w:val="22"/>
          <w:highlight w:val="none"/>
        </w:rPr>
      </w:pPr>
      <w:r>
        <w:rPr>
          <w:rFonts w:hint="eastAsia" w:ascii="宋体" w:hAnsi="宋体" w:cs="宋体"/>
          <w:color w:val="auto"/>
          <w:sz w:val="22"/>
          <w:szCs w:val="22"/>
          <w:highlight w:val="none"/>
        </w:rPr>
        <w:t>项目名称：基层智治综合应用鹿城域</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64CC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588E43CE">
            <w:pPr>
              <w:spacing w:line="360" w:lineRule="auto"/>
              <w:rPr>
                <w:rFonts w:ascii="宋体" w:hAnsi="宋体" w:cs="宋体"/>
                <w:color w:val="auto"/>
                <w:sz w:val="22"/>
                <w:szCs w:val="22"/>
                <w:highlight w:val="none"/>
              </w:rPr>
            </w:pPr>
          </w:p>
        </w:tc>
      </w:tr>
    </w:tbl>
    <w:p w14:paraId="05C9B745">
      <w:pPr>
        <w:spacing w:line="380" w:lineRule="exact"/>
        <w:rPr>
          <w:rFonts w:ascii="宋体" w:hAnsi="宋体" w:cs="宋体"/>
          <w:color w:val="auto"/>
          <w:sz w:val="36"/>
          <w:szCs w:val="36"/>
          <w:highlight w:val="none"/>
        </w:rPr>
      </w:pPr>
    </w:p>
    <w:p w14:paraId="26888C83">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5F834B24">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4AE67DD8">
      <w:pPr>
        <w:spacing w:line="460" w:lineRule="exact"/>
        <w:ind w:firstLine="4400" w:firstLineChars="2000"/>
        <w:rPr>
          <w:rFonts w:ascii="宋体" w:hAnsi="宋体" w:cs="宋体"/>
          <w:b/>
          <w:color w:val="auto"/>
          <w:sz w:val="36"/>
          <w:szCs w:val="36"/>
          <w:highlight w:val="none"/>
        </w:rPr>
      </w:pPr>
      <w:r>
        <w:rPr>
          <w:rFonts w:hint="eastAsia" w:ascii="宋体" w:hAnsi="宋体" w:cs="宋体"/>
          <w:color w:val="auto"/>
          <w:sz w:val="22"/>
          <w:szCs w:val="22"/>
          <w:highlight w:val="none"/>
        </w:rPr>
        <w:t xml:space="preserve">日  期：   </w:t>
      </w:r>
    </w:p>
    <w:p w14:paraId="0776922D">
      <w:pPr>
        <w:spacing w:line="380" w:lineRule="exact"/>
        <w:rPr>
          <w:rFonts w:ascii="宋体" w:hAnsi="宋体" w:cs="宋体"/>
          <w:b/>
          <w:color w:val="auto"/>
          <w:sz w:val="36"/>
          <w:szCs w:val="36"/>
          <w:highlight w:val="none"/>
        </w:rPr>
      </w:pPr>
    </w:p>
    <w:p w14:paraId="6AD27F7E">
      <w:pPr>
        <w:spacing w:line="380" w:lineRule="exact"/>
        <w:rPr>
          <w:rFonts w:ascii="宋体" w:hAnsi="宋体" w:cs="宋体"/>
          <w:b/>
          <w:color w:val="auto"/>
          <w:sz w:val="36"/>
          <w:szCs w:val="36"/>
          <w:highlight w:val="none"/>
        </w:rPr>
      </w:pPr>
    </w:p>
    <w:p w14:paraId="2871F8FD">
      <w:pPr>
        <w:spacing w:line="380" w:lineRule="exact"/>
        <w:rPr>
          <w:rFonts w:ascii="宋体" w:hAnsi="宋体" w:cs="宋体"/>
          <w:b/>
          <w:color w:val="auto"/>
          <w:sz w:val="36"/>
          <w:szCs w:val="36"/>
          <w:highlight w:val="none"/>
        </w:rPr>
      </w:pPr>
    </w:p>
    <w:p w14:paraId="3769D143">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8、关键技术能力</w:t>
      </w:r>
    </w:p>
    <w:p w14:paraId="718DB886">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WZLCZB（Z）-2024-10454</w:t>
      </w:r>
    </w:p>
    <w:p w14:paraId="64ECEDEE">
      <w:pPr>
        <w:keepNext/>
        <w:spacing w:line="360" w:lineRule="auto"/>
        <w:rPr>
          <w:rFonts w:ascii="宋体" w:hAnsi="宋体" w:cs="宋体"/>
          <w:b/>
          <w:bCs/>
          <w:color w:val="auto"/>
          <w:sz w:val="22"/>
          <w:szCs w:val="22"/>
          <w:highlight w:val="none"/>
        </w:rPr>
      </w:pPr>
      <w:r>
        <w:rPr>
          <w:rFonts w:hint="eastAsia" w:ascii="宋体" w:hAnsi="宋体" w:cs="宋体"/>
          <w:color w:val="auto"/>
          <w:sz w:val="22"/>
          <w:szCs w:val="22"/>
          <w:highlight w:val="none"/>
        </w:rPr>
        <w:t>项目名称：基层智治综合应用鹿城域</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2D38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7070AA09">
            <w:pPr>
              <w:spacing w:line="360" w:lineRule="auto"/>
              <w:rPr>
                <w:rFonts w:ascii="宋体" w:hAnsi="宋体" w:cs="宋体"/>
                <w:color w:val="auto"/>
                <w:sz w:val="22"/>
                <w:szCs w:val="22"/>
                <w:highlight w:val="none"/>
              </w:rPr>
            </w:pPr>
          </w:p>
        </w:tc>
      </w:tr>
    </w:tbl>
    <w:p w14:paraId="5A9738BE">
      <w:pPr>
        <w:spacing w:line="380" w:lineRule="exact"/>
        <w:rPr>
          <w:rFonts w:ascii="宋体" w:hAnsi="宋体" w:cs="宋体"/>
          <w:color w:val="auto"/>
          <w:sz w:val="36"/>
          <w:szCs w:val="36"/>
          <w:highlight w:val="none"/>
        </w:rPr>
      </w:pPr>
    </w:p>
    <w:p w14:paraId="7668B892">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2A7DBA4B">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34608F76">
      <w:pPr>
        <w:spacing w:line="460" w:lineRule="exact"/>
        <w:ind w:firstLine="4400" w:firstLineChars="2000"/>
        <w:rPr>
          <w:rFonts w:ascii="宋体" w:hAnsi="宋体" w:cs="宋体"/>
          <w:color w:val="auto"/>
          <w:highlight w:val="none"/>
        </w:rPr>
      </w:pPr>
      <w:r>
        <w:rPr>
          <w:rFonts w:hint="eastAsia" w:ascii="宋体" w:hAnsi="宋体" w:cs="宋体"/>
          <w:color w:val="auto"/>
          <w:sz w:val="22"/>
          <w:szCs w:val="22"/>
          <w:highlight w:val="none"/>
        </w:rPr>
        <w:t>日  期：</w:t>
      </w:r>
    </w:p>
    <w:p w14:paraId="776C6EE4">
      <w:pPr>
        <w:rPr>
          <w:rFonts w:ascii="宋体" w:hAnsi="宋体" w:cs="宋体"/>
          <w:b/>
          <w:color w:val="auto"/>
          <w:sz w:val="24"/>
          <w:highlight w:val="none"/>
        </w:rPr>
      </w:pPr>
      <w:r>
        <w:rPr>
          <w:rFonts w:hint="eastAsia" w:ascii="宋体" w:hAnsi="宋体" w:cs="宋体"/>
          <w:b/>
          <w:color w:val="auto"/>
          <w:sz w:val="24"/>
          <w:highlight w:val="none"/>
        </w:rPr>
        <w:br w:type="page"/>
      </w:r>
    </w:p>
    <w:p w14:paraId="15E7168B">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9、培训计划</w:t>
      </w:r>
    </w:p>
    <w:p w14:paraId="5D5893C2">
      <w:pPr>
        <w:spacing w:line="360" w:lineRule="auto"/>
        <w:rPr>
          <w:rFonts w:hint="eastAsia" w:ascii="宋体" w:hAnsi="宋体" w:eastAsia="宋体" w:cs="宋体"/>
          <w:color w:val="auto"/>
          <w:sz w:val="22"/>
          <w:szCs w:val="22"/>
          <w:highlight w:val="none"/>
          <w:lang w:eastAsia="zh-CN"/>
        </w:rPr>
      </w:pPr>
      <w:r>
        <w:rPr>
          <w:rFonts w:hint="eastAsia" w:ascii="宋体" w:hAnsi="宋体" w:cs="宋体"/>
          <w:b/>
          <w:color w:val="auto"/>
          <w:sz w:val="22"/>
          <w:szCs w:val="22"/>
          <w:highlight w:val="none"/>
        </w:rPr>
        <w:t xml:space="preserve">  </w:t>
      </w: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WZLCZB（Z）-2024-10454</w:t>
      </w:r>
    </w:p>
    <w:p w14:paraId="2A295B56">
      <w:pPr>
        <w:keepNext/>
        <w:spacing w:line="360" w:lineRule="auto"/>
        <w:rPr>
          <w:rFonts w:ascii="宋体" w:hAnsi="宋体" w:cs="宋体"/>
          <w:b/>
          <w:bCs/>
          <w:color w:val="auto"/>
          <w:sz w:val="22"/>
          <w:szCs w:val="22"/>
          <w:highlight w:val="none"/>
        </w:rPr>
      </w:pPr>
      <w:r>
        <w:rPr>
          <w:rFonts w:hint="eastAsia" w:ascii="宋体" w:hAnsi="宋体" w:cs="宋体"/>
          <w:color w:val="auto"/>
          <w:sz w:val="22"/>
          <w:szCs w:val="22"/>
          <w:highlight w:val="none"/>
        </w:rPr>
        <w:t>项目名称：基层智治综合应用鹿城域</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48A7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FA1AE43">
            <w:pPr>
              <w:spacing w:line="360" w:lineRule="auto"/>
              <w:rPr>
                <w:rFonts w:ascii="宋体" w:hAnsi="宋体" w:cs="宋体"/>
                <w:color w:val="auto"/>
                <w:sz w:val="22"/>
                <w:szCs w:val="22"/>
                <w:highlight w:val="none"/>
              </w:rPr>
            </w:pPr>
          </w:p>
        </w:tc>
      </w:tr>
    </w:tbl>
    <w:p w14:paraId="4ABBA9E1">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1C70EF50">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 xml:space="preserve">                                        </w:t>
      </w:r>
      <w:r>
        <w:rPr>
          <w:rFonts w:hint="eastAsia" w:ascii="宋体" w:hAnsi="宋体" w:cs="宋体"/>
          <w:color w:val="auto"/>
          <w:sz w:val="22"/>
          <w:szCs w:val="22"/>
          <w:highlight w:val="none"/>
        </w:rPr>
        <w:t>投标人全称（盖章）：</w:t>
      </w:r>
    </w:p>
    <w:p w14:paraId="339989FC">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244F4BAF">
      <w:pPr>
        <w:pStyle w:val="31"/>
        <w:spacing w:line="460" w:lineRule="atLeast"/>
        <w:ind w:left="659" w:leftChars="314" w:firstLine="3740" w:firstLineChars="1700"/>
        <w:rPr>
          <w:rFonts w:hAnsi="宋体" w:cs="宋体"/>
          <w:b w:val="0"/>
          <w:bCs/>
          <w:color w:val="auto"/>
          <w:sz w:val="22"/>
          <w:highlight w:val="none"/>
        </w:rPr>
      </w:pPr>
      <w:r>
        <w:rPr>
          <w:rFonts w:hint="eastAsia" w:hAnsi="宋体" w:cs="宋体"/>
          <w:b w:val="0"/>
          <w:color w:val="auto"/>
          <w:kern w:val="2"/>
          <w:sz w:val="22"/>
          <w:szCs w:val="22"/>
          <w:highlight w:val="none"/>
        </w:rPr>
        <w:t>日  期：</w:t>
      </w:r>
      <w:r>
        <w:rPr>
          <w:rFonts w:hint="eastAsia" w:hAnsi="宋体" w:cs="宋体"/>
          <w:b w:val="0"/>
          <w:bCs/>
          <w:color w:val="auto"/>
          <w:sz w:val="22"/>
          <w:highlight w:val="none"/>
        </w:rPr>
        <w:t xml:space="preserve"> </w:t>
      </w:r>
    </w:p>
    <w:p w14:paraId="111748D3">
      <w:pPr>
        <w:pStyle w:val="31"/>
        <w:spacing w:line="400" w:lineRule="atLeast"/>
        <w:ind w:left="663" w:hanging="663" w:hangingChars="300"/>
        <w:rPr>
          <w:rFonts w:hAnsi="宋体" w:cs="宋体"/>
          <w:color w:val="auto"/>
          <w:sz w:val="22"/>
          <w:highlight w:val="none"/>
        </w:rPr>
      </w:pPr>
    </w:p>
    <w:p w14:paraId="45518EBC">
      <w:pPr>
        <w:pStyle w:val="31"/>
        <w:spacing w:line="400" w:lineRule="atLeast"/>
        <w:ind w:left="663" w:hanging="663" w:hangingChars="300"/>
        <w:rPr>
          <w:rFonts w:hAnsi="宋体" w:cs="宋体"/>
          <w:color w:val="auto"/>
          <w:sz w:val="22"/>
          <w:highlight w:val="none"/>
        </w:rPr>
      </w:pPr>
    </w:p>
    <w:p w14:paraId="64DD9218">
      <w:pPr>
        <w:pStyle w:val="31"/>
        <w:spacing w:line="400" w:lineRule="atLeast"/>
        <w:rPr>
          <w:rFonts w:hAnsi="宋体" w:cs="宋体"/>
          <w:color w:val="auto"/>
          <w:sz w:val="22"/>
          <w:highlight w:val="none"/>
        </w:rPr>
      </w:pPr>
    </w:p>
    <w:p w14:paraId="233A8DB8">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10、服务团队评价</w:t>
      </w:r>
    </w:p>
    <w:p w14:paraId="185B8E02">
      <w:pPr>
        <w:spacing w:line="460" w:lineRule="exact"/>
        <w:jc w:val="center"/>
        <w:outlineLvl w:val="4"/>
        <w:rPr>
          <w:rFonts w:ascii="宋体" w:hAnsi="宋体" w:cs="宋体"/>
          <w:b/>
          <w:bCs/>
          <w:color w:val="auto"/>
          <w:sz w:val="24"/>
          <w:highlight w:val="none"/>
        </w:rPr>
      </w:pPr>
      <w:r>
        <w:rPr>
          <w:rFonts w:hint="eastAsia" w:ascii="宋体" w:hAnsi="宋体" w:cs="宋体"/>
          <w:b/>
          <w:bCs/>
          <w:color w:val="auto"/>
          <w:sz w:val="24"/>
          <w:highlight w:val="none"/>
        </w:rPr>
        <w:t>（1）项目负责人情况表</w:t>
      </w:r>
    </w:p>
    <w:p w14:paraId="0B63A51E">
      <w:pPr>
        <w:spacing w:line="360" w:lineRule="auto"/>
        <w:jc w:val="lef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项 目 编 号：</w:t>
      </w:r>
      <w:r>
        <w:rPr>
          <w:rFonts w:hint="eastAsia" w:ascii="宋体" w:hAnsi="宋体" w:cs="宋体"/>
          <w:bCs/>
          <w:color w:val="auto"/>
          <w:sz w:val="22"/>
          <w:szCs w:val="22"/>
          <w:highlight w:val="none"/>
          <w:lang w:eastAsia="zh-CN"/>
        </w:rPr>
        <w:t>WZLCZB（Z）-2024-10454</w:t>
      </w:r>
    </w:p>
    <w:p w14:paraId="08C220D5">
      <w:pPr>
        <w:spacing w:line="360" w:lineRule="auto"/>
        <w:rPr>
          <w:rFonts w:ascii="宋体" w:hAnsi="宋体" w:cs="宋体"/>
          <w:b/>
          <w:bCs/>
          <w:color w:val="auto"/>
          <w:sz w:val="32"/>
          <w:highlight w:val="none"/>
        </w:rPr>
      </w:pPr>
      <w:r>
        <w:rPr>
          <w:rFonts w:hint="eastAsia" w:ascii="宋体" w:hAnsi="宋体" w:cs="宋体"/>
          <w:bCs/>
          <w:color w:val="auto"/>
          <w:sz w:val="22"/>
          <w:szCs w:val="22"/>
          <w:highlight w:val="none"/>
        </w:rPr>
        <w:t xml:space="preserve">项 目 名 称：基层智治综合应用鹿城域 </w:t>
      </w:r>
      <w:r>
        <w:rPr>
          <w:rFonts w:hint="eastAsia" w:ascii="宋体" w:hAnsi="宋体" w:cs="宋体"/>
          <w:color w:val="auto"/>
          <w:highlight w:val="none"/>
        </w:rPr>
        <w:t xml:space="preserve">    </w:t>
      </w:r>
    </w:p>
    <w:tbl>
      <w:tblPr>
        <w:tblStyle w:val="52"/>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833"/>
        <w:gridCol w:w="5880"/>
      </w:tblGrid>
      <w:tr w14:paraId="1DB2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027" w:type="dxa"/>
            <w:vAlign w:val="center"/>
          </w:tcPr>
          <w:p w14:paraId="1A722FF2">
            <w:pPr>
              <w:pStyle w:val="201"/>
              <w:autoSpaceDE w:val="0"/>
              <w:autoSpaceDN w:val="0"/>
              <w:adjustRightInd w:val="0"/>
              <w:spacing w:line="240" w:lineRule="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姓名</w:t>
            </w:r>
          </w:p>
        </w:tc>
        <w:tc>
          <w:tcPr>
            <w:tcW w:w="1833" w:type="dxa"/>
            <w:vAlign w:val="center"/>
          </w:tcPr>
          <w:p w14:paraId="29A622F8">
            <w:pPr>
              <w:autoSpaceDE w:val="0"/>
              <w:autoSpaceDN w:val="0"/>
              <w:adjustRightInd w:val="0"/>
              <w:spacing w:line="360" w:lineRule="auto"/>
              <w:jc w:val="center"/>
              <w:rPr>
                <w:rFonts w:ascii="宋体" w:hAnsi="宋体" w:cs="宋体"/>
                <w:color w:val="auto"/>
                <w:sz w:val="22"/>
                <w:szCs w:val="22"/>
                <w:highlight w:val="none"/>
                <w:lang w:val="zh-CN"/>
              </w:rPr>
            </w:pPr>
          </w:p>
        </w:tc>
        <w:tc>
          <w:tcPr>
            <w:tcW w:w="5880" w:type="dxa"/>
            <w:vAlign w:val="center"/>
          </w:tcPr>
          <w:p w14:paraId="65984594">
            <w:pPr>
              <w:pStyle w:val="201"/>
              <w:autoSpaceDE w:val="0"/>
              <w:autoSpaceDN w:val="0"/>
              <w:adjustRightInd w:val="0"/>
              <w:spacing w:line="360" w:lineRule="auto"/>
              <w:rPr>
                <w:rFonts w:ascii="宋体" w:hAnsi="宋体" w:cs="宋体"/>
                <w:color w:val="auto"/>
                <w:sz w:val="22"/>
                <w:szCs w:val="22"/>
                <w:highlight w:val="none"/>
                <w:lang w:val="zh-CN"/>
              </w:rPr>
            </w:pPr>
            <w:r>
              <w:rPr>
                <w:rFonts w:hint="eastAsia" w:ascii="宋体" w:hAnsi="宋体" w:cs="宋体"/>
                <w:color w:val="auto"/>
                <w:kern w:val="0"/>
                <w:sz w:val="22"/>
                <w:szCs w:val="22"/>
                <w:highlight w:val="none"/>
              </w:rPr>
              <w:t>自</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日以来负责的相关项目经验</w:t>
            </w:r>
          </w:p>
        </w:tc>
      </w:tr>
      <w:tr w14:paraId="6E05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2027" w:type="dxa"/>
            <w:vAlign w:val="center"/>
          </w:tcPr>
          <w:p w14:paraId="58BC520F">
            <w:pPr>
              <w:pStyle w:val="201"/>
              <w:autoSpaceDE w:val="0"/>
              <w:autoSpaceDN w:val="0"/>
              <w:adjustRightInd w:val="0"/>
              <w:spacing w:line="240" w:lineRule="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1寸免冠照片</w:t>
            </w:r>
          </w:p>
        </w:tc>
        <w:tc>
          <w:tcPr>
            <w:tcW w:w="1833" w:type="dxa"/>
            <w:vAlign w:val="center"/>
          </w:tcPr>
          <w:p w14:paraId="4BA4F75E">
            <w:pPr>
              <w:autoSpaceDE w:val="0"/>
              <w:autoSpaceDN w:val="0"/>
              <w:adjustRightInd w:val="0"/>
              <w:spacing w:line="360" w:lineRule="auto"/>
              <w:jc w:val="center"/>
              <w:rPr>
                <w:rFonts w:ascii="宋体" w:hAnsi="宋体" w:cs="宋体"/>
                <w:color w:val="auto"/>
                <w:sz w:val="22"/>
                <w:szCs w:val="22"/>
                <w:highlight w:val="none"/>
                <w:lang w:val="zh-CN"/>
              </w:rPr>
            </w:pPr>
          </w:p>
        </w:tc>
        <w:tc>
          <w:tcPr>
            <w:tcW w:w="5880" w:type="dxa"/>
            <w:vMerge w:val="restart"/>
            <w:vAlign w:val="center"/>
          </w:tcPr>
          <w:p w14:paraId="12B2BCE6">
            <w:pPr>
              <w:pStyle w:val="268"/>
              <w:widowControl w:val="0"/>
              <w:autoSpaceDE w:val="0"/>
              <w:autoSpaceDN w:val="0"/>
              <w:adjustRightInd w:val="0"/>
              <w:spacing w:before="0" w:beforeAutospacing="0" w:after="0" w:afterAutospacing="0" w:line="360" w:lineRule="auto"/>
              <w:textAlignment w:val="auto"/>
              <w:rPr>
                <w:rFonts w:ascii="宋体" w:hAnsi="宋体" w:cs="宋体"/>
                <w:color w:val="auto"/>
                <w:sz w:val="22"/>
                <w:szCs w:val="22"/>
                <w:highlight w:val="none"/>
              </w:rPr>
            </w:pPr>
            <w:r>
              <w:rPr>
                <w:rFonts w:hint="eastAsia" w:ascii="宋体" w:hAnsi="宋体" w:cs="宋体"/>
                <w:color w:val="auto"/>
                <w:kern w:val="2"/>
                <w:sz w:val="22"/>
                <w:szCs w:val="22"/>
                <w:highlight w:val="none"/>
              </w:rPr>
              <w:t>注：相关项目经验应提供旁证材料</w:t>
            </w:r>
          </w:p>
        </w:tc>
      </w:tr>
      <w:tr w14:paraId="6EC4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27" w:type="dxa"/>
            <w:vAlign w:val="center"/>
          </w:tcPr>
          <w:p w14:paraId="63D97263">
            <w:pPr>
              <w:autoSpaceDE w:val="0"/>
              <w:autoSpaceDN w:val="0"/>
              <w:adjustRightInd w:val="0"/>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性别</w:t>
            </w:r>
          </w:p>
        </w:tc>
        <w:tc>
          <w:tcPr>
            <w:tcW w:w="1833" w:type="dxa"/>
            <w:vAlign w:val="center"/>
          </w:tcPr>
          <w:p w14:paraId="28061B01">
            <w:pPr>
              <w:autoSpaceDE w:val="0"/>
              <w:autoSpaceDN w:val="0"/>
              <w:adjustRightInd w:val="0"/>
              <w:spacing w:line="360" w:lineRule="auto"/>
              <w:jc w:val="center"/>
              <w:rPr>
                <w:rFonts w:ascii="宋体" w:hAnsi="宋体" w:cs="宋体"/>
                <w:color w:val="auto"/>
                <w:sz w:val="22"/>
                <w:szCs w:val="22"/>
                <w:highlight w:val="none"/>
                <w:lang w:val="zh-CN"/>
              </w:rPr>
            </w:pPr>
          </w:p>
        </w:tc>
        <w:tc>
          <w:tcPr>
            <w:tcW w:w="5880" w:type="dxa"/>
            <w:vMerge w:val="continue"/>
            <w:vAlign w:val="center"/>
          </w:tcPr>
          <w:p w14:paraId="0D46C371">
            <w:pPr>
              <w:autoSpaceDE w:val="0"/>
              <w:autoSpaceDN w:val="0"/>
              <w:adjustRightInd w:val="0"/>
              <w:spacing w:line="360" w:lineRule="auto"/>
              <w:jc w:val="center"/>
              <w:rPr>
                <w:rFonts w:ascii="宋体" w:hAnsi="宋体" w:cs="宋体"/>
                <w:color w:val="auto"/>
                <w:sz w:val="22"/>
                <w:szCs w:val="22"/>
                <w:highlight w:val="none"/>
                <w:lang w:val="zh-CN"/>
              </w:rPr>
            </w:pPr>
          </w:p>
        </w:tc>
      </w:tr>
      <w:tr w14:paraId="4AB4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27" w:type="dxa"/>
            <w:vAlign w:val="center"/>
          </w:tcPr>
          <w:p w14:paraId="0403AFDF">
            <w:pPr>
              <w:autoSpaceDE w:val="0"/>
              <w:autoSpaceDN w:val="0"/>
              <w:adjustRightInd w:val="0"/>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年龄</w:t>
            </w:r>
          </w:p>
        </w:tc>
        <w:tc>
          <w:tcPr>
            <w:tcW w:w="1833" w:type="dxa"/>
            <w:vAlign w:val="center"/>
          </w:tcPr>
          <w:p w14:paraId="1C7EB7C9">
            <w:pPr>
              <w:autoSpaceDE w:val="0"/>
              <w:autoSpaceDN w:val="0"/>
              <w:adjustRightInd w:val="0"/>
              <w:spacing w:line="360" w:lineRule="auto"/>
              <w:jc w:val="center"/>
              <w:rPr>
                <w:rFonts w:ascii="宋体" w:hAnsi="宋体" w:cs="宋体"/>
                <w:color w:val="auto"/>
                <w:sz w:val="22"/>
                <w:szCs w:val="22"/>
                <w:highlight w:val="none"/>
                <w:lang w:val="zh-CN"/>
              </w:rPr>
            </w:pPr>
          </w:p>
        </w:tc>
        <w:tc>
          <w:tcPr>
            <w:tcW w:w="5880" w:type="dxa"/>
            <w:vMerge w:val="continue"/>
            <w:vAlign w:val="center"/>
          </w:tcPr>
          <w:p w14:paraId="445D4F38">
            <w:pPr>
              <w:autoSpaceDE w:val="0"/>
              <w:autoSpaceDN w:val="0"/>
              <w:adjustRightInd w:val="0"/>
              <w:spacing w:line="360" w:lineRule="auto"/>
              <w:jc w:val="center"/>
              <w:rPr>
                <w:rFonts w:ascii="宋体" w:hAnsi="宋体" w:cs="宋体"/>
                <w:color w:val="auto"/>
                <w:sz w:val="22"/>
                <w:szCs w:val="22"/>
                <w:highlight w:val="none"/>
                <w:lang w:val="zh-CN"/>
              </w:rPr>
            </w:pPr>
          </w:p>
        </w:tc>
      </w:tr>
      <w:tr w14:paraId="1927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27" w:type="dxa"/>
            <w:vAlign w:val="center"/>
          </w:tcPr>
          <w:p w14:paraId="1A61AC14">
            <w:pPr>
              <w:autoSpaceDE w:val="0"/>
              <w:autoSpaceDN w:val="0"/>
              <w:adjustRightInd w:val="0"/>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职称</w:t>
            </w:r>
          </w:p>
        </w:tc>
        <w:tc>
          <w:tcPr>
            <w:tcW w:w="1833" w:type="dxa"/>
            <w:vAlign w:val="center"/>
          </w:tcPr>
          <w:p w14:paraId="30132BBF">
            <w:pPr>
              <w:autoSpaceDE w:val="0"/>
              <w:autoSpaceDN w:val="0"/>
              <w:adjustRightInd w:val="0"/>
              <w:spacing w:line="360" w:lineRule="auto"/>
              <w:jc w:val="center"/>
              <w:rPr>
                <w:rFonts w:ascii="宋体" w:hAnsi="宋体" w:cs="宋体"/>
                <w:color w:val="auto"/>
                <w:sz w:val="22"/>
                <w:szCs w:val="22"/>
                <w:highlight w:val="none"/>
                <w:lang w:val="zh-CN"/>
              </w:rPr>
            </w:pPr>
          </w:p>
        </w:tc>
        <w:tc>
          <w:tcPr>
            <w:tcW w:w="5880" w:type="dxa"/>
            <w:vMerge w:val="continue"/>
            <w:vAlign w:val="center"/>
          </w:tcPr>
          <w:p w14:paraId="6A8205DE">
            <w:pPr>
              <w:autoSpaceDE w:val="0"/>
              <w:autoSpaceDN w:val="0"/>
              <w:adjustRightInd w:val="0"/>
              <w:spacing w:line="360" w:lineRule="auto"/>
              <w:jc w:val="center"/>
              <w:rPr>
                <w:rFonts w:ascii="宋体" w:hAnsi="宋体" w:cs="宋体"/>
                <w:color w:val="auto"/>
                <w:sz w:val="22"/>
                <w:szCs w:val="22"/>
                <w:highlight w:val="none"/>
                <w:lang w:val="zh-CN"/>
              </w:rPr>
            </w:pPr>
          </w:p>
        </w:tc>
      </w:tr>
      <w:tr w14:paraId="6924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2027" w:type="dxa"/>
            <w:vAlign w:val="center"/>
          </w:tcPr>
          <w:p w14:paraId="2DBF0D34">
            <w:pPr>
              <w:autoSpaceDE w:val="0"/>
              <w:autoSpaceDN w:val="0"/>
              <w:adjustRightInd w:val="0"/>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毕业院校系及专业</w:t>
            </w:r>
          </w:p>
        </w:tc>
        <w:tc>
          <w:tcPr>
            <w:tcW w:w="1833" w:type="dxa"/>
            <w:vAlign w:val="center"/>
          </w:tcPr>
          <w:p w14:paraId="156A430F">
            <w:pPr>
              <w:autoSpaceDE w:val="0"/>
              <w:autoSpaceDN w:val="0"/>
              <w:adjustRightInd w:val="0"/>
              <w:spacing w:line="360" w:lineRule="auto"/>
              <w:jc w:val="center"/>
              <w:rPr>
                <w:rFonts w:ascii="宋体" w:hAnsi="宋体" w:cs="宋体"/>
                <w:color w:val="auto"/>
                <w:sz w:val="22"/>
                <w:szCs w:val="22"/>
                <w:highlight w:val="none"/>
                <w:lang w:val="zh-CN"/>
              </w:rPr>
            </w:pPr>
          </w:p>
        </w:tc>
        <w:tc>
          <w:tcPr>
            <w:tcW w:w="5880" w:type="dxa"/>
            <w:vMerge w:val="continue"/>
            <w:vAlign w:val="center"/>
          </w:tcPr>
          <w:p w14:paraId="289B4EA6">
            <w:pPr>
              <w:autoSpaceDE w:val="0"/>
              <w:autoSpaceDN w:val="0"/>
              <w:adjustRightInd w:val="0"/>
              <w:spacing w:line="360" w:lineRule="auto"/>
              <w:jc w:val="center"/>
              <w:rPr>
                <w:rFonts w:ascii="宋体" w:hAnsi="宋体" w:cs="宋体"/>
                <w:color w:val="auto"/>
                <w:sz w:val="22"/>
                <w:szCs w:val="22"/>
                <w:highlight w:val="none"/>
                <w:lang w:val="zh-CN"/>
              </w:rPr>
            </w:pPr>
          </w:p>
        </w:tc>
      </w:tr>
      <w:tr w14:paraId="3CA9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2027" w:type="dxa"/>
            <w:vAlign w:val="center"/>
          </w:tcPr>
          <w:p w14:paraId="497CA011">
            <w:pPr>
              <w:autoSpaceDE w:val="0"/>
              <w:autoSpaceDN w:val="0"/>
              <w:adjustRightInd w:val="0"/>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毕业时间</w:t>
            </w:r>
          </w:p>
        </w:tc>
        <w:tc>
          <w:tcPr>
            <w:tcW w:w="1833" w:type="dxa"/>
            <w:vAlign w:val="center"/>
          </w:tcPr>
          <w:p w14:paraId="4D159201">
            <w:pPr>
              <w:autoSpaceDE w:val="0"/>
              <w:autoSpaceDN w:val="0"/>
              <w:adjustRightInd w:val="0"/>
              <w:spacing w:line="360" w:lineRule="auto"/>
              <w:jc w:val="center"/>
              <w:rPr>
                <w:rFonts w:ascii="宋体" w:hAnsi="宋体" w:cs="宋体"/>
                <w:color w:val="auto"/>
                <w:sz w:val="22"/>
                <w:szCs w:val="22"/>
                <w:highlight w:val="none"/>
                <w:lang w:val="zh-CN"/>
              </w:rPr>
            </w:pPr>
          </w:p>
        </w:tc>
        <w:tc>
          <w:tcPr>
            <w:tcW w:w="5880" w:type="dxa"/>
            <w:vMerge w:val="continue"/>
            <w:vAlign w:val="center"/>
          </w:tcPr>
          <w:p w14:paraId="4F8F046F">
            <w:pPr>
              <w:autoSpaceDE w:val="0"/>
              <w:autoSpaceDN w:val="0"/>
              <w:adjustRightInd w:val="0"/>
              <w:spacing w:line="360" w:lineRule="auto"/>
              <w:jc w:val="center"/>
              <w:rPr>
                <w:rFonts w:ascii="宋体" w:hAnsi="宋体" w:cs="宋体"/>
                <w:color w:val="auto"/>
                <w:sz w:val="22"/>
                <w:szCs w:val="22"/>
                <w:highlight w:val="none"/>
                <w:lang w:val="zh-CN"/>
              </w:rPr>
            </w:pPr>
          </w:p>
        </w:tc>
      </w:tr>
      <w:tr w14:paraId="6CDC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2027" w:type="dxa"/>
            <w:vAlign w:val="center"/>
          </w:tcPr>
          <w:p w14:paraId="5D4A1A1F">
            <w:pPr>
              <w:autoSpaceDE w:val="0"/>
              <w:autoSpaceDN w:val="0"/>
              <w:adjustRightInd w:val="0"/>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最高学历</w:t>
            </w:r>
          </w:p>
        </w:tc>
        <w:tc>
          <w:tcPr>
            <w:tcW w:w="1833" w:type="dxa"/>
            <w:vAlign w:val="center"/>
          </w:tcPr>
          <w:p w14:paraId="7ED8EF00">
            <w:pPr>
              <w:autoSpaceDE w:val="0"/>
              <w:autoSpaceDN w:val="0"/>
              <w:adjustRightInd w:val="0"/>
              <w:spacing w:line="360" w:lineRule="auto"/>
              <w:jc w:val="center"/>
              <w:rPr>
                <w:rFonts w:ascii="宋体" w:hAnsi="宋体" w:cs="宋体"/>
                <w:color w:val="auto"/>
                <w:sz w:val="22"/>
                <w:szCs w:val="22"/>
                <w:highlight w:val="none"/>
                <w:lang w:val="zh-CN"/>
              </w:rPr>
            </w:pPr>
          </w:p>
        </w:tc>
        <w:tc>
          <w:tcPr>
            <w:tcW w:w="5880" w:type="dxa"/>
            <w:vMerge w:val="continue"/>
            <w:vAlign w:val="center"/>
          </w:tcPr>
          <w:p w14:paraId="6355C7BD">
            <w:pPr>
              <w:autoSpaceDE w:val="0"/>
              <w:autoSpaceDN w:val="0"/>
              <w:adjustRightInd w:val="0"/>
              <w:spacing w:line="360" w:lineRule="auto"/>
              <w:jc w:val="center"/>
              <w:rPr>
                <w:rFonts w:ascii="宋体" w:hAnsi="宋体" w:cs="宋体"/>
                <w:color w:val="auto"/>
                <w:sz w:val="22"/>
                <w:szCs w:val="22"/>
                <w:highlight w:val="none"/>
                <w:lang w:val="zh-CN"/>
              </w:rPr>
            </w:pPr>
          </w:p>
        </w:tc>
      </w:tr>
      <w:tr w14:paraId="40F3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027" w:type="dxa"/>
            <w:vAlign w:val="center"/>
          </w:tcPr>
          <w:p w14:paraId="60E13B2C">
            <w:pPr>
              <w:autoSpaceDE w:val="0"/>
              <w:autoSpaceDN w:val="0"/>
              <w:adjustRightInd w:val="0"/>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联系电话</w:t>
            </w:r>
          </w:p>
        </w:tc>
        <w:tc>
          <w:tcPr>
            <w:tcW w:w="1833" w:type="dxa"/>
            <w:vAlign w:val="center"/>
          </w:tcPr>
          <w:p w14:paraId="3BA7E086">
            <w:pPr>
              <w:autoSpaceDE w:val="0"/>
              <w:autoSpaceDN w:val="0"/>
              <w:adjustRightInd w:val="0"/>
              <w:spacing w:line="360" w:lineRule="auto"/>
              <w:jc w:val="center"/>
              <w:rPr>
                <w:rFonts w:ascii="宋体" w:hAnsi="宋体" w:cs="宋体"/>
                <w:color w:val="auto"/>
                <w:sz w:val="22"/>
                <w:szCs w:val="22"/>
                <w:highlight w:val="none"/>
                <w:lang w:val="zh-CN"/>
              </w:rPr>
            </w:pPr>
          </w:p>
        </w:tc>
        <w:tc>
          <w:tcPr>
            <w:tcW w:w="5880" w:type="dxa"/>
            <w:vMerge w:val="continue"/>
            <w:vAlign w:val="center"/>
          </w:tcPr>
          <w:p w14:paraId="325D50D8">
            <w:pPr>
              <w:autoSpaceDE w:val="0"/>
              <w:autoSpaceDN w:val="0"/>
              <w:adjustRightInd w:val="0"/>
              <w:spacing w:line="360" w:lineRule="auto"/>
              <w:jc w:val="center"/>
              <w:rPr>
                <w:rFonts w:ascii="宋体" w:hAnsi="宋体" w:cs="宋体"/>
                <w:color w:val="auto"/>
                <w:sz w:val="22"/>
                <w:szCs w:val="22"/>
                <w:highlight w:val="none"/>
                <w:lang w:val="zh-CN"/>
              </w:rPr>
            </w:pPr>
          </w:p>
        </w:tc>
      </w:tr>
      <w:tr w14:paraId="6B2F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2027" w:type="dxa"/>
            <w:vAlign w:val="center"/>
          </w:tcPr>
          <w:p w14:paraId="4CD136E9">
            <w:pPr>
              <w:autoSpaceDE w:val="0"/>
              <w:autoSpaceDN w:val="0"/>
              <w:adjustRightInd w:val="0"/>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rPr>
              <w:t>最近一年工作单位</w:t>
            </w:r>
          </w:p>
        </w:tc>
        <w:tc>
          <w:tcPr>
            <w:tcW w:w="1833" w:type="dxa"/>
            <w:vAlign w:val="center"/>
          </w:tcPr>
          <w:p w14:paraId="1134627D">
            <w:pPr>
              <w:autoSpaceDE w:val="0"/>
              <w:autoSpaceDN w:val="0"/>
              <w:adjustRightInd w:val="0"/>
              <w:spacing w:line="360" w:lineRule="auto"/>
              <w:jc w:val="center"/>
              <w:rPr>
                <w:rFonts w:ascii="宋体" w:hAnsi="宋体" w:cs="宋体"/>
                <w:color w:val="auto"/>
                <w:sz w:val="22"/>
                <w:szCs w:val="22"/>
                <w:highlight w:val="none"/>
                <w:lang w:val="zh-CN"/>
              </w:rPr>
            </w:pPr>
          </w:p>
        </w:tc>
        <w:tc>
          <w:tcPr>
            <w:tcW w:w="5880" w:type="dxa"/>
            <w:vMerge w:val="continue"/>
            <w:vAlign w:val="center"/>
          </w:tcPr>
          <w:p w14:paraId="21B300B9">
            <w:pPr>
              <w:autoSpaceDE w:val="0"/>
              <w:autoSpaceDN w:val="0"/>
              <w:adjustRightInd w:val="0"/>
              <w:spacing w:line="360" w:lineRule="auto"/>
              <w:jc w:val="center"/>
              <w:rPr>
                <w:rFonts w:ascii="宋体" w:hAnsi="宋体" w:cs="宋体"/>
                <w:color w:val="auto"/>
                <w:sz w:val="22"/>
                <w:szCs w:val="22"/>
                <w:highlight w:val="none"/>
                <w:lang w:val="zh-CN"/>
              </w:rPr>
            </w:pPr>
          </w:p>
        </w:tc>
      </w:tr>
      <w:tr w14:paraId="2F76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27" w:type="dxa"/>
            <w:vAlign w:val="center"/>
          </w:tcPr>
          <w:p w14:paraId="15580806">
            <w:pPr>
              <w:autoSpaceDE w:val="0"/>
              <w:autoSpaceDN w:val="0"/>
              <w:adjustRightInd w:val="0"/>
              <w:jc w:val="center"/>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拟在本项目中担任主要工作</w:t>
            </w:r>
          </w:p>
        </w:tc>
        <w:tc>
          <w:tcPr>
            <w:tcW w:w="7713" w:type="dxa"/>
            <w:gridSpan w:val="2"/>
            <w:vAlign w:val="center"/>
          </w:tcPr>
          <w:p w14:paraId="6D3899EE">
            <w:pPr>
              <w:autoSpaceDE w:val="0"/>
              <w:autoSpaceDN w:val="0"/>
              <w:adjustRightInd w:val="0"/>
              <w:spacing w:line="360" w:lineRule="auto"/>
              <w:jc w:val="center"/>
              <w:rPr>
                <w:rFonts w:ascii="宋体" w:hAnsi="宋体" w:cs="宋体"/>
                <w:color w:val="auto"/>
                <w:sz w:val="22"/>
                <w:szCs w:val="22"/>
                <w:highlight w:val="none"/>
                <w:lang w:val="zh-CN"/>
              </w:rPr>
            </w:pPr>
          </w:p>
        </w:tc>
      </w:tr>
    </w:tbl>
    <w:p w14:paraId="64616681">
      <w:pPr>
        <w:spacing w:line="460" w:lineRule="exact"/>
        <w:rPr>
          <w:rFonts w:ascii="宋体" w:hAnsi="宋体" w:cs="宋体"/>
          <w:color w:val="auto"/>
          <w:sz w:val="22"/>
          <w:szCs w:val="22"/>
          <w:highlight w:val="none"/>
        </w:rPr>
      </w:pPr>
    </w:p>
    <w:p w14:paraId="07A64553">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                                       </w:t>
      </w:r>
    </w:p>
    <w:p w14:paraId="10BE2831">
      <w:pPr>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p>
    <w:p w14:paraId="6A18ABA0">
      <w:pPr>
        <w:spacing w:line="460" w:lineRule="exact"/>
        <w:jc w:val="center"/>
        <w:outlineLvl w:val="4"/>
        <w:rPr>
          <w:rFonts w:ascii="宋体" w:hAnsi="宋体" w:cs="宋体"/>
          <w:b/>
          <w:bCs/>
          <w:color w:val="auto"/>
          <w:sz w:val="24"/>
          <w:highlight w:val="none"/>
        </w:rPr>
      </w:pPr>
      <w:r>
        <w:rPr>
          <w:rFonts w:hint="eastAsia" w:ascii="宋体" w:hAnsi="宋体" w:cs="宋体"/>
          <w:b/>
          <w:bCs/>
          <w:color w:val="auto"/>
          <w:sz w:val="24"/>
          <w:highlight w:val="none"/>
        </w:rPr>
        <w:t>（2）项目服务人员汇总表</w:t>
      </w:r>
    </w:p>
    <w:p w14:paraId="4F7D126F">
      <w:pPr>
        <w:spacing w:line="360" w:lineRule="auto"/>
        <w:rPr>
          <w:rFonts w:ascii="宋体" w:hAnsi="宋体" w:cs="宋体"/>
          <w:bCs/>
          <w:color w:val="auto"/>
          <w:highlight w:val="none"/>
        </w:rPr>
      </w:pPr>
      <w:r>
        <w:rPr>
          <w:rFonts w:hint="eastAsia" w:ascii="宋体" w:hAnsi="宋体" w:cs="宋体"/>
          <w:color w:val="auto"/>
          <w:highlight w:val="none"/>
        </w:rPr>
        <w:t xml:space="preserve">                                           </w:t>
      </w:r>
    </w:p>
    <w:tbl>
      <w:tblPr>
        <w:tblStyle w:val="52"/>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351"/>
        <w:gridCol w:w="720"/>
        <w:gridCol w:w="720"/>
        <w:gridCol w:w="720"/>
        <w:gridCol w:w="1080"/>
        <w:gridCol w:w="1458"/>
        <w:gridCol w:w="1422"/>
      </w:tblGrid>
      <w:tr w14:paraId="242D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0C390917">
            <w:pPr>
              <w:jc w:val="center"/>
              <w:rPr>
                <w:rFonts w:ascii="宋体" w:hAnsi="宋体" w:cs="宋体"/>
                <w:color w:val="auto"/>
                <w:sz w:val="22"/>
                <w:szCs w:val="22"/>
                <w:highlight w:val="none"/>
              </w:rPr>
            </w:pPr>
            <w:r>
              <w:rPr>
                <w:rFonts w:hint="eastAsia" w:ascii="宋体" w:hAnsi="宋体" w:cs="宋体"/>
                <w:color w:val="auto"/>
                <w:sz w:val="22"/>
                <w:szCs w:val="22"/>
                <w:highlight w:val="none"/>
              </w:rPr>
              <w:t>姓名</w:t>
            </w:r>
          </w:p>
        </w:tc>
        <w:tc>
          <w:tcPr>
            <w:tcW w:w="2351" w:type="dxa"/>
            <w:vAlign w:val="center"/>
          </w:tcPr>
          <w:p w14:paraId="031E65E4">
            <w:pPr>
              <w:jc w:val="center"/>
              <w:rPr>
                <w:rFonts w:ascii="宋体" w:hAnsi="宋体" w:cs="宋体"/>
                <w:color w:val="auto"/>
                <w:sz w:val="22"/>
                <w:szCs w:val="22"/>
                <w:highlight w:val="none"/>
              </w:rPr>
            </w:pPr>
            <w:r>
              <w:rPr>
                <w:rFonts w:hint="eastAsia" w:ascii="宋体" w:hAnsi="宋体" w:cs="宋体"/>
                <w:color w:val="auto"/>
                <w:sz w:val="22"/>
                <w:szCs w:val="22"/>
                <w:highlight w:val="none"/>
              </w:rPr>
              <w:t>本项目主要工作</w:t>
            </w:r>
          </w:p>
        </w:tc>
        <w:tc>
          <w:tcPr>
            <w:tcW w:w="720" w:type="dxa"/>
            <w:vAlign w:val="center"/>
          </w:tcPr>
          <w:p w14:paraId="40378796">
            <w:pPr>
              <w:jc w:val="center"/>
              <w:rPr>
                <w:rFonts w:ascii="宋体" w:hAnsi="宋体" w:cs="宋体"/>
                <w:color w:val="auto"/>
                <w:sz w:val="22"/>
                <w:szCs w:val="22"/>
                <w:highlight w:val="none"/>
              </w:rPr>
            </w:pPr>
            <w:r>
              <w:rPr>
                <w:rFonts w:hint="eastAsia" w:ascii="宋体" w:hAnsi="宋体" w:cs="宋体"/>
                <w:color w:val="auto"/>
                <w:sz w:val="22"/>
                <w:szCs w:val="22"/>
                <w:highlight w:val="none"/>
              </w:rPr>
              <w:t>年龄</w:t>
            </w:r>
          </w:p>
        </w:tc>
        <w:tc>
          <w:tcPr>
            <w:tcW w:w="720" w:type="dxa"/>
            <w:vAlign w:val="center"/>
          </w:tcPr>
          <w:p w14:paraId="2D596255">
            <w:pPr>
              <w:jc w:val="center"/>
              <w:rPr>
                <w:rFonts w:ascii="宋体" w:hAnsi="宋体" w:cs="宋体"/>
                <w:color w:val="auto"/>
                <w:sz w:val="22"/>
                <w:szCs w:val="22"/>
                <w:highlight w:val="none"/>
              </w:rPr>
            </w:pPr>
            <w:r>
              <w:rPr>
                <w:rFonts w:hint="eastAsia" w:ascii="宋体" w:hAnsi="宋体" w:cs="宋体"/>
                <w:color w:val="auto"/>
                <w:sz w:val="22"/>
                <w:szCs w:val="22"/>
                <w:highlight w:val="none"/>
              </w:rPr>
              <w:t>性别</w:t>
            </w:r>
          </w:p>
        </w:tc>
        <w:tc>
          <w:tcPr>
            <w:tcW w:w="720" w:type="dxa"/>
            <w:vAlign w:val="center"/>
          </w:tcPr>
          <w:p w14:paraId="591E2361">
            <w:pPr>
              <w:jc w:val="center"/>
              <w:rPr>
                <w:rFonts w:ascii="宋体" w:hAnsi="宋体" w:cs="宋体"/>
                <w:color w:val="auto"/>
                <w:sz w:val="22"/>
                <w:szCs w:val="22"/>
                <w:highlight w:val="none"/>
              </w:rPr>
            </w:pPr>
            <w:r>
              <w:rPr>
                <w:rFonts w:hint="eastAsia" w:ascii="宋体" w:hAnsi="宋体" w:cs="宋体"/>
                <w:color w:val="auto"/>
                <w:sz w:val="22"/>
                <w:szCs w:val="22"/>
                <w:highlight w:val="none"/>
              </w:rPr>
              <w:t>专业</w:t>
            </w:r>
          </w:p>
        </w:tc>
        <w:tc>
          <w:tcPr>
            <w:tcW w:w="1080" w:type="dxa"/>
            <w:vAlign w:val="center"/>
          </w:tcPr>
          <w:p w14:paraId="74402B88">
            <w:pPr>
              <w:jc w:val="center"/>
              <w:rPr>
                <w:rFonts w:ascii="宋体" w:hAnsi="宋体" w:cs="宋体"/>
                <w:color w:val="auto"/>
                <w:sz w:val="22"/>
                <w:szCs w:val="22"/>
                <w:highlight w:val="none"/>
              </w:rPr>
            </w:pPr>
            <w:r>
              <w:rPr>
                <w:rFonts w:hint="eastAsia" w:ascii="宋体" w:hAnsi="宋体" w:cs="宋体"/>
                <w:color w:val="auto"/>
                <w:sz w:val="22"/>
                <w:szCs w:val="22"/>
                <w:highlight w:val="none"/>
              </w:rPr>
              <w:t>专业</w:t>
            </w:r>
          </w:p>
          <w:p w14:paraId="5CD304CE">
            <w:pPr>
              <w:jc w:val="center"/>
              <w:rPr>
                <w:rFonts w:ascii="宋体" w:hAnsi="宋体" w:cs="宋体"/>
                <w:color w:val="auto"/>
                <w:sz w:val="22"/>
                <w:szCs w:val="22"/>
                <w:highlight w:val="none"/>
              </w:rPr>
            </w:pPr>
            <w:r>
              <w:rPr>
                <w:rFonts w:hint="eastAsia" w:ascii="宋体" w:hAnsi="宋体" w:cs="宋体"/>
                <w:color w:val="auto"/>
                <w:sz w:val="22"/>
                <w:szCs w:val="22"/>
                <w:highlight w:val="none"/>
              </w:rPr>
              <w:t>年限</w:t>
            </w:r>
          </w:p>
        </w:tc>
        <w:tc>
          <w:tcPr>
            <w:tcW w:w="1458" w:type="dxa"/>
            <w:vAlign w:val="center"/>
          </w:tcPr>
          <w:p w14:paraId="266C2B2E">
            <w:pPr>
              <w:jc w:val="center"/>
              <w:rPr>
                <w:rFonts w:ascii="宋体" w:hAnsi="宋体" w:cs="宋体"/>
                <w:color w:val="auto"/>
                <w:sz w:val="22"/>
                <w:szCs w:val="22"/>
                <w:highlight w:val="none"/>
              </w:rPr>
            </w:pPr>
            <w:r>
              <w:rPr>
                <w:rFonts w:hint="eastAsia" w:ascii="宋体" w:hAnsi="宋体" w:cs="宋体"/>
                <w:color w:val="auto"/>
                <w:sz w:val="22"/>
                <w:szCs w:val="22"/>
                <w:highlight w:val="none"/>
              </w:rPr>
              <w:t>职务</w:t>
            </w:r>
          </w:p>
          <w:p w14:paraId="1EC13D1C">
            <w:pPr>
              <w:jc w:val="center"/>
              <w:rPr>
                <w:rFonts w:ascii="宋体" w:hAnsi="宋体" w:cs="宋体"/>
                <w:color w:val="auto"/>
                <w:sz w:val="22"/>
                <w:szCs w:val="22"/>
                <w:highlight w:val="none"/>
              </w:rPr>
            </w:pPr>
            <w:r>
              <w:rPr>
                <w:rFonts w:hint="eastAsia" w:ascii="宋体" w:hAnsi="宋体" w:cs="宋体"/>
                <w:color w:val="auto"/>
                <w:sz w:val="22"/>
                <w:szCs w:val="22"/>
                <w:highlight w:val="none"/>
              </w:rPr>
              <w:t>和职称/认证</w:t>
            </w:r>
          </w:p>
        </w:tc>
        <w:tc>
          <w:tcPr>
            <w:tcW w:w="1422" w:type="dxa"/>
            <w:vAlign w:val="center"/>
          </w:tcPr>
          <w:p w14:paraId="765213E4">
            <w:pPr>
              <w:jc w:val="center"/>
              <w:rPr>
                <w:rFonts w:ascii="宋体" w:hAnsi="宋体" w:cs="宋体"/>
                <w:color w:val="auto"/>
                <w:sz w:val="22"/>
                <w:szCs w:val="22"/>
                <w:highlight w:val="none"/>
              </w:rPr>
            </w:pPr>
            <w:r>
              <w:rPr>
                <w:rFonts w:hint="eastAsia" w:ascii="宋体" w:hAnsi="宋体" w:cs="宋体"/>
                <w:color w:val="auto"/>
                <w:sz w:val="22"/>
                <w:szCs w:val="22"/>
                <w:highlight w:val="none"/>
              </w:rPr>
              <w:t>到现场服务</w:t>
            </w:r>
          </w:p>
          <w:p w14:paraId="45D1FEEC">
            <w:pPr>
              <w:jc w:val="center"/>
              <w:rPr>
                <w:rFonts w:ascii="宋体" w:hAnsi="宋体" w:cs="宋体"/>
                <w:color w:val="auto"/>
                <w:sz w:val="22"/>
                <w:szCs w:val="22"/>
                <w:highlight w:val="none"/>
              </w:rPr>
            </w:pPr>
            <w:r>
              <w:rPr>
                <w:rFonts w:hint="eastAsia" w:ascii="宋体" w:hAnsi="宋体" w:cs="宋体"/>
                <w:color w:val="auto"/>
                <w:sz w:val="22"/>
                <w:szCs w:val="22"/>
                <w:highlight w:val="none"/>
              </w:rPr>
              <w:t>起止时间</w:t>
            </w:r>
          </w:p>
        </w:tc>
      </w:tr>
      <w:tr w14:paraId="1D73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02E9230A">
            <w:pPr>
              <w:spacing w:line="360" w:lineRule="auto"/>
              <w:rPr>
                <w:rFonts w:ascii="宋体" w:hAnsi="宋体" w:cs="宋体"/>
                <w:color w:val="auto"/>
                <w:sz w:val="22"/>
                <w:szCs w:val="22"/>
                <w:highlight w:val="none"/>
              </w:rPr>
            </w:pPr>
          </w:p>
        </w:tc>
        <w:tc>
          <w:tcPr>
            <w:tcW w:w="2351" w:type="dxa"/>
            <w:vAlign w:val="center"/>
          </w:tcPr>
          <w:p w14:paraId="44F1F20D">
            <w:pPr>
              <w:spacing w:line="360" w:lineRule="auto"/>
              <w:rPr>
                <w:rFonts w:ascii="宋体" w:hAnsi="宋体" w:cs="宋体"/>
                <w:color w:val="auto"/>
                <w:sz w:val="22"/>
                <w:szCs w:val="22"/>
                <w:highlight w:val="none"/>
              </w:rPr>
            </w:pPr>
          </w:p>
        </w:tc>
        <w:tc>
          <w:tcPr>
            <w:tcW w:w="720" w:type="dxa"/>
            <w:vAlign w:val="center"/>
          </w:tcPr>
          <w:p w14:paraId="10DFB824">
            <w:pPr>
              <w:spacing w:line="360" w:lineRule="auto"/>
              <w:rPr>
                <w:rFonts w:ascii="宋体" w:hAnsi="宋体" w:cs="宋体"/>
                <w:color w:val="auto"/>
                <w:sz w:val="22"/>
                <w:szCs w:val="22"/>
                <w:highlight w:val="none"/>
              </w:rPr>
            </w:pPr>
          </w:p>
        </w:tc>
        <w:tc>
          <w:tcPr>
            <w:tcW w:w="720" w:type="dxa"/>
            <w:vAlign w:val="center"/>
          </w:tcPr>
          <w:p w14:paraId="71A7F845">
            <w:pPr>
              <w:spacing w:line="360" w:lineRule="auto"/>
              <w:rPr>
                <w:rFonts w:ascii="宋体" w:hAnsi="宋体" w:cs="宋体"/>
                <w:color w:val="auto"/>
                <w:sz w:val="22"/>
                <w:szCs w:val="22"/>
                <w:highlight w:val="none"/>
              </w:rPr>
            </w:pPr>
          </w:p>
        </w:tc>
        <w:tc>
          <w:tcPr>
            <w:tcW w:w="720" w:type="dxa"/>
            <w:vAlign w:val="center"/>
          </w:tcPr>
          <w:p w14:paraId="53EC5BF0">
            <w:pPr>
              <w:spacing w:line="360" w:lineRule="auto"/>
              <w:rPr>
                <w:rFonts w:ascii="宋体" w:hAnsi="宋体" w:cs="宋体"/>
                <w:color w:val="auto"/>
                <w:sz w:val="22"/>
                <w:szCs w:val="22"/>
                <w:highlight w:val="none"/>
              </w:rPr>
            </w:pPr>
          </w:p>
        </w:tc>
        <w:tc>
          <w:tcPr>
            <w:tcW w:w="1080" w:type="dxa"/>
            <w:vAlign w:val="center"/>
          </w:tcPr>
          <w:p w14:paraId="2D8FDD2E">
            <w:pPr>
              <w:spacing w:line="360" w:lineRule="auto"/>
              <w:rPr>
                <w:rFonts w:ascii="宋体" w:hAnsi="宋体" w:cs="宋体"/>
                <w:color w:val="auto"/>
                <w:sz w:val="22"/>
                <w:szCs w:val="22"/>
                <w:highlight w:val="none"/>
              </w:rPr>
            </w:pPr>
          </w:p>
        </w:tc>
        <w:tc>
          <w:tcPr>
            <w:tcW w:w="1458" w:type="dxa"/>
            <w:vAlign w:val="center"/>
          </w:tcPr>
          <w:p w14:paraId="03250322">
            <w:pPr>
              <w:spacing w:line="360" w:lineRule="auto"/>
              <w:ind w:left="5250"/>
              <w:rPr>
                <w:rFonts w:ascii="宋体" w:hAnsi="宋体" w:cs="宋体"/>
                <w:color w:val="auto"/>
                <w:spacing w:val="12"/>
                <w:sz w:val="22"/>
                <w:szCs w:val="22"/>
                <w:highlight w:val="none"/>
              </w:rPr>
            </w:pPr>
          </w:p>
        </w:tc>
        <w:tc>
          <w:tcPr>
            <w:tcW w:w="1422" w:type="dxa"/>
            <w:vAlign w:val="center"/>
          </w:tcPr>
          <w:p w14:paraId="3DF5E586">
            <w:pPr>
              <w:spacing w:line="360" w:lineRule="auto"/>
              <w:rPr>
                <w:rFonts w:ascii="宋体" w:hAnsi="宋体" w:cs="宋体"/>
                <w:color w:val="auto"/>
                <w:sz w:val="22"/>
                <w:szCs w:val="22"/>
                <w:highlight w:val="none"/>
              </w:rPr>
            </w:pPr>
          </w:p>
        </w:tc>
      </w:tr>
      <w:tr w14:paraId="2B39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666D2464">
            <w:pPr>
              <w:spacing w:line="360" w:lineRule="auto"/>
              <w:rPr>
                <w:rFonts w:ascii="宋体" w:hAnsi="宋体" w:cs="宋体"/>
                <w:color w:val="auto"/>
                <w:sz w:val="22"/>
                <w:szCs w:val="22"/>
                <w:highlight w:val="none"/>
              </w:rPr>
            </w:pPr>
          </w:p>
        </w:tc>
        <w:tc>
          <w:tcPr>
            <w:tcW w:w="2351" w:type="dxa"/>
            <w:vAlign w:val="center"/>
          </w:tcPr>
          <w:p w14:paraId="041A0957">
            <w:pPr>
              <w:spacing w:line="360" w:lineRule="auto"/>
              <w:rPr>
                <w:rFonts w:ascii="宋体" w:hAnsi="宋体" w:cs="宋体"/>
                <w:color w:val="auto"/>
                <w:sz w:val="22"/>
                <w:szCs w:val="22"/>
                <w:highlight w:val="none"/>
              </w:rPr>
            </w:pPr>
          </w:p>
        </w:tc>
        <w:tc>
          <w:tcPr>
            <w:tcW w:w="720" w:type="dxa"/>
            <w:vAlign w:val="center"/>
          </w:tcPr>
          <w:p w14:paraId="75E50F7E">
            <w:pPr>
              <w:spacing w:line="360" w:lineRule="auto"/>
              <w:rPr>
                <w:rFonts w:ascii="宋体" w:hAnsi="宋体" w:cs="宋体"/>
                <w:color w:val="auto"/>
                <w:sz w:val="22"/>
                <w:szCs w:val="22"/>
                <w:highlight w:val="none"/>
              </w:rPr>
            </w:pPr>
          </w:p>
        </w:tc>
        <w:tc>
          <w:tcPr>
            <w:tcW w:w="720" w:type="dxa"/>
            <w:vAlign w:val="center"/>
          </w:tcPr>
          <w:p w14:paraId="6F903A26">
            <w:pPr>
              <w:spacing w:line="360" w:lineRule="auto"/>
              <w:rPr>
                <w:rFonts w:ascii="宋体" w:hAnsi="宋体" w:cs="宋体"/>
                <w:color w:val="auto"/>
                <w:sz w:val="22"/>
                <w:szCs w:val="22"/>
                <w:highlight w:val="none"/>
              </w:rPr>
            </w:pPr>
          </w:p>
        </w:tc>
        <w:tc>
          <w:tcPr>
            <w:tcW w:w="720" w:type="dxa"/>
            <w:vAlign w:val="center"/>
          </w:tcPr>
          <w:p w14:paraId="0B13BADF">
            <w:pPr>
              <w:spacing w:line="360" w:lineRule="auto"/>
              <w:rPr>
                <w:rFonts w:ascii="宋体" w:hAnsi="宋体" w:cs="宋体"/>
                <w:color w:val="auto"/>
                <w:sz w:val="22"/>
                <w:szCs w:val="22"/>
                <w:highlight w:val="none"/>
              </w:rPr>
            </w:pPr>
          </w:p>
        </w:tc>
        <w:tc>
          <w:tcPr>
            <w:tcW w:w="1080" w:type="dxa"/>
            <w:vAlign w:val="center"/>
          </w:tcPr>
          <w:p w14:paraId="0EF4A241">
            <w:pPr>
              <w:spacing w:line="360" w:lineRule="auto"/>
              <w:rPr>
                <w:rFonts w:ascii="宋体" w:hAnsi="宋体" w:cs="宋体"/>
                <w:color w:val="auto"/>
                <w:sz w:val="22"/>
                <w:szCs w:val="22"/>
                <w:highlight w:val="none"/>
              </w:rPr>
            </w:pPr>
          </w:p>
        </w:tc>
        <w:tc>
          <w:tcPr>
            <w:tcW w:w="1458" w:type="dxa"/>
            <w:vAlign w:val="center"/>
          </w:tcPr>
          <w:p w14:paraId="5A0155A7">
            <w:pPr>
              <w:spacing w:line="360" w:lineRule="auto"/>
              <w:rPr>
                <w:rFonts w:ascii="宋体" w:hAnsi="宋体" w:cs="宋体"/>
                <w:color w:val="auto"/>
                <w:sz w:val="22"/>
                <w:szCs w:val="22"/>
                <w:highlight w:val="none"/>
              </w:rPr>
            </w:pPr>
          </w:p>
        </w:tc>
        <w:tc>
          <w:tcPr>
            <w:tcW w:w="1422" w:type="dxa"/>
            <w:vAlign w:val="center"/>
          </w:tcPr>
          <w:p w14:paraId="003FD0CC">
            <w:pPr>
              <w:spacing w:line="360" w:lineRule="auto"/>
              <w:ind w:left="5250"/>
              <w:rPr>
                <w:rFonts w:ascii="宋体" w:hAnsi="宋体" w:cs="宋体"/>
                <w:color w:val="auto"/>
                <w:spacing w:val="12"/>
                <w:sz w:val="22"/>
                <w:szCs w:val="22"/>
                <w:highlight w:val="none"/>
              </w:rPr>
            </w:pPr>
          </w:p>
        </w:tc>
      </w:tr>
      <w:tr w14:paraId="5754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63DAD7A4">
            <w:pPr>
              <w:spacing w:line="360" w:lineRule="auto"/>
              <w:rPr>
                <w:rFonts w:ascii="宋体" w:hAnsi="宋体" w:cs="宋体"/>
                <w:color w:val="auto"/>
                <w:sz w:val="22"/>
                <w:szCs w:val="22"/>
                <w:highlight w:val="none"/>
              </w:rPr>
            </w:pPr>
          </w:p>
        </w:tc>
        <w:tc>
          <w:tcPr>
            <w:tcW w:w="2351" w:type="dxa"/>
            <w:vAlign w:val="center"/>
          </w:tcPr>
          <w:p w14:paraId="5D8F8AE3">
            <w:pPr>
              <w:spacing w:line="360" w:lineRule="auto"/>
              <w:rPr>
                <w:rFonts w:ascii="宋体" w:hAnsi="宋体" w:cs="宋体"/>
                <w:color w:val="auto"/>
                <w:sz w:val="22"/>
                <w:szCs w:val="22"/>
                <w:highlight w:val="none"/>
              </w:rPr>
            </w:pPr>
          </w:p>
        </w:tc>
        <w:tc>
          <w:tcPr>
            <w:tcW w:w="720" w:type="dxa"/>
            <w:vAlign w:val="center"/>
          </w:tcPr>
          <w:p w14:paraId="66D01E46">
            <w:pPr>
              <w:spacing w:line="360" w:lineRule="auto"/>
              <w:rPr>
                <w:rFonts w:ascii="宋体" w:hAnsi="宋体" w:cs="宋体"/>
                <w:color w:val="auto"/>
                <w:sz w:val="22"/>
                <w:szCs w:val="22"/>
                <w:highlight w:val="none"/>
              </w:rPr>
            </w:pPr>
          </w:p>
        </w:tc>
        <w:tc>
          <w:tcPr>
            <w:tcW w:w="720" w:type="dxa"/>
            <w:vAlign w:val="center"/>
          </w:tcPr>
          <w:p w14:paraId="59264E47">
            <w:pPr>
              <w:spacing w:line="360" w:lineRule="auto"/>
              <w:rPr>
                <w:rFonts w:ascii="宋体" w:hAnsi="宋体" w:cs="宋体"/>
                <w:color w:val="auto"/>
                <w:sz w:val="22"/>
                <w:szCs w:val="22"/>
                <w:highlight w:val="none"/>
              </w:rPr>
            </w:pPr>
          </w:p>
        </w:tc>
        <w:tc>
          <w:tcPr>
            <w:tcW w:w="720" w:type="dxa"/>
            <w:vAlign w:val="center"/>
          </w:tcPr>
          <w:p w14:paraId="2D95D462">
            <w:pPr>
              <w:spacing w:line="360" w:lineRule="auto"/>
              <w:rPr>
                <w:rFonts w:ascii="宋体" w:hAnsi="宋体" w:cs="宋体"/>
                <w:color w:val="auto"/>
                <w:sz w:val="22"/>
                <w:szCs w:val="22"/>
                <w:highlight w:val="none"/>
              </w:rPr>
            </w:pPr>
          </w:p>
        </w:tc>
        <w:tc>
          <w:tcPr>
            <w:tcW w:w="1080" w:type="dxa"/>
            <w:vAlign w:val="center"/>
          </w:tcPr>
          <w:p w14:paraId="68017E3A">
            <w:pPr>
              <w:spacing w:line="360" w:lineRule="auto"/>
              <w:rPr>
                <w:rFonts w:ascii="宋体" w:hAnsi="宋体" w:cs="宋体"/>
                <w:color w:val="auto"/>
                <w:sz w:val="22"/>
                <w:szCs w:val="22"/>
                <w:highlight w:val="none"/>
              </w:rPr>
            </w:pPr>
          </w:p>
        </w:tc>
        <w:tc>
          <w:tcPr>
            <w:tcW w:w="1458" w:type="dxa"/>
            <w:vAlign w:val="center"/>
          </w:tcPr>
          <w:p w14:paraId="1C5473FA">
            <w:pPr>
              <w:spacing w:line="360" w:lineRule="auto"/>
              <w:rPr>
                <w:rFonts w:ascii="宋体" w:hAnsi="宋体" w:cs="宋体"/>
                <w:color w:val="auto"/>
                <w:sz w:val="22"/>
                <w:szCs w:val="22"/>
                <w:highlight w:val="none"/>
              </w:rPr>
            </w:pPr>
          </w:p>
        </w:tc>
        <w:tc>
          <w:tcPr>
            <w:tcW w:w="1422" w:type="dxa"/>
            <w:vAlign w:val="center"/>
          </w:tcPr>
          <w:p w14:paraId="6EF20FCA">
            <w:pPr>
              <w:spacing w:line="360" w:lineRule="auto"/>
              <w:rPr>
                <w:rFonts w:ascii="宋体" w:hAnsi="宋体" w:cs="宋体"/>
                <w:color w:val="auto"/>
                <w:sz w:val="22"/>
                <w:szCs w:val="22"/>
                <w:highlight w:val="none"/>
              </w:rPr>
            </w:pPr>
          </w:p>
        </w:tc>
      </w:tr>
      <w:tr w14:paraId="174B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6696771E">
            <w:pPr>
              <w:spacing w:line="360" w:lineRule="auto"/>
              <w:rPr>
                <w:rFonts w:ascii="宋体" w:hAnsi="宋体" w:cs="宋体"/>
                <w:color w:val="auto"/>
                <w:sz w:val="22"/>
                <w:szCs w:val="22"/>
                <w:highlight w:val="none"/>
              </w:rPr>
            </w:pPr>
          </w:p>
        </w:tc>
        <w:tc>
          <w:tcPr>
            <w:tcW w:w="2351" w:type="dxa"/>
            <w:vAlign w:val="center"/>
          </w:tcPr>
          <w:p w14:paraId="3564B47B">
            <w:pPr>
              <w:spacing w:line="360" w:lineRule="auto"/>
              <w:rPr>
                <w:rFonts w:ascii="宋体" w:hAnsi="宋体" w:cs="宋体"/>
                <w:color w:val="auto"/>
                <w:sz w:val="22"/>
                <w:szCs w:val="22"/>
                <w:highlight w:val="none"/>
              </w:rPr>
            </w:pPr>
          </w:p>
        </w:tc>
        <w:tc>
          <w:tcPr>
            <w:tcW w:w="720" w:type="dxa"/>
            <w:vAlign w:val="center"/>
          </w:tcPr>
          <w:p w14:paraId="736CB2D0">
            <w:pPr>
              <w:spacing w:line="360" w:lineRule="auto"/>
              <w:rPr>
                <w:rFonts w:ascii="宋体" w:hAnsi="宋体" w:cs="宋体"/>
                <w:color w:val="auto"/>
                <w:sz w:val="22"/>
                <w:szCs w:val="22"/>
                <w:highlight w:val="none"/>
              </w:rPr>
            </w:pPr>
          </w:p>
        </w:tc>
        <w:tc>
          <w:tcPr>
            <w:tcW w:w="720" w:type="dxa"/>
            <w:vAlign w:val="center"/>
          </w:tcPr>
          <w:p w14:paraId="2C14D77D">
            <w:pPr>
              <w:spacing w:line="360" w:lineRule="auto"/>
              <w:rPr>
                <w:rFonts w:ascii="宋体" w:hAnsi="宋体" w:cs="宋体"/>
                <w:color w:val="auto"/>
                <w:sz w:val="22"/>
                <w:szCs w:val="22"/>
                <w:highlight w:val="none"/>
              </w:rPr>
            </w:pPr>
          </w:p>
        </w:tc>
        <w:tc>
          <w:tcPr>
            <w:tcW w:w="720" w:type="dxa"/>
            <w:vAlign w:val="center"/>
          </w:tcPr>
          <w:p w14:paraId="369BAF0D">
            <w:pPr>
              <w:spacing w:line="360" w:lineRule="auto"/>
              <w:rPr>
                <w:rFonts w:ascii="宋体" w:hAnsi="宋体" w:cs="宋体"/>
                <w:color w:val="auto"/>
                <w:sz w:val="22"/>
                <w:szCs w:val="22"/>
                <w:highlight w:val="none"/>
              </w:rPr>
            </w:pPr>
          </w:p>
        </w:tc>
        <w:tc>
          <w:tcPr>
            <w:tcW w:w="1080" w:type="dxa"/>
            <w:vAlign w:val="center"/>
          </w:tcPr>
          <w:p w14:paraId="0D975AFF">
            <w:pPr>
              <w:spacing w:line="360" w:lineRule="auto"/>
              <w:rPr>
                <w:rFonts w:ascii="宋体" w:hAnsi="宋体" w:cs="宋体"/>
                <w:color w:val="auto"/>
                <w:sz w:val="22"/>
                <w:szCs w:val="22"/>
                <w:highlight w:val="none"/>
              </w:rPr>
            </w:pPr>
          </w:p>
        </w:tc>
        <w:tc>
          <w:tcPr>
            <w:tcW w:w="1458" w:type="dxa"/>
            <w:vAlign w:val="center"/>
          </w:tcPr>
          <w:p w14:paraId="028A90E1">
            <w:pPr>
              <w:spacing w:line="360" w:lineRule="auto"/>
              <w:rPr>
                <w:rFonts w:ascii="宋体" w:hAnsi="宋体" w:cs="宋体"/>
                <w:color w:val="auto"/>
                <w:sz w:val="22"/>
                <w:szCs w:val="22"/>
                <w:highlight w:val="none"/>
              </w:rPr>
            </w:pPr>
          </w:p>
        </w:tc>
        <w:tc>
          <w:tcPr>
            <w:tcW w:w="1422" w:type="dxa"/>
            <w:vAlign w:val="center"/>
          </w:tcPr>
          <w:p w14:paraId="18E4A99C">
            <w:pPr>
              <w:spacing w:line="360" w:lineRule="auto"/>
              <w:rPr>
                <w:rFonts w:ascii="宋体" w:hAnsi="宋体" w:cs="宋体"/>
                <w:color w:val="auto"/>
                <w:sz w:val="22"/>
                <w:szCs w:val="22"/>
                <w:highlight w:val="none"/>
              </w:rPr>
            </w:pPr>
          </w:p>
        </w:tc>
      </w:tr>
      <w:tr w14:paraId="66CD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trPr>
        <w:tc>
          <w:tcPr>
            <w:tcW w:w="911" w:type="dxa"/>
            <w:vAlign w:val="center"/>
          </w:tcPr>
          <w:p w14:paraId="460908C1">
            <w:pPr>
              <w:spacing w:line="360" w:lineRule="auto"/>
              <w:rPr>
                <w:rFonts w:ascii="宋体" w:hAnsi="宋体" w:cs="宋体"/>
                <w:color w:val="auto"/>
                <w:sz w:val="22"/>
                <w:szCs w:val="22"/>
                <w:highlight w:val="none"/>
              </w:rPr>
            </w:pPr>
          </w:p>
        </w:tc>
        <w:tc>
          <w:tcPr>
            <w:tcW w:w="2351" w:type="dxa"/>
            <w:vAlign w:val="center"/>
          </w:tcPr>
          <w:p w14:paraId="63A1B452">
            <w:pPr>
              <w:spacing w:line="360" w:lineRule="auto"/>
              <w:rPr>
                <w:rFonts w:ascii="宋体" w:hAnsi="宋体" w:cs="宋体"/>
                <w:color w:val="auto"/>
                <w:sz w:val="22"/>
                <w:szCs w:val="22"/>
                <w:highlight w:val="none"/>
              </w:rPr>
            </w:pPr>
          </w:p>
        </w:tc>
        <w:tc>
          <w:tcPr>
            <w:tcW w:w="720" w:type="dxa"/>
            <w:vAlign w:val="center"/>
          </w:tcPr>
          <w:p w14:paraId="4D8F9052">
            <w:pPr>
              <w:spacing w:line="360" w:lineRule="auto"/>
              <w:rPr>
                <w:rFonts w:ascii="宋体" w:hAnsi="宋体" w:cs="宋体"/>
                <w:color w:val="auto"/>
                <w:sz w:val="22"/>
                <w:szCs w:val="22"/>
                <w:highlight w:val="none"/>
              </w:rPr>
            </w:pPr>
          </w:p>
        </w:tc>
        <w:tc>
          <w:tcPr>
            <w:tcW w:w="720" w:type="dxa"/>
            <w:vAlign w:val="center"/>
          </w:tcPr>
          <w:p w14:paraId="17A06E29">
            <w:pPr>
              <w:spacing w:line="360" w:lineRule="auto"/>
              <w:rPr>
                <w:rFonts w:ascii="宋体" w:hAnsi="宋体" w:cs="宋体"/>
                <w:color w:val="auto"/>
                <w:sz w:val="22"/>
                <w:szCs w:val="22"/>
                <w:highlight w:val="none"/>
              </w:rPr>
            </w:pPr>
          </w:p>
        </w:tc>
        <w:tc>
          <w:tcPr>
            <w:tcW w:w="720" w:type="dxa"/>
            <w:vAlign w:val="center"/>
          </w:tcPr>
          <w:p w14:paraId="00AEE29B">
            <w:pPr>
              <w:spacing w:line="360" w:lineRule="auto"/>
              <w:rPr>
                <w:rFonts w:ascii="宋体" w:hAnsi="宋体" w:cs="宋体"/>
                <w:color w:val="auto"/>
                <w:sz w:val="22"/>
                <w:szCs w:val="22"/>
                <w:highlight w:val="none"/>
              </w:rPr>
            </w:pPr>
          </w:p>
        </w:tc>
        <w:tc>
          <w:tcPr>
            <w:tcW w:w="1080" w:type="dxa"/>
            <w:vAlign w:val="center"/>
          </w:tcPr>
          <w:p w14:paraId="50380144">
            <w:pPr>
              <w:spacing w:line="360" w:lineRule="auto"/>
              <w:rPr>
                <w:rFonts w:ascii="宋体" w:hAnsi="宋体" w:cs="宋体"/>
                <w:color w:val="auto"/>
                <w:sz w:val="22"/>
                <w:szCs w:val="22"/>
                <w:highlight w:val="none"/>
              </w:rPr>
            </w:pPr>
          </w:p>
        </w:tc>
        <w:tc>
          <w:tcPr>
            <w:tcW w:w="1458" w:type="dxa"/>
            <w:vAlign w:val="center"/>
          </w:tcPr>
          <w:p w14:paraId="0F9566F2">
            <w:pPr>
              <w:spacing w:line="360" w:lineRule="auto"/>
              <w:rPr>
                <w:rFonts w:ascii="宋体" w:hAnsi="宋体" w:cs="宋体"/>
                <w:color w:val="auto"/>
                <w:sz w:val="22"/>
                <w:szCs w:val="22"/>
                <w:highlight w:val="none"/>
              </w:rPr>
            </w:pPr>
          </w:p>
        </w:tc>
        <w:tc>
          <w:tcPr>
            <w:tcW w:w="1422" w:type="dxa"/>
            <w:vAlign w:val="center"/>
          </w:tcPr>
          <w:p w14:paraId="719B1DAA">
            <w:pPr>
              <w:spacing w:line="360" w:lineRule="auto"/>
              <w:rPr>
                <w:rFonts w:ascii="宋体" w:hAnsi="宋体" w:cs="宋体"/>
                <w:color w:val="auto"/>
                <w:sz w:val="22"/>
                <w:szCs w:val="22"/>
                <w:highlight w:val="none"/>
              </w:rPr>
            </w:pPr>
          </w:p>
        </w:tc>
      </w:tr>
      <w:tr w14:paraId="60D3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0640A11E">
            <w:pPr>
              <w:spacing w:line="360" w:lineRule="auto"/>
              <w:rPr>
                <w:rFonts w:ascii="宋体" w:hAnsi="宋体" w:cs="宋体"/>
                <w:color w:val="auto"/>
                <w:sz w:val="22"/>
                <w:szCs w:val="22"/>
                <w:highlight w:val="none"/>
              </w:rPr>
            </w:pPr>
          </w:p>
        </w:tc>
        <w:tc>
          <w:tcPr>
            <w:tcW w:w="2351" w:type="dxa"/>
            <w:vAlign w:val="center"/>
          </w:tcPr>
          <w:p w14:paraId="7871B7FD">
            <w:pPr>
              <w:spacing w:line="360" w:lineRule="auto"/>
              <w:rPr>
                <w:rFonts w:ascii="宋体" w:hAnsi="宋体" w:cs="宋体"/>
                <w:color w:val="auto"/>
                <w:sz w:val="22"/>
                <w:szCs w:val="22"/>
                <w:highlight w:val="none"/>
              </w:rPr>
            </w:pPr>
          </w:p>
        </w:tc>
        <w:tc>
          <w:tcPr>
            <w:tcW w:w="720" w:type="dxa"/>
            <w:vAlign w:val="center"/>
          </w:tcPr>
          <w:p w14:paraId="3DAC58AD">
            <w:pPr>
              <w:spacing w:line="360" w:lineRule="auto"/>
              <w:rPr>
                <w:rFonts w:ascii="宋体" w:hAnsi="宋体" w:cs="宋体"/>
                <w:color w:val="auto"/>
                <w:sz w:val="22"/>
                <w:szCs w:val="22"/>
                <w:highlight w:val="none"/>
              </w:rPr>
            </w:pPr>
          </w:p>
        </w:tc>
        <w:tc>
          <w:tcPr>
            <w:tcW w:w="720" w:type="dxa"/>
            <w:vAlign w:val="center"/>
          </w:tcPr>
          <w:p w14:paraId="17D2B0C1">
            <w:pPr>
              <w:spacing w:line="360" w:lineRule="auto"/>
              <w:rPr>
                <w:rFonts w:ascii="宋体" w:hAnsi="宋体" w:cs="宋体"/>
                <w:color w:val="auto"/>
                <w:sz w:val="22"/>
                <w:szCs w:val="22"/>
                <w:highlight w:val="none"/>
              </w:rPr>
            </w:pPr>
          </w:p>
        </w:tc>
        <w:tc>
          <w:tcPr>
            <w:tcW w:w="720" w:type="dxa"/>
            <w:vAlign w:val="center"/>
          </w:tcPr>
          <w:p w14:paraId="08D38FAB">
            <w:pPr>
              <w:spacing w:line="360" w:lineRule="auto"/>
              <w:rPr>
                <w:rFonts w:ascii="宋体" w:hAnsi="宋体" w:cs="宋体"/>
                <w:color w:val="auto"/>
                <w:sz w:val="22"/>
                <w:szCs w:val="22"/>
                <w:highlight w:val="none"/>
              </w:rPr>
            </w:pPr>
          </w:p>
        </w:tc>
        <w:tc>
          <w:tcPr>
            <w:tcW w:w="1080" w:type="dxa"/>
            <w:vAlign w:val="center"/>
          </w:tcPr>
          <w:p w14:paraId="373B4566">
            <w:pPr>
              <w:spacing w:line="360" w:lineRule="auto"/>
              <w:rPr>
                <w:rFonts w:ascii="宋体" w:hAnsi="宋体" w:cs="宋体"/>
                <w:color w:val="auto"/>
                <w:sz w:val="22"/>
                <w:szCs w:val="22"/>
                <w:highlight w:val="none"/>
              </w:rPr>
            </w:pPr>
          </w:p>
        </w:tc>
        <w:tc>
          <w:tcPr>
            <w:tcW w:w="1458" w:type="dxa"/>
            <w:vAlign w:val="center"/>
          </w:tcPr>
          <w:p w14:paraId="77E22F52">
            <w:pPr>
              <w:spacing w:line="360" w:lineRule="auto"/>
              <w:rPr>
                <w:rFonts w:ascii="宋体" w:hAnsi="宋体" w:cs="宋体"/>
                <w:color w:val="auto"/>
                <w:sz w:val="22"/>
                <w:szCs w:val="22"/>
                <w:highlight w:val="none"/>
              </w:rPr>
            </w:pPr>
          </w:p>
        </w:tc>
        <w:tc>
          <w:tcPr>
            <w:tcW w:w="1422" w:type="dxa"/>
            <w:vAlign w:val="center"/>
          </w:tcPr>
          <w:p w14:paraId="3B3E51C1">
            <w:pPr>
              <w:spacing w:line="360" w:lineRule="auto"/>
              <w:rPr>
                <w:rFonts w:ascii="宋体" w:hAnsi="宋体" w:cs="宋体"/>
                <w:color w:val="auto"/>
                <w:sz w:val="22"/>
                <w:szCs w:val="22"/>
                <w:highlight w:val="none"/>
              </w:rPr>
            </w:pPr>
          </w:p>
        </w:tc>
      </w:tr>
      <w:tr w14:paraId="5384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1EB5EA94">
            <w:pPr>
              <w:spacing w:line="360" w:lineRule="auto"/>
              <w:rPr>
                <w:rFonts w:ascii="宋体" w:hAnsi="宋体" w:cs="宋体"/>
                <w:color w:val="auto"/>
                <w:sz w:val="22"/>
                <w:szCs w:val="22"/>
                <w:highlight w:val="none"/>
              </w:rPr>
            </w:pPr>
          </w:p>
        </w:tc>
        <w:tc>
          <w:tcPr>
            <w:tcW w:w="2351" w:type="dxa"/>
            <w:vAlign w:val="center"/>
          </w:tcPr>
          <w:p w14:paraId="43F4E809">
            <w:pPr>
              <w:spacing w:line="360" w:lineRule="auto"/>
              <w:rPr>
                <w:rFonts w:ascii="宋体" w:hAnsi="宋体" w:cs="宋体"/>
                <w:color w:val="auto"/>
                <w:sz w:val="22"/>
                <w:szCs w:val="22"/>
                <w:highlight w:val="none"/>
              </w:rPr>
            </w:pPr>
          </w:p>
        </w:tc>
        <w:tc>
          <w:tcPr>
            <w:tcW w:w="720" w:type="dxa"/>
            <w:vAlign w:val="center"/>
          </w:tcPr>
          <w:p w14:paraId="25768AEC">
            <w:pPr>
              <w:spacing w:line="360" w:lineRule="auto"/>
              <w:rPr>
                <w:rFonts w:ascii="宋体" w:hAnsi="宋体" w:cs="宋体"/>
                <w:color w:val="auto"/>
                <w:sz w:val="22"/>
                <w:szCs w:val="22"/>
                <w:highlight w:val="none"/>
              </w:rPr>
            </w:pPr>
          </w:p>
        </w:tc>
        <w:tc>
          <w:tcPr>
            <w:tcW w:w="720" w:type="dxa"/>
            <w:vAlign w:val="center"/>
          </w:tcPr>
          <w:p w14:paraId="4FBC378E">
            <w:pPr>
              <w:spacing w:line="360" w:lineRule="auto"/>
              <w:rPr>
                <w:rFonts w:ascii="宋体" w:hAnsi="宋体" w:cs="宋体"/>
                <w:color w:val="auto"/>
                <w:sz w:val="22"/>
                <w:szCs w:val="22"/>
                <w:highlight w:val="none"/>
              </w:rPr>
            </w:pPr>
          </w:p>
        </w:tc>
        <w:tc>
          <w:tcPr>
            <w:tcW w:w="720" w:type="dxa"/>
            <w:vAlign w:val="center"/>
          </w:tcPr>
          <w:p w14:paraId="02AC28CB">
            <w:pPr>
              <w:spacing w:line="360" w:lineRule="auto"/>
              <w:rPr>
                <w:rFonts w:ascii="宋体" w:hAnsi="宋体" w:cs="宋体"/>
                <w:color w:val="auto"/>
                <w:sz w:val="22"/>
                <w:szCs w:val="22"/>
                <w:highlight w:val="none"/>
              </w:rPr>
            </w:pPr>
          </w:p>
        </w:tc>
        <w:tc>
          <w:tcPr>
            <w:tcW w:w="1080" w:type="dxa"/>
            <w:vAlign w:val="center"/>
          </w:tcPr>
          <w:p w14:paraId="21A59DEF">
            <w:pPr>
              <w:spacing w:line="360" w:lineRule="auto"/>
              <w:rPr>
                <w:rFonts w:ascii="宋体" w:hAnsi="宋体" w:cs="宋体"/>
                <w:color w:val="auto"/>
                <w:sz w:val="22"/>
                <w:szCs w:val="22"/>
                <w:highlight w:val="none"/>
              </w:rPr>
            </w:pPr>
          </w:p>
        </w:tc>
        <w:tc>
          <w:tcPr>
            <w:tcW w:w="1458" w:type="dxa"/>
            <w:vAlign w:val="center"/>
          </w:tcPr>
          <w:p w14:paraId="69A8976A">
            <w:pPr>
              <w:spacing w:line="360" w:lineRule="auto"/>
              <w:rPr>
                <w:rFonts w:ascii="宋体" w:hAnsi="宋体" w:cs="宋体"/>
                <w:color w:val="auto"/>
                <w:sz w:val="22"/>
                <w:szCs w:val="22"/>
                <w:highlight w:val="none"/>
              </w:rPr>
            </w:pPr>
          </w:p>
        </w:tc>
        <w:tc>
          <w:tcPr>
            <w:tcW w:w="1422" w:type="dxa"/>
            <w:vAlign w:val="center"/>
          </w:tcPr>
          <w:p w14:paraId="03C5BA31">
            <w:pPr>
              <w:spacing w:line="360" w:lineRule="auto"/>
              <w:rPr>
                <w:rFonts w:ascii="宋体" w:hAnsi="宋体" w:cs="宋体"/>
                <w:color w:val="auto"/>
                <w:sz w:val="22"/>
                <w:szCs w:val="22"/>
                <w:highlight w:val="none"/>
              </w:rPr>
            </w:pPr>
          </w:p>
        </w:tc>
      </w:tr>
      <w:tr w14:paraId="2E0D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23026DEA">
            <w:pPr>
              <w:spacing w:line="360" w:lineRule="auto"/>
              <w:rPr>
                <w:rFonts w:ascii="宋体" w:hAnsi="宋体" w:cs="宋体"/>
                <w:color w:val="auto"/>
                <w:sz w:val="22"/>
                <w:szCs w:val="22"/>
                <w:highlight w:val="none"/>
              </w:rPr>
            </w:pPr>
          </w:p>
        </w:tc>
        <w:tc>
          <w:tcPr>
            <w:tcW w:w="2351" w:type="dxa"/>
            <w:vAlign w:val="center"/>
          </w:tcPr>
          <w:p w14:paraId="2F3F66A0">
            <w:pPr>
              <w:spacing w:line="360" w:lineRule="auto"/>
              <w:rPr>
                <w:rFonts w:ascii="宋体" w:hAnsi="宋体" w:cs="宋体"/>
                <w:color w:val="auto"/>
                <w:sz w:val="22"/>
                <w:szCs w:val="22"/>
                <w:highlight w:val="none"/>
              </w:rPr>
            </w:pPr>
          </w:p>
        </w:tc>
        <w:tc>
          <w:tcPr>
            <w:tcW w:w="720" w:type="dxa"/>
            <w:vAlign w:val="center"/>
          </w:tcPr>
          <w:p w14:paraId="2E50DFF1">
            <w:pPr>
              <w:spacing w:line="360" w:lineRule="auto"/>
              <w:rPr>
                <w:rFonts w:ascii="宋体" w:hAnsi="宋体" w:cs="宋体"/>
                <w:color w:val="auto"/>
                <w:sz w:val="22"/>
                <w:szCs w:val="22"/>
                <w:highlight w:val="none"/>
              </w:rPr>
            </w:pPr>
          </w:p>
        </w:tc>
        <w:tc>
          <w:tcPr>
            <w:tcW w:w="720" w:type="dxa"/>
            <w:vAlign w:val="center"/>
          </w:tcPr>
          <w:p w14:paraId="6FABF5E4">
            <w:pPr>
              <w:spacing w:line="360" w:lineRule="auto"/>
              <w:rPr>
                <w:rFonts w:ascii="宋体" w:hAnsi="宋体" w:cs="宋体"/>
                <w:color w:val="auto"/>
                <w:sz w:val="22"/>
                <w:szCs w:val="22"/>
                <w:highlight w:val="none"/>
              </w:rPr>
            </w:pPr>
          </w:p>
        </w:tc>
        <w:tc>
          <w:tcPr>
            <w:tcW w:w="720" w:type="dxa"/>
            <w:vAlign w:val="center"/>
          </w:tcPr>
          <w:p w14:paraId="330527C3">
            <w:pPr>
              <w:spacing w:line="360" w:lineRule="auto"/>
              <w:rPr>
                <w:rFonts w:ascii="宋体" w:hAnsi="宋体" w:cs="宋体"/>
                <w:color w:val="auto"/>
                <w:sz w:val="22"/>
                <w:szCs w:val="22"/>
                <w:highlight w:val="none"/>
              </w:rPr>
            </w:pPr>
          </w:p>
        </w:tc>
        <w:tc>
          <w:tcPr>
            <w:tcW w:w="1080" w:type="dxa"/>
            <w:vAlign w:val="center"/>
          </w:tcPr>
          <w:p w14:paraId="67D32819">
            <w:pPr>
              <w:spacing w:line="360" w:lineRule="auto"/>
              <w:rPr>
                <w:rFonts w:ascii="宋体" w:hAnsi="宋体" w:cs="宋体"/>
                <w:color w:val="auto"/>
                <w:sz w:val="22"/>
                <w:szCs w:val="22"/>
                <w:highlight w:val="none"/>
              </w:rPr>
            </w:pPr>
          </w:p>
        </w:tc>
        <w:tc>
          <w:tcPr>
            <w:tcW w:w="1458" w:type="dxa"/>
            <w:vAlign w:val="center"/>
          </w:tcPr>
          <w:p w14:paraId="2AB63321">
            <w:pPr>
              <w:spacing w:line="360" w:lineRule="auto"/>
              <w:rPr>
                <w:rFonts w:ascii="宋体" w:hAnsi="宋体" w:cs="宋体"/>
                <w:color w:val="auto"/>
                <w:sz w:val="22"/>
                <w:szCs w:val="22"/>
                <w:highlight w:val="none"/>
              </w:rPr>
            </w:pPr>
          </w:p>
        </w:tc>
        <w:tc>
          <w:tcPr>
            <w:tcW w:w="1422" w:type="dxa"/>
            <w:vAlign w:val="center"/>
          </w:tcPr>
          <w:p w14:paraId="2AD44FFB">
            <w:pPr>
              <w:spacing w:line="360" w:lineRule="auto"/>
              <w:rPr>
                <w:rFonts w:ascii="宋体" w:hAnsi="宋体" w:cs="宋体"/>
                <w:color w:val="auto"/>
                <w:sz w:val="22"/>
                <w:szCs w:val="22"/>
                <w:highlight w:val="none"/>
              </w:rPr>
            </w:pPr>
          </w:p>
        </w:tc>
      </w:tr>
      <w:tr w14:paraId="6099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4968617B">
            <w:pPr>
              <w:spacing w:line="360" w:lineRule="auto"/>
              <w:rPr>
                <w:rFonts w:ascii="宋体" w:hAnsi="宋体" w:cs="宋体"/>
                <w:color w:val="auto"/>
                <w:sz w:val="22"/>
                <w:szCs w:val="22"/>
                <w:highlight w:val="none"/>
              </w:rPr>
            </w:pPr>
          </w:p>
        </w:tc>
        <w:tc>
          <w:tcPr>
            <w:tcW w:w="2351" w:type="dxa"/>
            <w:vAlign w:val="center"/>
          </w:tcPr>
          <w:p w14:paraId="44709209">
            <w:pPr>
              <w:spacing w:line="360" w:lineRule="auto"/>
              <w:rPr>
                <w:rFonts w:ascii="宋体" w:hAnsi="宋体" w:cs="宋体"/>
                <w:color w:val="auto"/>
                <w:sz w:val="22"/>
                <w:szCs w:val="22"/>
                <w:highlight w:val="none"/>
              </w:rPr>
            </w:pPr>
          </w:p>
        </w:tc>
        <w:tc>
          <w:tcPr>
            <w:tcW w:w="720" w:type="dxa"/>
            <w:vAlign w:val="center"/>
          </w:tcPr>
          <w:p w14:paraId="2D9F41C1">
            <w:pPr>
              <w:spacing w:line="360" w:lineRule="auto"/>
              <w:rPr>
                <w:rFonts w:ascii="宋体" w:hAnsi="宋体" w:cs="宋体"/>
                <w:color w:val="auto"/>
                <w:sz w:val="22"/>
                <w:szCs w:val="22"/>
                <w:highlight w:val="none"/>
              </w:rPr>
            </w:pPr>
          </w:p>
        </w:tc>
        <w:tc>
          <w:tcPr>
            <w:tcW w:w="720" w:type="dxa"/>
            <w:vAlign w:val="center"/>
          </w:tcPr>
          <w:p w14:paraId="51AA64D3">
            <w:pPr>
              <w:spacing w:line="360" w:lineRule="auto"/>
              <w:rPr>
                <w:rFonts w:ascii="宋体" w:hAnsi="宋体" w:cs="宋体"/>
                <w:color w:val="auto"/>
                <w:sz w:val="22"/>
                <w:szCs w:val="22"/>
                <w:highlight w:val="none"/>
              </w:rPr>
            </w:pPr>
          </w:p>
        </w:tc>
        <w:tc>
          <w:tcPr>
            <w:tcW w:w="720" w:type="dxa"/>
            <w:vAlign w:val="center"/>
          </w:tcPr>
          <w:p w14:paraId="10EAD915">
            <w:pPr>
              <w:spacing w:line="360" w:lineRule="auto"/>
              <w:rPr>
                <w:rFonts w:ascii="宋体" w:hAnsi="宋体" w:cs="宋体"/>
                <w:color w:val="auto"/>
                <w:sz w:val="22"/>
                <w:szCs w:val="22"/>
                <w:highlight w:val="none"/>
              </w:rPr>
            </w:pPr>
          </w:p>
        </w:tc>
        <w:tc>
          <w:tcPr>
            <w:tcW w:w="1080" w:type="dxa"/>
            <w:vAlign w:val="center"/>
          </w:tcPr>
          <w:p w14:paraId="1C96B9B9">
            <w:pPr>
              <w:spacing w:line="360" w:lineRule="auto"/>
              <w:rPr>
                <w:rFonts w:ascii="宋体" w:hAnsi="宋体" w:cs="宋体"/>
                <w:color w:val="auto"/>
                <w:sz w:val="22"/>
                <w:szCs w:val="22"/>
                <w:highlight w:val="none"/>
              </w:rPr>
            </w:pPr>
          </w:p>
        </w:tc>
        <w:tc>
          <w:tcPr>
            <w:tcW w:w="1458" w:type="dxa"/>
            <w:vAlign w:val="center"/>
          </w:tcPr>
          <w:p w14:paraId="5D5F9F6F">
            <w:pPr>
              <w:spacing w:line="360" w:lineRule="auto"/>
              <w:rPr>
                <w:rFonts w:ascii="宋体" w:hAnsi="宋体" w:cs="宋体"/>
                <w:color w:val="auto"/>
                <w:sz w:val="22"/>
                <w:szCs w:val="22"/>
                <w:highlight w:val="none"/>
              </w:rPr>
            </w:pPr>
          </w:p>
        </w:tc>
        <w:tc>
          <w:tcPr>
            <w:tcW w:w="1422" w:type="dxa"/>
            <w:vAlign w:val="center"/>
          </w:tcPr>
          <w:p w14:paraId="38744C20">
            <w:pPr>
              <w:spacing w:line="360" w:lineRule="auto"/>
              <w:rPr>
                <w:rFonts w:ascii="宋体" w:hAnsi="宋体" w:cs="宋体"/>
                <w:color w:val="auto"/>
                <w:sz w:val="22"/>
                <w:szCs w:val="22"/>
                <w:highlight w:val="none"/>
              </w:rPr>
            </w:pPr>
          </w:p>
        </w:tc>
      </w:tr>
      <w:tr w14:paraId="5BFD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73A7B5EF">
            <w:pPr>
              <w:spacing w:line="360" w:lineRule="auto"/>
              <w:rPr>
                <w:rFonts w:ascii="宋体" w:hAnsi="宋体" w:cs="宋体"/>
                <w:color w:val="auto"/>
                <w:sz w:val="22"/>
                <w:szCs w:val="22"/>
                <w:highlight w:val="none"/>
              </w:rPr>
            </w:pPr>
          </w:p>
        </w:tc>
        <w:tc>
          <w:tcPr>
            <w:tcW w:w="2351" w:type="dxa"/>
            <w:vAlign w:val="center"/>
          </w:tcPr>
          <w:p w14:paraId="03FB7A81">
            <w:pPr>
              <w:spacing w:line="360" w:lineRule="auto"/>
              <w:rPr>
                <w:rFonts w:ascii="宋体" w:hAnsi="宋体" w:cs="宋体"/>
                <w:color w:val="auto"/>
                <w:sz w:val="22"/>
                <w:szCs w:val="22"/>
                <w:highlight w:val="none"/>
              </w:rPr>
            </w:pPr>
          </w:p>
        </w:tc>
        <w:tc>
          <w:tcPr>
            <w:tcW w:w="720" w:type="dxa"/>
            <w:vAlign w:val="center"/>
          </w:tcPr>
          <w:p w14:paraId="619750E5">
            <w:pPr>
              <w:spacing w:line="360" w:lineRule="auto"/>
              <w:rPr>
                <w:rFonts w:ascii="宋体" w:hAnsi="宋体" w:cs="宋体"/>
                <w:color w:val="auto"/>
                <w:sz w:val="22"/>
                <w:szCs w:val="22"/>
                <w:highlight w:val="none"/>
              </w:rPr>
            </w:pPr>
          </w:p>
        </w:tc>
        <w:tc>
          <w:tcPr>
            <w:tcW w:w="720" w:type="dxa"/>
            <w:vAlign w:val="center"/>
          </w:tcPr>
          <w:p w14:paraId="05075D94">
            <w:pPr>
              <w:spacing w:line="360" w:lineRule="auto"/>
              <w:rPr>
                <w:rFonts w:ascii="宋体" w:hAnsi="宋体" w:cs="宋体"/>
                <w:color w:val="auto"/>
                <w:sz w:val="22"/>
                <w:szCs w:val="22"/>
                <w:highlight w:val="none"/>
              </w:rPr>
            </w:pPr>
          </w:p>
        </w:tc>
        <w:tc>
          <w:tcPr>
            <w:tcW w:w="720" w:type="dxa"/>
            <w:vAlign w:val="center"/>
          </w:tcPr>
          <w:p w14:paraId="069D97F6">
            <w:pPr>
              <w:spacing w:line="360" w:lineRule="auto"/>
              <w:rPr>
                <w:rFonts w:ascii="宋体" w:hAnsi="宋体" w:cs="宋体"/>
                <w:color w:val="auto"/>
                <w:sz w:val="22"/>
                <w:szCs w:val="22"/>
                <w:highlight w:val="none"/>
              </w:rPr>
            </w:pPr>
          </w:p>
        </w:tc>
        <w:tc>
          <w:tcPr>
            <w:tcW w:w="1080" w:type="dxa"/>
            <w:vAlign w:val="center"/>
          </w:tcPr>
          <w:p w14:paraId="66DB7DC0">
            <w:pPr>
              <w:spacing w:line="360" w:lineRule="auto"/>
              <w:rPr>
                <w:rFonts w:ascii="宋体" w:hAnsi="宋体" w:cs="宋体"/>
                <w:color w:val="auto"/>
                <w:sz w:val="22"/>
                <w:szCs w:val="22"/>
                <w:highlight w:val="none"/>
              </w:rPr>
            </w:pPr>
          </w:p>
        </w:tc>
        <w:tc>
          <w:tcPr>
            <w:tcW w:w="1458" w:type="dxa"/>
            <w:vAlign w:val="center"/>
          </w:tcPr>
          <w:p w14:paraId="0D74103C">
            <w:pPr>
              <w:spacing w:line="360" w:lineRule="auto"/>
              <w:rPr>
                <w:rFonts w:ascii="宋体" w:hAnsi="宋体" w:cs="宋体"/>
                <w:color w:val="auto"/>
                <w:sz w:val="22"/>
                <w:szCs w:val="22"/>
                <w:highlight w:val="none"/>
              </w:rPr>
            </w:pPr>
          </w:p>
        </w:tc>
        <w:tc>
          <w:tcPr>
            <w:tcW w:w="1422" w:type="dxa"/>
            <w:vAlign w:val="center"/>
          </w:tcPr>
          <w:p w14:paraId="389F8D56">
            <w:pPr>
              <w:spacing w:line="360" w:lineRule="auto"/>
              <w:rPr>
                <w:rFonts w:ascii="宋体" w:hAnsi="宋体" w:cs="宋体"/>
                <w:color w:val="auto"/>
                <w:sz w:val="22"/>
                <w:szCs w:val="22"/>
                <w:highlight w:val="none"/>
              </w:rPr>
            </w:pPr>
          </w:p>
        </w:tc>
      </w:tr>
      <w:tr w14:paraId="709F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3904533B">
            <w:pPr>
              <w:spacing w:line="360" w:lineRule="auto"/>
              <w:rPr>
                <w:rFonts w:ascii="宋体" w:hAnsi="宋体" w:cs="宋体"/>
                <w:color w:val="auto"/>
                <w:sz w:val="22"/>
                <w:szCs w:val="22"/>
                <w:highlight w:val="none"/>
              </w:rPr>
            </w:pPr>
          </w:p>
        </w:tc>
        <w:tc>
          <w:tcPr>
            <w:tcW w:w="2351" w:type="dxa"/>
            <w:vAlign w:val="center"/>
          </w:tcPr>
          <w:p w14:paraId="75F9E29C">
            <w:pPr>
              <w:spacing w:line="360" w:lineRule="auto"/>
              <w:rPr>
                <w:rFonts w:ascii="宋体" w:hAnsi="宋体" w:cs="宋体"/>
                <w:color w:val="auto"/>
                <w:sz w:val="22"/>
                <w:szCs w:val="22"/>
                <w:highlight w:val="none"/>
              </w:rPr>
            </w:pPr>
          </w:p>
        </w:tc>
        <w:tc>
          <w:tcPr>
            <w:tcW w:w="720" w:type="dxa"/>
            <w:vAlign w:val="center"/>
          </w:tcPr>
          <w:p w14:paraId="0E777542">
            <w:pPr>
              <w:spacing w:line="360" w:lineRule="auto"/>
              <w:rPr>
                <w:rFonts w:ascii="宋体" w:hAnsi="宋体" w:cs="宋体"/>
                <w:color w:val="auto"/>
                <w:sz w:val="22"/>
                <w:szCs w:val="22"/>
                <w:highlight w:val="none"/>
              </w:rPr>
            </w:pPr>
          </w:p>
        </w:tc>
        <w:tc>
          <w:tcPr>
            <w:tcW w:w="720" w:type="dxa"/>
            <w:vAlign w:val="center"/>
          </w:tcPr>
          <w:p w14:paraId="17DA1EC0">
            <w:pPr>
              <w:spacing w:line="360" w:lineRule="auto"/>
              <w:rPr>
                <w:rFonts w:ascii="宋体" w:hAnsi="宋体" w:cs="宋体"/>
                <w:color w:val="auto"/>
                <w:sz w:val="22"/>
                <w:szCs w:val="22"/>
                <w:highlight w:val="none"/>
              </w:rPr>
            </w:pPr>
          </w:p>
        </w:tc>
        <w:tc>
          <w:tcPr>
            <w:tcW w:w="720" w:type="dxa"/>
            <w:vAlign w:val="center"/>
          </w:tcPr>
          <w:p w14:paraId="25DA60F3">
            <w:pPr>
              <w:spacing w:line="360" w:lineRule="auto"/>
              <w:rPr>
                <w:rFonts w:ascii="宋体" w:hAnsi="宋体" w:cs="宋体"/>
                <w:color w:val="auto"/>
                <w:sz w:val="22"/>
                <w:szCs w:val="22"/>
                <w:highlight w:val="none"/>
              </w:rPr>
            </w:pPr>
          </w:p>
        </w:tc>
        <w:tc>
          <w:tcPr>
            <w:tcW w:w="1080" w:type="dxa"/>
            <w:vAlign w:val="center"/>
          </w:tcPr>
          <w:p w14:paraId="45C622C5">
            <w:pPr>
              <w:spacing w:line="360" w:lineRule="auto"/>
              <w:rPr>
                <w:rFonts w:ascii="宋体" w:hAnsi="宋体" w:cs="宋体"/>
                <w:color w:val="auto"/>
                <w:sz w:val="22"/>
                <w:szCs w:val="22"/>
                <w:highlight w:val="none"/>
              </w:rPr>
            </w:pPr>
          </w:p>
        </w:tc>
        <w:tc>
          <w:tcPr>
            <w:tcW w:w="1458" w:type="dxa"/>
            <w:vAlign w:val="center"/>
          </w:tcPr>
          <w:p w14:paraId="5D30A6E6">
            <w:pPr>
              <w:spacing w:line="360" w:lineRule="auto"/>
              <w:rPr>
                <w:rFonts w:ascii="宋体" w:hAnsi="宋体" w:cs="宋体"/>
                <w:color w:val="auto"/>
                <w:sz w:val="22"/>
                <w:szCs w:val="22"/>
                <w:highlight w:val="none"/>
              </w:rPr>
            </w:pPr>
          </w:p>
        </w:tc>
        <w:tc>
          <w:tcPr>
            <w:tcW w:w="1422" w:type="dxa"/>
            <w:vAlign w:val="center"/>
          </w:tcPr>
          <w:p w14:paraId="2E7F9C66">
            <w:pPr>
              <w:spacing w:line="360" w:lineRule="auto"/>
              <w:rPr>
                <w:rFonts w:ascii="宋体" w:hAnsi="宋体" w:cs="宋体"/>
                <w:color w:val="auto"/>
                <w:sz w:val="22"/>
                <w:szCs w:val="22"/>
                <w:highlight w:val="none"/>
              </w:rPr>
            </w:pPr>
          </w:p>
        </w:tc>
      </w:tr>
      <w:tr w14:paraId="7877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trPr>
        <w:tc>
          <w:tcPr>
            <w:tcW w:w="911" w:type="dxa"/>
            <w:vAlign w:val="center"/>
          </w:tcPr>
          <w:p w14:paraId="3B10B88C">
            <w:pPr>
              <w:spacing w:line="360" w:lineRule="auto"/>
              <w:rPr>
                <w:rFonts w:ascii="宋体" w:hAnsi="宋体" w:cs="宋体"/>
                <w:color w:val="auto"/>
                <w:sz w:val="22"/>
                <w:szCs w:val="22"/>
                <w:highlight w:val="none"/>
              </w:rPr>
            </w:pPr>
          </w:p>
        </w:tc>
        <w:tc>
          <w:tcPr>
            <w:tcW w:w="2351" w:type="dxa"/>
            <w:vAlign w:val="center"/>
          </w:tcPr>
          <w:p w14:paraId="0B84B88A">
            <w:pPr>
              <w:spacing w:line="360" w:lineRule="auto"/>
              <w:rPr>
                <w:rFonts w:ascii="宋体" w:hAnsi="宋体" w:cs="宋体"/>
                <w:color w:val="auto"/>
                <w:sz w:val="22"/>
                <w:szCs w:val="22"/>
                <w:highlight w:val="none"/>
              </w:rPr>
            </w:pPr>
          </w:p>
        </w:tc>
        <w:tc>
          <w:tcPr>
            <w:tcW w:w="720" w:type="dxa"/>
            <w:vAlign w:val="center"/>
          </w:tcPr>
          <w:p w14:paraId="7DA84C43">
            <w:pPr>
              <w:spacing w:line="360" w:lineRule="auto"/>
              <w:rPr>
                <w:rFonts w:ascii="宋体" w:hAnsi="宋体" w:cs="宋体"/>
                <w:color w:val="auto"/>
                <w:sz w:val="22"/>
                <w:szCs w:val="22"/>
                <w:highlight w:val="none"/>
              </w:rPr>
            </w:pPr>
          </w:p>
        </w:tc>
        <w:tc>
          <w:tcPr>
            <w:tcW w:w="720" w:type="dxa"/>
            <w:vAlign w:val="center"/>
          </w:tcPr>
          <w:p w14:paraId="3C82A724">
            <w:pPr>
              <w:spacing w:line="360" w:lineRule="auto"/>
              <w:rPr>
                <w:rFonts w:ascii="宋体" w:hAnsi="宋体" w:cs="宋体"/>
                <w:color w:val="auto"/>
                <w:sz w:val="22"/>
                <w:szCs w:val="22"/>
                <w:highlight w:val="none"/>
              </w:rPr>
            </w:pPr>
          </w:p>
        </w:tc>
        <w:tc>
          <w:tcPr>
            <w:tcW w:w="720" w:type="dxa"/>
            <w:vAlign w:val="center"/>
          </w:tcPr>
          <w:p w14:paraId="7B52F334">
            <w:pPr>
              <w:spacing w:line="360" w:lineRule="auto"/>
              <w:rPr>
                <w:rFonts w:ascii="宋体" w:hAnsi="宋体" w:cs="宋体"/>
                <w:color w:val="auto"/>
                <w:sz w:val="22"/>
                <w:szCs w:val="22"/>
                <w:highlight w:val="none"/>
              </w:rPr>
            </w:pPr>
          </w:p>
        </w:tc>
        <w:tc>
          <w:tcPr>
            <w:tcW w:w="1080" w:type="dxa"/>
            <w:vAlign w:val="center"/>
          </w:tcPr>
          <w:p w14:paraId="38491E02">
            <w:pPr>
              <w:spacing w:line="360" w:lineRule="auto"/>
              <w:rPr>
                <w:rFonts w:ascii="宋体" w:hAnsi="宋体" w:cs="宋体"/>
                <w:color w:val="auto"/>
                <w:sz w:val="22"/>
                <w:szCs w:val="22"/>
                <w:highlight w:val="none"/>
              </w:rPr>
            </w:pPr>
          </w:p>
        </w:tc>
        <w:tc>
          <w:tcPr>
            <w:tcW w:w="1458" w:type="dxa"/>
            <w:vAlign w:val="center"/>
          </w:tcPr>
          <w:p w14:paraId="6810FFFA">
            <w:pPr>
              <w:spacing w:line="360" w:lineRule="auto"/>
              <w:rPr>
                <w:rFonts w:ascii="宋体" w:hAnsi="宋体" w:cs="宋体"/>
                <w:color w:val="auto"/>
                <w:sz w:val="22"/>
                <w:szCs w:val="22"/>
                <w:highlight w:val="none"/>
              </w:rPr>
            </w:pPr>
          </w:p>
        </w:tc>
        <w:tc>
          <w:tcPr>
            <w:tcW w:w="1422" w:type="dxa"/>
            <w:vAlign w:val="center"/>
          </w:tcPr>
          <w:p w14:paraId="6F38FE12">
            <w:pPr>
              <w:spacing w:line="360" w:lineRule="auto"/>
              <w:rPr>
                <w:rFonts w:ascii="宋体" w:hAnsi="宋体" w:cs="宋体"/>
                <w:color w:val="auto"/>
                <w:sz w:val="22"/>
                <w:szCs w:val="22"/>
                <w:highlight w:val="none"/>
              </w:rPr>
            </w:pPr>
          </w:p>
        </w:tc>
      </w:tr>
      <w:tr w14:paraId="1C1D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2DC22072">
            <w:pPr>
              <w:spacing w:line="360" w:lineRule="auto"/>
              <w:rPr>
                <w:rFonts w:ascii="宋体" w:hAnsi="宋体" w:cs="宋体"/>
                <w:color w:val="auto"/>
                <w:sz w:val="22"/>
                <w:szCs w:val="22"/>
                <w:highlight w:val="none"/>
              </w:rPr>
            </w:pPr>
          </w:p>
        </w:tc>
        <w:tc>
          <w:tcPr>
            <w:tcW w:w="2351" w:type="dxa"/>
            <w:vAlign w:val="center"/>
          </w:tcPr>
          <w:p w14:paraId="0B637209">
            <w:pPr>
              <w:spacing w:line="360" w:lineRule="auto"/>
              <w:rPr>
                <w:rFonts w:ascii="宋体" w:hAnsi="宋体" w:cs="宋体"/>
                <w:color w:val="auto"/>
                <w:sz w:val="22"/>
                <w:szCs w:val="22"/>
                <w:highlight w:val="none"/>
              </w:rPr>
            </w:pPr>
          </w:p>
        </w:tc>
        <w:tc>
          <w:tcPr>
            <w:tcW w:w="720" w:type="dxa"/>
            <w:vAlign w:val="center"/>
          </w:tcPr>
          <w:p w14:paraId="011A74BA">
            <w:pPr>
              <w:spacing w:line="360" w:lineRule="auto"/>
              <w:rPr>
                <w:rFonts w:ascii="宋体" w:hAnsi="宋体" w:cs="宋体"/>
                <w:color w:val="auto"/>
                <w:sz w:val="22"/>
                <w:szCs w:val="22"/>
                <w:highlight w:val="none"/>
              </w:rPr>
            </w:pPr>
          </w:p>
        </w:tc>
        <w:tc>
          <w:tcPr>
            <w:tcW w:w="720" w:type="dxa"/>
            <w:vAlign w:val="center"/>
          </w:tcPr>
          <w:p w14:paraId="6EFCB28C">
            <w:pPr>
              <w:spacing w:line="360" w:lineRule="auto"/>
              <w:rPr>
                <w:rFonts w:ascii="宋体" w:hAnsi="宋体" w:cs="宋体"/>
                <w:color w:val="auto"/>
                <w:sz w:val="22"/>
                <w:szCs w:val="22"/>
                <w:highlight w:val="none"/>
              </w:rPr>
            </w:pPr>
          </w:p>
        </w:tc>
        <w:tc>
          <w:tcPr>
            <w:tcW w:w="720" w:type="dxa"/>
            <w:vAlign w:val="center"/>
          </w:tcPr>
          <w:p w14:paraId="6F5AA0CA">
            <w:pPr>
              <w:spacing w:line="360" w:lineRule="auto"/>
              <w:rPr>
                <w:rFonts w:ascii="宋体" w:hAnsi="宋体" w:cs="宋体"/>
                <w:color w:val="auto"/>
                <w:sz w:val="22"/>
                <w:szCs w:val="22"/>
                <w:highlight w:val="none"/>
              </w:rPr>
            </w:pPr>
          </w:p>
        </w:tc>
        <w:tc>
          <w:tcPr>
            <w:tcW w:w="1080" w:type="dxa"/>
            <w:vAlign w:val="center"/>
          </w:tcPr>
          <w:p w14:paraId="02D75B66">
            <w:pPr>
              <w:spacing w:line="360" w:lineRule="auto"/>
              <w:rPr>
                <w:rFonts w:ascii="宋体" w:hAnsi="宋体" w:cs="宋体"/>
                <w:color w:val="auto"/>
                <w:sz w:val="22"/>
                <w:szCs w:val="22"/>
                <w:highlight w:val="none"/>
              </w:rPr>
            </w:pPr>
          </w:p>
        </w:tc>
        <w:tc>
          <w:tcPr>
            <w:tcW w:w="1458" w:type="dxa"/>
            <w:vAlign w:val="center"/>
          </w:tcPr>
          <w:p w14:paraId="1ADA0ED4">
            <w:pPr>
              <w:spacing w:line="360" w:lineRule="auto"/>
              <w:rPr>
                <w:rFonts w:ascii="宋体" w:hAnsi="宋体" w:cs="宋体"/>
                <w:color w:val="auto"/>
                <w:sz w:val="22"/>
                <w:szCs w:val="22"/>
                <w:highlight w:val="none"/>
              </w:rPr>
            </w:pPr>
          </w:p>
        </w:tc>
        <w:tc>
          <w:tcPr>
            <w:tcW w:w="1422" w:type="dxa"/>
            <w:vAlign w:val="center"/>
          </w:tcPr>
          <w:p w14:paraId="3A77AC64">
            <w:pPr>
              <w:spacing w:line="360" w:lineRule="auto"/>
              <w:rPr>
                <w:rFonts w:ascii="宋体" w:hAnsi="宋体" w:cs="宋体"/>
                <w:color w:val="auto"/>
                <w:sz w:val="22"/>
                <w:szCs w:val="22"/>
                <w:highlight w:val="none"/>
              </w:rPr>
            </w:pPr>
          </w:p>
        </w:tc>
      </w:tr>
      <w:tr w14:paraId="1DA8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2B19F67A">
            <w:pPr>
              <w:spacing w:line="360" w:lineRule="auto"/>
              <w:rPr>
                <w:rFonts w:ascii="宋体" w:hAnsi="宋体" w:cs="宋体"/>
                <w:color w:val="auto"/>
                <w:sz w:val="22"/>
                <w:szCs w:val="22"/>
                <w:highlight w:val="none"/>
              </w:rPr>
            </w:pPr>
          </w:p>
        </w:tc>
        <w:tc>
          <w:tcPr>
            <w:tcW w:w="2351" w:type="dxa"/>
            <w:vAlign w:val="center"/>
          </w:tcPr>
          <w:p w14:paraId="1E117167">
            <w:pPr>
              <w:spacing w:line="360" w:lineRule="auto"/>
              <w:rPr>
                <w:rFonts w:ascii="宋体" w:hAnsi="宋体" w:cs="宋体"/>
                <w:color w:val="auto"/>
                <w:sz w:val="22"/>
                <w:szCs w:val="22"/>
                <w:highlight w:val="none"/>
              </w:rPr>
            </w:pPr>
          </w:p>
        </w:tc>
        <w:tc>
          <w:tcPr>
            <w:tcW w:w="720" w:type="dxa"/>
            <w:vAlign w:val="center"/>
          </w:tcPr>
          <w:p w14:paraId="1E38300C">
            <w:pPr>
              <w:spacing w:line="360" w:lineRule="auto"/>
              <w:rPr>
                <w:rFonts w:ascii="宋体" w:hAnsi="宋体" w:cs="宋体"/>
                <w:color w:val="auto"/>
                <w:sz w:val="22"/>
                <w:szCs w:val="22"/>
                <w:highlight w:val="none"/>
              </w:rPr>
            </w:pPr>
          </w:p>
        </w:tc>
        <w:tc>
          <w:tcPr>
            <w:tcW w:w="720" w:type="dxa"/>
            <w:vAlign w:val="center"/>
          </w:tcPr>
          <w:p w14:paraId="6C97F59A">
            <w:pPr>
              <w:spacing w:line="360" w:lineRule="auto"/>
              <w:rPr>
                <w:rFonts w:ascii="宋体" w:hAnsi="宋体" w:cs="宋体"/>
                <w:color w:val="auto"/>
                <w:sz w:val="22"/>
                <w:szCs w:val="22"/>
                <w:highlight w:val="none"/>
              </w:rPr>
            </w:pPr>
          </w:p>
        </w:tc>
        <w:tc>
          <w:tcPr>
            <w:tcW w:w="720" w:type="dxa"/>
            <w:vAlign w:val="center"/>
          </w:tcPr>
          <w:p w14:paraId="1CB60C75">
            <w:pPr>
              <w:spacing w:line="360" w:lineRule="auto"/>
              <w:rPr>
                <w:rFonts w:ascii="宋体" w:hAnsi="宋体" w:cs="宋体"/>
                <w:color w:val="auto"/>
                <w:sz w:val="22"/>
                <w:szCs w:val="22"/>
                <w:highlight w:val="none"/>
              </w:rPr>
            </w:pPr>
          </w:p>
        </w:tc>
        <w:tc>
          <w:tcPr>
            <w:tcW w:w="1080" w:type="dxa"/>
            <w:vAlign w:val="center"/>
          </w:tcPr>
          <w:p w14:paraId="0F08B38E">
            <w:pPr>
              <w:spacing w:line="360" w:lineRule="auto"/>
              <w:rPr>
                <w:rFonts w:ascii="宋体" w:hAnsi="宋体" w:cs="宋体"/>
                <w:color w:val="auto"/>
                <w:sz w:val="22"/>
                <w:szCs w:val="22"/>
                <w:highlight w:val="none"/>
              </w:rPr>
            </w:pPr>
          </w:p>
        </w:tc>
        <w:tc>
          <w:tcPr>
            <w:tcW w:w="1458" w:type="dxa"/>
            <w:vAlign w:val="center"/>
          </w:tcPr>
          <w:p w14:paraId="5BDD1A43">
            <w:pPr>
              <w:spacing w:line="360" w:lineRule="auto"/>
              <w:rPr>
                <w:rFonts w:ascii="宋体" w:hAnsi="宋体" w:cs="宋体"/>
                <w:color w:val="auto"/>
                <w:sz w:val="22"/>
                <w:szCs w:val="22"/>
                <w:highlight w:val="none"/>
              </w:rPr>
            </w:pPr>
          </w:p>
        </w:tc>
        <w:tc>
          <w:tcPr>
            <w:tcW w:w="1422" w:type="dxa"/>
            <w:vAlign w:val="center"/>
          </w:tcPr>
          <w:p w14:paraId="4C4567B6">
            <w:pPr>
              <w:spacing w:line="360" w:lineRule="auto"/>
              <w:rPr>
                <w:rFonts w:ascii="宋体" w:hAnsi="宋体" w:cs="宋体"/>
                <w:color w:val="auto"/>
                <w:sz w:val="22"/>
                <w:szCs w:val="22"/>
                <w:highlight w:val="none"/>
              </w:rPr>
            </w:pPr>
          </w:p>
        </w:tc>
      </w:tr>
      <w:tr w14:paraId="5820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6793F767">
            <w:pPr>
              <w:spacing w:line="360" w:lineRule="auto"/>
              <w:rPr>
                <w:rFonts w:ascii="宋体" w:hAnsi="宋体" w:cs="宋体"/>
                <w:color w:val="auto"/>
                <w:sz w:val="22"/>
                <w:szCs w:val="22"/>
                <w:highlight w:val="none"/>
              </w:rPr>
            </w:pPr>
          </w:p>
        </w:tc>
        <w:tc>
          <w:tcPr>
            <w:tcW w:w="2351" w:type="dxa"/>
            <w:vAlign w:val="center"/>
          </w:tcPr>
          <w:p w14:paraId="328729F2">
            <w:pPr>
              <w:spacing w:line="360" w:lineRule="auto"/>
              <w:rPr>
                <w:rFonts w:ascii="宋体" w:hAnsi="宋体" w:cs="宋体"/>
                <w:color w:val="auto"/>
                <w:sz w:val="22"/>
                <w:szCs w:val="22"/>
                <w:highlight w:val="none"/>
              </w:rPr>
            </w:pPr>
          </w:p>
        </w:tc>
        <w:tc>
          <w:tcPr>
            <w:tcW w:w="720" w:type="dxa"/>
            <w:vAlign w:val="center"/>
          </w:tcPr>
          <w:p w14:paraId="0661089A">
            <w:pPr>
              <w:spacing w:line="360" w:lineRule="auto"/>
              <w:rPr>
                <w:rFonts w:ascii="宋体" w:hAnsi="宋体" w:cs="宋体"/>
                <w:color w:val="auto"/>
                <w:sz w:val="22"/>
                <w:szCs w:val="22"/>
                <w:highlight w:val="none"/>
              </w:rPr>
            </w:pPr>
          </w:p>
        </w:tc>
        <w:tc>
          <w:tcPr>
            <w:tcW w:w="720" w:type="dxa"/>
            <w:vAlign w:val="center"/>
          </w:tcPr>
          <w:p w14:paraId="5393ADB2">
            <w:pPr>
              <w:spacing w:line="360" w:lineRule="auto"/>
              <w:rPr>
                <w:rFonts w:ascii="宋体" w:hAnsi="宋体" w:cs="宋体"/>
                <w:color w:val="auto"/>
                <w:sz w:val="22"/>
                <w:szCs w:val="22"/>
                <w:highlight w:val="none"/>
              </w:rPr>
            </w:pPr>
          </w:p>
        </w:tc>
        <w:tc>
          <w:tcPr>
            <w:tcW w:w="720" w:type="dxa"/>
            <w:vAlign w:val="center"/>
          </w:tcPr>
          <w:p w14:paraId="637B76E1">
            <w:pPr>
              <w:spacing w:line="360" w:lineRule="auto"/>
              <w:rPr>
                <w:rFonts w:ascii="宋体" w:hAnsi="宋体" w:cs="宋体"/>
                <w:color w:val="auto"/>
                <w:sz w:val="22"/>
                <w:szCs w:val="22"/>
                <w:highlight w:val="none"/>
              </w:rPr>
            </w:pPr>
          </w:p>
        </w:tc>
        <w:tc>
          <w:tcPr>
            <w:tcW w:w="1080" w:type="dxa"/>
            <w:vAlign w:val="center"/>
          </w:tcPr>
          <w:p w14:paraId="128C8130">
            <w:pPr>
              <w:spacing w:line="360" w:lineRule="auto"/>
              <w:rPr>
                <w:rFonts w:ascii="宋体" w:hAnsi="宋体" w:cs="宋体"/>
                <w:color w:val="auto"/>
                <w:sz w:val="22"/>
                <w:szCs w:val="22"/>
                <w:highlight w:val="none"/>
              </w:rPr>
            </w:pPr>
          </w:p>
        </w:tc>
        <w:tc>
          <w:tcPr>
            <w:tcW w:w="1458" w:type="dxa"/>
            <w:vAlign w:val="center"/>
          </w:tcPr>
          <w:p w14:paraId="3344D40C">
            <w:pPr>
              <w:spacing w:line="360" w:lineRule="auto"/>
              <w:rPr>
                <w:rFonts w:ascii="宋体" w:hAnsi="宋体" w:cs="宋体"/>
                <w:color w:val="auto"/>
                <w:sz w:val="22"/>
                <w:szCs w:val="22"/>
                <w:highlight w:val="none"/>
              </w:rPr>
            </w:pPr>
          </w:p>
        </w:tc>
        <w:tc>
          <w:tcPr>
            <w:tcW w:w="1422" w:type="dxa"/>
            <w:vAlign w:val="center"/>
          </w:tcPr>
          <w:p w14:paraId="7287A061">
            <w:pPr>
              <w:spacing w:line="360" w:lineRule="auto"/>
              <w:rPr>
                <w:rFonts w:ascii="宋体" w:hAnsi="宋体" w:cs="宋体"/>
                <w:color w:val="auto"/>
                <w:sz w:val="22"/>
                <w:szCs w:val="22"/>
                <w:highlight w:val="none"/>
              </w:rPr>
            </w:pPr>
          </w:p>
        </w:tc>
      </w:tr>
      <w:tr w14:paraId="1F5E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7805A650">
            <w:pPr>
              <w:spacing w:line="360" w:lineRule="auto"/>
              <w:rPr>
                <w:rFonts w:ascii="宋体" w:hAnsi="宋体" w:cs="宋体"/>
                <w:color w:val="auto"/>
                <w:sz w:val="22"/>
                <w:szCs w:val="22"/>
                <w:highlight w:val="none"/>
              </w:rPr>
            </w:pPr>
          </w:p>
        </w:tc>
        <w:tc>
          <w:tcPr>
            <w:tcW w:w="2351" w:type="dxa"/>
            <w:vAlign w:val="center"/>
          </w:tcPr>
          <w:p w14:paraId="0BCA3BE8">
            <w:pPr>
              <w:spacing w:line="360" w:lineRule="auto"/>
              <w:rPr>
                <w:rFonts w:ascii="宋体" w:hAnsi="宋体" w:cs="宋体"/>
                <w:color w:val="auto"/>
                <w:sz w:val="22"/>
                <w:szCs w:val="22"/>
                <w:highlight w:val="none"/>
              </w:rPr>
            </w:pPr>
          </w:p>
        </w:tc>
        <w:tc>
          <w:tcPr>
            <w:tcW w:w="720" w:type="dxa"/>
            <w:vAlign w:val="center"/>
          </w:tcPr>
          <w:p w14:paraId="6868FC09">
            <w:pPr>
              <w:spacing w:line="360" w:lineRule="auto"/>
              <w:rPr>
                <w:rFonts w:ascii="宋体" w:hAnsi="宋体" w:cs="宋体"/>
                <w:color w:val="auto"/>
                <w:sz w:val="22"/>
                <w:szCs w:val="22"/>
                <w:highlight w:val="none"/>
              </w:rPr>
            </w:pPr>
          </w:p>
        </w:tc>
        <w:tc>
          <w:tcPr>
            <w:tcW w:w="720" w:type="dxa"/>
            <w:vAlign w:val="center"/>
          </w:tcPr>
          <w:p w14:paraId="1E99CD6C">
            <w:pPr>
              <w:spacing w:line="360" w:lineRule="auto"/>
              <w:rPr>
                <w:rFonts w:ascii="宋体" w:hAnsi="宋体" w:cs="宋体"/>
                <w:color w:val="auto"/>
                <w:sz w:val="22"/>
                <w:szCs w:val="22"/>
                <w:highlight w:val="none"/>
              </w:rPr>
            </w:pPr>
          </w:p>
        </w:tc>
        <w:tc>
          <w:tcPr>
            <w:tcW w:w="720" w:type="dxa"/>
            <w:vAlign w:val="center"/>
          </w:tcPr>
          <w:p w14:paraId="0D6A6E25">
            <w:pPr>
              <w:spacing w:line="360" w:lineRule="auto"/>
              <w:rPr>
                <w:rFonts w:ascii="宋体" w:hAnsi="宋体" w:cs="宋体"/>
                <w:color w:val="auto"/>
                <w:sz w:val="22"/>
                <w:szCs w:val="22"/>
                <w:highlight w:val="none"/>
              </w:rPr>
            </w:pPr>
          </w:p>
        </w:tc>
        <w:tc>
          <w:tcPr>
            <w:tcW w:w="1080" w:type="dxa"/>
            <w:vAlign w:val="center"/>
          </w:tcPr>
          <w:p w14:paraId="471046FA">
            <w:pPr>
              <w:spacing w:line="360" w:lineRule="auto"/>
              <w:rPr>
                <w:rFonts w:ascii="宋体" w:hAnsi="宋体" w:cs="宋体"/>
                <w:color w:val="auto"/>
                <w:sz w:val="22"/>
                <w:szCs w:val="22"/>
                <w:highlight w:val="none"/>
              </w:rPr>
            </w:pPr>
          </w:p>
        </w:tc>
        <w:tc>
          <w:tcPr>
            <w:tcW w:w="1458" w:type="dxa"/>
            <w:vAlign w:val="center"/>
          </w:tcPr>
          <w:p w14:paraId="567FADE0">
            <w:pPr>
              <w:spacing w:line="360" w:lineRule="auto"/>
              <w:rPr>
                <w:rFonts w:ascii="宋体" w:hAnsi="宋体" w:cs="宋体"/>
                <w:color w:val="auto"/>
                <w:sz w:val="22"/>
                <w:szCs w:val="22"/>
                <w:highlight w:val="none"/>
              </w:rPr>
            </w:pPr>
          </w:p>
        </w:tc>
        <w:tc>
          <w:tcPr>
            <w:tcW w:w="1422" w:type="dxa"/>
            <w:vAlign w:val="center"/>
          </w:tcPr>
          <w:p w14:paraId="7B3E4808">
            <w:pPr>
              <w:spacing w:line="360" w:lineRule="auto"/>
              <w:rPr>
                <w:rFonts w:ascii="宋体" w:hAnsi="宋体" w:cs="宋体"/>
                <w:color w:val="auto"/>
                <w:sz w:val="22"/>
                <w:szCs w:val="22"/>
                <w:highlight w:val="none"/>
              </w:rPr>
            </w:pPr>
          </w:p>
        </w:tc>
      </w:tr>
      <w:tr w14:paraId="0FCF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0224CF8F">
            <w:pPr>
              <w:spacing w:line="360" w:lineRule="auto"/>
              <w:rPr>
                <w:rFonts w:ascii="宋体" w:hAnsi="宋体" w:cs="宋体"/>
                <w:color w:val="auto"/>
                <w:sz w:val="22"/>
                <w:szCs w:val="22"/>
                <w:highlight w:val="none"/>
              </w:rPr>
            </w:pPr>
          </w:p>
        </w:tc>
        <w:tc>
          <w:tcPr>
            <w:tcW w:w="2351" w:type="dxa"/>
            <w:vAlign w:val="center"/>
          </w:tcPr>
          <w:p w14:paraId="593B62E3">
            <w:pPr>
              <w:spacing w:line="360" w:lineRule="auto"/>
              <w:rPr>
                <w:rFonts w:ascii="宋体" w:hAnsi="宋体" w:cs="宋体"/>
                <w:color w:val="auto"/>
                <w:sz w:val="22"/>
                <w:szCs w:val="22"/>
                <w:highlight w:val="none"/>
              </w:rPr>
            </w:pPr>
          </w:p>
        </w:tc>
        <w:tc>
          <w:tcPr>
            <w:tcW w:w="720" w:type="dxa"/>
            <w:vAlign w:val="center"/>
          </w:tcPr>
          <w:p w14:paraId="564D7250">
            <w:pPr>
              <w:spacing w:line="360" w:lineRule="auto"/>
              <w:rPr>
                <w:rFonts w:ascii="宋体" w:hAnsi="宋体" w:cs="宋体"/>
                <w:color w:val="auto"/>
                <w:sz w:val="22"/>
                <w:szCs w:val="22"/>
                <w:highlight w:val="none"/>
              </w:rPr>
            </w:pPr>
          </w:p>
        </w:tc>
        <w:tc>
          <w:tcPr>
            <w:tcW w:w="720" w:type="dxa"/>
            <w:vAlign w:val="center"/>
          </w:tcPr>
          <w:p w14:paraId="74273B5B">
            <w:pPr>
              <w:spacing w:line="360" w:lineRule="auto"/>
              <w:rPr>
                <w:rFonts w:ascii="宋体" w:hAnsi="宋体" w:cs="宋体"/>
                <w:color w:val="auto"/>
                <w:sz w:val="22"/>
                <w:szCs w:val="22"/>
                <w:highlight w:val="none"/>
              </w:rPr>
            </w:pPr>
          </w:p>
        </w:tc>
        <w:tc>
          <w:tcPr>
            <w:tcW w:w="720" w:type="dxa"/>
            <w:vAlign w:val="center"/>
          </w:tcPr>
          <w:p w14:paraId="201CF92A">
            <w:pPr>
              <w:spacing w:line="360" w:lineRule="auto"/>
              <w:rPr>
                <w:rFonts w:ascii="宋体" w:hAnsi="宋体" w:cs="宋体"/>
                <w:color w:val="auto"/>
                <w:sz w:val="22"/>
                <w:szCs w:val="22"/>
                <w:highlight w:val="none"/>
              </w:rPr>
            </w:pPr>
          </w:p>
        </w:tc>
        <w:tc>
          <w:tcPr>
            <w:tcW w:w="1080" w:type="dxa"/>
            <w:vAlign w:val="center"/>
          </w:tcPr>
          <w:p w14:paraId="128F7157">
            <w:pPr>
              <w:spacing w:line="360" w:lineRule="auto"/>
              <w:rPr>
                <w:rFonts w:ascii="宋体" w:hAnsi="宋体" w:cs="宋体"/>
                <w:color w:val="auto"/>
                <w:sz w:val="22"/>
                <w:szCs w:val="22"/>
                <w:highlight w:val="none"/>
              </w:rPr>
            </w:pPr>
          </w:p>
        </w:tc>
        <w:tc>
          <w:tcPr>
            <w:tcW w:w="1458" w:type="dxa"/>
            <w:vAlign w:val="center"/>
          </w:tcPr>
          <w:p w14:paraId="23FBC91C">
            <w:pPr>
              <w:spacing w:line="360" w:lineRule="auto"/>
              <w:rPr>
                <w:rFonts w:ascii="宋体" w:hAnsi="宋体" w:cs="宋体"/>
                <w:color w:val="auto"/>
                <w:sz w:val="22"/>
                <w:szCs w:val="22"/>
                <w:highlight w:val="none"/>
              </w:rPr>
            </w:pPr>
          </w:p>
        </w:tc>
        <w:tc>
          <w:tcPr>
            <w:tcW w:w="1422" w:type="dxa"/>
            <w:vAlign w:val="center"/>
          </w:tcPr>
          <w:p w14:paraId="0D5EFAFC">
            <w:pPr>
              <w:spacing w:line="360" w:lineRule="auto"/>
              <w:rPr>
                <w:rFonts w:ascii="宋体" w:hAnsi="宋体" w:cs="宋体"/>
                <w:color w:val="auto"/>
                <w:sz w:val="22"/>
                <w:szCs w:val="22"/>
                <w:highlight w:val="none"/>
              </w:rPr>
            </w:pPr>
          </w:p>
        </w:tc>
      </w:tr>
      <w:tr w14:paraId="4F96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20678360">
            <w:pPr>
              <w:spacing w:line="360" w:lineRule="auto"/>
              <w:rPr>
                <w:rFonts w:ascii="宋体" w:hAnsi="宋体" w:cs="宋体"/>
                <w:color w:val="auto"/>
                <w:sz w:val="22"/>
                <w:szCs w:val="22"/>
                <w:highlight w:val="none"/>
              </w:rPr>
            </w:pPr>
          </w:p>
        </w:tc>
        <w:tc>
          <w:tcPr>
            <w:tcW w:w="2351" w:type="dxa"/>
            <w:vAlign w:val="center"/>
          </w:tcPr>
          <w:p w14:paraId="3E27CD0C">
            <w:pPr>
              <w:spacing w:line="360" w:lineRule="auto"/>
              <w:rPr>
                <w:rFonts w:ascii="宋体" w:hAnsi="宋体" w:cs="宋体"/>
                <w:color w:val="auto"/>
                <w:sz w:val="22"/>
                <w:szCs w:val="22"/>
                <w:highlight w:val="none"/>
              </w:rPr>
            </w:pPr>
          </w:p>
        </w:tc>
        <w:tc>
          <w:tcPr>
            <w:tcW w:w="720" w:type="dxa"/>
            <w:vAlign w:val="center"/>
          </w:tcPr>
          <w:p w14:paraId="17F210AA">
            <w:pPr>
              <w:spacing w:line="360" w:lineRule="auto"/>
              <w:rPr>
                <w:rFonts w:ascii="宋体" w:hAnsi="宋体" w:cs="宋体"/>
                <w:color w:val="auto"/>
                <w:sz w:val="22"/>
                <w:szCs w:val="22"/>
                <w:highlight w:val="none"/>
              </w:rPr>
            </w:pPr>
          </w:p>
        </w:tc>
        <w:tc>
          <w:tcPr>
            <w:tcW w:w="720" w:type="dxa"/>
            <w:vAlign w:val="center"/>
          </w:tcPr>
          <w:p w14:paraId="3C76124A">
            <w:pPr>
              <w:spacing w:line="360" w:lineRule="auto"/>
              <w:rPr>
                <w:rFonts w:ascii="宋体" w:hAnsi="宋体" w:cs="宋体"/>
                <w:color w:val="auto"/>
                <w:sz w:val="22"/>
                <w:szCs w:val="22"/>
                <w:highlight w:val="none"/>
              </w:rPr>
            </w:pPr>
          </w:p>
        </w:tc>
        <w:tc>
          <w:tcPr>
            <w:tcW w:w="720" w:type="dxa"/>
            <w:vAlign w:val="center"/>
          </w:tcPr>
          <w:p w14:paraId="18A87422">
            <w:pPr>
              <w:spacing w:line="360" w:lineRule="auto"/>
              <w:rPr>
                <w:rFonts w:ascii="宋体" w:hAnsi="宋体" w:cs="宋体"/>
                <w:color w:val="auto"/>
                <w:sz w:val="22"/>
                <w:szCs w:val="22"/>
                <w:highlight w:val="none"/>
              </w:rPr>
            </w:pPr>
          </w:p>
        </w:tc>
        <w:tc>
          <w:tcPr>
            <w:tcW w:w="1080" w:type="dxa"/>
            <w:vAlign w:val="center"/>
          </w:tcPr>
          <w:p w14:paraId="117BE843">
            <w:pPr>
              <w:spacing w:line="360" w:lineRule="auto"/>
              <w:rPr>
                <w:rFonts w:ascii="宋体" w:hAnsi="宋体" w:cs="宋体"/>
                <w:color w:val="auto"/>
                <w:sz w:val="22"/>
                <w:szCs w:val="22"/>
                <w:highlight w:val="none"/>
              </w:rPr>
            </w:pPr>
          </w:p>
        </w:tc>
        <w:tc>
          <w:tcPr>
            <w:tcW w:w="1458" w:type="dxa"/>
            <w:vAlign w:val="center"/>
          </w:tcPr>
          <w:p w14:paraId="598A16C0">
            <w:pPr>
              <w:spacing w:line="360" w:lineRule="auto"/>
              <w:rPr>
                <w:rFonts w:ascii="宋体" w:hAnsi="宋体" w:cs="宋体"/>
                <w:color w:val="auto"/>
                <w:sz w:val="22"/>
                <w:szCs w:val="22"/>
                <w:highlight w:val="none"/>
              </w:rPr>
            </w:pPr>
          </w:p>
        </w:tc>
        <w:tc>
          <w:tcPr>
            <w:tcW w:w="1422" w:type="dxa"/>
            <w:vAlign w:val="center"/>
          </w:tcPr>
          <w:p w14:paraId="2197975F">
            <w:pPr>
              <w:spacing w:line="360" w:lineRule="auto"/>
              <w:rPr>
                <w:rFonts w:ascii="宋体" w:hAnsi="宋体" w:cs="宋体"/>
                <w:color w:val="auto"/>
                <w:sz w:val="22"/>
                <w:szCs w:val="22"/>
                <w:highlight w:val="none"/>
              </w:rPr>
            </w:pPr>
          </w:p>
        </w:tc>
      </w:tr>
      <w:tr w14:paraId="5680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1" w:type="dxa"/>
            <w:vAlign w:val="center"/>
          </w:tcPr>
          <w:p w14:paraId="6B0C6E81">
            <w:pPr>
              <w:spacing w:line="360" w:lineRule="auto"/>
              <w:rPr>
                <w:rFonts w:ascii="宋体" w:hAnsi="宋体" w:cs="宋体"/>
                <w:color w:val="auto"/>
                <w:sz w:val="22"/>
                <w:szCs w:val="22"/>
                <w:highlight w:val="none"/>
              </w:rPr>
            </w:pPr>
          </w:p>
        </w:tc>
        <w:tc>
          <w:tcPr>
            <w:tcW w:w="2351" w:type="dxa"/>
            <w:vAlign w:val="center"/>
          </w:tcPr>
          <w:p w14:paraId="56F846B8">
            <w:pPr>
              <w:spacing w:line="360" w:lineRule="auto"/>
              <w:rPr>
                <w:rFonts w:ascii="宋体" w:hAnsi="宋体" w:cs="宋体"/>
                <w:color w:val="auto"/>
                <w:sz w:val="22"/>
                <w:szCs w:val="22"/>
                <w:highlight w:val="none"/>
              </w:rPr>
            </w:pPr>
          </w:p>
        </w:tc>
        <w:tc>
          <w:tcPr>
            <w:tcW w:w="720" w:type="dxa"/>
            <w:vAlign w:val="center"/>
          </w:tcPr>
          <w:p w14:paraId="0DBDE46D">
            <w:pPr>
              <w:spacing w:line="360" w:lineRule="auto"/>
              <w:rPr>
                <w:rFonts w:ascii="宋体" w:hAnsi="宋体" w:cs="宋体"/>
                <w:color w:val="auto"/>
                <w:sz w:val="22"/>
                <w:szCs w:val="22"/>
                <w:highlight w:val="none"/>
              </w:rPr>
            </w:pPr>
          </w:p>
        </w:tc>
        <w:tc>
          <w:tcPr>
            <w:tcW w:w="720" w:type="dxa"/>
            <w:vAlign w:val="center"/>
          </w:tcPr>
          <w:p w14:paraId="48F0EC6F">
            <w:pPr>
              <w:spacing w:line="360" w:lineRule="auto"/>
              <w:rPr>
                <w:rFonts w:ascii="宋体" w:hAnsi="宋体" w:cs="宋体"/>
                <w:color w:val="auto"/>
                <w:sz w:val="22"/>
                <w:szCs w:val="22"/>
                <w:highlight w:val="none"/>
              </w:rPr>
            </w:pPr>
          </w:p>
        </w:tc>
        <w:tc>
          <w:tcPr>
            <w:tcW w:w="720" w:type="dxa"/>
            <w:vAlign w:val="center"/>
          </w:tcPr>
          <w:p w14:paraId="5DAB3910">
            <w:pPr>
              <w:spacing w:line="360" w:lineRule="auto"/>
              <w:rPr>
                <w:rFonts w:ascii="宋体" w:hAnsi="宋体" w:cs="宋体"/>
                <w:color w:val="auto"/>
                <w:sz w:val="22"/>
                <w:szCs w:val="22"/>
                <w:highlight w:val="none"/>
              </w:rPr>
            </w:pPr>
          </w:p>
        </w:tc>
        <w:tc>
          <w:tcPr>
            <w:tcW w:w="1080" w:type="dxa"/>
            <w:vAlign w:val="center"/>
          </w:tcPr>
          <w:p w14:paraId="0CB8F362">
            <w:pPr>
              <w:spacing w:line="360" w:lineRule="auto"/>
              <w:rPr>
                <w:rFonts w:ascii="宋体" w:hAnsi="宋体" w:cs="宋体"/>
                <w:color w:val="auto"/>
                <w:sz w:val="22"/>
                <w:szCs w:val="22"/>
                <w:highlight w:val="none"/>
              </w:rPr>
            </w:pPr>
          </w:p>
        </w:tc>
        <w:tc>
          <w:tcPr>
            <w:tcW w:w="1458" w:type="dxa"/>
            <w:vAlign w:val="center"/>
          </w:tcPr>
          <w:p w14:paraId="2E5D9E8A">
            <w:pPr>
              <w:spacing w:line="360" w:lineRule="auto"/>
              <w:rPr>
                <w:rFonts w:ascii="宋体" w:hAnsi="宋体" w:cs="宋体"/>
                <w:color w:val="auto"/>
                <w:sz w:val="22"/>
                <w:szCs w:val="22"/>
                <w:highlight w:val="none"/>
              </w:rPr>
            </w:pPr>
          </w:p>
        </w:tc>
        <w:tc>
          <w:tcPr>
            <w:tcW w:w="1422" w:type="dxa"/>
            <w:vAlign w:val="center"/>
          </w:tcPr>
          <w:p w14:paraId="5897E6DA">
            <w:pPr>
              <w:spacing w:line="360" w:lineRule="auto"/>
              <w:rPr>
                <w:rFonts w:ascii="宋体" w:hAnsi="宋体" w:cs="宋体"/>
                <w:color w:val="auto"/>
                <w:sz w:val="22"/>
                <w:szCs w:val="22"/>
                <w:highlight w:val="none"/>
              </w:rPr>
            </w:pPr>
          </w:p>
        </w:tc>
      </w:tr>
    </w:tbl>
    <w:p w14:paraId="0D74EEC5">
      <w:pPr>
        <w:spacing w:line="360" w:lineRule="exact"/>
        <w:ind w:left="968" w:hanging="968" w:hangingChars="440"/>
        <w:rPr>
          <w:rFonts w:ascii="宋体" w:hAnsi="宋体" w:cs="宋体"/>
          <w:color w:val="auto"/>
          <w:sz w:val="22"/>
          <w:szCs w:val="22"/>
          <w:highlight w:val="none"/>
        </w:rPr>
      </w:pPr>
      <w:r>
        <w:rPr>
          <w:rFonts w:hint="eastAsia" w:ascii="宋体" w:hAnsi="宋体" w:cs="宋体"/>
          <w:color w:val="auto"/>
          <w:sz w:val="22"/>
          <w:szCs w:val="22"/>
          <w:highlight w:val="none"/>
        </w:rPr>
        <w:t>附注：1、列入本表人员如要更换，需经采购人同意，擅自更换或不到位属违约行为；</w:t>
      </w:r>
    </w:p>
    <w:p w14:paraId="59F8A633">
      <w:pPr>
        <w:spacing w:line="360" w:lineRule="exact"/>
        <w:ind w:left="718" w:leftChars="321" w:hanging="44" w:hangingChars="20"/>
        <w:rPr>
          <w:rFonts w:ascii="宋体" w:hAnsi="宋体" w:cs="宋体"/>
          <w:color w:val="auto"/>
          <w:sz w:val="22"/>
          <w:szCs w:val="22"/>
          <w:highlight w:val="none"/>
        </w:rPr>
      </w:pPr>
      <w:r>
        <w:rPr>
          <w:rFonts w:hint="eastAsia" w:ascii="宋体" w:hAnsi="宋体" w:cs="宋体"/>
          <w:color w:val="auto"/>
          <w:sz w:val="22"/>
          <w:szCs w:val="22"/>
          <w:highlight w:val="none"/>
        </w:rPr>
        <w:t>2、职称/认证证书复印件附后。</w:t>
      </w:r>
    </w:p>
    <w:p w14:paraId="330CD9EE">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0F114C6A">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25AD46E4">
      <w:pPr>
        <w:pStyle w:val="31"/>
        <w:spacing w:line="460" w:lineRule="atLeast"/>
        <w:ind w:left="659" w:leftChars="314" w:firstLine="3740" w:firstLineChars="1700"/>
        <w:rPr>
          <w:rFonts w:hAnsi="宋体" w:cs="宋体"/>
          <w:b w:val="0"/>
          <w:bCs/>
          <w:color w:val="auto"/>
          <w:sz w:val="22"/>
          <w:highlight w:val="none"/>
        </w:rPr>
      </w:pPr>
      <w:r>
        <w:rPr>
          <w:rFonts w:hint="eastAsia" w:hAnsi="宋体" w:cs="宋体"/>
          <w:b w:val="0"/>
          <w:color w:val="auto"/>
          <w:sz w:val="22"/>
          <w:szCs w:val="22"/>
          <w:highlight w:val="none"/>
        </w:rPr>
        <w:t>日  期：</w:t>
      </w:r>
      <w:r>
        <w:rPr>
          <w:rFonts w:hint="eastAsia" w:hAnsi="宋体" w:cs="宋体"/>
          <w:b w:val="0"/>
          <w:bCs/>
          <w:color w:val="auto"/>
          <w:sz w:val="22"/>
          <w:highlight w:val="none"/>
        </w:rPr>
        <w:t xml:space="preserve"> </w:t>
      </w:r>
    </w:p>
    <w:p w14:paraId="03855E24">
      <w:pPr>
        <w:spacing w:line="460" w:lineRule="exact"/>
        <w:ind w:firstLine="4400" w:firstLineChars="2000"/>
        <w:rPr>
          <w:rFonts w:ascii="宋体" w:hAnsi="宋体" w:cs="宋体"/>
          <w:color w:val="auto"/>
          <w:sz w:val="22"/>
          <w:szCs w:val="22"/>
          <w:highlight w:val="none"/>
        </w:rPr>
      </w:pPr>
    </w:p>
    <w:p w14:paraId="2E793F3B">
      <w:pPr>
        <w:spacing w:line="460" w:lineRule="exact"/>
        <w:ind w:firstLine="4400" w:firstLineChars="2000"/>
        <w:rPr>
          <w:rFonts w:ascii="宋体" w:hAnsi="宋体" w:cs="宋体"/>
          <w:color w:val="auto"/>
          <w:sz w:val="22"/>
          <w:szCs w:val="22"/>
          <w:highlight w:val="none"/>
        </w:rPr>
      </w:pPr>
    </w:p>
    <w:p w14:paraId="7C7B7E17">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28A13962">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11、供应商业绩</w:t>
      </w:r>
    </w:p>
    <w:p w14:paraId="4C233659">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WZLCZB（Z）-2024-10454</w:t>
      </w:r>
    </w:p>
    <w:p w14:paraId="7DE8D4B0">
      <w:pPr>
        <w:keepNext/>
        <w:spacing w:line="360" w:lineRule="auto"/>
        <w:rPr>
          <w:rFonts w:ascii="宋体" w:hAnsi="宋体" w:cs="宋体"/>
          <w:b/>
          <w:bCs/>
          <w:color w:val="auto"/>
          <w:sz w:val="22"/>
          <w:szCs w:val="22"/>
          <w:highlight w:val="none"/>
        </w:rPr>
      </w:pPr>
      <w:r>
        <w:rPr>
          <w:rFonts w:hint="eastAsia" w:ascii="宋体" w:hAnsi="宋体" w:cs="宋体"/>
          <w:color w:val="auto"/>
          <w:sz w:val="22"/>
          <w:szCs w:val="22"/>
          <w:highlight w:val="none"/>
        </w:rPr>
        <w:t>项目名称：基层智治综合应用鹿城域</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14:paraId="7262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68345467">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069" w:type="dxa"/>
            <w:vAlign w:val="center"/>
          </w:tcPr>
          <w:p w14:paraId="3A96E5FC">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用户名称</w:t>
            </w:r>
          </w:p>
        </w:tc>
        <w:tc>
          <w:tcPr>
            <w:tcW w:w="2437" w:type="dxa"/>
            <w:vAlign w:val="center"/>
          </w:tcPr>
          <w:p w14:paraId="4A01C3F8">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1737" w:type="dxa"/>
            <w:vAlign w:val="center"/>
          </w:tcPr>
          <w:p w14:paraId="40C7EF9D">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1737" w:type="dxa"/>
            <w:vAlign w:val="center"/>
          </w:tcPr>
          <w:p w14:paraId="514030CD">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联系方式</w:t>
            </w:r>
          </w:p>
        </w:tc>
        <w:tc>
          <w:tcPr>
            <w:tcW w:w="926" w:type="dxa"/>
            <w:vAlign w:val="center"/>
          </w:tcPr>
          <w:p w14:paraId="269D0F5A">
            <w:pPr>
              <w:spacing w:line="380" w:lineRule="exact"/>
              <w:ind w:left="442" w:hanging="442" w:hangingChars="20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备注</w:t>
            </w:r>
          </w:p>
        </w:tc>
      </w:tr>
      <w:tr w14:paraId="0617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4F5C66A9">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26DB4A85">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45C6A416">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7091BCAD">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22002D23">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7BD06DF4">
            <w:pPr>
              <w:spacing w:line="380" w:lineRule="exact"/>
              <w:ind w:left="442" w:hanging="442" w:hangingChars="200"/>
              <w:jc w:val="center"/>
              <w:rPr>
                <w:rFonts w:ascii="宋体" w:hAnsi="宋体" w:cs="宋体"/>
                <w:b/>
                <w:bCs/>
                <w:color w:val="auto"/>
                <w:sz w:val="22"/>
                <w:szCs w:val="22"/>
                <w:highlight w:val="none"/>
              </w:rPr>
            </w:pPr>
          </w:p>
        </w:tc>
      </w:tr>
      <w:tr w14:paraId="3D0E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4211B0C4">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3BB71962">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7A5597B2">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0A9725D">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3F952670">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57F0698F">
            <w:pPr>
              <w:spacing w:line="380" w:lineRule="exact"/>
              <w:ind w:left="442" w:hanging="442" w:hangingChars="200"/>
              <w:jc w:val="center"/>
              <w:rPr>
                <w:rFonts w:ascii="宋体" w:hAnsi="宋体" w:cs="宋体"/>
                <w:b/>
                <w:bCs/>
                <w:color w:val="auto"/>
                <w:sz w:val="22"/>
                <w:szCs w:val="22"/>
                <w:highlight w:val="none"/>
              </w:rPr>
            </w:pPr>
          </w:p>
        </w:tc>
      </w:tr>
      <w:tr w14:paraId="4003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6CD51A09">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4654C361">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3CD840AC">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F35D78E">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5F9B50F4">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647D8FD5">
            <w:pPr>
              <w:spacing w:line="380" w:lineRule="exact"/>
              <w:ind w:left="442" w:hanging="442" w:hangingChars="200"/>
              <w:jc w:val="center"/>
              <w:rPr>
                <w:rFonts w:ascii="宋体" w:hAnsi="宋体" w:cs="宋体"/>
                <w:b/>
                <w:bCs/>
                <w:color w:val="auto"/>
                <w:sz w:val="22"/>
                <w:szCs w:val="22"/>
                <w:highlight w:val="none"/>
              </w:rPr>
            </w:pPr>
          </w:p>
        </w:tc>
      </w:tr>
      <w:tr w14:paraId="201C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6CEF6949">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37A701CB">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1CFC8E5B">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1FEE0916">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9DF442C">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554701C8">
            <w:pPr>
              <w:spacing w:line="380" w:lineRule="exact"/>
              <w:ind w:left="442" w:hanging="442" w:hangingChars="200"/>
              <w:jc w:val="center"/>
              <w:rPr>
                <w:rFonts w:ascii="宋体" w:hAnsi="宋体" w:cs="宋体"/>
                <w:b/>
                <w:bCs/>
                <w:color w:val="auto"/>
                <w:sz w:val="22"/>
                <w:szCs w:val="22"/>
                <w:highlight w:val="none"/>
              </w:rPr>
            </w:pPr>
          </w:p>
        </w:tc>
      </w:tr>
      <w:tr w14:paraId="0E6F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76BE1121">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74A41F30">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574D6C8C">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504A174B">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456C6952">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6B1136CB">
            <w:pPr>
              <w:spacing w:line="380" w:lineRule="exact"/>
              <w:ind w:left="442" w:hanging="442" w:hangingChars="200"/>
              <w:jc w:val="center"/>
              <w:rPr>
                <w:rFonts w:ascii="宋体" w:hAnsi="宋体" w:cs="宋体"/>
                <w:b/>
                <w:bCs/>
                <w:color w:val="auto"/>
                <w:sz w:val="22"/>
                <w:szCs w:val="22"/>
                <w:highlight w:val="none"/>
              </w:rPr>
            </w:pPr>
          </w:p>
        </w:tc>
      </w:tr>
      <w:tr w14:paraId="7F0E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78ADFE4E">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4601DE7C">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50C12778">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1D13FA11">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226D1EFE">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4F4AAE52">
            <w:pPr>
              <w:spacing w:line="380" w:lineRule="exact"/>
              <w:ind w:left="442" w:hanging="442" w:hangingChars="200"/>
              <w:jc w:val="center"/>
              <w:rPr>
                <w:rFonts w:ascii="宋体" w:hAnsi="宋体" w:cs="宋体"/>
                <w:b/>
                <w:bCs/>
                <w:color w:val="auto"/>
                <w:sz w:val="22"/>
                <w:szCs w:val="22"/>
                <w:highlight w:val="none"/>
              </w:rPr>
            </w:pPr>
          </w:p>
        </w:tc>
      </w:tr>
      <w:tr w14:paraId="6DE8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63CDCFF4">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69AFA8DE">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12EE35B3">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578EE0D4">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1F5405D3">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75703D33">
            <w:pPr>
              <w:spacing w:line="380" w:lineRule="exact"/>
              <w:ind w:left="442" w:hanging="442" w:hangingChars="200"/>
              <w:jc w:val="center"/>
              <w:rPr>
                <w:rFonts w:ascii="宋体" w:hAnsi="宋体" w:cs="宋体"/>
                <w:b/>
                <w:bCs/>
                <w:color w:val="auto"/>
                <w:sz w:val="22"/>
                <w:szCs w:val="22"/>
                <w:highlight w:val="none"/>
              </w:rPr>
            </w:pPr>
          </w:p>
        </w:tc>
      </w:tr>
      <w:tr w14:paraId="7985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172670E3">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38C579A0">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0AD7BBB5">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1148B44C">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2D397B29">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1136AC8A">
            <w:pPr>
              <w:spacing w:line="380" w:lineRule="exact"/>
              <w:ind w:left="442" w:hanging="442" w:hangingChars="200"/>
              <w:jc w:val="center"/>
              <w:rPr>
                <w:rFonts w:ascii="宋体" w:hAnsi="宋体" w:cs="宋体"/>
                <w:b/>
                <w:bCs/>
                <w:color w:val="auto"/>
                <w:sz w:val="22"/>
                <w:szCs w:val="22"/>
                <w:highlight w:val="none"/>
              </w:rPr>
            </w:pPr>
          </w:p>
        </w:tc>
      </w:tr>
      <w:tr w14:paraId="3F3E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1EE4233C">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31287D1B">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79543325">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2E3B1771">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2BFF0D6A">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72B25A4C">
            <w:pPr>
              <w:spacing w:line="380" w:lineRule="exact"/>
              <w:ind w:left="442" w:hanging="442" w:hangingChars="200"/>
              <w:jc w:val="center"/>
              <w:rPr>
                <w:rFonts w:ascii="宋体" w:hAnsi="宋体" w:cs="宋体"/>
                <w:b/>
                <w:bCs/>
                <w:color w:val="auto"/>
                <w:sz w:val="22"/>
                <w:szCs w:val="22"/>
                <w:highlight w:val="none"/>
              </w:rPr>
            </w:pPr>
          </w:p>
        </w:tc>
      </w:tr>
      <w:tr w14:paraId="564F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6DB1124C">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3D17D503">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5653A10A">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6155EB60">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3833AD8C">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3195AE60">
            <w:pPr>
              <w:spacing w:line="380" w:lineRule="exact"/>
              <w:ind w:left="442" w:hanging="442" w:hangingChars="200"/>
              <w:jc w:val="center"/>
              <w:rPr>
                <w:rFonts w:ascii="宋体" w:hAnsi="宋体" w:cs="宋体"/>
                <w:b/>
                <w:bCs/>
                <w:color w:val="auto"/>
                <w:sz w:val="22"/>
                <w:szCs w:val="22"/>
                <w:highlight w:val="none"/>
              </w:rPr>
            </w:pPr>
          </w:p>
        </w:tc>
      </w:tr>
      <w:tr w14:paraId="533B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3D9DCE6F">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6A0549EB">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67F1B527">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3EBF91E1">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564C301D">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43DEBE66">
            <w:pPr>
              <w:spacing w:line="380" w:lineRule="exact"/>
              <w:ind w:left="442" w:hanging="442" w:hangingChars="200"/>
              <w:jc w:val="center"/>
              <w:rPr>
                <w:rFonts w:ascii="宋体" w:hAnsi="宋体" w:cs="宋体"/>
                <w:b/>
                <w:bCs/>
                <w:color w:val="auto"/>
                <w:sz w:val="22"/>
                <w:szCs w:val="22"/>
                <w:highlight w:val="none"/>
              </w:rPr>
            </w:pPr>
          </w:p>
        </w:tc>
      </w:tr>
      <w:tr w14:paraId="2127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1E019D5C">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3EFE934F">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47662314">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345C86E4">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5CAF9D63">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5835C085">
            <w:pPr>
              <w:spacing w:line="380" w:lineRule="exact"/>
              <w:ind w:left="442" w:hanging="442" w:hangingChars="200"/>
              <w:jc w:val="center"/>
              <w:rPr>
                <w:rFonts w:ascii="宋体" w:hAnsi="宋体" w:cs="宋体"/>
                <w:b/>
                <w:bCs/>
                <w:color w:val="auto"/>
                <w:sz w:val="22"/>
                <w:szCs w:val="22"/>
                <w:highlight w:val="none"/>
              </w:rPr>
            </w:pPr>
          </w:p>
        </w:tc>
      </w:tr>
      <w:tr w14:paraId="3AC0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0779575C">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55190C82">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3D01B7E2">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5F83F15">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1F98C446">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42AE7B62">
            <w:pPr>
              <w:spacing w:line="380" w:lineRule="exact"/>
              <w:ind w:left="442" w:hanging="442" w:hangingChars="200"/>
              <w:jc w:val="center"/>
              <w:rPr>
                <w:rFonts w:ascii="宋体" w:hAnsi="宋体" w:cs="宋体"/>
                <w:b/>
                <w:bCs/>
                <w:color w:val="auto"/>
                <w:sz w:val="22"/>
                <w:szCs w:val="22"/>
                <w:highlight w:val="none"/>
              </w:rPr>
            </w:pPr>
          </w:p>
        </w:tc>
      </w:tr>
      <w:tr w14:paraId="3C61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14:paraId="7CDD263A">
            <w:pPr>
              <w:spacing w:line="380" w:lineRule="exact"/>
              <w:ind w:left="442" w:hanging="442" w:hangingChars="200"/>
              <w:jc w:val="center"/>
              <w:rPr>
                <w:rFonts w:ascii="宋体" w:hAnsi="宋体" w:cs="宋体"/>
                <w:b/>
                <w:bCs/>
                <w:color w:val="auto"/>
                <w:sz w:val="22"/>
                <w:szCs w:val="22"/>
                <w:highlight w:val="none"/>
              </w:rPr>
            </w:pPr>
          </w:p>
        </w:tc>
        <w:tc>
          <w:tcPr>
            <w:tcW w:w="2069" w:type="dxa"/>
            <w:vAlign w:val="center"/>
          </w:tcPr>
          <w:p w14:paraId="4B1070F6">
            <w:pPr>
              <w:spacing w:line="380" w:lineRule="exact"/>
              <w:ind w:left="442" w:hanging="442" w:hangingChars="200"/>
              <w:jc w:val="center"/>
              <w:rPr>
                <w:rFonts w:ascii="宋体" w:hAnsi="宋体" w:cs="宋体"/>
                <w:b/>
                <w:bCs/>
                <w:color w:val="auto"/>
                <w:sz w:val="22"/>
                <w:szCs w:val="22"/>
                <w:highlight w:val="none"/>
              </w:rPr>
            </w:pPr>
          </w:p>
        </w:tc>
        <w:tc>
          <w:tcPr>
            <w:tcW w:w="2437" w:type="dxa"/>
            <w:vAlign w:val="center"/>
          </w:tcPr>
          <w:p w14:paraId="50CA6ACD">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007027B9">
            <w:pPr>
              <w:spacing w:line="380" w:lineRule="exact"/>
              <w:ind w:left="442" w:hanging="442" w:hangingChars="200"/>
              <w:jc w:val="center"/>
              <w:rPr>
                <w:rFonts w:ascii="宋体" w:hAnsi="宋体" w:cs="宋体"/>
                <w:b/>
                <w:bCs/>
                <w:color w:val="auto"/>
                <w:sz w:val="22"/>
                <w:szCs w:val="22"/>
                <w:highlight w:val="none"/>
              </w:rPr>
            </w:pPr>
          </w:p>
        </w:tc>
        <w:tc>
          <w:tcPr>
            <w:tcW w:w="1737" w:type="dxa"/>
            <w:vAlign w:val="center"/>
          </w:tcPr>
          <w:p w14:paraId="69B0913D">
            <w:pPr>
              <w:spacing w:line="380" w:lineRule="exact"/>
              <w:ind w:left="442" w:hanging="442" w:hangingChars="200"/>
              <w:jc w:val="center"/>
              <w:rPr>
                <w:rFonts w:ascii="宋体" w:hAnsi="宋体" w:cs="宋体"/>
                <w:b/>
                <w:bCs/>
                <w:color w:val="auto"/>
                <w:sz w:val="22"/>
                <w:szCs w:val="22"/>
                <w:highlight w:val="none"/>
              </w:rPr>
            </w:pPr>
          </w:p>
        </w:tc>
        <w:tc>
          <w:tcPr>
            <w:tcW w:w="926" w:type="dxa"/>
            <w:vAlign w:val="center"/>
          </w:tcPr>
          <w:p w14:paraId="35C0B15F">
            <w:pPr>
              <w:spacing w:line="380" w:lineRule="exact"/>
              <w:ind w:left="442" w:hanging="442" w:hangingChars="200"/>
              <w:jc w:val="center"/>
              <w:rPr>
                <w:rFonts w:ascii="宋体" w:hAnsi="宋体" w:cs="宋体"/>
                <w:b/>
                <w:bCs/>
                <w:color w:val="auto"/>
                <w:sz w:val="22"/>
                <w:szCs w:val="22"/>
                <w:highlight w:val="none"/>
              </w:rPr>
            </w:pPr>
          </w:p>
        </w:tc>
      </w:tr>
    </w:tbl>
    <w:p w14:paraId="7C72C4CA">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59F47D1B">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 xml:space="preserve">                                        </w:t>
      </w:r>
      <w:r>
        <w:rPr>
          <w:rFonts w:hint="eastAsia" w:ascii="宋体" w:hAnsi="宋体" w:cs="宋体"/>
          <w:color w:val="auto"/>
          <w:sz w:val="22"/>
          <w:szCs w:val="22"/>
          <w:highlight w:val="none"/>
        </w:rPr>
        <w:t>投标人全称（盖章）：</w:t>
      </w:r>
    </w:p>
    <w:p w14:paraId="13705B3D">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5868F240">
      <w:pPr>
        <w:spacing w:line="460" w:lineRule="exact"/>
        <w:ind w:firstLine="4400" w:firstLineChars="2000"/>
        <w:rPr>
          <w:rFonts w:ascii="宋体" w:hAnsi="宋体" w:cs="宋体"/>
          <w:color w:val="auto"/>
          <w:highlight w:val="none"/>
        </w:rPr>
      </w:pPr>
      <w:r>
        <w:rPr>
          <w:rFonts w:hint="eastAsia" w:ascii="宋体" w:hAnsi="宋体" w:cs="宋体"/>
          <w:color w:val="auto"/>
          <w:sz w:val="22"/>
          <w:szCs w:val="22"/>
          <w:highlight w:val="none"/>
        </w:rPr>
        <w:t>日  期：</w:t>
      </w:r>
    </w:p>
    <w:p w14:paraId="4D2258D7">
      <w:pPr>
        <w:rPr>
          <w:rFonts w:ascii="宋体" w:hAnsi="宋体" w:cs="宋体"/>
          <w:b/>
          <w:color w:val="auto"/>
          <w:sz w:val="24"/>
          <w:highlight w:val="none"/>
        </w:rPr>
      </w:pPr>
      <w:r>
        <w:rPr>
          <w:rFonts w:hint="eastAsia" w:ascii="宋体" w:hAnsi="宋体" w:cs="宋体"/>
          <w:b/>
          <w:color w:val="auto"/>
          <w:sz w:val="24"/>
          <w:highlight w:val="none"/>
        </w:rPr>
        <w:br w:type="page"/>
      </w:r>
    </w:p>
    <w:p w14:paraId="39B716E8">
      <w:pPr>
        <w:spacing w:line="400" w:lineRule="exact"/>
        <w:jc w:val="center"/>
        <w:outlineLvl w:val="3"/>
        <w:rPr>
          <w:rFonts w:ascii="宋体" w:hAnsi="宋体" w:cs="宋体"/>
          <w:b/>
          <w:bCs/>
          <w:color w:val="auto"/>
          <w:sz w:val="28"/>
          <w:szCs w:val="28"/>
          <w:highlight w:val="none"/>
          <w:lang w:val="zh-CN"/>
        </w:rPr>
      </w:pPr>
      <w:r>
        <w:rPr>
          <w:rFonts w:hint="eastAsia" w:ascii="宋体" w:hAnsi="宋体" w:cs="宋体"/>
          <w:b/>
          <w:bCs/>
          <w:color w:val="auto"/>
          <w:sz w:val="28"/>
          <w:szCs w:val="28"/>
          <w:highlight w:val="none"/>
        </w:rPr>
        <w:t>12、售后服务</w:t>
      </w:r>
    </w:p>
    <w:p w14:paraId="3FF6A436">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WZLCZB（Z）-2024-10454</w:t>
      </w:r>
    </w:p>
    <w:p w14:paraId="740694F7">
      <w:pPr>
        <w:keepNext/>
        <w:spacing w:line="360" w:lineRule="auto"/>
        <w:rPr>
          <w:rFonts w:ascii="宋体" w:hAnsi="宋体" w:cs="宋体"/>
          <w:b/>
          <w:bCs/>
          <w:color w:val="auto"/>
          <w:sz w:val="22"/>
          <w:szCs w:val="22"/>
          <w:highlight w:val="none"/>
        </w:rPr>
      </w:pPr>
      <w:r>
        <w:rPr>
          <w:rFonts w:hint="eastAsia" w:ascii="宋体" w:hAnsi="宋体" w:cs="宋体"/>
          <w:color w:val="auto"/>
          <w:sz w:val="22"/>
          <w:szCs w:val="22"/>
          <w:highlight w:val="none"/>
        </w:rPr>
        <w:t>项目名称：基层智治综合应用鹿城域</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45B5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3B8DB068">
            <w:pPr>
              <w:spacing w:line="360" w:lineRule="auto"/>
              <w:rPr>
                <w:rFonts w:ascii="宋体" w:hAnsi="宋体" w:cs="宋体"/>
                <w:color w:val="auto"/>
                <w:sz w:val="22"/>
                <w:szCs w:val="22"/>
                <w:highlight w:val="none"/>
              </w:rPr>
            </w:pPr>
          </w:p>
        </w:tc>
      </w:tr>
    </w:tbl>
    <w:p w14:paraId="58B7F8BA">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24CDE57E">
      <w:pPr>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 xml:space="preserve">                                        </w:t>
      </w:r>
      <w:r>
        <w:rPr>
          <w:rFonts w:hint="eastAsia" w:ascii="宋体" w:hAnsi="宋体" w:cs="宋体"/>
          <w:color w:val="auto"/>
          <w:sz w:val="22"/>
          <w:szCs w:val="22"/>
          <w:highlight w:val="none"/>
        </w:rPr>
        <w:t>投标人全称（盖章）：</w:t>
      </w:r>
    </w:p>
    <w:p w14:paraId="09E9D829">
      <w:pPr>
        <w:spacing w:line="460" w:lineRule="exact"/>
        <w:ind w:firstLine="4400" w:firstLineChars="2000"/>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6B165803">
      <w:pPr>
        <w:spacing w:line="460" w:lineRule="exact"/>
        <w:ind w:firstLine="4400" w:firstLineChars="2000"/>
        <w:rPr>
          <w:rFonts w:ascii="宋体" w:hAnsi="宋体" w:cs="宋体"/>
          <w:color w:val="auto"/>
          <w:highlight w:val="none"/>
        </w:rPr>
      </w:pPr>
      <w:r>
        <w:rPr>
          <w:rFonts w:hint="eastAsia" w:ascii="宋体" w:hAnsi="宋体" w:cs="宋体"/>
          <w:color w:val="auto"/>
          <w:sz w:val="22"/>
          <w:szCs w:val="22"/>
          <w:highlight w:val="none"/>
        </w:rPr>
        <w:t>日  期：</w:t>
      </w:r>
    </w:p>
    <w:p w14:paraId="533B50FE">
      <w:pPr>
        <w:rPr>
          <w:rFonts w:ascii="宋体" w:hAnsi="宋体" w:cs="宋体"/>
          <w:b/>
          <w:color w:val="auto"/>
          <w:sz w:val="24"/>
          <w:highlight w:val="none"/>
        </w:rPr>
      </w:pPr>
      <w:r>
        <w:rPr>
          <w:rFonts w:hint="eastAsia" w:ascii="宋体" w:hAnsi="宋体" w:cs="宋体"/>
          <w:b/>
          <w:color w:val="auto"/>
          <w:sz w:val="24"/>
          <w:highlight w:val="none"/>
        </w:rPr>
        <w:br w:type="page"/>
      </w:r>
    </w:p>
    <w:p w14:paraId="259EFB50">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13、其他必要提供的资料</w:t>
      </w:r>
    </w:p>
    <w:p w14:paraId="5F1BFA23">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WZLCZB（Z）-2024-10454</w:t>
      </w:r>
    </w:p>
    <w:p w14:paraId="4F57F4E5">
      <w:pPr>
        <w:keepNext/>
        <w:spacing w:line="360" w:lineRule="auto"/>
        <w:rPr>
          <w:rFonts w:ascii="宋体" w:hAnsi="宋体" w:cs="宋体"/>
          <w:b/>
          <w:bCs/>
          <w:color w:val="auto"/>
          <w:sz w:val="22"/>
          <w:szCs w:val="22"/>
          <w:highlight w:val="none"/>
        </w:rPr>
      </w:pPr>
      <w:r>
        <w:rPr>
          <w:rFonts w:hint="eastAsia" w:ascii="宋体" w:hAnsi="宋体" w:cs="宋体"/>
          <w:color w:val="auto"/>
          <w:sz w:val="22"/>
          <w:szCs w:val="22"/>
          <w:highlight w:val="none"/>
        </w:rPr>
        <w:t>项目名称：基层智治综合应用鹿城域</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41ED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8" w:hRule="atLeast"/>
          <w:jc w:val="center"/>
        </w:trPr>
        <w:tc>
          <w:tcPr>
            <w:tcW w:w="9801" w:type="dxa"/>
            <w:vAlign w:val="center"/>
          </w:tcPr>
          <w:p w14:paraId="7C5AC968">
            <w:pPr>
              <w:spacing w:line="360" w:lineRule="auto"/>
              <w:rPr>
                <w:rFonts w:ascii="宋体" w:hAnsi="宋体" w:cs="宋体"/>
                <w:color w:val="auto"/>
                <w:sz w:val="22"/>
                <w:szCs w:val="22"/>
                <w:highlight w:val="none"/>
              </w:rPr>
            </w:pPr>
          </w:p>
        </w:tc>
      </w:tr>
    </w:tbl>
    <w:p w14:paraId="5450FC6E">
      <w:pPr>
        <w:spacing w:line="460" w:lineRule="exact"/>
        <w:ind w:firstLine="5060" w:firstLineChars="2300"/>
        <w:rPr>
          <w:rFonts w:ascii="宋体" w:hAnsi="宋体" w:cs="宋体"/>
          <w:color w:val="auto"/>
          <w:sz w:val="22"/>
          <w:szCs w:val="22"/>
          <w:highlight w:val="none"/>
        </w:rPr>
      </w:pPr>
    </w:p>
    <w:p w14:paraId="41F0E76B">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51EADD72">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3A3E35A2">
      <w:pPr>
        <w:spacing w:line="460" w:lineRule="exact"/>
        <w:ind w:firstLine="5060" w:firstLineChars="2300"/>
        <w:rPr>
          <w:rFonts w:ascii="宋体" w:hAnsi="宋体" w:cs="宋体"/>
          <w:color w:val="auto"/>
          <w:sz w:val="22"/>
          <w:szCs w:val="22"/>
          <w:highlight w:val="none"/>
        </w:rPr>
      </w:pPr>
      <w:r>
        <w:rPr>
          <w:rFonts w:hint="eastAsia" w:ascii="宋体" w:hAnsi="宋体" w:cs="宋体"/>
          <w:color w:val="auto"/>
          <w:sz w:val="22"/>
          <w:szCs w:val="22"/>
          <w:highlight w:val="none"/>
        </w:rPr>
        <w:t xml:space="preserve">日   期： </w:t>
      </w:r>
    </w:p>
    <w:p w14:paraId="7F9C4BCF">
      <w:pPr>
        <w:spacing w:line="380" w:lineRule="exact"/>
        <w:ind w:firstLine="4400" w:firstLineChars="2000"/>
        <w:rPr>
          <w:rFonts w:ascii="宋体" w:hAnsi="宋体" w:cs="宋体"/>
          <w:color w:val="auto"/>
          <w:sz w:val="22"/>
          <w:szCs w:val="22"/>
          <w:highlight w:val="none"/>
        </w:rPr>
      </w:pPr>
    </w:p>
    <w:p w14:paraId="2A153ABD">
      <w:pPr>
        <w:spacing w:line="460" w:lineRule="exact"/>
        <w:ind w:firstLine="4400" w:firstLineChars="2000"/>
        <w:rPr>
          <w:rFonts w:ascii="宋体" w:hAnsi="宋体" w:cs="宋体"/>
          <w:color w:val="auto"/>
          <w:sz w:val="22"/>
          <w:szCs w:val="22"/>
          <w:highlight w:val="none"/>
        </w:rPr>
      </w:pPr>
    </w:p>
    <w:p w14:paraId="0B7B25ED">
      <w:pPr>
        <w:rPr>
          <w:rFonts w:ascii="宋体" w:hAnsi="宋体" w:cs="宋体"/>
          <w:color w:val="auto"/>
          <w:sz w:val="22"/>
          <w:szCs w:val="22"/>
          <w:highlight w:val="none"/>
        </w:rPr>
      </w:pPr>
      <w:r>
        <w:rPr>
          <w:rFonts w:hint="eastAsia" w:ascii="宋体" w:hAnsi="宋体" w:cs="宋体"/>
          <w:color w:val="auto"/>
          <w:sz w:val="22"/>
          <w:szCs w:val="22"/>
          <w:highlight w:val="none"/>
        </w:rPr>
        <w:br w:type="page"/>
      </w:r>
    </w:p>
    <w:p w14:paraId="0E6AB098">
      <w:pPr>
        <w:pStyle w:val="2"/>
        <w:numPr>
          <w:ilvl w:val="0"/>
          <w:numId w:val="5"/>
        </w:numPr>
        <w:rPr>
          <w:rFonts w:ascii="宋体" w:hAnsi="宋体" w:eastAsia="宋体" w:cs="宋体"/>
          <w:color w:val="auto"/>
          <w:highlight w:val="none"/>
        </w:rPr>
      </w:pPr>
      <w:r>
        <w:rPr>
          <w:rFonts w:hint="eastAsia" w:ascii="宋体" w:hAnsi="宋体" w:eastAsia="宋体" w:cs="宋体"/>
          <w:color w:val="auto"/>
          <w:highlight w:val="none"/>
        </w:rPr>
        <w:t xml:space="preserve">   </w:t>
      </w:r>
      <w:bookmarkStart w:id="34" w:name="_Toc6900"/>
      <w:r>
        <w:rPr>
          <w:rFonts w:hint="eastAsia" w:ascii="宋体" w:hAnsi="宋体" w:eastAsia="宋体" w:cs="宋体"/>
          <w:color w:val="auto"/>
          <w:highlight w:val="none"/>
        </w:rPr>
        <w:t>项目技术规范和服务要求</w:t>
      </w:r>
      <w:bookmarkEnd w:id="34"/>
    </w:p>
    <w:p w14:paraId="2E05733D">
      <w:pPr>
        <w:pStyle w:val="2"/>
        <w:spacing w:line="360" w:lineRule="auto"/>
        <w:ind w:left="425" w:hanging="425"/>
        <w:jc w:val="both"/>
        <w:rPr>
          <w:rFonts w:ascii="新宋体" w:hAnsi="新宋体" w:eastAsia="新宋体" w:cs="新宋体"/>
          <w:color w:val="auto"/>
          <w:sz w:val="22"/>
          <w:szCs w:val="22"/>
          <w:highlight w:val="none"/>
        </w:rPr>
      </w:pPr>
      <w:bookmarkStart w:id="35" w:name="_Toc23237"/>
      <w:r>
        <w:rPr>
          <w:rFonts w:hint="eastAsia" w:ascii="新宋体" w:hAnsi="新宋体" w:eastAsia="新宋体" w:cs="新宋体"/>
          <w:color w:val="auto"/>
          <w:kern w:val="44"/>
          <w:sz w:val="22"/>
          <w:szCs w:val="22"/>
          <w:highlight w:val="none"/>
        </w:rPr>
        <w:t>一、</w:t>
      </w:r>
      <w:r>
        <w:rPr>
          <w:rFonts w:hint="eastAsia" w:ascii="新宋体" w:hAnsi="新宋体" w:eastAsia="新宋体" w:cs="新宋体"/>
          <w:color w:val="auto"/>
          <w:sz w:val="22"/>
          <w:szCs w:val="22"/>
          <w:highlight w:val="none"/>
        </w:rPr>
        <w:t>项目背景</w:t>
      </w:r>
      <w:bookmarkEnd w:id="35"/>
    </w:p>
    <w:p w14:paraId="2222B198">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当今全球数字化转型的大潮中，中国正以前所未有的决心和力度推进国家治理体系和治理能力现代化，旨在通过科技创新引领社会全面进步。在这一宏大背景下应运而生，紧密围绕习近平新时代中国特色社会主义思想的指导，深入贯彻“八八战略”和“重要窗口”建设要求，积极响应习近平总书记关于网络强国、数字中国的战略部署，旨在通过数字化改革推动政府治理和社会治理的全面升级，为高质量建设共同富裕示范区市域样板注入强劲动力。</w:t>
      </w:r>
    </w:p>
    <w:p w14:paraId="2803E42B">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随着信息技术的飞速发展，数字化已成为推动经济社会变革的重要力量。国家层面高度重视数字政府建设，将其视为提升政府效能、优化营商环境、增进民生福祉的关键举措。本项目以数字化改革为牵引，聚焦数据这一核心资源，通过数据驱动实现政务服务、城市管理、社会治理等领域的深度变革。这不仅是顺应时代潮流的必然选择，也是推动国家治理体系和治理能力现代化的重要途径。</w:t>
      </w:r>
    </w:p>
    <w:p w14:paraId="38551831">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近年来，我国政府监管模式不断创新，特别是“互联网+监管”系统的建设，标志着政府监管进入了一个全新的时代。从2018年国务院办公厅颁布《关于加快“互联网+监管”系统建设和对接工作的通知》以来，我国政府监管逐步实现了从传统模式向智能化、精准化、规范化的转变。随着“互联网+监管”事项清单的制定、全国信用信息共享平台功能的完善以及跨部门综合监管制度的健全，我国网络监管进入了一个跨部门协同、高效运行的新阶段。本项目将充分利用这些成果，进一步推动政府监管模式的创新与升级，为构建新型监管机制提供有力支撑。</w:t>
      </w:r>
    </w:p>
    <w:p w14:paraId="338DF016">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基层治理是国家治理的基石，也是实现共同富裕的重要保障。浙江省作为全国数字化改革的先行者，率先提出了“县乡一体、条抓块统”的基层治理改革方案，并制定了详细的实施意见。该方案明确了基层治理体系建设的重点任务和子任务，为提升基层治理效能、促进共同富裕提供了重要指引。袁家军书记在全省数字化改革推进会上对基层智治系统提出的具体要求，更是为基层治理体系的深化与拓展指明了方向。本项目将积极响应这些要求，推动基层智治架构的重塑和重大应用的贯通落地，为基层治理注入新的活力。</w:t>
      </w:r>
    </w:p>
    <w:p w14:paraId="67403F20">
      <w:pPr>
        <w:pStyle w:val="2"/>
        <w:spacing w:line="360" w:lineRule="auto"/>
        <w:ind w:left="425" w:hanging="425"/>
        <w:jc w:val="both"/>
        <w:rPr>
          <w:rFonts w:ascii="新宋体" w:hAnsi="新宋体" w:eastAsia="新宋体" w:cs="新宋体"/>
          <w:color w:val="auto"/>
          <w:sz w:val="22"/>
          <w:szCs w:val="22"/>
          <w:highlight w:val="none"/>
        </w:rPr>
      </w:pPr>
      <w:bookmarkStart w:id="36" w:name="_Toc15009"/>
      <w:r>
        <w:rPr>
          <w:rFonts w:hint="eastAsia" w:ascii="新宋体" w:hAnsi="新宋体" w:eastAsia="新宋体" w:cs="新宋体"/>
          <w:color w:val="auto"/>
          <w:sz w:val="22"/>
          <w:szCs w:val="22"/>
          <w:highlight w:val="none"/>
        </w:rPr>
        <w:t>二、建设目标</w:t>
      </w:r>
      <w:bookmarkEnd w:id="36"/>
    </w:p>
    <w:p w14:paraId="26C2A53D">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基于当前数字化时代的快速发展及鹿城区社会治理的深化需求，我们进一步细化和更新了鹿城区社会治理中心综合应用的建设目标，以确保其不仅契合当前技术趋势，更能有效应对未来挑战，推动鹿城区社会治理体系和治理能力现代化迈上新高度。在当前数字化转型浪潮中，鹿城区社会治理中心综合应用的建设旨在通过深度融合云计算、大数据、物联网、人工智能、区块链及5G等前沿技术，全面升级基层治理体系和治理能力。立足于全区顶层规划，坚持“以用促建、共建共享”的原则，旨在构建一个高效、智能、协同的城市治理生态系统。</w:t>
      </w:r>
    </w:p>
    <w:p w14:paraId="1449DD3F">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构建智慧化社会治理生态：以云计算、大数据、物联网、人工智能、区块链、5G+等前沿技术为基石，深度融合“数字孪生”理念，打造鹿城区全时空、多维度、高精度的社会治理数字底座。通过构建智慧感知网络，实现城市运行状态的全面、实时、精准监测，为城市治理提供坚实的数据支撑。</w:t>
      </w:r>
    </w:p>
    <w:p w14:paraId="70B96352">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一网统管”深度融合：加速推进“1612”体系与“141”基层治理体系的深度融合，构建全区统一的“一网统管”平台。该平台将整合各部门、各领域的数据资源和业务系统，打破信息孤岛，实现跨部门、跨层级、跨区域的数据共享与业务协同，形成“一屏观全区、一网管全城”的高效治理模式。</w:t>
      </w:r>
    </w:p>
    <w:p w14:paraId="13242BCA">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升决策智能化水平：利用大数据分析和人工智能算法，对海量城市治理数据进行深度挖掘，为政府决策提供科学依据。建立智能预警系统，实现对城市运行风险的提前感知和精准研判，辅助领导层做出更加科学、高效的决策。</w:t>
      </w:r>
    </w:p>
    <w:p w14:paraId="6DB0A68B">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强化基层治理能力：推动区、乡镇（街道）、村社、网格四级应用全面落地，实现治理重心下移、资源下沉、服务上门。通过数字化手段提升基层治理能力，使基层工作者能够更加便捷、高效地处理群众诉求，提升群众满意度和幸福感。</w:t>
      </w:r>
    </w:p>
    <w:p w14:paraId="2CF20B3F">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促进治理模式创新：推动城市治理由传统的人力密集型向人机交互型转变，由经验判断型向数据分析型转变，由被动处置型向主动发现型转变。鼓励创新社会治理模式，如“智慧社区”、“智慧安防”等，提高社会治理的精准度和效率。</w:t>
      </w:r>
    </w:p>
    <w:p w14:paraId="5CA64754">
      <w:pPr>
        <w:pStyle w:val="2"/>
        <w:spacing w:line="360" w:lineRule="auto"/>
        <w:ind w:left="425" w:hanging="425"/>
        <w:jc w:val="both"/>
        <w:rPr>
          <w:rFonts w:ascii="新宋体" w:hAnsi="新宋体" w:eastAsia="新宋体" w:cs="新宋体"/>
          <w:color w:val="auto"/>
          <w:sz w:val="22"/>
          <w:szCs w:val="22"/>
          <w:highlight w:val="none"/>
        </w:rPr>
      </w:pPr>
      <w:bookmarkStart w:id="37" w:name="_Toc11282"/>
      <w:r>
        <w:rPr>
          <w:rFonts w:hint="eastAsia" w:ascii="新宋体" w:hAnsi="新宋体" w:eastAsia="新宋体" w:cs="新宋体"/>
          <w:color w:val="auto"/>
          <w:sz w:val="22"/>
          <w:szCs w:val="22"/>
          <w:highlight w:val="none"/>
        </w:rPr>
        <w:t>三、建设内容</w:t>
      </w:r>
      <w:bookmarkEnd w:id="37"/>
    </w:p>
    <w:p w14:paraId="720B3A61">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1、社会治理中心综合管理</w:t>
      </w:r>
    </w:p>
    <w:p w14:paraId="33CB856A">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社会治理一张图为底座，叠加数字孪生的各项数据，做到一图统览，全面掌握社会治理和城市运行各条跑道核心指标和重要场景。通过统一中心能力底座，包括统一用户中心、统一门户中心、统一权限中心、统一认证中心、统一消息中心、统一算法中心、社会治理数据仓库，实现各类治理要素的全量归集，保障各类服务安全稳定运行，打造灵活可扩展的集成应用框架体系，赋能平台不断迭代发展。设计社会治理业务分析、城市运行展示模型，打造社会治理中心首页总入口，包括城市体征、重要场景、事件晾晒、事件告警、事件分布、值班值守、热点新闻以及工作台内的基础管理模块。</w:t>
      </w:r>
    </w:p>
    <w:p w14:paraId="21C9F5D2">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2、分析研判</w:t>
      </w:r>
    </w:p>
    <w:p w14:paraId="5BE8499C">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负责社会治理的分析研判工作，结合语义分析引擎、数据标注、数据碰撞模型机制，通过定期形成社会治理分析研判报告，发现预警运行风险隐患，并结合基层治理线下排查核实机制形成风险预警防范闭环，提升整体社会治理预防和预警的能力。</w:t>
      </w:r>
    </w:p>
    <w:p w14:paraId="795CDB15">
      <w:pPr>
        <w:spacing w:line="360" w:lineRule="auto"/>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3、协同流转</w:t>
      </w:r>
    </w:p>
    <w:p w14:paraId="7A4DA6AB">
      <w:pPr>
        <w:spacing w:line="360" w:lineRule="auto"/>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负责县级社会治理事件协同流转处置工作，加强基层智治综合应用平台的任务、事件管理，督促平台事件分类处置，统筹协调部门间业务协同联办处置。</w:t>
      </w:r>
    </w:p>
    <w:p w14:paraId="0FFFD9A5">
      <w:pPr>
        <w:pStyle w:val="2"/>
        <w:spacing w:line="360" w:lineRule="auto"/>
        <w:ind w:left="425" w:hanging="425"/>
        <w:jc w:val="both"/>
        <w:rPr>
          <w:rFonts w:ascii="新宋体" w:hAnsi="新宋体" w:eastAsia="新宋体" w:cs="新宋体"/>
          <w:color w:val="auto"/>
          <w:sz w:val="22"/>
          <w:szCs w:val="22"/>
          <w:highlight w:val="none"/>
        </w:rPr>
      </w:pPr>
      <w:bookmarkStart w:id="38" w:name="_Toc6118"/>
      <w:r>
        <w:rPr>
          <w:rFonts w:hint="eastAsia" w:ascii="新宋体" w:hAnsi="新宋体" w:eastAsia="新宋体" w:cs="新宋体"/>
          <w:color w:val="auto"/>
          <w:sz w:val="22"/>
          <w:szCs w:val="22"/>
          <w:highlight w:val="none"/>
        </w:rPr>
        <w:t>四、技术要求</w:t>
      </w:r>
      <w:bookmarkEnd w:id="38"/>
    </w:p>
    <w:tbl>
      <w:tblPr>
        <w:tblStyle w:val="52"/>
        <w:tblW w:w="96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900"/>
        <w:gridCol w:w="1160"/>
        <w:gridCol w:w="1980"/>
        <w:gridCol w:w="5008"/>
      </w:tblGrid>
      <w:tr w14:paraId="389A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80" w:type="dxa"/>
            <w:noWrap/>
            <w:vAlign w:val="center"/>
          </w:tcPr>
          <w:p w14:paraId="654D5B97">
            <w:pPr>
              <w:widowControl/>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xml:space="preserve">编号 </w:t>
            </w:r>
          </w:p>
        </w:tc>
        <w:tc>
          <w:tcPr>
            <w:tcW w:w="900" w:type="dxa"/>
            <w:vAlign w:val="center"/>
          </w:tcPr>
          <w:p w14:paraId="63BFA916">
            <w:pPr>
              <w:widowControl/>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xml:space="preserve">子系统 </w:t>
            </w:r>
          </w:p>
        </w:tc>
        <w:tc>
          <w:tcPr>
            <w:tcW w:w="1160" w:type="dxa"/>
            <w:vAlign w:val="center"/>
          </w:tcPr>
          <w:p w14:paraId="4AC6AD26">
            <w:pPr>
              <w:widowControl/>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xml:space="preserve">模块 </w:t>
            </w:r>
          </w:p>
        </w:tc>
        <w:tc>
          <w:tcPr>
            <w:tcW w:w="1980" w:type="dxa"/>
            <w:vAlign w:val="center"/>
          </w:tcPr>
          <w:p w14:paraId="42ED63D2">
            <w:pPr>
              <w:widowControl/>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子模块</w:t>
            </w:r>
          </w:p>
        </w:tc>
        <w:tc>
          <w:tcPr>
            <w:tcW w:w="5008" w:type="dxa"/>
            <w:vAlign w:val="center"/>
          </w:tcPr>
          <w:p w14:paraId="281B410A">
            <w:pPr>
              <w:widowControl/>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功能描述</w:t>
            </w:r>
          </w:p>
        </w:tc>
      </w:tr>
      <w:tr w14:paraId="3EA1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80" w:type="dxa"/>
            <w:vAlign w:val="center"/>
          </w:tcPr>
          <w:p w14:paraId="2728A89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900" w:type="dxa"/>
            <w:vMerge w:val="restart"/>
            <w:vAlign w:val="center"/>
          </w:tcPr>
          <w:p w14:paraId="5DD89B5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社会治理中心综合管理</w:t>
            </w:r>
          </w:p>
        </w:tc>
        <w:tc>
          <w:tcPr>
            <w:tcW w:w="1160" w:type="dxa"/>
            <w:vMerge w:val="restart"/>
            <w:vAlign w:val="center"/>
          </w:tcPr>
          <w:p w14:paraId="59CC6DC9">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社会治理中心地图组件</w:t>
            </w:r>
          </w:p>
        </w:tc>
        <w:tc>
          <w:tcPr>
            <w:tcW w:w="1980" w:type="dxa"/>
            <w:vMerge w:val="restart"/>
            <w:vAlign w:val="center"/>
          </w:tcPr>
          <w:p w14:paraId="129CAAAA">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鹿城城脑资源图层对接及改造</w:t>
            </w:r>
          </w:p>
        </w:tc>
        <w:tc>
          <w:tcPr>
            <w:tcW w:w="5008" w:type="dxa"/>
            <w:vMerge w:val="restart"/>
            <w:vAlign w:val="center"/>
          </w:tcPr>
          <w:p w14:paraId="1F4BEBCA">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对接已建的资源图层及部分资源采用直接复用或按需进行适应性改造</w:t>
            </w:r>
          </w:p>
        </w:tc>
      </w:tr>
      <w:tr w14:paraId="172D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80" w:type="dxa"/>
            <w:vAlign w:val="center"/>
          </w:tcPr>
          <w:p w14:paraId="512FA803">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900" w:type="dxa"/>
            <w:vMerge w:val="continue"/>
            <w:vAlign w:val="center"/>
          </w:tcPr>
          <w:p w14:paraId="2C4D5E72">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2F2D0FB6">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6EC079DA">
            <w:pPr>
              <w:widowControl/>
              <w:jc w:val="left"/>
              <w:rPr>
                <w:rFonts w:ascii="新宋体" w:hAnsi="新宋体" w:eastAsia="新宋体" w:cs="新宋体"/>
                <w:color w:val="auto"/>
                <w:kern w:val="0"/>
                <w:sz w:val="22"/>
                <w:szCs w:val="22"/>
                <w:highlight w:val="none"/>
              </w:rPr>
            </w:pPr>
          </w:p>
        </w:tc>
        <w:tc>
          <w:tcPr>
            <w:tcW w:w="5008" w:type="dxa"/>
            <w:vMerge w:val="continue"/>
            <w:vAlign w:val="center"/>
          </w:tcPr>
          <w:p w14:paraId="690F9DFF">
            <w:pPr>
              <w:widowControl/>
              <w:jc w:val="left"/>
              <w:rPr>
                <w:rFonts w:ascii="新宋体" w:hAnsi="新宋体" w:eastAsia="新宋体" w:cs="新宋体"/>
                <w:color w:val="auto"/>
                <w:kern w:val="0"/>
                <w:sz w:val="22"/>
                <w:szCs w:val="22"/>
                <w:highlight w:val="none"/>
              </w:rPr>
            </w:pPr>
          </w:p>
        </w:tc>
      </w:tr>
      <w:tr w14:paraId="6CD6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80" w:type="dxa"/>
            <w:vAlign w:val="center"/>
          </w:tcPr>
          <w:p w14:paraId="3DD46E54">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900" w:type="dxa"/>
            <w:vMerge w:val="continue"/>
            <w:vAlign w:val="center"/>
          </w:tcPr>
          <w:p w14:paraId="199970FF">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2E90B05E">
            <w:pPr>
              <w:widowControl/>
              <w:jc w:val="left"/>
              <w:rPr>
                <w:rFonts w:ascii="新宋体" w:hAnsi="新宋体" w:eastAsia="新宋体" w:cs="新宋体"/>
                <w:color w:val="auto"/>
                <w:kern w:val="0"/>
                <w:sz w:val="22"/>
                <w:szCs w:val="22"/>
                <w:highlight w:val="none"/>
              </w:rPr>
            </w:pPr>
          </w:p>
        </w:tc>
        <w:tc>
          <w:tcPr>
            <w:tcW w:w="1980" w:type="dxa"/>
            <w:vAlign w:val="center"/>
          </w:tcPr>
          <w:p w14:paraId="7FCAD5CB">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基层治理资源图层对接及改造</w:t>
            </w:r>
          </w:p>
        </w:tc>
        <w:tc>
          <w:tcPr>
            <w:tcW w:w="5008" w:type="dxa"/>
            <w:vAlign w:val="center"/>
          </w:tcPr>
          <w:p w14:paraId="2378D02C">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对接已建的资源图层（如人房企等）及部分资源采用直接复用或按需进行适应性改造</w:t>
            </w:r>
          </w:p>
        </w:tc>
      </w:tr>
      <w:tr w14:paraId="0DA5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80" w:type="dxa"/>
            <w:vAlign w:val="center"/>
          </w:tcPr>
          <w:p w14:paraId="0D2367B6">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900" w:type="dxa"/>
            <w:vMerge w:val="continue"/>
            <w:vAlign w:val="center"/>
          </w:tcPr>
          <w:p w14:paraId="224E6100">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33EBF319">
            <w:pPr>
              <w:widowControl/>
              <w:jc w:val="left"/>
              <w:rPr>
                <w:rFonts w:ascii="新宋体" w:hAnsi="新宋体" w:eastAsia="新宋体" w:cs="新宋体"/>
                <w:color w:val="auto"/>
                <w:kern w:val="0"/>
                <w:sz w:val="22"/>
                <w:szCs w:val="22"/>
                <w:highlight w:val="none"/>
              </w:rPr>
            </w:pPr>
          </w:p>
        </w:tc>
        <w:tc>
          <w:tcPr>
            <w:tcW w:w="1980" w:type="dxa"/>
            <w:vAlign w:val="center"/>
          </w:tcPr>
          <w:p w14:paraId="7DD9E576">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地图可视化界面建设</w:t>
            </w:r>
          </w:p>
        </w:tc>
        <w:tc>
          <w:tcPr>
            <w:tcW w:w="5008" w:type="dxa"/>
            <w:vAlign w:val="center"/>
          </w:tcPr>
          <w:p w14:paraId="2B44E8D6">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支持地图的缩放、切换、复位管理及联动</w:t>
            </w:r>
          </w:p>
        </w:tc>
      </w:tr>
      <w:tr w14:paraId="60E9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vAlign w:val="center"/>
          </w:tcPr>
          <w:p w14:paraId="15F22A3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900" w:type="dxa"/>
            <w:vMerge w:val="continue"/>
            <w:vAlign w:val="center"/>
          </w:tcPr>
          <w:p w14:paraId="064A53AE">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C78E990">
            <w:pPr>
              <w:widowControl/>
              <w:jc w:val="left"/>
              <w:rPr>
                <w:rFonts w:ascii="新宋体" w:hAnsi="新宋体" w:eastAsia="新宋体" w:cs="新宋体"/>
                <w:color w:val="auto"/>
                <w:kern w:val="0"/>
                <w:sz w:val="22"/>
                <w:szCs w:val="22"/>
                <w:highlight w:val="none"/>
              </w:rPr>
            </w:pPr>
          </w:p>
        </w:tc>
        <w:tc>
          <w:tcPr>
            <w:tcW w:w="1980" w:type="dxa"/>
            <w:vAlign w:val="center"/>
          </w:tcPr>
          <w:p w14:paraId="75A531B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区-街镇两级切换</w:t>
            </w:r>
          </w:p>
        </w:tc>
        <w:tc>
          <w:tcPr>
            <w:tcW w:w="5008" w:type="dxa"/>
            <w:vAlign w:val="center"/>
          </w:tcPr>
          <w:p w14:paraId="5D715C26">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支持选择区-街镇两级任一行政区划及切换内容自动展示对应区域内的相关内容、区划范围、中心点位等</w:t>
            </w:r>
          </w:p>
        </w:tc>
      </w:tr>
      <w:tr w14:paraId="2EC6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80" w:type="dxa"/>
            <w:vAlign w:val="center"/>
          </w:tcPr>
          <w:p w14:paraId="666B2FDA">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900" w:type="dxa"/>
            <w:vMerge w:val="continue"/>
            <w:vAlign w:val="center"/>
          </w:tcPr>
          <w:p w14:paraId="39179B2F">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59A91D82">
            <w:pPr>
              <w:widowControl/>
              <w:jc w:val="left"/>
              <w:rPr>
                <w:rFonts w:ascii="新宋体" w:hAnsi="新宋体" w:eastAsia="新宋体" w:cs="新宋体"/>
                <w:color w:val="auto"/>
                <w:kern w:val="0"/>
                <w:sz w:val="22"/>
                <w:szCs w:val="22"/>
                <w:highlight w:val="none"/>
              </w:rPr>
            </w:pPr>
          </w:p>
        </w:tc>
        <w:tc>
          <w:tcPr>
            <w:tcW w:w="1980" w:type="dxa"/>
            <w:vAlign w:val="center"/>
          </w:tcPr>
          <w:p w14:paraId="47DDF059">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事件图层及详情可视化</w:t>
            </w:r>
          </w:p>
        </w:tc>
        <w:tc>
          <w:tcPr>
            <w:tcW w:w="5008" w:type="dxa"/>
            <w:vAlign w:val="center"/>
          </w:tcPr>
          <w:p w14:paraId="285A644B">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事件图层解析、定位到指定的地图模块具体地理位置、事件详情信息进行展示</w:t>
            </w:r>
          </w:p>
        </w:tc>
      </w:tr>
      <w:tr w14:paraId="4F65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0" w:type="dxa"/>
            <w:vAlign w:val="center"/>
          </w:tcPr>
          <w:p w14:paraId="0BBF4B69">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900" w:type="dxa"/>
            <w:vMerge w:val="continue"/>
            <w:vAlign w:val="center"/>
          </w:tcPr>
          <w:p w14:paraId="44BCB79D">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16DCCBEB">
            <w:pPr>
              <w:widowControl/>
              <w:jc w:val="left"/>
              <w:rPr>
                <w:rFonts w:ascii="新宋体" w:hAnsi="新宋体" w:eastAsia="新宋体" w:cs="新宋体"/>
                <w:color w:val="auto"/>
                <w:kern w:val="0"/>
                <w:sz w:val="22"/>
                <w:szCs w:val="22"/>
                <w:highlight w:val="none"/>
              </w:rPr>
            </w:pPr>
          </w:p>
        </w:tc>
        <w:tc>
          <w:tcPr>
            <w:tcW w:w="1980" w:type="dxa"/>
            <w:vAlign w:val="center"/>
          </w:tcPr>
          <w:p w14:paraId="2F87AD9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事件周边分析</w:t>
            </w:r>
          </w:p>
        </w:tc>
        <w:tc>
          <w:tcPr>
            <w:tcW w:w="5008" w:type="dxa"/>
            <w:vAlign w:val="center"/>
          </w:tcPr>
          <w:p w14:paraId="031B750B">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基于四类事件单一事件位置信息、资源分析、资源信息</w:t>
            </w:r>
          </w:p>
        </w:tc>
      </w:tr>
      <w:tr w14:paraId="5223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80" w:type="dxa"/>
            <w:vAlign w:val="center"/>
          </w:tcPr>
          <w:p w14:paraId="0F47BEFB">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900" w:type="dxa"/>
            <w:vMerge w:val="continue"/>
            <w:vAlign w:val="center"/>
          </w:tcPr>
          <w:p w14:paraId="4E766F4F">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30991885">
            <w:pPr>
              <w:widowControl/>
              <w:jc w:val="left"/>
              <w:rPr>
                <w:rFonts w:ascii="新宋体" w:hAnsi="新宋体" w:eastAsia="新宋体" w:cs="新宋体"/>
                <w:color w:val="auto"/>
                <w:kern w:val="0"/>
                <w:sz w:val="22"/>
                <w:szCs w:val="22"/>
                <w:highlight w:val="none"/>
              </w:rPr>
            </w:pPr>
          </w:p>
        </w:tc>
        <w:tc>
          <w:tcPr>
            <w:tcW w:w="1980" w:type="dxa"/>
            <w:vMerge w:val="restart"/>
            <w:vAlign w:val="center"/>
          </w:tcPr>
          <w:p w14:paraId="7C4E7297">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监控视频就近分析</w:t>
            </w:r>
          </w:p>
        </w:tc>
        <w:tc>
          <w:tcPr>
            <w:tcW w:w="5008" w:type="dxa"/>
            <w:vAlign w:val="center"/>
          </w:tcPr>
          <w:p w14:paraId="688F079C">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支持获取事件相关定位信息、周边监控、监控筛选</w:t>
            </w:r>
          </w:p>
        </w:tc>
      </w:tr>
      <w:tr w14:paraId="7ED9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0" w:type="dxa"/>
            <w:vAlign w:val="center"/>
          </w:tcPr>
          <w:p w14:paraId="43DB278D">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900" w:type="dxa"/>
            <w:vMerge w:val="continue"/>
            <w:vAlign w:val="center"/>
          </w:tcPr>
          <w:p w14:paraId="49892B75">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2E54FC2D">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0D5B0791">
            <w:pPr>
              <w:widowControl/>
              <w:jc w:val="left"/>
              <w:rPr>
                <w:rFonts w:ascii="新宋体" w:hAnsi="新宋体" w:eastAsia="新宋体" w:cs="新宋体"/>
                <w:color w:val="auto"/>
                <w:kern w:val="0"/>
                <w:sz w:val="22"/>
                <w:szCs w:val="22"/>
                <w:highlight w:val="none"/>
              </w:rPr>
            </w:pPr>
          </w:p>
        </w:tc>
        <w:tc>
          <w:tcPr>
            <w:tcW w:w="5008" w:type="dxa"/>
            <w:vAlign w:val="center"/>
          </w:tcPr>
          <w:p w14:paraId="783E0882">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通过事件点位查看其周边所有公有、私有等监控视频画面</w:t>
            </w:r>
          </w:p>
        </w:tc>
      </w:tr>
      <w:tr w14:paraId="058F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0" w:type="dxa"/>
            <w:vAlign w:val="center"/>
          </w:tcPr>
          <w:p w14:paraId="74EAC327">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900" w:type="dxa"/>
            <w:vMerge w:val="continue"/>
            <w:vAlign w:val="center"/>
          </w:tcPr>
          <w:p w14:paraId="6D4DAADF">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57A12904">
            <w:pPr>
              <w:widowControl/>
              <w:jc w:val="left"/>
              <w:rPr>
                <w:rFonts w:ascii="新宋体" w:hAnsi="新宋体" w:eastAsia="新宋体" w:cs="新宋体"/>
                <w:color w:val="auto"/>
                <w:kern w:val="0"/>
                <w:sz w:val="22"/>
                <w:szCs w:val="22"/>
                <w:highlight w:val="none"/>
              </w:rPr>
            </w:pPr>
          </w:p>
        </w:tc>
        <w:tc>
          <w:tcPr>
            <w:tcW w:w="1980" w:type="dxa"/>
            <w:vAlign w:val="center"/>
          </w:tcPr>
          <w:p w14:paraId="5CAF6FF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事件列表地图交互接口建设</w:t>
            </w:r>
          </w:p>
        </w:tc>
        <w:tc>
          <w:tcPr>
            <w:tcW w:w="5008" w:type="dxa"/>
            <w:vAlign w:val="center"/>
          </w:tcPr>
          <w:p w14:paraId="51675E0D">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实现点击事件列表单一事件后，可进行地图定位展示、事件基本信息</w:t>
            </w:r>
          </w:p>
        </w:tc>
      </w:tr>
      <w:tr w14:paraId="07DB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0" w:type="dxa"/>
            <w:vAlign w:val="center"/>
          </w:tcPr>
          <w:p w14:paraId="7E988D23">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900" w:type="dxa"/>
            <w:vMerge w:val="continue"/>
            <w:vAlign w:val="center"/>
          </w:tcPr>
          <w:p w14:paraId="3D6B6988">
            <w:pPr>
              <w:widowControl/>
              <w:jc w:val="left"/>
              <w:rPr>
                <w:rFonts w:ascii="新宋体" w:hAnsi="新宋体" w:eastAsia="新宋体" w:cs="新宋体"/>
                <w:color w:val="auto"/>
                <w:kern w:val="0"/>
                <w:sz w:val="22"/>
                <w:szCs w:val="22"/>
                <w:highlight w:val="none"/>
              </w:rPr>
            </w:pPr>
          </w:p>
        </w:tc>
        <w:tc>
          <w:tcPr>
            <w:tcW w:w="1160" w:type="dxa"/>
            <w:vMerge w:val="restart"/>
            <w:vAlign w:val="center"/>
          </w:tcPr>
          <w:p w14:paraId="5CBC5CF2">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统一中心能力组件集成</w:t>
            </w:r>
          </w:p>
        </w:tc>
        <w:tc>
          <w:tcPr>
            <w:tcW w:w="1980" w:type="dxa"/>
            <w:vAlign w:val="center"/>
          </w:tcPr>
          <w:p w14:paraId="4146A840">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统一用户中心</w:t>
            </w:r>
          </w:p>
        </w:tc>
        <w:tc>
          <w:tcPr>
            <w:tcW w:w="5008" w:type="dxa"/>
            <w:vAlign w:val="center"/>
          </w:tcPr>
          <w:p w14:paraId="4EB16E26">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系统将实现浙政钉用户体系的对接、扫码登录、用户管理等</w:t>
            </w:r>
          </w:p>
        </w:tc>
      </w:tr>
      <w:tr w14:paraId="7E6C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80" w:type="dxa"/>
            <w:vAlign w:val="center"/>
          </w:tcPr>
          <w:p w14:paraId="0C9336E6">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900" w:type="dxa"/>
            <w:vMerge w:val="continue"/>
            <w:vAlign w:val="center"/>
          </w:tcPr>
          <w:p w14:paraId="06ADD373">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5595979A">
            <w:pPr>
              <w:widowControl/>
              <w:jc w:val="left"/>
              <w:rPr>
                <w:rFonts w:ascii="新宋体" w:hAnsi="新宋体" w:eastAsia="新宋体" w:cs="新宋体"/>
                <w:color w:val="auto"/>
                <w:kern w:val="0"/>
                <w:sz w:val="22"/>
                <w:szCs w:val="22"/>
                <w:highlight w:val="none"/>
              </w:rPr>
            </w:pPr>
          </w:p>
        </w:tc>
        <w:tc>
          <w:tcPr>
            <w:tcW w:w="1980" w:type="dxa"/>
            <w:vMerge w:val="restart"/>
            <w:vAlign w:val="center"/>
          </w:tcPr>
          <w:p w14:paraId="66E5CAF5">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统一门户中心</w:t>
            </w:r>
          </w:p>
        </w:tc>
        <w:tc>
          <w:tcPr>
            <w:tcW w:w="5008" w:type="dxa"/>
            <w:vAlign w:val="center"/>
          </w:tcPr>
          <w:p w14:paraId="18A7F4F2">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对接统一用户中心、统一消息中心、统一权限中心的SDK能力集，集成用户认证、消息通信、权限控制能力、业务模块集成。</w:t>
            </w:r>
          </w:p>
        </w:tc>
      </w:tr>
      <w:tr w14:paraId="73FF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80" w:type="dxa"/>
            <w:vAlign w:val="center"/>
          </w:tcPr>
          <w:p w14:paraId="26D7456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900" w:type="dxa"/>
            <w:vMerge w:val="continue"/>
            <w:vAlign w:val="center"/>
          </w:tcPr>
          <w:p w14:paraId="2B8E7F93">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14C0E73F">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4774223F">
            <w:pPr>
              <w:widowControl/>
              <w:jc w:val="left"/>
              <w:rPr>
                <w:rFonts w:ascii="新宋体" w:hAnsi="新宋体" w:eastAsia="新宋体" w:cs="新宋体"/>
                <w:color w:val="auto"/>
                <w:kern w:val="0"/>
                <w:sz w:val="22"/>
                <w:szCs w:val="22"/>
                <w:highlight w:val="none"/>
              </w:rPr>
            </w:pPr>
          </w:p>
        </w:tc>
        <w:tc>
          <w:tcPr>
            <w:tcW w:w="5008" w:type="dxa"/>
            <w:vAlign w:val="center"/>
          </w:tcPr>
          <w:p w14:paraId="4D5293DE">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设计开发业务集成框架模块，综合集成大屏端首页、分析研判模块、协同流转模块等模块的前端功能</w:t>
            </w:r>
          </w:p>
        </w:tc>
      </w:tr>
      <w:tr w14:paraId="627F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0" w:type="dxa"/>
            <w:vAlign w:val="center"/>
          </w:tcPr>
          <w:p w14:paraId="2C382384">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900" w:type="dxa"/>
            <w:vMerge w:val="continue"/>
            <w:vAlign w:val="center"/>
          </w:tcPr>
          <w:p w14:paraId="00B7459D">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11F65687">
            <w:pPr>
              <w:widowControl/>
              <w:jc w:val="left"/>
              <w:rPr>
                <w:rFonts w:ascii="新宋体" w:hAnsi="新宋体" w:eastAsia="新宋体" w:cs="新宋体"/>
                <w:color w:val="auto"/>
                <w:kern w:val="0"/>
                <w:sz w:val="22"/>
                <w:szCs w:val="22"/>
                <w:highlight w:val="none"/>
              </w:rPr>
            </w:pPr>
          </w:p>
        </w:tc>
        <w:tc>
          <w:tcPr>
            <w:tcW w:w="1980" w:type="dxa"/>
            <w:vAlign w:val="center"/>
          </w:tcPr>
          <w:p w14:paraId="32623F41">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统一权限中心</w:t>
            </w:r>
          </w:p>
        </w:tc>
        <w:tc>
          <w:tcPr>
            <w:tcW w:w="5008" w:type="dxa"/>
            <w:vAlign w:val="center"/>
          </w:tcPr>
          <w:p w14:paraId="7E216728">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根据用户所属部门、职级等信息，结合各类权限控制要素信息，构建精细化权限控制体系，权限管理</w:t>
            </w:r>
          </w:p>
        </w:tc>
      </w:tr>
      <w:tr w14:paraId="01D3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80" w:type="dxa"/>
            <w:vAlign w:val="center"/>
          </w:tcPr>
          <w:p w14:paraId="4A3DD33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15</w:t>
            </w:r>
          </w:p>
        </w:tc>
        <w:tc>
          <w:tcPr>
            <w:tcW w:w="900" w:type="dxa"/>
            <w:vMerge w:val="continue"/>
            <w:vAlign w:val="center"/>
          </w:tcPr>
          <w:p w14:paraId="40DCE376">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750EF0B8">
            <w:pPr>
              <w:widowControl/>
              <w:jc w:val="left"/>
              <w:rPr>
                <w:rFonts w:ascii="新宋体" w:hAnsi="新宋体" w:eastAsia="新宋体" w:cs="新宋体"/>
                <w:color w:val="auto"/>
                <w:kern w:val="0"/>
                <w:sz w:val="22"/>
                <w:szCs w:val="22"/>
                <w:highlight w:val="none"/>
              </w:rPr>
            </w:pPr>
          </w:p>
        </w:tc>
        <w:tc>
          <w:tcPr>
            <w:tcW w:w="1980" w:type="dxa"/>
            <w:vAlign w:val="center"/>
          </w:tcPr>
          <w:p w14:paraId="5935AE4A">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统一认证中心</w:t>
            </w:r>
          </w:p>
        </w:tc>
        <w:tc>
          <w:tcPr>
            <w:tcW w:w="5008" w:type="dxa"/>
            <w:vAlign w:val="center"/>
          </w:tcPr>
          <w:p w14:paraId="7B6C3900">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API Gateway网关，可进行：分流、token认证、API鉴权、https转为http</w:t>
            </w:r>
          </w:p>
        </w:tc>
      </w:tr>
      <w:tr w14:paraId="6783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80" w:type="dxa"/>
            <w:vAlign w:val="center"/>
          </w:tcPr>
          <w:p w14:paraId="3279769A">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16</w:t>
            </w:r>
          </w:p>
        </w:tc>
        <w:tc>
          <w:tcPr>
            <w:tcW w:w="900" w:type="dxa"/>
            <w:vMerge w:val="continue"/>
            <w:vAlign w:val="center"/>
          </w:tcPr>
          <w:p w14:paraId="78C7B66E">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20AE8B8E">
            <w:pPr>
              <w:widowControl/>
              <w:jc w:val="left"/>
              <w:rPr>
                <w:rFonts w:ascii="新宋体" w:hAnsi="新宋体" w:eastAsia="新宋体" w:cs="新宋体"/>
                <w:color w:val="auto"/>
                <w:kern w:val="0"/>
                <w:sz w:val="22"/>
                <w:szCs w:val="22"/>
                <w:highlight w:val="none"/>
              </w:rPr>
            </w:pPr>
          </w:p>
        </w:tc>
        <w:tc>
          <w:tcPr>
            <w:tcW w:w="1980" w:type="dxa"/>
            <w:vAlign w:val="center"/>
          </w:tcPr>
          <w:p w14:paraId="632C8825">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统一消息中心</w:t>
            </w:r>
          </w:p>
        </w:tc>
        <w:tc>
          <w:tcPr>
            <w:tcW w:w="5008" w:type="dxa"/>
            <w:vAlign w:val="center"/>
          </w:tcPr>
          <w:p w14:paraId="3E6FF12C">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建立统一的消息服务能力、消息集成</w:t>
            </w:r>
          </w:p>
        </w:tc>
      </w:tr>
      <w:tr w14:paraId="17C9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0" w:type="dxa"/>
            <w:vAlign w:val="center"/>
          </w:tcPr>
          <w:p w14:paraId="4CA3040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17</w:t>
            </w:r>
          </w:p>
        </w:tc>
        <w:tc>
          <w:tcPr>
            <w:tcW w:w="900" w:type="dxa"/>
            <w:vMerge w:val="continue"/>
            <w:vAlign w:val="center"/>
          </w:tcPr>
          <w:p w14:paraId="24DE8F22">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0925D83B">
            <w:pPr>
              <w:widowControl/>
              <w:jc w:val="left"/>
              <w:rPr>
                <w:rFonts w:ascii="新宋体" w:hAnsi="新宋体" w:eastAsia="新宋体" w:cs="新宋体"/>
                <w:color w:val="auto"/>
                <w:kern w:val="0"/>
                <w:sz w:val="22"/>
                <w:szCs w:val="22"/>
                <w:highlight w:val="none"/>
              </w:rPr>
            </w:pPr>
          </w:p>
        </w:tc>
        <w:tc>
          <w:tcPr>
            <w:tcW w:w="1980" w:type="dxa"/>
            <w:vAlign w:val="center"/>
          </w:tcPr>
          <w:p w14:paraId="0BE510D9">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统一算法中心</w:t>
            </w:r>
          </w:p>
        </w:tc>
        <w:tc>
          <w:tcPr>
            <w:tcW w:w="5008" w:type="dxa"/>
            <w:vAlign w:val="center"/>
          </w:tcPr>
          <w:p w14:paraId="6DC41E42">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AI算法能力接入、AI告警对接、算法模型优化服务</w:t>
            </w:r>
          </w:p>
        </w:tc>
      </w:tr>
      <w:tr w14:paraId="47B2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0" w:type="dxa"/>
            <w:vAlign w:val="center"/>
          </w:tcPr>
          <w:p w14:paraId="336997F1">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18</w:t>
            </w:r>
          </w:p>
        </w:tc>
        <w:tc>
          <w:tcPr>
            <w:tcW w:w="900" w:type="dxa"/>
            <w:vMerge w:val="continue"/>
            <w:vAlign w:val="center"/>
          </w:tcPr>
          <w:p w14:paraId="74F6C86C">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3A73C933">
            <w:pPr>
              <w:widowControl/>
              <w:jc w:val="left"/>
              <w:rPr>
                <w:rFonts w:ascii="新宋体" w:hAnsi="新宋体" w:eastAsia="新宋体" w:cs="新宋体"/>
                <w:color w:val="auto"/>
                <w:kern w:val="0"/>
                <w:sz w:val="22"/>
                <w:szCs w:val="22"/>
                <w:highlight w:val="none"/>
              </w:rPr>
            </w:pPr>
          </w:p>
        </w:tc>
        <w:tc>
          <w:tcPr>
            <w:tcW w:w="1980" w:type="dxa"/>
            <w:vAlign w:val="center"/>
          </w:tcPr>
          <w:p w14:paraId="06FA8E03">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城市治理数据仓库</w:t>
            </w:r>
          </w:p>
        </w:tc>
        <w:tc>
          <w:tcPr>
            <w:tcW w:w="5008" w:type="dxa"/>
            <w:vAlign w:val="center"/>
          </w:tcPr>
          <w:p w14:paraId="5526AC74">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建设指标数据库，事件库、预案库</w:t>
            </w:r>
          </w:p>
        </w:tc>
      </w:tr>
      <w:tr w14:paraId="41A4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0" w:type="dxa"/>
            <w:vAlign w:val="center"/>
          </w:tcPr>
          <w:p w14:paraId="3281B93B">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w:t>
            </w:r>
          </w:p>
        </w:tc>
        <w:tc>
          <w:tcPr>
            <w:tcW w:w="900" w:type="dxa"/>
            <w:vMerge w:val="continue"/>
            <w:vAlign w:val="center"/>
          </w:tcPr>
          <w:p w14:paraId="35ABD6D7">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1C5DB7BF">
            <w:pPr>
              <w:widowControl/>
              <w:jc w:val="left"/>
              <w:rPr>
                <w:rFonts w:ascii="新宋体" w:hAnsi="新宋体" w:eastAsia="新宋体" w:cs="新宋体"/>
                <w:color w:val="auto"/>
                <w:kern w:val="0"/>
                <w:sz w:val="22"/>
                <w:szCs w:val="22"/>
                <w:highlight w:val="none"/>
              </w:rPr>
            </w:pPr>
          </w:p>
        </w:tc>
        <w:tc>
          <w:tcPr>
            <w:tcW w:w="1980" w:type="dxa"/>
            <w:vAlign w:val="center"/>
          </w:tcPr>
          <w:p w14:paraId="525ED25B">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灾害预警</w:t>
            </w:r>
          </w:p>
        </w:tc>
        <w:tc>
          <w:tcPr>
            <w:tcW w:w="5008" w:type="dxa"/>
            <w:vAlign w:val="center"/>
          </w:tcPr>
          <w:p w14:paraId="1AB8E133">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自然灾害预警接口接入、预警自动触发、预警等级调整</w:t>
            </w:r>
          </w:p>
        </w:tc>
      </w:tr>
      <w:tr w14:paraId="2084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80" w:type="dxa"/>
            <w:vAlign w:val="center"/>
          </w:tcPr>
          <w:p w14:paraId="51E5B515">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20</w:t>
            </w:r>
          </w:p>
        </w:tc>
        <w:tc>
          <w:tcPr>
            <w:tcW w:w="900" w:type="dxa"/>
            <w:vMerge w:val="continue"/>
            <w:vAlign w:val="center"/>
          </w:tcPr>
          <w:p w14:paraId="7460C543">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3F7C84FD">
            <w:pPr>
              <w:widowControl/>
              <w:jc w:val="left"/>
              <w:rPr>
                <w:rFonts w:ascii="新宋体" w:hAnsi="新宋体" w:eastAsia="新宋体" w:cs="新宋体"/>
                <w:color w:val="auto"/>
                <w:kern w:val="0"/>
                <w:sz w:val="22"/>
                <w:szCs w:val="22"/>
                <w:highlight w:val="none"/>
              </w:rPr>
            </w:pPr>
          </w:p>
        </w:tc>
        <w:tc>
          <w:tcPr>
            <w:tcW w:w="1980" w:type="dxa"/>
            <w:vMerge w:val="restart"/>
            <w:vAlign w:val="center"/>
          </w:tcPr>
          <w:p w14:paraId="2706BC3F">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区级和四条跑道概览</w:t>
            </w:r>
          </w:p>
        </w:tc>
        <w:tc>
          <w:tcPr>
            <w:tcW w:w="5008" w:type="dxa"/>
            <w:vAlign w:val="center"/>
          </w:tcPr>
          <w:p w14:paraId="48708AA9">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设计鹿城区的区级概览，可以展示如鹿城区土地面积、户籍人口、流动人口等基本信息</w:t>
            </w:r>
          </w:p>
        </w:tc>
      </w:tr>
      <w:tr w14:paraId="7BD4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80" w:type="dxa"/>
            <w:vAlign w:val="center"/>
          </w:tcPr>
          <w:p w14:paraId="11FF9E85">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w:t>
            </w:r>
          </w:p>
        </w:tc>
        <w:tc>
          <w:tcPr>
            <w:tcW w:w="900" w:type="dxa"/>
            <w:vMerge w:val="continue"/>
            <w:vAlign w:val="center"/>
          </w:tcPr>
          <w:p w14:paraId="16710C97">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09FCC025">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40640343">
            <w:pPr>
              <w:widowControl/>
              <w:jc w:val="left"/>
              <w:rPr>
                <w:rFonts w:ascii="新宋体" w:hAnsi="新宋体" w:eastAsia="新宋体" w:cs="新宋体"/>
                <w:color w:val="auto"/>
                <w:kern w:val="0"/>
                <w:sz w:val="22"/>
                <w:szCs w:val="22"/>
                <w:highlight w:val="none"/>
              </w:rPr>
            </w:pPr>
          </w:p>
        </w:tc>
        <w:tc>
          <w:tcPr>
            <w:tcW w:w="5008" w:type="dxa"/>
            <w:vAlign w:val="center"/>
          </w:tcPr>
          <w:p w14:paraId="57DE078A">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展示党建统领、经济生态、平安法治、公共服务跑道上的自身特色的重要信息或数据</w:t>
            </w:r>
          </w:p>
        </w:tc>
      </w:tr>
      <w:tr w14:paraId="7305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0" w:type="dxa"/>
            <w:vAlign w:val="center"/>
          </w:tcPr>
          <w:p w14:paraId="1643F9F4">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22</w:t>
            </w:r>
          </w:p>
        </w:tc>
        <w:tc>
          <w:tcPr>
            <w:tcW w:w="900" w:type="dxa"/>
            <w:vMerge w:val="continue"/>
            <w:vAlign w:val="center"/>
          </w:tcPr>
          <w:p w14:paraId="48D8C51B">
            <w:pPr>
              <w:widowControl/>
              <w:jc w:val="left"/>
              <w:rPr>
                <w:rFonts w:ascii="新宋体" w:hAnsi="新宋体" w:eastAsia="新宋体" w:cs="新宋体"/>
                <w:color w:val="auto"/>
                <w:kern w:val="0"/>
                <w:sz w:val="22"/>
                <w:szCs w:val="22"/>
                <w:highlight w:val="none"/>
              </w:rPr>
            </w:pPr>
          </w:p>
        </w:tc>
        <w:tc>
          <w:tcPr>
            <w:tcW w:w="1160" w:type="dxa"/>
            <w:vMerge w:val="restart"/>
            <w:vAlign w:val="center"/>
          </w:tcPr>
          <w:p w14:paraId="3F0E70E1">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驾驶舱首页</w:t>
            </w:r>
          </w:p>
        </w:tc>
        <w:tc>
          <w:tcPr>
            <w:tcW w:w="1980" w:type="dxa"/>
            <w:vMerge w:val="restart"/>
            <w:vAlign w:val="center"/>
          </w:tcPr>
          <w:p w14:paraId="280D39F0">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重要指标</w:t>
            </w:r>
          </w:p>
        </w:tc>
        <w:tc>
          <w:tcPr>
            <w:tcW w:w="5008" w:type="dxa"/>
            <w:vAlign w:val="center"/>
          </w:tcPr>
          <w:p w14:paraId="1E7469A2">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党建统领指标、经济生态指标、平安法治指标公共服务指标</w:t>
            </w:r>
          </w:p>
        </w:tc>
      </w:tr>
      <w:tr w14:paraId="5E6A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80" w:type="dxa"/>
            <w:vAlign w:val="center"/>
          </w:tcPr>
          <w:p w14:paraId="263F2ECF">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23</w:t>
            </w:r>
          </w:p>
        </w:tc>
        <w:tc>
          <w:tcPr>
            <w:tcW w:w="900" w:type="dxa"/>
            <w:vMerge w:val="continue"/>
            <w:vAlign w:val="center"/>
          </w:tcPr>
          <w:p w14:paraId="60F39509">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7BA9724D">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2E92F3BA">
            <w:pPr>
              <w:widowControl/>
              <w:jc w:val="left"/>
              <w:rPr>
                <w:rFonts w:ascii="新宋体" w:hAnsi="新宋体" w:eastAsia="新宋体" w:cs="新宋体"/>
                <w:color w:val="auto"/>
                <w:kern w:val="0"/>
                <w:sz w:val="22"/>
                <w:szCs w:val="22"/>
                <w:highlight w:val="none"/>
              </w:rPr>
            </w:pPr>
          </w:p>
        </w:tc>
        <w:tc>
          <w:tcPr>
            <w:tcW w:w="5008" w:type="dxa"/>
            <w:vAlign w:val="center"/>
          </w:tcPr>
          <w:p w14:paraId="569CF4DF">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指标详情查看及指标趋势</w:t>
            </w:r>
          </w:p>
        </w:tc>
      </w:tr>
      <w:tr w14:paraId="344A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80" w:type="dxa"/>
            <w:vAlign w:val="center"/>
          </w:tcPr>
          <w:p w14:paraId="4562B127">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24</w:t>
            </w:r>
          </w:p>
        </w:tc>
        <w:tc>
          <w:tcPr>
            <w:tcW w:w="900" w:type="dxa"/>
            <w:vMerge w:val="continue"/>
            <w:vAlign w:val="center"/>
          </w:tcPr>
          <w:p w14:paraId="7633066C">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1E8A5499">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3BDC32B2">
            <w:pPr>
              <w:widowControl/>
              <w:jc w:val="left"/>
              <w:rPr>
                <w:rFonts w:ascii="新宋体" w:hAnsi="新宋体" w:eastAsia="新宋体" w:cs="新宋体"/>
                <w:color w:val="auto"/>
                <w:kern w:val="0"/>
                <w:sz w:val="22"/>
                <w:szCs w:val="22"/>
                <w:highlight w:val="none"/>
              </w:rPr>
            </w:pPr>
          </w:p>
        </w:tc>
        <w:tc>
          <w:tcPr>
            <w:tcW w:w="5008" w:type="dxa"/>
            <w:vAlign w:val="center"/>
          </w:tcPr>
          <w:p w14:paraId="0991AA96">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提供指标搜索功能</w:t>
            </w:r>
          </w:p>
        </w:tc>
      </w:tr>
      <w:tr w14:paraId="5807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0" w:type="dxa"/>
            <w:vAlign w:val="center"/>
          </w:tcPr>
          <w:p w14:paraId="160BB1CD">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25</w:t>
            </w:r>
          </w:p>
        </w:tc>
        <w:tc>
          <w:tcPr>
            <w:tcW w:w="900" w:type="dxa"/>
            <w:vMerge w:val="continue"/>
            <w:vAlign w:val="center"/>
          </w:tcPr>
          <w:p w14:paraId="59B0B61A">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B46D8DC">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17FA72D3">
            <w:pPr>
              <w:widowControl/>
              <w:jc w:val="left"/>
              <w:rPr>
                <w:rFonts w:ascii="新宋体" w:hAnsi="新宋体" w:eastAsia="新宋体" w:cs="新宋体"/>
                <w:color w:val="auto"/>
                <w:kern w:val="0"/>
                <w:sz w:val="22"/>
                <w:szCs w:val="22"/>
                <w:highlight w:val="none"/>
              </w:rPr>
            </w:pPr>
          </w:p>
        </w:tc>
        <w:tc>
          <w:tcPr>
            <w:tcW w:w="5008" w:type="dxa"/>
            <w:vAlign w:val="center"/>
          </w:tcPr>
          <w:p w14:paraId="7E13C8B6">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告警阈值设置、指标监测、颜色变化告警、弹窗告警</w:t>
            </w:r>
          </w:p>
        </w:tc>
      </w:tr>
      <w:tr w14:paraId="6379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80" w:type="dxa"/>
            <w:vAlign w:val="center"/>
          </w:tcPr>
          <w:p w14:paraId="450C1D91">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26</w:t>
            </w:r>
          </w:p>
        </w:tc>
        <w:tc>
          <w:tcPr>
            <w:tcW w:w="900" w:type="dxa"/>
            <w:vMerge w:val="continue"/>
            <w:vAlign w:val="center"/>
          </w:tcPr>
          <w:p w14:paraId="7CD7120C">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1DC5669">
            <w:pPr>
              <w:widowControl/>
              <w:jc w:val="left"/>
              <w:rPr>
                <w:rFonts w:ascii="新宋体" w:hAnsi="新宋体" w:eastAsia="新宋体" w:cs="新宋体"/>
                <w:color w:val="auto"/>
                <w:kern w:val="0"/>
                <w:sz w:val="22"/>
                <w:szCs w:val="22"/>
                <w:highlight w:val="none"/>
              </w:rPr>
            </w:pPr>
          </w:p>
        </w:tc>
        <w:tc>
          <w:tcPr>
            <w:tcW w:w="1980" w:type="dxa"/>
            <w:vAlign w:val="center"/>
          </w:tcPr>
          <w:p w14:paraId="5CEBE451">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重要场景</w:t>
            </w:r>
          </w:p>
        </w:tc>
        <w:tc>
          <w:tcPr>
            <w:tcW w:w="5008" w:type="dxa"/>
            <w:vAlign w:val="center"/>
          </w:tcPr>
          <w:p w14:paraId="60A2E006">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支持场景应用以列表形式联动各个具体的应用场景，支持场景应用框架内跳转</w:t>
            </w:r>
          </w:p>
        </w:tc>
      </w:tr>
      <w:tr w14:paraId="4EEF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80" w:type="dxa"/>
            <w:vAlign w:val="center"/>
          </w:tcPr>
          <w:p w14:paraId="3C158BBA">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27</w:t>
            </w:r>
          </w:p>
        </w:tc>
        <w:tc>
          <w:tcPr>
            <w:tcW w:w="900" w:type="dxa"/>
            <w:vMerge w:val="continue"/>
            <w:vAlign w:val="center"/>
          </w:tcPr>
          <w:p w14:paraId="219E29E0">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4BB93EE8">
            <w:pPr>
              <w:widowControl/>
              <w:jc w:val="left"/>
              <w:rPr>
                <w:rFonts w:ascii="新宋体" w:hAnsi="新宋体" w:eastAsia="新宋体" w:cs="新宋体"/>
                <w:color w:val="auto"/>
                <w:kern w:val="0"/>
                <w:sz w:val="22"/>
                <w:szCs w:val="22"/>
                <w:highlight w:val="none"/>
              </w:rPr>
            </w:pPr>
          </w:p>
        </w:tc>
        <w:tc>
          <w:tcPr>
            <w:tcW w:w="1980" w:type="dxa"/>
            <w:vAlign w:val="center"/>
          </w:tcPr>
          <w:p w14:paraId="1CAF1D87">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街镇分页</w:t>
            </w:r>
          </w:p>
        </w:tc>
        <w:tc>
          <w:tcPr>
            <w:tcW w:w="5008" w:type="dxa"/>
            <w:vAlign w:val="center"/>
          </w:tcPr>
          <w:p w14:paraId="050C9651">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展示鹿城区各个街镇的平安指数排名、街镇概况、街镇评分</w:t>
            </w:r>
          </w:p>
        </w:tc>
      </w:tr>
      <w:tr w14:paraId="2E82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80" w:type="dxa"/>
            <w:vAlign w:val="center"/>
          </w:tcPr>
          <w:p w14:paraId="5122965D">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28</w:t>
            </w:r>
          </w:p>
        </w:tc>
        <w:tc>
          <w:tcPr>
            <w:tcW w:w="900" w:type="dxa"/>
            <w:vMerge w:val="continue"/>
            <w:vAlign w:val="center"/>
          </w:tcPr>
          <w:p w14:paraId="36EF3C89">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12F229F1">
            <w:pPr>
              <w:widowControl/>
              <w:jc w:val="left"/>
              <w:rPr>
                <w:rFonts w:ascii="新宋体" w:hAnsi="新宋体" w:eastAsia="新宋体" w:cs="新宋体"/>
                <w:color w:val="auto"/>
                <w:kern w:val="0"/>
                <w:sz w:val="22"/>
                <w:szCs w:val="22"/>
                <w:highlight w:val="none"/>
              </w:rPr>
            </w:pPr>
          </w:p>
        </w:tc>
        <w:tc>
          <w:tcPr>
            <w:tcW w:w="1980" w:type="dxa"/>
            <w:vAlign w:val="center"/>
          </w:tcPr>
          <w:p w14:paraId="6F3FB1AE">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热点新闻</w:t>
            </w:r>
          </w:p>
        </w:tc>
        <w:tc>
          <w:tcPr>
            <w:tcW w:w="5008" w:type="dxa"/>
            <w:vAlign w:val="center"/>
          </w:tcPr>
          <w:p w14:paraId="799043B6">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对接鹿城区本地新闻接口、新闻展示</w:t>
            </w:r>
          </w:p>
        </w:tc>
      </w:tr>
      <w:tr w14:paraId="0D34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80" w:type="dxa"/>
            <w:vAlign w:val="center"/>
          </w:tcPr>
          <w:p w14:paraId="651C160D">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29</w:t>
            </w:r>
          </w:p>
        </w:tc>
        <w:tc>
          <w:tcPr>
            <w:tcW w:w="900" w:type="dxa"/>
            <w:vMerge w:val="continue"/>
            <w:vAlign w:val="center"/>
          </w:tcPr>
          <w:p w14:paraId="0186CFE3">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2BE1DECE">
            <w:pPr>
              <w:widowControl/>
              <w:jc w:val="left"/>
              <w:rPr>
                <w:rFonts w:ascii="新宋体" w:hAnsi="新宋体" w:eastAsia="新宋体" w:cs="新宋体"/>
                <w:color w:val="auto"/>
                <w:kern w:val="0"/>
                <w:sz w:val="22"/>
                <w:szCs w:val="22"/>
                <w:highlight w:val="none"/>
              </w:rPr>
            </w:pPr>
          </w:p>
        </w:tc>
        <w:tc>
          <w:tcPr>
            <w:tcW w:w="1980" w:type="dxa"/>
            <w:vAlign w:val="center"/>
          </w:tcPr>
          <w:p w14:paraId="132D462D">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值班值守</w:t>
            </w:r>
          </w:p>
        </w:tc>
        <w:tc>
          <w:tcPr>
            <w:tcW w:w="5008" w:type="dxa"/>
            <w:vAlign w:val="center"/>
          </w:tcPr>
          <w:p w14:paraId="4AE9FA4F">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接入鹿城、区城市运行中心各部门联勤值班人员值班信息，值班表生成，轮播展示，标签展示，值班详情展示</w:t>
            </w:r>
          </w:p>
        </w:tc>
      </w:tr>
      <w:tr w14:paraId="21A6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80" w:type="dxa"/>
            <w:vAlign w:val="center"/>
          </w:tcPr>
          <w:p w14:paraId="355C48DB">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w:t>
            </w:r>
          </w:p>
        </w:tc>
        <w:tc>
          <w:tcPr>
            <w:tcW w:w="900" w:type="dxa"/>
            <w:vMerge w:val="continue"/>
            <w:vAlign w:val="center"/>
          </w:tcPr>
          <w:p w14:paraId="3063C277">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7E281EF3">
            <w:pPr>
              <w:widowControl/>
              <w:jc w:val="left"/>
              <w:rPr>
                <w:rFonts w:ascii="新宋体" w:hAnsi="新宋体" w:eastAsia="新宋体" w:cs="新宋体"/>
                <w:color w:val="auto"/>
                <w:kern w:val="0"/>
                <w:sz w:val="22"/>
                <w:szCs w:val="22"/>
                <w:highlight w:val="none"/>
              </w:rPr>
            </w:pPr>
          </w:p>
        </w:tc>
        <w:tc>
          <w:tcPr>
            <w:tcW w:w="1980" w:type="dxa"/>
            <w:vMerge w:val="restart"/>
            <w:vAlign w:val="center"/>
          </w:tcPr>
          <w:p w14:paraId="64385AAB">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事件分布和事件告警</w:t>
            </w:r>
          </w:p>
        </w:tc>
        <w:tc>
          <w:tcPr>
            <w:tcW w:w="5008" w:type="dxa"/>
            <w:vAlign w:val="center"/>
          </w:tcPr>
          <w:p w14:paraId="60FB3ED7">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实现AI告警事件、物联网感知数据、互联网感知数据、12345数据、智慧城管数据、平安乐巡数据接入展示</w:t>
            </w:r>
          </w:p>
        </w:tc>
      </w:tr>
      <w:tr w14:paraId="03D3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0" w:type="dxa"/>
            <w:vAlign w:val="center"/>
          </w:tcPr>
          <w:p w14:paraId="1258EB79">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w:t>
            </w:r>
          </w:p>
        </w:tc>
        <w:tc>
          <w:tcPr>
            <w:tcW w:w="900" w:type="dxa"/>
            <w:vMerge w:val="continue"/>
            <w:vAlign w:val="center"/>
          </w:tcPr>
          <w:p w14:paraId="784E3A80">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C272D85">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360A2C3F">
            <w:pPr>
              <w:widowControl/>
              <w:jc w:val="left"/>
              <w:rPr>
                <w:rFonts w:ascii="新宋体" w:hAnsi="新宋体" w:eastAsia="新宋体" w:cs="新宋体"/>
                <w:color w:val="auto"/>
                <w:kern w:val="0"/>
                <w:sz w:val="22"/>
                <w:szCs w:val="22"/>
                <w:highlight w:val="none"/>
              </w:rPr>
            </w:pPr>
          </w:p>
        </w:tc>
        <w:tc>
          <w:tcPr>
            <w:tcW w:w="5008" w:type="dxa"/>
            <w:vAlign w:val="center"/>
          </w:tcPr>
          <w:p w14:paraId="3F503A23">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系统将实现各类事件的轮询展示</w:t>
            </w:r>
          </w:p>
        </w:tc>
      </w:tr>
      <w:tr w14:paraId="360F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80" w:type="dxa"/>
            <w:vAlign w:val="center"/>
          </w:tcPr>
          <w:p w14:paraId="58A3E94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32</w:t>
            </w:r>
          </w:p>
        </w:tc>
        <w:tc>
          <w:tcPr>
            <w:tcW w:w="900" w:type="dxa"/>
            <w:vMerge w:val="continue"/>
            <w:vAlign w:val="center"/>
          </w:tcPr>
          <w:p w14:paraId="23394B2C">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8058C8E">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37EE1EEB">
            <w:pPr>
              <w:widowControl/>
              <w:jc w:val="left"/>
              <w:rPr>
                <w:rFonts w:ascii="新宋体" w:hAnsi="新宋体" w:eastAsia="新宋体" w:cs="新宋体"/>
                <w:color w:val="auto"/>
                <w:kern w:val="0"/>
                <w:sz w:val="22"/>
                <w:szCs w:val="22"/>
                <w:highlight w:val="none"/>
              </w:rPr>
            </w:pPr>
          </w:p>
        </w:tc>
        <w:tc>
          <w:tcPr>
            <w:tcW w:w="5008" w:type="dxa"/>
            <w:vAlign w:val="center"/>
          </w:tcPr>
          <w:p w14:paraId="4524F676">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实现各类事件的滚动通知</w:t>
            </w:r>
          </w:p>
        </w:tc>
      </w:tr>
      <w:tr w14:paraId="40A5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0" w:type="dxa"/>
            <w:vAlign w:val="center"/>
          </w:tcPr>
          <w:p w14:paraId="1AE7615E">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w:t>
            </w:r>
          </w:p>
        </w:tc>
        <w:tc>
          <w:tcPr>
            <w:tcW w:w="900" w:type="dxa"/>
            <w:vMerge w:val="continue"/>
            <w:vAlign w:val="center"/>
          </w:tcPr>
          <w:p w14:paraId="398F1DA1">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42707218">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6ED5DCEE">
            <w:pPr>
              <w:widowControl/>
              <w:jc w:val="left"/>
              <w:rPr>
                <w:rFonts w:ascii="新宋体" w:hAnsi="新宋体" w:eastAsia="新宋体" w:cs="新宋体"/>
                <w:color w:val="auto"/>
                <w:kern w:val="0"/>
                <w:sz w:val="22"/>
                <w:szCs w:val="22"/>
                <w:highlight w:val="none"/>
              </w:rPr>
            </w:pPr>
          </w:p>
        </w:tc>
        <w:tc>
          <w:tcPr>
            <w:tcW w:w="5008" w:type="dxa"/>
            <w:vAlign w:val="center"/>
          </w:tcPr>
          <w:p w14:paraId="1D898AFA">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自主判定指标、事件异常情况，根据异常情况，发出预警或告警</w:t>
            </w:r>
          </w:p>
        </w:tc>
      </w:tr>
      <w:tr w14:paraId="083F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80" w:type="dxa"/>
            <w:vAlign w:val="center"/>
          </w:tcPr>
          <w:p w14:paraId="2307B34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34</w:t>
            </w:r>
          </w:p>
        </w:tc>
        <w:tc>
          <w:tcPr>
            <w:tcW w:w="900" w:type="dxa"/>
            <w:vMerge w:val="continue"/>
            <w:vAlign w:val="center"/>
          </w:tcPr>
          <w:p w14:paraId="7975872D">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2CCFC821">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3A3D5A5A">
            <w:pPr>
              <w:widowControl/>
              <w:jc w:val="left"/>
              <w:rPr>
                <w:rFonts w:ascii="新宋体" w:hAnsi="新宋体" w:eastAsia="新宋体" w:cs="新宋体"/>
                <w:color w:val="auto"/>
                <w:kern w:val="0"/>
                <w:sz w:val="22"/>
                <w:szCs w:val="22"/>
                <w:highlight w:val="none"/>
              </w:rPr>
            </w:pPr>
          </w:p>
        </w:tc>
        <w:tc>
          <w:tcPr>
            <w:tcW w:w="5008" w:type="dxa"/>
            <w:vAlign w:val="center"/>
          </w:tcPr>
          <w:p w14:paraId="5EC009A8">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根据异常情况，发出预警或告警</w:t>
            </w:r>
          </w:p>
        </w:tc>
      </w:tr>
      <w:tr w14:paraId="3C2F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0" w:type="dxa"/>
            <w:vAlign w:val="center"/>
          </w:tcPr>
          <w:p w14:paraId="023F99CE">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w:t>
            </w:r>
          </w:p>
        </w:tc>
        <w:tc>
          <w:tcPr>
            <w:tcW w:w="900" w:type="dxa"/>
            <w:vMerge w:val="continue"/>
            <w:vAlign w:val="center"/>
          </w:tcPr>
          <w:p w14:paraId="5CFC2151">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4F970415">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6F847A6F">
            <w:pPr>
              <w:widowControl/>
              <w:jc w:val="left"/>
              <w:rPr>
                <w:rFonts w:ascii="新宋体" w:hAnsi="新宋体" w:eastAsia="新宋体" w:cs="新宋体"/>
                <w:color w:val="auto"/>
                <w:kern w:val="0"/>
                <w:sz w:val="22"/>
                <w:szCs w:val="22"/>
                <w:highlight w:val="none"/>
              </w:rPr>
            </w:pPr>
          </w:p>
        </w:tc>
        <w:tc>
          <w:tcPr>
            <w:tcW w:w="5008" w:type="dxa"/>
            <w:vAlign w:val="center"/>
          </w:tcPr>
          <w:p w14:paraId="4859E83D">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大屏报警的事件可以展示事件发生的地点、时间、现场、人员等详细信息</w:t>
            </w:r>
          </w:p>
        </w:tc>
      </w:tr>
      <w:tr w14:paraId="569D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80" w:type="dxa"/>
            <w:vAlign w:val="center"/>
          </w:tcPr>
          <w:p w14:paraId="7C9D3FAB">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36</w:t>
            </w:r>
          </w:p>
        </w:tc>
        <w:tc>
          <w:tcPr>
            <w:tcW w:w="900" w:type="dxa"/>
            <w:vMerge w:val="continue"/>
            <w:vAlign w:val="center"/>
          </w:tcPr>
          <w:p w14:paraId="37A082E0">
            <w:pPr>
              <w:widowControl/>
              <w:jc w:val="left"/>
              <w:rPr>
                <w:rFonts w:ascii="新宋体" w:hAnsi="新宋体" w:eastAsia="新宋体" w:cs="新宋体"/>
                <w:color w:val="auto"/>
                <w:kern w:val="0"/>
                <w:sz w:val="22"/>
                <w:szCs w:val="22"/>
                <w:highlight w:val="none"/>
              </w:rPr>
            </w:pPr>
          </w:p>
        </w:tc>
        <w:tc>
          <w:tcPr>
            <w:tcW w:w="1160" w:type="dxa"/>
            <w:vMerge w:val="restart"/>
            <w:vAlign w:val="center"/>
          </w:tcPr>
          <w:p w14:paraId="23C999AD">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基础管理模块</w:t>
            </w:r>
          </w:p>
        </w:tc>
        <w:tc>
          <w:tcPr>
            <w:tcW w:w="1980" w:type="dxa"/>
            <w:vAlign w:val="center"/>
          </w:tcPr>
          <w:p w14:paraId="08195492">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部门管理</w:t>
            </w:r>
          </w:p>
        </w:tc>
        <w:tc>
          <w:tcPr>
            <w:tcW w:w="5008" w:type="dxa"/>
            <w:vAlign w:val="center"/>
          </w:tcPr>
          <w:p w14:paraId="4ECE2CE5">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部门管理列表、部门添加、部门修改、部门删除、部门查询</w:t>
            </w:r>
          </w:p>
        </w:tc>
      </w:tr>
      <w:tr w14:paraId="1110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0" w:type="dxa"/>
            <w:vAlign w:val="center"/>
          </w:tcPr>
          <w:p w14:paraId="670BC2C6">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37</w:t>
            </w:r>
          </w:p>
        </w:tc>
        <w:tc>
          <w:tcPr>
            <w:tcW w:w="900" w:type="dxa"/>
            <w:vMerge w:val="continue"/>
            <w:vAlign w:val="center"/>
          </w:tcPr>
          <w:p w14:paraId="493C0D55">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1FD842D5">
            <w:pPr>
              <w:widowControl/>
              <w:jc w:val="left"/>
              <w:rPr>
                <w:rFonts w:ascii="新宋体" w:hAnsi="新宋体" w:eastAsia="新宋体" w:cs="新宋体"/>
                <w:color w:val="auto"/>
                <w:kern w:val="0"/>
                <w:sz w:val="22"/>
                <w:szCs w:val="22"/>
                <w:highlight w:val="none"/>
              </w:rPr>
            </w:pPr>
          </w:p>
        </w:tc>
        <w:tc>
          <w:tcPr>
            <w:tcW w:w="1980" w:type="dxa"/>
            <w:vAlign w:val="center"/>
          </w:tcPr>
          <w:p w14:paraId="4688ADC2">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菜单管理</w:t>
            </w:r>
          </w:p>
        </w:tc>
        <w:tc>
          <w:tcPr>
            <w:tcW w:w="5008" w:type="dxa"/>
            <w:vAlign w:val="center"/>
          </w:tcPr>
          <w:p w14:paraId="047ED727">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菜单列表、菜单新增、菜单修改、菜单删除、菜单查询、查询重置</w:t>
            </w:r>
          </w:p>
        </w:tc>
      </w:tr>
      <w:tr w14:paraId="2F93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80" w:type="dxa"/>
            <w:vAlign w:val="center"/>
          </w:tcPr>
          <w:p w14:paraId="46EFB873">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38</w:t>
            </w:r>
          </w:p>
        </w:tc>
        <w:tc>
          <w:tcPr>
            <w:tcW w:w="900" w:type="dxa"/>
            <w:vMerge w:val="continue"/>
            <w:vAlign w:val="center"/>
          </w:tcPr>
          <w:p w14:paraId="7583EE70">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15F36A5">
            <w:pPr>
              <w:widowControl/>
              <w:jc w:val="left"/>
              <w:rPr>
                <w:rFonts w:ascii="新宋体" w:hAnsi="新宋体" w:eastAsia="新宋体" w:cs="新宋体"/>
                <w:color w:val="auto"/>
                <w:kern w:val="0"/>
                <w:sz w:val="22"/>
                <w:szCs w:val="22"/>
                <w:highlight w:val="none"/>
              </w:rPr>
            </w:pPr>
          </w:p>
        </w:tc>
        <w:tc>
          <w:tcPr>
            <w:tcW w:w="1980" w:type="dxa"/>
            <w:vAlign w:val="center"/>
          </w:tcPr>
          <w:p w14:paraId="1CC050CE">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日志管理</w:t>
            </w:r>
          </w:p>
        </w:tc>
        <w:tc>
          <w:tcPr>
            <w:tcW w:w="5008" w:type="dxa"/>
            <w:vAlign w:val="center"/>
          </w:tcPr>
          <w:p w14:paraId="18E8A1CA">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日志列表、日志详情、日志记录、日志查询、查询重置</w:t>
            </w:r>
          </w:p>
        </w:tc>
      </w:tr>
      <w:tr w14:paraId="1D20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80" w:type="dxa"/>
            <w:vAlign w:val="center"/>
          </w:tcPr>
          <w:p w14:paraId="4A142874">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39</w:t>
            </w:r>
          </w:p>
        </w:tc>
        <w:tc>
          <w:tcPr>
            <w:tcW w:w="900" w:type="dxa"/>
            <w:vMerge w:val="continue"/>
            <w:vAlign w:val="center"/>
          </w:tcPr>
          <w:p w14:paraId="0260B5BF">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53291E6D">
            <w:pPr>
              <w:widowControl/>
              <w:jc w:val="left"/>
              <w:rPr>
                <w:rFonts w:ascii="新宋体" w:hAnsi="新宋体" w:eastAsia="新宋体" w:cs="新宋体"/>
                <w:color w:val="auto"/>
                <w:kern w:val="0"/>
                <w:sz w:val="22"/>
                <w:szCs w:val="22"/>
                <w:highlight w:val="none"/>
              </w:rPr>
            </w:pPr>
          </w:p>
        </w:tc>
        <w:tc>
          <w:tcPr>
            <w:tcW w:w="1980" w:type="dxa"/>
            <w:vMerge w:val="restart"/>
            <w:vAlign w:val="center"/>
          </w:tcPr>
          <w:p w14:paraId="6B8124B9">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字典管理</w:t>
            </w:r>
          </w:p>
        </w:tc>
        <w:tc>
          <w:tcPr>
            <w:tcW w:w="5008" w:type="dxa"/>
            <w:vAlign w:val="center"/>
          </w:tcPr>
          <w:p w14:paraId="546AB7FB">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字典列表、字典新增、字典修改、字典删除、字典查询</w:t>
            </w:r>
          </w:p>
        </w:tc>
      </w:tr>
      <w:tr w14:paraId="6127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80" w:type="dxa"/>
            <w:vAlign w:val="center"/>
          </w:tcPr>
          <w:p w14:paraId="1305EC76">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40</w:t>
            </w:r>
          </w:p>
        </w:tc>
        <w:tc>
          <w:tcPr>
            <w:tcW w:w="900" w:type="dxa"/>
            <w:vMerge w:val="continue"/>
            <w:vAlign w:val="center"/>
          </w:tcPr>
          <w:p w14:paraId="654D168C">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5966F517">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5DD55356">
            <w:pPr>
              <w:widowControl/>
              <w:jc w:val="left"/>
              <w:rPr>
                <w:rFonts w:ascii="新宋体" w:hAnsi="新宋体" w:eastAsia="新宋体" w:cs="新宋体"/>
                <w:color w:val="auto"/>
                <w:kern w:val="0"/>
                <w:sz w:val="22"/>
                <w:szCs w:val="22"/>
                <w:highlight w:val="none"/>
              </w:rPr>
            </w:pPr>
          </w:p>
        </w:tc>
        <w:tc>
          <w:tcPr>
            <w:tcW w:w="5008" w:type="dxa"/>
            <w:vAlign w:val="center"/>
          </w:tcPr>
          <w:p w14:paraId="5BEAFE3B">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字典项列表、字典项新增、字典项修改、字典项删除</w:t>
            </w:r>
          </w:p>
        </w:tc>
      </w:tr>
      <w:tr w14:paraId="1C76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80" w:type="dxa"/>
            <w:vAlign w:val="center"/>
          </w:tcPr>
          <w:p w14:paraId="564E7E34">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w:t>
            </w:r>
          </w:p>
        </w:tc>
        <w:tc>
          <w:tcPr>
            <w:tcW w:w="900" w:type="dxa"/>
            <w:vMerge w:val="continue"/>
            <w:vAlign w:val="center"/>
          </w:tcPr>
          <w:p w14:paraId="1C4C6EC7">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3B42929F">
            <w:pPr>
              <w:widowControl/>
              <w:jc w:val="left"/>
              <w:rPr>
                <w:rFonts w:ascii="新宋体" w:hAnsi="新宋体" w:eastAsia="新宋体" w:cs="新宋体"/>
                <w:color w:val="auto"/>
                <w:kern w:val="0"/>
                <w:sz w:val="22"/>
                <w:szCs w:val="22"/>
                <w:highlight w:val="none"/>
              </w:rPr>
            </w:pPr>
          </w:p>
        </w:tc>
        <w:tc>
          <w:tcPr>
            <w:tcW w:w="1980" w:type="dxa"/>
            <w:vAlign w:val="center"/>
          </w:tcPr>
          <w:p w14:paraId="03FFBECC">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市一网统管认证对接</w:t>
            </w:r>
          </w:p>
        </w:tc>
        <w:tc>
          <w:tcPr>
            <w:tcW w:w="5008" w:type="dxa"/>
            <w:vAlign w:val="center"/>
          </w:tcPr>
          <w:p w14:paraId="05475435">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12345平台事件、数字城管事件、智慧消防事件、120急救事件、省矛调事件数据对接</w:t>
            </w:r>
          </w:p>
        </w:tc>
      </w:tr>
      <w:tr w14:paraId="43BA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80" w:type="dxa"/>
            <w:vAlign w:val="center"/>
          </w:tcPr>
          <w:p w14:paraId="7A283512">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p>
        </w:tc>
        <w:tc>
          <w:tcPr>
            <w:tcW w:w="900" w:type="dxa"/>
            <w:vMerge w:val="continue"/>
            <w:vAlign w:val="center"/>
          </w:tcPr>
          <w:p w14:paraId="7388ECD8">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6F31DAB">
            <w:pPr>
              <w:widowControl/>
              <w:jc w:val="left"/>
              <w:rPr>
                <w:rFonts w:ascii="新宋体" w:hAnsi="新宋体" w:eastAsia="新宋体" w:cs="新宋体"/>
                <w:color w:val="auto"/>
                <w:kern w:val="0"/>
                <w:sz w:val="22"/>
                <w:szCs w:val="22"/>
                <w:highlight w:val="none"/>
              </w:rPr>
            </w:pPr>
          </w:p>
        </w:tc>
        <w:tc>
          <w:tcPr>
            <w:tcW w:w="1980" w:type="dxa"/>
            <w:vAlign w:val="center"/>
          </w:tcPr>
          <w:p w14:paraId="17C60510">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市共享平台数据对接</w:t>
            </w:r>
          </w:p>
        </w:tc>
        <w:tc>
          <w:tcPr>
            <w:tcW w:w="5008" w:type="dxa"/>
            <w:vAlign w:val="center"/>
          </w:tcPr>
          <w:p w14:paraId="22BCE56C">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对常住人口、流动人口等数据对接</w:t>
            </w:r>
          </w:p>
        </w:tc>
      </w:tr>
      <w:tr w14:paraId="6FC1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80" w:type="dxa"/>
            <w:vAlign w:val="center"/>
          </w:tcPr>
          <w:p w14:paraId="54764015">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43</w:t>
            </w:r>
          </w:p>
        </w:tc>
        <w:tc>
          <w:tcPr>
            <w:tcW w:w="900" w:type="dxa"/>
            <w:vMerge w:val="continue"/>
            <w:vAlign w:val="center"/>
          </w:tcPr>
          <w:p w14:paraId="578541DD">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2E3CAC21">
            <w:pPr>
              <w:widowControl/>
              <w:jc w:val="left"/>
              <w:rPr>
                <w:rFonts w:ascii="新宋体" w:hAnsi="新宋体" w:eastAsia="新宋体" w:cs="新宋体"/>
                <w:color w:val="auto"/>
                <w:kern w:val="0"/>
                <w:sz w:val="22"/>
                <w:szCs w:val="22"/>
                <w:highlight w:val="none"/>
              </w:rPr>
            </w:pPr>
          </w:p>
        </w:tc>
        <w:tc>
          <w:tcPr>
            <w:tcW w:w="1980" w:type="dxa"/>
            <w:vAlign w:val="center"/>
          </w:tcPr>
          <w:p w14:paraId="68A43697">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城市平台物联网数据对接</w:t>
            </w:r>
          </w:p>
        </w:tc>
        <w:tc>
          <w:tcPr>
            <w:tcW w:w="5008" w:type="dxa"/>
            <w:vAlign w:val="center"/>
          </w:tcPr>
          <w:p w14:paraId="7ECF3F6E">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智慧用电告警数据对接、烟雾报警数据对接、低压报警数据对接、防拆报警数据对接</w:t>
            </w:r>
          </w:p>
        </w:tc>
      </w:tr>
      <w:tr w14:paraId="46C8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80" w:type="dxa"/>
            <w:vAlign w:val="center"/>
          </w:tcPr>
          <w:p w14:paraId="66AC342D">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44</w:t>
            </w:r>
          </w:p>
        </w:tc>
        <w:tc>
          <w:tcPr>
            <w:tcW w:w="900" w:type="dxa"/>
            <w:vMerge w:val="continue"/>
            <w:vAlign w:val="center"/>
          </w:tcPr>
          <w:p w14:paraId="775A9FD9">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AB3518C">
            <w:pPr>
              <w:widowControl/>
              <w:jc w:val="left"/>
              <w:rPr>
                <w:rFonts w:ascii="新宋体" w:hAnsi="新宋体" w:eastAsia="新宋体" w:cs="新宋体"/>
                <w:color w:val="auto"/>
                <w:kern w:val="0"/>
                <w:sz w:val="22"/>
                <w:szCs w:val="22"/>
                <w:highlight w:val="none"/>
              </w:rPr>
            </w:pPr>
          </w:p>
        </w:tc>
        <w:tc>
          <w:tcPr>
            <w:tcW w:w="1980" w:type="dxa"/>
            <w:vAlign w:val="center"/>
          </w:tcPr>
          <w:p w14:paraId="7C4C62AA">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基层智治四平台对接</w:t>
            </w:r>
          </w:p>
        </w:tc>
        <w:tc>
          <w:tcPr>
            <w:tcW w:w="5008" w:type="dxa"/>
            <w:vAlign w:val="center"/>
          </w:tcPr>
          <w:p w14:paraId="197208CC">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平安乐巡、110非警情等数据进行对接</w:t>
            </w:r>
          </w:p>
        </w:tc>
      </w:tr>
      <w:tr w14:paraId="4B7E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80" w:type="dxa"/>
            <w:vAlign w:val="center"/>
          </w:tcPr>
          <w:p w14:paraId="0CB6F50F">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45</w:t>
            </w:r>
          </w:p>
        </w:tc>
        <w:tc>
          <w:tcPr>
            <w:tcW w:w="900" w:type="dxa"/>
            <w:vMerge w:val="continue"/>
            <w:vAlign w:val="center"/>
          </w:tcPr>
          <w:p w14:paraId="61E3F4F9">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0139DAF7">
            <w:pPr>
              <w:widowControl/>
              <w:jc w:val="left"/>
              <w:rPr>
                <w:rFonts w:ascii="新宋体" w:hAnsi="新宋体" w:eastAsia="新宋体" w:cs="新宋体"/>
                <w:color w:val="auto"/>
                <w:kern w:val="0"/>
                <w:sz w:val="22"/>
                <w:szCs w:val="22"/>
                <w:highlight w:val="none"/>
              </w:rPr>
            </w:pPr>
          </w:p>
        </w:tc>
        <w:tc>
          <w:tcPr>
            <w:tcW w:w="1980" w:type="dxa"/>
            <w:vAlign w:val="center"/>
          </w:tcPr>
          <w:p w14:paraId="2391D56D">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基层平台协同对接</w:t>
            </w:r>
          </w:p>
        </w:tc>
        <w:tc>
          <w:tcPr>
            <w:tcW w:w="5008" w:type="dxa"/>
            <w:vAlign w:val="center"/>
          </w:tcPr>
          <w:p w14:paraId="2CB58A12">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社会面管控事件（包含110、12345等）数据对接</w:t>
            </w:r>
          </w:p>
        </w:tc>
      </w:tr>
      <w:tr w14:paraId="11D9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vAlign w:val="center"/>
          </w:tcPr>
          <w:p w14:paraId="53EDB841">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46</w:t>
            </w:r>
          </w:p>
        </w:tc>
        <w:tc>
          <w:tcPr>
            <w:tcW w:w="900" w:type="dxa"/>
            <w:vMerge w:val="continue"/>
            <w:vAlign w:val="center"/>
          </w:tcPr>
          <w:p w14:paraId="61C26ABB">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7A856EF5">
            <w:pPr>
              <w:widowControl/>
              <w:jc w:val="left"/>
              <w:rPr>
                <w:rFonts w:ascii="新宋体" w:hAnsi="新宋体" w:eastAsia="新宋体" w:cs="新宋体"/>
                <w:color w:val="auto"/>
                <w:kern w:val="0"/>
                <w:sz w:val="22"/>
                <w:szCs w:val="22"/>
                <w:highlight w:val="none"/>
              </w:rPr>
            </w:pPr>
          </w:p>
        </w:tc>
        <w:tc>
          <w:tcPr>
            <w:tcW w:w="1980" w:type="dxa"/>
            <w:vAlign w:val="center"/>
          </w:tcPr>
          <w:p w14:paraId="6BFEA3D6">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数字孪生赋能对接</w:t>
            </w:r>
          </w:p>
        </w:tc>
        <w:tc>
          <w:tcPr>
            <w:tcW w:w="5008" w:type="dxa"/>
            <w:vAlign w:val="center"/>
          </w:tcPr>
          <w:p w14:paraId="22E04C3E">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空间赋能初始化、空间赋能基础、图层叠加、图层事件等开发</w:t>
            </w:r>
          </w:p>
        </w:tc>
      </w:tr>
      <w:tr w14:paraId="099F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80" w:type="dxa"/>
            <w:vAlign w:val="center"/>
          </w:tcPr>
          <w:p w14:paraId="68738FF0">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47</w:t>
            </w:r>
          </w:p>
        </w:tc>
        <w:tc>
          <w:tcPr>
            <w:tcW w:w="900" w:type="dxa"/>
            <w:vMerge w:val="continue"/>
            <w:vAlign w:val="center"/>
          </w:tcPr>
          <w:p w14:paraId="3465EB24">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44FA8EB5">
            <w:pPr>
              <w:widowControl/>
              <w:jc w:val="left"/>
              <w:rPr>
                <w:rFonts w:ascii="新宋体" w:hAnsi="新宋体" w:eastAsia="新宋体" w:cs="新宋体"/>
                <w:color w:val="auto"/>
                <w:kern w:val="0"/>
                <w:sz w:val="22"/>
                <w:szCs w:val="22"/>
                <w:highlight w:val="none"/>
              </w:rPr>
            </w:pPr>
          </w:p>
        </w:tc>
        <w:tc>
          <w:tcPr>
            <w:tcW w:w="1980" w:type="dxa"/>
            <w:vAlign w:val="center"/>
          </w:tcPr>
          <w:p w14:paraId="5B418C4B">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营商无感监测对接</w:t>
            </w:r>
          </w:p>
        </w:tc>
        <w:tc>
          <w:tcPr>
            <w:tcW w:w="5008" w:type="dxa"/>
            <w:vAlign w:val="center"/>
          </w:tcPr>
          <w:p w14:paraId="7CB01194">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对接省营商环境数据归集开发</w:t>
            </w:r>
          </w:p>
        </w:tc>
      </w:tr>
      <w:tr w14:paraId="0FB5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0" w:type="dxa"/>
            <w:vAlign w:val="center"/>
          </w:tcPr>
          <w:p w14:paraId="3FCE00B9">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48</w:t>
            </w:r>
          </w:p>
        </w:tc>
        <w:tc>
          <w:tcPr>
            <w:tcW w:w="900" w:type="dxa"/>
            <w:vMerge w:val="continue"/>
            <w:vAlign w:val="center"/>
          </w:tcPr>
          <w:p w14:paraId="5CFE8D6D">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2C846EBB">
            <w:pPr>
              <w:widowControl/>
              <w:jc w:val="left"/>
              <w:rPr>
                <w:rFonts w:ascii="新宋体" w:hAnsi="新宋体" w:eastAsia="新宋体" w:cs="新宋体"/>
                <w:color w:val="auto"/>
                <w:kern w:val="0"/>
                <w:sz w:val="22"/>
                <w:szCs w:val="22"/>
                <w:highlight w:val="none"/>
              </w:rPr>
            </w:pPr>
          </w:p>
        </w:tc>
        <w:tc>
          <w:tcPr>
            <w:tcW w:w="1980" w:type="dxa"/>
            <w:vAlign w:val="center"/>
          </w:tcPr>
          <w:p w14:paraId="6F98D77E">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其他对接</w:t>
            </w:r>
          </w:p>
        </w:tc>
        <w:tc>
          <w:tcPr>
            <w:tcW w:w="5008" w:type="dxa"/>
            <w:vAlign w:val="center"/>
          </w:tcPr>
          <w:p w14:paraId="558FFBA0">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对接雪亮视频、点位，智平台数据进行对接开发</w:t>
            </w:r>
          </w:p>
        </w:tc>
      </w:tr>
      <w:tr w14:paraId="6558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313C2D01">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49</w:t>
            </w:r>
          </w:p>
        </w:tc>
        <w:tc>
          <w:tcPr>
            <w:tcW w:w="900" w:type="dxa"/>
            <w:vMerge w:val="restart"/>
            <w:vAlign w:val="center"/>
          </w:tcPr>
          <w:p w14:paraId="6C9742B9">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协同流转</w:t>
            </w:r>
          </w:p>
        </w:tc>
        <w:tc>
          <w:tcPr>
            <w:tcW w:w="1160" w:type="dxa"/>
            <w:vMerge w:val="restart"/>
            <w:vAlign w:val="center"/>
          </w:tcPr>
          <w:p w14:paraId="01E7985D">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驾驶舱-协同流转模块</w:t>
            </w:r>
          </w:p>
        </w:tc>
        <w:tc>
          <w:tcPr>
            <w:tcW w:w="1980" w:type="dxa"/>
            <w:vMerge w:val="restart"/>
            <w:vAlign w:val="center"/>
          </w:tcPr>
          <w:p w14:paraId="2CCCE3A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事件多来源输入</w:t>
            </w:r>
          </w:p>
        </w:tc>
        <w:tc>
          <w:tcPr>
            <w:tcW w:w="5008" w:type="dxa"/>
            <w:vAlign w:val="center"/>
          </w:tcPr>
          <w:p w14:paraId="4B465C87">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AI机器视觉告警、物联感知告警、街镇上报、无人机巡查</w:t>
            </w:r>
          </w:p>
        </w:tc>
      </w:tr>
      <w:tr w14:paraId="0DB3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80" w:type="dxa"/>
            <w:vAlign w:val="center"/>
          </w:tcPr>
          <w:p w14:paraId="12886AEB">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50</w:t>
            </w:r>
          </w:p>
        </w:tc>
        <w:tc>
          <w:tcPr>
            <w:tcW w:w="900" w:type="dxa"/>
            <w:vMerge w:val="continue"/>
            <w:vAlign w:val="center"/>
          </w:tcPr>
          <w:p w14:paraId="167A7B29">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73D399CD">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17C0395F">
            <w:pPr>
              <w:widowControl/>
              <w:jc w:val="left"/>
              <w:rPr>
                <w:rFonts w:ascii="新宋体" w:hAnsi="新宋体" w:eastAsia="新宋体" w:cs="新宋体"/>
                <w:color w:val="auto"/>
                <w:kern w:val="0"/>
                <w:sz w:val="22"/>
                <w:szCs w:val="22"/>
                <w:highlight w:val="none"/>
              </w:rPr>
            </w:pPr>
          </w:p>
        </w:tc>
        <w:tc>
          <w:tcPr>
            <w:tcW w:w="5008" w:type="dxa"/>
            <w:vAlign w:val="center"/>
          </w:tcPr>
          <w:p w14:paraId="4465BA91">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事件预处理池：事件列表、事件详情、事件修改</w:t>
            </w:r>
          </w:p>
        </w:tc>
      </w:tr>
      <w:tr w14:paraId="4953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80" w:type="dxa"/>
            <w:vAlign w:val="center"/>
          </w:tcPr>
          <w:p w14:paraId="2D6C010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51</w:t>
            </w:r>
          </w:p>
        </w:tc>
        <w:tc>
          <w:tcPr>
            <w:tcW w:w="900" w:type="dxa"/>
            <w:vMerge w:val="continue"/>
            <w:vAlign w:val="center"/>
          </w:tcPr>
          <w:p w14:paraId="237056F1">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27C41685">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28A0C449">
            <w:pPr>
              <w:widowControl/>
              <w:jc w:val="left"/>
              <w:rPr>
                <w:rFonts w:ascii="新宋体" w:hAnsi="新宋体" w:eastAsia="新宋体" w:cs="新宋体"/>
                <w:color w:val="auto"/>
                <w:kern w:val="0"/>
                <w:sz w:val="22"/>
                <w:szCs w:val="22"/>
                <w:highlight w:val="none"/>
              </w:rPr>
            </w:pPr>
          </w:p>
        </w:tc>
        <w:tc>
          <w:tcPr>
            <w:tcW w:w="5008" w:type="dxa"/>
            <w:vAlign w:val="center"/>
          </w:tcPr>
          <w:p w14:paraId="3A96E170">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系统支持对告警详情数据进行展示</w:t>
            </w:r>
          </w:p>
        </w:tc>
      </w:tr>
      <w:tr w14:paraId="6B75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80" w:type="dxa"/>
            <w:vAlign w:val="center"/>
          </w:tcPr>
          <w:p w14:paraId="1CA48551">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52</w:t>
            </w:r>
          </w:p>
        </w:tc>
        <w:tc>
          <w:tcPr>
            <w:tcW w:w="900" w:type="dxa"/>
            <w:vMerge w:val="continue"/>
            <w:vAlign w:val="center"/>
          </w:tcPr>
          <w:p w14:paraId="6E9B2520">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50EC3F60">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12481E5E">
            <w:pPr>
              <w:widowControl/>
              <w:jc w:val="left"/>
              <w:rPr>
                <w:rFonts w:ascii="新宋体" w:hAnsi="新宋体" w:eastAsia="新宋体" w:cs="新宋体"/>
                <w:color w:val="auto"/>
                <w:kern w:val="0"/>
                <w:sz w:val="22"/>
                <w:szCs w:val="22"/>
                <w:highlight w:val="none"/>
              </w:rPr>
            </w:pPr>
          </w:p>
        </w:tc>
        <w:tc>
          <w:tcPr>
            <w:tcW w:w="5008" w:type="dxa"/>
            <w:vAlign w:val="center"/>
          </w:tcPr>
          <w:p w14:paraId="73C1C37A">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系统支持对事件信息进行修改</w:t>
            </w:r>
          </w:p>
        </w:tc>
      </w:tr>
      <w:tr w14:paraId="1047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80" w:type="dxa"/>
            <w:vAlign w:val="center"/>
          </w:tcPr>
          <w:p w14:paraId="06D42E9A">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53</w:t>
            </w:r>
          </w:p>
        </w:tc>
        <w:tc>
          <w:tcPr>
            <w:tcW w:w="900" w:type="dxa"/>
            <w:vMerge w:val="continue"/>
            <w:vAlign w:val="center"/>
          </w:tcPr>
          <w:p w14:paraId="150C8F68">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1DE64ADF">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26D3086F">
            <w:pPr>
              <w:widowControl/>
              <w:jc w:val="left"/>
              <w:rPr>
                <w:rFonts w:ascii="新宋体" w:hAnsi="新宋体" w:eastAsia="新宋体" w:cs="新宋体"/>
                <w:color w:val="auto"/>
                <w:kern w:val="0"/>
                <w:sz w:val="22"/>
                <w:szCs w:val="22"/>
                <w:highlight w:val="none"/>
              </w:rPr>
            </w:pPr>
          </w:p>
        </w:tc>
        <w:tc>
          <w:tcPr>
            <w:tcW w:w="5008" w:type="dxa"/>
            <w:vAlign w:val="center"/>
          </w:tcPr>
          <w:p w14:paraId="08F73F61">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一键派发功能，支持派发到四平台、街镇指挥室、一件事模块</w:t>
            </w:r>
          </w:p>
        </w:tc>
      </w:tr>
      <w:tr w14:paraId="4613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80" w:type="dxa"/>
            <w:vAlign w:val="center"/>
          </w:tcPr>
          <w:p w14:paraId="114E1B8A">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54</w:t>
            </w:r>
          </w:p>
        </w:tc>
        <w:tc>
          <w:tcPr>
            <w:tcW w:w="900" w:type="dxa"/>
            <w:vMerge w:val="continue"/>
            <w:vAlign w:val="center"/>
          </w:tcPr>
          <w:p w14:paraId="7C832CDC">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4F5CE8CF">
            <w:pPr>
              <w:widowControl/>
              <w:jc w:val="left"/>
              <w:rPr>
                <w:rFonts w:ascii="新宋体" w:hAnsi="新宋体" w:eastAsia="新宋体" w:cs="新宋体"/>
                <w:color w:val="auto"/>
                <w:kern w:val="0"/>
                <w:sz w:val="22"/>
                <w:szCs w:val="22"/>
                <w:highlight w:val="none"/>
              </w:rPr>
            </w:pPr>
          </w:p>
        </w:tc>
        <w:tc>
          <w:tcPr>
            <w:tcW w:w="1980" w:type="dxa"/>
            <w:vMerge w:val="restart"/>
            <w:vAlign w:val="center"/>
          </w:tcPr>
          <w:p w14:paraId="3A5C34D3">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事件处理列表展示</w:t>
            </w:r>
          </w:p>
        </w:tc>
        <w:tc>
          <w:tcPr>
            <w:tcW w:w="5008" w:type="dxa"/>
            <w:vAlign w:val="center"/>
          </w:tcPr>
          <w:p w14:paraId="7E636481">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事件状态，事件处理列表实时展示当前选中事件源下的所有发生的事件信息</w:t>
            </w:r>
          </w:p>
        </w:tc>
      </w:tr>
      <w:tr w14:paraId="64DB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vAlign w:val="center"/>
          </w:tcPr>
          <w:p w14:paraId="7C91742D">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55</w:t>
            </w:r>
          </w:p>
        </w:tc>
        <w:tc>
          <w:tcPr>
            <w:tcW w:w="900" w:type="dxa"/>
            <w:vMerge w:val="continue"/>
            <w:vAlign w:val="center"/>
          </w:tcPr>
          <w:p w14:paraId="7322DFA0">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1BE9F1F1">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78F364EB">
            <w:pPr>
              <w:widowControl/>
              <w:jc w:val="left"/>
              <w:rPr>
                <w:rFonts w:ascii="新宋体" w:hAnsi="新宋体" w:eastAsia="新宋体" w:cs="新宋体"/>
                <w:color w:val="auto"/>
                <w:kern w:val="0"/>
                <w:sz w:val="22"/>
                <w:szCs w:val="22"/>
                <w:highlight w:val="none"/>
              </w:rPr>
            </w:pPr>
          </w:p>
        </w:tc>
        <w:tc>
          <w:tcPr>
            <w:tcW w:w="5008" w:type="dxa"/>
            <w:vAlign w:val="center"/>
          </w:tcPr>
          <w:p w14:paraId="2C737852">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事件派单至基层治理四平台或“一件事”平台时，能够在事件列表对该事件进行标记</w:t>
            </w:r>
          </w:p>
        </w:tc>
      </w:tr>
      <w:tr w14:paraId="1769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0" w:type="dxa"/>
            <w:vAlign w:val="center"/>
          </w:tcPr>
          <w:p w14:paraId="579B1C22">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56</w:t>
            </w:r>
          </w:p>
        </w:tc>
        <w:tc>
          <w:tcPr>
            <w:tcW w:w="900" w:type="dxa"/>
            <w:vMerge w:val="continue"/>
            <w:vAlign w:val="center"/>
          </w:tcPr>
          <w:p w14:paraId="74931D24">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4AD1D148">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6E56A3E0">
            <w:pPr>
              <w:widowControl/>
              <w:jc w:val="left"/>
              <w:rPr>
                <w:rFonts w:ascii="新宋体" w:hAnsi="新宋体" w:eastAsia="新宋体" w:cs="新宋体"/>
                <w:color w:val="auto"/>
                <w:kern w:val="0"/>
                <w:sz w:val="22"/>
                <w:szCs w:val="22"/>
                <w:highlight w:val="none"/>
              </w:rPr>
            </w:pPr>
          </w:p>
        </w:tc>
        <w:tc>
          <w:tcPr>
            <w:tcW w:w="5008" w:type="dxa"/>
            <w:vAlign w:val="center"/>
          </w:tcPr>
          <w:p w14:paraId="0CD9B7B9">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事件列表中提供对事件详情名称进行中文模糊搜索功能</w:t>
            </w:r>
          </w:p>
        </w:tc>
      </w:tr>
      <w:tr w14:paraId="1815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0" w:type="dxa"/>
            <w:vAlign w:val="center"/>
          </w:tcPr>
          <w:p w14:paraId="5476FB6B">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r>
              <w:rPr>
                <w:rFonts w:ascii="新宋体" w:hAnsi="新宋体" w:eastAsia="新宋体" w:cs="新宋体"/>
                <w:color w:val="auto"/>
                <w:kern w:val="0"/>
                <w:sz w:val="22"/>
                <w:szCs w:val="22"/>
                <w:highlight w:val="none"/>
              </w:rPr>
              <w:t>7</w:t>
            </w:r>
          </w:p>
        </w:tc>
        <w:tc>
          <w:tcPr>
            <w:tcW w:w="900" w:type="dxa"/>
            <w:vMerge w:val="continue"/>
            <w:vAlign w:val="center"/>
          </w:tcPr>
          <w:p w14:paraId="73981CA6">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2D8FF1E9">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064036D0">
            <w:pPr>
              <w:widowControl/>
              <w:jc w:val="left"/>
              <w:rPr>
                <w:rFonts w:ascii="新宋体" w:hAnsi="新宋体" w:eastAsia="新宋体" w:cs="新宋体"/>
                <w:color w:val="auto"/>
                <w:kern w:val="0"/>
                <w:sz w:val="22"/>
                <w:szCs w:val="22"/>
                <w:highlight w:val="none"/>
              </w:rPr>
            </w:pPr>
          </w:p>
        </w:tc>
        <w:tc>
          <w:tcPr>
            <w:tcW w:w="5008" w:type="dxa"/>
            <w:vAlign w:val="center"/>
          </w:tcPr>
          <w:p w14:paraId="688381C2">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全量事件查询与二级列表页面，并支持事件详情的展示</w:t>
            </w:r>
          </w:p>
        </w:tc>
      </w:tr>
      <w:tr w14:paraId="74B7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80" w:type="dxa"/>
            <w:vAlign w:val="center"/>
          </w:tcPr>
          <w:p w14:paraId="182C2AD7">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r>
              <w:rPr>
                <w:rFonts w:ascii="新宋体" w:hAnsi="新宋体" w:eastAsia="新宋体" w:cs="新宋体"/>
                <w:color w:val="auto"/>
                <w:kern w:val="0"/>
                <w:sz w:val="22"/>
                <w:szCs w:val="22"/>
                <w:highlight w:val="none"/>
              </w:rPr>
              <w:t>8</w:t>
            </w:r>
          </w:p>
        </w:tc>
        <w:tc>
          <w:tcPr>
            <w:tcW w:w="900" w:type="dxa"/>
            <w:vMerge w:val="continue"/>
            <w:vAlign w:val="center"/>
          </w:tcPr>
          <w:p w14:paraId="71743991">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12D16A1D">
            <w:pPr>
              <w:widowControl/>
              <w:jc w:val="left"/>
              <w:rPr>
                <w:rFonts w:ascii="新宋体" w:hAnsi="新宋体" w:eastAsia="新宋体" w:cs="新宋体"/>
                <w:color w:val="auto"/>
                <w:kern w:val="0"/>
                <w:sz w:val="22"/>
                <w:szCs w:val="22"/>
                <w:highlight w:val="none"/>
              </w:rPr>
            </w:pPr>
          </w:p>
        </w:tc>
        <w:tc>
          <w:tcPr>
            <w:tcW w:w="1980" w:type="dxa"/>
            <w:vMerge w:val="restart"/>
            <w:vAlign w:val="center"/>
          </w:tcPr>
          <w:p w14:paraId="06E08686">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事件多流程流转展示</w:t>
            </w:r>
          </w:p>
        </w:tc>
        <w:tc>
          <w:tcPr>
            <w:tcW w:w="5008" w:type="dxa"/>
            <w:vAlign w:val="center"/>
          </w:tcPr>
          <w:p w14:paraId="6E9567B1">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提级处置统计：统计展示鹿城区社会治理中心各提级上报的事件数量及使用的平台</w:t>
            </w:r>
          </w:p>
        </w:tc>
      </w:tr>
      <w:tr w14:paraId="3FDE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80" w:type="dxa"/>
            <w:vAlign w:val="center"/>
          </w:tcPr>
          <w:p w14:paraId="4E2C0575">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r>
              <w:rPr>
                <w:rFonts w:ascii="新宋体" w:hAnsi="新宋体" w:eastAsia="新宋体" w:cs="新宋体"/>
                <w:color w:val="auto"/>
                <w:kern w:val="0"/>
                <w:sz w:val="22"/>
                <w:szCs w:val="22"/>
                <w:highlight w:val="none"/>
              </w:rPr>
              <w:t>9</w:t>
            </w:r>
          </w:p>
        </w:tc>
        <w:tc>
          <w:tcPr>
            <w:tcW w:w="900" w:type="dxa"/>
            <w:vMerge w:val="continue"/>
            <w:vAlign w:val="center"/>
          </w:tcPr>
          <w:p w14:paraId="09DA3332">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12EAC8E7">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542A012F">
            <w:pPr>
              <w:widowControl/>
              <w:jc w:val="left"/>
              <w:rPr>
                <w:rFonts w:ascii="新宋体" w:hAnsi="新宋体" w:eastAsia="新宋体" w:cs="新宋体"/>
                <w:color w:val="auto"/>
                <w:kern w:val="0"/>
                <w:sz w:val="22"/>
                <w:szCs w:val="22"/>
                <w:highlight w:val="none"/>
              </w:rPr>
            </w:pPr>
          </w:p>
        </w:tc>
        <w:tc>
          <w:tcPr>
            <w:tcW w:w="5008" w:type="dxa"/>
            <w:vAlign w:val="center"/>
          </w:tcPr>
          <w:p w14:paraId="6A7C5BE9">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同级协同统计：统计展示鹿城区社会治理中心各同级协同的事件数量，并用图表展示</w:t>
            </w:r>
          </w:p>
        </w:tc>
      </w:tr>
      <w:tr w14:paraId="1BB8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80" w:type="dxa"/>
            <w:vAlign w:val="center"/>
          </w:tcPr>
          <w:p w14:paraId="671597A9">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r>
              <w:rPr>
                <w:rFonts w:ascii="新宋体" w:hAnsi="新宋体" w:eastAsia="新宋体" w:cs="新宋体"/>
                <w:color w:val="auto"/>
                <w:kern w:val="0"/>
                <w:sz w:val="22"/>
                <w:szCs w:val="22"/>
                <w:highlight w:val="none"/>
              </w:rPr>
              <w:t>0</w:t>
            </w:r>
          </w:p>
        </w:tc>
        <w:tc>
          <w:tcPr>
            <w:tcW w:w="900" w:type="dxa"/>
            <w:vMerge w:val="continue"/>
            <w:vAlign w:val="center"/>
          </w:tcPr>
          <w:p w14:paraId="42680B88">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2C8F31C8">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0C75832D">
            <w:pPr>
              <w:widowControl/>
              <w:jc w:val="left"/>
              <w:rPr>
                <w:rFonts w:ascii="新宋体" w:hAnsi="新宋体" w:eastAsia="新宋体" w:cs="新宋体"/>
                <w:color w:val="auto"/>
                <w:kern w:val="0"/>
                <w:sz w:val="22"/>
                <w:szCs w:val="22"/>
                <w:highlight w:val="none"/>
              </w:rPr>
            </w:pPr>
          </w:p>
        </w:tc>
        <w:tc>
          <w:tcPr>
            <w:tcW w:w="5008" w:type="dxa"/>
            <w:vAlign w:val="center"/>
          </w:tcPr>
          <w:p w14:paraId="13360DB2">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下沉派发统计：统计展示鹿城区社会治理中心各下沉派发的事件数量及使用的平台，并用图表展示</w:t>
            </w:r>
          </w:p>
        </w:tc>
      </w:tr>
      <w:tr w14:paraId="5D92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80" w:type="dxa"/>
            <w:vAlign w:val="center"/>
          </w:tcPr>
          <w:p w14:paraId="04132470">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r>
              <w:rPr>
                <w:rFonts w:ascii="新宋体" w:hAnsi="新宋体" w:eastAsia="新宋体" w:cs="新宋体"/>
                <w:color w:val="auto"/>
                <w:kern w:val="0"/>
                <w:sz w:val="22"/>
                <w:szCs w:val="22"/>
                <w:highlight w:val="none"/>
              </w:rPr>
              <w:t>1</w:t>
            </w:r>
          </w:p>
        </w:tc>
        <w:tc>
          <w:tcPr>
            <w:tcW w:w="900" w:type="dxa"/>
            <w:vMerge w:val="continue"/>
            <w:vAlign w:val="center"/>
          </w:tcPr>
          <w:p w14:paraId="6D699CE6">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07B516F3">
            <w:pPr>
              <w:widowControl/>
              <w:jc w:val="left"/>
              <w:rPr>
                <w:rFonts w:ascii="新宋体" w:hAnsi="新宋体" w:eastAsia="新宋体" w:cs="新宋体"/>
                <w:color w:val="auto"/>
                <w:kern w:val="0"/>
                <w:sz w:val="22"/>
                <w:szCs w:val="22"/>
                <w:highlight w:val="none"/>
              </w:rPr>
            </w:pPr>
          </w:p>
        </w:tc>
        <w:tc>
          <w:tcPr>
            <w:tcW w:w="1980" w:type="dxa"/>
            <w:vMerge w:val="restart"/>
            <w:vAlign w:val="center"/>
          </w:tcPr>
          <w:p w14:paraId="493E1143">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事件多渠道闭环管理</w:t>
            </w:r>
          </w:p>
        </w:tc>
        <w:tc>
          <w:tcPr>
            <w:tcW w:w="5008" w:type="dxa"/>
            <w:vAlign w:val="center"/>
          </w:tcPr>
          <w:p w14:paraId="6D291EE3">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处置中：展示过去一段时间社会治理和城市运行领域处置中事件状态的统计情况，提供图表动态展示</w:t>
            </w:r>
          </w:p>
        </w:tc>
      </w:tr>
      <w:tr w14:paraId="603C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0" w:type="dxa"/>
            <w:vAlign w:val="center"/>
          </w:tcPr>
          <w:p w14:paraId="6869B20E">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r>
              <w:rPr>
                <w:rFonts w:ascii="新宋体" w:hAnsi="新宋体" w:eastAsia="新宋体" w:cs="新宋体"/>
                <w:color w:val="auto"/>
                <w:kern w:val="0"/>
                <w:sz w:val="22"/>
                <w:szCs w:val="22"/>
                <w:highlight w:val="none"/>
              </w:rPr>
              <w:t>2</w:t>
            </w:r>
          </w:p>
        </w:tc>
        <w:tc>
          <w:tcPr>
            <w:tcW w:w="900" w:type="dxa"/>
            <w:vMerge w:val="continue"/>
            <w:vAlign w:val="center"/>
          </w:tcPr>
          <w:p w14:paraId="39E0B67A">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7CC535AA">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34A8C8AC">
            <w:pPr>
              <w:widowControl/>
              <w:jc w:val="left"/>
              <w:rPr>
                <w:rFonts w:ascii="新宋体" w:hAnsi="新宋体" w:eastAsia="新宋体" w:cs="新宋体"/>
                <w:color w:val="auto"/>
                <w:kern w:val="0"/>
                <w:sz w:val="22"/>
                <w:szCs w:val="22"/>
                <w:highlight w:val="none"/>
              </w:rPr>
            </w:pPr>
          </w:p>
        </w:tc>
        <w:tc>
          <w:tcPr>
            <w:tcW w:w="5008" w:type="dxa"/>
            <w:vAlign w:val="center"/>
          </w:tcPr>
          <w:p w14:paraId="4A274986">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待审核：展示过去一段时间社会治理和城市运行领域待审核事件状态的统计情况，提供图表动态展示</w:t>
            </w:r>
          </w:p>
        </w:tc>
      </w:tr>
      <w:tr w14:paraId="33F5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80" w:type="dxa"/>
            <w:vAlign w:val="center"/>
          </w:tcPr>
          <w:p w14:paraId="08653B4C">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r>
              <w:rPr>
                <w:rFonts w:ascii="新宋体" w:hAnsi="新宋体" w:eastAsia="新宋体" w:cs="新宋体"/>
                <w:color w:val="auto"/>
                <w:kern w:val="0"/>
                <w:sz w:val="22"/>
                <w:szCs w:val="22"/>
                <w:highlight w:val="none"/>
              </w:rPr>
              <w:t>3</w:t>
            </w:r>
          </w:p>
        </w:tc>
        <w:tc>
          <w:tcPr>
            <w:tcW w:w="900" w:type="dxa"/>
            <w:vMerge w:val="continue"/>
            <w:vAlign w:val="center"/>
          </w:tcPr>
          <w:p w14:paraId="2EA08078">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5E6D355D">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1EA50C5A">
            <w:pPr>
              <w:widowControl/>
              <w:jc w:val="left"/>
              <w:rPr>
                <w:rFonts w:ascii="新宋体" w:hAnsi="新宋体" w:eastAsia="新宋体" w:cs="新宋体"/>
                <w:color w:val="auto"/>
                <w:kern w:val="0"/>
                <w:sz w:val="22"/>
                <w:szCs w:val="22"/>
                <w:highlight w:val="none"/>
              </w:rPr>
            </w:pPr>
          </w:p>
        </w:tc>
        <w:tc>
          <w:tcPr>
            <w:tcW w:w="5008" w:type="dxa"/>
            <w:vAlign w:val="center"/>
          </w:tcPr>
          <w:p w14:paraId="3CD78AD3">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已办结：展示过去一段时间社会治理和城市运行领域已办结事件状态的统计情况，提供图表动态展示</w:t>
            </w:r>
          </w:p>
        </w:tc>
      </w:tr>
      <w:tr w14:paraId="3D5E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80" w:type="dxa"/>
            <w:vAlign w:val="center"/>
          </w:tcPr>
          <w:p w14:paraId="6D6EA563">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r>
              <w:rPr>
                <w:rFonts w:ascii="新宋体" w:hAnsi="新宋体" w:eastAsia="新宋体" w:cs="新宋体"/>
                <w:color w:val="auto"/>
                <w:kern w:val="0"/>
                <w:sz w:val="22"/>
                <w:szCs w:val="22"/>
                <w:highlight w:val="none"/>
              </w:rPr>
              <w:t>4</w:t>
            </w:r>
          </w:p>
        </w:tc>
        <w:tc>
          <w:tcPr>
            <w:tcW w:w="900" w:type="dxa"/>
            <w:vMerge w:val="continue"/>
            <w:vAlign w:val="center"/>
          </w:tcPr>
          <w:p w14:paraId="48CBB4CF">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49E44E21">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5696152A">
            <w:pPr>
              <w:widowControl/>
              <w:jc w:val="left"/>
              <w:rPr>
                <w:rFonts w:ascii="新宋体" w:hAnsi="新宋体" w:eastAsia="新宋体" w:cs="新宋体"/>
                <w:color w:val="auto"/>
                <w:kern w:val="0"/>
                <w:sz w:val="22"/>
                <w:szCs w:val="22"/>
                <w:highlight w:val="none"/>
              </w:rPr>
            </w:pPr>
          </w:p>
        </w:tc>
        <w:tc>
          <w:tcPr>
            <w:tcW w:w="5008" w:type="dxa"/>
            <w:vAlign w:val="center"/>
          </w:tcPr>
          <w:p w14:paraId="56B6C98B">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展示过去一段时间内各个部门的事件处置和办结情况，并用图表进行展示</w:t>
            </w:r>
          </w:p>
        </w:tc>
      </w:tr>
      <w:tr w14:paraId="6EF9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80" w:type="dxa"/>
            <w:vAlign w:val="center"/>
          </w:tcPr>
          <w:p w14:paraId="75E4927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r>
              <w:rPr>
                <w:rFonts w:ascii="新宋体" w:hAnsi="新宋体" w:eastAsia="新宋体" w:cs="新宋体"/>
                <w:color w:val="auto"/>
                <w:kern w:val="0"/>
                <w:sz w:val="22"/>
                <w:szCs w:val="22"/>
                <w:highlight w:val="none"/>
              </w:rPr>
              <w:t>5</w:t>
            </w:r>
          </w:p>
        </w:tc>
        <w:tc>
          <w:tcPr>
            <w:tcW w:w="900" w:type="dxa"/>
            <w:vMerge w:val="continue"/>
            <w:vAlign w:val="center"/>
          </w:tcPr>
          <w:p w14:paraId="5CD40B6A">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4DC6CB3B">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5E6F7B96">
            <w:pPr>
              <w:widowControl/>
              <w:jc w:val="left"/>
              <w:rPr>
                <w:rFonts w:ascii="新宋体" w:hAnsi="新宋体" w:eastAsia="新宋体" w:cs="新宋体"/>
                <w:color w:val="auto"/>
                <w:kern w:val="0"/>
                <w:sz w:val="22"/>
                <w:szCs w:val="22"/>
                <w:highlight w:val="none"/>
              </w:rPr>
            </w:pPr>
          </w:p>
        </w:tc>
        <w:tc>
          <w:tcPr>
            <w:tcW w:w="5008" w:type="dxa"/>
            <w:vAlign w:val="center"/>
          </w:tcPr>
          <w:p w14:paraId="75E50B92">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展示过去一段时间内十四个街镇的事件处置和办结情况，并用图表进行展示</w:t>
            </w:r>
          </w:p>
        </w:tc>
      </w:tr>
      <w:tr w14:paraId="7F0E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0" w:type="dxa"/>
            <w:vAlign w:val="center"/>
          </w:tcPr>
          <w:p w14:paraId="01C66B97">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r>
              <w:rPr>
                <w:rFonts w:ascii="新宋体" w:hAnsi="新宋体" w:eastAsia="新宋体" w:cs="新宋体"/>
                <w:color w:val="auto"/>
                <w:kern w:val="0"/>
                <w:sz w:val="22"/>
                <w:szCs w:val="22"/>
                <w:highlight w:val="none"/>
              </w:rPr>
              <w:t>6</w:t>
            </w:r>
          </w:p>
        </w:tc>
        <w:tc>
          <w:tcPr>
            <w:tcW w:w="900" w:type="dxa"/>
            <w:vMerge w:val="continue"/>
            <w:vAlign w:val="center"/>
          </w:tcPr>
          <w:p w14:paraId="341A2AA4">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AE2A48D">
            <w:pPr>
              <w:widowControl/>
              <w:jc w:val="left"/>
              <w:rPr>
                <w:rFonts w:ascii="新宋体" w:hAnsi="新宋体" w:eastAsia="新宋体" w:cs="新宋体"/>
                <w:color w:val="auto"/>
                <w:kern w:val="0"/>
                <w:sz w:val="22"/>
                <w:szCs w:val="22"/>
                <w:highlight w:val="none"/>
              </w:rPr>
            </w:pPr>
          </w:p>
        </w:tc>
        <w:tc>
          <w:tcPr>
            <w:tcW w:w="1980" w:type="dxa"/>
            <w:vMerge w:val="restart"/>
            <w:vAlign w:val="center"/>
          </w:tcPr>
          <w:p w14:paraId="13CFB74D">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事件创建</w:t>
            </w:r>
          </w:p>
        </w:tc>
        <w:tc>
          <w:tcPr>
            <w:tcW w:w="5008" w:type="dxa"/>
            <w:vAlign w:val="center"/>
          </w:tcPr>
          <w:p w14:paraId="22B7C50A">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支持新增自定义事件，可维护事件所属区域、所属街道、来源部门、事件标题、详情内容、发生时间、发生地点、处置状态、事件分类等关键信息</w:t>
            </w:r>
          </w:p>
        </w:tc>
      </w:tr>
      <w:tr w14:paraId="55A4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0" w:type="dxa"/>
            <w:vAlign w:val="center"/>
          </w:tcPr>
          <w:p w14:paraId="7643C3CC">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r>
              <w:rPr>
                <w:rFonts w:ascii="新宋体" w:hAnsi="新宋体" w:eastAsia="新宋体" w:cs="新宋体"/>
                <w:color w:val="auto"/>
                <w:kern w:val="0"/>
                <w:sz w:val="22"/>
                <w:szCs w:val="22"/>
                <w:highlight w:val="none"/>
              </w:rPr>
              <w:t>7</w:t>
            </w:r>
          </w:p>
        </w:tc>
        <w:tc>
          <w:tcPr>
            <w:tcW w:w="900" w:type="dxa"/>
            <w:vMerge w:val="continue"/>
            <w:vAlign w:val="center"/>
          </w:tcPr>
          <w:p w14:paraId="20BB4FFD">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4CF85F85">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6F755D83">
            <w:pPr>
              <w:widowControl/>
              <w:jc w:val="left"/>
              <w:rPr>
                <w:rFonts w:ascii="新宋体" w:hAnsi="新宋体" w:eastAsia="新宋体" w:cs="新宋体"/>
                <w:color w:val="auto"/>
                <w:kern w:val="0"/>
                <w:sz w:val="22"/>
                <w:szCs w:val="22"/>
                <w:highlight w:val="none"/>
              </w:rPr>
            </w:pPr>
          </w:p>
        </w:tc>
        <w:tc>
          <w:tcPr>
            <w:tcW w:w="5008" w:type="dxa"/>
            <w:vAlign w:val="center"/>
          </w:tcPr>
          <w:p w14:paraId="04914F86">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支持事件经纬度坐标和事件发生地通过地图搜索选取</w:t>
            </w:r>
          </w:p>
        </w:tc>
      </w:tr>
      <w:tr w14:paraId="431D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0" w:type="dxa"/>
            <w:vAlign w:val="center"/>
          </w:tcPr>
          <w:p w14:paraId="203294EF">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r>
              <w:rPr>
                <w:rFonts w:ascii="新宋体" w:hAnsi="新宋体" w:eastAsia="新宋体" w:cs="新宋体"/>
                <w:color w:val="auto"/>
                <w:kern w:val="0"/>
                <w:sz w:val="22"/>
                <w:szCs w:val="22"/>
                <w:highlight w:val="none"/>
              </w:rPr>
              <w:t>8</w:t>
            </w:r>
          </w:p>
        </w:tc>
        <w:tc>
          <w:tcPr>
            <w:tcW w:w="900" w:type="dxa"/>
            <w:vMerge w:val="continue"/>
            <w:vAlign w:val="center"/>
          </w:tcPr>
          <w:p w14:paraId="4F8849A6">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3A7E4151">
            <w:pPr>
              <w:widowControl/>
              <w:jc w:val="left"/>
              <w:rPr>
                <w:rFonts w:ascii="新宋体" w:hAnsi="新宋体" w:eastAsia="新宋体" w:cs="新宋体"/>
                <w:color w:val="auto"/>
                <w:kern w:val="0"/>
                <w:sz w:val="22"/>
                <w:szCs w:val="22"/>
                <w:highlight w:val="none"/>
              </w:rPr>
            </w:pPr>
          </w:p>
        </w:tc>
        <w:tc>
          <w:tcPr>
            <w:tcW w:w="1980" w:type="dxa"/>
            <w:vMerge w:val="restart"/>
            <w:vAlign w:val="center"/>
          </w:tcPr>
          <w:p w14:paraId="189C9C5E">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事件进度</w:t>
            </w:r>
          </w:p>
        </w:tc>
        <w:tc>
          <w:tcPr>
            <w:tcW w:w="5008" w:type="dxa"/>
            <w:vAlign w:val="center"/>
          </w:tcPr>
          <w:p w14:paraId="4B2770C1">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接入各事件来源系统和处置系统的事件处置信息</w:t>
            </w:r>
          </w:p>
        </w:tc>
      </w:tr>
      <w:tr w14:paraId="127E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80" w:type="dxa"/>
            <w:vAlign w:val="center"/>
          </w:tcPr>
          <w:p w14:paraId="5C26249B">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r>
              <w:rPr>
                <w:rFonts w:ascii="新宋体" w:hAnsi="新宋体" w:eastAsia="新宋体" w:cs="新宋体"/>
                <w:color w:val="auto"/>
                <w:kern w:val="0"/>
                <w:sz w:val="22"/>
                <w:szCs w:val="22"/>
                <w:highlight w:val="none"/>
              </w:rPr>
              <w:t>9</w:t>
            </w:r>
          </w:p>
        </w:tc>
        <w:tc>
          <w:tcPr>
            <w:tcW w:w="900" w:type="dxa"/>
            <w:vMerge w:val="continue"/>
            <w:vAlign w:val="center"/>
          </w:tcPr>
          <w:p w14:paraId="3E572A8C">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31080757">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1C0E5D37">
            <w:pPr>
              <w:widowControl/>
              <w:jc w:val="left"/>
              <w:rPr>
                <w:rFonts w:ascii="新宋体" w:hAnsi="新宋体" w:eastAsia="新宋体" w:cs="新宋体"/>
                <w:color w:val="auto"/>
                <w:kern w:val="0"/>
                <w:sz w:val="22"/>
                <w:szCs w:val="22"/>
                <w:highlight w:val="none"/>
              </w:rPr>
            </w:pPr>
          </w:p>
        </w:tc>
        <w:tc>
          <w:tcPr>
            <w:tcW w:w="5008" w:type="dxa"/>
            <w:vAlign w:val="center"/>
          </w:tcPr>
          <w:p w14:paraId="6E1ABAD4">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在事件进度展示模块中，按时间轴顺序合并展示事件处理时间、责任人、处置部门、事件处置状态等详情信息</w:t>
            </w:r>
          </w:p>
        </w:tc>
      </w:tr>
      <w:tr w14:paraId="58E0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80" w:type="dxa"/>
            <w:vAlign w:val="center"/>
          </w:tcPr>
          <w:p w14:paraId="12246545">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r>
              <w:rPr>
                <w:rFonts w:ascii="新宋体" w:hAnsi="新宋体" w:eastAsia="新宋体" w:cs="新宋体"/>
                <w:color w:val="auto"/>
                <w:kern w:val="0"/>
                <w:sz w:val="22"/>
                <w:szCs w:val="22"/>
                <w:highlight w:val="none"/>
              </w:rPr>
              <w:t>0</w:t>
            </w:r>
          </w:p>
        </w:tc>
        <w:tc>
          <w:tcPr>
            <w:tcW w:w="900" w:type="dxa"/>
            <w:vMerge w:val="continue"/>
            <w:vAlign w:val="center"/>
          </w:tcPr>
          <w:p w14:paraId="194DB8C6">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55B639F4">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4ADA1E0E">
            <w:pPr>
              <w:widowControl/>
              <w:jc w:val="left"/>
              <w:rPr>
                <w:rFonts w:ascii="新宋体" w:hAnsi="新宋体" w:eastAsia="新宋体" w:cs="新宋体"/>
                <w:color w:val="auto"/>
                <w:kern w:val="0"/>
                <w:sz w:val="22"/>
                <w:szCs w:val="22"/>
                <w:highlight w:val="none"/>
              </w:rPr>
            </w:pPr>
          </w:p>
        </w:tc>
        <w:tc>
          <w:tcPr>
            <w:tcW w:w="5008" w:type="dxa"/>
            <w:vAlign w:val="center"/>
          </w:tcPr>
          <w:p w14:paraId="2CBFE5D0">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支持事件处理平台的文本信息和图片信息查看</w:t>
            </w:r>
          </w:p>
        </w:tc>
      </w:tr>
      <w:tr w14:paraId="13A6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0" w:type="dxa"/>
            <w:vAlign w:val="center"/>
          </w:tcPr>
          <w:p w14:paraId="2CBEFD27">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r>
              <w:rPr>
                <w:rFonts w:ascii="新宋体" w:hAnsi="新宋体" w:eastAsia="新宋体" w:cs="新宋体"/>
                <w:color w:val="auto"/>
                <w:kern w:val="0"/>
                <w:sz w:val="22"/>
                <w:szCs w:val="22"/>
                <w:highlight w:val="none"/>
              </w:rPr>
              <w:t>1</w:t>
            </w:r>
          </w:p>
        </w:tc>
        <w:tc>
          <w:tcPr>
            <w:tcW w:w="900" w:type="dxa"/>
            <w:vMerge w:val="continue"/>
            <w:vAlign w:val="center"/>
          </w:tcPr>
          <w:p w14:paraId="3602831B">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196C76A8">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7110C852">
            <w:pPr>
              <w:widowControl/>
              <w:jc w:val="left"/>
              <w:rPr>
                <w:rFonts w:ascii="新宋体" w:hAnsi="新宋体" w:eastAsia="新宋体" w:cs="新宋体"/>
                <w:color w:val="auto"/>
                <w:kern w:val="0"/>
                <w:sz w:val="22"/>
                <w:szCs w:val="22"/>
                <w:highlight w:val="none"/>
              </w:rPr>
            </w:pPr>
          </w:p>
        </w:tc>
        <w:tc>
          <w:tcPr>
            <w:tcW w:w="5008" w:type="dxa"/>
            <w:vAlign w:val="center"/>
          </w:tcPr>
          <w:p w14:paraId="2BE1E1F5">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提供附件的下载功能</w:t>
            </w:r>
          </w:p>
        </w:tc>
      </w:tr>
      <w:tr w14:paraId="196C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80" w:type="dxa"/>
            <w:vAlign w:val="center"/>
          </w:tcPr>
          <w:p w14:paraId="6D8C6E92">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r>
              <w:rPr>
                <w:rFonts w:ascii="新宋体" w:hAnsi="新宋体" w:eastAsia="新宋体" w:cs="新宋体"/>
                <w:color w:val="auto"/>
                <w:kern w:val="0"/>
                <w:sz w:val="22"/>
                <w:szCs w:val="22"/>
                <w:highlight w:val="none"/>
              </w:rPr>
              <w:t>2</w:t>
            </w:r>
          </w:p>
        </w:tc>
        <w:tc>
          <w:tcPr>
            <w:tcW w:w="900" w:type="dxa"/>
            <w:vMerge w:val="continue"/>
            <w:vAlign w:val="center"/>
          </w:tcPr>
          <w:p w14:paraId="3F7AC40F">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3C05860">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650B4E6A">
            <w:pPr>
              <w:widowControl/>
              <w:jc w:val="left"/>
              <w:rPr>
                <w:rFonts w:ascii="新宋体" w:hAnsi="新宋体" w:eastAsia="新宋体" w:cs="新宋体"/>
                <w:color w:val="auto"/>
                <w:kern w:val="0"/>
                <w:sz w:val="22"/>
                <w:szCs w:val="22"/>
                <w:highlight w:val="none"/>
              </w:rPr>
            </w:pPr>
          </w:p>
        </w:tc>
        <w:tc>
          <w:tcPr>
            <w:tcW w:w="5008" w:type="dxa"/>
            <w:vAlign w:val="center"/>
          </w:tcPr>
          <w:p w14:paraId="7DCC15CA">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事件详情展示、事件搜索和分类搜索</w:t>
            </w:r>
          </w:p>
        </w:tc>
      </w:tr>
      <w:tr w14:paraId="4E1C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80" w:type="dxa"/>
            <w:vAlign w:val="center"/>
          </w:tcPr>
          <w:p w14:paraId="02A8B0BA">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r>
              <w:rPr>
                <w:rFonts w:ascii="新宋体" w:hAnsi="新宋体" w:eastAsia="新宋体" w:cs="新宋体"/>
                <w:color w:val="auto"/>
                <w:kern w:val="0"/>
                <w:sz w:val="22"/>
                <w:szCs w:val="22"/>
                <w:highlight w:val="none"/>
              </w:rPr>
              <w:t>3</w:t>
            </w:r>
          </w:p>
        </w:tc>
        <w:tc>
          <w:tcPr>
            <w:tcW w:w="900" w:type="dxa"/>
            <w:vMerge w:val="continue"/>
            <w:vAlign w:val="center"/>
          </w:tcPr>
          <w:p w14:paraId="1C9088AB">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FD7CB55">
            <w:pPr>
              <w:widowControl/>
              <w:jc w:val="left"/>
              <w:rPr>
                <w:rFonts w:ascii="新宋体" w:hAnsi="新宋体" w:eastAsia="新宋体" w:cs="新宋体"/>
                <w:color w:val="auto"/>
                <w:kern w:val="0"/>
                <w:sz w:val="22"/>
                <w:szCs w:val="22"/>
                <w:highlight w:val="none"/>
              </w:rPr>
            </w:pPr>
          </w:p>
        </w:tc>
        <w:tc>
          <w:tcPr>
            <w:tcW w:w="1980" w:type="dxa"/>
            <w:vMerge w:val="restart"/>
            <w:vAlign w:val="center"/>
          </w:tcPr>
          <w:p w14:paraId="44A06A19">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事件派单</w:t>
            </w:r>
          </w:p>
        </w:tc>
        <w:tc>
          <w:tcPr>
            <w:tcW w:w="5008" w:type="dxa"/>
            <w:vAlign w:val="center"/>
          </w:tcPr>
          <w:p w14:paraId="5913226A">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系统支持通过四平台进行派单</w:t>
            </w:r>
          </w:p>
        </w:tc>
      </w:tr>
      <w:tr w14:paraId="21EF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80" w:type="dxa"/>
            <w:vAlign w:val="center"/>
          </w:tcPr>
          <w:p w14:paraId="264A493D">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r>
              <w:rPr>
                <w:rFonts w:ascii="新宋体" w:hAnsi="新宋体" w:eastAsia="新宋体" w:cs="新宋体"/>
                <w:color w:val="auto"/>
                <w:kern w:val="0"/>
                <w:sz w:val="22"/>
                <w:szCs w:val="22"/>
                <w:highlight w:val="none"/>
              </w:rPr>
              <w:t>4</w:t>
            </w:r>
          </w:p>
        </w:tc>
        <w:tc>
          <w:tcPr>
            <w:tcW w:w="900" w:type="dxa"/>
            <w:vMerge w:val="continue"/>
            <w:vAlign w:val="center"/>
          </w:tcPr>
          <w:p w14:paraId="0AE8767D">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13165E46">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5C2B5422">
            <w:pPr>
              <w:widowControl/>
              <w:jc w:val="left"/>
              <w:rPr>
                <w:rFonts w:ascii="新宋体" w:hAnsi="新宋体" w:eastAsia="新宋体" w:cs="新宋体"/>
                <w:color w:val="auto"/>
                <w:kern w:val="0"/>
                <w:sz w:val="22"/>
                <w:szCs w:val="22"/>
                <w:highlight w:val="none"/>
              </w:rPr>
            </w:pPr>
          </w:p>
        </w:tc>
        <w:tc>
          <w:tcPr>
            <w:tcW w:w="5008" w:type="dxa"/>
            <w:vAlign w:val="center"/>
          </w:tcPr>
          <w:p w14:paraId="054778BE">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事件支持通过一件事进行快捷派单</w:t>
            </w:r>
          </w:p>
        </w:tc>
      </w:tr>
      <w:tr w14:paraId="2E21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80" w:type="dxa"/>
            <w:vAlign w:val="center"/>
          </w:tcPr>
          <w:p w14:paraId="061B96A2">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r>
              <w:rPr>
                <w:rFonts w:ascii="新宋体" w:hAnsi="新宋体" w:eastAsia="新宋体" w:cs="新宋体"/>
                <w:color w:val="auto"/>
                <w:kern w:val="0"/>
                <w:sz w:val="22"/>
                <w:szCs w:val="22"/>
                <w:highlight w:val="none"/>
              </w:rPr>
              <w:t>5</w:t>
            </w:r>
          </w:p>
        </w:tc>
        <w:tc>
          <w:tcPr>
            <w:tcW w:w="900" w:type="dxa"/>
            <w:vMerge w:val="continue"/>
            <w:vAlign w:val="center"/>
          </w:tcPr>
          <w:p w14:paraId="6B6E7973">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08361E40">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1F333F44">
            <w:pPr>
              <w:widowControl/>
              <w:jc w:val="left"/>
              <w:rPr>
                <w:rFonts w:ascii="新宋体" w:hAnsi="新宋体" w:eastAsia="新宋体" w:cs="新宋体"/>
                <w:color w:val="auto"/>
                <w:kern w:val="0"/>
                <w:sz w:val="22"/>
                <w:szCs w:val="22"/>
                <w:highlight w:val="none"/>
              </w:rPr>
            </w:pPr>
          </w:p>
        </w:tc>
        <w:tc>
          <w:tcPr>
            <w:tcW w:w="5008" w:type="dxa"/>
            <w:vAlign w:val="center"/>
          </w:tcPr>
          <w:p w14:paraId="0C0EC828">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系统支持直接办结处理</w:t>
            </w:r>
          </w:p>
        </w:tc>
      </w:tr>
      <w:tr w14:paraId="2B69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0" w:type="dxa"/>
            <w:vAlign w:val="center"/>
          </w:tcPr>
          <w:p w14:paraId="51614692">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r>
              <w:rPr>
                <w:rFonts w:ascii="新宋体" w:hAnsi="新宋体" w:eastAsia="新宋体" w:cs="新宋体"/>
                <w:color w:val="auto"/>
                <w:kern w:val="0"/>
                <w:sz w:val="22"/>
                <w:szCs w:val="22"/>
                <w:highlight w:val="none"/>
              </w:rPr>
              <w:t>6</w:t>
            </w:r>
          </w:p>
        </w:tc>
        <w:tc>
          <w:tcPr>
            <w:tcW w:w="900" w:type="dxa"/>
            <w:vMerge w:val="continue"/>
            <w:vAlign w:val="center"/>
          </w:tcPr>
          <w:p w14:paraId="1BDD2223">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0D735D0E">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1DC58860">
            <w:pPr>
              <w:widowControl/>
              <w:jc w:val="left"/>
              <w:rPr>
                <w:rFonts w:ascii="新宋体" w:hAnsi="新宋体" w:eastAsia="新宋体" w:cs="新宋体"/>
                <w:color w:val="auto"/>
                <w:kern w:val="0"/>
                <w:sz w:val="22"/>
                <w:szCs w:val="22"/>
                <w:highlight w:val="none"/>
              </w:rPr>
            </w:pPr>
          </w:p>
        </w:tc>
        <w:tc>
          <w:tcPr>
            <w:tcW w:w="5008" w:type="dxa"/>
            <w:vAlign w:val="center"/>
          </w:tcPr>
          <w:p w14:paraId="3E0D9DBF">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系统将自动识别城市运行综合应用工作台设定好需要自动派发的事件</w:t>
            </w:r>
          </w:p>
        </w:tc>
      </w:tr>
      <w:tr w14:paraId="0CB4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80" w:type="dxa"/>
            <w:vAlign w:val="center"/>
          </w:tcPr>
          <w:p w14:paraId="091A83BB">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r>
              <w:rPr>
                <w:rFonts w:ascii="新宋体" w:hAnsi="新宋体" w:eastAsia="新宋体" w:cs="新宋体"/>
                <w:color w:val="auto"/>
                <w:kern w:val="0"/>
                <w:sz w:val="22"/>
                <w:szCs w:val="22"/>
                <w:highlight w:val="none"/>
              </w:rPr>
              <w:t>7</w:t>
            </w:r>
          </w:p>
        </w:tc>
        <w:tc>
          <w:tcPr>
            <w:tcW w:w="900" w:type="dxa"/>
            <w:vMerge w:val="continue"/>
            <w:vAlign w:val="center"/>
          </w:tcPr>
          <w:p w14:paraId="593C4851">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78AF2BC8">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732F881F">
            <w:pPr>
              <w:widowControl/>
              <w:jc w:val="left"/>
              <w:rPr>
                <w:rFonts w:ascii="新宋体" w:hAnsi="新宋体" w:eastAsia="新宋体" w:cs="新宋体"/>
                <w:color w:val="auto"/>
                <w:kern w:val="0"/>
                <w:sz w:val="22"/>
                <w:szCs w:val="22"/>
                <w:highlight w:val="none"/>
              </w:rPr>
            </w:pPr>
          </w:p>
        </w:tc>
        <w:tc>
          <w:tcPr>
            <w:tcW w:w="5008" w:type="dxa"/>
            <w:vAlign w:val="center"/>
          </w:tcPr>
          <w:p w14:paraId="0185FFD5">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通过灵活的派单规则直接派发至基层治理四平台或“一件事”系统等平台，对需要直接办结的事件项可通过智能研判系统自动办结</w:t>
            </w:r>
          </w:p>
        </w:tc>
      </w:tr>
      <w:tr w14:paraId="7EEA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80" w:type="dxa"/>
            <w:vAlign w:val="center"/>
          </w:tcPr>
          <w:p w14:paraId="78C29213">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r>
              <w:rPr>
                <w:rFonts w:ascii="新宋体" w:hAnsi="新宋体" w:eastAsia="新宋体" w:cs="新宋体"/>
                <w:color w:val="auto"/>
                <w:kern w:val="0"/>
                <w:sz w:val="22"/>
                <w:szCs w:val="22"/>
                <w:highlight w:val="none"/>
              </w:rPr>
              <w:t>8</w:t>
            </w:r>
          </w:p>
        </w:tc>
        <w:tc>
          <w:tcPr>
            <w:tcW w:w="900" w:type="dxa"/>
            <w:vMerge w:val="continue"/>
            <w:vAlign w:val="center"/>
          </w:tcPr>
          <w:p w14:paraId="5B6AE769">
            <w:pPr>
              <w:widowControl/>
              <w:jc w:val="left"/>
              <w:rPr>
                <w:rFonts w:ascii="新宋体" w:hAnsi="新宋体" w:eastAsia="新宋体" w:cs="新宋体"/>
                <w:color w:val="auto"/>
                <w:kern w:val="0"/>
                <w:sz w:val="22"/>
                <w:szCs w:val="22"/>
                <w:highlight w:val="none"/>
              </w:rPr>
            </w:pPr>
          </w:p>
        </w:tc>
        <w:tc>
          <w:tcPr>
            <w:tcW w:w="1160" w:type="dxa"/>
            <w:vMerge w:val="restart"/>
            <w:vAlign w:val="center"/>
          </w:tcPr>
          <w:p w14:paraId="2F3C9D2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工作台-协同流转模块</w:t>
            </w:r>
          </w:p>
        </w:tc>
        <w:tc>
          <w:tcPr>
            <w:tcW w:w="1980" w:type="dxa"/>
            <w:vAlign w:val="center"/>
          </w:tcPr>
          <w:p w14:paraId="4365E49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事件标准化接入组件</w:t>
            </w:r>
          </w:p>
        </w:tc>
        <w:tc>
          <w:tcPr>
            <w:tcW w:w="5008" w:type="dxa"/>
            <w:vAlign w:val="center"/>
          </w:tcPr>
          <w:p w14:paraId="36FF65A0">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接入市里的“事件标准化接入组件”，实现事件源管理、事件接入适配、事件类目配置、事件分级分类设置功能，实现多源事件标准化接入</w:t>
            </w:r>
          </w:p>
        </w:tc>
      </w:tr>
      <w:tr w14:paraId="7130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80" w:type="dxa"/>
            <w:vAlign w:val="center"/>
          </w:tcPr>
          <w:p w14:paraId="025B532E">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r>
              <w:rPr>
                <w:rFonts w:ascii="新宋体" w:hAnsi="新宋体" w:eastAsia="新宋体" w:cs="新宋体"/>
                <w:color w:val="auto"/>
                <w:kern w:val="0"/>
                <w:sz w:val="22"/>
                <w:szCs w:val="22"/>
                <w:highlight w:val="none"/>
              </w:rPr>
              <w:t>9</w:t>
            </w:r>
          </w:p>
        </w:tc>
        <w:tc>
          <w:tcPr>
            <w:tcW w:w="900" w:type="dxa"/>
            <w:vMerge w:val="continue"/>
            <w:vAlign w:val="center"/>
          </w:tcPr>
          <w:p w14:paraId="0492B334">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0AF17ACF">
            <w:pPr>
              <w:widowControl/>
              <w:jc w:val="left"/>
              <w:rPr>
                <w:rFonts w:ascii="新宋体" w:hAnsi="新宋体" w:eastAsia="新宋体" w:cs="新宋体"/>
                <w:color w:val="auto"/>
                <w:kern w:val="0"/>
                <w:sz w:val="22"/>
                <w:szCs w:val="22"/>
                <w:highlight w:val="none"/>
              </w:rPr>
            </w:pPr>
          </w:p>
        </w:tc>
        <w:tc>
          <w:tcPr>
            <w:tcW w:w="1980" w:type="dxa"/>
            <w:vAlign w:val="center"/>
          </w:tcPr>
          <w:p w14:paraId="6D01020C">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事件智能派发组件</w:t>
            </w:r>
          </w:p>
        </w:tc>
        <w:tc>
          <w:tcPr>
            <w:tcW w:w="5008" w:type="dxa"/>
            <w:vAlign w:val="center"/>
          </w:tcPr>
          <w:p w14:paraId="5AB87368">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接入市里“事件智能派发组件”，依托业务协同网关，对接各事件处置系统，如基层治理四平台、数字城管平台</w:t>
            </w:r>
          </w:p>
        </w:tc>
      </w:tr>
      <w:tr w14:paraId="4075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80" w:type="dxa"/>
            <w:vAlign w:val="center"/>
          </w:tcPr>
          <w:p w14:paraId="646F639E">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r>
              <w:rPr>
                <w:rFonts w:ascii="新宋体" w:hAnsi="新宋体" w:eastAsia="新宋体" w:cs="新宋体"/>
                <w:color w:val="auto"/>
                <w:kern w:val="0"/>
                <w:sz w:val="22"/>
                <w:szCs w:val="22"/>
                <w:highlight w:val="none"/>
              </w:rPr>
              <w:t>0</w:t>
            </w:r>
          </w:p>
        </w:tc>
        <w:tc>
          <w:tcPr>
            <w:tcW w:w="900" w:type="dxa"/>
            <w:vMerge w:val="continue"/>
            <w:vAlign w:val="center"/>
          </w:tcPr>
          <w:p w14:paraId="204D93D2">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5B2C9696">
            <w:pPr>
              <w:widowControl/>
              <w:jc w:val="left"/>
              <w:rPr>
                <w:rFonts w:ascii="新宋体" w:hAnsi="新宋体" w:eastAsia="新宋体" w:cs="新宋体"/>
                <w:color w:val="auto"/>
                <w:kern w:val="0"/>
                <w:sz w:val="22"/>
                <w:szCs w:val="22"/>
                <w:highlight w:val="none"/>
              </w:rPr>
            </w:pPr>
          </w:p>
        </w:tc>
        <w:tc>
          <w:tcPr>
            <w:tcW w:w="1980" w:type="dxa"/>
            <w:vAlign w:val="center"/>
          </w:tcPr>
          <w:p w14:paraId="5899D447">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流程引擎组件</w:t>
            </w:r>
          </w:p>
        </w:tc>
        <w:tc>
          <w:tcPr>
            <w:tcW w:w="5008" w:type="dxa"/>
            <w:vAlign w:val="center"/>
          </w:tcPr>
          <w:p w14:paraId="20719531">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通过接入市“流程引擎组件”，实现可视化流程配置服务和表单设计功能，支持流程节点配置和流程自动分发流转</w:t>
            </w:r>
          </w:p>
        </w:tc>
      </w:tr>
      <w:tr w14:paraId="45CE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80" w:type="dxa"/>
            <w:vAlign w:val="center"/>
          </w:tcPr>
          <w:p w14:paraId="6B4FE48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r>
              <w:rPr>
                <w:rFonts w:ascii="新宋体" w:hAnsi="新宋体" w:eastAsia="新宋体" w:cs="新宋体"/>
                <w:color w:val="auto"/>
                <w:kern w:val="0"/>
                <w:sz w:val="22"/>
                <w:szCs w:val="22"/>
                <w:highlight w:val="none"/>
              </w:rPr>
              <w:t>1</w:t>
            </w:r>
          </w:p>
        </w:tc>
        <w:tc>
          <w:tcPr>
            <w:tcW w:w="900" w:type="dxa"/>
            <w:vMerge w:val="continue"/>
            <w:vAlign w:val="center"/>
          </w:tcPr>
          <w:p w14:paraId="72FF18AF">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3F62E557">
            <w:pPr>
              <w:widowControl/>
              <w:jc w:val="left"/>
              <w:rPr>
                <w:rFonts w:ascii="新宋体" w:hAnsi="新宋体" w:eastAsia="新宋体" w:cs="新宋体"/>
                <w:color w:val="auto"/>
                <w:kern w:val="0"/>
                <w:sz w:val="22"/>
                <w:szCs w:val="22"/>
                <w:highlight w:val="none"/>
              </w:rPr>
            </w:pPr>
          </w:p>
        </w:tc>
        <w:tc>
          <w:tcPr>
            <w:tcW w:w="1980" w:type="dxa"/>
            <w:vMerge w:val="restart"/>
            <w:vAlign w:val="center"/>
          </w:tcPr>
          <w:p w14:paraId="50050682">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事件中枢</w:t>
            </w:r>
          </w:p>
        </w:tc>
        <w:tc>
          <w:tcPr>
            <w:tcW w:w="5008" w:type="dxa"/>
            <w:vAlign w:val="center"/>
          </w:tcPr>
          <w:p w14:paraId="6BD78323">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以图表的方式展示事件数据的分类统计等信息，可以根据“年、月、日”等不同周期分别统计，也可以由用户自定义起止日期进行统计</w:t>
            </w:r>
          </w:p>
        </w:tc>
      </w:tr>
      <w:tr w14:paraId="0906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80" w:type="dxa"/>
            <w:vAlign w:val="center"/>
          </w:tcPr>
          <w:p w14:paraId="2AC36C30">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r>
              <w:rPr>
                <w:rFonts w:ascii="新宋体" w:hAnsi="新宋体" w:eastAsia="新宋体" w:cs="新宋体"/>
                <w:color w:val="auto"/>
                <w:kern w:val="0"/>
                <w:sz w:val="22"/>
                <w:szCs w:val="22"/>
                <w:highlight w:val="none"/>
              </w:rPr>
              <w:t>2</w:t>
            </w:r>
          </w:p>
        </w:tc>
        <w:tc>
          <w:tcPr>
            <w:tcW w:w="900" w:type="dxa"/>
            <w:vMerge w:val="continue"/>
            <w:vAlign w:val="center"/>
          </w:tcPr>
          <w:p w14:paraId="261A4302">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588967D6">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2A615ADB">
            <w:pPr>
              <w:widowControl/>
              <w:jc w:val="left"/>
              <w:rPr>
                <w:rFonts w:ascii="新宋体" w:hAnsi="新宋体" w:eastAsia="新宋体" w:cs="新宋体"/>
                <w:color w:val="auto"/>
                <w:kern w:val="0"/>
                <w:sz w:val="22"/>
                <w:szCs w:val="22"/>
                <w:highlight w:val="none"/>
              </w:rPr>
            </w:pPr>
          </w:p>
        </w:tc>
        <w:tc>
          <w:tcPr>
            <w:tcW w:w="5008" w:type="dxa"/>
            <w:vAlign w:val="center"/>
          </w:tcPr>
          <w:p w14:paraId="73E73C6D">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全量事件汇聚，可根据权限查看与部门相关的事件</w:t>
            </w:r>
          </w:p>
        </w:tc>
      </w:tr>
      <w:tr w14:paraId="46DF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80" w:type="dxa"/>
            <w:vAlign w:val="center"/>
          </w:tcPr>
          <w:p w14:paraId="4A85303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r>
              <w:rPr>
                <w:rFonts w:ascii="新宋体" w:hAnsi="新宋体" w:eastAsia="新宋体" w:cs="新宋体"/>
                <w:color w:val="auto"/>
                <w:kern w:val="0"/>
                <w:sz w:val="22"/>
                <w:szCs w:val="22"/>
                <w:highlight w:val="none"/>
              </w:rPr>
              <w:t>3</w:t>
            </w:r>
          </w:p>
        </w:tc>
        <w:tc>
          <w:tcPr>
            <w:tcW w:w="900" w:type="dxa"/>
            <w:vMerge w:val="continue"/>
            <w:vAlign w:val="center"/>
          </w:tcPr>
          <w:p w14:paraId="7297A51D">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3EA64265">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0B4DF616">
            <w:pPr>
              <w:widowControl/>
              <w:jc w:val="left"/>
              <w:rPr>
                <w:rFonts w:ascii="新宋体" w:hAnsi="新宋体" w:eastAsia="新宋体" w:cs="新宋体"/>
                <w:color w:val="auto"/>
                <w:kern w:val="0"/>
                <w:sz w:val="22"/>
                <w:szCs w:val="22"/>
                <w:highlight w:val="none"/>
              </w:rPr>
            </w:pPr>
          </w:p>
        </w:tc>
        <w:tc>
          <w:tcPr>
            <w:tcW w:w="5008" w:type="dxa"/>
            <w:vAlign w:val="center"/>
          </w:tcPr>
          <w:p w14:paraId="48E651DB">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支持通过事件标题等对事件进行查询</w:t>
            </w:r>
          </w:p>
        </w:tc>
      </w:tr>
      <w:tr w14:paraId="707C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80" w:type="dxa"/>
            <w:vAlign w:val="center"/>
          </w:tcPr>
          <w:p w14:paraId="759B6B09">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r>
              <w:rPr>
                <w:rFonts w:ascii="新宋体" w:hAnsi="新宋体" w:eastAsia="新宋体" w:cs="新宋体"/>
                <w:color w:val="auto"/>
                <w:kern w:val="0"/>
                <w:sz w:val="22"/>
                <w:szCs w:val="22"/>
                <w:highlight w:val="none"/>
              </w:rPr>
              <w:t>4</w:t>
            </w:r>
          </w:p>
        </w:tc>
        <w:tc>
          <w:tcPr>
            <w:tcW w:w="900" w:type="dxa"/>
            <w:vMerge w:val="continue"/>
            <w:vAlign w:val="center"/>
          </w:tcPr>
          <w:p w14:paraId="66663F83">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7B9F7F8B">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30ECFA79">
            <w:pPr>
              <w:widowControl/>
              <w:jc w:val="left"/>
              <w:rPr>
                <w:rFonts w:ascii="新宋体" w:hAnsi="新宋体" w:eastAsia="新宋体" w:cs="新宋体"/>
                <w:color w:val="auto"/>
                <w:kern w:val="0"/>
                <w:sz w:val="22"/>
                <w:szCs w:val="22"/>
                <w:highlight w:val="none"/>
              </w:rPr>
            </w:pPr>
          </w:p>
        </w:tc>
        <w:tc>
          <w:tcPr>
            <w:tcW w:w="5008" w:type="dxa"/>
            <w:vAlign w:val="center"/>
          </w:tcPr>
          <w:p w14:paraId="0E51BAEB">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登记管理目前需要对接到本平台的外部系统信息，包括系统编号、系统名称、所属部门、系统地址等</w:t>
            </w:r>
          </w:p>
        </w:tc>
      </w:tr>
      <w:tr w14:paraId="6BF0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80" w:type="dxa"/>
            <w:vAlign w:val="center"/>
          </w:tcPr>
          <w:p w14:paraId="72E28199">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r>
              <w:rPr>
                <w:rFonts w:ascii="新宋体" w:hAnsi="新宋体" w:eastAsia="新宋体" w:cs="新宋体"/>
                <w:color w:val="auto"/>
                <w:kern w:val="0"/>
                <w:sz w:val="22"/>
                <w:szCs w:val="22"/>
                <w:highlight w:val="none"/>
              </w:rPr>
              <w:t>5</w:t>
            </w:r>
          </w:p>
        </w:tc>
        <w:tc>
          <w:tcPr>
            <w:tcW w:w="900" w:type="dxa"/>
            <w:vMerge w:val="continue"/>
            <w:vAlign w:val="center"/>
          </w:tcPr>
          <w:p w14:paraId="7692AD8F">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74194533">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0880B848">
            <w:pPr>
              <w:widowControl/>
              <w:jc w:val="left"/>
              <w:rPr>
                <w:rFonts w:ascii="新宋体" w:hAnsi="新宋体" w:eastAsia="新宋体" w:cs="新宋体"/>
                <w:color w:val="auto"/>
                <w:kern w:val="0"/>
                <w:sz w:val="22"/>
                <w:szCs w:val="22"/>
                <w:highlight w:val="none"/>
              </w:rPr>
            </w:pPr>
          </w:p>
        </w:tc>
        <w:tc>
          <w:tcPr>
            <w:tcW w:w="5008" w:type="dxa"/>
            <w:vAlign w:val="center"/>
          </w:tcPr>
          <w:p w14:paraId="4D2A5448">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为每个外部接入系统配置与本平台对接的方式，目前支持的对接方式有，数据库对接和接口对接（API）</w:t>
            </w:r>
          </w:p>
        </w:tc>
      </w:tr>
      <w:tr w14:paraId="44A9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80" w:type="dxa"/>
            <w:vAlign w:val="center"/>
          </w:tcPr>
          <w:p w14:paraId="7A34F109">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r>
              <w:rPr>
                <w:rFonts w:ascii="新宋体" w:hAnsi="新宋体" w:eastAsia="新宋体" w:cs="新宋体"/>
                <w:color w:val="auto"/>
                <w:kern w:val="0"/>
                <w:sz w:val="22"/>
                <w:szCs w:val="22"/>
                <w:highlight w:val="none"/>
              </w:rPr>
              <w:t>6</w:t>
            </w:r>
          </w:p>
        </w:tc>
        <w:tc>
          <w:tcPr>
            <w:tcW w:w="900" w:type="dxa"/>
            <w:vMerge w:val="continue"/>
            <w:vAlign w:val="center"/>
          </w:tcPr>
          <w:p w14:paraId="5C0FD430">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64C2142">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11A4C96E">
            <w:pPr>
              <w:widowControl/>
              <w:jc w:val="left"/>
              <w:rPr>
                <w:rFonts w:ascii="新宋体" w:hAnsi="新宋体" w:eastAsia="新宋体" w:cs="新宋体"/>
                <w:color w:val="auto"/>
                <w:kern w:val="0"/>
                <w:sz w:val="22"/>
                <w:szCs w:val="22"/>
                <w:highlight w:val="none"/>
              </w:rPr>
            </w:pPr>
          </w:p>
        </w:tc>
        <w:tc>
          <w:tcPr>
            <w:tcW w:w="5008" w:type="dxa"/>
            <w:vAlign w:val="center"/>
          </w:tcPr>
          <w:p w14:paraId="79D03C60">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对各接入事件源的接口可用性进行监控，支持告警信息配置</w:t>
            </w:r>
          </w:p>
        </w:tc>
      </w:tr>
      <w:tr w14:paraId="54B0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80" w:type="dxa"/>
            <w:vAlign w:val="center"/>
          </w:tcPr>
          <w:p w14:paraId="29BC4139">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r>
              <w:rPr>
                <w:rFonts w:ascii="新宋体" w:hAnsi="新宋体" w:eastAsia="新宋体" w:cs="新宋体"/>
                <w:color w:val="auto"/>
                <w:kern w:val="0"/>
                <w:sz w:val="22"/>
                <w:szCs w:val="22"/>
                <w:highlight w:val="none"/>
              </w:rPr>
              <w:t>7</w:t>
            </w:r>
          </w:p>
        </w:tc>
        <w:tc>
          <w:tcPr>
            <w:tcW w:w="900" w:type="dxa"/>
            <w:vMerge w:val="continue"/>
            <w:vAlign w:val="center"/>
          </w:tcPr>
          <w:p w14:paraId="361EF748">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5D015B3F">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181674C7">
            <w:pPr>
              <w:widowControl/>
              <w:jc w:val="left"/>
              <w:rPr>
                <w:rFonts w:ascii="新宋体" w:hAnsi="新宋体" w:eastAsia="新宋体" w:cs="新宋体"/>
                <w:color w:val="auto"/>
                <w:kern w:val="0"/>
                <w:sz w:val="22"/>
                <w:szCs w:val="22"/>
                <w:highlight w:val="none"/>
              </w:rPr>
            </w:pPr>
          </w:p>
        </w:tc>
        <w:tc>
          <w:tcPr>
            <w:tcW w:w="5008" w:type="dxa"/>
            <w:vAlign w:val="center"/>
          </w:tcPr>
          <w:p w14:paraId="308AB78F">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支持接入方和调用方的清单化管理，支持批量启停控制</w:t>
            </w:r>
          </w:p>
        </w:tc>
      </w:tr>
      <w:tr w14:paraId="0278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0" w:type="dxa"/>
            <w:vAlign w:val="center"/>
          </w:tcPr>
          <w:p w14:paraId="17A1656F">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r>
              <w:rPr>
                <w:rFonts w:ascii="新宋体" w:hAnsi="新宋体" w:eastAsia="新宋体" w:cs="新宋体"/>
                <w:color w:val="auto"/>
                <w:kern w:val="0"/>
                <w:sz w:val="22"/>
                <w:szCs w:val="22"/>
                <w:highlight w:val="none"/>
              </w:rPr>
              <w:t>8</w:t>
            </w:r>
          </w:p>
        </w:tc>
        <w:tc>
          <w:tcPr>
            <w:tcW w:w="900" w:type="dxa"/>
            <w:vMerge w:val="continue"/>
            <w:vAlign w:val="center"/>
          </w:tcPr>
          <w:p w14:paraId="25BD19C2">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291F76C">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14CDE32C">
            <w:pPr>
              <w:widowControl/>
              <w:jc w:val="left"/>
              <w:rPr>
                <w:rFonts w:ascii="新宋体" w:hAnsi="新宋体" w:eastAsia="新宋体" w:cs="新宋体"/>
                <w:color w:val="auto"/>
                <w:kern w:val="0"/>
                <w:sz w:val="22"/>
                <w:szCs w:val="22"/>
                <w:highlight w:val="none"/>
              </w:rPr>
            </w:pPr>
          </w:p>
        </w:tc>
        <w:tc>
          <w:tcPr>
            <w:tcW w:w="5008" w:type="dxa"/>
            <w:vAlign w:val="center"/>
          </w:tcPr>
          <w:p w14:paraId="3990C8E8">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支持限流、服务降级等服务接口的流量控制策略，防止非预期的请求使得网关过载</w:t>
            </w:r>
          </w:p>
        </w:tc>
      </w:tr>
      <w:tr w14:paraId="0B9A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0" w:type="dxa"/>
            <w:vAlign w:val="center"/>
          </w:tcPr>
          <w:p w14:paraId="57BFEC1E">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r>
              <w:rPr>
                <w:rFonts w:ascii="新宋体" w:hAnsi="新宋体" w:eastAsia="新宋体" w:cs="新宋体"/>
                <w:color w:val="auto"/>
                <w:kern w:val="0"/>
                <w:sz w:val="22"/>
                <w:szCs w:val="22"/>
                <w:highlight w:val="none"/>
              </w:rPr>
              <w:t>9</w:t>
            </w:r>
          </w:p>
        </w:tc>
        <w:tc>
          <w:tcPr>
            <w:tcW w:w="900" w:type="dxa"/>
            <w:vMerge w:val="continue"/>
            <w:vAlign w:val="center"/>
          </w:tcPr>
          <w:p w14:paraId="78D22958">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3188FBC6">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6F2F967F">
            <w:pPr>
              <w:widowControl/>
              <w:jc w:val="left"/>
              <w:rPr>
                <w:rFonts w:ascii="新宋体" w:hAnsi="新宋体" w:eastAsia="新宋体" w:cs="新宋体"/>
                <w:color w:val="auto"/>
                <w:kern w:val="0"/>
                <w:sz w:val="22"/>
                <w:szCs w:val="22"/>
                <w:highlight w:val="none"/>
              </w:rPr>
            </w:pPr>
          </w:p>
        </w:tc>
        <w:tc>
          <w:tcPr>
            <w:tcW w:w="5008" w:type="dxa"/>
            <w:vAlign w:val="center"/>
          </w:tcPr>
          <w:p w14:paraId="0FAD6F7D">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字段映射：提供每个外部系统的事件基本信息字段的映射关系维护功能</w:t>
            </w:r>
          </w:p>
        </w:tc>
      </w:tr>
      <w:tr w14:paraId="52A0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80" w:type="dxa"/>
            <w:vAlign w:val="center"/>
          </w:tcPr>
          <w:p w14:paraId="4D4BD945">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r>
              <w:rPr>
                <w:rFonts w:ascii="新宋体" w:hAnsi="新宋体" w:eastAsia="新宋体" w:cs="新宋体"/>
                <w:color w:val="auto"/>
                <w:kern w:val="0"/>
                <w:sz w:val="22"/>
                <w:szCs w:val="22"/>
                <w:highlight w:val="none"/>
              </w:rPr>
              <w:t>0</w:t>
            </w:r>
          </w:p>
        </w:tc>
        <w:tc>
          <w:tcPr>
            <w:tcW w:w="900" w:type="dxa"/>
            <w:vMerge w:val="continue"/>
            <w:vAlign w:val="center"/>
          </w:tcPr>
          <w:p w14:paraId="71DB193C">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7D640595">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01372FD3">
            <w:pPr>
              <w:widowControl/>
              <w:jc w:val="left"/>
              <w:rPr>
                <w:rFonts w:ascii="新宋体" w:hAnsi="新宋体" w:eastAsia="新宋体" w:cs="新宋体"/>
                <w:color w:val="auto"/>
                <w:kern w:val="0"/>
                <w:sz w:val="22"/>
                <w:szCs w:val="22"/>
                <w:highlight w:val="none"/>
              </w:rPr>
            </w:pPr>
          </w:p>
        </w:tc>
        <w:tc>
          <w:tcPr>
            <w:tcW w:w="5008" w:type="dxa"/>
            <w:vAlign w:val="center"/>
          </w:tcPr>
          <w:p w14:paraId="3D326D85">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扩展字段映射：提供每个外部系统，按照不同事项所需要的事件扩展字段的映射关系的维护功能</w:t>
            </w:r>
          </w:p>
        </w:tc>
      </w:tr>
      <w:tr w14:paraId="650D9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0" w:type="dxa"/>
            <w:vAlign w:val="center"/>
          </w:tcPr>
          <w:p w14:paraId="6E7CB000">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r>
              <w:rPr>
                <w:rFonts w:ascii="新宋体" w:hAnsi="新宋体" w:eastAsia="新宋体" w:cs="新宋体"/>
                <w:color w:val="auto"/>
                <w:kern w:val="0"/>
                <w:sz w:val="22"/>
                <w:szCs w:val="22"/>
                <w:highlight w:val="none"/>
              </w:rPr>
              <w:t>1</w:t>
            </w:r>
          </w:p>
        </w:tc>
        <w:tc>
          <w:tcPr>
            <w:tcW w:w="900" w:type="dxa"/>
            <w:vMerge w:val="continue"/>
            <w:vAlign w:val="center"/>
          </w:tcPr>
          <w:p w14:paraId="4078E02B">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783CA84F">
            <w:pPr>
              <w:widowControl/>
              <w:jc w:val="left"/>
              <w:rPr>
                <w:rFonts w:ascii="新宋体" w:hAnsi="新宋体" w:eastAsia="新宋体" w:cs="新宋体"/>
                <w:color w:val="auto"/>
                <w:kern w:val="0"/>
                <w:sz w:val="22"/>
                <w:szCs w:val="22"/>
                <w:highlight w:val="none"/>
              </w:rPr>
            </w:pPr>
          </w:p>
        </w:tc>
        <w:tc>
          <w:tcPr>
            <w:tcW w:w="1980" w:type="dxa"/>
            <w:vMerge w:val="restart"/>
            <w:vAlign w:val="center"/>
          </w:tcPr>
          <w:p w14:paraId="4A11E4F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110事件</w:t>
            </w:r>
          </w:p>
        </w:tc>
        <w:tc>
          <w:tcPr>
            <w:tcW w:w="5008" w:type="dxa"/>
            <w:vAlign w:val="center"/>
          </w:tcPr>
          <w:p w14:paraId="2B89EB1E">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系统支持对110事件进行接入及清单式展示</w:t>
            </w:r>
          </w:p>
        </w:tc>
      </w:tr>
      <w:tr w14:paraId="440E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80" w:type="dxa"/>
            <w:vAlign w:val="center"/>
          </w:tcPr>
          <w:p w14:paraId="56356E89">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92</w:t>
            </w:r>
          </w:p>
        </w:tc>
        <w:tc>
          <w:tcPr>
            <w:tcW w:w="900" w:type="dxa"/>
            <w:vMerge w:val="continue"/>
            <w:vAlign w:val="center"/>
          </w:tcPr>
          <w:p w14:paraId="5ADE5F2D">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1FF62049">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40414951">
            <w:pPr>
              <w:widowControl/>
              <w:jc w:val="left"/>
              <w:rPr>
                <w:rFonts w:ascii="新宋体" w:hAnsi="新宋体" w:eastAsia="新宋体" w:cs="新宋体"/>
                <w:color w:val="auto"/>
                <w:kern w:val="0"/>
                <w:sz w:val="22"/>
                <w:szCs w:val="22"/>
                <w:highlight w:val="none"/>
              </w:rPr>
            </w:pPr>
          </w:p>
        </w:tc>
        <w:tc>
          <w:tcPr>
            <w:tcW w:w="5008" w:type="dxa"/>
            <w:vAlign w:val="center"/>
          </w:tcPr>
          <w:p w14:paraId="23A67621">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待处理：系统支持对事件基本信息进行展示，包括事件标题、事件内容、地址等</w:t>
            </w:r>
          </w:p>
        </w:tc>
      </w:tr>
      <w:tr w14:paraId="3579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0" w:type="dxa"/>
            <w:vAlign w:val="center"/>
          </w:tcPr>
          <w:p w14:paraId="7DEA05F9">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93</w:t>
            </w:r>
          </w:p>
        </w:tc>
        <w:tc>
          <w:tcPr>
            <w:tcW w:w="900" w:type="dxa"/>
            <w:vMerge w:val="continue"/>
            <w:vAlign w:val="center"/>
          </w:tcPr>
          <w:p w14:paraId="15F42615">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5265BA96">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23B3E6DC">
            <w:pPr>
              <w:widowControl/>
              <w:jc w:val="left"/>
              <w:rPr>
                <w:rFonts w:ascii="新宋体" w:hAnsi="新宋体" w:eastAsia="新宋体" w:cs="新宋体"/>
                <w:color w:val="auto"/>
                <w:kern w:val="0"/>
                <w:sz w:val="22"/>
                <w:szCs w:val="22"/>
                <w:highlight w:val="none"/>
              </w:rPr>
            </w:pPr>
          </w:p>
        </w:tc>
        <w:tc>
          <w:tcPr>
            <w:tcW w:w="5008" w:type="dxa"/>
            <w:vAlign w:val="center"/>
          </w:tcPr>
          <w:p w14:paraId="47AC3BA5">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待处理：系统支持对事件的处置进度、处置流程等进行展示</w:t>
            </w:r>
          </w:p>
        </w:tc>
      </w:tr>
      <w:tr w14:paraId="3C36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80" w:type="dxa"/>
            <w:vAlign w:val="center"/>
          </w:tcPr>
          <w:p w14:paraId="7FC854AD">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94</w:t>
            </w:r>
          </w:p>
        </w:tc>
        <w:tc>
          <w:tcPr>
            <w:tcW w:w="900" w:type="dxa"/>
            <w:vMerge w:val="continue"/>
            <w:vAlign w:val="center"/>
          </w:tcPr>
          <w:p w14:paraId="436570AD">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25A07231">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1749975F">
            <w:pPr>
              <w:widowControl/>
              <w:jc w:val="left"/>
              <w:rPr>
                <w:rFonts w:ascii="新宋体" w:hAnsi="新宋体" w:eastAsia="新宋体" w:cs="新宋体"/>
                <w:color w:val="auto"/>
                <w:kern w:val="0"/>
                <w:sz w:val="22"/>
                <w:szCs w:val="22"/>
                <w:highlight w:val="none"/>
              </w:rPr>
            </w:pPr>
          </w:p>
        </w:tc>
        <w:tc>
          <w:tcPr>
            <w:tcW w:w="5008" w:type="dxa"/>
            <w:vAlign w:val="center"/>
          </w:tcPr>
          <w:p w14:paraId="7D40DB9E">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待处理：系统支持对事件进行快捷指派，支持下发至相关街道、部门、值班室等</w:t>
            </w:r>
          </w:p>
        </w:tc>
      </w:tr>
      <w:tr w14:paraId="2843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80" w:type="dxa"/>
            <w:vAlign w:val="center"/>
          </w:tcPr>
          <w:p w14:paraId="08638A40">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95</w:t>
            </w:r>
          </w:p>
        </w:tc>
        <w:tc>
          <w:tcPr>
            <w:tcW w:w="900" w:type="dxa"/>
            <w:vMerge w:val="continue"/>
            <w:vAlign w:val="center"/>
          </w:tcPr>
          <w:p w14:paraId="6DBB678E">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4980962A">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650DB288">
            <w:pPr>
              <w:widowControl/>
              <w:jc w:val="left"/>
              <w:rPr>
                <w:rFonts w:ascii="新宋体" w:hAnsi="新宋体" w:eastAsia="新宋体" w:cs="新宋体"/>
                <w:color w:val="auto"/>
                <w:kern w:val="0"/>
                <w:sz w:val="22"/>
                <w:szCs w:val="22"/>
                <w:highlight w:val="none"/>
              </w:rPr>
            </w:pPr>
          </w:p>
        </w:tc>
        <w:tc>
          <w:tcPr>
            <w:tcW w:w="5008" w:type="dxa"/>
            <w:vAlign w:val="center"/>
          </w:tcPr>
          <w:p w14:paraId="5986ED1D">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支持通过关键词等对事件进行查询、支持对查询条件进行重置</w:t>
            </w:r>
          </w:p>
        </w:tc>
      </w:tr>
      <w:tr w14:paraId="52AD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80" w:type="dxa"/>
            <w:vAlign w:val="center"/>
          </w:tcPr>
          <w:p w14:paraId="37E07CDC">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96</w:t>
            </w:r>
          </w:p>
        </w:tc>
        <w:tc>
          <w:tcPr>
            <w:tcW w:w="900" w:type="dxa"/>
            <w:vMerge w:val="continue"/>
            <w:vAlign w:val="center"/>
          </w:tcPr>
          <w:p w14:paraId="3A22D31F">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50A25E0">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515BE581">
            <w:pPr>
              <w:widowControl/>
              <w:jc w:val="left"/>
              <w:rPr>
                <w:rFonts w:ascii="新宋体" w:hAnsi="新宋体" w:eastAsia="新宋体" w:cs="新宋体"/>
                <w:color w:val="auto"/>
                <w:kern w:val="0"/>
                <w:sz w:val="22"/>
                <w:szCs w:val="22"/>
                <w:highlight w:val="none"/>
              </w:rPr>
            </w:pPr>
          </w:p>
        </w:tc>
        <w:tc>
          <w:tcPr>
            <w:tcW w:w="5008" w:type="dxa"/>
            <w:vAlign w:val="center"/>
          </w:tcPr>
          <w:p w14:paraId="4D806B9E">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已处理：系统将对接入的110事件进行清单式展示</w:t>
            </w:r>
          </w:p>
        </w:tc>
      </w:tr>
      <w:tr w14:paraId="232F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0" w:type="dxa"/>
            <w:vAlign w:val="center"/>
          </w:tcPr>
          <w:p w14:paraId="5F4F59D1">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97</w:t>
            </w:r>
          </w:p>
        </w:tc>
        <w:tc>
          <w:tcPr>
            <w:tcW w:w="900" w:type="dxa"/>
            <w:vMerge w:val="continue"/>
            <w:vAlign w:val="center"/>
          </w:tcPr>
          <w:p w14:paraId="02358A5C">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5B09A052">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1B584CC6">
            <w:pPr>
              <w:widowControl/>
              <w:jc w:val="left"/>
              <w:rPr>
                <w:rFonts w:ascii="新宋体" w:hAnsi="新宋体" w:eastAsia="新宋体" w:cs="新宋体"/>
                <w:color w:val="auto"/>
                <w:kern w:val="0"/>
                <w:sz w:val="22"/>
                <w:szCs w:val="22"/>
                <w:highlight w:val="none"/>
              </w:rPr>
            </w:pPr>
          </w:p>
        </w:tc>
        <w:tc>
          <w:tcPr>
            <w:tcW w:w="5008" w:type="dxa"/>
            <w:vAlign w:val="center"/>
          </w:tcPr>
          <w:p w14:paraId="25861063">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已处理：系统支持对事件基本信息进行展示，包括事件标题、事件内容、地址等</w:t>
            </w:r>
          </w:p>
        </w:tc>
      </w:tr>
      <w:tr w14:paraId="29EE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80" w:type="dxa"/>
            <w:vAlign w:val="center"/>
          </w:tcPr>
          <w:p w14:paraId="6E3E8AEA">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98</w:t>
            </w:r>
          </w:p>
        </w:tc>
        <w:tc>
          <w:tcPr>
            <w:tcW w:w="900" w:type="dxa"/>
            <w:vMerge w:val="continue"/>
            <w:vAlign w:val="center"/>
          </w:tcPr>
          <w:p w14:paraId="70641D67">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4BC8F5EC">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778F4229">
            <w:pPr>
              <w:widowControl/>
              <w:jc w:val="left"/>
              <w:rPr>
                <w:rFonts w:ascii="新宋体" w:hAnsi="新宋体" w:eastAsia="新宋体" w:cs="新宋体"/>
                <w:color w:val="auto"/>
                <w:kern w:val="0"/>
                <w:sz w:val="22"/>
                <w:szCs w:val="22"/>
                <w:highlight w:val="none"/>
              </w:rPr>
            </w:pPr>
          </w:p>
        </w:tc>
        <w:tc>
          <w:tcPr>
            <w:tcW w:w="5008" w:type="dxa"/>
            <w:vAlign w:val="center"/>
          </w:tcPr>
          <w:p w14:paraId="4DEA2085">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已处理：系统支持对事件的处置进度、处置流程等进行展示</w:t>
            </w:r>
          </w:p>
        </w:tc>
      </w:tr>
      <w:tr w14:paraId="1390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0" w:type="dxa"/>
            <w:vAlign w:val="center"/>
          </w:tcPr>
          <w:p w14:paraId="3B83082B">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99</w:t>
            </w:r>
          </w:p>
        </w:tc>
        <w:tc>
          <w:tcPr>
            <w:tcW w:w="900" w:type="dxa"/>
            <w:vMerge w:val="continue"/>
            <w:vAlign w:val="center"/>
          </w:tcPr>
          <w:p w14:paraId="2CDD26B9">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3B235D86">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56C7C11C">
            <w:pPr>
              <w:widowControl/>
              <w:jc w:val="left"/>
              <w:rPr>
                <w:rFonts w:ascii="新宋体" w:hAnsi="新宋体" w:eastAsia="新宋体" w:cs="新宋体"/>
                <w:color w:val="auto"/>
                <w:kern w:val="0"/>
                <w:sz w:val="22"/>
                <w:szCs w:val="22"/>
                <w:highlight w:val="none"/>
              </w:rPr>
            </w:pPr>
          </w:p>
        </w:tc>
        <w:tc>
          <w:tcPr>
            <w:tcW w:w="5008" w:type="dxa"/>
            <w:vAlign w:val="center"/>
          </w:tcPr>
          <w:p w14:paraId="48482A6F">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已处理：支持通过关键词等对事件进行查询、支持对查询条件进行重置</w:t>
            </w:r>
          </w:p>
        </w:tc>
      </w:tr>
      <w:tr w14:paraId="1B2D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0" w:type="dxa"/>
            <w:vAlign w:val="center"/>
          </w:tcPr>
          <w:p w14:paraId="343AD327">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00</w:t>
            </w:r>
          </w:p>
        </w:tc>
        <w:tc>
          <w:tcPr>
            <w:tcW w:w="900" w:type="dxa"/>
            <w:vMerge w:val="continue"/>
            <w:vAlign w:val="center"/>
          </w:tcPr>
          <w:p w14:paraId="4FC35483">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138DFB29">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48E91801">
            <w:pPr>
              <w:widowControl/>
              <w:jc w:val="left"/>
              <w:rPr>
                <w:rFonts w:ascii="新宋体" w:hAnsi="新宋体" w:eastAsia="新宋体" w:cs="新宋体"/>
                <w:color w:val="auto"/>
                <w:kern w:val="0"/>
                <w:sz w:val="22"/>
                <w:szCs w:val="22"/>
                <w:highlight w:val="none"/>
              </w:rPr>
            </w:pPr>
          </w:p>
        </w:tc>
        <w:tc>
          <w:tcPr>
            <w:tcW w:w="5008" w:type="dxa"/>
            <w:vAlign w:val="center"/>
          </w:tcPr>
          <w:p w14:paraId="314ABC79">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10</w:t>
            </w:r>
            <w:r>
              <w:rPr>
                <w:rFonts w:hint="eastAsia" w:ascii="新宋体" w:hAnsi="新宋体" w:eastAsia="新宋体" w:cs="新宋体"/>
                <w:color w:val="auto"/>
                <w:kern w:val="0"/>
                <w:sz w:val="22"/>
                <w:szCs w:val="22"/>
                <w:highlight w:val="none"/>
              </w:rPr>
              <w:t>事件自动派单：可根据接收的事件经纬度，自动判断所属街道并派发至相应街道负责人处置</w:t>
            </w:r>
          </w:p>
        </w:tc>
      </w:tr>
      <w:tr w14:paraId="1866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0" w:type="dxa"/>
            <w:vAlign w:val="center"/>
          </w:tcPr>
          <w:p w14:paraId="33F72579">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01</w:t>
            </w:r>
          </w:p>
        </w:tc>
        <w:tc>
          <w:tcPr>
            <w:tcW w:w="900" w:type="dxa"/>
            <w:vMerge w:val="continue"/>
            <w:vAlign w:val="center"/>
          </w:tcPr>
          <w:p w14:paraId="2B65502D">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8C1912E">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64EB92CF">
            <w:pPr>
              <w:widowControl/>
              <w:jc w:val="left"/>
              <w:rPr>
                <w:rFonts w:ascii="新宋体" w:hAnsi="新宋体" w:eastAsia="新宋体" w:cs="新宋体"/>
                <w:color w:val="auto"/>
                <w:kern w:val="0"/>
                <w:sz w:val="22"/>
                <w:szCs w:val="22"/>
                <w:highlight w:val="none"/>
              </w:rPr>
            </w:pPr>
          </w:p>
        </w:tc>
        <w:tc>
          <w:tcPr>
            <w:tcW w:w="5008" w:type="dxa"/>
            <w:vAlign w:val="center"/>
          </w:tcPr>
          <w:p w14:paraId="3C6C0E21">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统计分析：体现各1</w:t>
            </w:r>
            <w:r>
              <w:rPr>
                <w:rFonts w:ascii="新宋体" w:hAnsi="新宋体" w:eastAsia="新宋体" w:cs="新宋体"/>
                <w:color w:val="auto"/>
                <w:kern w:val="0"/>
                <w:sz w:val="22"/>
                <w:szCs w:val="22"/>
                <w:highlight w:val="none"/>
              </w:rPr>
              <w:t>10</w:t>
            </w:r>
            <w:r>
              <w:rPr>
                <w:rFonts w:hint="eastAsia" w:ascii="新宋体" w:hAnsi="新宋体" w:eastAsia="新宋体" w:cs="新宋体"/>
                <w:color w:val="auto"/>
                <w:kern w:val="0"/>
                <w:sz w:val="22"/>
                <w:szCs w:val="22"/>
                <w:highlight w:val="none"/>
              </w:rPr>
              <w:t>事件的基本信息、是否派发成功以及在处置过程中是否在有效时间内签收、回拨、到场、反馈的步骤</w:t>
            </w:r>
          </w:p>
        </w:tc>
      </w:tr>
      <w:tr w14:paraId="5E03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0" w:type="dxa"/>
            <w:vAlign w:val="center"/>
          </w:tcPr>
          <w:p w14:paraId="3C37A79B">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02</w:t>
            </w:r>
          </w:p>
        </w:tc>
        <w:tc>
          <w:tcPr>
            <w:tcW w:w="900" w:type="dxa"/>
            <w:vMerge w:val="continue"/>
            <w:vAlign w:val="center"/>
          </w:tcPr>
          <w:p w14:paraId="3E25AD2A">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46710584">
            <w:pPr>
              <w:widowControl/>
              <w:jc w:val="left"/>
              <w:rPr>
                <w:rFonts w:ascii="新宋体" w:hAnsi="新宋体" w:eastAsia="新宋体" w:cs="新宋体"/>
                <w:color w:val="auto"/>
                <w:kern w:val="0"/>
                <w:sz w:val="22"/>
                <w:szCs w:val="22"/>
                <w:highlight w:val="none"/>
              </w:rPr>
            </w:pPr>
          </w:p>
        </w:tc>
        <w:tc>
          <w:tcPr>
            <w:tcW w:w="1980" w:type="dxa"/>
            <w:vMerge w:val="restart"/>
            <w:vAlign w:val="center"/>
          </w:tcPr>
          <w:p w14:paraId="78ED69F3">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大调解事件</w:t>
            </w:r>
          </w:p>
        </w:tc>
        <w:tc>
          <w:tcPr>
            <w:tcW w:w="5008" w:type="dxa"/>
            <w:vAlign w:val="center"/>
          </w:tcPr>
          <w:p w14:paraId="470676AE">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支持各街道人民调解委员会对纠纷调解事件进行管理</w:t>
            </w:r>
          </w:p>
        </w:tc>
      </w:tr>
      <w:tr w14:paraId="16FC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0" w:type="dxa"/>
            <w:vAlign w:val="center"/>
          </w:tcPr>
          <w:p w14:paraId="50A319A3">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03</w:t>
            </w:r>
          </w:p>
        </w:tc>
        <w:tc>
          <w:tcPr>
            <w:tcW w:w="900" w:type="dxa"/>
            <w:vMerge w:val="continue"/>
            <w:vAlign w:val="center"/>
          </w:tcPr>
          <w:p w14:paraId="1C1B6DE4">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35377FA">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142E9BD9">
            <w:pPr>
              <w:widowControl/>
              <w:jc w:val="center"/>
              <w:rPr>
                <w:rFonts w:ascii="新宋体" w:hAnsi="新宋体" w:eastAsia="新宋体" w:cs="新宋体"/>
                <w:color w:val="auto"/>
                <w:kern w:val="0"/>
                <w:sz w:val="22"/>
                <w:szCs w:val="22"/>
                <w:highlight w:val="none"/>
              </w:rPr>
            </w:pPr>
          </w:p>
        </w:tc>
        <w:tc>
          <w:tcPr>
            <w:tcW w:w="5008" w:type="dxa"/>
            <w:vAlign w:val="center"/>
          </w:tcPr>
          <w:p w14:paraId="5B1D8821">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支持调委会组织机构的配置管理</w:t>
            </w:r>
          </w:p>
        </w:tc>
      </w:tr>
      <w:tr w14:paraId="784A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0" w:type="dxa"/>
            <w:vAlign w:val="center"/>
          </w:tcPr>
          <w:p w14:paraId="68E0A9B2">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04</w:t>
            </w:r>
          </w:p>
        </w:tc>
        <w:tc>
          <w:tcPr>
            <w:tcW w:w="900" w:type="dxa"/>
            <w:vMerge w:val="continue"/>
            <w:vAlign w:val="center"/>
          </w:tcPr>
          <w:p w14:paraId="0DDB0A60">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2729D041">
            <w:pPr>
              <w:widowControl/>
              <w:jc w:val="left"/>
              <w:rPr>
                <w:rFonts w:ascii="新宋体" w:hAnsi="新宋体" w:eastAsia="新宋体" w:cs="新宋体"/>
                <w:color w:val="auto"/>
                <w:kern w:val="0"/>
                <w:sz w:val="22"/>
                <w:szCs w:val="22"/>
                <w:highlight w:val="none"/>
              </w:rPr>
            </w:pPr>
          </w:p>
        </w:tc>
        <w:tc>
          <w:tcPr>
            <w:tcW w:w="1980" w:type="dxa"/>
            <w:vAlign w:val="center"/>
          </w:tcPr>
          <w:p w14:paraId="0A271D1E">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社会面管控</w:t>
            </w:r>
          </w:p>
        </w:tc>
        <w:tc>
          <w:tcPr>
            <w:tcW w:w="5008" w:type="dxa"/>
            <w:vAlign w:val="center"/>
          </w:tcPr>
          <w:p w14:paraId="1994B0A9">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社会面管控事件的查询与处置进展跟踪</w:t>
            </w:r>
          </w:p>
        </w:tc>
      </w:tr>
      <w:tr w14:paraId="0876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0" w:type="dxa"/>
            <w:vAlign w:val="center"/>
          </w:tcPr>
          <w:p w14:paraId="4D3C64E2">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r>
              <w:rPr>
                <w:rFonts w:ascii="新宋体" w:hAnsi="新宋体" w:eastAsia="新宋体" w:cs="新宋体"/>
                <w:color w:val="auto"/>
                <w:kern w:val="0"/>
                <w:sz w:val="22"/>
                <w:szCs w:val="22"/>
                <w:highlight w:val="none"/>
              </w:rPr>
              <w:t>5</w:t>
            </w:r>
          </w:p>
        </w:tc>
        <w:tc>
          <w:tcPr>
            <w:tcW w:w="900" w:type="dxa"/>
            <w:vMerge w:val="continue"/>
            <w:vAlign w:val="center"/>
          </w:tcPr>
          <w:p w14:paraId="20F717A2">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42525A0C">
            <w:pPr>
              <w:widowControl/>
              <w:jc w:val="left"/>
              <w:rPr>
                <w:rFonts w:ascii="新宋体" w:hAnsi="新宋体" w:eastAsia="新宋体" w:cs="新宋体"/>
                <w:color w:val="auto"/>
                <w:kern w:val="0"/>
                <w:sz w:val="22"/>
                <w:szCs w:val="22"/>
                <w:highlight w:val="none"/>
              </w:rPr>
            </w:pPr>
          </w:p>
        </w:tc>
        <w:tc>
          <w:tcPr>
            <w:tcW w:w="1980" w:type="dxa"/>
            <w:vMerge w:val="restart"/>
            <w:vAlign w:val="center"/>
          </w:tcPr>
          <w:p w14:paraId="6C55610A">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事件中心</w:t>
            </w:r>
          </w:p>
        </w:tc>
        <w:tc>
          <w:tcPr>
            <w:tcW w:w="5008" w:type="dxa"/>
            <w:vAlign w:val="center"/>
          </w:tcPr>
          <w:p w14:paraId="22789EF1">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基层智治综合应用、12345平台、数字城管、温州消防事件、110非警情、街镇指挥室、一件事、省矛调平台、社会治理事件归集流转</w:t>
            </w:r>
          </w:p>
        </w:tc>
      </w:tr>
      <w:tr w14:paraId="23AF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80" w:type="dxa"/>
            <w:vAlign w:val="center"/>
          </w:tcPr>
          <w:p w14:paraId="3BF5C486">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r>
              <w:rPr>
                <w:rFonts w:ascii="新宋体" w:hAnsi="新宋体" w:eastAsia="新宋体" w:cs="新宋体"/>
                <w:color w:val="auto"/>
                <w:kern w:val="0"/>
                <w:sz w:val="22"/>
                <w:szCs w:val="22"/>
                <w:highlight w:val="none"/>
              </w:rPr>
              <w:t>6</w:t>
            </w:r>
          </w:p>
        </w:tc>
        <w:tc>
          <w:tcPr>
            <w:tcW w:w="900" w:type="dxa"/>
            <w:vMerge w:val="continue"/>
            <w:vAlign w:val="center"/>
          </w:tcPr>
          <w:p w14:paraId="5E811AE0">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19F0E72F">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49E1A774">
            <w:pPr>
              <w:widowControl/>
              <w:jc w:val="left"/>
              <w:rPr>
                <w:rFonts w:ascii="新宋体" w:hAnsi="新宋体" w:eastAsia="新宋体" w:cs="新宋体"/>
                <w:color w:val="auto"/>
                <w:kern w:val="0"/>
                <w:sz w:val="22"/>
                <w:szCs w:val="22"/>
                <w:highlight w:val="none"/>
              </w:rPr>
            </w:pPr>
          </w:p>
        </w:tc>
        <w:tc>
          <w:tcPr>
            <w:tcW w:w="5008" w:type="dxa"/>
            <w:vAlign w:val="center"/>
          </w:tcPr>
          <w:p w14:paraId="70E1DB83">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系统支持对各类事件通过列表形式进行展示</w:t>
            </w:r>
          </w:p>
        </w:tc>
      </w:tr>
      <w:tr w14:paraId="6F47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0" w:type="dxa"/>
            <w:vAlign w:val="center"/>
          </w:tcPr>
          <w:p w14:paraId="12E9EDC1">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r>
              <w:rPr>
                <w:rFonts w:ascii="新宋体" w:hAnsi="新宋体" w:eastAsia="新宋体" w:cs="新宋体"/>
                <w:color w:val="auto"/>
                <w:kern w:val="0"/>
                <w:sz w:val="22"/>
                <w:szCs w:val="22"/>
                <w:highlight w:val="none"/>
              </w:rPr>
              <w:t>7</w:t>
            </w:r>
          </w:p>
        </w:tc>
        <w:tc>
          <w:tcPr>
            <w:tcW w:w="900" w:type="dxa"/>
            <w:vMerge w:val="continue"/>
            <w:vAlign w:val="center"/>
          </w:tcPr>
          <w:p w14:paraId="3352C75A">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09B6910E">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3BE772E5">
            <w:pPr>
              <w:widowControl/>
              <w:jc w:val="left"/>
              <w:rPr>
                <w:rFonts w:ascii="新宋体" w:hAnsi="新宋体" w:eastAsia="新宋体" w:cs="新宋体"/>
                <w:color w:val="auto"/>
                <w:kern w:val="0"/>
                <w:sz w:val="22"/>
                <w:szCs w:val="22"/>
                <w:highlight w:val="none"/>
              </w:rPr>
            </w:pPr>
          </w:p>
        </w:tc>
        <w:tc>
          <w:tcPr>
            <w:tcW w:w="5008" w:type="dxa"/>
            <w:vAlign w:val="center"/>
          </w:tcPr>
          <w:p w14:paraId="392F867F">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系统将实现对事件详情数据的展示，包括事件标题、事件内容、平台、处置流程等信息</w:t>
            </w:r>
          </w:p>
        </w:tc>
      </w:tr>
      <w:tr w14:paraId="2A94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80" w:type="dxa"/>
            <w:vAlign w:val="center"/>
          </w:tcPr>
          <w:p w14:paraId="24D3395E">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r>
              <w:rPr>
                <w:rFonts w:ascii="新宋体" w:hAnsi="新宋体" w:eastAsia="新宋体" w:cs="新宋体"/>
                <w:color w:val="auto"/>
                <w:kern w:val="0"/>
                <w:sz w:val="22"/>
                <w:szCs w:val="22"/>
                <w:highlight w:val="none"/>
              </w:rPr>
              <w:t>8</w:t>
            </w:r>
          </w:p>
        </w:tc>
        <w:tc>
          <w:tcPr>
            <w:tcW w:w="900" w:type="dxa"/>
            <w:vMerge w:val="continue"/>
            <w:vAlign w:val="center"/>
          </w:tcPr>
          <w:p w14:paraId="564C9D7E">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5442DC83">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24128374">
            <w:pPr>
              <w:widowControl/>
              <w:jc w:val="left"/>
              <w:rPr>
                <w:rFonts w:ascii="新宋体" w:hAnsi="新宋体" w:eastAsia="新宋体" w:cs="新宋体"/>
                <w:color w:val="auto"/>
                <w:kern w:val="0"/>
                <w:sz w:val="22"/>
                <w:szCs w:val="22"/>
                <w:highlight w:val="none"/>
              </w:rPr>
            </w:pPr>
          </w:p>
        </w:tc>
        <w:tc>
          <w:tcPr>
            <w:tcW w:w="5008" w:type="dxa"/>
            <w:vAlign w:val="center"/>
          </w:tcPr>
          <w:p w14:paraId="7549C843">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基层智治综合应用：基础表单填写、点位选择、抓拍图片上传</w:t>
            </w:r>
          </w:p>
        </w:tc>
      </w:tr>
      <w:tr w14:paraId="4C3E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80" w:type="dxa"/>
            <w:vAlign w:val="center"/>
          </w:tcPr>
          <w:p w14:paraId="247E5CA9">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r>
              <w:rPr>
                <w:rFonts w:ascii="新宋体" w:hAnsi="新宋体" w:eastAsia="新宋体" w:cs="新宋体"/>
                <w:color w:val="auto"/>
                <w:kern w:val="0"/>
                <w:sz w:val="22"/>
                <w:szCs w:val="22"/>
                <w:highlight w:val="none"/>
              </w:rPr>
              <w:t>9</w:t>
            </w:r>
          </w:p>
        </w:tc>
        <w:tc>
          <w:tcPr>
            <w:tcW w:w="900" w:type="dxa"/>
            <w:vMerge w:val="continue"/>
            <w:vAlign w:val="center"/>
          </w:tcPr>
          <w:p w14:paraId="1EB58561">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34CAA6BE">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5D6B8BF5">
            <w:pPr>
              <w:widowControl/>
              <w:jc w:val="left"/>
              <w:rPr>
                <w:rFonts w:ascii="新宋体" w:hAnsi="新宋体" w:eastAsia="新宋体" w:cs="新宋体"/>
                <w:color w:val="auto"/>
                <w:kern w:val="0"/>
                <w:sz w:val="22"/>
                <w:szCs w:val="22"/>
                <w:highlight w:val="none"/>
              </w:rPr>
            </w:pPr>
          </w:p>
        </w:tc>
        <w:tc>
          <w:tcPr>
            <w:tcW w:w="5008" w:type="dxa"/>
            <w:vAlign w:val="center"/>
          </w:tcPr>
          <w:p w14:paraId="01E5140B">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一件事：基础表单填写、点位选择、抓拍图片上传</w:t>
            </w:r>
          </w:p>
        </w:tc>
      </w:tr>
      <w:tr w14:paraId="13F1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0" w:type="dxa"/>
            <w:vAlign w:val="center"/>
          </w:tcPr>
          <w:p w14:paraId="18EF9F5A">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10</w:t>
            </w:r>
          </w:p>
        </w:tc>
        <w:tc>
          <w:tcPr>
            <w:tcW w:w="900" w:type="dxa"/>
            <w:vMerge w:val="continue"/>
            <w:vAlign w:val="center"/>
          </w:tcPr>
          <w:p w14:paraId="3BC0ED2D">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7357BB00">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07ADDF2C">
            <w:pPr>
              <w:widowControl/>
              <w:jc w:val="left"/>
              <w:rPr>
                <w:rFonts w:ascii="新宋体" w:hAnsi="新宋体" w:eastAsia="新宋体" w:cs="新宋体"/>
                <w:color w:val="auto"/>
                <w:kern w:val="0"/>
                <w:sz w:val="22"/>
                <w:szCs w:val="22"/>
                <w:highlight w:val="none"/>
              </w:rPr>
            </w:pPr>
          </w:p>
        </w:tc>
        <w:tc>
          <w:tcPr>
            <w:tcW w:w="5008" w:type="dxa"/>
            <w:vAlign w:val="center"/>
          </w:tcPr>
          <w:p w14:paraId="34574B50">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街镇指挥室：基础表单填写、点位选择、抓拍图片上传</w:t>
            </w:r>
          </w:p>
        </w:tc>
      </w:tr>
      <w:tr w14:paraId="66BD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80" w:type="dxa"/>
            <w:vAlign w:val="center"/>
          </w:tcPr>
          <w:p w14:paraId="23CAE61E">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11</w:t>
            </w:r>
          </w:p>
        </w:tc>
        <w:tc>
          <w:tcPr>
            <w:tcW w:w="900" w:type="dxa"/>
            <w:vMerge w:val="continue"/>
            <w:vAlign w:val="center"/>
          </w:tcPr>
          <w:p w14:paraId="39EACB64">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7F898188">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593B462D">
            <w:pPr>
              <w:widowControl/>
              <w:jc w:val="left"/>
              <w:rPr>
                <w:rFonts w:ascii="新宋体" w:hAnsi="新宋体" w:eastAsia="新宋体" w:cs="新宋体"/>
                <w:color w:val="auto"/>
                <w:kern w:val="0"/>
                <w:sz w:val="22"/>
                <w:szCs w:val="22"/>
                <w:highlight w:val="none"/>
              </w:rPr>
            </w:pPr>
          </w:p>
        </w:tc>
        <w:tc>
          <w:tcPr>
            <w:tcW w:w="5008" w:type="dxa"/>
            <w:vAlign w:val="center"/>
          </w:tcPr>
          <w:p w14:paraId="52000B48">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系统支持通过关键字、平台、状态等对事件进行查询、条件进行重置</w:t>
            </w:r>
          </w:p>
        </w:tc>
      </w:tr>
      <w:tr w14:paraId="4E03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80" w:type="dxa"/>
            <w:vAlign w:val="center"/>
          </w:tcPr>
          <w:p w14:paraId="14EEF921">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12</w:t>
            </w:r>
          </w:p>
        </w:tc>
        <w:tc>
          <w:tcPr>
            <w:tcW w:w="900" w:type="dxa"/>
            <w:vMerge w:val="continue"/>
            <w:vAlign w:val="center"/>
          </w:tcPr>
          <w:p w14:paraId="2ED82854">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358FE0FA">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6BB6B514">
            <w:pPr>
              <w:widowControl/>
              <w:jc w:val="left"/>
              <w:rPr>
                <w:rFonts w:ascii="新宋体" w:hAnsi="新宋体" w:eastAsia="新宋体" w:cs="新宋体"/>
                <w:color w:val="auto"/>
                <w:kern w:val="0"/>
                <w:sz w:val="22"/>
                <w:szCs w:val="22"/>
                <w:highlight w:val="none"/>
              </w:rPr>
            </w:pPr>
          </w:p>
        </w:tc>
        <w:tc>
          <w:tcPr>
            <w:tcW w:w="5008" w:type="dxa"/>
            <w:vAlign w:val="center"/>
          </w:tcPr>
          <w:p w14:paraId="5B4DAD6F">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支持跟踪反馈社会治理中心创建的事件处置进度，反馈的进度支持以流程时间轴的形式在事情详情中展现</w:t>
            </w:r>
          </w:p>
        </w:tc>
      </w:tr>
      <w:tr w14:paraId="4E8F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80" w:type="dxa"/>
            <w:vAlign w:val="center"/>
          </w:tcPr>
          <w:p w14:paraId="74A712BB">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13</w:t>
            </w:r>
          </w:p>
        </w:tc>
        <w:tc>
          <w:tcPr>
            <w:tcW w:w="900" w:type="dxa"/>
            <w:vMerge w:val="continue"/>
            <w:vAlign w:val="center"/>
          </w:tcPr>
          <w:p w14:paraId="48869455">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DF55938">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786C9919">
            <w:pPr>
              <w:widowControl/>
              <w:jc w:val="left"/>
              <w:rPr>
                <w:rFonts w:ascii="新宋体" w:hAnsi="新宋体" w:eastAsia="新宋体" w:cs="新宋体"/>
                <w:color w:val="auto"/>
                <w:kern w:val="0"/>
                <w:sz w:val="22"/>
                <w:szCs w:val="22"/>
                <w:highlight w:val="none"/>
              </w:rPr>
            </w:pPr>
          </w:p>
        </w:tc>
        <w:tc>
          <w:tcPr>
            <w:tcW w:w="5008" w:type="dxa"/>
            <w:vAlign w:val="center"/>
          </w:tcPr>
          <w:p w14:paraId="793A59AD">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对归集到本平台的各类事件提供数据清理功能，支持按事件名称、事件来源、事件状态、事件标签等组合查询</w:t>
            </w:r>
          </w:p>
        </w:tc>
      </w:tr>
      <w:tr w14:paraId="011F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0" w:type="dxa"/>
            <w:vAlign w:val="center"/>
          </w:tcPr>
          <w:p w14:paraId="68224743">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14</w:t>
            </w:r>
          </w:p>
        </w:tc>
        <w:tc>
          <w:tcPr>
            <w:tcW w:w="900" w:type="dxa"/>
            <w:vMerge w:val="continue"/>
            <w:vAlign w:val="center"/>
          </w:tcPr>
          <w:p w14:paraId="0614C164">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54BC9F4">
            <w:pPr>
              <w:widowControl/>
              <w:jc w:val="left"/>
              <w:rPr>
                <w:rFonts w:ascii="新宋体" w:hAnsi="新宋体" w:eastAsia="新宋体" w:cs="新宋体"/>
                <w:color w:val="auto"/>
                <w:kern w:val="0"/>
                <w:sz w:val="22"/>
                <w:szCs w:val="22"/>
                <w:highlight w:val="none"/>
              </w:rPr>
            </w:pPr>
          </w:p>
        </w:tc>
        <w:tc>
          <w:tcPr>
            <w:tcW w:w="1980" w:type="dxa"/>
            <w:vMerge w:val="restart"/>
            <w:vAlign w:val="center"/>
          </w:tcPr>
          <w:p w14:paraId="278F916D">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告警中心</w:t>
            </w:r>
          </w:p>
        </w:tc>
        <w:tc>
          <w:tcPr>
            <w:tcW w:w="5008" w:type="dxa"/>
            <w:vAlign w:val="center"/>
          </w:tcPr>
          <w:p w14:paraId="49CAB8C5">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告警接入：系统支持对多种AI告警、物联告警等数据进行归集</w:t>
            </w:r>
          </w:p>
        </w:tc>
      </w:tr>
      <w:tr w14:paraId="52B8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0" w:type="dxa"/>
            <w:vAlign w:val="center"/>
          </w:tcPr>
          <w:p w14:paraId="277D6CDC">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r>
              <w:rPr>
                <w:rFonts w:ascii="新宋体" w:hAnsi="新宋体" w:eastAsia="新宋体" w:cs="新宋体"/>
                <w:color w:val="auto"/>
                <w:kern w:val="0"/>
                <w:sz w:val="22"/>
                <w:szCs w:val="22"/>
                <w:highlight w:val="none"/>
              </w:rPr>
              <w:t>5</w:t>
            </w:r>
          </w:p>
        </w:tc>
        <w:tc>
          <w:tcPr>
            <w:tcW w:w="900" w:type="dxa"/>
            <w:vMerge w:val="continue"/>
            <w:vAlign w:val="center"/>
          </w:tcPr>
          <w:p w14:paraId="11C5E946">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7092EDFE">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4FC11D60">
            <w:pPr>
              <w:widowControl/>
              <w:jc w:val="left"/>
              <w:rPr>
                <w:rFonts w:ascii="新宋体" w:hAnsi="新宋体" w:eastAsia="新宋体" w:cs="新宋体"/>
                <w:color w:val="auto"/>
                <w:kern w:val="0"/>
                <w:sz w:val="22"/>
                <w:szCs w:val="22"/>
                <w:highlight w:val="none"/>
              </w:rPr>
            </w:pPr>
          </w:p>
        </w:tc>
        <w:tc>
          <w:tcPr>
            <w:tcW w:w="5008" w:type="dxa"/>
            <w:vAlign w:val="center"/>
          </w:tcPr>
          <w:p w14:paraId="3E90C3EB">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告警数据清洗：支持基于告警类型对各类告警事件进行区分</w:t>
            </w:r>
          </w:p>
        </w:tc>
      </w:tr>
      <w:tr w14:paraId="49DB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80" w:type="dxa"/>
            <w:vAlign w:val="center"/>
          </w:tcPr>
          <w:p w14:paraId="1766F72F">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r>
              <w:rPr>
                <w:rFonts w:ascii="新宋体" w:hAnsi="新宋体" w:eastAsia="新宋体" w:cs="新宋体"/>
                <w:color w:val="auto"/>
                <w:kern w:val="0"/>
                <w:sz w:val="22"/>
                <w:szCs w:val="22"/>
                <w:highlight w:val="none"/>
              </w:rPr>
              <w:t>6</w:t>
            </w:r>
          </w:p>
        </w:tc>
        <w:tc>
          <w:tcPr>
            <w:tcW w:w="900" w:type="dxa"/>
            <w:vMerge w:val="continue"/>
            <w:vAlign w:val="center"/>
          </w:tcPr>
          <w:p w14:paraId="64258B4E">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0F5E293F">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2A611DAB">
            <w:pPr>
              <w:widowControl/>
              <w:jc w:val="left"/>
              <w:rPr>
                <w:rFonts w:ascii="新宋体" w:hAnsi="新宋体" w:eastAsia="新宋体" w:cs="新宋体"/>
                <w:color w:val="auto"/>
                <w:kern w:val="0"/>
                <w:sz w:val="22"/>
                <w:szCs w:val="22"/>
                <w:highlight w:val="none"/>
              </w:rPr>
            </w:pPr>
          </w:p>
        </w:tc>
        <w:tc>
          <w:tcPr>
            <w:tcW w:w="5008" w:type="dxa"/>
            <w:vAlign w:val="center"/>
          </w:tcPr>
          <w:p w14:paraId="6ABC0368">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系统支持对告警事件已清单形式进行展示，包括告警名称、告警类型、告警地点等</w:t>
            </w:r>
          </w:p>
        </w:tc>
      </w:tr>
      <w:tr w14:paraId="43A4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80" w:type="dxa"/>
            <w:vAlign w:val="center"/>
          </w:tcPr>
          <w:p w14:paraId="0AD2F95F">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r>
              <w:rPr>
                <w:rFonts w:ascii="新宋体" w:hAnsi="新宋体" w:eastAsia="新宋体" w:cs="新宋体"/>
                <w:color w:val="auto"/>
                <w:kern w:val="0"/>
                <w:sz w:val="22"/>
                <w:szCs w:val="22"/>
                <w:highlight w:val="none"/>
              </w:rPr>
              <w:t>7</w:t>
            </w:r>
          </w:p>
        </w:tc>
        <w:tc>
          <w:tcPr>
            <w:tcW w:w="900" w:type="dxa"/>
            <w:vMerge w:val="continue"/>
            <w:vAlign w:val="center"/>
          </w:tcPr>
          <w:p w14:paraId="5AB55B9F">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7A88BFBF">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6B30EC2F">
            <w:pPr>
              <w:widowControl/>
              <w:jc w:val="left"/>
              <w:rPr>
                <w:rFonts w:ascii="新宋体" w:hAnsi="新宋体" w:eastAsia="新宋体" w:cs="新宋体"/>
                <w:color w:val="auto"/>
                <w:kern w:val="0"/>
                <w:sz w:val="22"/>
                <w:szCs w:val="22"/>
                <w:highlight w:val="none"/>
              </w:rPr>
            </w:pPr>
          </w:p>
        </w:tc>
        <w:tc>
          <w:tcPr>
            <w:tcW w:w="5008" w:type="dxa"/>
            <w:vAlign w:val="center"/>
          </w:tcPr>
          <w:p w14:paraId="4EE1B332">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系统支持对告警详情信息进行查看，如告警名称、告警地点、告警时间、抓拍图片等</w:t>
            </w:r>
          </w:p>
        </w:tc>
      </w:tr>
      <w:tr w14:paraId="6820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vAlign w:val="center"/>
          </w:tcPr>
          <w:p w14:paraId="147E73CC">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r>
              <w:rPr>
                <w:rFonts w:ascii="新宋体" w:hAnsi="新宋体" w:eastAsia="新宋体" w:cs="新宋体"/>
                <w:color w:val="auto"/>
                <w:kern w:val="0"/>
                <w:sz w:val="22"/>
                <w:szCs w:val="22"/>
                <w:highlight w:val="none"/>
              </w:rPr>
              <w:t>8</w:t>
            </w:r>
          </w:p>
        </w:tc>
        <w:tc>
          <w:tcPr>
            <w:tcW w:w="900" w:type="dxa"/>
            <w:vMerge w:val="continue"/>
            <w:vAlign w:val="center"/>
          </w:tcPr>
          <w:p w14:paraId="522D0B89">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252069FA">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678E622D">
            <w:pPr>
              <w:widowControl/>
              <w:jc w:val="left"/>
              <w:rPr>
                <w:rFonts w:ascii="新宋体" w:hAnsi="新宋体" w:eastAsia="新宋体" w:cs="新宋体"/>
                <w:color w:val="auto"/>
                <w:kern w:val="0"/>
                <w:sz w:val="22"/>
                <w:szCs w:val="22"/>
                <w:highlight w:val="none"/>
              </w:rPr>
            </w:pPr>
          </w:p>
        </w:tc>
        <w:tc>
          <w:tcPr>
            <w:tcW w:w="5008" w:type="dxa"/>
            <w:vAlign w:val="center"/>
          </w:tcPr>
          <w:p w14:paraId="5C5947B1">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系统支持通过告警名称、告警类型、告警时间等，对告警事件进行查询</w:t>
            </w:r>
          </w:p>
        </w:tc>
      </w:tr>
      <w:tr w14:paraId="6250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0" w:type="dxa"/>
            <w:vAlign w:val="center"/>
          </w:tcPr>
          <w:p w14:paraId="34AB1B2F">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r>
              <w:rPr>
                <w:rFonts w:ascii="新宋体" w:hAnsi="新宋体" w:eastAsia="新宋体" w:cs="新宋体"/>
                <w:color w:val="auto"/>
                <w:kern w:val="0"/>
                <w:sz w:val="22"/>
                <w:szCs w:val="22"/>
                <w:highlight w:val="none"/>
              </w:rPr>
              <w:t>9</w:t>
            </w:r>
          </w:p>
        </w:tc>
        <w:tc>
          <w:tcPr>
            <w:tcW w:w="900" w:type="dxa"/>
            <w:vMerge w:val="continue"/>
            <w:vAlign w:val="center"/>
          </w:tcPr>
          <w:p w14:paraId="233EA0BC">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34A90ACA">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540FAD97">
            <w:pPr>
              <w:widowControl/>
              <w:jc w:val="left"/>
              <w:rPr>
                <w:rFonts w:ascii="新宋体" w:hAnsi="新宋体" w:eastAsia="新宋体" w:cs="新宋体"/>
                <w:color w:val="auto"/>
                <w:kern w:val="0"/>
                <w:sz w:val="22"/>
                <w:szCs w:val="22"/>
                <w:highlight w:val="none"/>
              </w:rPr>
            </w:pPr>
          </w:p>
        </w:tc>
        <w:tc>
          <w:tcPr>
            <w:tcW w:w="5008" w:type="dxa"/>
            <w:vAlign w:val="center"/>
          </w:tcPr>
          <w:p w14:paraId="78835B42">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告警信息进行删除</w:t>
            </w:r>
          </w:p>
        </w:tc>
      </w:tr>
      <w:tr w14:paraId="7265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80" w:type="dxa"/>
            <w:vAlign w:val="center"/>
          </w:tcPr>
          <w:p w14:paraId="575174AA">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20</w:t>
            </w:r>
          </w:p>
        </w:tc>
        <w:tc>
          <w:tcPr>
            <w:tcW w:w="900" w:type="dxa"/>
            <w:vMerge w:val="continue"/>
            <w:vAlign w:val="center"/>
          </w:tcPr>
          <w:p w14:paraId="6AF5726D">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533A32D">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0907DEA0">
            <w:pPr>
              <w:widowControl/>
              <w:jc w:val="left"/>
              <w:rPr>
                <w:rFonts w:ascii="新宋体" w:hAnsi="新宋体" w:eastAsia="新宋体" w:cs="新宋体"/>
                <w:color w:val="auto"/>
                <w:kern w:val="0"/>
                <w:sz w:val="22"/>
                <w:szCs w:val="22"/>
                <w:highlight w:val="none"/>
              </w:rPr>
            </w:pPr>
          </w:p>
        </w:tc>
        <w:tc>
          <w:tcPr>
            <w:tcW w:w="5008" w:type="dxa"/>
            <w:vAlign w:val="center"/>
          </w:tcPr>
          <w:p w14:paraId="0DF45B79">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事件源信息编写、点位选择、图片下载、图片上传、图片预览</w:t>
            </w:r>
          </w:p>
        </w:tc>
      </w:tr>
      <w:tr w14:paraId="0F03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0" w:type="dxa"/>
            <w:vAlign w:val="center"/>
          </w:tcPr>
          <w:p w14:paraId="492A514F">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21</w:t>
            </w:r>
          </w:p>
        </w:tc>
        <w:tc>
          <w:tcPr>
            <w:tcW w:w="900" w:type="dxa"/>
            <w:vMerge w:val="continue"/>
            <w:vAlign w:val="center"/>
          </w:tcPr>
          <w:p w14:paraId="777E130C">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3AAD9AE9">
            <w:pPr>
              <w:widowControl/>
              <w:jc w:val="left"/>
              <w:rPr>
                <w:rFonts w:ascii="新宋体" w:hAnsi="新宋体" w:eastAsia="新宋体" w:cs="新宋体"/>
                <w:color w:val="auto"/>
                <w:kern w:val="0"/>
                <w:sz w:val="22"/>
                <w:szCs w:val="22"/>
                <w:highlight w:val="none"/>
              </w:rPr>
            </w:pPr>
          </w:p>
        </w:tc>
        <w:tc>
          <w:tcPr>
            <w:tcW w:w="1980" w:type="dxa"/>
            <w:vMerge w:val="restart"/>
            <w:vAlign w:val="center"/>
          </w:tcPr>
          <w:p w14:paraId="311CB7AF">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事件预处理池</w:t>
            </w:r>
          </w:p>
        </w:tc>
        <w:tc>
          <w:tcPr>
            <w:tcW w:w="5008" w:type="dxa"/>
            <w:vAlign w:val="center"/>
          </w:tcPr>
          <w:p w14:paraId="35BF82A7">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事件列表：系统将通过清单列表形式，对各类接入事件进行展示</w:t>
            </w:r>
          </w:p>
        </w:tc>
      </w:tr>
      <w:tr w14:paraId="05FF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80" w:type="dxa"/>
            <w:vAlign w:val="center"/>
          </w:tcPr>
          <w:p w14:paraId="2746AF45">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22</w:t>
            </w:r>
          </w:p>
        </w:tc>
        <w:tc>
          <w:tcPr>
            <w:tcW w:w="900" w:type="dxa"/>
            <w:vMerge w:val="continue"/>
            <w:vAlign w:val="center"/>
          </w:tcPr>
          <w:p w14:paraId="5DBEA3D6">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75A0244D">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1B9D9CD4">
            <w:pPr>
              <w:widowControl/>
              <w:jc w:val="left"/>
              <w:rPr>
                <w:rFonts w:ascii="新宋体" w:hAnsi="新宋体" w:eastAsia="新宋体" w:cs="新宋体"/>
                <w:color w:val="auto"/>
                <w:kern w:val="0"/>
                <w:sz w:val="22"/>
                <w:szCs w:val="22"/>
                <w:highlight w:val="none"/>
              </w:rPr>
            </w:pPr>
          </w:p>
        </w:tc>
        <w:tc>
          <w:tcPr>
            <w:tcW w:w="5008" w:type="dxa"/>
            <w:vAlign w:val="center"/>
          </w:tcPr>
          <w:p w14:paraId="0896386D">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事件详情：系统将对事件详情进行展示，包括名称、内容、事件来源等信息</w:t>
            </w:r>
          </w:p>
        </w:tc>
      </w:tr>
      <w:tr w14:paraId="4ECD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80" w:type="dxa"/>
            <w:vAlign w:val="center"/>
          </w:tcPr>
          <w:p w14:paraId="31D440B9">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23</w:t>
            </w:r>
          </w:p>
        </w:tc>
        <w:tc>
          <w:tcPr>
            <w:tcW w:w="900" w:type="dxa"/>
            <w:vMerge w:val="continue"/>
            <w:vAlign w:val="center"/>
          </w:tcPr>
          <w:p w14:paraId="36C3B7FF">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0D7693B9">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190DCAC5">
            <w:pPr>
              <w:widowControl/>
              <w:jc w:val="left"/>
              <w:rPr>
                <w:rFonts w:ascii="新宋体" w:hAnsi="新宋体" w:eastAsia="新宋体" w:cs="新宋体"/>
                <w:color w:val="auto"/>
                <w:kern w:val="0"/>
                <w:sz w:val="22"/>
                <w:szCs w:val="22"/>
                <w:highlight w:val="none"/>
              </w:rPr>
            </w:pPr>
          </w:p>
        </w:tc>
        <w:tc>
          <w:tcPr>
            <w:tcW w:w="5008" w:type="dxa"/>
            <w:vAlign w:val="center"/>
          </w:tcPr>
          <w:p w14:paraId="4128A1A3">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基层智治综合应用、一件事、街镇指挥室将原有告警信息进行判定，快速转换为事件</w:t>
            </w:r>
          </w:p>
        </w:tc>
      </w:tr>
      <w:tr w14:paraId="5000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80" w:type="dxa"/>
            <w:vAlign w:val="center"/>
          </w:tcPr>
          <w:p w14:paraId="4596CDE4">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24</w:t>
            </w:r>
          </w:p>
        </w:tc>
        <w:tc>
          <w:tcPr>
            <w:tcW w:w="900" w:type="dxa"/>
            <w:vMerge w:val="continue"/>
            <w:vAlign w:val="center"/>
          </w:tcPr>
          <w:p w14:paraId="45656CA9">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5F065826">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117091F5">
            <w:pPr>
              <w:widowControl/>
              <w:jc w:val="left"/>
              <w:rPr>
                <w:rFonts w:ascii="新宋体" w:hAnsi="新宋体" w:eastAsia="新宋体" w:cs="新宋体"/>
                <w:color w:val="auto"/>
                <w:kern w:val="0"/>
                <w:sz w:val="22"/>
                <w:szCs w:val="22"/>
                <w:highlight w:val="none"/>
              </w:rPr>
            </w:pPr>
          </w:p>
        </w:tc>
        <w:tc>
          <w:tcPr>
            <w:tcW w:w="5008" w:type="dxa"/>
            <w:vAlign w:val="center"/>
          </w:tcPr>
          <w:p w14:paraId="269C29EA">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事件查询、查询重置、删除</w:t>
            </w:r>
          </w:p>
        </w:tc>
      </w:tr>
      <w:tr w14:paraId="418D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80" w:type="dxa"/>
            <w:vAlign w:val="center"/>
          </w:tcPr>
          <w:p w14:paraId="47278C8D">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r>
              <w:rPr>
                <w:rFonts w:ascii="新宋体" w:hAnsi="新宋体" w:eastAsia="新宋体" w:cs="新宋体"/>
                <w:color w:val="auto"/>
                <w:kern w:val="0"/>
                <w:sz w:val="22"/>
                <w:szCs w:val="22"/>
                <w:highlight w:val="none"/>
              </w:rPr>
              <w:t>5</w:t>
            </w:r>
          </w:p>
        </w:tc>
        <w:tc>
          <w:tcPr>
            <w:tcW w:w="900" w:type="dxa"/>
            <w:vMerge w:val="continue"/>
            <w:vAlign w:val="center"/>
          </w:tcPr>
          <w:p w14:paraId="5347DAE2">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06A4EBE4">
            <w:pPr>
              <w:widowControl/>
              <w:jc w:val="left"/>
              <w:rPr>
                <w:rFonts w:ascii="新宋体" w:hAnsi="新宋体" w:eastAsia="新宋体" w:cs="新宋体"/>
                <w:color w:val="auto"/>
                <w:kern w:val="0"/>
                <w:sz w:val="22"/>
                <w:szCs w:val="22"/>
                <w:highlight w:val="none"/>
              </w:rPr>
            </w:pPr>
          </w:p>
        </w:tc>
        <w:tc>
          <w:tcPr>
            <w:tcW w:w="1980" w:type="dxa"/>
            <w:vAlign w:val="center"/>
          </w:tcPr>
          <w:p w14:paraId="7FFA50DB">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事件源上架管理</w:t>
            </w:r>
          </w:p>
        </w:tc>
        <w:tc>
          <w:tcPr>
            <w:tcW w:w="5008" w:type="dxa"/>
            <w:vAlign w:val="center"/>
          </w:tcPr>
          <w:p w14:paraId="40FCE941">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图标列表、修改、新增、删除、查询、重置</w:t>
            </w:r>
          </w:p>
        </w:tc>
      </w:tr>
      <w:tr w14:paraId="220E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0" w:type="dxa"/>
            <w:vAlign w:val="center"/>
          </w:tcPr>
          <w:p w14:paraId="621002EA">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r>
              <w:rPr>
                <w:rFonts w:ascii="新宋体" w:hAnsi="新宋体" w:eastAsia="新宋体" w:cs="新宋体"/>
                <w:color w:val="auto"/>
                <w:kern w:val="0"/>
                <w:sz w:val="22"/>
                <w:szCs w:val="22"/>
                <w:highlight w:val="none"/>
              </w:rPr>
              <w:t>6</w:t>
            </w:r>
          </w:p>
        </w:tc>
        <w:tc>
          <w:tcPr>
            <w:tcW w:w="900" w:type="dxa"/>
            <w:vMerge w:val="continue"/>
            <w:vAlign w:val="center"/>
          </w:tcPr>
          <w:p w14:paraId="1B4CBA94">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99E84FF">
            <w:pPr>
              <w:widowControl/>
              <w:jc w:val="left"/>
              <w:rPr>
                <w:rFonts w:ascii="新宋体" w:hAnsi="新宋体" w:eastAsia="新宋体" w:cs="新宋体"/>
                <w:color w:val="auto"/>
                <w:kern w:val="0"/>
                <w:sz w:val="22"/>
                <w:szCs w:val="22"/>
                <w:highlight w:val="none"/>
              </w:rPr>
            </w:pPr>
          </w:p>
        </w:tc>
        <w:tc>
          <w:tcPr>
            <w:tcW w:w="1980" w:type="dxa"/>
            <w:vMerge w:val="restart"/>
            <w:vAlign w:val="center"/>
          </w:tcPr>
          <w:p w14:paraId="0161248D">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一件事</w:t>
            </w:r>
          </w:p>
        </w:tc>
        <w:tc>
          <w:tcPr>
            <w:tcW w:w="5008" w:type="dxa"/>
            <w:vAlign w:val="center"/>
          </w:tcPr>
          <w:p w14:paraId="06C3D6A5">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一件事分类管理：分类列表、分类详情、分类新增、分类修改、分类删除</w:t>
            </w:r>
          </w:p>
        </w:tc>
      </w:tr>
      <w:tr w14:paraId="20E0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80" w:type="dxa"/>
            <w:vAlign w:val="center"/>
          </w:tcPr>
          <w:p w14:paraId="14B5C445">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r>
              <w:rPr>
                <w:rFonts w:ascii="新宋体" w:hAnsi="新宋体" w:eastAsia="新宋体" w:cs="新宋体"/>
                <w:color w:val="auto"/>
                <w:kern w:val="0"/>
                <w:sz w:val="22"/>
                <w:szCs w:val="22"/>
                <w:highlight w:val="none"/>
              </w:rPr>
              <w:t>7</w:t>
            </w:r>
          </w:p>
        </w:tc>
        <w:tc>
          <w:tcPr>
            <w:tcW w:w="900" w:type="dxa"/>
            <w:vMerge w:val="continue"/>
            <w:vAlign w:val="center"/>
          </w:tcPr>
          <w:p w14:paraId="1C375A61">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12930C20">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2E44F165">
            <w:pPr>
              <w:widowControl/>
              <w:jc w:val="left"/>
              <w:rPr>
                <w:rFonts w:ascii="新宋体" w:hAnsi="新宋体" w:eastAsia="新宋体" w:cs="新宋体"/>
                <w:color w:val="auto"/>
                <w:kern w:val="0"/>
                <w:sz w:val="22"/>
                <w:szCs w:val="22"/>
                <w:highlight w:val="none"/>
              </w:rPr>
            </w:pPr>
          </w:p>
        </w:tc>
        <w:tc>
          <w:tcPr>
            <w:tcW w:w="5008" w:type="dxa"/>
            <w:vAlign w:val="center"/>
          </w:tcPr>
          <w:p w14:paraId="25ED6FA5">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一件事流程管理：流程列表、流程新增、流程修改、流程删除、流程上下线管理、流程查询及查询重置</w:t>
            </w:r>
          </w:p>
        </w:tc>
      </w:tr>
      <w:tr w14:paraId="072D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80" w:type="dxa"/>
            <w:vAlign w:val="center"/>
          </w:tcPr>
          <w:p w14:paraId="6C4F076E">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r>
              <w:rPr>
                <w:rFonts w:ascii="新宋体" w:hAnsi="新宋体" w:eastAsia="新宋体" w:cs="新宋体"/>
                <w:color w:val="auto"/>
                <w:kern w:val="0"/>
                <w:sz w:val="22"/>
                <w:szCs w:val="22"/>
                <w:highlight w:val="none"/>
              </w:rPr>
              <w:t>8</w:t>
            </w:r>
          </w:p>
        </w:tc>
        <w:tc>
          <w:tcPr>
            <w:tcW w:w="900" w:type="dxa"/>
            <w:vMerge w:val="continue"/>
            <w:vAlign w:val="center"/>
          </w:tcPr>
          <w:p w14:paraId="2EDCED34">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C84A4DA">
            <w:pPr>
              <w:widowControl/>
              <w:jc w:val="left"/>
              <w:rPr>
                <w:rFonts w:ascii="新宋体" w:hAnsi="新宋体" w:eastAsia="新宋体" w:cs="新宋体"/>
                <w:color w:val="auto"/>
                <w:kern w:val="0"/>
                <w:sz w:val="22"/>
                <w:szCs w:val="22"/>
                <w:highlight w:val="none"/>
              </w:rPr>
            </w:pPr>
          </w:p>
        </w:tc>
        <w:tc>
          <w:tcPr>
            <w:tcW w:w="1980" w:type="dxa"/>
            <w:vMerge w:val="continue"/>
            <w:vAlign w:val="center"/>
          </w:tcPr>
          <w:p w14:paraId="37B52B8B">
            <w:pPr>
              <w:widowControl/>
              <w:jc w:val="left"/>
              <w:rPr>
                <w:rFonts w:ascii="新宋体" w:hAnsi="新宋体" w:eastAsia="新宋体" w:cs="新宋体"/>
                <w:color w:val="auto"/>
                <w:kern w:val="0"/>
                <w:sz w:val="22"/>
                <w:szCs w:val="22"/>
                <w:highlight w:val="none"/>
              </w:rPr>
            </w:pPr>
          </w:p>
        </w:tc>
        <w:tc>
          <w:tcPr>
            <w:tcW w:w="5008" w:type="dxa"/>
            <w:vAlign w:val="center"/>
          </w:tcPr>
          <w:p w14:paraId="3C544026">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一件事流程绑定：流程绑定列表、流程绑定详情、流程绑定修改、流程绑定新增、绑定流程、流程绑定查询、查询重置、流程绑定删除</w:t>
            </w:r>
          </w:p>
        </w:tc>
      </w:tr>
      <w:tr w14:paraId="29C0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80" w:type="dxa"/>
            <w:vAlign w:val="center"/>
          </w:tcPr>
          <w:p w14:paraId="01DEF6A5">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r>
              <w:rPr>
                <w:rFonts w:ascii="新宋体" w:hAnsi="新宋体" w:eastAsia="新宋体" w:cs="新宋体"/>
                <w:color w:val="auto"/>
                <w:kern w:val="0"/>
                <w:sz w:val="22"/>
                <w:szCs w:val="22"/>
                <w:highlight w:val="none"/>
              </w:rPr>
              <w:t>9</w:t>
            </w:r>
          </w:p>
        </w:tc>
        <w:tc>
          <w:tcPr>
            <w:tcW w:w="900" w:type="dxa"/>
            <w:vMerge w:val="restart"/>
            <w:vAlign w:val="center"/>
          </w:tcPr>
          <w:p w14:paraId="61A8CA97">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分析研判</w:t>
            </w:r>
          </w:p>
        </w:tc>
        <w:tc>
          <w:tcPr>
            <w:tcW w:w="3140" w:type="dxa"/>
            <w:gridSpan w:val="2"/>
            <w:vAlign w:val="center"/>
          </w:tcPr>
          <w:p w14:paraId="2370FAF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门户页</w:t>
            </w:r>
          </w:p>
        </w:tc>
        <w:tc>
          <w:tcPr>
            <w:tcW w:w="5008" w:type="dxa"/>
            <w:vAlign w:val="center"/>
          </w:tcPr>
          <w:p w14:paraId="4058CD17">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设计开发鹿城区事件风险隐患研判平台登录页，包括设计符合鹿城特色登录页背景，支持用户通过登录页访问鹿城区事件风险隐患研判平台业务系统。</w:t>
            </w:r>
          </w:p>
        </w:tc>
      </w:tr>
      <w:tr w14:paraId="33FA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0" w:type="dxa"/>
            <w:vAlign w:val="center"/>
          </w:tcPr>
          <w:p w14:paraId="6562296D">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30</w:t>
            </w:r>
          </w:p>
        </w:tc>
        <w:tc>
          <w:tcPr>
            <w:tcW w:w="900" w:type="dxa"/>
            <w:vMerge w:val="continue"/>
            <w:vAlign w:val="center"/>
          </w:tcPr>
          <w:p w14:paraId="01DC2959">
            <w:pPr>
              <w:widowControl/>
              <w:jc w:val="left"/>
              <w:rPr>
                <w:rFonts w:ascii="新宋体" w:hAnsi="新宋体" w:eastAsia="新宋体" w:cs="新宋体"/>
                <w:color w:val="auto"/>
                <w:kern w:val="0"/>
                <w:sz w:val="22"/>
                <w:szCs w:val="22"/>
                <w:highlight w:val="none"/>
              </w:rPr>
            </w:pPr>
          </w:p>
        </w:tc>
        <w:tc>
          <w:tcPr>
            <w:tcW w:w="1160" w:type="dxa"/>
            <w:vMerge w:val="restart"/>
            <w:vAlign w:val="center"/>
          </w:tcPr>
          <w:p w14:paraId="762ADA46">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隐患管理</w:t>
            </w:r>
          </w:p>
        </w:tc>
        <w:tc>
          <w:tcPr>
            <w:tcW w:w="1980" w:type="dxa"/>
            <w:vAlign w:val="center"/>
          </w:tcPr>
          <w:p w14:paraId="6504B04F">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要素库</w:t>
            </w:r>
          </w:p>
        </w:tc>
        <w:tc>
          <w:tcPr>
            <w:tcW w:w="5008" w:type="dxa"/>
            <w:vAlign w:val="center"/>
          </w:tcPr>
          <w:p w14:paraId="7FECA16F">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按统一数据标准，通过IRS接入12345热线、110非警情、矛调事件、数字城管、基层智治综合应用平台事件数据。</w:t>
            </w:r>
          </w:p>
        </w:tc>
      </w:tr>
      <w:tr w14:paraId="526C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580" w:type="dxa"/>
            <w:vAlign w:val="center"/>
          </w:tcPr>
          <w:p w14:paraId="1D677211">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31</w:t>
            </w:r>
          </w:p>
        </w:tc>
        <w:tc>
          <w:tcPr>
            <w:tcW w:w="900" w:type="dxa"/>
            <w:vMerge w:val="continue"/>
            <w:vAlign w:val="center"/>
          </w:tcPr>
          <w:p w14:paraId="248FB079">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3771D192">
            <w:pPr>
              <w:widowControl/>
              <w:jc w:val="left"/>
              <w:rPr>
                <w:rFonts w:ascii="新宋体" w:hAnsi="新宋体" w:eastAsia="新宋体" w:cs="新宋体"/>
                <w:color w:val="auto"/>
                <w:kern w:val="0"/>
                <w:sz w:val="22"/>
                <w:szCs w:val="22"/>
                <w:highlight w:val="none"/>
              </w:rPr>
            </w:pPr>
          </w:p>
        </w:tc>
        <w:tc>
          <w:tcPr>
            <w:tcW w:w="1980" w:type="dxa"/>
            <w:vAlign w:val="center"/>
          </w:tcPr>
          <w:p w14:paraId="2481B00C">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隐患人员信息库</w:t>
            </w:r>
          </w:p>
        </w:tc>
        <w:tc>
          <w:tcPr>
            <w:tcW w:w="5008" w:type="dxa"/>
            <w:vAlign w:val="center"/>
          </w:tcPr>
          <w:p w14:paraId="1E4B8651">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从各业务部门事件数据中，利用NLP分类、内容分析、字段识别、要素提取、标签检索等技术引擎，提取事件涉事对象信息，同时对全量事件数据进行清洗、去重、补全、关联，完善人员主体信息，形成风险人员信息库，同时通过预警规则，评估人员风险等级并支持转事件到风险管理进行协同，实现对不同维度数据的统一管理，为后续专题场景建设提供数据支撑。</w:t>
            </w:r>
          </w:p>
        </w:tc>
      </w:tr>
      <w:tr w14:paraId="334B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580" w:type="dxa"/>
            <w:vAlign w:val="center"/>
          </w:tcPr>
          <w:p w14:paraId="29CE7119">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32</w:t>
            </w:r>
          </w:p>
        </w:tc>
        <w:tc>
          <w:tcPr>
            <w:tcW w:w="900" w:type="dxa"/>
            <w:vMerge w:val="continue"/>
            <w:vAlign w:val="center"/>
          </w:tcPr>
          <w:p w14:paraId="6FD5979B">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7026191B">
            <w:pPr>
              <w:widowControl/>
              <w:jc w:val="left"/>
              <w:rPr>
                <w:rFonts w:ascii="新宋体" w:hAnsi="新宋体" w:eastAsia="新宋体" w:cs="新宋体"/>
                <w:color w:val="auto"/>
                <w:kern w:val="0"/>
                <w:sz w:val="22"/>
                <w:szCs w:val="22"/>
                <w:highlight w:val="none"/>
              </w:rPr>
            </w:pPr>
          </w:p>
        </w:tc>
        <w:tc>
          <w:tcPr>
            <w:tcW w:w="1980" w:type="dxa"/>
            <w:vAlign w:val="center"/>
          </w:tcPr>
          <w:p w14:paraId="009E0E22">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隐患机构信息库</w:t>
            </w:r>
          </w:p>
        </w:tc>
        <w:tc>
          <w:tcPr>
            <w:tcW w:w="5008" w:type="dxa"/>
            <w:vAlign w:val="center"/>
          </w:tcPr>
          <w:p w14:paraId="4A90E26D">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从各业务部门事件数据中，利用NLP分类、内容分析、字段识别、要素提取、标签检索等技术引擎，提取事件涉事机构信息，同时对全量事件数据进行清洗、去重、补全、关联，完善机构主体信息，建立风险机构信息库，同时通过预警规则，评估机构风险等级并支持转事件到风险管理进行协同，实现对不同维度数据的统一管理，为后续专题场景建设提供数据支撑。</w:t>
            </w:r>
          </w:p>
        </w:tc>
      </w:tr>
      <w:tr w14:paraId="2C6A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80" w:type="dxa"/>
            <w:vAlign w:val="center"/>
          </w:tcPr>
          <w:p w14:paraId="6BAEBAEA">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33</w:t>
            </w:r>
          </w:p>
        </w:tc>
        <w:tc>
          <w:tcPr>
            <w:tcW w:w="900" w:type="dxa"/>
            <w:vMerge w:val="continue"/>
            <w:vAlign w:val="center"/>
          </w:tcPr>
          <w:p w14:paraId="29459294">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D14FD12">
            <w:pPr>
              <w:widowControl/>
              <w:jc w:val="left"/>
              <w:rPr>
                <w:rFonts w:ascii="新宋体" w:hAnsi="新宋体" w:eastAsia="新宋体" w:cs="新宋体"/>
                <w:color w:val="auto"/>
                <w:kern w:val="0"/>
                <w:sz w:val="22"/>
                <w:szCs w:val="22"/>
                <w:highlight w:val="none"/>
              </w:rPr>
            </w:pPr>
          </w:p>
        </w:tc>
        <w:tc>
          <w:tcPr>
            <w:tcW w:w="1980" w:type="dxa"/>
            <w:vAlign w:val="center"/>
          </w:tcPr>
          <w:p w14:paraId="593D9C6A">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扬言报复隐患库</w:t>
            </w:r>
          </w:p>
        </w:tc>
        <w:tc>
          <w:tcPr>
            <w:tcW w:w="5008" w:type="dxa"/>
            <w:vAlign w:val="center"/>
          </w:tcPr>
          <w:p w14:paraId="2BA67888">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通过扬言报复风险隐患分析模型，识别扬言上访、扬言寻衅滋事、扬言危害、扬言造谣谎报相关的风险事件，同时通过预警规则，评估事件风险等级并支持转事件到风险管理进行协同。支持按时间区间、类型筛选，搜索</w:t>
            </w:r>
          </w:p>
        </w:tc>
      </w:tr>
      <w:tr w14:paraId="0B84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80" w:type="dxa"/>
            <w:vAlign w:val="center"/>
          </w:tcPr>
          <w:p w14:paraId="19568823">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34</w:t>
            </w:r>
          </w:p>
        </w:tc>
        <w:tc>
          <w:tcPr>
            <w:tcW w:w="900" w:type="dxa"/>
            <w:vMerge w:val="continue"/>
            <w:vAlign w:val="center"/>
          </w:tcPr>
          <w:p w14:paraId="27B17923">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5E81060F">
            <w:pPr>
              <w:widowControl/>
              <w:jc w:val="left"/>
              <w:rPr>
                <w:rFonts w:ascii="新宋体" w:hAnsi="新宋体" w:eastAsia="新宋体" w:cs="新宋体"/>
                <w:color w:val="auto"/>
                <w:kern w:val="0"/>
                <w:sz w:val="22"/>
                <w:szCs w:val="22"/>
                <w:highlight w:val="none"/>
              </w:rPr>
            </w:pPr>
          </w:p>
        </w:tc>
        <w:tc>
          <w:tcPr>
            <w:tcW w:w="1980" w:type="dxa"/>
            <w:vAlign w:val="center"/>
          </w:tcPr>
          <w:p w14:paraId="16D25F31">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肇事肇祸隐患库</w:t>
            </w:r>
          </w:p>
        </w:tc>
        <w:tc>
          <w:tcPr>
            <w:tcW w:w="5008" w:type="dxa"/>
            <w:vAlign w:val="center"/>
          </w:tcPr>
          <w:p w14:paraId="1F9AAA4D">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通过肇事肇祸风险隐患分析模型，识别特殊人员、危险驾驶、交通肇事相关的风险事件，同时通过预警规则，评估事件风险等级并支持转事件到风险管理进行协同。支持按时间区间、类型筛选，搜索。</w:t>
            </w:r>
          </w:p>
        </w:tc>
      </w:tr>
      <w:tr w14:paraId="4EEC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580" w:type="dxa"/>
            <w:vAlign w:val="center"/>
          </w:tcPr>
          <w:p w14:paraId="661060BA">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r>
              <w:rPr>
                <w:rFonts w:ascii="新宋体" w:hAnsi="新宋体" w:eastAsia="新宋体" w:cs="新宋体"/>
                <w:color w:val="auto"/>
                <w:kern w:val="0"/>
                <w:sz w:val="22"/>
                <w:szCs w:val="22"/>
                <w:highlight w:val="none"/>
              </w:rPr>
              <w:t>5</w:t>
            </w:r>
          </w:p>
        </w:tc>
        <w:tc>
          <w:tcPr>
            <w:tcW w:w="900" w:type="dxa"/>
            <w:vMerge w:val="continue"/>
            <w:vAlign w:val="center"/>
          </w:tcPr>
          <w:p w14:paraId="1D5BA6D3">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01BABAA">
            <w:pPr>
              <w:widowControl/>
              <w:jc w:val="left"/>
              <w:rPr>
                <w:rFonts w:ascii="新宋体" w:hAnsi="新宋体" w:eastAsia="新宋体" w:cs="新宋体"/>
                <w:color w:val="auto"/>
                <w:kern w:val="0"/>
                <w:sz w:val="22"/>
                <w:szCs w:val="22"/>
                <w:highlight w:val="none"/>
              </w:rPr>
            </w:pPr>
          </w:p>
        </w:tc>
        <w:tc>
          <w:tcPr>
            <w:tcW w:w="1980" w:type="dxa"/>
            <w:vAlign w:val="center"/>
          </w:tcPr>
          <w:p w14:paraId="20958FBF">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涉稳聚集隐患库</w:t>
            </w:r>
          </w:p>
        </w:tc>
        <w:tc>
          <w:tcPr>
            <w:tcW w:w="5008" w:type="dxa"/>
            <w:vAlign w:val="center"/>
          </w:tcPr>
          <w:p w14:paraId="24B856F3">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通过涉稳聚集风险隐患分析模型，识别涉房产集聚、妨碍施工聚集、民族宗教聚集、中断堵塞交通、执法不当、风险群体事件、治安事故相关的风险事件，同时通过预警规则，评估事件风险等级并支持转事件到风险管理进行协同。支持按时间区间、类型筛选，搜索。</w:t>
            </w:r>
          </w:p>
        </w:tc>
      </w:tr>
      <w:tr w14:paraId="6813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580" w:type="dxa"/>
            <w:vAlign w:val="center"/>
          </w:tcPr>
          <w:p w14:paraId="5DB0DF77">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r>
              <w:rPr>
                <w:rFonts w:ascii="新宋体" w:hAnsi="新宋体" w:eastAsia="新宋体" w:cs="新宋体"/>
                <w:color w:val="auto"/>
                <w:kern w:val="0"/>
                <w:sz w:val="22"/>
                <w:szCs w:val="22"/>
                <w:highlight w:val="none"/>
              </w:rPr>
              <w:t>6</w:t>
            </w:r>
          </w:p>
        </w:tc>
        <w:tc>
          <w:tcPr>
            <w:tcW w:w="900" w:type="dxa"/>
            <w:vMerge w:val="continue"/>
            <w:vAlign w:val="center"/>
          </w:tcPr>
          <w:p w14:paraId="6579AF25">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08411342">
            <w:pPr>
              <w:widowControl/>
              <w:jc w:val="left"/>
              <w:rPr>
                <w:rFonts w:ascii="新宋体" w:hAnsi="新宋体" w:eastAsia="新宋体" w:cs="新宋体"/>
                <w:color w:val="auto"/>
                <w:kern w:val="0"/>
                <w:sz w:val="22"/>
                <w:szCs w:val="22"/>
                <w:highlight w:val="none"/>
              </w:rPr>
            </w:pPr>
          </w:p>
        </w:tc>
        <w:tc>
          <w:tcPr>
            <w:tcW w:w="1980" w:type="dxa"/>
            <w:vAlign w:val="center"/>
          </w:tcPr>
          <w:p w14:paraId="438C8545">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矛盾纠纷隐患库</w:t>
            </w:r>
          </w:p>
        </w:tc>
        <w:tc>
          <w:tcPr>
            <w:tcW w:w="5008" w:type="dxa"/>
            <w:vAlign w:val="center"/>
          </w:tcPr>
          <w:p w14:paraId="00E18E0C">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通过矛盾纠纷风险隐患分析模型，识别婚姻家庭纠纷、邻里纠纷、征地拆迁、劳动争议、经济债务纠纷、损害赔偿纠纷、消费运营纠纷、民族宗教矛盾、执法冲突相关的风险事件，同时通过预警规则，评估事件风险等级并支持转事件到风险管理进行协同。支持按时间区间、类型筛选，搜索。</w:t>
            </w:r>
          </w:p>
        </w:tc>
      </w:tr>
      <w:tr w14:paraId="1592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580" w:type="dxa"/>
            <w:vAlign w:val="center"/>
          </w:tcPr>
          <w:p w14:paraId="4072D652">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r>
              <w:rPr>
                <w:rFonts w:ascii="新宋体" w:hAnsi="新宋体" w:eastAsia="新宋体" w:cs="新宋体"/>
                <w:color w:val="auto"/>
                <w:kern w:val="0"/>
                <w:sz w:val="22"/>
                <w:szCs w:val="22"/>
                <w:highlight w:val="none"/>
              </w:rPr>
              <w:t>7</w:t>
            </w:r>
          </w:p>
        </w:tc>
        <w:tc>
          <w:tcPr>
            <w:tcW w:w="900" w:type="dxa"/>
            <w:vMerge w:val="continue"/>
            <w:vAlign w:val="center"/>
          </w:tcPr>
          <w:p w14:paraId="1094D172">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3833CB18">
            <w:pPr>
              <w:widowControl/>
              <w:jc w:val="left"/>
              <w:rPr>
                <w:rFonts w:ascii="新宋体" w:hAnsi="新宋体" w:eastAsia="新宋体" w:cs="新宋体"/>
                <w:color w:val="auto"/>
                <w:kern w:val="0"/>
                <w:sz w:val="22"/>
                <w:szCs w:val="22"/>
                <w:highlight w:val="none"/>
              </w:rPr>
            </w:pPr>
          </w:p>
        </w:tc>
        <w:tc>
          <w:tcPr>
            <w:tcW w:w="1980" w:type="dxa"/>
            <w:vAlign w:val="center"/>
          </w:tcPr>
          <w:p w14:paraId="360338E7">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紧急突发隐患库</w:t>
            </w:r>
          </w:p>
        </w:tc>
        <w:tc>
          <w:tcPr>
            <w:tcW w:w="5008" w:type="dxa"/>
            <w:vAlign w:val="center"/>
          </w:tcPr>
          <w:p w14:paraId="34AABFF3">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通过紧急突发风险隐患分析模型，识别自然灾害、人身安全、公共安全、交通事故、安全事故相关的风险事件，同时通过预警规则，评估事件风险等级并支持转事件到风险管理进行协同。支持按时间区间、类型筛选，搜索。</w:t>
            </w:r>
          </w:p>
        </w:tc>
      </w:tr>
      <w:tr w14:paraId="7727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580" w:type="dxa"/>
            <w:vAlign w:val="center"/>
          </w:tcPr>
          <w:p w14:paraId="33089F44">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r>
              <w:rPr>
                <w:rFonts w:ascii="新宋体" w:hAnsi="新宋体" w:eastAsia="新宋体" w:cs="新宋体"/>
                <w:color w:val="auto"/>
                <w:kern w:val="0"/>
                <w:sz w:val="22"/>
                <w:szCs w:val="22"/>
                <w:highlight w:val="none"/>
              </w:rPr>
              <w:t>8</w:t>
            </w:r>
          </w:p>
        </w:tc>
        <w:tc>
          <w:tcPr>
            <w:tcW w:w="900" w:type="dxa"/>
            <w:vMerge w:val="continue"/>
            <w:vAlign w:val="center"/>
          </w:tcPr>
          <w:p w14:paraId="6CD2BF9A">
            <w:pPr>
              <w:widowControl/>
              <w:jc w:val="left"/>
              <w:rPr>
                <w:rFonts w:ascii="新宋体" w:hAnsi="新宋体" w:eastAsia="新宋体" w:cs="新宋体"/>
                <w:color w:val="auto"/>
                <w:kern w:val="0"/>
                <w:sz w:val="22"/>
                <w:szCs w:val="22"/>
                <w:highlight w:val="none"/>
              </w:rPr>
            </w:pPr>
          </w:p>
        </w:tc>
        <w:tc>
          <w:tcPr>
            <w:tcW w:w="1160" w:type="dxa"/>
            <w:vMerge w:val="restart"/>
            <w:vAlign w:val="center"/>
          </w:tcPr>
          <w:p w14:paraId="6C0D773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预警中心</w:t>
            </w:r>
          </w:p>
        </w:tc>
        <w:tc>
          <w:tcPr>
            <w:tcW w:w="1980" w:type="dxa"/>
            <w:vAlign w:val="center"/>
          </w:tcPr>
          <w:p w14:paraId="5BA39E59">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风险事件管理</w:t>
            </w:r>
          </w:p>
        </w:tc>
        <w:tc>
          <w:tcPr>
            <w:tcW w:w="5008" w:type="dxa"/>
            <w:vAlign w:val="center"/>
          </w:tcPr>
          <w:p w14:paraId="2EFE91AD">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展示风险事件清单，包括：事件编号、事件名称、事件来源、时间、地点等，可以对关注的风险事件添加关注标签。支持查看事件详情、搜索、筛选。</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协同：对于需要办理的风险事件，支持转部门业务平台进行办理，同时接收事件处置信息，包括处置人、处置措施、处置结果等各节点信息。</w:t>
            </w:r>
          </w:p>
        </w:tc>
      </w:tr>
      <w:tr w14:paraId="561E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80" w:type="dxa"/>
            <w:vAlign w:val="center"/>
          </w:tcPr>
          <w:p w14:paraId="3EEA1FFB">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r>
              <w:rPr>
                <w:rFonts w:ascii="新宋体" w:hAnsi="新宋体" w:eastAsia="新宋体" w:cs="新宋体"/>
                <w:color w:val="auto"/>
                <w:kern w:val="0"/>
                <w:sz w:val="22"/>
                <w:szCs w:val="22"/>
                <w:highlight w:val="none"/>
              </w:rPr>
              <w:t>9</w:t>
            </w:r>
          </w:p>
        </w:tc>
        <w:tc>
          <w:tcPr>
            <w:tcW w:w="900" w:type="dxa"/>
            <w:vMerge w:val="continue"/>
            <w:vAlign w:val="center"/>
          </w:tcPr>
          <w:p w14:paraId="36D9BE5F">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5A690259">
            <w:pPr>
              <w:widowControl/>
              <w:jc w:val="left"/>
              <w:rPr>
                <w:rFonts w:ascii="新宋体" w:hAnsi="新宋体" w:eastAsia="新宋体" w:cs="新宋体"/>
                <w:color w:val="auto"/>
                <w:kern w:val="0"/>
                <w:sz w:val="22"/>
                <w:szCs w:val="22"/>
                <w:highlight w:val="none"/>
              </w:rPr>
            </w:pPr>
          </w:p>
        </w:tc>
        <w:tc>
          <w:tcPr>
            <w:tcW w:w="1980" w:type="dxa"/>
            <w:vAlign w:val="center"/>
          </w:tcPr>
          <w:p w14:paraId="098C073F">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风险人员管理</w:t>
            </w:r>
          </w:p>
        </w:tc>
        <w:tc>
          <w:tcPr>
            <w:tcW w:w="5008" w:type="dxa"/>
            <w:vAlign w:val="center"/>
          </w:tcPr>
          <w:p w14:paraId="5BFEB97A">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展示风险人员清单，包括：人员姓名、性别、手机号码、身份证号码、所属辖区、住址、涉及事件类别，可以对关注的风险人员添加关注标签。支持查看人员详情、搜索、筛选。</w:t>
            </w:r>
          </w:p>
        </w:tc>
      </w:tr>
      <w:tr w14:paraId="26B6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80" w:type="dxa"/>
            <w:vAlign w:val="center"/>
          </w:tcPr>
          <w:p w14:paraId="66C8BD21">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40</w:t>
            </w:r>
          </w:p>
        </w:tc>
        <w:tc>
          <w:tcPr>
            <w:tcW w:w="900" w:type="dxa"/>
            <w:vMerge w:val="continue"/>
            <w:vAlign w:val="center"/>
          </w:tcPr>
          <w:p w14:paraId="3E0C9BCA">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04C17771">
            <w:pPr>
              <w:widowControl/>
              <w:jc w:val="left"/>
              <w:rPr>
                <w:rFonts w:ascii="新宋体" w:hAnsi="新宋体" w:eastAsia="新宋体" w:cs="新宋体"/>
                <w:color w:val="auto"/>
                <w:kern w:val="0"/>
                <w:sz w:val="22"/>
                <w:szCs w:val="22"/>
                <w:highlight w:val="none"/>
              </w:rPr>
            </w:pPr>
          </w:p>
        </w:tc>
        <w:tc>
          <w:tcPr>
            <w:tcW w:w="1980" w:type="dxa"/>
            <w:vAlign w:val="center"/>
          </w:tcPr>
          <w:p w14:paraId="0D0FE27A">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风险组织管理</w:t>
            </w:r>
          </w:p>
        </w:tc>
        <w:tc>
          <w:tcPr>
            <w:tcW w:w="5008" w:type="dxa"/>
            <w:vAlign w:val="center"/>
          </w:tcPr>
          <w:p w14:paraId="35700D2E">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展示风险组织清单，包括：组织名称、统一社会代码、性质、地址、所属辖区等，可以对关注的风险组织添加关注标签。支持查看组织详情、搜索、统计。</w:t>
            </w:r>
          </w:p>
        </w:tc>
      </w:tr>
      <w:tr w14:paraId="2CD1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80" w:type="dxa"/>
            <w:vAlign w:val="center"/>
          </w:tcPr>
          <w:p w14:paraId="407FB49F">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41</w:t>
            </w:r>
          </w:p>
        </w:tc>
        <w:tc>
          <w:tcPr>
            <w:tcW w:w="900" w:type="dxa"/>
            <w:vMerge w:val="continue"/>
            <w:vAlign w:val="center"/>
          </w:tcPr>
          <w:p w14:paraId="7E410143">
            <w:pPr>
              <w:widowControl/>
              <w:jc w:val="left"/>
              <w:rPr>
                <w:rFonts w:ascii="新宋体" w:hAnsi="新宋体" w:eastAsia="新宋体" w:cs="新宋体"/>
                <w:color w:val="auto"/>
                <w:kern w:val="0"/>
                <w:sz w:val="22"/>
                <w:szCs w:val="22"/>
                <w:highlight w:val="none"/>
              </w:rPr>
            </w:pPr>
          </w:p>
        </w:tc>
        <w:tc>
          <w:tcPr>
            <w:tcW w:w="1160" w:type="dxa"/>
            <w:vAlign w:val="center"/>
          </w:tcPr>
          <w:p w14:paraId="1EDA6ED0">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分析研判报告</w:t>
            </w:r>
          </w:p>
        </w:tc>
        <w:tc>
          <w:tcPr>
            <w:tcW w:w="1980" w:type="dxa"/>
            <w:vAlign w:val="center"/>
          </w:tcPr>
          <w:p w14:paraId="3CD9E4A0">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分析研判报告生成</w:t>
            </w:r>
          </w:p>
        </w:tc>
        <w:tc>
          <w:tcPr>
            <w:tcW w:w="5008" w:type="dxa"/>
            <w:vAlign w:val="center"/>
          </w:tcPr>
          <w:p w14:paraId="0E249769">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通过定期形成社会治理分析研判报告，发现预警运行风险隐患，并结合基层治理线下排查核实机制形成风险预警防范闭环，提升整体社会治理预防和预警的能力。</w:t>
            </w:r>
          </w:p>
        </w:tc>
      </w:tr>
      <w:tr w14:paraId="0251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0" w:type="dxa"/>
            <w:vAlign w:val="center"/>
          </w:tcPr>
          <w:p w14:paraId="721D5EF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42</w:t>
            </w:r>
          </w:p>
        </w:tc>
        <w:tc>
          <w:tcPr>
            <w:tcW w:w="900" w:type="dxa"/>
            <w:vMerge w:val="continue"/>
            <w:vAlign w:val="center"/>
          </w:tcPr>
          <w:p w14:paraId="6BD13E9C">
            <w:pPr>
              <w:widowControl/>
              <w:jc w:val="left"/>
              <w:rPr>
                <w:rFonts w:ascii="新宋体" w:hAnsi="新宋体" w:eastAsia="新宋体" w:cs="新宋体"/>
                <w:color w:val="auto"/>
                <w:kern w:val="0"/>
                <w:sz w:val="22"/>
                <w:szCs w:val="22"/>
                <w:highlight w:val="none"/>
              </w:rPr>
            </w:pPr>
          </w:p>
        </w:tc>
        <w:tc>
          <w:tcPr>
            <w:tcW w:w="1160" w:type="dxa"/>
            <w:vMerge w:val="restart"/>
            <w:vAlign w:val="center"/>
          </w:tcPr>
          <w:p w14:paraId="555BE3E0">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数据实施</w:t>
            </w:r>
          </w:p>
        </w:tc>
        <w:tc>
          <w:tcPr>
            <w:tcW w:w="1980" w:type="dxa"/>
            <w:vAlign w:val="center"/>
          </w:tcPr>
          <w:p w14:paraId="4141F64C">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数据探查</w:t>
            </w:r>
          </w:p>
        </w:tc>
        <w:tc>
          <w:tcPr>
            <w:tcW w:w="5008" w:type="dxa"/>
            <w:vAlign w:val="center"/>
          </w:tcPr>
          <w:p w14:paraId="1A9286FF">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110非警情事件探查、基层治理事件探查、12345热线探查、矛盾调解事件探查、浙江省劳动人事争议仲裁案件信息探查、社会面信息管控数据探查</w:t>
            </w:r>
          </w:p>
        </w:tc>
      </w:tr>
      <w:tr w14:paraId="533C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80" w:type="dxa"/>
            <w:vAlign w:val="center"/>
          </w:tcPr>
          <w:p w14:paraId="106A9505">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43</w:t>
            </w:r>
          </w:p>
        </w:tc>
        <w:tc>
          <w:tcPr>
            <w:tcW w:w="900" w:type="dxa"/>
            <w:vMerge w:val="continue"/>
            <w:vAlign w:val="center"/>
          </w:tcPr>
          <w:p w14:paraId="63E3957E">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2CEAE7DA">
            <w:pPr>
              <w:widowControl/>
              <w:jc w:val="left"/>
              <w:rPr>
                <w:rFonts w:ascii="新宋体" w:hAnsi="新宋体" w:eastAsia="新宋体" w:cs="新宋体"/>
                <w:color w:val="auto"/>
                <w:kern w:val="0"/>
                <w:sz w:val="22"/>
                <w:szCs w:val="22"/>
                <w:highlight w:val="none"/>
              </w:rPr>
            </w:pPr>
          </w:p>
        </w:tc>
        <w:tc>
          <w:tcPr>
            <w:tcW w:w="1980" w:type="dxa"/>
            <w:vAlign w:val="center"/>
          </w:tcPr>
          <w:p w14:paraId="4ACD714F">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数据接入与加工</w:t>
            </w:r>
          </w:p>
        </w:tc>
        <w:tc>
          <w:tcPr>
            <w:tcW w:w="5008" w:type="dxa"/>
            <w:vAlign w:val="center"/>
          </w:tcPr>
          <w:p w14:paraId="4680B8BE">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接入数据种类确认、数据标准制定、数据标准映射、数据加工配置、数据加工治理周期配置、数据加工治理结果校验</w:t>
            </w:r>
          </w:p>
        </w:tc>
      </w:tr>
      <w:tr w14:paraId="7812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80" w:type="dxa"/>
            <w:vAlign w:val="center"/>
          </w:tcPr>
          <w:p w14:paraId="4733C739">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44</w:t>
            </w:r>
          </w:p>
        </w:tc>
        <w:tc>
          <w:tcPr>
            <w:tcW w:w="900" w:type="dxa"/>
            <w:vMerge w:val="continue"/>
            <w:vAlign w:val="center"/>
          </w:tcPr>
          <w:p w14:paraId="286EB252">
            <w:pPr>
              <w:widowControl/>
              <w:jc w:val="left"/>
              <w:rPr>
                <w:rFonts w:ascii="新宋体" w:hAnsi="新宋体" w:eastAsia="新宋体" w:cs="新宋体"/>
                <w:color w:val="auto"/>
                <w:kern w:val="0"/>
                <w:sz w:val="22"/>
                <w:szCs w:val="22"/>
                <w:highlight w:val="none"/>
              </w:rPr>
            </w:pPr>
          </w:p>
        </w:tc>
        <w:tc>
          <w:tcPr>
            <w:tcW w:w="1160" w:type="dxa"/>
            <w:vMerge w:val="restart"/>
            <w:vAlign w:val="center"/>
          </w:tcPr>
          <w:p w14:paraId="39BBBABF">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事件内容</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分析挖掘</w:t>
            </w:r>
          </w:p>
        </w:tc>
        <w:tc>
          <w:tcPr>
            <w:tcW w:w="1980" w:type="dxa"/>
            <w:vAlign w:val="center"/>
          </w:tcPr>
          <w:p w14:paraId="71F80BBF">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实体预测模型建设</w:t>
            </w:r>
          </w:p>
        </w:tc>
        <w:tc>
          <w:tcPr>
            <w:tcW w:w="5008" w:type="dxa"/>
            <w:vAlign w:val="center"/>
          </w:tcPr>
          <w:p w14:paraId="53E7A0D6">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训练样本选定、人工标注、模型训练</w:t>
            </w:r>
          </w:p>
        </w:tc>
      </w:tr>
      <w:tr w14:paraId="774B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80" w:type="dxa"/>
            <w:vAlign w:val="center"/>
          </w:tcPr>
          <w:p w14:paraId="68B1D505">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ascii="新宋体" w:hAnsi="新宋体" w:eastAsia="新宋体" w:cs="新宋体"/>
                <w:color w:val="auto"/>
                <w:kern w:val="0"/>
                <w:sz w:val="22"/>
                <w:szCs w:val="22"/>
                <w:highlight w:val="none"/>
              </w:rPr>
              <w:t>45</w:t>
            </w:r>
          </w:p>
        </w:tc>
        <w:tc>
          <w:tcPr>
            <w:tcW w:w="900" w:type="dxa"/>
            <w:vMerge w:val="continue"/>
            <w:vAlign w:val="center"/>
          </w:tcPr>
          <w:p w14:paraId="09461C87">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1C1163F">
            <w:pPr>
              <w:widowControl/>
              <w:jc w:val="left"/>
              <w:rPr>
                <w:rFonts w:ascii="新宋体" w:hAnsi="新宋体" w:eastAsia="新宋体" w:cs="新宋体"/>
                <w:color w:val="auto"/>
                <w:kern w:val="0"/>
                <w:sz w:val="22"/>
                <w:szCs w:val="22"/>
                <w:highlight w:val="none"/>
              </w:rPr>
            </w:pPr>
          </w:p>
        </w:tc>
        <w:tc>
          <w:tcPr>
            <w:tcW w:w="1980" w:type="dxa"/>
            <w:vAlign w:val="center"/>
          </w:tcPr>
          <w:p w14:paraId="477F595C">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关系预测模型建设</w:t>
            </w:r>
          </w:p>
        </w:tc>
        <w:tc>
          <w:tcPr>
            <w:tcW w:w="5008" w:type="dxa"/>
            <w:vAlign w:val="center"/>
          </w:tcPr>
          <w:p w14:paraId="7B93FC87">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训练样本选定、人工标注、模型训练</w:t>
            </w:r>
          </w:p>
        </w:tc>
      </w:tr>
      <w:tr w14:paraId="08B4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80" w:type="dxa"/>
            <w:vAlign w:val="center"/>
          </w:tcPr>
          <w:p w14:paraId="31F68453">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r>
              <w:rPr>
                <w:rFonts w:ascii="新宋体" w:hAnsi="新宋体" w:eastAsia="新宋体" w:cs="新宋体"/>
                <w:color w:val="auto"/>
                <w:kern w:val="0"/>
                <w:sz w:val="22"/>
                <w:szCs w:val="22"/>
                <w:highlight w:val="none"/>
              </w:rPr>
              <w:t>6</w:t>
            </w:r>
          </w:p>
        </w:tc>
        <w:tc>
          <w:tcPr>
            <w:tcW w:w="900" w:type="dxa"/>
            <w:vMerge w:val="continue"/>
            <w:vAlign w:val="center"/>
          </w:tcPr>
          <w:p w14:paraId="593F2869">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6FE3030">
            <w:pPr>
              <w:widowControl/>
              <w:jc w:val="left"/>
              <w:rPr>
                <w:rFonts w:ascii="新宋体" w:hAnsi="新宋体" w:eastAsia="新宋体" w:cs="新宋体"/>
                <w:color w:val="auto"/>
                <w:kern w:val="0"/>
                <w:sz w:val="22"/>
                <w:szCs w:val="22"/>
                <w:highlight w:val="none"/>
              </w:rPr>
            </w:pPr>
          </w:p>
        </w:tc>
        <w:tc>
          <w:tcPr>
            <w:tcW w:w="1980" w:type="dxa"/>
            <w:vAlign w:val="center"/>
          </w:tcPr>
          <w:p w14:paraId="408B9ECB">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事件分类预测模型建设</w:t>
            </w:r>
          </w:p>
        </w:tc>
        <w:tc>
          <w:tcPr>
            <w:tcW w:w="5008" w:type="dxa"/>
            <w:vAlign w:val="center"/>
          </w:tcPr>
          <w:p w14:paraId="4757A72A">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训练样本选定、人工标注、模型训练</w:t>
            </w:r>
          </w:p>
        </w:tc>
      </w:tr>
      <w:tr w14:paraId="467A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80" w:type="dxa"/>
            <w:vAlign w:val="center"/>
          </w:tcPr>
          <w:p w14:paraId="1C079C1A">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r>
              <w:rPr>
                <w:rFonts w:ascii="新宋体" w:hAnsi="新宋体" w:eastAsia="新宋体" w:cs="新宋体"/>
                <w:color w:val="auto"/>
                <w:kern w:val="0"/>
                <w:sz w:val="22"/>
                <w:szCs w:val="22"/>
                <w:highlight w:val="none"/>
              </w:rPr>
              <w:t>7</w:t>
            </w:r>
          </w:p>
        </w:tc>
        <w:tc>
          <w:tcPr>
            <w:tcW w:w="900" w:type="dxa"/>
            <w:vMerge w:val="continue"/>
            <w:vAlign w:val="center"/>
          </w:tcPr>
          <w:p w14:paraId="6AFC4990">
            <w:pPr>
              <w:widowControl/>
              <w:jc w:val="left"/>
              <w:rPr>
                <w:rFonts w:ascii="新宋体" w:hAnsi="新宋体" w:eastAsia="新宋体" w:cs="新宋体"/>
                <w:color w:val="auto"/>
                <w:kern w:val="0"/>
                <w:sz w:val="22"/>
                <w:szCs w:val="22"/>
                <w:highlight w:val="none"/>
              </w:rPr>
            </w:pPr>
          </w:p>
        </w:tc>
        <w:tc>
          <w:tcPr>
            <w:tcW w:w="1160" w:type="dxa"/>
            <w:vMerge w:val="continue"/>
            <w:vAlign w:val="center"/>
          </w:tcPr>
          <w:p w14:paraId="6B9F1B63">
            <w:pPr>
              <w:widowControl/>
              <w:jc w:val="left"/>
              <w:rPr>
                <w:rFonts w:ascii="新宋体" w:hAnsi="新宋体" w:eastAsia="新宋体" w:cs="新宋体"/>
                <w:color w:val="auto"/>
                <w:kern w:val="0"/>
                <w:sz w:val="22"/>
                <w:szCs w:val="22"/>
                <w:highlight w:val="none"/>
              </w:rPr>
            </w:pPr>
          </w:p>
        </w:tc>
        <w:tc>
          <w:tcPr>
            <w:tcW w:w="1980" w:type="dxa"/>
            <w:vAlign w:val="center"/>
          </w:tcPr>
          <w:p w14:paraId="51EA8B64">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模型优化中心（识别优化服务）</w:t>
            </w:r>
          </w:p>
        </w:tc>
        <w:tc>
          <w:tcPr>
            <w:tcW w:w="5008" w:type="dxa"/>
            <w:vAlign w:val="center"/>
          </w:tcPr>
          <w:p w14:paraId="2DF260DB">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实体预测优化服务、关系预测优化服务、文本分类预测优化服务</w:t>
            </w:r>
          </w:p>
        </w:tc>
      </w:tr>
    </w:tbl>
    <w:p w14:paraId="66F7B194">
      <w:pPr>
        <w:rPr>
          <w:rFonts w:ascii="新宋体" w:hAnsi="新宋体" w:eastAsia="新宋体" w:cs="新宋体"/>
          <w:color w:val="auto"/>
          <w:sz w:val="22"/>
          <w:szCs w:val="22"/>
          <w:highlight w:val="none"/>
        </w:rPr>
      </w:pPr>
    </w:p>
    <w:tbl>
      <w:tblPr>
        <w:tblStyle w:val="52"/>
        <w:tblW w:w="9498" w:type="dxa"/>
        <w:jc w:val="center"/>
        <w:tblLayout w:type="fixed"/>
        <w:tblCellMar>
          <w:top w:w="0" w:type="dxa"/>
          <w:left w:w="108" w:type="dxa"/>
          <w:bottom w:w="0" w:type="dxa"/>
          <w:right w:w="108" w:type="dxa"/>
        </w:tblCellMar>
      </w:tblPr>
      <w:tblGrid>
        <w:gridCol w:w="710"/>
        <w:gridCol w:w="1701"/>
        <w:gridCol w:w="5670"/>
        <w:gridCol w:w="709"/>
        <w:gridCol w:w="708"/>
      </w:tblGrid>
      <w:tr w14:paraId="7053615D">
        <w:tblPrEx>
          <w:tblCellMar>
            <w:top w:w="0" w:type="dxa"/>
            <w:left w:w="108" w:type="dxa"/>
            <w:bottom w:w="0" w:type="dxa"/>
            <w:right w:w="108" w:type="dxa"/>
          </w:tblCellMar>
        </w:tblPrEx>
        <w:trPr>
          <w:trHeight w:val="285" w:hRule="atLeast"/>
          <w:jc w:val="center"/>
        </w:trPr>
        <w:tc>
          <w:tcPr>
            <w:tcW w:w="94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7645D12">
            <w:pPr>
              <w:tabs>
                <w:tab w:val="left" w:pos="3197"/>
              </w:tabs>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kern w:val="0"/>
                <w:sz w:val="22"/>
                <w:szCs w:val="22"/>
                <w:highlight w:val="none"/>
              </w:rPr>
              <w:t>云资源租赁费</w:t>
            </w:r>
          </w:p>
        </w:tc>
      </w:tr>
      <w:tr w14:paraId="7AF3F62B">
        <w:tblPrEx>
          <w:tblCellMar>
            <w:top w:w="0" w:type="dxa"/>
            <w:left w:w="108" w:type="dxa"/>
            <w:bottom w:w="0" w:type="dxa"/>
            <w:right w:w="108" w:type="dxa"/>
          </w:tblCellMar>
        </w:tblPrEx>
        <w:trPr>
          <w:trHeight w:val="285"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49CB273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1AC61B1">
            <w:pPr>
              <w:widowControl/>
              <w:ind w:firstLine="4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类别</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14:paraId="1D2C8EAE">
            <w:pPr>
              <w:widowControl/>
              <w:ind w:firstLine="40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参数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16A78B6">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单位</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CA5AD3D">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数量</w:t>
            </w:r>
          </w:p>
        </w:tc>
      </w:tr>
      <w:tr w14:paraId="55167E31">
        <w:tblPrEx>
          <w:tblCellMar>
            <w:top w:w="0" w:type="dxa"/>
            <w:left w:w="108" w:type="dxa"/>
            <w:bottom w:w="0" w:type="dxa"/>
            <w:right w:w="108" w:type="dxa"/>
          </w:tblCellMar>
        </w:tblPrEx>
        <w:trPr>
          <w:trHeight w:val="285"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7C37B6F2">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0724E57">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应用服务器</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14:paraId="3C340CCA">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4核16G 200G 应用服务器 欧拉21.09 *1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3DB692B">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35E5604">
            <w:pPr>
              <w:widowControl/>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14:paraId="65C65F3A">
        <w:tblPrEx>
          <w:tblCellMar>
            <w:top w:w="0" w:type="dxa"/>
            <w:left w:w="108" w:type="dxa"/>
            <w:bottom w:w="0" w:type="dxa"/>
            <w:right w:w="108" w:type="dxa"/>
          </w:tblCellMar>
        </w:tblPrEx>
        <w:trPr>
          <w:trHeight w:val="285"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5AF3F41E">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BE90654">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数据库服务器</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14:paraId="15A49FC8">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4核8G 1T 数据库服务器 欧拉21.09 *1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7927845">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91CED3E">
            <w:pPr>
              <w:widowControl/>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14:paraId="44651F0C">
        <w:tblPrEx>
          <w:tblCellMar>
            <w:top w:w="0" w:type="dxa"/>
            <w:left w:w="108" w:type="dxa"/>
            <w:bottom w:w="0" w:type="dxa"/>
            <w:right w:w="108" w:type="dxa"/>
          </w:tblCellMar>
        </w:tblPrEx>
        <w:trPr>
          <w:trHeight w:val="285"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06403015">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7813A57">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文件服务器</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14:paraId="63A81BF5">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4核8G 500G 文件服务器 欧拉21.09 *1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345659D">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858092E">
            <w:pPr>
              <w:widowControl/>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14:paraId="139369B4">
        <w:tblPrEx>
          <w:tblCellMar>
            <w:top w:w="0" w:type="dxa"/>
            <w:left w:w="108" w:type="dxa"/>
            <w:bottom w:w="0" w:type="dxa"/>
            <w:right w:w="108" w:type="dxa"/>
          </w:tblCellMar>
        </w:tblPrEx>
        <w:trPr>
          <w:trHeight w:val="285"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7664FA6E">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AE83D75">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地图服务器</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14:paraId="5A8A6FC5">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4核8G 200G 地图服务器 欧拉21.09 *1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BEEB03C">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EEBB534">
            <w:pPr>
              <w:widowControl/>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14:paraId="3152AFB2">
        <w:tblPrEx>
          <w:tblCellMar>
            <w:top w:w="0" w:type="dxa"/>
            <w:left w:w="108" w:type="dxa"/>
            <w:bottom w:w="0" w:type="dxa"/>
            <w:right w:w="108" w:type="dxa"/>
          </w:tblCellMar>
        </w:tblPrEx>
        <w:trPr>
          <w:trHeight w:val="285"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194AE1C1">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8C367E7">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门户服务器</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14:paraId="2B75EB00">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8核16G 500G 门户服务器AnolisOS-8.4-x86_64-RHCK *1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5C52FEC">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8CC512A">
            <w:pPr>
              <w:widowControl/>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14:paraId="4F9ED983">
        <w:tblPrEx>
          <w:tblCellMar>
            <w:top w:w="0" w:type="dxa"/>
            <w:left w:w="108" w:type="dxa"/>
            <w:bottom w:w="0" w:type="dxa"/>
            <w:right w:w="108" w:type="dxa"/>
          </w:tblCellMar>
        </w:tblPrEx>
        <w:trPr>
          <w:trHeight w:val="285"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4C2B07AB">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9D21A51">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ES服务器</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14:paraId="7C485E2E">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8核16G 500G ES服务器AnolisOS-8.4-x86_64-RHCK *1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F51F2DC">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5DECE59">
            <w:pPr>
              <w:widowControl/>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14:paraId="5FEB067C">
        <w:tblPrEx>
          <w:tblCellMar>
            <w:top w:w="0" w:type="dxa"/>
            <w:left w:w="108" w:type="dxa"/>
            <w:bottom w:w="0" w:type="dxa"/>
            <w:right w:w="108" w:type="dxa"/>
          </w:tblCellMar>
        </w:tblPrEx>
        <w:trPr>
          <w:trHeight w:val="285"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1C0B64BD">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C245A95">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业务服务器</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14:paraId="19B4019D">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8核32G 900G 业务平台服务器AnolisOS-8.4-x86_64-RHCK *1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9AEA4B3">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F13780">
            <w:pPr>
              <w:widowControl/>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14:paraId="1AA46603">
        <w:tblPrEx>
          <w:tblCellMar>
            <w:top w:w="0" w:type="dxa"/>
            <w:left w:w="108" w:type="dxa"/>
            <w:bottom w:w="0" w:type="dxa"/>
            <w:right w:w="108" w:type="dxa"/>
          </w:tblCellMar>
        </w:tblPrEx>
        <w:trPr>
          <w:trHeight w:val="285"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5664ACD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F47C696">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资源平台服务器</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14:paraId="2F9A6CD1">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8核16G 500G 资源平台服务器AnolisOS-8.4-x86_64-RHCK *1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24D5F5F">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D50AA5B">
            <w:pPr>
              <w:widowControl/>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14:paraId="6F31DFFA">
        <w:tblPrEx>
          <w:tblCellMar>
            <w:top w:w="0" w:type="dxa"/>
            <w:left w:w="108" w:type="dxa"/>
            <w:bottom w:w="0" w:type="dxa"/>
            <w:right w:w="108" w:type="dxa"/>
          </w:tblCellMar>
        </w:tblPrEx>
        <w:trPr>
          <w:trHeight w:val="285"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2FEA4BCB">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A6A8842">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NLP服务器</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14:paraId="73FA19D3">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16核64G 600G NLP服务器AnolisOS-8.4-x86_64-RHCK *1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CBDA94A">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3145C9D">
            <w:pPr>
              <w:widowControl/>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14:paraId="7C2E8256">
        <w:tblPrEx>
          <w:tblCellMar>
            <w:top w:w="0" w:type="dxa"/>
            <w:left w:w="108" w:type="dxa"/>
            <w:bottom w:w="0" w:type="dxa"/>
            <w:right w:w="108" w:type="dxa"/>
          </w:tblCellMar>
        </w:tblPrEx>
        <w:trPr>
          <w:trHeight w:val="285"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676A7E37">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B7902AE">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计算平台服务器</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14:paraId="6C68D355">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16核64G 900G 数据计算平台服务器AnolisOS-8.4-x86_64-RHCK *1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C80431E">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9B8448">
            <w:pPr>
              <w:widowControl/>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14:paraId="678DFAE0">
        <w:tblPrEx>
          <w:tblCellMar>
            <w:top w:w="0" w:type="dxa"/>
            <w:left w:w="108" w:type="dxa"/>
            <w:bottom w:w="0" w:type="dxa"/>
            <w:right w:w="108" w:type="dxa"/>
          </w:tblCellMar>
        </w:tblPrEx>
        <w:trPr>
          <w:trHeight w:val="285"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1F4B28B0">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1649CC4">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数汇平台服务器</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14:paraId="2BDEC0DA">
            <w:pPr>
              <w:widowControl/>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8核32G 300G 数汇平台服务器AnolisOS-8.4-x86_64-RHCK *1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B994723">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24AB852">
            <w:pPr>
              <w:widowControl/>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14:paraId="0A73D862">
        <w:tblPrEx>
          <w:tblCellMar>
            <w:top w:w="0" w:type="dxa"/>
            <w:left w:w="108" w:type="dxa"/>
            <w:bottom w:w="0" w:type="dxa"/>
            <w:right w:w="108" w:type="dxa"/>
          </w:tblCellMar>
        </w:tblPrEx>
        <w:trPr>
          <w:trHeight w:val="285" w:hRule="atLeast"/>
          <w:jc w:val="center"/>
        </w:trPr>
        <w:tc>
          <w:tcPr>
            <w:tcW w:w="94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CDE6274">
            <w:pPr>
              <w:widowControl/>
              <w:ind w:firstLine="3520" w:firstLineChars="16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其他</w:t>
            </w:r>
          </w:p>
        </w:tc>
      </w:tr>
      <w:tr w14:paraId="60FDE2B3">
        <w:tblPrEx>
          <w:tblCellMar>
            <w:top w:w="0" w:type="dxa"/>
            <w:left w:w="108" w:type="dxa"/>
            <w:bottom w:w="0" w:type="dxa"/>
            <w:right w:w="108" w:type="dxa"/>
          </w:tblCellMar>
        </w:tblPrEx>
        <w:trPr>
          <w:trHeight w:val="285"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1940CBB8">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5D41A73">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bidi="ar"/>
              </w:rPr>
              <w:t>等保测评</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14:paraId="150787FE">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bidi="ar"/>
              </w:rPr>
              <w:t>二级等保测评</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CF8E96C">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41FBF62">
            <w:pPr>
              <w:widowControl/>
              <w:ind w:firstLine="40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14:paraId="56E65B33">
        <w:tblPrEx>
          <w:tblCellMar>
            <w:top w:w="0" w:type="dxa"/>
            <w:left w:w="108" w:type="dxa"/>
            <w:bottom w:w="0" w:type="dxa"/>
            <w:right w:w="108" w:type="dxa"/>
          </w:tblCellMar>
        </w:tblPrEx>
        <w:trPr>
          <w:trHeight w:val="285"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06EECD8A">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24FD8D0">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第三方检测</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14:paraId="1C3D6773">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第三方检测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AB66FFB">
            <w:pPr>
              <w:widowControl/>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F2DBC8">
            <w:pPr>
              <w:widowControl/>
              <w:ind w:firstLine="40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bl>
    <w:p w14:paraId="5E45A1AC">
      <w:pPr>
        <w:pStyle w:val="2"/>
        <w:spacing w:line="360" w:lineRule="auto"/>
        <w:ind w:left="425" w:hanging="425"/>
        <w:jc w:val="both"/>
        <w:rPr>
          <w:rFonts w:ascii="新宋体" w:hAnsi="新宋体" w:eastAsia="新宋体" w:cs="新宋体"/>
          <w:color w:val="auto"/>
          <w:sz w:val="22"/>
          <w:szCs w:val="22"/>
          <w:highlight w:val="none"/>
        </w:rPr>
      </w:pPr>
      <w:bookmarkStart w:id="39" w:name="_Toc31332"/>
      <w:r>
        <w:rPr>
          <w:rFonts w:hint="eastAsia" w:ascii="新宋体" w:hAnsi="新宋体" w:eastAsia="新宋体" w:cs="新宋体"/>
          <w:color w:val="auto"/>
          <w:sz w:val="22"/>
          <w:szCs w:val="22"/>
          <w:highlight w:val="none"/>
        </w:rPr>
        <w:t>五、项目建设工期</w:t>
      </w:r>
      <w:bookmarkEnd w:id="39"/>
    </w:p>
    <w:p w14:paraId="30581DC6">
      <w:pPr>
        <w:tabs>
          <w:tab w:val="left" w:pos="360"/>
        </w:tabs>
        <w:spacing w:line="360" w:lineRule="auto"/>
        <w:ind w:firstLine="550" w:firstLineChars="25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建设工期：合同生效后二个月内完成系统开发，通过初验并投入试运行；试运行三个月以后进行终验，投入正式使用。</w:t>
      </w:r>
    </w:p>
    <w:p w14:paraId="3F7B0A0C">
      <w:pPr>
        <w:pStyle w:val="2"/>
        <w:spacing w:line="360" w:lineRule="auto"/>
        <w:ind w:left="425" w:hanging="425"/>
        <w:jc w:val="both"/>
        <w:rPr>
          <w:rFonts w:ascii="新宋体" w:hAnsi="新宋体" w:eastAsia="新宋体" w:cs="新宋体"/>
          <w:color w:val="auto"/>
          <w:sz w:val="22"/>
          <w:szCs w:val="22"/>
          <w:highlight w:val="none"/>
        </w:rPr>
      </w:pPr>
      <w:bookmarkStart w:id="40" w:name="_Toc28072"/>
      <w:r>
        <w:rPr>
          <w:rFonts w:hint="eastAsia" w:ascii="新宋体" w:hAnsi="新宋体" w:eastAsia="新宋体" w:cs="新宋体"/>
          <w:color w:val="auto"/>
          <w:sz w:val="22"/>
          <w:szCs w:val="22"/>
          <w:highlight w:val="none"/>
        </w:rPr>
        <w:t>六、商务要求</w:t>
      </w:r>
      <w:bookmarkEnd w:id="40"/>
    </w:p>
    <w:p w14:paraId="6E3D5562">
      <w:pPr>
        <w:tabs>
          <w:tab w:val="left" w:pos="360"/>
        </w:tabs>
        <w:spacing w:line="360" w:lineRule="auto"/>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1、付款方式</w:t>
      </w:r>
    </w:p>
    <w:p w14:paraId="42018770">
      <w:pPr>
        <w:spacing w:line="460" w:lineRule="exact"/>
        <w:ind w:firstLine="539" w:firstLineChars="245"/>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履约保证金：卖方根据买方双方协议，在合同签订后7个工作日内卖方向买方提供合同总金额的1%履约保证金（或银行、保险公司出具保函形式）；</w:t>
      </w:r>
    </w:p>
    <w:p w14:paraId="4FB5B0D3">
      <w:pPr>
        <w:spacing w:line="460" w:lineRule="exact"/>
        <w:ind w:firstLine="539" w:firstLineChars="245"/>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第一笔款：合同签订生效之后7个工作日内，向卖方支付合同总价的46%；</w:t>
      </w:r>
    </w:p>
    <w:p w14:paraId="084D6007">
      <w:pPr>
        <w:spacing w:line="460" w:lineRule="exact"/>
        <w:ind w:firstLine="539" w:firstLineChars="245"/>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第二笔款：完成项目设计、开发、部署、测试、培训等工作，经采购人确认后，7个工作日内向卖方支付合同总价的34%；</w:t>
      </w:r>
    </w:p>
    <w:p w14:paraId="1B69AA10">
      <w:pPr>
        <w:spacing w:line="460" w:lineRule="exact"/>
        <w:ind w:firstLine="539" w:firstLineChars="245"/>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第三笔款：全面完成项目约定建设内容，并通过验收后，7个工作日内向卖方支付合同总价的20%；</w:t>
      </w:r>
    </w:p>
    <w:p w14:paraId="3FADE029">
      <w:pPr>
        <w:tabs>
          <w:tab w:val="left" w:pos="360"/>
        </w:tabs>
        <w:spacing w:line="360" w:lineRule="auto"/>
        <w:ind w:firstLine="550" w:firstLineChars="250"/>
        <w:rPr>
          <w:rFonts w:ascii="新宋体" w:hAnsi="新宋体" w:eastAsia="新宋体" w:cs="新宋体"/>
          <w:b/>
          <w:color w:val="auto"/>
          <w:sz w:val="22"/>
          <w:szCs w:val="22"/>
          <w:highlight w:val="none"/>
        </w:rPr>
      </w:pPr>
      <w:r>
        <w:rPr>
          <w:rFonts w:hint="eastAsia" w:ascii="新宋体" w:hAnsi="新宋体" w:eastAsia="新宋体" w:cs="新宋体"/>
          <w:color w:val="auto"/>
          <w:kern w:val="0"/>
          <w:sz w:val="22"/>
          <w:szCs w:val="22"/>
          <w:highlight w:val="none"/>
        </w:rPr>
        <w:t>履约保证金：待质保期满后，无质量问题，无息退还履约保证金（或保函形式）。</w:t>
      </w:r>
    </w:p>
    <w:p w14:paraId="0C7D4F27">
      <w:pPr>
        <w:numPr>
          <w:ilvl w:val="0"/>
          <w:numId w:val="6"/>
        </w:numPr>
        <w:spacing w:line="460" w:lineRule="exact"/>
        <w:rPr>
          <w:rFonts w:ascii="宋体" w:hAnsi="宋体" w:cs="宋体"/>
          <w:color w:val="auto"/>
          <w:highlight w:val="none"/>
        </w:rPr>
      </w:pPr>
      <w:r>
        <w:rPr>
          <w:rFonts w:hint="eastAsia" w:ascii="宋体" w:hAnsi="宋体" w:cs="宋体"/>
          <w:b/>
          <w:color w:val="auto"/>
          <w:sz w:val="30"/>
          <w:highlight w:val="none"/>
        </w:rPr>
        <w:br w:type="page"/>
      </w:r>
    </w:p>
    <w:p w14:paraId="3E523EDE">
      <w:pPr>
        <w:pStyle w:val="2"/>
        <w:rPr>
          <w:rFonts w:ascii="宋体" w:hAnsi="宋体" w:eastAsia="宋体" w:cs="宋体"/>
          <w:color w:val="auto"/>
          <w:highlight w:val="none"/>
        </w:rPr>
      </w:pPr>
      <w:bookmarkStart w:id="41" w:name="_Toc23954"/>
      <w:r>
        <w:rPr>
          <w:rFonts w:hint="eastAsia" w:ascii="宋体" w:hAnsi="宋体" w:eastAsia="宋体" w:cs="宋体"/>
          <w:color w:val="auto"/>
          <w:highlight w:val="none"/>
        </w:rPr>
        <w:t>第五部分   评标原则及方法</w:t>
      </w:r>
      <w:bookmarkEnd w:id="41"/>
    </w:p>
    <w:p w14:paraId="7442B139">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3D95CB19">
      <w:pPr>
        <w:spacing w:line="460" w:lineRule="exact"/>
        <w:ind w:firstLine="541" w:firstLineChars="245"/>
        <w:outlineLvl w:val="1"/>
        <w:rPr>
          <w:rFonts w:ascii="宋体" w:hAnsi="宋体" w:cs="宋体"/>
          <w:b/>
          <w:color w:val="auto"/>
          <w:sz w:val="22"/>
          <w:szCs w:val="22"/>
          <w:highlight w:val="none"/>
        </w:rPr>
      </w:pPr>
      <w:bookmarkStart w:id="42" w:name="_Toc8930"/>
      <w:r>
        <w:rPr>
          <w:rFonts w:hint="eastAsia" w:ascii="宋体" w:hAnsi="宋体" w:cs="宋体"/>
          <w:b/>
          <w:color w:val="auto"/>
          <w:sz w:val="22"/>
          <w:szCs w:val="22"/>
          <w:highlight w:val="none"/>
        </w:rPr>
        <w:t>一、总 则</w:t>
      </w:r>
      <w:bookmarkEnd w:id="42"/>
    </w:p>
    <w:p w14:paraId="369D4D6F">
      <w:pPr>
        <w:spacing w:line="460" w:lineRule="exact"/>
        <w:ind w:firstLine="539" w:firstLineChars="245"/>
        <w:rPr>
          <w:rFonts w:ascii="宋体" w:hAnsi="宋体" w:cs="宋体"/>
          <w:b/>
          <w:color w:val="auto"/>
          <w:sz w:val="22"/>
          <w:highlight w:val="none"/>
        </w:rPr>
      </w:pPr>
      <w:r>
        <w:rPr>
          <w:rFonts w:hint="eastAsia" w:ascii="宋体" w:hAnsi="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4BB05C83">
      <w:pPr>
        <w:spacing w:line="460" w:lineRule="exact"/>
        <w:ind w:firstLine="541" w:firstLineChars="245"/>
        <w:outlineLvl w:val="1"/>
        <w:rPr>
          <w:rFonts w:ascii="宋体" w:hAnsi="宋体" w:cs="宋体"/>
          <w:b/>
          <w:color w:val="auto"/>
          <w:sz w:val="22"/>
          <w:szCs w:val="22"/>
          <w:highlight w:val="none"/>
        </w:rPr>
      </w:pPr>
      <w:bookmarkStart w:id="43" w:name="_Toc32063"/>
      <w:r>
        <w:rPr>
          <w:rFonts w:hint="eastAsia" w:ascii="宋体" w:hAnsi="宋体" w:cs="宋体"/>
          <w:b/>
          <w:color w:val="auto"/>
          <w:sz w:val="22"/>
          <w:szCs w:val="22"/>
          <w:highlight w:val="none"/>
        </w:rPr>
        <w:t>二、评标组织</w:t>
      </w:r>
      <w:bookmarkEnd w:id="43"/>
    </w:p>
    <w:p w14:paraId="47D9E87A">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评标工作由招标人组建的评标委员会负责，评标全过程由有关部门指导监督。</w:t>
      </w:r>
    </w:p>
    <w:p w14:paraId="0DB876D3">
      <w:pPr>
        <w:spacing w:line="460" w:lineRule="exact"/>
        <w:ind w:firstLine="541" w:firstLineChars="245"/>
        <w:outlineLvl w:val="1"/>
        <w:rPr>
          <w:rFonts w:ascii="宋体" w:hAnsi="宋体" w:cs="宋体"/>
          <w:b/>
          <w:color w:val="auto"/>
          <w:sz w:val="22"/>
          <w:szCs w:val="22"/>
          <w:highlight w:val="none"/>
        </w:rPr>
      </w:pPr>
      <w:bookmarkStart w:id="44" w:name="_Toc29424"/>
      <w:r>
        <w:rPr>
          <w:rFonts w:hint="eastAsia" w:ascii="宋体" w:hAnsi="宋体" w:cs="宋体"/>
          <w:b/>
          <w:color w:val="auto"/>
          <w:sz w:val="22"/>
          <w:szCs w:val="22"/>
          <w:highlight w:val="none"/>
        </w:rPr>
        <w:t>三、评标程序</w:t>
      </w:r>
      <w:bookmarkEnd w:id="44"/>
    </w:p>
    <w:p w14:paraId="78B342B5">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评标委员按照招标文件中规定的评标方法和标准，对投标文件进行商务和技术评估，综合比较与评价</w:t>
      </w:r>
      <w:r>
        <w:rPr>
          <w:rFonts w:hint="eastAsia" w:ascii="宋体" w:hAnsi="宋体" w:cs="宋体"/>
          <w:color w:val="auto"/>
          <w:sz w:val="22"/>
          <w:szCs w:val="22"/>
          <w:highlight w:val="none"/>
        </w:rPr>
        <w:t>，根据综合评审结果，提交评审报告。</w:t>
      </w:r>
    </w:p>
    <w:p w14:paraId="10131397">
      <w:pPr>
        <w:spacing w:line="460" w:lineRule="exact"/>
        <w:ind w:firstLine="541" w:firstLineChars="245"/>
        <w:outlineLvl w:val="1"/>
        <w:rPr>
          <w:rFonts w:ascii="宋体" w:hAnsi="宋体" w:cs="宋体"/>
          <w:b/>
          <w:color w:val="auto"/>
          <w:sz w:val="22"/>
          <w:szCs w:val="22"/>
          <w:highlight w:val="none"/>
        </w:rPr>
      </w:pPr>
      <w:bookmarkStart w:id="45" w:name="_Toc14452"/>
      <w:r>
        <w:rPr>
          <w:rFonts w:hint="eastAsia" w:ascii="宋体" w:hAnsi="宋体" w:cs="宋体"/>
          <w:b/>
          <w:color w:val="auto"/>
          <w:sz w:val="22"/>
          <w:szCs w:val="22"/>
          <w:highlight w:val="none"/>
        </w:rPr>
        <w:t>四、评标办法</w:t>
      </w:r>
      <w:bookmarkEnd w:id="45"/>
    </w:p>
    <w:p w14:paraId="46E348D1">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cs="宋体"/>
          <w:b/>
          <w:color w:val="auto"/>
          <w:sz w:val="22"/>
          <w:szCs w:val="22"/>
          <w:highlight w:val="none"/>
        </w:rPr>
        <w:t>总分设定为100分：技术标80分（权值80%），商务标（报价）20分（权值20%）。</w:t>
      </w:r>
    </w:p>
    <w:p w14:paraId="186D6646">
      <w:pPr>
        <w:numPr>
          <w:ilvl w:val="0"/>
          <w:numId w:val="7"/>
        </w:numPr>
        <w:spacing w:line="460" w:lineRule="exact"/>
        <w:ind w:firstLine="541" w:firstLineChars="245"/>
        <w:outlineLvl w:val="1"/>
        <w:rPr>
          <w:rFonts w:ascii="宋体" w:hAnsi="宋体" w:cs="宋体"/>
          <w:b/>
          <w:color w:val="auto"/>
          <w:sz w:val="22"/>
          <w:szCs w:val="22"/>
          <w:highlight w:val="none"/>
        </w:rPr>
      </w:pPr>
      <w:bookmarkStart w:id="46" w:name="_Toc5459"/>
      <w:r>
        <w:rPr>
          <w:rFonts w:hint="eastAsia" w:ascii="宋体" w:hAnsi="宋体" w:cs="宋体"/>
          <w:b/>
          <w:color w:val="auto"/>
          <w:sz w:val="22"/>
          <w:szCs w:val="22"/>
          <w:highlight w:val="none"/>
        </w:rPr>
        <w:t>评分细则</w:t>
      </w:r>
      <w:bookmarkEnd w:id="46"/>
    </w:p>
    <w:p w14:paraId="37F957EF">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1、技术分的评定：技术标80分（权值80%）</w:t>
      </w:r>
    </w:p>
    <w:p w14:paraId="73AF30C1">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cs="宋体"/>
          <w:color w:val="auto"/>
          <w:sz w:val="22"/>
          <w:highlight w:val="none"/>
        </w:rPr>
        <w:t>各评标委员会成员对各投标人的各项评分内容评分的算术平均值为各投标人技术分得分</w:t>
      </w:r>
      <w:r>
        <w:rPr>
          <w:rFonts w:hint="eastAsia" w:ascii="宋体" w:hAnsi="宋体" w:cs="宋体"/>
          <w:color w:val="auto"/>
          <w:sz w:val="22"/>
          <w:szCs w:val="22"/>
          <w:highlight w:val="none"/>
        </w:rPr>
        <w:t>（小数点后按四舍五入保留2位）。</w:t>
      </w:r>
    </w:p>
    <w:tbl>
      <w:tblPr>
        <w:tblStyle w:val="52"/>
        <w:tblW w:w="5000" w:type="pct"/>
        <w:tblInd w:w="118" w:type="dxa"/>
        <w:tblLayout w:type="autofit"/>
        <w:tblCellMar>
          <w:top w:w="0" w:type="dxa"/>
          <w:left w:w="108" w:type="dxa"/>
          <w:bottom w:w="0" w:type="dxa"/>
          <w:right w:w="108" w:type="dxa"/>
        </w:tblCellMar>
      </w:tblPr>
      <w:tblGrid>
        <w:gridCol w:w="741"/>
        <w:gridCol w:w="1356"/>
        <w:gridCol w:w="704"/>
        <w:gridCol w:w="7053"/>
      </w:tblGrid>
      <w:tr w14:paraId="4D2DB0B1">
        <w:tblPrEx>
          <w:tblCellMar>
            <w:top w:w="0" w:type="dxa"/>
            <w:left w:w="108" w:type="dxa"/>
            <w:bottom w:w="0" w:type="dxa"/>
            <w:right w:w="108" w:type="dxa"/>
          </w:tblCellMar>
        </w:tblPrEx>
        <w:trPr>
          <w:trHeight w:val="20" w:hRule="atLeast"/>
        </w:trPr>
        <w:tc>
          <w:tcPr>
            <w:tcW w:w="376" w:type="pct"/>
            <w:tcBorders>
              <w:top w:val="single" w:color="000000" w:sz="8" w:space="0"/>
              <w:left w:val="single" w:color="000000" w:sz="8" w:space="0"/>
              <w:bottom w:val="single" w:color="000000" w:sz="8" w:space="0"/>
              <w:right w:val="single" w:color="000000" w:sz="8" w:space="0"/>
            </w:tcBorders>
            <w:vAlign w:val="center"/>
          </w:tcPr>
          <w:p w14:paraId="22EE6084">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688" w:type="pct"/>
            <w:tcBorders>
              <w:top w:val="single" w:color="000000" w:sz="8" w:space="0"/>
              <w:left w:val="nil"/>
              <w:bottom w:val="single" w:color="000000" w:sz="8" w:space="0"/>
              <w:right w:val="single" w:color="000000" w:sz="8" w:space="0"/>
            </w:tcBorders>
            <w:vAlign w:val="center"/>
          </w:tcPr>
          <w:p w14:paraId="2DF959EF">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w:t>
            </w:r>
          </w:p>
        </w:tc>
        <w:tc>
          <w:tcPr>
            <w:tcW w:w="357" w:type="pct"/>
            <w:tcBorders>
              <w:top w:val="single" w:color="000000" w:sz="8" w:space="0"/>
              <w:left w:val="nil"/>
              <w:bottom w:val="single" w:color="000000" w:sz="8" w:space="0"/>
              <w:right w:val="single" w:color="000000" w:sz="8" w:space="0"/>
            </w:tcBorders>
            <w:vAlign w:val="center"/>
          </w:tcPr>
          <w:p w14:paraId="51FBDF38">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分值</w:t>
            </w:r>
          </w:p>
        </w:tc>
        <w:tc>
          <w:tcPr>
            <w:tcW w:w="3578" w:type="pct"/>
            <w:tcBorders>
              <w:top w:val="single" w:color="000000" w:sz="8" w:space="0"/>
              <w:left w:val="nil"/>
              <w:bottom w:val="single" w:color="auto" w:sz="4" w:space="0"/>
              <w:right w:val="single" w:color="000000" w:sz="8" w:space="0"/>
            </w:tcBorders>
            <w:vAlign w:val="center"/>
          </w:tcPr>
          <w:p w14:paraId="46AF466D">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评分标准</w:t>
            </w:r>
          </w:p>
        </w:tc>
      </w:tr>
      <w:tr w14:paraId="55165A2C">
        <w:tblPrEx>
          <w:tblCellMar>
            <w:top w:w="0" w:type="dxa"/>
            <w:left w:w="108" w:type="dxa"/>
            <w:bottom w:w="0" w:type="dxa"/>
            <w:right w:w="108" w:type="dxa"/>
          </w:tblCellMar>
        </w:tblPrEx>
        <w:trPr>
          <w:trHeight w:val="20" w:hRule="atLeast"/>
        </w:trPr>
        <w:tc>
          <w:tcPr>
            <w:tcW w:w="376" w:type="pct"/>
            <w:tcBorders>
              <w:top w:val="nil"/>
              <w:left w:val="single" w:color="000000" w:sz="8" w:space="0"/>
              <w:bottom w:val="single" w:color="000000" w:sz="8" w:space="0"/>
              <w:right w:val="single" w:color="000000" w:sz="8" w:space="0"/>
            </w:tcBorders>
            <w:shd w:val="clear" w:color="auto" w:fill="auto"/>
            <w:vAlign w:val="center"/>
          </w:tcPr>
          <w:p w14:paraId="6CE0621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688" w:type="pct"/>
            <w:tcBorders>
              <w:top w:val="nil"/>
              <w:left w:val="nil"/>
              <w:bottom w:val="single" w:color="000000" w:sz="8" w:space="0"/>
              <w:right w:val="single" w:color="000000" w:sz="8" w:space="0"/>
            </w:tcBorders>
            <w:shd w:val="clear" w:color="auto" w:fill="auto"/>
            <w:vAlign w:val="center"/>
          </w:tcPr>
          <w:p w14:paraId="772127B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投标供应商情况</w:t>
            </w:r>
          </w:p>
        </w:tc>
        <w:tc>
          <w:tcPr>
            <w:tcW w:w="357" w:type="pct"/>
            <w:tcBorders>
              <w:top w:val="nil"/>
              <w:left w:val="nil"/>
              <w:bottom w:val="single" w:color="000000" w:sz="8" w:space="0"/>
              <w:right w:val="single" w:color="auto" w:sz="4" w:space="0"/>
            </w:tcBorders>
            <w:shd w:val="clear" w:color="auto" w:fill="auto"/>
            <w:vAlign w:val="center"/>
          </w:tcPr>
          <w:p w14:paraId="4DFD530C">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3578" w:type="pct"/>
            <w:tcBorders>
              <w:top w:val="single" w:color="auto" w:sz="4" w:space="0"/>
              <w:left w:val="single" w:color="auto" w:sz="4" w:space="0"/>
              <w:bottom w:val="single" w:color="auto" w:sz="4" w:space="0"/>
              <w:right w:val="single" w:color="auto" w:sz="4" w:space="0"/>
            </w:tcBorders>
            <w:shd w:val="clear" w:color="auto" w:fill="auto"/>
            <w:vAlign w:val="center"/>
          </w:tcPr>
          <w:p w14:paraId="0A67DCC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投标人具有ISO9001质量管理体系认证、ISO14001环境管理体系认证、ISO45001职业健康安全管理体系认证、ISO27001信息安全管理体系认证，每个认证得2分，最高得8分。</w:t>
            </w:r>
          </w:p>
          <w:p w14:paraId="4D8DD44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注：以上认证证书的认证主体须为投标供应商，认证主体为母公司、子公司或者分公司的均不得分，需提供复印件加盖投标人公章，未提供的不得分。</w:t>
            </w:r>
          </w:p>
        </w:tc>
      </w:tr>
      <w:tr w14:paraId="5DAE6F51">
        <w:tblPrEx>
          <w:tblCellMar>
            <w:top w:w="0" w:type="dxa"/>
            <w:left w:w="108" w:type="dxa"/>
            <w:bottom w:w="0" w:type="dxa"/>
            <w:right w:w="108" w:type="dxa"/>
          </w:tblCellMar>
        </w:tblPrEx>
        <w:trPr>
          <w:trHeight w:val="20" w:hRule="atLeast"/>
        </w:trPr>
        <w:tc>
          <w:tcPr>
            <w:tcW w:w="376" w:type="pct"/>
            <w:tcBorders>
              <w:top w:val="nil"/>
              <w:left w:val="single" w:color="000000" w:sz="8" w:space="0"/>
              <w:bottom w:val="single" w:color="000000" w:sz="8" w:space="0"/>
              <w:right w:val="single" w:color="000000" w:sz="8" w:space="0"/>
            </w:tcBorders>
            <w:vAlign w:val="center"/>
          </w:tcPr>
          <w:p w14:paraId="558E3FC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688" w:type="pct"/>
            <w:tcBorders>
              <w:top w:val="nil"/>
              <w:left w:val="nil"/>
              <w:bottom w:val="single" w:color="000000" w:sz="8" w:space="0"/>
              <w:right w:val="single" w:color="000000" w:sz="8" w:space="0"/>
            </w:tcBorders>
            <w:vAlign w:val="center"/>
          </w:tcPr>
          <w:p w14:paraId="4D31571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总体技术</w:t>
            </w:r>
          </w:p>
          <w:p w14:paraId="78E6BDC2">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方案</w:t>
            </w:r>
          </w:p>
        </w:tc>
        <w:tc>
          <w:tcPr>
            <w:tcW w:w="357" w:type="pct"/>
            <w:tcBorders>
              <w:top w:val="nil"/>
              <w:left w:val="nil"/>
              <w:bottom w:val="single" w:color="000000" w:sz="8" w:space="0"/>
              <w:right w:val="single" w:color="auto" w:sz="4" w:space="0"/>
            </w:tcBorders>
            <w:vAlign w:val="center"/>
          </w:tcPr>
          <w:p w14:paraId="470AA25A">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3578" w:type="pct"/>
            <w:tcBorders>
              <w:top w:val="single" w:color="auto" w:sz="4" w:space="0"/>
              <w:left w:val="single" w:color="auto" w:sz="4" w:space="0"/>
              <w:bottom w:val="single" w:color="auto" w:sz="4" w:space="0"/>
              <w:right w:val="single" w:color="auto" w:sz="4" w:space="0"/>
            </w:tcBorders>
            <w:vAlign w:val="center"/>
          </w:tcPr>
          <w:p w14:paraId="7E033FA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针对业务需求，投标方案总体设计、系统架构设计的可行性、合理性，详细阐述系统业务需求、总体设计、数据资源体系建设实现思路由评委比较打分。评分范围（7、6、5、4、3、2、1、0分）</w:t>
            </w:r>
          </w:p>
        </w:tc>
      </w:tr>
      <w:tr w14:paraId="131EB4D4">
        <w:tblPrEx>
          <w:tblCellMar>
            <w:top w:w="0" w:type="dxa"/>
            <w:left w:w="108" w:type="dxa"/>
            <w:bottom w:w="0" w:type="dxa"/>
            <w:right w:w="108" w:type="dxa"/>
          </w:tblCellMar>
        </w:tblPrEx>
        <w:trPr>
          <w:trHeight w:val="20" w:hRule="atLeast"/>
        </w:trPr>
        <w:tc>
          <w:tcPr>
            <w:tcW w:w="376" w:type="pct"/>
            <w:tcBorders>
              <w:top w:val="nil"/>
              <w:left w:val="single" w:color="000000" w:sz="8" w:space="0"/>
              <w:bottom w:val="single" w:color="000000" w:sz="8" w:space="0"/>
              <w:right w:val="single" w:color="000000" w:sz="8" w:space="0"/>
            </w:tcBorders>
            <w:vAlign w:val="center"/>
          </w:tcPr>
          <w:p w14:paraId="07F15B5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688" w:type="pct"/>
            <w:tcBorders>
              <w:top w:val="nil"/>
              <w:left w:val="nil"/>
              <w:bottom w:val="single" w:color="000000" w:sz="8" w:space="0"/>
              <w:right w:val="single" w:color="000000" w:sz="8" w:space="0"/>
            </w:tcBorders>
            <w:vAlign w:val="center"/>
          </w:tcPr>
          <w:p w14:paraId="514A7F3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技术性能</w:t>
            </w:r>
          </w:p>
        </w:tc>
        <w:tc>
          <w:tcPr>
            <w:tcW w:w="357" w:type="pct"/>
            <w:tcBorders>
              <w:top w:val="nil"/>
              <w:left w:val="nil"/>
              <w:bottom w:val="single" w:color="000000" w:sz="8" w:space="0"/>
              <w:right w:val="single" w:color="auto" w:sz="4" w:space="0"/>
            </w:tcBorders>
            <w:vAlign w:val="center"/>
          </w:tcPr>
          <w:p w14:paraId="31FFFE15">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3578" w:type="pct"/>
            <w:tcBorders>
              <w:top w:val="single" w:color="auto" w:sz="4" w:space="0"/>
              <w:left w:val="single" w:color="auto" w:sz="4" w:space="0"/>
              <w:bottom w:val="single" w:color="auto" w:sz="4" w:space="0"/>
              <w:right w:val="single" w:color="auto" w:sz="4" w:space="0"/>
            </w:tcBorders>
            <w:vAlign w:val="center"/>
          </w:tcPr>
          <w:p w14:paraId="44C34AF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对所投软件产品的熟悉程度、技术要求和应用功能的响应程度，提供详细的功能界面截图及功能描述，并提供相关产品设计方案。评分范围（10、8、6、4、2、0分）</w:t>
            </w:r>
          </w:p>
        </w:tc>
      </w:tr>
      <w:tr w14:paraId="0774B26F">
        <w:tblPrEx>
          <w:tblCellMar>
            <w:top w:w="0" w:type="dxa"/>
            <w:left w:w="108" w:type="dxa"/>
            <w:bottom w:w="0" w:type="dxa"/>
            <w:right w:w="108" w:type="dxa"/>
          </w:tblCellMar>
        </w:tblPrEx>
        <w:trPr>
          <w:trHeight w:val="20" w:hRule="atLeast"/>
        </w:trPr>
        <w:tc>
          <w:tcPr>
            <w:tcW w:w="376" w:type="pct"/>
            <w:tcBorders>
              <w:top w:val="single" w:color="auto" w:sz="4" w:space="0"/>
              <w:left w:val="single" w:color="auto" w:sz="4" w:space="0"/>
              <w:bottom w:val="single" w:color="auto" w:sz="4" w:space="0"/>
              <w:right w:val="single" w:color="auto" w:sz="4" w:space="0"/>
            </w:tcBorders>
            <w:vAlign w:val="center"/>
          </w:tcPr>
          <w:p w14:paraId="1C0BE21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688" w:type="pct"/>
            <w:tcBorders>
              <w:top w:val="single" w:color="auto" w:sz="4" w:space="0"/>
              <w:left w:val="single" w:color="auto" w:sz="4" w:space="0"/>
              <w:bottom w:val="single" w:color="auto" w:sz="4" w:space="0"/>
              <w:right w:val="single" w:color="auto" w:sz="4" w:space="0"/>
            </w:tcBorders>
            <w:vAlign w:val="center"/>
          </w:tcPr>
          <w:p w14:paraId="0EEE35C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项目实施方案</w:t>
            </w:r>
          </w:p>
        </w:tc>
        <w:tc>
          <w:tcPr>
            <w:tcW w:w="357" w:type="pct"/>
            <w:tcBorders>
              <w:top w:val="single" w:color="auto" w:sz="4" w:space="0"/>
              <w:left w:val="single" w:color="auto" w:sz="4" w:space="0"/>
              <w:bottom w:val="single" w:color="auto" w:sz="4" w:space="0"/>
              <w:right w:val="single" w:color="auto" w:sz="4" w:space="0"/>
            </w:tcBorders>
            <w:vAlign w:val="center"/>
          </w:tcPr>
          <w:p w14:paraId="6390B79A">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3578" w:type="pct"/>
            <w:tcBorders>
              <w:top w:val="single" w:color="auto" w:sz="4" w:space="0"/>
              <w:left w:val="single" w:color="auto" w:sz="4" w:space="0"/>
              <w:bottom w:val="single" w:color="auto" w:sz="4" w:space="0"/>
              <w:right w:val="single" w:color="auto" w:sz="4" w:space="0"/>
            </w:tcBorders>
            <w:vAlign w:val="center"/>
          </w:tcPr>
          <w:p w14:paraId="41E0794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项目实施方案的科学性、合理性、规范性、可操作性等进行综合评分：</w:t>
            </w:r>
          </w:p>
          <w:p w14:paraId="5B991C3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（1）项目实施方项目管理</w:t>
            </w:r>
          </w:p>
          <w:p w14:paraId="1BDD37A3">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总体方案科学、合理、完整，贴合项目需求的得2分；</w:t>
            </w:r>
          </w:p>
          <w:p w14:paraId="10AC3C23">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总体方案基本科学、合理，基本贴合项目需求的得1分；</w:t>
            </w:r>
          </w:p>
          <w:p w14:paraId="3A8BCEFA">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总体方案不够科学、合理，有所欠缺的得0.5分；</w:t>
            </w:r>
          </w:p>
          <w:p w14:paraId="20901282">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未提供或完全不合理的得0分。</w:t>
            </w:r>
          </w:p>
          <w:p w14:paraId="5222B5D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（2）测试与验收方案</w:t>
            </w:r>
          </w:p>
          <w:p w14:paraId="18A767F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总体方案科学、合理、完整，贴合项目需求的得2分；</w:t>
            </w:r>
          </w:p>
          <w:p w14:paraId="694CBE5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总体方案基本科学、合理，基本贴合项目需求的得1分；</w:t>
            </w:r>
          </w:p>
          <w:p w14:paraId="402F8F6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总体方案不够科学、合理，有所欠缺的得0.5分；</w:t>
            </w:r>
          </w:p>
          <w:p w14:paraId="7B9D8DA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未提供或完全不合理的得0分。</w:t>
            </w:r>
          </w:p>
          <w:p w14:paraId="664F3533">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（3）保障措施</w:t>
            </w:r>
          </w:p>
          <w:p w14:paraId="07B8CBF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总体方案科学、合理、完整，贴合项目需求的得2分；</w:t>
            </w:r>
          </w:p>
          <w:p w14:paraId="5775351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总体方案基本科学、合理，基本贴合项目需求的得1分；</w:t>
            </w:r>
          </w:p>
          <w:p w14:paraId="4682B14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总体方案不够科学、合理，有所欠缺的得0.5分；</w:t>
            </w:r>
          </w:p>
          <w:p w14:paraId="1ED90A81">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未提供或完全不合理的得0分。</w:t>
            </w:r>
          </w:p>
        </w:tc>
      </w:tr>
      <w:tr w14:paraId="309423BE">
        <w:tblPrEx>
          <w:tblCellMar>
            <w:top w:w="0" w:type="dxa"/>
            <w:left w:w="108" w:type="dxa"/>
            <w:bottom w:w="0" w:type="dxa"/>
            <w:right w:w="108" w:type="dxa"/>
          </w:tblCellMar>
        </w:tblPrEx>
        <w:trPr>
          <w:trHeight w:val="501" w:hRule="atLeast"/>
        </w:trPr>
        <w:tc>
          <w:tcPr>
            <w:tcW w:w="376" w:type="pct"/>
            <w:vMerge w:val="restart"/>
            <w:tcBorders>
              <w:top w:val="single" w:color="auto" w:sz="4" w:space="0"/>
              <w:left w:val="single" w:color="auto" w:sz="4" w:space="0"/>
              <w:bottom w:val="single" w:color="auto" w:sz="4" w:space="0"/>
              <w:right w:val="single" w:color="auto" w:sz="4" w:space="0"/>
            </w:tcBorders>
            <w:vAlign w:val="center"/>
          </w:tcPr>
          <w:p w14:paraId="22EE0F5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688" w:type="pct"/>
            <w:vMerge w:val="restart"/>
            <w:tcBorders>
              <w:top w:val="single" w:color="auto" w:sz="4" w:space="0"/>
              <w:left w:val="single" w:color="auto" w:sz="4" w:space="0"/>
              <w:bottom w:val="single" w:color="auto" w:sz="4" w:space="0"/>
              <w:right w:val="single" w:color="auto" w:sz="4" w:space="0"/>
            </w:tcBorders>
            <w:vAlign w:val="center"/>
          </w:tcPr>
          <w:p w14:paraId="21CE326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关键技术能力</w:t>
            </w:r>
          </w:p>
        </w:tc>
        <w:tc>
          <w:tcPr>
            <w:tcW w:w="357" w:type="pct"/>
            <w:vMerge w:val="restart"/>
            <w:tcBorders>
              <w:top w:val="single" w:color="auto" w:sz="4" w:space="0"/>
              <w:left w:val="single" w:color="auto" w:sz="4" w:space="0"/>
              <w:bottom w:val="single" w:color="auto" w:sz="4" w:space="0"/>
              <w:right w:val="single" w:color="auto" w:sz="4" w:space="0"/>
            </w:tcBorders>
            <w:vAlign w:val="center"/>
          </w:tcPr>
          <w:p w14:paraId="7E6F5D32">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3578" w:type="pct"/>
            <w:tcBorders>
              <w:top w:val="single" w:color="auto" w:sz="4" w:space="0"/>
              <w:left w:val="single" w:color="auto" w:sz="4" w:space="0"/>
              <w:bottom w:val="single" w:color="auto" w:sz="4" w:space="0"/>
              <w:right w:val="single" w:color="auto" w:sz="4" w:space="0"/>
            </w:tcBorders>
            <w:vAlign w:val="center"/>
          </w:tcPr>
          <w:p w14:paraId="11573C94">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1、投标人或软件开发厂商具有自助表单管理平台相关自主产权，得2分；</w:t>
            </w:r>
          </w:p>
          <w:p w14:paraId="5ABBC584">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2、投标人或软件开发厂商具有数据采集系统相关自主产权，得2分；</w:t>
            </w:r>
          </w:p>
          <w:p w14:paraId="70954B4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3、投标人或软件开发厂商具有统一事件中心软件相关自主产权，得2分；</w:t>
            </w:r>
          </w:p>
          <w:p w14:paraId="2A765D21">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4、投标人或软件开发厂商具有“慧治”应用相关自主产权，得2分。</w:t>
            </w:r>
          </w:p>
          <w:p w14:paraId="19DF8F9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为提高产品可靠性，以上4个关键技术能力所投产品必须为统一原厂商所生产，否则不得分。</w:t>
            </w:r>
          </w:p>
        </w:tc>
      </w:tr>
      <w:tr w14:paraId="760C4622">
        <w:tblPrEx>
          <w:tblCellMar>
            <w:top w:w="0" w:type="dxa"/>
            <w:left w:w="108" w:type="dxa"/>
            <w:bottom w:w="0" w:type="dxa"/>
            <w:right w:w="108" w:type="dxa"/>
          </w:tblCellMar>
        </w:tblPrEx>
        <w:trPr>
          <w:trHeight w:val="20" w:hRule="atLeast"/>
        </w:trPr>
        <w:tc>
          <w:tcPr>
            <w:tcW w:w="376" w:type="pct"/>
            <w:vMerge w:val="restart"/>
            <w:tcBorders>
              <w:top w:val="single" w:color="auto" w:sz="4" w:space="0"/>
              <w:left w:val="single" w:color="000000" w:sz="8" w:space="0"/>
              <w:bottom w:val="single" w:color="000000" w:sz="8" w:space="0"/>
              <w:right w:val="single" w:color="000000" w:sz="8" w:space="0"/>
            </w:tcBorders>
            <w:vAlign w:val="center"/>
          </w:tcPr>
          <w:p w14:paraId="3E2BF6F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688" w:type="pct"/>
            <w:vMerge w:val="restart"/>
            <w:tcBorders>
              <w:top w:val="single" w:color="auto" w:sz="4" w:space="0"/>
              <w:left w:val="nil"/>
              <w:bottom w:val="single" w:color="000000" w:sz="8" w:space="0"/>
              <w:right w:val="single" w:color="000000" w:sz="8" w:space="0"/>
            </w:tcBorders>
            <w:vAlign w:val="center"/>
          </w:tcPr>
          <w:p w14:paraId="37AED58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软件平台主要功能演示</w:t>
            </w:r>
          </w:p>
        </w:tc>
        <w:tc>
          <w:tcPr>
            <w:tcW w:w="357" w:type="pct"/>
            <w:vMerge w:val="restart"/>
            <w:tcBorders>
              <w:top w:val="single" w:color="auto" w:sz="4" w:space="0"/>
              <w:left w:val="nil"/>
              <w:bottom w:val="single" w:color="000000" w:sz="8" w:space="0"/>
              <w:right w:val="single" w:color="000000" w:sz="8" w:space="0"/>
            </w:tcBorders>
            <w:vAlign w:val="center"/>
          </w:tcPr>
          <w:p w14:paraId="494337F2">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w:t>
            </w:r>
          </w:p>
        </w:tc>
        <w:tc>
          <w:tcPr>
            <w:tcW w:w="3578" w:type="pct"/>
            <w:tcBorders>
              <w:top w:val="single" w:color="auto" w:sz="4" w:space="0"/>
              <w:left w:val="nil"/>
              <w:bottom w:val="nil"/>
              <w:right w:val="single" w:color="000000" w:sz="8" w:space="0"/>
            </w:tcBorders>
            <w:vAlign w:val="center"/>
          </w:tcPr>
          <w:p w14:paraId="32C621D2">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需提供系统平台录屏演示，由评委根据投标人演示结果与“演示要求”中的标准，进行匹配度评分，同步结合投标人所演示系统的成熟性、先进性、扩展性、易用性、可维护性进行评分。要求使用真实软件系统进行录屏演示，若只有PPT讲解系统、demo等演示，则此项不得分。请投标人提前录制好演示相关内容置于存储设备（仅限U盘），演示时间控制在20分钟以内，演示内容和要求如下：</w:t>
            </w:r>
          </w:p>
        </w:tc>
      </w:tr>
      <w:tr w14:paraId="70F4B643">
        <w:tblPrEx>
          <w:tblCellMar>
            <w:top w:w="0" w:type="dxa"/>
            <w:left w:w="108" w:type="dxa"/>
            <w:bottom w:w="0" w:type="dxa"/>
            <w:right w:w="108" w:type="dxa"/>
          </w:tblCellMar>
        </w:tblPrEx>
        <w:trPr>
          <w:trHeight w:val="20" w:hRule="atLeast"/>
        </w:trPr>
        <w:tc>
          <w:tcPr>
            <w:tcW w:w="376" w:type="pct"/>
            <w:vMerge w:val="continue"/>
            <w:tcBorders>
              <w:top w:val="nil"/>
              <w:left w:val="single" w:color="000000" w:sz="8" w:space="0"/>
              <w:bottom w:val="single" w:color="000000" w:sz="8" w:space="0"/>
              <w:right w:val="single" w:color="000000" w:sz="8" w:space="0"/>
            </w:tcBorders>
            <w:vAlign w:val="center"/>
          </w:tcPr>
          <w:p w14:paraId="4FEB862E">
            <w:pPr>
              <w:spacing w:line="460" w:lineRule="exact"/>
              <w:rPr>
                <w:rFonts w:ascii="新宋体" w:hAnsi="新宋体" w:eastAsia="新宋体" w:cs="新宋体"/>
                <w:color w:val="auto"/>
                <w:sz w:val="22"/>
                <w:szCs w:val="22"/>
                <w:highlight w:val="none"/>
              </w:rPr>
            </w:pPr>
          </w:p>
        </w:tc>
        <w:tc>
          <w:tcPr>
            <w:tcW w:w="688" w:type="pct"/>
            <w:vMerge w:val="continue"/>
            <w:tcBorders>
              <w:top w:val="nil"/>
              <w:left w:val="nil"/>
              <w:bottom w:val="single" w:color="000000" w:sz="8" w:space="0"/>
              <w:right w:val="single" w:color="000000" w:sz="8" w:space="0"/>
            </w:tcBorders>
            <w:vAlign w:val="center"/>
          </w:tcPr>
          <w:p w14:paraId="1987680F">
            <w:pPr>
              <w:spacing w:line="460" w:lineRule="exact"/>
              <w:rPr>
                <w:rFonts w:ascii="新宋体" w:hAnsi="新宋体" w:eastAsia="新宋体" w:cs="新宋体"/>
                <w:color w:val="auto"/>
                <w:sz w:val="22"/>
                <w:szCs w:val="22"/>
                <w:highlight w:val="none"/>
              </w:rPr>
            </w:pPr>
          </w:p>
        </w:tc>
        <w:tc>
          <w:tcPr>
            <w:tcW w:w="357" w:type="pct"/>
            <w:vMerge w:val="continue"/>
            <w:tcBorders>
              <w:top w:val="nil"/>
              <w:left w:val="nil"/>
              <w:bottom w:val="single" w:color="000000" w:sz="8" w:space="0"/>
              <w:right w:val="single" w:color="000000" w:sz="8" w:space="0"/>
            </w:tcBorders>
            <w:vAlign w:val="center"/>
          </w:tcPr>
          <w:p w14:paraId="7AAFB6A7">
            <w:pPr>
              <w:spacing w:line="460" w:lineRule="exact"/>
              <w:jc w:val="center"/>
              <w:rPr>
                <w:rFonts w:ascii="新宋体" w:hAnsi="新宋体" w:eastAsia="新宋体" w:cs="新宋体"/>
                <w:color w:val="auto"/>
                <w:sz w:val="22"/>
                <w:szCs w:val="22"/>
                <w:highlight w:val="none"/>
              </w:rPr>
            </w:pPr>
          </w:p>
        </w:tc>
        <w:tc>
          <w:tcPr>
            <w:tcW w:w="3578" w:type="pct"/>
            <w:tcBorders>
              <w:top w:val="nil"/>
              <w:left w:val="nil"/>
              <w:bottom w:val="nil"/>
              <w:right w:val="single" w:color="000000" w:sz="8" w:space="0"/>
            </w:tcBorders>
            <w:vAlign w:val="center"/>
          </w:tcPr>
          <w:p w14:paraId="41FF0F24">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（1）通过建设指标专题库，进行指标公式化治理，具有设置预警阀值和统计图类型功能及四条跑道驾驶舱，根据演示功能效果情况进行打分。</w:t>
            </w:r>
            <w:r>
              <w:rPr>
                <w:rFonts w:hint="eastAsia" w:ascii="新宋体" w:hAnsi="新宋体" w:eastAsia="新宋体" w:cs="新宋体"/>
                <w:color w:val="auto"/>
                <w:kern w:val="0"/>
                <w:sz w:val="22"/>
                <w:szCs w:val="22"/>
                <w:highlight w:val="none"/>
              </w:rPr>
              <w:t>评分范围（3、2、1、0分）</w:t>
            </w:r>
          </w:p>
        </w:tc>
      </w:tr>
      <w:tr w14:paraId="10BBB1E7">
        <w:tblPrEx>
          <w:tblCellMar>
            <w:top w:w="0" w:type="dxa"/>
            <w:left w:w="108" w:type="dxa"/>
            <w:bottom w:w="0" w:type="dxa"/>
            <w:right w:w="108" w:type="dxa"/>
          </w:tblCellMar>
        </w:tblPrEx>
        <w:trPr>
          <w:trHeight w:val="20" w:hRule="atLeast"/>
        </w:trPr>
        <w:tc>
          <w:tcPr>
            <w:tcW w:w="376" w:type="pct"/>
            <w:vMerge w:val="continue"/>
            <w:tcBorders>
              <w:top w:val="nil"/>
              <w:left w:val="single" w:color="000000" w:sz="8" w:space="0"/>
              <w:bottom w:val="single" w:color="000000" w:sz="8" w:space="0"/>
              <w:right w:val="single" w:color="000000" w:sz="8" w:space="0"/>
            </w:tcBorders>
            <w:vAlign w:val="center"/>
          </w:tcPr>
          <w:p w14:paraId="77010E8A">
            <w:pPr>
              <w:spacing w:line="460" w:lineRule="exact"/>
              <w:rPr>
                <w:rFonts w:ascii="新宋体" w:hAnsi="新宋体" w:eastAsia="新宋体" w:cs="新宋体"/>
                <w:color w:val="auto"/>
                <w:sz w:val="22"/>
                <w:szCs w:val="22"/>
                <w:highlight w:val="none"/>
              </w:rPr>
            </w:pPr>
          </w:p>
        </w:tc>
        <w:tc>
          <w:tcPr>
            <w:tcW w:w="688" w:type="pct"/>
            <w:vMerge w:val="continue"/>
            <w:tcBorders>
              <w:top w:val="nil"/>
              <w:left w:val="nil"/>
              <w:bottom w:val="single" w:color="000000" w:sz="8" w:space="0"/>
              <w:right w:val="single" w:color="000000" w:sz="8" w:space="0"/>
            </w:tcBorders>
            <w:vAlign w:val="center"/>
          </w:tcPr>
          <w:p w14:paraId="7E97BB0A">
            <w:pPr>
              <w:spacing w:line="460" w:lineRule="exact"/>
              <w:rPr>
                <w:rFonts w:ascii="新宋体" w:hAnsi="新宋体" w:eastAsia="新宋体" w:cs="新宋体"/>
                <w:color w:val="auto"/>
                <w:sz w:val="22"/>
                <w:szCs w:val="22"/>
                <w:highlight w:val="none"/>
              </w:rPr>
            </w:pPr>
          </w:p>
        </w:tc>
        <w:tc>
          <w:tcPr>
            <w:tcW w:w="357" w:type="pct"/>
            <w:vMerge w:val="continue"/>
            <w:tcBorders>
              <w:top w:val="nil"/>
              <w:left w:val="nil"/>
              <w:bottom w:val="single" w:color="000000" w:sz="8" w:space="0"/>
              <w:right w:val="single" w:color="000000" w:sz="8" w:space="0"/>
            </w:tcBorders>
            <w:vAlign w:val="center"/>
          </w:tcPr>
          <w:p w14:paraId="1DEF7907">
            <w:pPr>
              <w:spacing w:line="460" w:lineRule="exact"/>
              <w:jc w:val="center"/>
              <w:rPr>
                <w:rFonts w:ascii="新宋体" w:hAnsi="新宋体" w:eastAsia="新宋体" w:cs="新宋体"/>
                <w:color w:val="auto"/>
                <w:sz w:val="22"/>
                <w:szCs w:val="22"/>
                <w:highlight w:val="none"/>
              </w:rPr>
            </w:pPr>
          </w:p>
        </w:tc>
        <w:tc>
          <w:tcPr>
            <w:tcW w:w="3578" w:type="pct"/>
            <w:tcBorders>
              <w:top w:val="nil"/>
              <w:left w:val="nil"/>
              <w:bottom w:val="nil"/>
              <w:right w:val="single" w:color="000000" w:sz="8" w:space="0"/>
            </w:tcBorders>
            <w:vAlign w:val="center"/>
          </w:tcPr>
          <w:p w14:paraId="0702C7E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实现大屏端的三维地图快速渲染，可按区-街镇-社区-网格四大层级切换展示，并可基于鹿城区人/房/企数据，在地图上按建筑物图层定位楼栋信息，再到户室信息，再至户主信息，以及各要素资源点信息和监控摄像头点位信息，根据演示功能效果情况进行打分。</w:t>
            </w:r>
            <w:r>
              <w:rPr>
                <w:rFonts w:hint="eastAsia" w:ascii="新宋体" w:hAnsi="新宋体" w:eastAsia="新宋体" w:cs="新宋体"/>
                <w:color w:val="auto"/>
                <w:kern w:val="0"/>
                <w:sz w:val="22"/>
                <w:szCs w:val="22"/>
                <w:highlight w:val="none"/>
              </w:rPr>
              <w:t>评分范围（3、2、1、0分）</w:t>
            </w:r>
          </w:p>
        </w:tc>
      </w:tr>
      <w:tr w14:paraId="3E30ECA8">
        <w:tblPrEx>
          <w:tblCellMar>
            <w:top w:w="0" w:type="dxa"/>
            <w:left w:w="108" w:type="dxa"/>
            <w:bottom w:w="0" w:type="dxa"/>
            <w:right w:w="108" w:type="dxa"/>
          </w:tblCellMar>
        </w:tblPrEx>
        <w:trPr>
          <w:trHeight w:val="20" w:hRule="atLeast"/>
        </w:trPr>
        <w:tc>
          <w:tcPr>
            <w:tcW w:w="376" w:type="pct"/>
            <w:vMerge w:val="continue"/>
            <w:tcBorders>
              <w:top w:val="nil"/>
              <w:left w:val="single" w:color="000000" w:sz="8" w:space="0"/>
              <w:bottom w:val="single" w:color="000000" w:sz="8" w:space="0"/>
              <w:right w:val="single" w:color="000000" w:sz="8" w:space="0"/>
            </w:tcBorders>
            <w:vAlign w:val="center"/>
          </w:tcPr>
          <w:p w14:paraId="0BA49B40">
            <w:pPr>
              <w:spacing w:line="460" w:lineRule="exact"/>
              <w:rPr>
                <w:rFonts w:ascii="新宋体" w:hAnsi="新宋体" w:eastAsia="新宋体" w:cs="新宋体"/>
                <w:color w:val="auto"/>
                <w:sz w:val="22"/>
                <w:szCs w:val="22"/>
                <w:highlight w:val="none"/>
              </w:rPr>
            </w:pPr>
          </w:p>
        </w:tc>
        <w:tc>
          <w:tcPr>
            <w:tcW w:w="688" w:type="pct"/>
            <w:vMerge w:val="continue"/>
            <w:tcBorders>
              <w:top w:val="nil"/>
              <w:left w:val="nil"/>
              <w:bottom w:val="single" w:color="000000" w:sz="8" w:space="0"/>
              <w:right w:val="single" w:color="000000" w:sz="8" w:space="0"/>
            </w:tcBorders>
            <w:vAlign w:val="center"/>
          </w:tcPr>
          <w:p w14:paraId="44E49FCC">
            <w:pPr>
              <w:spacing w:line="460" w:lineRule="exact"/>
              <w:rPr>
                <w:rFonts w:ascii="新宋体" w:hAnsi="新宋体" w:eastAsia="新宋体" w:cs="新宋体"/>
                <w:color w:val="auto"/>
                <w:sz w:val="22"/>
                <w:szCs w:val="22"/>
                <w:highlight w:val="none"/>
              </w:rPr>
            </w:pPr>
          </w:p>
        </w:tc>
        <w:tc>
          <w:tcPr>
            <w:tcW w:w="357" w:type="pct"/>
            <w:vMerge w:val="continue"/>
            <w:tcBorders>
              <w:top w:val="nil"/>
              <w:left w:val="nil"/>
              <w:bottom w:val="single" w:color="000000" w:sz="8" w:space="0"/>
              <w:right w:val="single" w:color="000000" w:sz="8" w:space="0"/>
            </w:tcBorders>
            <w:vAlign w:val="center"/>
          </w:tcPr>
          <w:p w14:paraId="11D31BC5">
            <w:pPr>
              <w:spacing w:line="460" w:lineRule="exact"/>
              <w:jc w:val="center"/>
              <w:rPr>
                <w:rFonts w:ascii="新宋体" w:hAnsi="新宋体" w:eastAsia="新宋体" w:cs="新宋体"/>
                <w:color w:val="auto"/>
                <w:sz w:val="22"/>
                <w:szCs w:val="22"/>
                <w:highlight w:val="none"/>
              </w:rPr>
            </w:pPr>
          </w:p>
        </w:tc>
        <w:tc>
          <w:tcPr>
            <w:tcW w:w="3578" w:type="pct"/>
            <w:tcBorders>
              <w:top w:val="nil"/>
              <w:left w:val="nil"/>
              <w:bottom w:val="nil"/>
              <w:right w:val="single" w:color="000000" w:sz="8" w:space="0"/>
            </w:tcBorders>
            <w:vAlign w:val="center"/>
          </w:tcPr>
          <w:p w14:paraId="6ADD130E">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（3）按区级和街道两类视图统计包括人口、土地面积以及各街道平安指数排行、村社网格等展示，根据演示功能效果情况进行打分。</w:t>
            </w:r>
            <w:r>
              <w:rPr>
                <w:rFonts w:hint="eastAsia" w:ascii="新宋体" w:hAnsi="新宋体" w:eastAsia="新宋体" w:cs="新宋体"/>
                <w:color w:val="auto"/>
                <w:kern w:val="0"/>
                <w:sz w:val="22"/>
                <w:szCs w:val="22"/>
                <w:highlight w:val="none"/>
              </w:rPr>
              <w:t>评分范围（3、2、1、0分）</w:t>
            </w:r>
          </w:p>
        </w:tc>
      </w:tr>
      <w:tr w14:paraId="5733EF65">
        <w:tblPrEx>
          <w:tblCellMar>
            <w:top w:w="0" w:type="dxa"/>
            <w:left w:w="108" w:type="dxa"/>
            <w:bottom w:w="0" w:type="dxa"/>
            <w:right w:w="108" w:type="dxa"/>
          </w:tblCellMar>
        </w:tblPrEx>
        <w:trPr>
          <w:trHeight w:val="20" w:hRule="atLeast"/>
        </w:trPr>
        <w:tc>
          <w:tcPr>
            <w:tcW w:w="376" w:type="pct"/>
            <w:vMerge w:val="continue"/>
            <w:tcBorders>
              <w:top w:val="nil"/>
              <w:left w:val="single" w:color="000000" w:sz="8" w:space="0"/>
              <w:bottom w:val="single" w:color="000000" w:sz="8" w:space="0"/>
              <w:right w:val="single" w:color="000000" w:sz="8" w:space="0"/>
            </w:tcBorders>
            <w:vAlign w:val="center"/>
          </w:tcPr>
          <w:p w14:paraId="75F3CA83">
            <w:pPr>
              <w:spacing w:line="460" w:lineRule="exact"/>
              <w:rPr>
                <w:rFonts w:ascii="新宋体" w:hAnsi="新宋体" w:eastAsia="新宋体" w:cs="新宋体"/>
                <w:color w:val="auto"/>
                <w:sz w:val="22"/>
                <w:szCs w:val="22"/>
                <w:highlight w:val="none"/>
              </w:rPr>
            </w:pPr>
          </w:p>
        </w:tc>
        <w:tc>
          <w:tcPr>
            <w:tcW w:w="688" w:type="pct"/>
            <w:vMerge w:val="continue"/>
            <w:tcBorders>
              <w:top w:val="nil"/>
              <w:left w:val="nil"/>
              <w:bottom w:val="single" w:color="000000" w:sz="8" w:space="0"/>
              <w:right w:val="single" w:color="000000" w:sz="8" w:space="0"/>
            </w:tcBorders>
            <w:vAlign w:val="center"/>
          </w:tcPr>
          <w:p w14:paraId="24ACE97F">
            <w:pPr>
              <w:spacing w:line="460" w:lineRule="exact"/>
              <w:rPr>
                <w:rFonts w:ascii="新宋体" w:hAnsi="新宋体" w:eastAsia="新宋体" w:cs="新宋体"/>
                <w:color w:val="auto"/>
                <w:sz w:val="22"/>
                <w:szCs w:val="22"/>
                <w:highlight w:val="none"/>
              </w:rPr>
            </w:pPr>
          </w:p>
        </w:tc>
        <w:tc>
          <w:tcPr>
            <w:tcW w:w="357" w:type="pct"/>
            <w:vMerge w:val="continue"/>
            <w:tcBorders>
              <w:top w:val="nil"/>
              <w:left w:val="nil"/>
              <w:bottom w:val="single" w:color="000000" w:sz="8" w:space="0"/>
              <w:right w:val="single" w:color="000000" w:sz="8" w:space="0"/>
            </w:tcBorders>
            <w:vAlign w:val="center"/>
          </w:tcPr>
          <w:p w14:paraId="188661D0">
            <w:pPr>
              <w:spacing w:line="460" w:lineRule="exact"/>
              <w:jc w:val="center"/>
              <w:rPr>
                <w:rFonts w:ascii="新宋体" w:hAnsi="新宋体" w:eastAsia="新宋体" w:cs="新宋体"/>
                <w:color w:val="auto"/>
                <w:sz w:val="22"/>
                <w:szCs w:val="22"/>
                <w:highlight w:val="none"/>
              </w:rPr>
            </w:pPr>
          </w:p>
        </w:tc>
        <w:tc>
          <w:tcPr>
            <w:tcW w:w="3578" w:type="pct"/>
            <w:tcBorders>
              <w:top w:val="nil"/>
              <w:left w:val="nil"/>
              <w:bottom w:val="nil"/>
              <w:right w:val="single" w:color="000000" w:sz="8" w:space="0"/>
            </w:tcBorders>
            <w:vAlign w:val="center"/>
          </w:tcPr>
          <w:p w14:paraId="766336A3">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（4）基于视觉中心的算法模型和物联感知设备，产生社会治理相关的AI告警事件（如非机动车违停、垃圾堆放、烟感等），并可对告警事件进行相应的处置流程，根据演示功能效果情况进行打分。</w:t>
            </w:r>
            <w:r>
              <w:rPr>
                <w:rFonts w:hint="eastAsia" w:ascii="新宋体" w:hAnsi="新宋体" w:eastAsia="新宋体" w:cs="新宋体"/>
                <w:color w:val="auto"/>
                <w:kern w:val="0"/>
                <w:sz w:val="22"/>
                <w:szCs w:val="22"/>
                <w:highlight w:val="none"/>
              </w:rPr>
              <w:t>评分范围（3、2、1、0分）</w:t>
            </w:r>
          </w:p>
        </w:tc>
      </w:tr>
      <w:tr w14:paraId="7FE2336B">
        <w:tblPrEx>
          <w:tblCellMar>
            <w:top w:w="0" w:type="dxa"/>
            <w:left w:w="108" w:type="dxa"/>
            <w:bottom w:w="0" w:type="dxa"/>
            <w:right w:w="108" w:type="dxa"/>
          </w:tblCellMar>
        </w:tblPrEx>
        <w:trPr>
          <w:trHeight w:val="20" w:hRule="atLeast"/>
        </w:trPr>
        <w:tc>
          <w:tcPr>
            <w:tcW w:w="376" w:type="pct"/>
            <w:vMerge w:val="continue"/>
            <w:tcBorders>
              <w:top w:val="nil"/>
              <w:left w:val="single" w:color="000000" w:sz="8" w:space="0"/>
              <w:bottom w:val="single" w:color="000000" w:sz="8" w:space="0"/>
              <w:right w:val="single" w:color="000000" w:sz="8" w:space="0"/>
            </w:tcBorders>
            <w:vAlign w:val="center"/>
          </w:tcPr>
          <w:p w14:paraId="7E73C9FB">
            <w:pPr>
              <w:spacing w:line="460" w:lineRule="exact"/>
              <w:rPr>
                <w:rFonts w:ascii="新宋体" w:hAnsi="新宋体" w:eastAsia="新宋体" w:cs="新宋体"/>
                <w:color w:val="auto"/>
                <w:sz w:val="22"/>
                <w:szCs w:val="22"/>
                <w:highlight w:val="none"/>
              </w:rPr>
            </w:pPr>
          </w:p>
        </w:tc>
        <w:tc>
          <w:tcPr>
            <w:tcW w:w="688" w:type="pct"/>
            <w:vMerge w:val="continue"/>
            <w:tcBorders>
              <w:top w:val="nil"/>
              <w:left w:val="nil"/>
              <w:bottom w:val="single" w:color="000000" w:sz="8" w:space="0"/>
              <w:right w:val="single" w:color="000000" w:sz="8" w:space="0"/>
            </w:tcBorders>
            <w:vAlign w:val="center"/>
          </w:tcPr>
          <w:p w14:paraId="3B18AFA6">
            <w:pPr>
              <w:spacing w:line="460" w:lineRule="exact"/>
              <w:rPr>
                <w:rFonts w:ascii="新宋体" w:hAnsi="新宋体" w:eastAsia="新宋体" w:cs="新宋体"/>
                <w:color w:val="auto"/>
                <w:sz w:val="22"/>
                <w:szCs w:val="22"/>
                <w:highlight w:val="none"/>
              </w:rPr>
            </w:pPr>
          </w:p>
        </w:tc>
        <w:tc>
          <w:tcPr>
            <w:tcW w:w="357" w:type="pct"/>
            <w:vMerge w:val="continue"/>
            <w:tcBorders>
              <w:top w:val="nil"/>
              <w:left w:val="nil"/>
              <w:bottom w:val="single" w:color="000000" w:sz="8" w:space="0"/>
              <w:right w:val="single" w:color="000000" w:sz="8" w:space="0"/>
            </w:tcBorders>
            <w:vAlign w:val="center"/>
          </w:tcPr>
          <w:p w14:paraId="3D174ABF">
            <w:pPr>
              <w:spacing w:line="460" w:lineRule="exact"/>
              <w:jc w:val="center"/>
              <w:rPr>
                <w:rFonts w:ascii="新宋体" w:hAnsi="新宋体" w:eastAsia="新宋体" w:cs="新宋体"/>
                <w:color w:val="auto"/>
                <w:sz w:val="22"/>
                <w:szCs w:val="22"/>
                <w:highlight w:val="none"/>
              </w:rPr>
            </w:pPr>
          </w:p>
        </w:tc>
        <w:tc>
          <w:tcPr>
            <w:tcW w:w="3578" w:type="pct"/>
            <w:tcBorders>
              <w:top w:val="nil"/>
              <w:left w:val="nil"/>
              <w:bottom w:val="nil"/>
              <w:right w:val="single" w:color="000000" w:sz="8" w:space="0"/>
            </w:tcBorders>
            <w:vAlign w:val="center"/>
          </w:tcPr>
          <w:p w14:paraId="419B5A4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通过汇聚基层智治、12345、数字城管、智慧消防、110非警情、矛盾调解等事件至事件专题库，并支持列表分类查询事件，展示其事件基本信息、处置过程和发生地的点位铺设。根据演示功能效果情况进行打分。</w:t>
            </w:r>
            <w:r>
              <w:rPr>
                <w:rFonts w:hint="eastAsia" w:ascii="新宋体" w:hAnsi="新宋体" w:eastAsia="新宋体" w:cs="新宋体"/>
                <w:color w:val="auto"/>
                <w:kern w:val="0"/>
                <w:sz w:val="22"/>
                <w:szCs w:val="22"/>
                <w:highlight w:val="none"/>
              </w:rPr>
              <w:t>评分范围（3、2、1、0分）</w:t>
            </w:r>
          </w:p>
        </w:tc>
      </w:tr>
      <w:tr w14:paraId="2B324EE7">
        <w:tblPrEx>
          <w:tblCellMar>
            <w:top w:w="0" w:type="dxa"/>
            <w:left w:w="108" w:type="dxa"/>
            <w:bottom w:w="0" w:type="dxa"/>
            <w:right w:w="108" w:type="dxa"/>
          </w:tblCellMar>
        </w:tblPrEx>
        <w:trPr>
          <w:trHeight w:val="20" w:hRule="atLeast"/>
        </w:trPr>
        <w:tc>
          <w:tcPr>
            <w:tcW w:w="376" w:type="pct"/>
            <w:vMerge w:val="continue"/>
            <w:tcBorders>
              <w:top w:val="nil"/>
              <w:left w:val="single" w:color="000000" w:sz="8" w:space="0"/>
              <w:bottom w:val="single" w:color="000000" w:sz="8" w:space="0"/>
              <w:right w:val="single" w:color="000000" w:sz="8" w:space="0"/>
            </w:tcBorders>
            <w:vAlign w:val="center"/>
          </w:tcPr>
          <w:p w14:paraId="23DB9ED6">
            <w:pPr>
              <w:spacing w:line="460" w:lineRule="exact"/>
              <w:rPr>
                <w:rFonts w:ascii="新宋体" w:hAnsi="新宋体" w:eastAsia="新宋体" w:cs="新宋体"/>
                <w:color w:val="auto"/>
                <w:sz w:val="22"/>
                <w:szCs w:val="22"/>
                <w:highlight w:val="none"/>
              </w:rPr>
            </w:pPr>
          </w:p>
        </w:tc>
        <w:tc>
          <w:tcPr>
            <w:tcW w:w="688" w:type="pct"/>
            <w:vMerge w:val="continue"/>
            <w:tcBorders>
              <w:top w:val="nil"/>
              <w:left w:val="nil"/>
              <w:bottom w:val="single" w:color="000000" w:sz="8" w:space="0"/>
              <w:right w:val="single" w:color="000000" w:sz="8" w:space="0"/>
            </w:tcBorders>
            <w:vAlign w:val="center"/>
          </w:tcPr>
          <w:p w14:paraId="3B694119">
            <w:pPr>
              <w:spacing w:line="460" w:lineRule="exact"/>
              <w:rPr>
                <w:rFonts w:ascii="新宋体" w:hAnsi="新宋体" w:eastAsia="新宋体" w:cs="新宋体"/>
                <w:color w:val="auto"/>
                <w:sz w:val="22"/>
                <w:szCs w:val="22"/>
                <w:highlight w:val="none"/>
              </w:rPr>
            </w:pPr>
          </w:p>
        </w:tc>
        <w:tc>
          <w:tcPr>
            <w:tcW w:w="357" w:type="pct"/>
            <w:vMerge w:val="continue"/>
            <w:tcBorders>
              <w:top w:val="nil"/>
              <w:left w:val="nil"/>
              <w:bottom w:val="single" w:color="000000" w:sz="8" w:space="0"/>
              <w:right w:val="single" w:color="000000" w:sz="8" w:space="0"/>
            </w:tcBorders>
            <w:vAlign w:val="center"/>
          </w:tcPr>
          <w:p w14:paraId="4FF32F40">
            <w:pPr>
              <w:spacing w:line="460" w:lineRule="exact"/>
              <w:jc w:val="center"/>
              <w:rPr>
                <w:rFonts w:ascii="新宋体" w:hAnsi="新宋体" w:eastAsia="新宋体" w:cs="新宋体"/>
                <w:color w:val="auto"/>
                <w:sz w:val="22"/>
                <w:szCs w:val="22"/>
                <w:highlight w:val="none"/>
              </w:rPr>
            </w:pPr>
          </w:p>
        </w:tc>
        <w:tc>
          <w:tcPr>
            <w:tcW w:w="3578" w:type="pct"/>
            <w:tcBorders>
              <w:top w:val="nil"/>
              <w:left w:val="nil"/>
              <w:bottom w:val="nil"/>
              <w:right w:val="single" w:color="000000" w:sz="8" w:space="0"/>
            </w:tcBorders>
            <w:vAlign w:val="center"/>
          </w:tcPr>
          <w:p w14:paraId="3F689BE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（6）演示平台内的事件按来源、类型和状态统计分布，并可按部门和街镇维度图表化其处置情况，包括事件数、处理数和办结率，根据演示功能效果情况进行打分。</w:t>
            </w:r>
            <w:r>
              <w:rPr>
                <w:rFonts w:hint="eastAsia" w:ascii="新宋体" w:hAnsi="新宋体" w:eastAsia="新宋体" w:cs="新宋体"/>
                <w:color w:val="auto"/>
                <w:kern w:val="0"/>
                <w:sz w:val="22"/>
                <w:szCs w:val="22"/>
                <w:highlight w:val="none"/>
              </w:rPr>
              <w:t>评分范围（3、2、1、0分）</w:t>
            </w:r>
          </w:p>
        </w:tc>
      </w:tr>
      <w:tr w14:paraId="20144F9C">
        <w:tblPrEx>
          <w:tblCellMar>
            <w:top w:w="0" w:type="dxa"/>
            <w:left w:w="108" w:type="dxa"/>
            <w:bottom w:w="0" w:type="dxa"/>
            <w:right w:w="108" w:type="dxa"/>
          </w:tblCellMar>
        </w:tblPrEx>
        <w:trPr>
          <w:trHeight w:val="20" w:hRule="atLeast"/>
        </w:trPr>
        <w:tc>
          <w:tcPr>
            <w:tcW w:w="376" w:type="pct"/>
            <w:vMerge w:val="continue"/>
            <w:tcBorders>
              <w:top w:val="nil"/>
              <w:left w:val="single" w:color="000000" w:sz="8" w:space="0"/>
              <w:bottom w:val="single" w:color="000000" w:sz="8" w:space="0"/>
              <w:right w:val="single" w:color="000000" w:sz="8" w:space="0"/>
            </w:tcBorders>
            <w:vAlign w:val="center"/>
          </w:tcPr>
          <w:p w14:paraId="4409C72A">
            <w:pPr>
              <w:spacing w:line="460" w:lineRule="exact"/>
              <w:rPr>
                <w:rFonts w:ascii="新宋体" w:hAnsi="新宋体" w:eastAsia="新宋体" w:cs="新宋体"/>
                <w:color w:val="auto"/>
                <w:sz w:val="22"/>
                <w:szCs w:val="22"/>
                <w:highlight w:val="none"/>
              </w:rPr>
            </w:pPr>
          </w:p>
        </w:tc>
        <w:tc>
          <w:tcPr>
            <w:tcW w:w="688" w:type="pct"/>
            <w:vMerge w:val="continue"/>
            <w:tcBorders>
              <w:top w:val="nil"/>
              <w:left w:val="nil"/>
              <w:bottom w:val="single" w:color="000000" w:sz="8" w:space="0"/>
              <w:right w:val="single" w:color="000000" w:sz="8" w:space="0"/>
            </w:tcBorders>
            <w:vAlign w:val="center"/>
          </w:tcPr>
          <w:p w14:paraId="462A6887">
            <w:pPr>
              <w:spacing w:line="460" w:lineRule="exact"/>
              <w:rPr>
                <w:rFonts w:ascii="新宋体" w:hAnsi="新宋体" w:eastAsia="新宋体" w:cs="新宋体"/>
                <w:color w:val="auto"/>
                <w:sz w:val="22"/>
                <w:szCs w:val="22"/>
                <w:highlight w:val="none"/>
              </w:rPr>
            </w:pPr>
          </w:p>
        </w:tc>
        <w:tc>
          <w:tcPr>
            <w:tcW w:w="357" w:type="pct"/>
            <w:vMerge w:val="continue"/>
            <w:tcBorders>
              <w:top w:val="nil"/>
              <w:left w:val="nil"/>
              <w:bottom w:val="single" w:color="000000" w:sz="8" w:space="0"/>
              <w:right w:val="single" w:color="000000" w:sz="8" w:space="0"/>
            </w:tcBorders>
            <w:vAlign w:val="center"/>
          </w:tcPr>
          <w:p w14:paraId="63F8EDD0">
            <w:pPr>
              <w:spacing w:line="460" w:lineRule="exact"/>
              <w:jc w:val="center"/>
              <w:rPr>
                <w:rFonts w:ascii="新宋体" w:hAnsi="新宋体" w:eastAsia="新宋体" w:cs="新宋体"/>
                <w:color w:val="auto"/>
                <w:sz w:val="22"/>
                <w:szCs w:val="22"/>
                <w:highlight w:val="none"/>
              </w:rPr>
            </w:pPr>
          </w:p>
        </w:tc>
        <w:tc>
          <w:tcPr>
            <w:tcW w:w="3578" w:type="pct"/>
            <w:tcBorders>
              <w:top w:val="nil"/>
              <w:left w:val="nil"/>
              <w:bottom w:val="single" w:color="000000" w:sz="8" w:space="0"/>
              <w:right w:val="single" w:color="000000" w:sz="8" w:space="0"/>
            </w:tcBorders>
            <w:vAlign w:val="center"/>
          </w:tcPr>
          <w:p w14:paraId="5FC83E8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构建营商环境算法模型，通过省营商环境中心无感监测在本平台自定义调整各项子指标配重，实现鹿城区营商环境总指数结果与全省排名比较情况，并实现先进与落后指标的晾晒，以及落后领域的浙政钉消息预警。根据演示功能效果情况进行打分。</w:t>
            </w:r>
            <w:r>
              <w:rPr>
                <w:rFonts w:hint="eastAsia" w:ascii="新宋体" w:hAnsi="新宋体" w:eastAsia="新宋体" w:cs="新宋体"/>
                <w:color w:val="auto"/>
                <w:kern w:val="0"/>
                <w:sz w:val="22"/>
                <w:szCs w:val="22"/>
                <w:highlight w:val="none"/>
              </w:rPr>
              <w:t>评分范围（3、2、1、0分）</w:t>
            </w:r>
          </w:p>
        </w:tc>
      </w:tr>
      <w:tr w14:paraId="405AB291">
        <w:tblPrEx>
          <w:tblCellMar>
            <w:top w:w="0" w:type="dxa"/>
            <w:left w:w="108" w:type="dxa"/>
            <w:bottom w:w="0" w:type="dxa"/>
            <w:right w:w="108" w:type="dxa"/>
          </w:tblCellMar>
        </w:tblPrEx>
        <w:trPr>
          <w:trHeight w:val="20" w:hRule="atLeast"/>
        </w:trPr>
        <w:tc>
          <w:tcPr>
            <w:tcW w:w="376" w:type="pct"/>
            <w:tcBorders>
              <w:top w:val="nil"/>
              <w:left w:val="single" w:color="000000" w:sz="8" w:space="0"/>
              <w:bottom w:val="single" w:color="000000" w:sz="8" w:space="0"/>
              <w:right w:val="single" w:color="000000" w:sz="8" w:space="0"/>
            </w:tcBorders>
            <w:vAlign w:val="center"/>
          </w:tcPr>
          <w:p w14:paraId="463EE9D7">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688" w:type="pct"/>
            <w:tcBorders>
              <w:top w:val="nil"/>
              <w:left w:val="nil"/>
              <w:bottom w:val="single" w:color="000000" w:sz="8" w:space="0"/>
              <w:right w:val="single" w:color="000000" w:sz="8" w:space="0"/>
            </w:tcBorders>
            <w:vAlign w:val="center"/>
          </w:tcPr>
          <w:p w14:paraId="769DB29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培训计划</w:t>
            </w:r>
          </w:p>
        </w:tc>
        <w:tc>
          <w:tcPr>
            <w:tcW w:w="357" w:type="pct"/>
            <w:tcBorders>
              <w:top w:val="nil"/>
              <w:left w:val="nil"/>
              <w:bottom w:val="single" w:color="000000" w:sz="8" w:space="0"/>
              <w:right w:val="single" w:color="000000" w:sz="8" w:space="0"/>
            </w:tcBorders>
            <w:vAlign w:val="center"/>
          </w:tcPr>
          <w:p w14:paraId="1AD97B17">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3578" w:type="pct"/>
            <w:tcBorders>
              <w:top w:val="nil"/>
              <w:left w:val="nil"/>
              <w:bottom w:val="single" w:color="auto" w:sz="4" w:space="0"/>
              <w:right w:val="single" w:color="000000" w:sz="8" w:space="0"/>
            </w:tcBorders>
            <w:vAlign w:val="center"/>
          </w:tcPr>
          <w:p w14:paraId="2453DD3A">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针对总门户使用和维护工作开展用户培训， 培训计划详实、具体，具有实际意义得3分；培训计划基本合理，内容基本具体得2分；对项目了解有所欠缺，合理性不够的1分，未提供不得分。</w:t>
            </w:r>
          </w:p>
        </w:tc>
      </w:tr>
      <w:tr w14:paraId="0F8D6FFC">
        <w:tblPrEx>
          <w:tblCellMar>
            <w:top w:w="0" w:type="dxa"/>
            <w:left w:w="108" w:type="dxa"/>
            <w:bottom w:w="0" w:type="dxa"/>
            <w:right w:w="108" w:type="dxa"/>
          </w:tblCellMar>
        </w:tblPrEx>
        <w:trPr>
          <w:trHeight w:val="20" w:hRule="atLeast"/>
        </w:trPr>
        <w:tc>
          <w:tcPr>
            <w:tcW w:w="376" w:type="pct"/>
            <w:tcBorders>
              <w:top w:val="nil"/>
              <w:left w:val="single" w:color="000000" w:sz="8" w:space="0"/>
              <w:bottom w:val="single" w:color="000000" w:sz="8" w:space="0"/>
              <w:right w:val="single" w:color="000000" w:sz="8" w:space="0"/>
            </w:tcBorders>
            <w:shd w:val="clear" w:color="auto" w:fill="auto"/>
            <w:vAlign w:val="center"/>
          </w:tcPr>
          <w:p w14:paraId="72813CD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688" w:type="pct"/>
            <w:tcBorders>
              <w:top w:val="nil"/>
              <w:left w:val="nil"/>
              <w:bottom w:val="single" w:color="000000" w:sz="8" w:space="0"/>
              <w:right w:val="single" w:color="000000" w:sz="8" w:space="0"/>
            </w:tcBorders>
            <w:shd w:val="clear" w:color="auto" w:fill="auto"/>
            <w:vAlign w:val="center"/>
          </w:tcPr>
          <w:p w14:paraId="6308E27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服务团队评价</w:t>
            </w:r>
          </w:p>
        </w:tc>
        <w:tc>
          <w:tcPr>
            <w:tcW w:w="357" w:type="pct"/>
            <w:tcBorders>
              <w:top w:val="nil"/>
              <w:left w:val="nil"/>
              <w:bottom w:val="single" w:color="000000" w:sz="8" w:space="0"/>
              <w:right w:val="single" w:color="auto" w:sz="4" w:space="0"/>
            </w:tcBorders>
            <w:shd w:val="clear" w:color="auto" w:fill="auto"/>
            <w:vAlign w:val="center"/>
          </w:tcPr>
          <w:p w14:paraId="66E4FCEB">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3578" w:type="pct"/>
            <w:tcBorders>
              <w:top w:val="single" w:color="auto" w:sz="4" w:space="0"/>
              <w:left w:val="single" w:color="auto" w:sz="4" w:space="0"/>
              <w:bottom w:val="single" w:color="auto" w:sz="4" w:space="0"/>
              <w:right w:val="single" w:color="auto" w:sz="4" w:space="0"/>
            </w:tcBorders>
            <w:shd w:val="clear" w:color="auto" w:fill="auto"/>
            <w:vAlign w:val="center"/>
          </w:tcPr>
          <w:p w14:paraId="79C7AFB7">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1、项目负责人（一名）持有信息系统项目管理师证书、信创系统架构师证书、数据库系统工程师证书，全部具备得3分。</w:t>
            </w:r>
          </w:p>
          <w:p w14:paraId="7CACF25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2、技术负责人（一名）持有软件设计师证书、高级软件开发工程师证书、高级数据库管理工程师证书，全部具备得3分</w:t>
            </w:r>
          </w:p>
          <w:p w14:paraId="11DA055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3、安全负责人（一名）持有注册信息安全工程师证书、注册信息系统审计师证书、信创集成项目管理师，全部具备得3分</w:t>
            </w:r>
          </w:p>
          <w:p w14:paraId="740BBFAE">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4、技术团队中有成员持有高级程序员证书、IT服务项目经理证书、系统架构设计师证书，每提供1类得1分，本项最高得3分。</w:t>
            </w:r>
          </w:p>
          <w:p w14:paraId="01C577B1">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以上提供相关人员证书扫描件加盖电子公章和在投标单位近3个月（含）以上连续缴纳的社保证明扫描件加盖电子公章，两者提供不全均不得分。）</w:t>
            </w:r>
          </w:p>
        </w:tc>
      </w:tr>
      <w:tr w14:paraId="664B896A">
        <w:tblPrEx>
          <w:tblCellMar>
            <w:top w:w="0" w:type="dxa"/>
            <w:left w:w="108" w:type="dxa"/>
            <w:bottom w:w="0" w:type="dxa"/>
            <w:right w:w="108" w:type="dxa"/>
          </w:tblCellMar>
        </w:tblPrEx>
        <w:trPr>
          <w:trHeight w:val="20" w:hRule="atLeast"/>
        </w:trPr>
        <w:tc>
          <w:tcPr>
            <w:tcW w:w="376" w:type="pct"/>
            <w:tcBorders>
              <w:top w:val="nil"/>
              <w:left w:val="single" w:color="000000" w:sz="8" w:space="0"/>
              <w:bottom w:val="single" w:color="000000" w:sz="8" w:space="0"/>
              <w:right w:val="single" w:color="000000" w:sz="8" w:space="0"/>
            </w:tcBorders>
            <w:shd w:val="clear" w:color="auto" w:fill="auto"/>
            <w:vAlign w:val="center"/>
          </w:tcPr>
          <w:p w14:paraId="400DD03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688" w:type="pct"/>
            <w:tcBorders>
              <w:top w:val="nil"/>
              <w:left w:val="nil"/>
              <w:bottom w:val="single" w:color="000000" w:sz="8" w:space="0"/>
              <w:right w:val="single" w:color="000000" w:sz="8" w:space="0"/>
            </w:tcBorders>
            <w:shd w:val="clear" w:color="auto" w:fill="auto"/>
            <w:vAlign w:val="center"/>
          </w:tcPr>
          <w:p w14:paraId="6CFAC61E">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供应商业绩</w:t>
            </w:r>
          </w:p>
        </w:tc>
        <w:tc>
          <w:tcPr>
            <w:tcW w:w="357" w:type="pct"/>
            <w:tcBorders>
              <w:top w:val="nil"/>
              <w:left w:val="nil"/>
              <w:bottom w:val="single" w:color="000000" w:sz="8" w:space="0"/>
              <w:right w:val="single" w:color="auto" w:sz="4" w:space="0"/>
            </w:tcBorders>
            <w:shd w:val="clear" w:color="auto" w:fill="auto"/>
            <w:vAlign w:val="center"/>
          </w:tcPr>
          <w:p w14:paraId="6B8F66CE">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3578" w:type="pct"/>
            <w:tcBorders>
              <w:top w:val="single" w:color="auto" w:sz="4" w:space="0"/>
              <w:left w:val="single" w:color="auto" w:sz="4" w:space="0"/>
              <w:bottom w:val="single" w:color="auto" w:sz="4" w:space="0"/>
              <w:right w:val="single" w:color="auto" w:sz="4" w:space="0"/>
            </w:tcBorders>
            <w:shd w:val="clear" w:color="auto" w:fill="auto"/>
            <w:vAlign w:val="center"/>
          </w:tcPr>
          <w:p w14:paraId="7767DB0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投标供应商2021年1月1日以来签订合同的相关社会治理类业绩由评委进行打分，每提供一个业绩得1分，本项最高得2分。（提供合同扫描件加盖投标供应商公章；只计算投标供应商业绩，其子公司、母公司业绩不计分）</w:t>
            </w:r>
          </w:p>
        </w:tc>
      </w:tr>
      <w:tr w14:paraId="512FF40D">
        <w:tblPrEx>
          <w:tblCellMar>
            <w:top w:w="0" w:type="dxa"/>
            <w:left w:w="108" w:type="dxa"/>
            <w:bottom w:w="0" w:type="dxa"/>
            <w:right w:w="108" w:type="dxa"/>
          </w:tblCellMar>
        </w:tblPrEx>
        <w:trPr>
          <w:trHeight w:val="20" w:hRule="atLeast"/>
        </w:trPr>
        <w:tc>
          <w:tcPr>
            <w:tcW w:w="376" w:type="pct"/>
            <w:tcBorders>
              <w:top w:val="nil"/>
              <w:left w:val="single" w:color="000000" w:sz="8" w:space="0"/>
              <w:bottom w:val="single" w:color="000000" w:sz="8" w:space="0"/>
              <w:right w:val="single" w:color="000000" w:sz="8" w:space="0"/>
            </w:tcBorders>
            <w:shd w:val="clear" w:color="auto" w:fill="auto"/>
            <w:vAlign w:val="center"/>
          </w:tcPr>
          <w:p w14:paraId="7AE3A5E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688" w:type="pct"/>
            <w:tcBorders>
              <w:top w:val="single" w:color="000000" w:sz="8" w:space="0"/>
              <w:left w:val="nil"/>
              <w:bottom w:val="single" w:color="auto" w:sz="4" w:space="0"/>
              <w:right w:val="single" w:color="000000" w:sz="8" w:space="0"/>
            </w:tcBorders>
            <w:shd w:val="clear" w:color="auto" w:fill="auto"/>
            <w:vAlign w:val="center"/>
          </w:tcPr>
          <w:p w14:paraId="0A60C5E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售后服务</w:t>
            </w:r>
          </w:p>
        </w:tc>
        <w:tc>
          <w:tcPr>
            <w:tcW w:w="357" w:type="pct"/>
            <w:tcBorders>
              <w:top w:val="single" w:color="000000" w:sz="8" w:space="0"/>
              <w:left w:val="nil"/>
              <w:bottom w:val="single" w:color="auto" w:sz="4" w:space="0"/>
              <w:right w:val="single" w:color="000000" w:sz="8" w:space="0"/>
            </w:tcBorders>
            <w:shd w:val="clear" w:color="auto" w:fill="auto"/>
            <w:vAlign w:val="center"/>
          </w:tcPr>
          <w:p w14:paraId="3D94AB8C">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3578" w:type="pct"/>
            <w:tcBorders>
              <w:top w:val="single" w:color="auto" w:sz="4" w:space="0"/>
              <w:left w:val="nil"/>
              <w:bottom w:val="single" w:color="auto" w:sz="4" w:space="0"/>
              <w:right w:val="single" w:color="000000" w:sz="8" w:space="0"/>
            </w:tcBorders>
            <w:shd w:val="clear" w:color="auto" w:fill="auto"/>
            <w:vAlign w:val="center"/>
          </w:tcPr>
          <w:p w14:paraId="0B85ED0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1.根据售后服务承诺的范围和完善程度（包括售后服务标准、服务人员配备、故障响应修复时间方式及保障措施）进行评分，</w:t>
            </w:r>
            <w:r>
              <w:rPr>
                <w:rFonts w:hint="eastAsia" w:ascii="新宋体" w:hAnsi="新宋体" w:eastAsia="新宋体" w:cs="新宋体"/>
                <w:color w:val="auto"/>
                <w:kern w:val="0"/>
                <w:sz w:val="22"/>
                <w:szCs w:val="22"/>
                <w:highlight w:val="none"/>
              </w:rPr>
              <w:t>评分范围</w:t>
            </w:r>
            <w:r>
              <w:rPr>
                <w:rFonts w:hint="eastAsia" w:ascii="新宋体" w:hAnsi="新宋体" w:eastAsia="新宋体" w:cs="新宋体"/>
                <w:color w:val="auto"/>
                <w:sz w:val="22"/>
                <w:szCs w:val="22"/>
                <w:highlight w:val="none"/>
              </w:rPr>
              <w:t>：1、0.5、0分；</w:t>
            </w:r>
          </w:p>
          <w:p w14:paraId="2BE3173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2.根据供应商售后服务网点的配置情况，进行评分，</w:t>
            </w:r>
            <w:r>
              <w:rPr>
                <w:rFonts w:hint="eastAsia" w:ascii="新宋体" w:hAnsi="新宋体" w:eastAsia="新宋体" w:cs="新宋体"/>
                <w:color w:val="auto"/>
                <w:kern w:val="0"/>
                <w:sz w:val="22"/>
                <w:szCs w:val="22"/>
                <w:highlight w:val="none"/>
              </w:rPr>
              <w:t>评分范围</w:t>
            </w:r>
            <w:r>
              <w:rPr>
                <w:rFonts w:hint="eastAsia" w:ascii="新宋体" w:hAnsi="新宋体" w:eastAsia="新宋体" w:cs="新宋体"/>
                <w:color w:val="auto"/>
                <w:sz w:val="22"/>
                <w:szCs w:val="22"/>
                <w:highlight w:val="none"/>
              </w:rPr>
              <w:t>：1、0.5、0分；</w:t>
            </w:r>
          </w:p>
          <w:p w14:paraId="41FE3B2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3、供应商具备GB/T27922售后服务认证证书，得1分。</w:t>
            </w:r>
          </w:p>
        </w:tc>
      </w:tr>
    </w:tbl>
    <w:p w14:paraId="37B268FF">
      <w:pPr>
        <w:pStyle w:val="24"/>
        <w:spacing w:line="46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2、报价评分（20分）（权值20%）：</w:t>
      </w:r>
    </w:p>
    <w:p w14:paraId="5272C30C">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满足招标文件要求且投标报价最低的投标报价为评标基准价，其余投标人投标报价与该基准价对比，计算出商务报价评分值（保留小数2位）：</w:t>
      </w:r>
    </w:p>
    <w:p w14:paraId="17B176F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1）有效投标人的投标报价等于评标基准价时其报价分为满分20分；</w:t>
      </w:r>
    </w:p>
    <w:p w14:paraId="0E2E49F0">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2）其他投标人的价格分按以下公式计算：</w:t>
      </w:r>
    </w:p>
    <w:p w14:paraId="20D72BFE">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投标报价得分=（评分基准价/投标人投标报价）× 价格权值 ×100（保留小数2位）</w:t>
      </w:r>
    </w:p>
    <w:p w14:paraId="79BF84C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3、有效投标人的综合得分为技术分和商务（报价）分的总和。</w:t>
      </w:r>
    </w:p>
    <w:p w14:paraId="435536B5">
      <w:pPr>
        <w:spacing w:line="460" w:lineRule="exact"/>
        <w:ind w:firstLine="539" w:firstLineChars="245"/>
        <w:rPr>
          <w:rFonts w:ascii="新宋体" w:hAnsi="新宋体" w:eastAsia="新宋体"/>
          <w:color w:val="auto"/>
          <w:sz w:val="22"/>
          <w:szCs w:val="22"/>
          <w:highlight w:val="none"/>
          <w:lang w:val="zh-CN"/>
        </w:rPr>
      </w:pPr>
      <w:r>
        <w:rPr>
          <w:rFonts w:hint="eastAsia" w:ascii="新宋体" w:hAnsi="新宋体" w:eastAsia="新宋体"/>
          <w:color w:val="auto"/>
          <w:sz w:val="22"/>
          <w:szCs w:val="22"/>
          <w:highlight w:val="none"/>
          <w:lang w:val="zh-CN"/>
        </w:rPr>
        <w:t>根据</w:t>
      </w:r>
      <w:r>
        <w:rPr>
          <w:rFonts w:hint="eastAsia" w:ascii="新宋体" w:hAnsi="新宋体" w:eastAsia="新宋体" w:cs="新宋体"/>
          <w:color w:val="auto"/>
          <w:kern w:val="0"/>
          <w:sz w:val="22"/>
          <w:szCs w:val="22"/>
          <w:highlight w:val="none"/>
        </w:rPr>
        <w:t>《政府采购促进中小企业发展管理办法》（财库〔2020〕46号）、《财政部关于进一步加大政府采购支持中小企业力度的通知》（财库〔2022〕19号）、《浙江省财政厅关于进一步加大政府采购支持中小企业力度助力扎实稳住经济的通知》（浙财采监〔2022〕8号）等有关规定</w:t>
      </w:r>
      <w:r>
        <w:rPr>
          <w:rFonts w:hint="eastAsia" w:ascii="新宋体" w:hAnsi="新宋体" w:eastAsia="新宋体"/>
          <w:color w:val="auto"/>
          <w:sz w:val="22"/>
          <w:szCs w:val="22"/>
          <w:highlight w:val="none"/>
          <w:lang w:val="zh-CN"/>
        </w:rPr>
        <w:t>，对</w:t>
      </w:r>
      <w:r>
        <w:rPr>
          <w:rFonts w:hint="eastAsia" w:ascii="新宋体" w:hAnsi="新宋体" w:eastAsia="新宋体"/>
          <w:color w:val="auto"/>
          <w:sz w:val="22"/>
          <w:szCs w:val="22"/>
          <w:highlight w:val="none"/>
        </w:rPr>
        <w:t>货物类项目</w:t>
      </w:r>
      <w:r>
        <w:rPr>
          <w:rFonts w:hint="eastAsia" w:ascii="新宋体" w:hAnsi="新宋体" w:eastAsia="新宋体"/>
          <w:color w:val="auto"/>
          <w:sz w:val="22"/>
          <w:szCs w:val="22"/>
          <w:highlight w:val="none"/>
          <w:lang w:val="zh-CN"/>
        </w:rPr>
        <w:t>投标产品为小型或微型企业生产的，</w:t>
      </w:r>
      <w:r>
        <w:rPr>
          <w:rFonts w:hint="eastAsia" w:ascii="新宋体" w:hAnsi="新宋体" w:eastAsia="新宋体"/>
          <w:color w:val="auto"/>
          <w:sz w:val="22"/>
          <w:szCs w:val="22"/>
          <w:highlight w:val="none"/>
        </w:rPr>
        <w:t>工程、服务类项目由小型或微型企业承建、承接的</w:t>
      </w:r>
      <w:r>
        <w:rPr>
          <w:rFonts w:hint="eastAsia" w:ascii="新宋体" w:hAnsi="新宋体" w:eastAsia="新宋体"/>
          <w:color w:val="auto"/>
          <w:sz w:val="22"/>
          <w:szCs w:val="22"/>
          <w:highlight w:val="none"/>
          <w:lang w:val="zh-CN"/>
        </w:rPr>
        <w:t>，</w:t>
      </w:r>
      <w:r>
        <w:rPr>
          <w:rFonts w:hint="eastAsia" w:ascii="新宋体" w:hAnsi="新宋体" w:eastAsia="新宋体"/>
          <w:color w:val="auto"/>
          <w:sz w:val="22"/>
          <w:szCs w:val="22"/>
          <w:highlight w:val="none"/>
          <w:u w:val="single"/>
          <w:lang w:val="zh-CN"/>
        </w:rPr>
        <w:t>价格给予</w:t>
      </w:r>
      <w:r>
        <w:rPr>
          <w:rFonts w:hint="eastAsia" w:ascii="新宋体" w:hAnsi="新宋体" w:eastAsia="新宋体"/>
          <w:color w:val="auto"/>
          <w:sz w:val="22"/>
          <w:szCs w:val="22"/>
          <w:highlight w:val="none"/>
          <w:u w:val="single"/>
        </w:rPr>
        <w:t>10</w:t>
      </w:r>
      <w:r>
        <w:rPr>
          <w:rFonts w:hint="eastAsia" w:ascii="新宋体" w:hAnsi="新宋体" w:eastAsia="新宋体"/>
          <w:color w:val="auto"/>
          <w:sz w:val="22"/>
          <w:szCs w:val="22"/>
          <w:highlight w:val="none"/>
          <w:u w:val="single"/>
          <w:lang w:val="zh-CN"/>
        </w:rPr>
        <w:t>%的扣除</w:t>
      </w:r>
      <w:r>
        <w:rPr>
          <w:rFonts w:hint="eastAsia" w:ascii="新宋体" w:hAnsi="新宋体" w:eastAsia="新宋体"/>
          <w:color w:val="auto"/>
          <w:sz w:val="22"/>
          <w:szCs w:val="22"/>
          <w:highlight w:val="none"/>
          <w:lang w:val="zh-CN"/>
        </w:rPr>
        <w:t>，用扣除后的价格参与价格评分。</w:t>
      </w:r>
    </w:p>
    <w:p w14:paraId="37209FFC">
      <w:pPr>
        <w:spacing w:line="460" w:lineRule="exact"/>
        <w:ind w:firstLine="539" w:firstLineChars="245"/>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监狱企业视同小微企业，其产品参加本项目投标的，享受小微企业同等的价格扣除。</w:t>
      </w:r>
    </w:p>
    <w:p w14:paraId="79A66567">
      <w:pPr>
        <w:spacing w:line="460" w:lineRule="exact"/>
        <w:rPr>
          <w:rFonts w:ascii="宋体" w:hAnsi="宋体" w:cs="宋体"/>
          <w:b/>
          <w:bCs/>
          <w:color w:val="auto"/>
          <w:sz w:val="22"/>
          <w:szCs w:val="22"/>
          <w:highlight w:val="none"/>
          <w:u w:val="single"/>
        </w:rPr>
      </w:pPr>
      <w:r>
        <w:rPr>
          <w:rFonts w:hint="eastAsia" w:ascii="宋体" w:hAnsi="宋体" w:cs="宋体"/>
          <w:color w:val="auto"/>
          <w:sz w:val="22"/>
          <w:szCs w:val="22"/>
          <w:highlight w:val="none"/>
        </w:rPr>
        <w:t xml:space="preserve">   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F8D1EF8">
      <w:pPr>
        <w:spacing w:line="460" w:lineRule="exact"/>
        <w:ind w:firstLine="541" w:firstLineChars="245"/>
        <w:outlineLvl w:val="1"/>
        <w:rPr>
          <w:rFonts w:ascii="宋体" w:hAnsi="宋体" w:cs="宋体"/>
          <w:b/>
          <w:bCs/>
          <w:color w:val="auto"/>
          <w:sz w:val="22"/>
          <w:szCs w:val="22"/>
          <w:highlight w:val="none"/>
        </w:rPr>
      </w:pPr>
      <w:bookmarkStart w:id="47" w:name="_Toc21216"/>
      <w:r>
        <w:rPr>
          <w:rFonts w:hint="eastAsia" w:ascii="宋体" w:hAnsi="宋体" w:cs="宋体"/>
          <w:b/>
          <w:bCs/>
          <w:color w:val="auto"/>
          <w:sz w:val="22"/>
          <w:szCs w:val="22"/>
          <w:highlight w:val="none"/>
        </w:rPr>
        <w:t>六、定标办法</w:t>
      </w:r>
      <w:bookmarkEnd w:id="47"/>
    </w:p>
    <w:p w14:paraId="63EA085A">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确定中标候选人</w:t>
      </w:r>
    </w:p>
    <w:p w14:paraId="244F5311">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1.1由评标委员会确定中标候选人。</w:t>
      </w:r>
    </w:p>
    <w:p w14:paraId="12327C02">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35CC217C">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2、确定中标人</w:t>
      </w:r>
    </w:p>
    <w:p w14:paraId="732D53D5">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2CF5FEA7">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依法视情况直接确定排名第二的候选人为中标人或重新组织招标。</w:t>
      </w:r>
    </w:p>
    <w:p w14:paraId="74371246">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中标人确定后，招标人将在指定媒体公告中标结果，招标人向中标人发出中标通知书。</w:t>
      </w:r>
    </w:p>
    <w:p w14:paraId="7FC4FDD0">
      <w:pPr>
        <w:spacing w:line="460" w:lineRule="exact"/>
        <w:ind w:firstLine="541" w:firstLineChars="245"/>
        <w:outlineLvl w:val="1"/>
        <w:rPr>
          <w:rFonts w:ascii="宋体" w:hAnsi="宋体" w:cs="宋体"/>
          <w:b/>
          <w:color w:val="auto"/>
          <w:sz w:val="22"/>
          <w:szCs w:val="22"/>
          <w:highlight w:val="none"/>
        </w:rPr>
      </w:pPr>
      <w:bookmarkStart w:id="48" w:name="_Toc18537"/>
      <w:r>
        <w:rPr>
          <w:rFonts w:hint="eastAsia" w:ascii="宋体" w:hAnsi="宋体" w:cs="宋体"/>
          <w:b/>
          <w:color w:val="auto"/>
          <w:sz w:val="22"/>
          <w:szCs w:val="22"/>
          <w:highlight w:val="none"/>
        </w:rPr>
        <w:t>七、投标人义务</w:t>
      </w:r>
      <w:bookmarkEnd w:id="48"/>
    </w:p>
    <w:p w14:paraId="434A1477">
      <w:pPr>
        <w:spacing w:line="460" w:lineRule="exact"/>
        <w:ind w:firstLine="539" w:firstLineChars="245"/>
        <w:rPr>
          <w:rFonts w:ascii="宋体" w:hAnsi="宋体" w:cs="宋体"/>
          <w:color w:val="auto"/>
          <w:highlight w:val="none"/>
        </w:rPr>
      </w:pPr>
      <w:r>
        <w:rPr>
          <w:rFonts w:hint="eastAsia" w:ascii="宋体" w:hAnsi="宋体" w:cs="宋体"/>
          <w:color w:val="auto"/>
          <w:sz w:val="22"/>
          <w:szCs w:val="22"/>
          <w:highlight w:val="none"/>
        </w:rPr>
        <w:t>投标人应随时接受评标委员会的询标，解答包括有关的商务、技术问题等。评标结束，所有评标资料存招标机构备查。</w:t>
      </w:r>
    </w:p>
    <w:p w14:paraId="0BFFF578">
      <w:pPr>
        <w:spacing w:line="460" w:lineRule="exact"/>
        <w:jc w:val="center"/>
        <w:rPr>
          <w:rFonts w:ascii="宋体" w:hAnsi="宋体" w:cs="宋体"/>
          <w:b/>
          <w:color w:val="auto"/>
          <w:sz w:val="32"/>
          <w:szCs w:val="32"/>
          <w:highlight w:val="none"/>
        </w:rPr>
      </w:pPr>
    </w:p>
    <w:p w14:paraId="7578C712">
      <w:pPr>
        <w:pStyle w:val="24"/>
        <w:ind w:left="440" w:hanging="440"/>
        <w:rPr>
          <w:rFonts w:ascii="宋体" w:hAnsi="宋体" w:cs="宋体"/>
          <w:color w:val="auto"/>
          <w:kern w:val="0"/>
          <w:sz w:val="22"/>
          <w:szCs w:val="22"/>
          <w:highlight w:val="none"/>
        </w:rPr>
      </w:pPr>
    </w:p>
    <w:sectPr>
      <w:headerReference r:id="rId11" w:type="default"/>
      <w:footerReference r:id="rId12"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25D3">
    <w:pPr>
      <w:pStyle w:val="38"/>
      <w:ind w:right="360" w:firstLine="4500" w:firstLineChars="25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4E16B64">
                          <w:pPr>
                            <w:pStyle w:val="38"/>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J3MP3vQAQAApQMAAA4AAAAAAAAAAQAgAAAAIgEA&#10;AGRycy9lMm9Eb2MueG1sUEsFBgAAAAAGAAYAWQEAAGQFAAAAAA==&#10;">
              <v:fill on="f" focussize="0,0"/>
              <v:stroke on="f" weight="1.25pt"/>
              <v:imagedata o:title=""/>
              <o:lock v:ext="edit" aspectratio="f"/>
              <v:textbox inset="0mm,0mm,0mm,0mm" style="mso-fit-shape-to-text:t;">
                <w:txbxContent>
                  <w:p w14:paraId="24E16B64">
                    <w:pPr>
                      <w:pStyle w:val="3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6F83E">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58EBC">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1D4DF">
    <w:pPr>
      <w:pStyle w:val="38"/>
      <w:framePr w:wrap="around" w:vAnchor="text" w:hAnchor="margin" w:xAlign="center" w:y="1"/>
      <w:rPr>
        <w:rStyle w:val="56"/>
      </w:rPr>
    </w:pPr>
    <w:r>
      <w:fldChar w:fldCharType="begin"/>
    </w:r>
    <w:r>
      <w:rPr>
        <w:rStyle w:val="56"/>
      </w:rPr>
      <w:instrText xml:space="preserve">PAGE  </w:instrText>
    </w:r>
    <w:r>
      <w:fldChar w:fldCharType="separate"/>
    </w:r>
    <w:r>
      <w:rPr>
        <w:rStyle w:val="56"/>
      </w:rPr>
      <w:t>28</w:t>
    </w:r>
    <w:r>
      <w:fldChar w:fldCharType="end"/>
    </w:r>
  </w:p>
  <w:p w14:paraId="75E05D3A">
    <w:pPr>
      <w:pStyle w:val="38"/>
      <w:ind w:right="360" w:firstLine="4500" w:firstLineChars="25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70D23">
    <w:pPr>
      <w:pStyle w:val="38"/>
      <w:framePr w:wrap="around" w:vAnchor="text" w:hAnchor="margin" w:xAlign="center" w:y="1"/>
      <w:rPr>
        <w:rStyle w:val="56"/>
      </w:rPr>
    </w:pPr>
    <w:r>
      <w:fldChar w:fldCharType="begin"/>
    </w:r>
    <w:r>
      <w:rPr>
        <w:rStyle w:val="56"/>
      </w:rPr>
      <w:instrText xml:space="preserve">PAGE  </w:instrText>
    </w:r>
    <w:r>
      <w:fldChar w:fldCharType="separate"/>
    </w:r>
    <w:r>
      <w:rPr>
        <w:rStyle w:val="56"/>
      </w:rPr>
      <w:t>72</w:t>
    </w:r>
    <w:r>
      <w:fldChar w:fldCharType="end"/>
    </w:r>
  </w:p>
  <w:p w14:paraId="083FBCF4">
    <w:pPr>
      <w:pStyle w:val="38"/>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3A845">
    <w:pPr>
      <w:pStyle w:val="39"/>
      <w:pBdr>
        <w:bottom w:val="single" w:color="auto" w:sz="6" w:space="0"/>
      </w:pBdr>
      <w:jc w:val="both"/>
    </w:pPr>
    <w:r>
      <w:rPr>
        <w:rFonts w:hint="eastAsia"/>
      </w:rPr>
      <w:t>温州市政府（分散）采购招标文件                                             项目编号：</w:t>
    </w:r>
    <w:r>
      <w:rPr>
        <w:rFonts w:hint="eastAsia"/>
        <w:lang w:eastAsia="zh-CN"/>
      </w:rPr>
      <w:t>WZLCZB（Z）-2024-10454</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A125D">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A8D60">
    <w:pPr>
      <w:pStyle w:val="3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58248">
    <w:pPr>
      <w:pStyle w:val="39"/>
      <w:pBdr>
        <w:bottom w:val="single" w:color="auto" w:sz="6" w:space="0"/>
      </w:pBdr>
      <w:jc w:val="both"/>
    </w:pPr>
    <w:r>
      <w:rPr>
        <w:rFonts w:hint="eastAsia"/>
      </w:rPr>
      <w:t>温州市政府（分散）采购招标文件                                             项目编号：</w:t>
    </w:r>
    <w:r>
      <w:rPr>
        <w:rFonts w:hint="eastAsia"/>
        <w:lang w:eastAsia="zh-CN"/>
      </w:rPr>
      <w:t>WZLCZB（Z）-2024-10454</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0143F">
    <w:pPr>
      <w:pStyle w:val="39"/>
      <w:pBdr>
        <w:bottom w:val="single" w:color="auto" w:sz="6" w:space="0"/>
      </w:pBdr>
      <w:jc w:val="both"/>
    </w:pPr>
    <w:r>
      <w:rPr>
        <w:rFonts w:hint="eastAsia"/>
      </w:rPr>
      <w:t>温州市政府（分散）采购招标文件                                             项目编号：</w:t>
    </w:r>
    <w:r>
      <w:rPr>
        <w:rFonts w:hint="eastAsia"/>
        <w:lang w:eastAsia="zh-CN"/>
      </w:rPr>
      <w:t>WZLCZB（Z）-2024-10454</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B1C0EE6B"/>
    <w:multiLevelType w:val="singleLevel"/>
    <w:tmpl w:val="B1C0EE6B"/>
    <w:lvl w:ilvl="0" w:tentative="0">
      <w:start w:val="5"/>
      <w:numFmt w:val="chineseCounting"/>
      <w:suff w:val="nothing"/>
      <w:lvlText w:val="%1、"/>
      <w:lvlJc w:val="left"/>
      <w:rPr>
        <w:rFonts w:hint="eastAsia"/>
      </w:rPr>
    </w:lvl>
  </w:abstractNum>
  <w:abstractNum w:abstractNumId="2">
    <w:nsid w:val="BAF9EC89"/>
    <w:multiLevelType w:val="singleLevel"/>
    <w:tmpl w:val="BAF9EC89"/>
    <w:lvl w:ilvl="0" w:tentative="0">
      <w:start w:val="1"/>
      <w:numFmt w:val="chineseCounting"/>
      <w:suff w:val="nothing"/>
      <w:lvlText w:val="（%1）"/>
      <w:lvlJc w:val="left"/>
      <w:rPr>
        <w:rFonts w:hint="eastAsia"/>
      </w:rPr>
    </w:lvl>
  </w:abstractNum>
  <w:abstractNum w:abstractNumId="3">
    <w:nsid w:val="CD31F181"/>
    <w:multiLevelType w:val="singleLevel"/>
    <w:tmpl w:val="CD31F181"/>
    <w:lvl w:ilvl="0" w:tentative="0">
      <w:start w:val="1"/>
      <w:numFmt w:val="decimal"/>
      <w:suff w:val="nothing"/>
      <w:lvlText w:val="%1、"/>
      <w:lvlJc w:val="left"/>
    </w:lvl>
  </w:abstractNum>
  <w:abstractNum w:abstractNumId="4">
    <w:nsid w:val="094B6227"/>
    <w:multiLevelType w:val="singleLevel"/>
    <w:tmpl w:val="094B6227"/>
    <w:lvl w:ilvl="0" w:tentative="0">
      <w:start w:val="3"/>
      <w:numFmt w:val="chineseCounting"/>
      <w:suff w:val="nothing"/>
      <w:lvlText w:val="（%1）"/>
      <w:lvlJc w:val="left"/>
      <w:rPr>
        <w:rFonts w:hint="eastAsia"/>
      </w:rPr>
    </w:lvl>
  </w:abstractNum>
  <w:abstractNum w:abstractNumId="5">
    <w:nsid w:val="52D7A3B6"/>
    <w:multiLevelType w:val="singleLevel"/>
    <w:tmpl w:val="52D7A3B6"/>
    <w:lvl w:ilvl="0" w:tentative="0">
      <w:start w:val="1"/>
      <w:numFmt w:val="decimal"/>
      <w:suff w:val="nothing"/>
      <w:lvlText w:val="（%1）"/>
      <w:lvlJc w:val="left"/>
    </w:lvl>
  </w:abstractNum>
  <w:abstractNum w:abstractNumId="6">
    <w:nsid w:val="59DE7C9A"/>
    <w:multiLevelType w:val="singleLevel"/>
    <w:tmpl w:val="59DE7C9A"/>
    <w:lvl w:ilvl="0" w:tentative="0">
      <w:start w:val="3"/>
      <w:numFmt w:val="chineseCounting"/>
      <w:suff w:val="nothing"/>
      <w:lvlText w:val="%1、"/>
      <w:lvlJc w:val="left"/>
      <w:rPr>
        <w:rFonts w:hint="eastAsia"/>
      </w:rPr>
    </w:lvl>
  </w:abstractNum>
  <w:num w:numId="1">
    <w:abstractNumId w:val="5"/>
  </w:num>
  <w:num w:numId="2">
    <w:abstractNumId w:val="4"/>
  </w:num>
  <w:num w:numId="3">
    <w:abstractNumId w:val="3"/>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MTY1MmFmZmM0YzFmYjliMTVjYzA0ZTI1YzRmZjUifQ=="/>
  </w:docVars>
  <w:rsids>
    <w:rsidRoot w:val="00172A27"/>
    <w:rsid w:val="000149E3"/>
    <w:rsid w:val="00020693"/>
    <w:rsid w:val="000217C7"/>
    <w:rsid w:val="00026A46"/>
    <w:rsid w:val="00027D0D"/>
    <w:rsid w:val="00031F49"/>
    <w:rsid w:val="00037B6F"/>
    <w:rsid w:val="00044FA5"/>
    <w:rsid w:val="000474B4"/>
    <w:rsid w:val="00063600"/>
    <w:rsid w:val="000A6326"/>
    <w:rsid w:val="000B2878"/>
    <w:rsid w:val="0010260A"/>
    <w:rsid w:val="0013451B"/>
    <w:rsid w:val="00146E35"/>
    <w:rsid w:val="00172A27"/>
    <w:rsid w:val="00176791"/>
    <w:rsid w:val="001931DC"/>
    <w:rsid w:val="0019644F"/>
    <w:rsid w:val="001B0F17"/>
    <w:rsid w:val="001B2275"/>
    <w:rsid w:val="001C1362"/>
    <w:rsid w:val="001D4048"/>
    <w:rsid w:val="001D49A1"/>
    <w:rsid w:val="001E0EE9"/>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02A9"/>
    <w:rsid w:val="002A31D6"/>
    <w:rsid w:val="002B5782"/>
    <w:rsid w:val="002C08AE"/>
    <w:rsid w:val="002C09AD"/>
    <w:rsid w:val="002D20EE"/>
    <w:rsid w:val="002D2D3D"/>
    <w:rsid w:val="002E7DAB"/>
    <w:rsid w:val="003058EA"/>
    <w:rsid w:val="00317A0B"/>
    <w:rsid w:val="00327AB8"/>
    <w:rsid w:val="00350DF6"/>
    <w:rsid w:val="00351F86"/>
    <w:rsid w:val="00352124"/>
    <w:rsid w:val="0035435E"/>
    <w:rsid w:val="00357388"/>
    <w:rsid w:val="00357A7B"/>
    <w:rsid w:val="003654EF"/>
    <w:rsid w:val="00372FCF"/>
    <w:rsid w:val="00373BB2"/>
    <w:rsid w:val="00380B23"/>
    <w:rsid w:val="00383F1F"/>
    <w:rsid w:val="00393CEF"/>
    <w:rsid w:val="003B0A15"/>
    <w:rsid w:val="003B1471"/>
    <w:rsid w:val="003B5050"/>
    <w:rsid w:val="003B5A76"/>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0D2"/>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34EC3"/>
    <w:rsid w:val="00740E65"/>
    <w:rsid w:val="00753072"/>
    <w:rsid w:val="007546B0"/>
    <w:rsid w:val="007671B7"/>
    <w:rsid w:val="00774E3F"/>
    <w:rsid w:val="00776F48"/>
    <w:rsid w:val="00780CBF"/>
    <w:rsid w:val="00781B95"/>
    <w:rsid w:val="007876D1"/>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53259"/>
    <w:rsid w:val="009652E5"/>
    <w:rsid w:val="00973F7A"/>
    <w:rsid w:val="00975B78"/>
    <w:rsid w:val="0097671D"/>
    <w:rsid w:val="00977673"/>
    <w:rsid w:val="00987F54"/>
    <w:rsid w:val="00991B38"/>
    <w:rsid w:val="00996305"/>
    <w:rsid w:val="009C748F"/>
    <w:rsid w:val="009E4D45"/>
    <w:rsid w:val="00A24A5C"/>
    <w:rsid w:val="00A42424"/>
    <w:rsid w:val="00A45873"/>
    <w:rsid w:val="00A56219"/>
    <w:rsid w:val="00A61866"/>
    <w:rsid w:val="00A77176"/>
    <w:rsid w:val="00A82742"/>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3C12"/>
    <w:rsid w:val="00BA78D1"/>
    <w:rsid w:val="00BC0A13"/>
    <w:rsid w:val="00BC1037"/>
    <w:rsid w:val="00BC2B54"/>
    <w:rsid w:val="00BC4AC5"/>
    <w:rsid w:val="00BC66D1"/>
    <w:rsid w:val="00BF1399"/>
    <w:rsid w:val="00BF32BD"/>
    <w:rsid w:val="00C12358"/>
    <w:rsid w:val="00C232C8"/>
    <w:rsid w:val="00C468B7"/>
    <w:rsid w:val="00C67C97"/>
    <w:rsid w:val="00C70CE6"/>
    <w:rsid w:val="00C758F7"/>
    <w:rsid w:val="00C816DD"/>
    <w:rsid w:val="00C87AAF"/>
    <w:rsid w:val="00C95163"/>
    <w:rsid w:val="00CB584C"/>
    <w:rsid w:val="00CC06DE"/>
    <w:rsid w:val="00CC3B91"/>
    <w:rsid w:val="00CE590D"/>
    <w:rsid w:val="00CF5C76"/>
    <w:rsid w:val="00CF73C2"/>
    <w:rsid w:val="00D00FFE"/>
    <w:rsid w:val="00D13A1C"/>
    <w:rsid w:val="00D224FF"/>
    <w:rsid w:val="00D27DB2"/>
    <w:rsid w:val="00D3078D"/>
    <w:rsid w:val="00D30E82"/>
    <w:rsid w:val="00D47AC2"/>
    <w:rsid w:val="00D56369"/>
    <w:rsid w:val="00D70EBE"/>
    <w:rsid w:val="00D73718"/>
    <w:rsid w:val="00D7763D"/>
    <w:rsid w:val="00D844F8"/>
    <w:rsid w:val="00DA3F05"/>
    <w:rsid w:val="00DB09B7"/>
    <w:rsid w:val="00DB2DE0"/>
    <w:rsid w:val="00DB41D0"/>
    <w:rsid w:val="00DE5AE5"/>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0D80"/>
    <w:rsid w:val="00EC182D"/>
    <w:rsid w:val="00EC6C26"/>
    <w:rsid w:val="00EC7DF8"/>
    <w:rsid w:val="00ED2873"/>
    <w:rsid w:val="00ED3B24"/>
    <w:rsid w:val="00ED7497"/>
    <w:rsid w:val="00EE45C7"/>
    <w:rsid w:val="00EF0A26"/>
    <w:rsid w:val="00EF4A4C"/>
    <w:rsid w:val="00F03D32"/>
    <w:rsid w:val="00F06ABE"/>
    <w:rsid w:val="00F270F8"/>
    <w:rsid w:val="00F27576"/>
    <w:rsid w:val="00F36312"/>
    <w:rsid w:val="00F5082C"/>
    <w:rsid w:val="00F52CCB"/>
    <w:rsid w:val="00F52CD3"/>
    <w:rsid w:val="00F52E99"/>
    <w:rsid w:val="00F60DCB"/>
    <w:rsid w:val="00F7246C"/>
    <w:rsid w:val="00F80AAA"/>
    <w:rsid w:val="00F93BBA"/>
    <w:rsid w:val="00F95280"/>
    <w:rsid w:val="00F96F32"/>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41565"/>
    <w:rsid w:val="02B3222E"/>
    <w:rsid w:val="02F63BA4"/>
    <w:rsid w:val="031D0871"/>
    <w:rsid w:val="03283281"/>
    <w:rsid w:val="03331487"/>
    <w:rsid w:val="034A64CB"/>
    <w:rsid w:val="039714E5"/>
    <w:rsid w:val="03BE392F"/>
    <w:rsid w:val="03E13A1E"/>
    <w:rsid w:val="040A4C52"/>
    <w:rsid w:val="04156ACE"/>
    <w:rsid w:val="042A5AFC"/>
    <w:rsid w:val="043D6DF1"/>
    <w:rsid w:val="043F2279"/>
    <w:rsid w:val="044865A2"/>
    <w:rsid w:val="048D46D7"/>
    <w:rsid w:val="04A01243"/>
    <w:rsid w:val="04C27070"/>
    <w:rsid w:val="04D4464A"/>
    <w:rsid w:val="04E23C80"/>
    <w:rsid w:val="04FD6D0A"/>
    <w:rsid w:val="050751FC"/>
    <w:rsid w:val="05166806"/>
    <w:rsid w:val="0529508C"/>
    <w:rsid w:val="053A30CA"/>
    <w:rsid w:val="057D25F0"/>
    <w:rsid w:val="05936339"/>
    <w:rsid w:val="05D76F02"/>
    <w:rsid w:val="062F7E7F"/>
    <w:rsid w:val="0650016B"/>
    <w:rsid w:val="06695ADA"/>
    <w:rsid w:val="067F52AB"/>
    <w:rsid w:val="068E5B46"/>
    <w:rsid w:val="069611C1"/>
    <w:rsid w:val="06E17425"/>
    <w:rsid w:val="06E81491"/>
    <w:rsid w:val="07081502"/>
    <w:rsid w:val="072046E3"/>
    <w:rsid w:val="07373C8C"/>
    <w:rsid w:val="074234A9"/>
    <w:rsid w:val="0747552D"/>
    <w:rsid w:val="07592C30"/>
    <w:rsid w:val="07791E20"/>
    <w:rsid w:val="078177D5"/>
    <w:rsid w:val="07924879"/>
    <w:rsid w:val="079C0E64"/>
    <w:rsid w:val="07D37D83"/>
    <w:rsid w:val="07D60F62"/>
    <w:rsid w:val="08621901"/>
    <w:rsid w:val="08911C02"/>
    <w:rsid w:val="08913549"/>
    <w:rsid w:val="08A302D0"/>
    <w:rsid w:val="08B53A61"/>
    <w:rsid w:val="08E76FD5"/>
    <w:rsid w:val="08FD20E7"/>
    <w:rsid w:val="09101BCD"/>
    <w:rsid w:val="09315C91"/>
    <w:rsid w:val="093D09BC"/>
    <w:rsid w:val="09510BFE"/>
    <w:rsid w:val="095C5D9F"/>
    <w:rsid w:val="097E368B"/>
    <w:rsid w:val="09816EE6"/>
    <w:rsid w:val="099757EE"/>
    <w:rsid w:val="09A34824"/>
    <w:rsid w:val="09B85302"/>
    <w:rsid w:val="09B94936"/>
    <w:rsid w:val="09D26DBF"/>
    <w:rsid w:val="09E5150C"/>
    <w:rsid w:val="09F65854"/>
    <w:rsid w:val="0A07422F"/>
    <w:rsid w:val="0A1B49C1"/>
    <w:rsid w:val="0A3D0590"/>
    <w:rsid w:val="0A7416D8"/>
    <w:rsid w:val="0A8945EB"/>
    <w:rsid w:val="0BAC1F4C"/>
    <w:rsid w:val="0BBE4F63"/>
    <w:rsid w:val="0BDA530A"/>
    <w:rsid w:val="0C0247C0"/>
    <w:rsid w:val="0C3408BA"/>
    <w:rsid w:val="0C353302"/>
    <w:rsid w:val="0C496297"/>
    <w:rsid w:val="0C660E5E"/>
    <w:rsid w:val="0C9A109E"/>
    <w:rsid w:val="0CA74D09"/>
    <w:rsid w:val="0CA9483B"/>
    <w:rsid w:val="0CC51217"/>
    <w:rsid w:val="0CCB1484"/>
    <w:rsid w:val="0D0A01F7"/>
    <w:rsid w:val="0D1F1C9D"/>
    <w:rsid w:val="0D735BCC"/>
    <w:rsid w:val="0D7C2119"/>
    <w:rsid w:val="0D920730"/>
    <w:rsid w:val="0DE33D9A"/>
    <w:rsid w:val="0E022677"/>
    <w:rsid w:val="0E064CB1"/>
    <w:rsid w:val="0E4706D1"/>
    <w:rsid w:val="0E4B6575"/>
    <w:rsid w:val="0E5C2643"/>
    <w:rsid w:val="0E6537C4"/>
    <w:rsid w:val="0E701E1B"/>
    <w:rsid w:val="0E750CB0"/>
    <w:rsid w:val="0E8E6882"/>
    <w:rsid w:val="0EE505E5"/>
    <w:rsid w:val="0EE50D43"/>
    <w:rsid w:val="0F0377AE"/>
    <w:rsid w:val="0F0E6EE3"/>
    <w:rsid w:val="0F706416"/>
    <w:rsid w:val="0FCD5779"/>
    <w:rsid w:val="0FD03A0D"/>
    <w:rsid w:val="10381F40"/>
    <w:rsid w:val="104869BA"/>
    <w:rsid w:val="10575CC4"/>
    <w:rsid w:val="10F47168"/>
    <w:rsid w:val="110264F1"/>
    <w:rsid w:val="1104198D"/>
    <w:rsid w:val="1105049E"/>
    <w:rsid w:val="11154B23"/>
    <w:rsid w:val="114C54EF"/>
    <w:rsid w:val="115434FF"/>
    <w:rsid w:val="115D3896"/>
    <w:rsid w:val="11B62E53"/>
    <w:rsid w:val="12103D4D"/>
    <w:rsid w:val="12345EA5"/>
    <w:rsid w:val="124027F2"/>
    <w:rsid w:val="125A673E"/>
    <w:rsid w:val="12775E6D"/>
    <w:rsid w:val="12A01322"/>
    <w:rsid w:val="12AB0828"/>
    <w:rsid w:val="12E05DF5"/>
    <w:rsid w:val="133616DD"/>
    <w:rsid w:val="13582BF6"/>
    <w:rsid w:val="13583E3E"/>
    <w:rsid w:val="138356B4"/>
    <w:rsid w:val="13884680"/>
    <w:rsid w:val="13996DA4"/>
    <w:rsid w:val="13A56966"/>
    <w:rsid w:val="13B56A40"/>
    <w:rsid w:val="13D309B3"/>
    <w:rsid w:val="13EC3F05"/>
    <w:rsid w:val="13FF0438"/>
    <w:rsid w:val="14077D57"/>
    <w:rsid w:val="14342819"/>
    <w:rsid w:val="14965811"/>
    <w:rsid w:val="14D92610"/>
    <w:rsid w:val="15001500"/>
    <w:rsid w:val="154A25D7"/>
    <w:rsid w:val="15525604"/>
    <w:rsid w:val="156E5828"/>
    <w:rsid w:val="15B36E57"/>
    <w:rsid w:val="15B43A33"/>
    <w:rsid w:val="15C02CFA"/>
    <w:rsid w:val="15D02588"/>
    <w:rsid w:val="163004AD"/>
    <w:rsid w:val="164356BB"/>
    <w:rsid w:val="16493207"/>
    <w:rsid w:val="166F777C"/>
    <w:rsid w:val="169C21B8"/>
    <w:rsid w:val="169C6B59"/>
    <w:rsid w:val="16BB60A4"/>
    <w:rsid w:val="16D604C4"/>
    <w:rsid w:val="173A5387"/>
    <w:rsid w:val="17725C57"/>
    <w:rsid w:val="17755246"/>
    <w:rsid w:val="17800AEC"/>
    <w:rsid w:val="18245E40"/>
    <w:rsid w:val="186B461D"/>
    <w:rsid w:val="188B4950"/>
    <w:rsid w:val="18C50468"/>
    <w:rsid w:val="18C7387D"/>
    <w:rsid w:val="18C76564"/>
    <w:rsid w:val="19087A11"/>
    <w:rsid w:val="191B7534"/>
    <w:rsid w:val="196C6250"/>
    <w:rsid w:val="196E2C37"/>
    <w:rsid w:val="1974690A"/>
    <w:rsid w:val="19C072D3"/>
    <w:rsid w:val="1A25720B"/>
    <w:rsid w:val="1A510684"/>
    <w:rsid w:val="1A6171B2"/>
    <w:rsid w:val="1AA65F2A"/>
    <w:rsid w:val="1AA666F2"/>
    <w:rsid w:val="1ACC6680"/>
    <w:rsid w:val="1ADC340E"/>
    <w:rsid w:val="1AED2C78"/>
    <w:rsid w:val="1AEF15D5"/>
    <w:rsid w:val="1B1F6B22"/>
    <w:rsid w:val="1B343FD0"/>
    <w:rsid w:val="1B356551"/>
    <w:rsid w:val="1B377F92"/>
    <w:rsid w:val="1B3E4ABA"/>
    <w:rsid w:val="1B9D2D2C"/>
    <w:rsid w:val="1BAB13EA"/>
    <w:rsid w:val="1BE02644"/>
    <w:rsid w:val="1BF27CE6"/>
    <w:rsid w:val="1BF57F17"/>
    <w:rsid w:val="1C13053F"/>
    <w:rsid w:val="1C162BF5"/>
    <w:rsid w:val="1C212DFA"/>
    <w:rsid w:val="1C3065A1"/>
    <w:rsid w:val="1C32514E"/>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F47EFC"/>
    <w:rsid w:val="1DFB57EB"/>
    <w:rsid w:val="1E0062C5"/>
    <w:rsid w:val="1E4F15C4"/>
    <w:rsid w:val="1E665E93"/>
    <w:rsid w:val="1E6D0B8E"/>
    <w:rsid w:val="1E740910"/>
    <w:rsid w:val="1E8A1B7B"/>
    <w:rsid w:val="1ED05FDD"/>
    <w:rsid w:val="1EDA4565"/>
    <w:rsid w:val="1F0115E6"/>
    <w:rsid w:val="1F8B73B9"/>
    <w:rsid w:val="1F8F25D3"/>
    <w:rsid w:val="1FC0508F"/>
    <w:rsid w:val="1FD17519"/>
    <w:rsid w:val="1FDE37FF"/>
    <w:rsid w:val="1FE87CF6"/>
    <w:rsid w:val="20142293"/>
    <w:rsid w:val="202875D1"/>
    <w:rsid w:val="203B6405"/>
    <w:rsid w:val="204042C4"/>
    <w:rsid w:val="204434A6"/>
    <w:rsid w:val="208E2CB0"/>
    <w:rsid w:val="20C7192F"/>
    <w:rsid w:val="20C94ACB"/>
    <w:rsid w:val="20CC6F0F"/>
    <w:rsid w:val="20F3606E"/>
    <w:rsid w:val="2117534C"/>
    <w:rsid w:val="213009EF"/>
    <w:rsid w:val="213D75BE"/>
    <w:rsid w:val="213F7AB1"/>
    <w:rsid w:val="217A33A1"/>
    <w:rsid w:val="21872636"/>
    <w:rsid w:val="218F2648"/>
    <w:rsid w:val="21AB5C9B"/>
    <w:rsid w:val="21B427AB"/>
    <w:rsid w:val="21BD46E0"/>
    <w:rsid w:val="227C0C68"/>
    <w:rsid w:val="227D1F07"/>
    <w:rsid w:val="22AE5DFE"/>
    <w:rsid w:val="23025E80"/>
    <w:rsid w:val="235C31B0"/>
    <w:rsid w:val="23C16FD2"/>
    <w:rsid w:val="242C445B"/>
    <w:rsid w:val="247E04BE"/>
    <w:rsid w:val="248B6BF0"/>
    <w:rsid w:val="24975A35"/>
    <w:rsid w:val="24A451C8"/>
    <w:rsid w:val="24B0777F"/>
    <w:rsid w:val="24B80E3D"/>
    <w:rsid w:val="24BA3A6C"/>
    <w:rsid w:val="24C14262"/>
    <w:rsid w:val="24DB11B1"/>
    <w:rsid w:val="24DB1DC1"/>
    <w:rsid w:val="254579AD"/>
    <w:rsid w:val="25482804"/>
    <w:rsid w:val="25550995"/>
    <w:rsid w:val="25916749"/>
    <w:rsid w:val="25B15AD3"/>
    <w:rsid w:val="25E5097B"/>
    <w:rsid w:val="25ED1CE2"/>
    <w:rsid w:val="260366CA"/>
    <w:rsid w:val="26190B1E"/>
    <w:rsid w:val="261954E5"/>
    <w:rsid w:val="26B25A04"/>
    <w:rsid w:val="26E86A48"/>
    <w:rsid w:val="27101EDB"/>
    <w:rsid w:val="27450F96"/>
    <w:rsid w:val="27A03254"/>
    <w:rsid w:val="27A230C5"/>
    <w:rsid w:val="27A851CF"/>
    <w:rsid w:val="27F6755B"/>
    <w:rsid w:val="2835156C"/>
    <w:rsid w:val="285E7742"/>
    <w:rsid w:val="285F589C"/>
    <w:rsid w:val="2860075F"/>
    <w:rsid w:val="288E7537"/>
    <w:rsid w:val="28D51CE9"/>
    <w:rsid w:val="28E0382C"/>
    <w:rsid w:val="28FB2940"/>
    <w:rsid w:val="2935387C"/>
    <w:rsid w:val="295642C7"/>
    <w:rsid w:val="29923BE6"/>
    <w:rsid w:val="29C74D12"/>
    <w:rsid w:val="29D70027"/>
    <w:rsid w:val="29DA51F1"/>
    <w:rsid w:val="29E4565C"/>
    <w:rsid w:val="2A217644"/>
    <w:rsid w:val="2A5522DC"/>
    <w:rsid w:val="2A6D7AE4"/>
    <w:rsid w:val="2A81126C"/>
    <w:rsid w:val="2A9A509F"/>
    <w:rsid w:val="2ABE75C5"/>
    <w:rsid w:val="2AC54EDF"/>
    <w:rsid w:val="2ADE1592"/>
    <w:rsid w:val="2AE72478"/>
    <w:rsid w:val="2AFE6BB2"/>
    <w:rsid w:val="2AFF547A"/>
    <w:rsid w:val="2B0F5BE3"/>
    <w:rsid w:val="2B194010"/>
    <w:rsid w:val="2B1A0A86"/>
    <w:rsid w:val="2B4C5CF9"/>
    <w:rsid w:val="2B766889"/>
    <w:rsid w:val="2B8F7412"/>
    <w:rsid w:val="2BB62C14"/>
    <w:rsid w:val="2BB82208"/>
    <w:rsid w:val="2BC1544C"/>
    <w:rsid w:val="2BF25A55"/>
    <w:rsid w:val="2BF83122"/>
    <w:rsid w:val="2C4D4422"/>
    <w:rsid w:val="2C61592A"/>
    <w:rsid w:val="2CF23348"/>
    <w:rsid w:val="2D0212AF"/>
    <w:rsid w:val="2D0721CE"/>
    <w:rsid w:val="2D2D0FB8"/>
    <w:rsid w:val="2D5369A4"/>
    <w:rsid w:val="2D553E12"/>
    <w:rsid w:val="2D563294"/>
    <w:rsid w:val="2D572DE8"/>
    <w:rsid w:val="2D7657B0"/>
    <w:rsid w:val="2DA92533"/>
    <w:rsid w:val="2DAA5A9C"/>
    <w:rsid w:val="2DC542FD"/>
    <w:rsid w:val="2E027319"/>
    <w:rsid w:val="2E740C9C"/>
    <w:rsid w:val="2E912614"/>
    <w:rsid w:val="2EB82B9B"/>
    <w:rsid w:val="2EDB211E"/>
    <w:rsid w:val="2FAF734F"/>
    <w:rsid w:val="2FB74538"/>
    <w:rsid w:val="2FC85BC4"/>
    <w:rsid w:val="2FF16930"/>
    <w:rsid w:val="30255652"/>
    <w:rsid w:val="302A5959"/>
    <w:rsid w:val="305B0C4B"/>
    <w:rsid w:val="306F34C7"/>
    <w:rsid w:val="30F44BED"/>
    <w:rsid w:val="31024AE6"/>
    <w:rsid w:val="31232744"/>
    <w:rsid w:val="313F60CD"/>
    <w:rsid w:val="316C164E"/>
    <w:rsid w:val="31AC33EA"/>
    <w:rsid w:val="31B469D0"/>
    <w:rsid w:val="31D64F96"/>
    <w:rsid w:val="32017181"/>
    <w:rsid w:val="3202578C"/>
    <w:rsid w:val="326D3B31"/>
    <w:rsid w:val="327021FA"/>
    <w:rsid w:val="329C1DF0"/>
    <w:rsid w:val="329E2BA3"/>
    <w:rsid w:val="32AE7A75"/>
    <w:rsid w:val="32E032B1"/>
    <w:rsid w:val="32EA1BD8"/>
    <w:rsid w:val="32EF11A3"/>
    <w:rsid w:val="32EF2028"/>
    <w:rsid w:val="33011C41"/>
    <w:rsid w:val="333C6A3D"/>
    <w:rsid w:val="33644CFD"/>
    <w:rsid w:val="33774568"/>
    <w:rsid w:val="33A0028D"/>
    <w:rsid w:val="33A570FA"/>
    <w:rsid w:val="33D32C1C"/>
    <w:rsid w:val="33D92429"/>
    <w:rsid w:val="33F268E7"/>
    <w:rsid w:val="343B3818"/>
    <w:rsid w:val="343C1893"/>
    <w:rsid w:val="358526AE"/>
    <w:rsid w:val="35B43FF1"/>
    <w:rsid w:val="35B54B22"/>
    <w:rsid w:val="35DF0F8E"/>
    <w:rsid w:val="35E83CBD"/>
    <w:rsid w:val="35EF293B"/>
    <w:rsid w:val="35F13A2A"/>
    <w:rsid w:val="360453EB"/>
    <w:rsid w:val="361633A9"/>
    <w:rsid w:val="362C0965"/>
    <w:rsid w:val="362D1DA6"/>
    <w:rsid w:val="36495F37"/>
    <w:rsid w:val="36523501"/>
    <w:rsid w:val="366A6E58"/>
    <w:rsid w:val="37366041"/>
    <w:rsid w:val="373D0F4E"/>
    <w:rsid w:val="375D41E8"/>
    <w:rsid w:val="37625DAE"/>
    <w:rsid w:val="377717B0"/>
    <w:rsid w:val="379D7A74"/>
    <w:rsid w:val="37A03DDA"/>
    <w:rsid w:val="37DC389E"/>
    <w:rsid w:val="37E41DF1"/>
    <w:rsid w:val="37ED430C"/>
    <w:rsid w:val="37FC364E"/>
    <w:rsid w:val="38463090"/>
    <w:rsid w:val="3882116E"/>
    <w:rsid w:val="388234B9"/>
    <w:rsid w:val="38973473"/>
    <w:rsid w:val="38A56CC9"/>
    <w:rsid w:val="38C05F24"/>
    <w:rsid w:val="38D750B8"/>
    <w:rsid w:val="38F2240C"/>
    <w:rsid w:val="39171CC0"/>
    <w:rsid w:val="393F39C1"/>
    <w:rsid w:val="3941283A"/>
    <w:rsid w:val="395212E1"/>
    <w:rsid w:val="39976574"/>
    <w:rsid w:val="39A165F9"/>
    <w:rsid w:val="39B72706"/>
    <w:rsid w:val="39C84E5A"/>
    <w:rsid w:val="39FA0921"/>
    <w:rsid w:val="3A3457E8"/>
    <w:rsid w:val="3A3F0320"/>
    <w:rsid w:val="3A536E24"/>
    <w:rsid w:val="3A565A98"/>
    <w:rsid w:val="3A810ECA"/>
    <w:rsid w:val="3A871F8A"/>
    <w:rsid w:val="3AA31206"/>
    <w:rsid w:val="3AB57780"/>
    <w:rsid w:val="3AC65AD2"/>
    <w:rsid w:val="3ACF5A26"/>
    <w:rsid w:val="3B1B509F"/>
    <w:rsid w:val="3B3575B2"/>
    <w:rsid w:val="3B4764C1"/>
    <w:rsid w:val="3B54731C"/>
    <w:rsid w:val="3B67428D"/>
    <w:rsid w:val="3B713350"/>
    <w:rsid w:val="3B7A26BE"/>
    <w:rsid w:val="3BE767A5"/>
    <w:rsid w:val="3C1701DB"/>
    <w:rsid w:val="3C2E25AC"/>
    <w:rsid w:val="3C33699A"/>
    <w:rsid w:val="3C41291B"/>
    <w:rsid w:val="3C447C27"/>
    <w:rsid w:val="3C4E3440"/>
    <w:rsid w:val="3E225ED0"/>
    <w:rsid w:val="3E29108F"/>
    <w:rsid w:val="3E763568"/>
    <w:rsid w:val="3EB341AB"/>
    <w:rsid w:val="3EC20226"/>
    <w:rsid w:val="3EC451E1"/>
    <w:rsid w:val="3EC47F80"/>
    <w:rsid w:val="3F1E63B0"/>
    <w:rsid w:val="3F2226EC"/>
    <w:rsid w:val="3F601C75"/>
    <w:rsid w:val="3FAC6CE4"/>
    <w:rsid w:val="3FB04B06"/>
    <w:rsid w:val="3FDA48AC"/>
    <w:rsid w:val="4004626D"/>
    <w:rsid w:val="402A3DD6"/>
    <w:rsid w:val="402E363B"/>
    <w:rsid w:val="403A7A13"/>
    <w:rsid w:val="40883F9A"/>
    <w:rsid w:val="40A6403B"/>
    <w:rsid w:val="40C31767"/>
    <w:rsid w:val="40D11C13"/>
    <w:rsid w:val="40D14228"/>
    <w:rsid w:val="40E32648"/>
    <w:rsid w:val="413F338F"/>
    <w:rsid w:val="415D3A83"/>
    <w:rsid w:val="419659D4"/>
    <w:rsid w:val="41A50FA5"/>
    <w:rsid w:val="41AF222E"/>
    <w:rsid w:val="41CC07BC"/>
    <w:rsid w:val="41DD5AAF"/>
    <w:rsid w:val="420569A4"/>
    <w:rsid w:val="4246080B"/>
    <w:rsid w:val="42CE24FD"/>
    <w:rsid w:val="42F302DD"/>
    <w:rsid w:val="43260C43"/>
    <w:rsid w:val="438034F8"/>
    <w:rsid w:val="4388321A"/>
    <w:rsid w:val="441A31FF"/>
    <w:rsid w:val="443F03D6"/>
    <w:rsid w:val="446A3759"/>
    <w:rsid w:val="446B4961"/>
    <w:rsid w:val="449428DA"/>
    <w:rsid w:val="45132E7E"/>
    <w:rsid w:val="45797DA1"/>
    <w:rsid w:val="45A046DF"/>
    <w:rsid w:val="45B725A0"/>
    <w:rsid w:val="45D33008"/>
    <w:rsid w:val="45D53422"/>
    <w:rsid w:val="462E25CA"/>
    <w:rsid w:val="46303A17"/>
    <w:rsid w:val="465A58CC"/>
    <w:rsid w:val="46931FE6"/>
    <w:rsid w:val="46D637ED"/>
    <w:rsid w:val="46DD3F38"/>
    <w:rsid w:val="46F16F1D"/>
    <w:rsid w:val="46FD2CBF"/>
    <w:rsid w:val="472910BD"/>
    <w:rsid w:val="47553E8E"/>
    <w:rsid w:val="477C293C"/>
    <w:rsid w:val="47CA2F97"/>
    <w:rsid w:val="47D84675"/>
    <w:rsid w:val="47E17B3A"/>
    <w:rsid w:val="481379C4"/>
    <w:rsid w:val="481947FE"/>
    <w:rsid w:val="483B043E"/>
    <w:rsid w:val="486B0826"/>
    <w:rsid w:val="486B1D8E"/>
    <w:rsid w:val="48A93D74"/>
    <w:rsid w:val="48D139F6"/>
    <w:rsid w:val="48F56DD6"/>
    <w:rsid w:val="491916C6"/>
    <w:rsid w:val="49573AC8"/>
    <w:rsid w:val="49AA7971"/>
    <w:rsid w:val="49FE240E"/>
    <w:rsid w:val="4A141151"/>
    <w:rsid w:val="4A316318"/>
    <w:rsid w:val="4A5950C6"/>
    <w:rsid w:val="4A643B84"/>
    <w:rsid w:val="4A777A6A"/>
    <w:rsid w:val="4AC9062D"/>
    <w:rsid w:val="4AE52C42"/>
    <w:rsid w:val="4AF2187D"/>
    <w:rsid w:val="4AFC3953"/>
    <w:rsid w:val="4B1E385E"/>
    <w:rsid w:val="4B6870F9"/>
    <w:rsid w:val="4B6C2969"/>
    <w:rsid w:val="4BCF6DCB"/>
    <w:rsid w:val="4BD06B38"/>
    <w:rsid w:val="4BDF321A"/>
    <w:rsid w:val="4C0065CE"/>
    <w:rsid w:val="4C18241E"/>
    <w:rsid w:val="4C227943"/>
    <w:rsid w:val="4C4373DD"/>
    <w:rsid w:val="4C472142"/>
    <w:rsid w:val="4C5F22C4"/>
    <w:rsid w:val="4CDD603C"/>
    <w:rsid w:val="4DC86CD0"/>
    <w:rsid w:val="4DD62C1F"/>
    <w:rsid w:val="4DF46D27"/>
    <w:rsid w:val="4E367509"/>
    <w:rsid w:val="4E5211BA"/>
    <w:rsid w:val="4E90713C"/>
    <w:rsid w:val="4E9D1D1E"/>
    <w:rsid w:val="4ED902B9"/>
    <w:rsid w:val="4F0E0B1D"/>
    <w:rsid w:val="4F563CC4"/>
    <w:rsid w:val="4FBD41CA"/>
    <w:rsid w:val="4FD246D2"/>
    <w:rsid w:val="50077D56"/>
    <w:rsid w:val="50131451"/>
    <w:rsid w:val="50831BFE"/>
    <w:rsid w:val="50B52FE4"/>
    <w:rsid w:val="50BF2E54"/>
    <w:rsid w:val="51390BE4"/>
    <w:rsid w:val="51C804DE"/>
    <w:rsid w:val="51CF0D4C"/>
    <w:rsid w:val="51E12FF8"/>
    <w:rsid w:val="51E33826"/>
    <w:rsid w:val="51E71C22"/>
    <w:rsid w:val="520C6B50"/>
    <w:rsid w:val="522E62F3"/>
    <w:rsid w:val="52A33960"/>
    <w:rsid w:val="52B476CE"/>
    <w:rsid w:val="52F47A95"/>
    <w:rsid w:val="531645CA"/>
    <w:rsid w:val="531F2A96"/>
    <w:rsid w:val="53262EC9"/>
    <w:rsid w:val="53734149"/>
    <w:rsid w:val="53932760"/>
    <w:rsid w:val="539873E7"/>
    <w:rsid w:val="53B46D0C"/>
    <w:rsid w:val="54087353"/>
    <w:rsid w:val="54375044"/>
    <w:rsid w:val="544232E7"/>
    <w:rsid w:val="54557110"/>
    <w:rsid w:val="549661B6"/>
    <w:rsid w:val="54D24E79"/>
    <w:rsid w:val="54E3110C"/>
    <w:rsid w:val="5503429F"/>
    <w:rsid w:val="550A5C80"/>
    <w:rsid w:val="551027C6"/>
    <w:rsid w:val="552F7315"/>
    <w:rsid w:val="554B0FDD"/>
    <w:rsid w:val="55631D2D"/>
    <w:rsid w:val="55BB1E97"/>
    <w:rsid w:val="55C8709D"/>
    <w:rsid w:val="560509A3"/>
    <w:rsid w:val="56050C0A"/>
    <w:rsid w:val="56250237"/>
    <w:rsid w:val="564569EB"/>
    <w:rsid w:val="56AB5944"/>
    <w:rsid w:val="56F31436"/>
    <w:rsid w:val="56F645A2"/>
    <w:rsid w:val="57214861"/>
    <w:rsid w:val="572B4616"/>
    <w:rsid w:val="57541EAD"/>
    <w:rsid w:val="576D2C98"/>
    <w:rsid w:val="577465D8"/>
    <w:rsid w:val="57AE5029"/>
    <w:rsid w:val="57C23486"/>
    <w:rsid w:val="57D123D3"/>
    <w:rsid w:val="5807247D"/>
    <w:rsid w:val="58117CC1"/>
    <w:rsid w:val="582C3384"/>
    <w:rsid w:val="58624A55"/>
    <w:rsid w:val="59162EF2"/>
    <w:rsid w:val="59216A89"/>
    <w:rsid w:val="59A175DF"/>
    <w:rsid w:val="59B819C2"/>
    <w:rsid w:val="59C7668D"/>
    <w:rsid w:val="59FC4729"/>
    <w:rsid w:val="59FF697B"/>
    <w:rsid w:val="5A0B75E4"/>
    <w:rsid w:val="5A575BFF"/>
    <w:rsid w:val="5A77586F"/>
    <w:rsid w:val="5AA12CBD"/>
    <w:rsid w:val="5ACA65CD"/>
    <w:rsid w:val="5ACC7A53"/>
    <w:rsid w:val="5AE51758"/>
    <w:rsid w:val="5B581F93"/>
    <w:rsid w:val="5B6B529B"/>
    <w:rsid w:val="5BB250E2"/>
    <w:rsid w:val="5BB3320D"/>
    <w:rsid w:val="5BC31A45"/>
    <w:rsid w:val="5BC772C9"/>
    <w:rsid w:val="5BF50377"/>
    <w:rsid w:val="5C3D6937"/>
    <w:rsid w:val="5C465FA2"/>
    <w:rsid w:val="5C544090"/>
    <w:rsid w:val="5C726BB6"/>
    <w:rsid w:val="5C7322D1"/>
    <w:rsid w:val="5CEF4070"/>
    <w:rsid w:val="5CFC28A8"/>
    <w:rsid w:val="5D246FFC"/>
    <w:rsid w:val="5D36426B"/>
    <w:rsid w:val="5DDA696A"/>
    <w:rsid w:val="5E410FFD"/>
    <w:rsid w:val="5E544606"/>
    <w:rsid w:val="5E8E05EA"/>
    <w:rsid w:val="5EFB61FA"/>
    <w:rsid w:val="5F2C7D02"/>
    <w:rsid w:val="5F31206E"/>
    <w:rsid w:val="5F7663E9"/>
    <w:rsid w:val="5FB656F9"/>
    <w:rsid w:val="5FBC2CFA"/>
    <w:rsid w:val="5FC53466"/>
    <w:rsid w:val="5FD13015"/>
    <w:rsid w:val="5FF56DB4"/>
    <w:rsid w:val="60190EE3"/>
    <w:rsid w:val="601D48F2"/>
    <w:rsid w:val="601E31F8"/>
    <w:rsid w:val="602832C7"/>
    <w:rsid w:val="603D1F50"/>
    <w:rsid w:val="603F673E"/>
    <w:rsid w:val="605467C6"/>
    <w:rsid w:val="60803296"/>
    <w:rsid w:val="60D605A1"/>
    <w:rsid w:val="612C537D"/>
    <w:rsid w:val="61464F6C"/>
    <w:rsid w:val="61515A7F"/>
    <w:rsid w:val="61633E93"/>
    <w:rsid w:val="61A4558D"/>
    <w:rsid w:val="61C32B70"/>
    <w:rsid w:val="61D54EA8"/>
    <w:rsid w:val="61E045CD"/>
    <w:rsid w:val="61E23930"/>
    <w:rsid w:val="62016875"/>
    <w:rsid w:val="623E052A"/>
    <w:rsid w:val="628B7263"/>
    <w:rsid w:val="62902D58"/>
    <w:rsid w:val="62AE4BDA"/>
    <w:rsid w:val="62C97640"/>
    <w:rsid w:val="62D27C48"/>
    <w:rsid w:val="62FE5BAA"/>
    <w:rsid w:val="6307315E"/>
    <w:rsid w:val="63184211"/>
    <w:rsid w:val="631B5AD9"/>
    <w:rsid w:val="635514AC"/>
    <w:rsid w:val="635C575B"/>
    <w:rsid w:val="63672302"/>
    <w:rsid w:val="636863CF"/>
    <w:rsid w:val="63715219"/>
    <w:rsid w:val="63752C12"/>
    <w:rsid w:val="638C1080"/>
    <w:rsid w:val="63B413CF"/>
    <w:rsid w:val="63D4721A"/>
    <w:rsid w:val="63F41FD1"/>
    <w:rsid w:val="63FF6C27"/>
    <w:rsid w:val="6405263C"/>
    <w:rsid w:val="642454D9"/>
    <w:rsid w:val="6464336B"/>
    <w:rsid w:val="653C5193"/>
    <w:rsid w:val="655C7828"/>
    <w:rsid w:val="658B4967"/>
    <w:rsid w:val="65CB1350"/>
    <w:rsid w:val="66330E7B"/>
    <w:rsid w:val="66351622"/>
    <w:rsid w:val="665A2304"/>
    <w:rsid w:val="666920D7"/>
    <w:rsid w:val="669C6349"/>
    <w:rsid w:val="66A80AC6"/>
    <w:rsid w:val="67144976"/>
    <w:rsid w:val="67202357"/>
    <w:rsid w:val="67603F26"/>
    <w:rsid w:val="67D3264E"/>
    <w:rsid w:val="67D63720"/>
    <w:rsid w:val="67EC027D"/>
    <w:rsid w:val="67F37D9E"/>
    <w:rsid w:val="68024DD3"/>
    <w:rsid w:val="680F332B"/>
    <w:rsid w:val="6832253F"/>
    <w:rsid w:val="685C3C4D"/>
    <w:rsid w:val="687102AD"/>
    <w:rsid w:val="68724B40"/>
    <w:rsid w:val="68902798"/>
    <w:rsid w:val="690C7142"/>
    <w:rsid w:val="693B5FD8"/>
    <w:rsid w:val="69412846"/>
    <w:rsid w:val="695907E9"/>
    <w:rsid w:val="6964290E"/>
    <w:rsid w:val="698304CD"/>
    <w:rsid w:val="69932BAE"/>
    <w:rsid w:val="69A16FDB"/>
    <w:rsid w:val="69BA6060"/>
    <w:rsid w:val="69CF5407"/>
    <w:rsid w:val="69ED5B2B"/>
    <w:rsid w:val="6A223F21"/>
    <w:rsid w:val="6A4771F0"/>
    <w:rsid w:val="6A641277"/>
    <w:rsid w:val="6A643087"/>
    <w:rsid w:val="6A985E45"/>
    <w:rsid w:val="6AAD0001"/>
    <w:rsid w:val="6ACC3B62"/>
    <w:rsid w:val="6AE30427"/>
    <w:rsid w:val="6B1B05C6"/>
    <w:rsid w:val="6B35684E"/>
    <w:rsid w:val="6B5775BA"/>
    <w:rsid w:val="6B6C1D6A"/>
    <w:rsid w:val="6B706DFD"/>
    <w:rsid w:val="6B735145"/>
    <w:rsid w:val="6B76701F"/>
    <w:rsid w:val="6BAA63F6"/>
    <w:rsid w:val="6BB64940"/>
    <w:rsid w:val="6BBA5ABD"/>
    <w:rsid w:val="6BC04151"/>
    <w:rsid w:val="6BFF6B53"/>
    <w:rsid w:val="6C161EDD"/>
    <w:rsid w:val="6C17534B"/>
    <w:rsid w:val="6C52384A"/>
    <w:rsid w:val="6C5F577B"/>
    <w:rsid w:val="6C5F6B13"/>
    <w:rsid w:val="6C831486"/>
    <w:rsid w:val="6C8C7141"/>
    <w:rsid w:val="6C903E5F"/>
    <w:rsid w:val="6C92595F"/>
    <w:rsid w:val="6CA31D11"/>
    <w:rsid w:val="6CE513BE"/>
    <w:rsid w:val="6CEE595E"/>
    <w:rsid w:val="6CF82160"/>
    <w:rsid w:val="6D094BFA"/>
    <w:rsid w:val="6D1D7324"/>
    <w:rsid w:val="6D283EB3"/>
    <w:rsid w:val="6D476F5C"/>
    <w:rsid w:val="6D524D35"/>
    <w:rsid w:val="6D631E8B"/>
    <w:rsid w:val="6DA45721"/>
    <w:rsid w:val="6DEF5724"/>
    <w:rsid w:val="6E2D7396"/>
    <w:rsid w:val="6E977E1E"/>
    <w:rsid w:val="6E9A083E"/>
    <w:rsid w:val="6F1013D6"/>
    <w:rsid w:val="6F1830F3"/>
    <w:rsid w:val="6F2C4E6B"/>
    <w:rsid w:val="6F7502BE"/>
    <w:rsid w:val="6F8E346E"/>
    <w:rsid w:val="6F922D77"/>
    <w:rsid w:val="6FA523D2"/>
    <w:rsid w:val="6FA85985"/>
    <w:rsid w:val="6FD7718C"/>
    <w:rsid w:val="6FEA2DEF"/>
    <w:rsid w:val="70231C9D"/>
    <w:rsid w:val="70411BFE"/>
    <w:rsid w:val="704768DE"/>
    <w:rsid w:val="707B5C7D"/>
    <w:rsid w:val="708C386D"/>
    <w:rsid w:val="7093353E"/>
    <w:rsid w:val="70A25D2A"/>
    <w:rsid w:val="70EC15F1"/>
    <w:rsid w:val="70F606D1"/>
    <w:rsid w:val="710C3141"/>
    <w:rsid w:val="71104E62"/>
    <w:rsid w:val="713927A1"/>
    <w:rsid w:val="71426CAF"/>
    <w:rsid w:val="71771B4C"/>
    <w:rsid w:val="719525E5"/>
    <w:rsid w:val="71C43EDF"/>
    <w:rsid w:val="71D12B7B"/>
    <w:rsid w:val="72047D57"/>
    <w:rsid w:val="7254510E"/>
    <w:rsid w:val="72563FB1"/>
    <w:rsid w:val="726E28BC"/>
    <w:rsid w:val="729701F7"/>
    <w:rsid w:val="72C13435"/>
    <w:rsid w:val="7332304C"/>
    <w:rsid w:val="73460DCF"/>
    <w:rsid w:val="736F51CC"/>
    <w:rsid w:val="73765DF7"/>
    <w:rsid w:val="739C093C"/>
    <w:rsid w:val="739D0315"/>
    <w:rsid w:val="73CE4F10"/>
    <w:rsid w:val="73DE0BF4"/>
    <w:rsid w:val="73EF72A5"/>
    <w:rsid w:val="740166CA"/>
    <w:rsid w:val="741606DE"/>
    <w:rsid w:val="746B4618"/>
    <w:rsid w:val="746F2FAE"/>
    <w:rsid w:val="748E187D"/>
    <w:rsid w:val="74F727ED"/>
    <w:rsid w:val="75395A4F"/>
    <w:rsid w:val="75A62599"/>
    <w:rsid w:val="75C718AC"/>
    <w:rsid w:val="75E5168E"/>
    <w:rsid w:val="75E65018"/>
    <w:rsid w:val="75FD7923"/>
    <w:rsid w:val="764536B8"/>
    <w:rsid w:val="764C1E95"/>
    <w:rsid w:val="765340BE"/>
    <w:rsid w:val="76600B0B"/>
    <w:rsid w:val="769D4729"/>
    <w:rsid w:val="76EC025F"/>
    <w:rsid w:val="77104195"/>
    <w:rsid w:val="77532B5B"/>
    <w:rsid w:val="777C7EBC"/>
    <w:rsid w:val="77A72B49"/>
    <w:rsid w:val="77BA48A1"/>
    <w:rsid w:val="77EA45C3"/>
    <w:rsid w:val="77F3515D"/>
    <w:rsid w:val="77F537AF"/>
    <w:rsid w:val="78427D95"/>
    <w:rsid w:val="789B3619"/>
    <w:rsid w:val="78CE3373"/>
    <w:rsid w:val="78EA06B1"/>
    <w:rsid w:val="79303653"/>
    <w:rsid w:val="79332894"/>
    <w:rsid w:val="79432FDA"/>
    <w:rsid w:val="794E031B"/>
    <w:rsid w:val="796340FE"/>
    <w:rsid w:val="79F651E3"/>
    <w:rsid w:val="7A4A0DFD"/>
    <w:rsid w:val="7A520642"/>
    <w:rsid w:val="7A552236"/>
    <w:rsid w:val="7A735659"/>
    <w:rsid w:val="7A7E0068"/>
    <w:rsid w:val="7AB60141"/>
    <w:rsid w:val="7AB7745D"/>
    <w:rsid w:val="7AC17447"/>
    <w:rsid w:val="7AD70C9B"/>
    <w:rsid w:val="7ADA5B3C"/>
    <w:rsid w:val="7B4531F1"/>
    <w:rsid w:val="7B4D07FD"/>
    <w:rsid w:val="7BAB3DF5"/>
    <w:rsid w:val="7BD26364"/>
    <w:rsid w:val="7BDB29F1"/>
    <w:rsid w:val="7C2F53CB"/>
    <w:rsid w:val="7C3A3603"/>
    <w:rsid w:val="7C461D0D"/>
    <w:rsid w:val="7C485C63"/>
    <w:rsid w:val="7CA834CE"/>
    <w:rsid w:val="7CB9036C"/>
    <w:rsid w:val="7D047631"/>
    <w:rsid w:val="7D3475DB"/>
    <w:rsid w:val="7D425577"/>
    <w:rsid w:val="7D771F95"/>
    <w:rsid w:val="7D942460"/>
    <w:rsid w:val="7DDD5D1F"/>
    <w:rsid w:val="7E0B3754"/>
    <w:rsid w:val="7E3077B5"/>
    <w:rsid w:val="7E3C4D54"/>
    <w:rsid w:val="7E563F68"/>
    <w:rsid w:val="7EC40A24"/>
    <w:rsid w:val="7F1063AE"/>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9"/>
    <w:qFormat/>
    <w:uiPriority w:val="0"/>
    <w:pPr>
      <w:keepNext/>
      <w:jc w:val="center"/>
      <w:outlineLvl w:val="0"/>
    </w:pPr>
    <w:rPr>
      <w:rFonts w:eastAsia="黑体"/>
      <w:b/>
      <w:sz w:val="32"/>
      <w:szCs w:val="20"/>
    </w:rPr>
  </w:style>
  <w:style w:type="paragraph" w:styleId="4">
    <w:name w:val="heading 2"/>
    <w:basedOn w:val="1"/>
    <w:next w:val="1"/>
    <w:link w:val="67"/>
    <w:qFormat/>
    <w:uiPriority w:val="0"/>
    <w:pPr>
      <w:keepNext/>
      <w:outlineLvl w:val="1"/>
    </w:pPr>
    <w:rPr>
      <w:rFonts w:ascii="仿宋_GB2312"/>
      <w:b/>
      <w:sz w:val="28"/>
      <w:szCs w:val="32"/>
    </w:rPr>
  </w:style>
  <w:style w:type="paragraph" w:styleId="5">
    <w:name w:val="heading 3"/>
    <w:basedOn w:val="1"/>
    <w:next w:val="1"/>
    <w:link w:val="152"/>
    <w:qFormat/>
    <w:uiPriority w:val="0"/>
    <w:pPr>
      <w:keepNext/>
      <w:keepLines/>
      <w:spacing w:line="540" w:lineRule="atLeast"/>
      <w:outlineLvl w:val="2"/>
    </w:pPr>
    <w:rPr>
      <w:rFonts w:eastAsia="黑体"/>
      <w:b/>
      <w:sz w:val="28"/>
      <w:szCs w:val="20"/>
    </w:rPr>
  </w:style>
  <w:style w:type="paragraph" w:styleId="6">
    <w:name w:val="heading 4"/>
    <w:basedOn w:val="1"/>
    <w:next w:val="1"/>
    <w:link w:val="149"/>
    <w:autoRedefine/>
    <w:qFormat/>
    <w:uiPriority w:val="0"/>
    <w:pPr>
      <w:keepNext/>
      <w:keepLines/>
      <w:spacing w:line="540" w:lineRule="atLeast"/>
      <w:outlineLvl w:val="3"/>
    </w:pPr>
    <w:rPr>
      <w:sz w:val="28"/>
      <w:szCs w:val="28"/>
    </w:rPr>
  </w:style>
  <w:style w:type="paragraph" w:styleId="7">
    <w:name w:val="heading 5"/>
    <w:basedOn w:val="1"/>
    <w:next w:val="1"/>
    <w:link w:val="132"/>
    <w:autoRedefine/>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3"/>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70"/>
    <w:autoRedefine/>
    <w:qFormat/>
    <w:uiPriority w:val="0"/>
    <w:pPr>
      <w:keepNext/>
      <w:keepLines/>
      <w:spacing w:before="240" w:after="64" w:line="317" w:lineRule="auto"/>
      <w:outlineLvl w:val="6"/>
    </w:pPr>
    <w:rPr>
      <w:b/>
      <w:sz w:val="24"/>
      <w:szCs w:val="20"/>
    </w:rPr>
  </w:style>
  <w:style w:type="paragraph" w:styleId="11">
    <w:name w:val="heading 8"/>
    <w:basedOn w:val="1"/>
    <w:next w:val="9"/>
    <w:link w:val="176"/>
    <w:autoRedefine/>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3"/>
    <w:autoRedefine/>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3">
    <w:name w:val="macro"/>
    <w:link w:val="118"/>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5"/>
    <w:autoRedefine/>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autoRedefine/>
    <w:qFormat/>
    <w:uiPriority w:val="0"/>
    <w:pPr>
      <w:autoSpaceDE w:val="0"/>
      <w:autoSpaceDN w:val="0"/>
      <w:adjustRightInd w:val="0"/>
      <w:ind w:left="2520" w:leftChars="1200"/>
      <w:jc w:val="left"/>
    </w:pPr>
    <w:rPr>
      <w:kern w:val="0"/>
      <w:sz w:val="20"/>
      <w:szCs w:val="20"/>
    </w:rPr>
  </w:style>
  <w:style w:type="paragraph" w:styleId="14">
    <w:name w:val="List Number"/>
    <w:basedOn w:val="1"/>
    <w:autoRedefine/>
    <w:qFormat/>
    <w:uiPriority w:val="0"/>
    <w:pPr>
      <w:tabs>
        <w:tab w:val="left" w:pos="360"/>
      </w:tabs>
      <w:ind w:left="360" w:hanging="360" w:hangingChars="200"/>
    </w:pPr>
  </w:style>
  <w:style w:type="paragraph" w:styleId="15">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autoRedefine/>
    <w:qFormat/>
    <w:uiPriority w:val="0"/>
    <w:pPr>
      <w:tabs>
        <w:tab w:val="left" w:pos="360"/>
      </w:tabs>
    </w:pPr>
    <w:rPr>
      <w:rFonts w:ascii="Calibri" w:hAnsi="Calibri"/>
      <w:szCs w:val="22"/>
    </w:rPr>
  </w:style>
  <w:style w:type="paragraph" w:styleId="17">
    <w:name w:val="Document Map"/>
    <w:basedOn w:val="1"/>
    <w:link w:val="131"/>
    <w:autoRedefine/>
    <w:qFormat/>
    <w:uiPriority w:val="0"/>
    <w:pPr>
      <w:shd w:val="clear" w:color="auto" w:fill="000080"/>
    </w:pPr>
  </w:style>
  <w:style w:type="paragraph" w:styleId="18">
    <w:name w:val="annotation text"/>
    <w:basedOn w:val="1"/>
    <w:link w:val="91"/>
    <w:autoRedefine/>
    <w:qFormat/>
    <w:uiPriority w:val="0"/>
    <w:pPr>
      <w:jc w:val="left"/>
    </w:pPr>
  </w:style>
  <w:style w:type="paragraph" w:styleId="19">
    <w:name w:val="Salutation"/>
    <w:basedOn w:val="1"/>
    <w:next w:val="1"/>
    <w:link w:val="79"/>
    <w:autoRedefine/>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5"/>
    <w:autoRedefine/>
    <w:qFormat/>
    <w:uiPriority w:val="0"/>
    <w:pPr>
      <w:autoSpaceDE w:val="0"/>
      <w:autoSpaceDN w:val="0"/>
      <w:adjustRightInd w:val="0"/>
      <w:jc w:val="center"/>
    </w:pPr>
  </w:style>
  <w:style w:type="paragraph" w:styleId="21">
    <w:name w:val="Body Text"/>
    <w:basedOn w:val="1"/>
    <w:next w:val="22"/>
    <w:link w:val="164"/>
    <w:autoRedefine/>
    <w:qFormat/>
    <w:uiPriority w:val="0"/>
    <w:pPr>
      <w:spacing w:after="120"/>
    </w:pPr>
    <w:rPr>
      <w:rFonts w:ascii="仿宋_GB2312"/>
      <w:b/>
    </w:rPr>
  </w:style>
  <w:style w:type="paragraph" w:styleId="22">
    <w:name w:val="Body Text First Indent"/>
    <w:basedOn w:val="21"/>
    <w:next w:val="23"/>
    <w:link w:val="196"/>
    <w:autoRedefine/>
    <w:qFormat/>
    <w:uiPriority w:val="0"/>
    <w:pPr>
      <w:autoSpaceDE w:val="0"/>
      <w:autoSpaceDN w:val="0"/>
      <w:adjustRightInd w:val="0"/>
      <w:ind w:firstLine="420" w:firstLineChars="100"/>
      <w:jc w:val="left"/>
    </w:pPr>
    <w:rPr>
      <w:rFonts w:ascii="Times New Roman"/>
      <w:b w:val="0"/>
      <w:kern w:val="0"/>
      <w:sz w:val="20"/>
      <w:szCs w:val="20"/>
    </w:rPr>
  </w:style>
  <w:style w:type="paragraph" w:styleId="23">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24">
    <w:name w:val="Body Text Indent"/>
    <w:basedOn w:val="1"/>
    <w:next w:val="25"/>
    <w:link w:val="144"/>
    <w:autoRedefine/>
    <w:qFormat/>
    <w:uiPriority w:val="0"/>
    <w:pPr>
      <w:ind w:left="480" w:hanging="480" w:hangingChars="200"/>
    </w:pPr>
    <w:rPr>
      <w:sz w:val="24"/>
    </w:rPr>
  </w:style>
  <w:style w:type="paragraph" w:styleId="25">
    <w:name w:val="Body Text First Indent 2"/>
    <w:basedOn w:val="24"/>
    <w:autoRedefine/>
    <w:qFormat/>
    <w:uiPriority w:val="0"/>
    <w:pPr>
      <w:spacing w:after="120"/>
      <w:ind w:left="420" w:leftChars="200" w:firstLine="420"/>
    </w:pPr>
    <w:rPr>
      <w:rFonts w:cs="宋体"/>
      <w:sz w:val="21"/>
      <w:szCs w:val="21"/>
    </w:rPr>
  </w:style>
  <w:style w:type="paragraph" w:styleId="26">
    <w:name w:val="List Number 3"/>
    <w:basedOn w:val="1"/>
    <w:autoRedefine/>
    <w:qFormat/>
    <w:uiPriority w:val="0"/>
    <w:pPr>
      <w:tabs>
        <w:tab w:val="left" w:pos="1200"/>
      </w:tabs>
      <w:ind w:left="1200" w:leftChars="400" w:hanging="360" w:hangingChars="200"/>
    </w:pPr>
  </w:style>
  <w:style w:type="paragraph" w:styleId="27">
    <w:name w:val="Block Text"/>
    <w:basedOn w:val="1"/>
    <w:autoRedefine/>
    <w:qFormat/>
    <w:uiPriority w:val="0"/>
    <w:pPr>
      <w:spacing w:line="520" w:lineRule="exact"/>
      <w:ind w:left="540" w:leftChars="257" w:right="-514"/>
    </w:pPr>
    <w:rPr>
      <w:rFonts w:ascii="宋体" w:hAnsi="宋体"/>
      <w:sz w:val="24"/>
    </w:rPr>
  </w:style>
  <w:style w:type="paragraph" w:styleId="28">
    <w:name w:val="List Bullet 2"/>
    <w:basedOn w:val="1"/>
    <w:autoRedefine/>
    <w:qFormat/>
    <w:uiPriority w:val="0"/>
    <w:pPr>
      <w:tabs>
        <w:tab w:val="left" w:pos="780"/>
      </w:tabs>
      <w:spacing w:line="360" w:lineRule="auto"/>
      <w:ind w:left="780" w:leftChars="200" w:hanging="360" w:hangingChars="200"/>
    </w:pPr>
  </w:style>
  <w:style w:type="paragraph" w:styleId="29">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30">
    <w:name w:val="toc 3"/>
    <w:basedOn w:val="1"/>
    <w:next w:val="1"/>
    <w:autoRedefine/>
    <w:qFormat/>
    <w:uiPriority w:val="0"/>
    <w:pPr>
      <w:ind w:left="840" w:leftChars="400"/>
    </w:pPr>
  </w:style>
  <w:style w:type="paragraph" w:styleId="31">
    <w:name w:val="Plain Text"/>
    <w:basedOn w:val="1"/>
    <w:next w:val="32"/>
    <w:link w:val="19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2">
    <w:name w:val="toc 2"/>
    <w:basedOn w:val="1"/>
    <w:next w:val="1"/>
    <w:autoRedefine/>
    <w:qFormat/>
    <w:uiPriority w:val="0"/>
    <w:pPr>
      <w:ind w:left="420" w:leftChars="200"/>
    </w:pPr>
  </w:style>
  <w:style w:type="paragraph" w:styleId="33">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4">
    <w:name w:val="toc 8"/>
    <w:basedOn w:val="1"/>
    <w:next w:val="1"/>
    <w:autoRedefine/>
    <w:qFormat/>
    <w:uiPriority w:val="0"/>
    <w:pPr>
      <w:autoSpaceDE w:val="0"/>
      <w:autoSpaceDN w:val="0"/>
      <w:adjustRightInd w:val="0"/>
      <w:ind w:left="2940" w:leftChars="1400"/>
      <w:jc w:val="left"/>
    </w:pPr>
    <w:rPr>
      <w:kern w:val="0"/>
      <w:sz w:val="20"/>
      <w:szCs w:val="20"/>
    </w:rPr>
  </w:style>
  <w:style w:type="paragraph" w:styleId="35">
    <w:name w:val="Date"/>
    <w:basedOn w:val="1"/>
    <w:next w:val="1"/>
    <w:link w:val="133"/>
    <w:autoRedefine/>
    <w:qFormat/>
    <w:uiPriority w:val="0"/>
    <w:pPr>
      <w:ind w:left="100" w:leftChars="2500"/>
    </w:pPr>
  </w:style>
  <w:style w:type="paragraph" w:styleId="36">
    <w:name w:val="Body Text Indent 2"/>
    <w:basedOn w:val="1"/>
    <w:link w:val="178"/>
    <w:autoRedefine/>
    <w:qFormat/>
    <w:uiPriority w:val="0"/>
    <w:pPr>
      <w:spacing w:line="500" w:lineRule="exact"/>
      <w:ind w:firstLine="511" w:firstLineChars="213"/>
    </w:pPr>
    <w:rPr>
      <w:sz w:val="24"/>
    </w:rPr>
  </w:style>
  <w:style w:type="paragraph" w:styleId="37">
    <w:name w:val="Balloon Text"/>
    <w:basedOn w:val="1"/>
    <w:link w:val="151"/>
    <w:qFormat/>
    <w:uiPriority w:val="0"/>
    <w:rPr>
      <w:sz w:val="18"/>
      <w:szCs w:val="18"/>
    </w:rPr>
  </w:style>
  <w:style w:type="paragraph" w:styleId="38">
    <w:name w:val="footer"/>
    <w:basedOn w:val="1"/>
    <w:link w:val="120"/>
    <w:autoRedefine/>
    <w:qFormat/>
    <w:uiPriority w:val="0"/>
    <w:pPr>
      <w:tabs>
        <w:tab w:val="center" w:pos="4153"/>
        <w:tab w:val="right" w:pos="8306"/>
      </w:tabs>
      <w:snapToGrid w:val="0"/>
      <w:jc w:val="left"/>
    </w:pPr>
    <w:rPr>
      <w:sz w:val="18"/>
      <w:szCs w:val="18"/>
    </w:rPr>
  </w:style>
  <w:style w:type="paragraph" w:styleId="39">
    <w:name w:val="header"/>
    <w:basedOn w:val="1"/>
    <w:link w:val="135"/>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54"/>
    <w:autoRedefine/>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1">
    <w:name w:val="toc 1"/>
    <w:basedOn w:val="1"/>
    <w:next w:val="1"/>
    <w:autoRedefine/>
    <w:qFormat/>
    <w:uiPriority w:val="0"/>
  </w:style>
  <w:style w:type="paragraph" w:styleId="42">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43">
    <w:name w:val="Subtitle"/>
    <w:basedOn w:val="1"/>
    <w:next w:val="1"/>
    <w:link w:val="134"/>
    <w:autoRedefine/>
    <w:qFormat/>
    <w:uiPriority w:val="0"/>
    <w:pPr>
      <w:spacing w:before="240" w:after="60" w:line="312" w:lineRule="auto"/>
      <w:jc w:val="center"/>
      <w:outlineLvl w:val="1"/>
    </w:pPr>
    <w:rPr>
      <w:rFonts w:ascii="Cambria" w:hAnsi="Cambria"/>
      <w:b/>
      <w:bCs/>
      <w:kern w:val="28"/>
      <w:sz w:val="32"/>
      <w:szCs w:val="32"/>
    </w:rPr>
  </w:style>
  <w:style w:type="paragraph" w:styleId="44">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5">
    <w:name w:val="List"/>
    <w:basedOn w:val="1"/>
    <w:autoRedefine/>
    <w:qFormat/>
    <w:uiPriority w:val="0"/>
    <w:pPr>
      <w:ind w:left="200" w:hanging="200" w:hangingChars="200"/>
    </w:pPr>
  </w:style>
  <w:style w:type="paragraph" w:styleId="46">
    <w:name w:val="Body Text Indent 3"/>
    <w:basedOn w:val="1"/>
    <w:link w:val="146"/>
    <w:autoRedefine/>
    <w:qFormat/>
    <w:uiPriority w:val="0"/>
    <w:pPr>
      <w:spacing w:line="500" w:lineRule="exact"/>
      <w:ind w:left="511" w:hanging="511" w:hangingChars="213"/>
    </w:pPr>
    <w:rPr>
      <w:sz w:val="24"/>
    </w:rPr>
  </w:style>
  <w:style w:type="paragraph" w:styleId="47">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8">
    <w:name w:val="Body Text 2"/>
    <w:basedOn w:val="1"/>
    <w:link w:val="198"/>
    <w:autoRedefine/>
    <w:qFormat/>
    <w:uiPriority w:val="0"/>
    <w:pPr>
      <w:autoSpaceDE w:val="0"/>
      <w:autoSpaceDN w:val="0"/>
      <w:adjustRightInd w:val="0"/>
      <w:spacing w:after="120" w:line="480" w:lineRule="auto"/>
      <w:jc w:val="left"/>
    </w:pPr>
  </w:style>
  <w:style w:type="paragraph" w:styleId="4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1"/>
    <w:autoRedefine/>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96"/>
    <w:autoRedefine/>
    <w:qFormat/>
    <w:uiPriority w:val="0"/>
    <w:rPr>
      <w:b/>
      <w:bCs/>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autoRedefine/>
    <w:qFormat/>
    <w:uiPriority w:val="0"/>
    <w:rPr>
      <w:rFonts w:ascii="仿宋_GB2312" w:eastAsia="仿宋_GB2312"/>
      <w:bCs/>
      <w:sz w:val="32"/>
      <w:szCs w:val="32"/>
    </w:rPr>
  </w:style>
  <w:style w:type="character" w:styleId="56">
    <w:name w:val="page number"/>
    <w:basedOn w:val="54"/>
    <w:autoRedefine/>
    <w:qFormat/>
    <w:uiPriority w:val="0"/>
  </w:style>
  <w:style w:type="character" w:styleId="57">
    <w:name w:val="FollowedHyperlink"/>
    <w:autoRedefine/>
    <w:qFormat/>
    <w:uiPriority w:val="0"/>
    <w:rPr>
      <w:rFonts w:ascii="仿宋_GB2312" w:eastAsia="仿宋_GB2312"/>
      <w:b/>
      <w:color w:val="800080"/>
      <w:sz w:val="32"/>
      <w:szCs w:val="32"/>
      <w:u w:val="none"/>
    </w:rPr>
  </w:style>
  <w:style w:type="character" w:styleId="58">
    <w:name w:val="Emphasis"/>
    <w:autoRedefine/>
    <w:qFormat/>
    <w:uiPriority w:val="0"/>
    <w:rPr>
      <w:i/>
      <w:iCs/>
    </w:rPr>
  </w:style>
  <w:style w:type="character" w:styleId="59">
    <w:name w:val="line number"/>
    <w:basedOn w:val="54"/>
    <w:autoRedefine/>
    <w:qFormat/>
    <w:uiPriority w:val="0"/>
  </w:style>
  <w:style w:type="character" w:styleId="60">
    <w:name w:val="Hyperlink"/>
    <w:autoRedefine/>
    <w:qFormat/>
    <w:uiPriority w:val="0"/>
    <w:rPr>
      <w:rFonts w:ascii="仿宋_GB2312" w:eastAsia="仿宋_GB2312"/>
      <w:b/>
      <w:color w:val="0000FF"/>
      <w:sz w:val="32"/>
      <w:szCs w:val="32"/>
      <w:u w:val="none"/>
    </w:rPr>
  </w:style>
  <w:style w:type="character" w:styleId="61">
    <w:name w:val="annotation reference"/>
    <w:autoRedefine/>
    <w:qFormat/>
    <w:uiPriority w:val="0"/>
    <w:rPr>
      <w:sz w:val="21"/>
      <w:szCs w:val="21"/>
    </w:rPr>
  </w:style>
  <w:style w:type="character" w:styleId="62">
    <w:name w:val="HTML Cite"/>
    <w:autoRedefine/>
    <w:qFormat/>
    <w:uiPriority w:val="0"/>
    <w:rPr>
      <w:color w:val="008000"/>
    </w:rPr>
  </w:style>
  <w:style w:type="character" w:styleId="63">
    <w:name w:val="HTML Sample"/>
    <w:basedOn w:val="54"/>
    <w:qFormat/>
    <w:uiPriority w:val="0"/>
    <w:rPr>
      <w:rFonts w:ascii="Courier New" w:hAnsi="Courier New"/>
    </w:rPr>
  </w:style>
  <w:style w:type="paragraph" w:customStyle="1" w:styleId="64">
    <w:name w:val="Char3 Char Char Char"/>
    <w:basedOn w:val="1"/>
    <w:autoRedefine/>
    <w:qFormat/>
    <w:uiPriority w:val="0"/>
  </w:style>
  <w:style w:type="character" w:customStyle="1" w:styleId="65">
    <w:name w:val="不明显参考1"/>
    <w:autoRedefine/>
    <w:qFormat/>
    <w:uiPriority w:val="0"/>
    <w:rPr>
      <w:smallCaps/>
      <w:color w:val="C0504D"/>
      <w:u w:val="single"/>
    </w:rPr>
  </w:style>
  <w:style w:type="character" w:customStyle="1" w:styleId="66">
    <w:name w:val="PI Char1"/>
    <w:autoRedefine/>
    <w:qFormat/>
    <w:uiPriority w:val="0"/>
    <w:rPr>
      <w:rFonts w:eastAsia="宋体"/>
      <w:kern w:val="2"/>
      <w:sz w:val="24"/>
      <w:szCs w:val="24"/>
      <w:lang w:val="en-US" w:eastAsia="zh-CN" w:bidi="ar-SA"/>
    </w:rPr>
  </w:style>
  <w:style w:type="character" w:customStyle="1" w:styleId="67">
    <w:name w:val="标题 2 字符"/>
    <w:link w:val="4"/>
    <w:qFormat/>
    <w:uiPriority w:val="0"/>
    <w:rPr>
      <w:rFonts w:ascii="仿宋_GB2312" w:eastAsia="宋体"/>
      <w:b/>
      <w:kern w:val="2"/>
      <w:sz w:val="28"/>
      <w:szCs w:val="32"/>
      <w:lang w:val="en-US" w:eastAsia="zh-CN" w:bidi="ar-SA"/>
    </w:rPr>
  </w:style>
  <w:style w:type="character" w:customStyle="1" w:styleId="68">
    <w:name w:val="pt141"/>
    <w:autoRedefine/>
    <w:qFormat/>
    <w:uiPriority w:val="0"/>
    <w:rPr>
      <w:color w:val="330066"/>
      <w:spacing w:val="450"/>
      <w:sz w:val="22"/>
      <w:szCs w:val="22"/>
    </w:rPr>
  </w:style>
  <w:style w:type="character" w:customStyle="1" w:styleId="69">
    <w:name w:val="Char Char27"/>
    <w:autoRedefine/>
    <w:qFormat/>
    <w:uiPriority w:val="0"/>
    <w:rPr>
      <w:rFonts w:eastAsia="宋体"/>
      <w:kern w:val="2"/>
      <w:sz w:val="28"/>
      <w:lang w:val="en-US" w:eastAsia="zh-CN" w:bidi="ar-SA"/>
    </w:rPr>
  </w:style>
  <w:style w:type="character" w:customStyle="1" w:styleId="70">
    <w:name w:val="标题 7 字符"/>
    <w:link w:val="10"/>
    <w:qFormat/>
    <w:uiPriority w:val="0"/>
    <w:rPr>
      <w:rFonts w:eastAsia="宋体"/>
      <w:b/>
      <w:kern w:val="2"/>
      <w:sz w:val="24"/>
      <w:lang w:val="en-US" w:eastAsia="zh-CN" w:bidi="ar-SA"/>
    </w:rPr>
  </w:style>
  <w:style w:type="character" w:customStyle="1" w:styleId="71">
    <w:name w:val="明显参考1"/>
    <w:qFormat/>
    <w:uiPriority w:val="0"/>
    <w:rPr>
      <w:b/>
      <w:bCs/>
      <w:smallCaps/>
      <w:color w:val="C0504D"/>
      <w:spacing w:val="5"/>
      <w:u w:val="single"/>
    </w:rPr>
  </w:style>
  <w:style w:type="character" w:customStyle="1" w:styleId="72">
    <w:name w:val="书籍标题1"/>
    <w:autoRedefine/>
    <w:qFormat/>
    <w:uiPriority w:val="0"/>
    <w:rPr>
      <w:b/>
      <w:bCs/>
      <w:smallCaps/>
      <w:spacing w:val="5"/>
    </w:rPr>
  </w:style>
  <w:style w:type="character" w:customStyle="1" w:styleId="73">
    <w:name w:val="Char Char61"/>
    <w:autoRedefine/>
    <w:qFormat/>
    <w:uiPriority w:val="0"/>
    <w:rPr>
      <w:rFonts w:ascii="Times New Roman" w:hAnsi="Times New Roman" w:eastAsia="宋体" w:cs="Times New Roman"/>
      <w:szCs w:val="24"/>
    </w:rPr>
  </w:style>
  <w:style w:type="character" w:customStyle="1" w:styleId="74">
    <w:name w:val="Char Char24"/>
    <w:autoRedefine/>
    <w:qFormat/>
    <w:uiPriority w:val="0"/>
    <w:rPr>
      <w:rFonts w:eastAsia="宋体"/>
      <w:b/>
      <w:kern w:val="2"/>
      <w:sz w:val="28"/>
      <w:lang w:val="en-US" w:eastAsia="zh-CN" w:bidi="ar-SA"/>
    </w:rPr>
  </w:style>
  <w:style w:type="character" w:customStyle="1" w:styleId="75">
    <w:name w:val="Style4"/>
    <w:autoRedefine/>
    <w:qFormat/>
    <w:uiPriority w:val="0"/>
    <w:rPr>
      <w:rFonts w:ascii="Calibri" w:hAnsi="宋体" w:eastAsia="宋体" w:cs="Times New Roman"/>
      <w:szCs w:val="22"/>
      <w:lang w:eastAsia="zh-CN"/>
    </w:rPr>
  </w:style>
  <w:style w:type="character" w:customStyle="1" w:styleId="76">
    <w:name w:val="Style1"/>
    <w:autoRedefine/>
    <w:qFormat/>
    <w:uiPriority w:val="0"/>
    <w:rPr>
      <w:rFonts w:ascii="Calibri" w:hAnsi="宋体" w:eastAsia="宋体" w:cs="Times New Roman"/>
      <w:sz w:val="22"/>
      <w:szCs w:val="22"/>
      <w:lang w:eastAsia="zh-CN"/>
    </w:rPr>
  </w:style>
  <w:style w:type="character" w:customStyle="1" w:styleId="77">
    <w:name w:val="heading 1 Char1"/>
    <w:autoRedefine/>
    <w:qFormat/>
    <w:uiPriority w:val="0"/>
    <w:rPr>
      <w:rFonts w:eastAsia="宋体"/>
      <w:b/>
      <w:bCs/>
      <w:kern w:val="44"/>
      <w:sz w:val="44"/>
      <w:szCs w:val="44"/>
      <w:lang w:val="en-US" w:eastAsia="zh-CN" w:bidi="ar-SA"/>
    </w:rPr>
  </w:style>
  <w:style w:type="character" w:customStyle="1" w:styleId="78">
    <w:name w:val="Style5"/>
    <w:qFormat/>
    <w:uiPriority w:val="0"/>
    <w:rPr>
      <w:rFonts w:ascii="Calibri" w:hAnsi="宋体" w:eastAsia="宋体" w:cs="Times New Roman"/>
      <w:sz w:val="22"/>
      <w:szCs w:val="22"/>
      <w:lang w:eastAsia="zh-CN"/>
    </w:rPr>
  </w:style>
  <w:style w:type="character" w:customStyle="1" w:styleId="79">
    <w:name w:val="称呼 字符"/>
    <w:link w:val="19"/>
    <w:autoRedefine/>
    <w:qFormat/>
    <w:uiPriority w:val="0"/>
    <w:rPr>
      <w:rFonts w:ascii="仿宋_GB2312" w:eastAsia="仿宋_GB2312"/>
      <w:b/>
      <w:sz w:val="24"/>
      <w:szCs w:val="32"/>
    </w:rPr>
  </w:style>
  <w:style w:type="character" w:customStyle="1" w:styleId="80">
    <w:name w:val="Ò³Ã¼ Char Char2"/>
    <w:autoRedefine/>
    <w:qFormat/>
    <w:uiPriority w:val="0"/>
    <w:rPr>
      <w:kern w:val="2"/>
      <w:sz w:val="18"/>
      <w:szCs w:val="18"/>
    </w:rPr>
  </w:style>
  <w:style w:type="character" w:customStyle="1" w:styleId="81">
    <w:name w:val="明显强调1"/>
    <w:autoRedefine/>
    <w:qFormat/>
    <w:uiPriority w:val="0"/>
    <w:rPr>
      <w:b/>
      <w:bCs/>
      <w:i/>
      <w:iCs/>
      <w:color w:val="4F81BD"/>
    </w:rPr>
  </w:style>
  <w:style w:type="character" w:customStyle="1" w:styleId="82">
    <w:name w:val="样式 标题 3 + 黑体 小四 Char Char"/>
    <w:link w:val="83"/>
    <w:autoRedefine/>
    <w:qFormat/>
    <w:uiPriority w:val="0"/>
    <w:rPr>
      <w:rFonts w:ascii="黑体" w:hAnsi="Arial" w:eastAsia="黑体"/>
      <w:bCs/>
      <w:sz w:val="24"/>
      <w:szCs w:val="24"/>
      <w:lang w:bidi="ar-SA"/>
    </w:rPr>
  </w:style>
  <w:style w:type="paragraph" w:customStyle="1" w:styleId="83">
    <w:name w:val="样式 标题 3 + 黑体 小四"/>
    <w:basedOn w:val="5"/>
    <w:link w:val="82"/>
    <w:autoRedefine/>
    <w:qFormat/>
    <w:uiPriority w:val="0"/>
    <w:pPr>
      <w:spacing w:before="260" w:after="260" w:line="413" w:lineRule="auto"/>
    </w:pPr>
    <w:rPr>
      <w:rFonts w:ascii="黑体" w:hAnsi="Arial"/>
      <w:b w:val="0"/>
      <w:bCs/>
      <w:kern w:val="0"/>
      <w:sz w:val="24"/>
      <w:szCs w:val="24"/>
    </w:rPr>
  </w:style>
  <w:style w:type="character" w:customStyle="1" w:styleId="84">
    <w:name w:val="heading 7 Char1"/>
    <w:autoRedefine/>
    <w:qFormat/>
    <w:uiPriority w:val="0"/>
    <w:rPr>
      <w:rFonts w:ascii="Arial" w:hAnsi="Arial" w:eastAsia="黑体"/>
      <w:sz w:val="21"/>
      <w:szCs w:val="21"/>
      <w:lang w:val="en-US" w:eastAsia="zh-CN" w:bidi="ar-SA"/>
    </w:rPr>
  </w:style>
  <w:style w:type="character" w:customStyle="1" w:styleId="85">
    <w:name w:val="Char Char1"/>
    <w:autoRedefine/>
    <w:qFormat/>
    <w:uiPriority w:val="0"/>
    <w:rPr>
      <w:rFonts w:eastAsia="宋体"/>
      <w:sz w:val="21"/>
      <w:lang w:val="en-US" w:eastAsia="zh-CN" w:bidi="ar-SA"/>
    </w:rPr>
  </w:style>
  <w:style w:type="character" w:customStyle="1" w:styleId="86">
    <w:name w:val="Char Char12"/>
    <w:autoRedefine/>
    <w:qFormat/>
    <w:uiPriority w:val="0"/>
    <w:rPr>
      <w:rFonts w:eastAsia="宋体"/>
      <w:kern w:val="2"/>
      <w:sz w:val="21"/>
      <w:szCs w:val="24"/>
      <w:lang w:val="en-US" w:eastAsia="zh-CN" w:bidi="ar-SA"/>
    </w:rPr>
  </w:style>
  <w:style w:type="character" w:customStyle="1" w:styleId="87">
    <w:name w:val="Char Char18"/>
    <w:autoRedefine/>
    <w:qFormat/>
    <w:uiPriority w:val="0"/>
    <w:rPr>
      <w:b/>
      <w:bCs/>
      <w:kern w:val="2"/>
      <w:sz w:val="32"/>
      <w:szCs w:val="32"/>
    </w:rPr>
  </w:style>
  <w:style w:type="character" w:customStyle="1" w:styleId="88">
    <w:name w:val="Char Char4"/>
    <w:autoRedefine/>
    <w:qFormat/>
    <w:uiPriority w:val="0"/>
    <w:rPr>
      <w:rFonts w:ascii="Cambria" w:hAnsi="Cambria" w:eastAsia="宋体"/>
      <w:b/>
      <w:bCs/>
      <w:sz w:val="32"/>
      <w:szCs w:val="32"/>
      <w:lang w:bidi="ar-SA"/>
    </w:rPr>
  </w:style>
  <w:style w:type="character" w:customStyle="1" w:styleId="89">
    <w:name w:val="PI Char"/>
    <w:qFormat/>
    <w:uiPriority w:val="0"/>
    <w:rPr>
      <w:rFonts w:ascii="宋体" w:hAnsi="宋体"/>
      <w:sz w:val="24"/>
    </w:rPr>
  </w:style>
  <w:style w:type="character" w:customStyle="1" w:styleId="90">
    <w:name w:val="明显参考2"/>
    <w:autoRedefine/>
    <w:qFormat/>
    <w:uiPriority w:val="0"/>
    <w:rPr>
      <w:b/>
      <w:bCs/>
      <w:smallCaps/>
      <w:color w:val="C0504D"/>
      <w:spacing w:val="5"/>
      <w:u w:val="single"/>
    </w:rPr>
  </w:style>
  <w:style w:type="character" w:customStyle="1" w:styleId="91">
    <w:name w:val="批注文字 字符"/>
    <w:link w:val="18"/>
    <w:autoRedefine/>
    <w:qFormat/>
    <w:uiPriority w:val="0"/>
    <w:rPr>
      <w:rFonts w:eastAsia="宋体"/>
      <w:kern w:val="2"/>
      <w:sz w:val="21"/>
      <w:szCs w:val="24"/>
      <w:lang w:val="en-US" w:eastAsia="zh-CN" w:bidi="ar-SA"/>
    </w:rPr>
  </w:style>
  <w:style w:type="character" w:customStyle="1" w:styleId="92">
    <w:name w:val="Style2"/>
    <w:qFormat/>
    <w:uiPriority w:val="0"/>
    <w:rPr>
      <w:rFonts w:ascii="Calibri" w:hAnsi="宋体" w:eastAsia="宋体" w:cs="Times New Roman"/>
      <w:sz w:val="22"/>
      <w:szCs w:val="22"/>
      <w:lang w:eastAsia="zh-CN"/>
    </w:rPr>
  </w:style>
  <w:style w:type="character" w:customStyle="1" w:styleId="93">
    <w:name w:val="Footer-Even Char1"/>
    <w:autoRedefine/>
    <w:qFormat/>
    <w:uiPriority w:val="0"/>
    <w:rPr>
      <w:rFonts w:eastAsia="宋体"/>
      <w:kern w:val="2"/>
      <w:sz w:val="18"/>
      <w:szCs w:val="18"/>
      <w:lang w:val="en-US" w:eastAsia="zh-CN" w:bidi="ar-SA"/>
    </w:rPr>
  </w:style>
  <w:style w:type="character" w:customStyle="1" w:styleId="94">
    <w:name w:val="heading 4 Char1"/>
    <w:autoRedefine/>
    <w:qFormat/>
    <w:uiPriority w:val="0"/>
    <w:rPr>
      <w:rFonts w:ascii="Cambria" w:hAnsi="Cambria" w:eastAsia="宋体"/>
      <w:b/>
      <w:bCs/>
      <w:kern w:val="2"/>
      <w:sz w:val="28"/>
      <w:szCs w:val="28"/>
      <w:lang w:val="en-US" w:eastAsia="zh-CN" w:bidi="ar-SA"/>
    </w:rPr>
  </w:style>
  <w:style w:type="character" w:customStyle="1" w:styleId="95">
    <w:name w:val="正文文本 3 字符"/>
    <w:basedOn w:val="54"/>
    <w:link w:val="20"/>
    <w:autoRedefine/>
    <w:qFormat/>
    <w:uiPriority w:val="0"/>
  </w:style>
  <w:style w:type="character" w:customStyle="1" w:styleId="96">
    <w:name w:val="批注主题 字符"/>
    <w:link w:val="51"/>
    <w:autoRedefine/>
    <w:qFormat/>
    <w:uiPriority w:val="0"/>
    <w:rPr>
      <w:rFonts w:eastAsia="宋体"/>
      <w:b/>
      <w:bCs/>
      <w:kern w:val="2"/>
      <w:sz w:val="21"/>
      <w:szCs w:val="24"/>
      <w:lang w:val="en-US" w:eastAsia="zh-CN" w:bidi="ar-SA"/>
    </w:rPr>
  </w:style>
  <w:style w:type="character" w:customStyle="1" w:styleId="97">
    <w:name w:val="不明显参考11"/>
    <w:qFormat/>
    <w:uiPriority w:val="0"/>
    <w:rPr>
      <w:smallCaps/>
      <w:color w:val="C0504D"/>
      <w:u w:val="single"/>
    </w:rPr>
  </w:style>
  <w:style w:type="character" w:customStyle="1" w:styleId="98">
    <w:name w:val="Plain Text Char"/>
    <w:autoRedefine/>
    <w:qFormat/>
    <w:uiPriority w:val="0"/>
    <w:rPr>
      <w:rFonts w:ascii="宋体" w:hAnsi="Courier New" w:eastAsia="宋体" w:cs="Times New Roman"/>
      <w:sz w:val="21"/>
      <w:szCs w:val="21"/>
    </w:rPr>
  </w:style>
  <w:style w:type="character" w:customStyle="1" w:styleId="99">
    <w:name w:val="Char Char111"/>
    <w:autoRedefine/>
    <w:qFormat/>
    <w:uiPriority w:val="0"/>
    <w:rPr>
      <w:rFonts w:ascii="Times New Roman" w:hAnsi="Times New Roman" w:eastAsia="宋体" w:cs="Times New Roman"/>
      <w:sz w:val="18"/>
      <w:szCs w:val="18"/>
    </w:rPr>
  </w:style>
  <w:style w:type="character" w:customStyle="1" w:styleId="100">
    <w:name w:val="无间距字符"/>
    <w:link w:val="101"/>
    <w:qFormat/>
    <w:uiPriority w:val="0"/>
    <w:rPr>
      <w:rFonts w:eastAsia="Times New Roman"/>
      <w:sz w:val="22"/>
      <w:szCs w:val="22"/>
      <w:lang w:val="en-US" w:eastAsia="zh-CN" w:bidi="ar-SA"/>
    </w:rPr>
  </w:style>
  <w:style w:type="paragraph" w:customStyle="1" w:styleId="101">
    <w:name w:val="无间距"/>
    <w:link w:val="100"/>
    <w:autoRedefine/>
    <w:qFormat/>
    <w:uiPriority w:val="0"/>
    <w:rPr>
      <w:rFonts w:ascii="Times New Roman" w:hAnsi="Times New Roman" w:eastAsia="Times New Roman" w:cs="Times New Roman"/>
      <w:sz w:val="22"/>
      <w:szCs w:val="22"/>
      <w:lang w:val="en-US" w:eastAsia="zh-CN" w:bidi="ar-SA"/>
    </w:rPr>
  </w:style>
  <w:style w:type="character" w:customStyle="1" w:styleId="102">
    <w:name w:val="heading 5 Char2"/>
    <w:autoRedefine/>
    <w:qFormat/>
    <w:uiPriority w:val="0"/>
    <w:rPr>
      <w:b/>
      <w:bCs/>
      <w:kern w:val="2"/>
      <w:sz w:val="28"/>
      <w:szCs w:val="28"/>
    </w:rPr>
  </w:style>
  <w:style w:type="character" w:customStyle="1" w:styleId="103">
    <w:name w:val="样式2 Char Char"/>
    <w:link w:val="104"/>
    <w:autoRedefine/>
    <w:qFormat/>
    <w:uiPriority w:val="0"/>
    <w:rPr>
      <w:rFonts w:ascii="宋体" w:hAnsi="宋体" w:eastAsia="宋体"/>
      <w:bCs/>
      <w:kern w:val="2"/>
      <w:sz w:val="28"/>
      <w:szCs w:val="28"/>
      <w:lang w:val="en-US" w:eastAsia="zh-CN" w:bidi="ar-SA"/>
    </w:rPr>
  </w:style>
  <w:style w:type="paragraph" w:customStyle="1" w:styleId="104">
    <w:name w:val="样式2"/>
    <w:basedOn w:val="4"/>
    <w:link w:val="103"/>
    <w:autoRedefine/>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字符"/>
    <w:link w:val="9"/>
    <w:autoRedefine/>
    <w:qFormat/>
    <w:uiPriority w:val="0"/>
    <w:rPr>
      <w:rFonts w:ascii="仿宋_GB2312" w:eastAsia="宋体"/>
      <w:b/>
      <w:sz w:val="21"/>
      <w:szCs w:val="32"/>
      <w:lang w:val="en-US" w:eastAsia="zh-CN" w:bidi="ar-SA"/>
    </w:rPr>
  </w:style>
  <w:style w:type="character" w:customStyle="1" w:styleId="106">
    <w:name w:val="heading 2 Char1"/>
    <w:autoRedefine/>
    <w:qFormat/>
    <w:uiPriority w:val="0"/>
    <w:rPr>
      <w:rFonts w:ascii="Cambria" w:hAnsi="Cambria" w:eastAsia="宋体"/>
      <w:b/>
      <w:bCs/>
      <w:kern w:val="2"/>
      <w:sz w:val="32"/>
      <w:szCs w:val="32"/>
      <w:lang w:val="en-US" w:eastAsia="zh-CN" w:bidi="ar-SA"/>
    </w:rPr>
  </w:style>
  <w:style w:type="character" w:customStyle="1" w:styleId="107">
    <w:name w:val="heading 3 Char1"/>
    <w:autoRedefine/>
    <w:qFormat/>
    <w:uiPriority w:val="0"/>
    <w:rPr>
      <w:rFonts w:eastAsia="宋体"/>
      <w:b/>
      <w:bCs/>
      <w:kern w:val="2"/>
      <w:sz w:val="32"/>
      <w:szCs w:val="32"/>
      <w:lang w:val="en-US" w:eastAsia="zh-CN" w:bidi="ar-SA"/>
    </w:rPr>
  </w:style>
  <w:style w:type="character" w:customStyle="1" w:styleId="108">
    <w:name w:val="Char Char15"/>
    <w:autoRedefine/>
    <w:qFormat/>
    <w:uiPriority w:val="0"/>
    <w:rPr>
      <w:rFonts w:ascii="Arial" w:hAnsi="Arial" w:eastAsia="黑体"/>
      <w:sz w:val="24"/>
      <w:szCs w:val="24"/>
    </w:rPr>
  </w:style>
  <w:style w:type="character" w:customStyle="1" w:styleId="109">
    <w:name w:val="heading 1 Char"/>
    <w:autoRedefine/>
    <w:qFormat/>
    <w:uiPriority w:val="0"/>
    <w:rPr>
      <w:rFonts w:ascii="Arial" w:hAnsi="Arial" w:eastAsia="黑体"/>
      <w:b/>
      <w:sz w:val="36"/>
      <w:szCs w:val="36"/>
    </w:rPr>
  </w:style>
  <w:style w:type="character" w:customStyle="1" w:styleId="110">
    <w:name w:val="ändrad Char"/>
    <w:autoRedefine/>
    <w:qFormat/>
    <w:uiPriority w:val="0"/>
    <w:rPr>
      <w:rFonts w:eastAsia="宋体"/>
      <w:kern w:val="2"/>
      <w:sz w:val="21"/>
      <w:szCs w:val="24"/>
      <w:lang w:val="en-US" w:eastAsia="zh-CN" w:bidi="ar-SA"/>
    </w:rPr>
  </w:style>
  <w:style w:type="character" w:customStyle="1" w:styleId="111">
    <w:name w:val="标题 字符"/>
    <w:link w:val="50"/>
    <w:autoRedefine/>
    <w:qFormat/>
    <w:uiPriority w:val="0"/>
    <w:rPr>
      <w:rFonts w:ascii="Cambria" w:hAnsi="Cambria" w:eastAsia="宋体"/>
      <w:b/>
      <w:bCs/>
      <w:kern w:val="2"/>
      <w:sz w:val="32"/>
      <w:szCs w:val="32"/>
      <w:lang w:val="en-US" w:eastAsia="zh-CN" w:bidi="ar-SA"/>
    </w:rPr>
  </w:style>
  <w:style w:type="character" w:customStyle="1" w:styleId="112">
    <w:name w:val="Char Char22"/>
    <w:autoRedefine/>
    <w:qFormat/>
    <w:uiPriority w:val="0"/>
    <w:rPr>
      <w:rFonts w:ascii="Arial" w:hAnsi="Arial" w:eastAsia="黑体"/>
      <w:b/>
      <w:bCs/>
      <w:kern w:val="44"/>
      <w:sz w:val="30"/>
      <w:szCs w:val="44"/>
      <w:lang w:val="en-US" w:eastAsia="zh-CN" w:bidi="ar-SA"/>
    </w:rPr>
  </w:style>
  <w:style w:type="character" w:customStyle="1" w:styleId="113">
    <w:name w:val="blue1"/>
    <w:basedOn w:val="54"/>
    <w:autoRedefine/>
    <w:qFormat/>
    <w:uiPriority w:val="0"/>
  </w:style>
  <w:style w:type="character" w:customStyle="1" w:styleId="114">
    <w:name w:val="样式 宋体"/>
    <w:autoRedefine/>
    <w:qFormat/>
    <w:uiPriority w:val="0"/>
    <w:rPr>
      <w:rFonts w:ascii="宋体" w:hAnsi="宋体" w:eastAsia="宋体"/>
      <w:sz w:val="24"/>
      <w:szCs w:val="24"/>
    </w:rPr>
  </w:style>
  <w:style w:type="character" w:customStyle="1" w:styleId="115">
    <w:name w:val="dandyren_title1"/>
    <w:autoRedefine/>
    <w:qFormat/>
    <w:uiPriority w:val="0"/>
    <w:rPr>
      <w:b/>
      <w:bCs/>
      <w:color w:val="FF6633"/>
      <w:sz w:val="18"/>
      <w:szCs w:val="18"/>
    </w:rPr>
  </w:style>
  <w:style w:type="character" w:customStyle="1" w:styleId="116">
    <w:name w:val="font21"/>
    <w:basedOn w:val="54"/>
    <w:autoRedefine/>
    <w:qFormat/>
    <w:uiPriority w:val="0"/>
    <w:rPr>
      <w:rFonts w:ascii="Wingdings 2" w:hAnsi="Wingdings 2" w:eastAsia="Wingdings 2" w:cs="Wingdings 2"/>
      <w:b/>
      <w:color w:val="000000"/>
      <w:sz w:val="20"/>
      <w:szCs w:val="20"/>
      <w:u w:val="none"/>
    </w:rPr>
  </w:style>
  <w:style w:type="character" w:customStyle="1" w:styleId="117">
    <w:name w:val="Ò³Ã¼ Char Char1"/>
    <w:autoRedefine/>
    <w:qFormat/>
    <w:uiPriority w:val="0"/>
    <w:rPr>
      <w:rFonts w:eastAsia="宋体"/>
      <w:kern w:val="2"/>
      <w:sz w:val="18"/>
      <w:szCs w:val="18"/>
      <w:lang w:val="en-US" w:eastAsia="zh-CN" w:bidi="ar-SA"/>
    </w:rPr>
  </w:style>
  <w:style w:type="character" w:customStyle="1" w:styleId="118">
    <w:name w:val="宏文本 字符"/>
    <w:link w:val="3"/>
    <w:autoRedefine/>
    <w:qFormat/>
    <w:uiPriority w:val="0"/>
    <w:rPr>
      <w:rFonts w:ascii="Courier New" w:hAnsi="Courier New" w:eastAsia="Times New Roman"/>
      <w:kern w:val="2"/>
      <w:sz w:val="24"/>
      <w:szCs w:val="24"/>
      <w:lang w:val="en-US" w:eastAsia="zh-CN" w:bidi="ar-SA"/>
    </w:rPr>
  </w:style>
  <w:style w:type="character" w:customStyle="1" w:styleId="119">
    <w:name w:val="Footer-Even Char"/>
    <w:autoRedefine/>
    <w:qFormat/>
    <w:uiPriority w:val="0"/>
    <w:rPr>
      <w:sz w:val="18"/>
      <w:szCs w:val="18"/>
    </w:rPr>
  </w:style>
  <w:style w:type="character" w:customStyle="1" w:styleId="120">
    <w:name w:val="页脚 字符"/>
    <w:link w:val="38"/>
    <w:autoRedefine/>
    <w:qFormat/>
    <w:uiPriority w:val="0"/>
    <w:rPr>
      <w:rFonts w:eastAsia="宋体"/>
      <w:kern w:val="2"/>
      <w:sz w:val="18"/>
      <w:szCs w:val="18"/>
      <w:lang w:val="en-US" w:eastAsia="zh-CN" w:bidi="ar-SA"/>
    </w:rPr>
  </w:style>
  <w:style w:type="character" w:customStyle="1" w:styleId="121">
    <w:name w:val="style111"/>
    <w:autoRedefine/>
    <w:qFormat/>
    <w:uiPriority w:val="0"/>
    <w:rPr>
      <w:sz w:val="27"/>
      <w:szCs w:val="27"/>
    </w:rPr>
  </w:style>
  <w:style w:type="character" w:customStyle="1" w:styleId="122">
    <w:name w:val="PI Char2"/>
    <w:autoRedefine/>
    <w:qFormat/>
    <w:uiPriority w:val="0"/>
    <w:rPr>
      <w:kern w:val="2"/>
      <w:sz w:val="24"/>
      <w:szCs w:val="24"/>
    </w:rPr>
  </w:style>
  <w:style w:type="character" w:customStyle="1" w:styleId="123">
    <w:name w:val="gray6"/>
    <w:basedOn w:val="54"/>
    <w:autoRedefine/>
    <w:qFormat/>
    <w:uiPriority w:val="0"/>
  </w:style>
  <w:style w:type="character" w:customStyle="1" w:styleId="124">
    <w:name w:val="Char Char Char1"/>
    <w:autoRedefine/>
    <w:qFormat/>
    <w:uiPriority w:val="0"/>
    <w:rPr>
      <w:rFonts w:ascii="宋体" w:hAnsi="Courier New"/>
      <w:sz w:val="21"/>
      <w:szCs w:val="21"/>
    </w:rPr>
  </w:style>
  <w:style w:type="character" w:customStyle="1" w:styleId="125">
    <w:name w:val="Char Char121"/>
    <w:autoRedefine/>
    <w:qFormat/>
    <w:uiPriority w:val="0"/>
    <w:rPr>
      <w:rFonts w:eastAsia="宋体"/>
      <w:kern w:val="2"/>
      <w:sz w:val="21"/>
      <w:szCs w:val="24"/>
      <w:lang w:val="en-US" w:eastAsia="zh-CN" w:bidi="ar-SA"/>
    </w:rPr>
  </w:style>
  <w:style w:type="character" w:customStyle="1" w:styleId="126">
    <w:name w:val="Char Char Char Char Char Char Char Char Char"/>
    <w:autoRedefine/>
    <w:qFormat/>
    <w:uiPriority w:val="0"/>
    <w:rPr>
      <w:rFonts w:ascii="宋体" w:hAnsi="Courier New" w:eastAsia="宋体"/>
      <w:sz w:val="21"/>
      <w:szCs w:val="21"/>
      <w:lang w:val="en-US" w:eastAsia="zh-CN" w:bidi="ar-SA"/>
    </w:rPr>
  </w:style>
  <w:style w:type="character" w:customStyle="1" w:styleId="127">
    <w:name w:val="heading 4 Char2"/>
    <w:autoRedefine/>
    <w:qFormat/>
    <w:uiPriority w:val="0"/>
    <w:rPr>
      <w:rFonts w:ascii="Cambria" w:hAnsi="Cambria"/>
      <w:b/>
      <w:bCs/>
      <w:kern w:val="2"/>
      <w:sz w:val="28"/>
      <w:szCs w:val="28"/>
    </w:rPr>
  </w:style>
  <w:style w:type="character" w:customStyle="1" w:styleId="128">
    <w:name w:val="heading 3 Char"/>
    <w:autoRedefine/>
    <w:qFormat/>
    <w:uiPriority w:val="0"/>
    <w:rPr>
      <w:rFonts w:ascii="Arial" w:hAnsi="Arial" w:eastAsia="黑体"/>
      <w:sz w:val="28"/>
      <w:szCs w:val="24"/>
    </w:rPr>
  </w:style>
  <w:style w:type="character" w:customStyle="1" w:styleId="129">
    <w:name w:val="标题 1 字符"/>
    <w:link w:val="2"/>
    <w:autoRedefine/>
    <w:qFormat/>
    <w:uiPriority w:val="0"/>
    <w:rPr>
      <w:rFonts w:eastAsia="黑体"/>
      <w:b/>
      <w:kern w:val="2"/>
      <w:sz w:val="32"/>
      <w:lang w:val="en-US" w:eastAsia="zh-CN" w:bidi="ar-SA"/>
    </w:rPr>
  </w:style>
  <w:style w:type="character" w:customStyle="1" w:styleId="130">
    <w:name w:val="Char Char16"/>
    <w:autoRedefine/>
    <w:qFormat/>
    <w:uiPriority w:val="0"/>
    <w:rPr>
      <w:b/>
      <w:bCs/>
      <w:kern w:val="2"/>
      <w:sz w:val="28"/>
      <w:szCs w:val="28"/>
    </w:rPr>
  </w:style>
  <w:style w:type="character" w:customStyle="1" w:styleId="131">
    <w:name w:val="文档结构图 字符"/>
    <w:link w:val="17"/>
    <w:autoRedefine/>
    <w:qFormat/>
    <w:uiPriority w:val="0"/>
    <w:rPr>
      <w:rFonts w:eastAsia="宋体"/>
      <w:kern w:val="2"/>
      <w:sz w:val="21"/>
      <w:szCs w:val="24"/>
      <w:lang w:val="en-US" w:eastAsia="zh-CN" w:bidi="ar-SA"/>
    </w:rPr>
  </w:style>
  <w:style w:type="character" w:customStyle="1" w:styleId="132">
    <w:name w:val="标题 5 字符"/>
    <w:link w:val="7"/>
    <w:autoRedefine/>
    <w:qFormat/>
    <w:uiPriority w:val="0"/>
    <w:rPr>
      <w:rFonts w:eastAsia="宋体"/>
      <w:b/>
      <w:bCs/>
      <w:sz w:val="28"/>
      <w:szCs w:val="28"/>
      <w:lang w:bidi="ar-SA"/>
    </w:rPr>
  </w:style>
  <w:style w:type="character" w:customStyle="1" w:styleId="133">
    <w:name w:val="日期 字符"/>
    <w:link w:val="35"/>
    <w:autoRedefine/>
    <w:qFormat/>
    <w:uiPriority w:val="0"/>
    <w:rPr>
      <w:rFonts w:eastAsia="宋体"/>
      <w:kern w:val="2"/>
      <w:sz w:val="21"/>
      <w:szCs w:val="24"/>
      <w:lang w:val="en-US" w:eastAsia="zh-CN" w:bidi="ar-SA"/>
    </w:rPr>
  </w:style>
  <w:style w:type="character" w:customStyle="1" w:styleId="134">
    <w:name w:val="副标题 字符"/>
    <w:link w:val="43"/>
    <w:qFormat/>
    <w:uiPriority w:val="0"/>
    <w:rPr>
      <w:rFonts w:ascii="Cambria" w:hAnsi="Cambria" w:eastAsia="宋体"/>
      <w:b/>
      <w:bCs/>
      <w:kern w:val="28"/>
      <w:sz w:val="32"/>
      <w:szCs w:val="32"/>
      <w:lang w:val="en-US" w:eastAsia="zh-CN" w:bidi="ar-SA"/>
    </w:rPr>
  </w:style>
  <w:style w:type="character" w:customStyle="1" w:styleId="135">
    <w:name w:val="页眉 字符"/>
    <w:link w:val="39"/>
    <w:qFormat/>
    <w:uiPriority w:val="0"/>
    <w:rPr>
      <w:rFonts w:eastAsia="宋体"/>
      <w:kern w:val="2"/>
      <w:sz w:val="18"/>
      <w:szCs w:val="18"/>
      <w:lang w:val="en-US" w:eastAsia="zh-CN" w:bidi="ar-SA"/>
    </w:rPr>
  </w:style>
  <w:style w:type="character" w:customStyle="1" w:styleId="136">
    <w:name w:val="style13"/>
    <w:basedOn w:val="54"/>
    <w:autoRedefine/>
    <w:qFormat/>
    <w:uiPriority w:val="0"/>
  </w:style>
  <w:style w:type="character" w:customStyle="1" w:styleId="137">
    <w:name w:val="textcolor1"/>
    <w:autoRedefine/>
    <w:qFormat/>
    <w:uiPriority w:val="0"/>
    <w:rPr>
      <w:rFonts w:ascii="仿宋_GB2312" w:eastAsia="仿宋_GB2312"/>
      <w:b/>
      <w:color w:val="FF6600"/>
      <w:sz w:val="32"/>
      <w:szCs w:val="32"/>
    </w:rPr>
  </w:style>
  <w:style w:type="character" w:customStyle="1" w:styleId="138">
    <w:name w:val="Table Text Char Char"/>
    <w:link w:val="139"/>
    <w:autoRedefine/>
    <w:qFormat/>
    <w:uiPriority w:val="0"/>
    <w:rPr>
      <w:sz w:val="21"/>
      <w:lang w:val="en-US" w:eastAsia="en-US" w:bidi="ar-SA"/>
    </w:rPr>
  </w:style>
  <w:style w:type="paragraph" w:customStyle="1" w:styleId="139">
    <w:name w:val="Table Text"/>
    <w:basedOn w:val="1"/>
    <w:link w:val="138"/>
    <w:autoRedefine/>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autoRedefine/>
    <w:qFormat/>
    <w:uiPriority w:val="0"/>
    <w:rPr>
      <w:sz w:val="18"/>
      <w:szCs w:val="18"/>
    </w:rPr>
  </w:style>
  <w:style w:type="character" w:customStyle="1" w:styleId="141">
    <w:name w:val="heading 2 Char2"/>
    <w:autoRedefine/>
    <w:qFormat/>
    <w:uiPriority w:val="0"/>
    <w:rPr>
      <w:rFonts w:ascii="Cambria" w:hAnsi="Cambria"/>
      <w:b/>
      <w:bCs/>
      <w:kern w:val="2"/>
      <w:sz w:val="32"/>
      <w:szCs w:val="32"/>
    </w:rPr>
  </w:style>
  <w:style w:type="character" w:customStyle="1" w:styleId="142">
    <w:name w:val="书籍标题11"/>
    <w:autoRedefine/>
    <w:qFormat/>
    <w:uiPriority w:val="0"/>
    <w:rPr>
      <w:b/>
      <w:bCs/>
      <w:smallCaps/>
      <w:spacing w:val="5"/>
    </w:rPr>
  </w:style>
  <w:style w:type="character" w:customStyle="1" w:styleId="143">
    <w:name w:val="Char Char21"/>
    <w:autoRedefine/>
    <w:qFormat/>
    <w:uiPriority w:val="0"/>
    <w:rPr>
      <w:rFonts w:ascii="Times New Roman" w:hAnsi="Times New Roman" w:eastAsia="宋体" w:cs="Times New Roman"/>
      <w:b/>
      <w:bCs/>
      <w:kern w:val="44"/>
      <w:sz w:val="44"/>
      <w:szCs w:val="44"/>
    </w:rPr>
  </w:style>
  <w:style w:type="character" w:customStyle="1" w:styleId="144">
    <w:name w:val="正文文本缩进 字符"/>
    <w:link w:val="24"/>
    <w:autoRedefine/>
    <w:qFormat/>
    <w:uiPriority w:val="0"/>
    <w:rPr>
      <w:rFonts w:eastAsia="宋体"/>
      <w:kern w:val="2"/>
      <w:sz w:val="24"/>
      <w:szCs w:val="24"/>
      <w:lang w:val="en-US" w:eastAsia="zh-CN" w:bidi="ar-SA"/>
    </w:rPr>
  </w:style>
  <w:style w:type="character" w:customStyle="1" w:styleId="145">
    <w:name w:val="不明显强调1"/>
    <w:autoRedefine/>
    <w:qFormat/>
    <w:uiPriority w:val="0"/>
    <w:rPr>
      <w:i/>
      <w:iCs/>
      <w:color w:val="808080"/>
    </w:rPr>
  </w:style>
  <w:style w:type="character" w:customStyle="1" w:styleId="146">
    <w:name w:val="正文文本缩进 3 字符"/>
    <w:link w:val="46"/>
    <w:autoRedefine/>
    <w:qFormat/>
    <w:uiPriority w:val="0"/>
    <w:rPr>
      <w:rFonts w:eastAsia="宋体"/>
      <w:kern w:val="2"/>
      <w:sz w:val="24"/>
      <w:szCs w:val="24"/>
      <w:lang w:val="en-US" w:eastAsia="zh-CN" w:bidi="ar-SA"/>
    </w:rPr>
  </w:style>
  <w:style w:type="character" w:customStyle="1" w:styleId="147">
    <w:name w:val="heading 5 Char"/>
    <w:autoRedefine/>
    <w:qFormat/>
    <w:uiPriority w:val="0"/>
    <w:rPr>
      <w:rFonts w:ascii="Arial" w:hAnsi="Arial" w:eastAsia="黑体"/>
      <w:sz w:val="21"/>
      <w:szCs w:val="21"/>
    </w:rPr>
  </w:style>
  <w:style w:type="character" w:customStyle="1" w:styleId="148">
    <w:name w:val="Style3"/>
    <w:autoRedefine/>
    <w:qFormat/>
    <w:uiPriority w:val="0"/>
    <w:rPr>
      <w:rFonts w:ascii="Calibri" w:hAnsi="宋体" w:eastAsia="宋体" w:cs="Times New Roman"/>
      <w:szCs w:val="22"/>
      <w:lang w:eastAsia="zh-CN"/>
    </w:rPr>
  </w:style>
  <w:style w:type="character" w:customStyle="1" w:styleId="149">
    <w:name w:val="标题 4 字符"/>
    <w:link w:val="6"/>
    <w:autoRedefine/>
    <w:qFormat/>
    <w:uiPriority w:val="0"/>
    <w:rPr>
      <w:rFonts w:eastAsia="宋体"/>
      <w:kern w:val="2"/>
      <w:sz w:val="28"/>
      <w:szCs w:val="28"/>
      <w:lang w:val="en-US" w:eastAsia="zh-CN" w:bidi="ar-SA"/>
    </w:rPr>
  </w:style>
  <w:style w:type="character" w:customStyle="1" w:styleId="150">
    <w:name w:val="Char Char241"/>
    <w:autoRedefine/>
    <w:qFormat/>
    <w:uiPriority w:val="0"/>
    <w:rPr>
      <w:rFonts w:eastAsia="宋体"/>
      <w:b/>
      <w:kern w:val="2"/>
      <w:sz w:val="28"/>
      <w:lang w:val="en-US" w:eastAsia="zh-CN" w:bidi="ar-SA"/>
    </w:rPr>
  </w:style>
  <w:style w:type="character" w:customStyle="1" w:styleId="151">
    <w:name w:val="批注框文本 字符"/>
    <w:link w:val="37"/>
    <w:autoRedefine/>
    <w:qFormat/>
    <w:uiPriority w:val="0"/>
    <w:rPr>
      <w:rFonts w:eastAsia="宋体"/>
      <w:kern w:val="2"/>
      <w:sz w:val="18"/>
      <w:szCs w:val="18"/>
      <w:lang w:val="en-US" w:eastAsia="zh-CN" w:bidi="ar-SA"/>
    </w:rPr>
  </w:style>
  <w:style w:type="character" w:customStyle="1" w:styleId="152">
    <w:name w:val="标题 3 字符"/>
    <w:link w:val="5"/>
    <w:autoRedefine/>
    <w:qFormat/>
    <w:uiPriority w:val="0"/>
    <w:rPr>
      <w:rFonts w:eastAsia="黑体"/>
      <w:b/>
      <w:kern w:val="2"/>
      <w:sz w:val="28"/>
      <w:lang w:val="en-US" w:eastAsia="zh-CN" w:bidi="ar-SA"/>
    </w:rPr>
  </w:style>
  <w:style w:type="character" w:customStyle="1" w:styleId="153">
    <w:name w:val="明显强调11"/>
    <w:autoRedefine/>
    <w:qFormat/>
    <w:uiPriority w:val="0"/>
    <w:rPr>
      <w:b/>
      <w:bCs/>
      <w:i/>
      <w:iCs/>
      <w:color w:val="4F81BD"/>
    </w:rPr>
  </w:style>
  <w:style w:type="character" w:customStyle="1" w:styleId="154">
    <w:name w:val="签名 字符"/>
    <w:link w:val="40"/>
    <w:autoRedefine/>
    <w:qFormat/>
    <w:uiPriority w:val="0"/>
    <w:rPr>
      <w:rFonts w:ascii="仿宋_GB2312" w:eastAsia="仿宋_GB2312"/>
      <w:b/>
      <w:sz w:val="24"/>
      <w:szCs w:val="32"/>
    </w:rPr>
  </w:style>
  <w:style w:type="character" w:customStyle="1" w:styleId="155">
    <w:name w:val="heading 3 Char2"/>
    <w:autoRedefine/>
    <w:qFormat/>
    <w:uiPriority w:val="0"/>
    <w:rPr>
      <w:b/>
      <w:bCs/>
      <w:kern w:val="2"/>
      <w:sz w:val="32"/>
      <w:szCs w:val="32"/>
    </w:rPr>
  </w:style>
  <w:style w:type="character" w:customStyle="1" w:styleId="156">
    <w:name w:val="style21"/>
    <w:autoRedefine/>
    <w:qFormat/>
    <w:uiPriority w:val="0"/>
    <w:rPr>
      <w:sz w:val="15"/>
      <w:szCs w:val="15"/>
    </w:rPr>
  </w:style>
  <w:style w:type="character" w:customStyle="1" w:styleId="157">
    <w:name w:val="Char Char271"/>
    <w:autoRedefine/>
    <w:qFormat/>
    <w:uiPriority w:val="0"/>
    <w:rPr>
      <w:rFonts w:eastAsia="宋体"/>
      <w:kern w:val="2"/>
      <w:sz w:val="28"/>
      <w:lang w:val="en-US" w:eastAsia="zh-CN" w:bidi="ar-SA"/>
    </w:rPr>
  </w:style>
  <w:style w:type="character" w:customStyle="1" w:styleId="158">
    <w:name w:val="表格 Char Char"/>
    <w:link w:val="159"/>
    <w:autoRedefine/>
    <w:qFormat/>
    <w:uiPriority w:val="0"/>
    <w:rPr>
      <w:rFonts w:ascii="宋体" w:hAnsi="宋体" w:eastAsia="宋体"/>
      <w:lang w:val="en-US" w:eastAsia="zh-CN" w:bidi="ar-SA"/>
    </w:rPr>
  </w:style>
  <w:style w:type="paragraph" w:customStyle="1" w:styleId="159">
    <w:name w:val="表格"/>
    <w:basedOn w:val="1"/>
    <w:link w:val="158"/>
    <w:autoRedefine/>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autoRedefine/>
    <w:qFormat/>
    <w:uiPriority w:val="0"/>
    <w:rPr>
      <w:rFonts w:ascii="Arial" w:hAnsi="Arial" w:eastAsia="黑体"/>
      <w:kern w:val="2"/>
      <w:sz w:val="24"/>
      <w:szCs w:val="24"/>
      <w:lang w:val="en-US" w:eastAsia="zh-CN" w:bidi="ar-SA"/>
    </w:rPr>
  </w:style>
  <w:style w:type="character" w:customStyle="1" w:styleId="161">
    <w:name w:val="Char Char211"/>
    <w:autoRedefine/>
    <w:qFormat/>
    <w:uiPriority w:val="0"/>
    <w:rPr>
      <w:rFonts w:ascii="Times New Roman" w:hAnsi="Times New Roman" w:eastAsia="宋体" w:cs="Times New Roman"/>
      <w:b/>
      <w:bCs/>
      <w:kern w:val="44"/>
      <w:sz w:val="44"/>
      <w:szCs w:val="44"/>
    </w:rPr>
  </w:style>
  <w:style w:type="character" w:customStyle="1" w:styleId="162">
    <w:name w:val="不明显强调11"/>
    <w:autoRedefine/>
    <w:qFormat/>
    <w:uiPriority w:val="0"/>
    <w:rPr>
      <w:i/>
      <w:iCs/>
      <w:color w:val="808080"/>
    </w:rPr>
  </w:style>
  <w:style w:type="character" w:customStyle="1" w:styleId="163">
    <w:name w:val="标题 9 字符"/>
    <w:link w:val="12"/>
    <w:autoRedefine/>
    <w:qFormat/>
    <w:uiPriority w:val="0"/>
    <w:rPr>
      <w:rFonts w:ascii="Arial" w:hAnsi="Arial" w:eastAsia="黑体"/>
      <w:kern w:val="2"/>
      <w:sz w:val="21"/>
      <w:lang w:val="en-US" w:eastAsia="zh-CN" w:bidi="ar-SA"/>
    </w:rPr>
  </w:style>
  <w:style w:type="character" w:customStyle="1" w:styleId="164">
    <w:name w:val="正文文本 字符"/>
    <w:link w:val="21"/>
    <w:autoRedefine/>
    <w:qFormat/>
    <w:uiPriority w:val="0"/>
    <w:rPr>
      <w:rFonts w:ascii="仿宋_GB2312" w:eastAsia="宋体"/>
      <w:b/>
      <w:kern w:val="2"/>
      <w:sz w:val="21"/>
      <w:szCs w:val="24"/>
      <w:lang w:val="en-US" w:eastAsia="zh-CN" w:bidi="ar-SA"/>
    </w:rPr>
  </w:style>
  <w:style w:type="character" w:customStyle="1" w:styleId="165">
    <w:name w:val="明显引用 字符"/>
    <w:link w:val="166"/>
    <w:autoRedefine/>
    <w:qFormat/>
    <w:uiPriority w:val="0"/>
    <w:rPr>
      <w:rFonts w:ascii="Calibri" w:hAnsi="Calibri" w:eastAsia="宋体"/>
      <w:b/>
      <w:bCs/>
      <w:i/>
      <w:iCs/>
      <w:color w:val="4F81BD"/>
      <w:lang w:val="en-US" w:eastAsia="zh-CN" w:bidi="ar-SA"/>
    </w:rPr>
  </w:style>
  <w:style w:type="paragraph" w:styleId="166">
    <w:name w:val="Intense Quote"/>
    <w:basedOn w:val="1"/>
    <w:next w:val="1"/>
    <w:link w:val="165"/>
    <w:autoRedefine/>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autoRedefine/>
    <w:qFormat/>
    <w:uiPriority w:val="0"/>
    <w:rPr>
      <w:rFonts w:eastAsia="宋体"/>
      <w:b/>
      <w:bCs/>
      <w:kern w:val="2"/>
      <w:sz w:val="28"/>
      <w:szCs w:val="28"/>
      <w:lang w:val="en-US" w:eastAsia="zh-CN" w:bidi="ar-SA"/>
    </w:rPr>
  </w:style>
  <w:style w:type="character" w:customStyle="1" w:styleId="168">
    <w:name w:val="Texte Char Char"/>
    <w:autoRedefine/>
    <w:qFormat/>
    <w:uiPriority w:val="0"/>
    <w:rPr>
      <w:rFonts w:ascii="宋体" w:hAnsi="Courier New" w:eastAsia="宋体"/>
      <w:sz w:val="21"/>
      <w:szCs w:val="21"/>
      <w:lang w:val="en-US" w:eastAsia="zh-CN" w:bidi="ar-SA"/>
    </w:rPr>
  </w:style>
  <w:style w:type="character" w:customStyle="1" w:styleId="169">
    <w:name w:val="正文1 Char Char"/>
    <w:link w:val="170"/>
    <w:autoRedefine/>
    <w:qFormat/>
    <w:uiPriority w:val="0"/>
    <w:rPr>
      <w:rFonts w:ascii="宋体" w:hAnsi="宋体" w:eastAsia="宋体" w:cs="宋体"/>
      <w:sz w:val="21"/>
      <w:lang w:val="en-US" w:eastAsia="zh-CN" w:bidi="ar-SA"/>
    </w:rPr>
  </w:style>
  <w:style w:type="paragraph" w:customStyle="1" w:styleId="170">
    <w:name w:val="正文1"/>
    <w:basedOn w:val="1"/>
    <w:link w:val="169"/>
    <w:autoRedefine/>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autoRedefine/>
    <w:qFormat/>
    <w:uiPriority w:val="0"/>
    <w:rPr>
      <w:rFonts w:ascii="Arial" w:hAnsi="Arial" w:eastAsia="黑体"/>
      <w:sz w:val="24"/>
      <w:lang w:val="en-US" w:eastAsia="zh-CN" w:bidi="ar-SA"/>
    </w:rPr>
  </w:style>
  <w:style w:type="character" w:customStyle="1" w:styleId="172">
    <w:name w:val="heading 9 Char1"/>
    <w:autoRedefine/>
    <w:qFormat/>
    <w:uiPriority w:val="0"/>
    <w:rPr>
      <w:rFonts w:ascii="Arial" w:hAnsi="Arial" w:eastAsia="黑体"/>
      <w:sz w:val="21"/>
      <w:lang w:val="en-US" w:eastAsia="zh-CN" w:bidi="ar-SA"/>
    </w:rPr>
  </w:style>
  <w:style w:type="character" w:customStyle="1" w:styleId="173">
    <w:name w:val="标题 6 字符"/>
    <w:link w:val="8"/>
    <w:autoRedefine/>
    <w:qFormat/>
    <w:uiPriority w:val="0"/>
    <w:rPr>
      <w:rFonts w:ascii="Arial" w:hAnsi="Arial" w:eastAsia="黑体"/>
      <w:b/>
      <w:kern w:val="2"/>
      <w:sz w:val="24"/>
      <w:lang w:val="en-US" w:eastAsia="zh-CN" w:bidi="ar-SA"/>
    </w:rPr>
  </w:style>
  <w:style w:type="character" w:customStyle="1" w:styleId="174">
    <w:name w:val="ändrad Char1"/>
    <w:autoRedefine/>
    <w:qFormat/>
    <w:uiPriority w:val="0"/>
    <w:rPr>
      <w:rFonts w:ascii="仿宋_GB2312" w:eastAsia="宋体"/>
      <w:b/>
      <w:kern w:val="2"/>
      <w:sz w:val="21"/>
      <w:szCs w:val="24"/>
      <w:lang w:val="en-US" w:eastAsia="zh-CN" w:bidi="ar-SA"/>
    </w:rPr>
  </w:style>
  <w:style w:type="character" w:customStyle="1" w:styleId="175">
    <w:name w:val="Char Char41"/>
    <w:autoRedefine/>
    <w:qFormat/>
    <w:uiPriority w:val="0"/>
    <w:rPr>
      <w:rFonts w:ascii="Cambria" w:hAnsi="Cambria" w:eastAsia="宋体"/>
      <w:b/>
      <w:bCs/>
      <w:sz w:val="32"/>
      <w:szCs w:val="32"/>
      <w:lang w:bidi="ar-SA"/>
    </w:rPr>
  </w:style>
  <w:style w:type="character" w:customStyle="1" w:styleId="176">
    <w:name w:val="标题 8 字符"/>
    <w:link w:val="11"/>
    <w:autoRedefine/>
    <w:qFormat/>
    <w:uiPriority w:val="0"/>
    <w:rPr>
      <w:rFonts w:ascii="Arial" w:hAnsi="Arial" w:eastAsia="黑体"/>
      <w:kern w:val="2"/>
      <w:sz w:val="24"/>
      <w:lang w:val="en-US" w:eastAsia="zh-CN" w:bidi="ar-SA"/>
    </w:rPr>
  </w:style>
  <w:style w:type="character" w:customStyle="1" w:styleId="177">
    <w:name w:val="Char Char11"/>
    <w:autoRedefine/>
    <w:qFormat/>
    <w:uiPriority w:val="0"/>
    <w:rPr>
      <w:rFonts w:ascii="Times New Roman" w:hAnsi="Times New Roman" w:eastAsia="宋体" w:cs="Times New Roman"/>
      <w:sz w:val="18"/>
      <w:szCs w:val="18"/>
    </w:rPr>
  </w:style>
  <w:style w:type="character" w:customStyle="1" w:styleId="178">
    <w:name w:val="正文文本缩进 2 字符"/>
    <w:link w:val="36"/>
    <w:autoRedefine/>
    <w:qFormat/>
    <w:uiPriority w:val="0"/>
    <w:rPr>
      <w:rFonts w:eastAsia="宋体"/>
      <w:kern w:val="2"/>
      <w:sz w:val="24"/>
      <w:szCs w:val="24"/>
      <w:lang w:val="en-US" w:eastAsia="zh-CN" w:bidi="ar-SA"/>
    </w:rPr>
  </w:style>
  <w:style w:type="character" w:customStyle="1" w:styleId="179">
    <w:name w:val="Char Char6"/>
    <w:autoRedefine/>
    <w:qFormat/>
    <w:uiPriority w:val="0"/>
    <w:rPr>
      <w:rFonts w:ascii="Times New Roman" w:hAnsi="Times New Roman" w:eastAsia="宋体" w:cs="Times New Roman"/>
      <w:szCs w:val="24"/>
    </w:rPr>
  </w:style>
  <w:style w:type="character" w:customStyle="1" w:styleId="180">
    <w:name w:val="Char Char Char"/>
    <w:autoRedefine/>
    <w:qFormat/>
    <w:uiPriority w:val="0"/>
    <w:rPr>
      <w:rFonts w:ascii="宋体" w:hAnsi="Courier New" w:eastAsia="宋体"/>
      <w:b/>
      <w:sz w:val="21"/>
      <w:szCs w:val="21"/>
      <w:lang w:val="en-US" w:eastAsia="zh-CN" w:bidi="ar-SA"/>
    </w:rPr>
  </w:style>
  <w:style w:type="character" w:customStyle="1" w:styleId="181">
    <w:name w:val="heading 2 Char"/>
    <w:autoRedefine/>
    <w:qFormat/>
    <w:uiPriority w:val="0"/>
    <w:rPr>
      <w:rFonts w:ascii="Arial" w:hAnsi="Arial" w:eastAsia="黑体" w:cs="Times New Roman"/>
      <w:sz w:val="30"/>
      <w:szCs w:val="24"/>
    </w:rPr>
  </w:style>
  <w:style w:type="character" w:customStyle="1" w:styleId="182">
    <w:name w:val="Char Char2"/>
    <w:autoRedefine/>
    <w:qFormat/>
    <w:uiPriority w:val="0"/>
    <w:rPr>
      <w:rFonts w:ascii="Arial" w:hAnsi="Arial" w:eastAsia="黑体"/>
      <w:b/>
      <w:bCs/>
      <w:kern w:val="44"/>
      <w:sz w:val="30"/>
      <w:szCs w:val="44"/>
      <w:lang w:val="en-US" w:eastAsia="zh-CN" w:bidi="ar-SA"/>
    </w:rPr>
  </w:style>
  <w:style w:type="character" w:customStyle="1" w:styleId="183">
    <w:name w:val="Footer-Even Char2"/>
    <w:autoRedefine/>
    <w:qFormat/>
    <w:uiPriority w:val="0"/>
    <w:rPr>
      <w:kern w:val="2"/>
      <w:sz w:val="18"/>
      <w:szCs w:val="18"/>
    </w:rPr>
  </w:style>
  <w:style w:type="character" w:customStyle="1" w:styleId="184">
    <w:name w:val="Char Char17"/>
    <w:autoRedefine/>
    <w:qFormat/>
    <w:uiPriority w:val="0"/>
    <w:rPr>
      <w:rFonts w:ascii="Cambria" w:hAnsi="Cambria"/>
      <w:b/>
      <w:bCs/>
      <w:kern w:val="2"/>
      <w:sz w:val="28"/>
      <w:szCs w:val="28"/>
    </w:rPr>
  </w:style>
  <w:style w:type="character" w:customStyle="1" w:styleId="185">
    <w:name w:val="heading 4 Char"/>
    <w:autoRedefine/>
    <w:qFormat/>
    <w:uiPriority w:val="0"/>
    <w:rPr>
      <w:rFonts w:ascii="Arial" w:hAnsi="Arial" w:eastAsia="黑体" w:cs="Times New Roman"/>
      <w:sz w:val="21"/>
      <w:szCs w:val="21"/>
    </w:rPr>
  </w:style>
  <w:style w:type="character" w:customStyle="1" w:styleId="186">
    <w:name w:val="Char Char20"/>
    <w:autoRedefine/>
    <w:qFormat/>
    <w:uiPriority w:val="0"/>
    <w:rPr>
      <w:b/>
      <w:bCs/>
      <w:kern w:val="44"/>
      <w:sz w:val="44"/>
      <w:szCs w:val="44"/>
    </w:rPr>
  </w:style>
  <w:style w:type="character" w:customStyle="1" w:styleId="187">
    <w:name w:val="heading 1 Char2"/>
    <w:autoRedefine/>
    <w:qFormat/>
    <w:uiPriority w:val="0"/>
    <w:rPr>
      <w:b/>
      <w:bCs/>
      <w:kern w:val="44"/>
      <w:sz w:val="44"/>
      <w:szCs w:val="44"/>
    </w:rPr>
  </w:style>
  <w:style w:type="character" w:customStyle="1" w:styleId="188">
    <w:name w:val="font11"/>
    <w:autoRedefine/>
    <w:qFormat/>
    <w:uiPriority w:val="0"/>
    <w:rPr>
      <w:rFonts w:hint="eastAsia" w:ascii="宋体" w:hAnsi="宋体" w:eastAsia="宋体" w:cs="宋体"/>
      <w:b/>
      <w:color w:val="000000"/>
      <w:sz w:val="20"/>
      <w:szCs w:val="20"/>
      <w:u w:val="none"/>
    </w:rPr>
  </w:style>
  <w:style w:type="character" w:customStyle="1" w:styleId="189">
    <w:name w:val="表正文 Char2"/>
    <w:autoRedefine/>
    <w:qFormat/>
    <w:uiPriority w:val="0"/>
    <w:rPr>
      <w:rFonts w:ascii="Times New Roman" w:hAnsi="Times New Roman" w:eastAsia="宋体" w:cs="Times New Roman"/>
      <w:szCs w:val="24"/>
    </w:rPr>
  </w:style>
  <w:style w:type="character" w:customStyle="1" w:styleId="190">
    <w:name w:val="引用 字符"/>
    <w:link w:val="191"/>
    <w:autoRedefine/>
    <w:qFormat/>
    <w:uiPriority w:val="0"/>
    <w:rPr>
      <w:rFonts w:ascii="Calibri" w:hAnsi="Calibri" w:eastAsia="宋体"/>
      <w:i/>
      <w:iCs/>
      <w:color w:val="000000"/>
      <w:lang w:val="en-US" w:eastAsia="zh-CN" w:bidi="ar-SA"/>
    </w:rPr>
  </w:style>
  <w:style w:type="paragraph" w:styleId="191">
    <w:name w:val="Quote"/>
    <w:basedOn w:val="1"/>
    <w:next w:val="1"/>
    <w:link w:val="190"/>
    <w:autoRedefine/>
    <w:qFormat/>
    <w:uiPriority w:val="0"/>
    <w:rPr>
      <w:rFonts w:ascii="Calibri" w:hAnsi="Calibri"/>
      <w:i/>
      <w:iCs/>
      <w:color w:val="000000"/>
      <w:kern w:val="0"/>
      <w:sz w:val="20"/>
      <w:szCs w:val="20"/>
    </w:rPr>
  </w:style>
  <w:style w:type="character" w:customStyle="1" w:styleId="192">
    <w:name w:val="纯文本 字符"/>
    <w:link w:val="31"/>
    <w:autoRedefine/>
    <w:qFormat/>
    <w:uiPriority w:val="0"/>
    <w:rPr>
      <w:rFonts w:ascii="宋体" w:hAnsi="Courier New" w:eastAsia="宋体"/>
      <w:b/>
      <w:sz w:val="21"/>
      <w:szCs w:val="21"/>
      <w:lang w:val="en-US" w:eastAsia="zh-CN" w:bidi="ar-SA"/>
    </w:rPr>
  </w:style>
  <w:style w:type="character" w:customStyle="1" w:styleId="193">
    <w:name w:val="Char Char19"/>
    <w:autoRedefine/>
    <w:qFormat/>
    <w:uiPriority w:val="0"/>
    <w:rPr>
      <w:rFonts w:ascii="Cambria" w:hAnsi="Cambria"/>
      <w:b/>
      <w:bCs/>
      <w:kern w:val="2"/>
      <w:sz w:val="32"/>
      <w:szCs w:val="32"/>
    </w:rPr>
  </w:style>
  <w:style w:type="character" w:customStyle="1" w:styleId="194">
    <w:name w:val="style41"/>
    <w:autoRedefine/>
    <w:qFormat/>
    <w:uiPriority w:val="0"/>
    <w:rPr>
      <w:color w:val="auto"/>
    </w:rPr>
  </w:style>
  <w:style w:type="character" w:customStyle="1" w:styleId="195">
    <w:name w:val="Char Char201"/>
    <w:autoRedefine/>
    <w:qFormat/>
    <w:uiPriority w:val="0"/>
    <w:rPr>
      <w:rFonts w:ascii="Cambria" w:hAnsi="Cambria" w:eastAsia="宋体" w:cs="Times New Roman"/>
      <w:b/>
      <w:bCs/>
      <w:sz w:val="32"/>
      <w:szCs w:val="32"/>
    </w:rPr>
  </w:style>
  <w:style w:type="character" w:customStyle="1" w:styleId="196">
    <w:name w:val="正文文本首行缩进 字符"/>
    <w:link w:val="22"/>
    <w:autoRedefine/>
    <w:qFormat/>
    <w:uiPriority w:val="0"/>
    <w:rPr>
      <w:rFonts w:eastAsia="宋体"/>
      <w:lang w:val="en-US" w:eastAsia="zh-CN" w:bidi="ar-SA"/>
    </w:rPr>
  </w:style>
  <w:style w:type="character" w:customStyle="1" w:styleId="197">
    <w:name w:val="smalltxt1"/>
    <w:autoRedefine/>
    <w:qFormat/>
    <w:uiPriority w:val="0"/>
    <w:rPr>
      <w:rFonts w:hint="default" w:ascii="ˎ̥" w:hAnsi="ˎ̥"/>
      <w:sz w:val="24"/>
      <w:szCs w:val="24"/>
    </w:rPr>
  </w:style>
  <w:style w:type="character" w:customStyle="1" w:styleId="198">
    <w:name w:val="正文文本 2 字符"/>
    <w:basedOn w:val="54"/>
    <w:link w:val="48"/>
    <w:autoRedefine/>
    <w:qFormat/>
    <w:uiPriority w:val="0"/>
  </w:style>
  <w:style w:type="paragraph" w:customStyle="1" w:styleId="19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autoRedefine/>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autoRedefine/>
    <w:qFormat/>
    <w:uiPriority w:val="0"/>
    <w:pPr>
      <w:spacing w:line="240" w:lineRule="atLeast"/>
      <w:jc w:val="center"/>
    </w:pPr>
    <w:rPr>
      <w:rFonts w:ascii="Arial" w:hAnsi="Arial" w:cs="Arial"/>
      <w:b/>
      <w:bCs/>
    </w:rPr>
  </w:style>
  <w:style w:type="paragraph" w:customStyle="1" w:styleId="202">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autoRedefine/>
    <w:qFormat/>
    <w:uiPriority w:val="0"/>
    <w:rPr>
      <w:rFonts w:ascii="仿宋_GB2312" w:eastAsia="仿宋_GB2312"/>
      <w:b/>
      <w:sz w:val="32"/>
      <w:szCs w:val="32"/>
    </w:rPr>
  </w:style>
  <w:style w:type="paragraph" w:customStyle="1" w:styleId="20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autoRedefine/>
    <w:qFormat/>
    <w:uiPriority w:val="0"/>
    <w:pPr>
      <w:ind w:firstLine="420" w:firstLineChars="200"/>
    </w:pPr>
    <w:rPr>
      <w:szCs w:val="20"/>
    </w:rPr>
  </w:style>
  <w:style w:type="paragraph" w:customStyle="1" w:styleId="206">
    <w:name w:val="一级条标题"/>
    <w:next w:val="1"/>
    <w:autoRedefine/>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21"/>
    <w:autoRedefine/>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autoRedefine/>
    <w:qFormat/>
    <w:uiPriority w:val="0"/>
    <w:rPr>
      <w:rFonts w:ascii="Tahoma" w:hAnsi="Tahoma"/>
      <w:sz w:val="24"/>
      <w:szCs w:val="20"/>
    </w:rPr>
  </w:style>
  <w:style w:type="paragraph" w:customStyle="1" w:styleId="214">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4"/>
    <w:autoRedefine/>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autoRedefine/>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17"/>
    <w:autoRedefine/>
    <w:qFormat/>
    <w:uiPriority w:val="0"/>
    <w:rPr>
      <w:rFonts w:ascii="Tahoma" w:hAnsi="Tahoma"/>
      <w:sz w:val="24"/>
    </w:rPr>
  </w:style>
  <w:style w:type="paragraph" w:customStyle="1" w:styleId="218">
    <w:name w:val="正文 首行缩进:  2 字符 Char"/>
    <w:basedOn w:val="1"/>
    <w:autoRedefine/>
    <w:qFormat/>
    <w:uiPriority w:val="0"/>
    <w:pPr>
      <w:spacing w:line="360" w:lineRule="auto"/>
      <w:ind w:firstLine="480"/>
    </w:pPr>
    <w:rPr>
      <w:rFonts w:cs="宋体"/>
      <w:sz w:val="24"/>
      <w:szCs w:val="20"/>
    </w:rPr>
  </w:style>
  <w:style w:type="paragraph" w:customStyle="1" w:styleId="219">
    <w:name w:val="样式1"/>
    <w:basedOn w:val="1"/>
    <w:autoRedefine/>
    <w:qFormat/>
    <w:uiPriority w:val="0"/>
    <w:pPr>
      <w:autoSpaceDE w:val="0"/>
      <w:autoSpaceDN w:val="0"/>
      <w:adjustRightInd w:val="0"/>
      <w:spacing w:line="400" w:lineRule="exact"/>
    </w:pPr>
    <w:rPr>
      <w:rFonts w:ascii="宋体" w:cs="宋体"/>
      <w:kern w:val="0"/>
    </w:rPr>
  </w:style>
  <w:style w:type="paragraph" w:customStyle="1" w:styleId="22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autoRedefine/>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autoRedefine/>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autoRedefine/>
    <w:qFormat/>
    <w:uiPriority w:val="0"/>
    <w:pPr>
      <w:tabs>
        <w:tab w:val="left" w:pos="4309"/>
        <w:tab w:val="clear" w:pos="3889"/>
      </w:tabs>
      <w:ind w:left="4309"/>
      <w:outlineLvl w:val="3"/>
    </w:pPr>
  </w:style>
  <w:style w:type="paragraph" w:customStyle="1" w:styleId="226">
    <w:name w:val="正文－恩普"/>
    <w:basedOn w:val="9"/>
    <w:autoRedefine/>
    <w:qFormat/>
    <w:uiPriority w:val="0"/>
    <w:pPr>
      <w:adjustRightInd/>
      <w:spacing w:line="360" w:lineRule="auto"/>
      <w:ind w:firstLine="200" w:firstLineChars="200"/>
      <w:textAlignment w:val="auto"/>
    </w:pPr>
    <w:rPr>
      <w:kern w:val="2"/>
      <w:sz w:val="24"/>
      <w:szCs w:val="24"/>
    </w:rPr>
  </w:style>
  <w:style w:type="paragraph" w:customStyle="1" w:styleId="227">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4"/>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23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autoRedefine/>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autoRedefine/>
    <w:qFormat/>
    <w:uiPriority w:val="0"/>
    <w:pPr>
      <w:tabs>
        <w:tab w:val="left" w:pos="4729"/>
        <w:tab w:val="clear" w:pos="4309"/>
      </w:tabs>
      <w:ind w:left="4729"/>
      <w:outlineLvl w:val="4"/>
    </w:pPr>
  </w:style>
  <w:style w:type="paragraph" w:customStyle="1" w:styleId="235">
    <w:name w:val="Test2"/>
    <w:basedOn w:val="4"/>
    <w:autoRedefine/>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autoRedefine/>
    <w:qFormat/>
    <w:uiPriority w:val="0"/>
  </w:style>
  <w:style w:type="paragraph" w:customStyle="1" w:styleId="237">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1"/>
    <w:basedOn w:val="1"/>
    <w:autoRedefine/>
    <w:qFormat/>
    <w:uiPriority w:val="0"/>
    <w:pPr>
      <w:ind w:firstLine="420" w:firstLineChars="200"/>
    </w:pPr>
    <w:rPr>
      <w:rFonts w:ascii="Calibri" w:hAnsi="Calibri"/>
      <w:szCs w:val="22"/>
    </w:rPr>
  </w:style>
  <w:style w:type="paragraph" w:customStyle="1" w:styleId="243">
    <w:name w:val="五级条标题"/>
    <w:basedOn w:val="244"/>
    <w:next w:val="1"/>
    <w:autoRedefine/>
    <w:qFormat/>
    <w:uiPriority w:val="0"/>
    <w:pPr>
      <w:tabs>
        <w:tab w:val="left" w:pos="5149"/>
        <w:tab w:val="left" w:pos="5569"/>
      </w:tabs>
      <w:ind w:left="5569"/>
      <w:outlineLvl w:val="6"/>
    </w:pPr>
  </w:style>
  <w:style w:type="paragraph" w:customStyle="1" w:styleId="244">
    <w:name w:val="四级条标题"/>
    <w:basedOn w:val="234"/>
    <w:next w:val="1"/>
    <w:autoRedefine/>
    <w:qFormat/>
    <w:uiPriority w:val="0"/>
    <w:pPr>
      <w:tabs>
        <w:tab w:val="left" w:pos="5149"/>
        <w:tab w:val="clear" w:pos="4729"/>
      </w:tabs>
      <w:ind w:left="5149"/>
      <w:outlineLvl w:val="5"/>
    </w:pPr>
  </w:style>
  <w:style w:type="paragraph" w:customStyle="1" w:styleId="245">
    <w:name w:val="正文-宋体四号"/>
    <w:basedOn w:val="1"/>
    <w:autoRedefine/>
    <w:qFormat/>
    <w:uiPriority w:val="0"/>
    <w:pPr>
      <w:spacing w:line="360" w:lineRule="auto"/>
      <w:ind w:firstLine="560" w:firstLineChars="200"/>
    </w:pPr>
    <w:rPr>
      <w:rFonts w:cs="宋体"/>
      <w:sz w:val="28"/>
      <w:szCs w:val="20"/>
    </w:rPr>
  </w:style>
  <w:style w:type="paragraph" w:customStyle="1" w:styleId="246">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247">
    <w:name w:val="Char2"/>
    <w:basedOn w:val="1"/>
    <w:autoRedefine/>
    <w:qFormat/>
    <w:uiPriority w:val="0"/>
  </w:style>
  <w:style w:type="paragraph" w:customStyle="1" w:styleId="248">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249">
    <w:name w:val="样式5"/>
    <w:basedOn w:val="9"/>
    <w:autoRedefine/>
    <w:qFormat/>
    <w:uiPriority w:val="0"/>
    <w:pPr>
      <w:adjustRightInd/>
      <w:spacing w:line="360" w:lineRule="auto"/>
      <w:ind w:firstLine="200" w:firstLineChars="200"/>
      <w:textAlignment w:val="auto"/>
    </w:pPr>
    <w:rPr>
      <w:sz w:val="28"/>
      <w:szCs w:val="21"/>
    </w:rPr>
  </w:style>
  <w:style w:type="paragraph" w:customStyle="1" w:styleId="250">
    <w:name w:val="14"/>
    <w:basedOn w:val="1"/>
    <w:autoRedefine/>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autoRedefine/>
    <w:qFormat/>
    <w:uiPriority w:val="0"/>
  </w:style>
  <w:style w:type="paragraph" w:customStyle="1" w:styleId="252">
    <w:name w:val="样式 标题 1Level 1Level 11h1II+IHeading1H1-Heading 1Header 1..."/>
    <w:basedOn w:val="2"/>
    <w:autoRedefine/>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autoRedefine/>
    <w:qFormat/>
    <w:uiPriority w:val="0"/>
    <w:pPr>
      <w:ind w:left="855" w:hanging="855"/>
    </w:pPr>
    <w:rPr>
      <w:sz w:val="24"/>
      <w:szCs w:val="20"/>
    </w:rPr>
  </w:style>
  <w:style w:type="paragraph" w:customStyle="1" w:styleId="254">
    <w:name w:val="button"/>
    <w:basedOn w:val="1"/>
    <w:autoRedefine/>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autoRedefine/>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autoRedefine/>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autoRedefine/>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autoRedefine/>
    <w:qFormat/>
    <w:uiPriority w:val="0"/>
    <w:pPr>
      <w:widowControl/>
      <w:spacing w:line="300" w:lineRule="atLeast"/>
      <w:jc w:val="left"/>
    </w:pPr>
    <w:rPr>
      <w:rFonts w:ascii="宋体" w:hAnsi="宋体" w:cs="宋体"/>
      <w:kern w:val="0"/>
      <w:sz w:val="18"/>
      <w:szCs w:val="18"/>
    </w:rPr>
  </w:style>
  <w:style w:type="paragraph" w:customStyle="1" w:styleId="266">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2"/>
    <w:next w:val="1"/>
    <w:autoRedefine/>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autoRedefine/>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autoRedefine/>
    <w:qFormat/>
    <w:uiPriority w:val="0"/>
  </w:style>
  <w:style w:type="paragraph" w:customStyle="1" w:styleId="274">
    <w:name w:val="前言、引言标题"/>
    <w:next w:val="1"/>
    <w:autoRedefine/>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9"/>
    <w:autoRedefine/>
    <w:qFormat/>
    <w:uiPriority w:val="0"/>
    <w:pPr>
      <w:adjustRightInd/>
      <w:spacing w:line="360" w:lineRule="auto"/>
      <w:ind w:firstLine="200" w:firstLineChars="200"/>
      <w:textAlignment w:val="auto"/>
    </w:pPr>
    <w:rPr>
      <w:kern w:val="2"/>
    </w:rPr>
  </w:style>
  <w:style w:type="paragraph" w:customStyle="1" w:styleId="278">
    <w:name w:val="正文文本 21"/>
    <w:basedOn w:val="1"/>
    <w:autoRedefine/>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2"/>
    <w:next w:val="1"/>
    <w:autoRedefine/>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autoRedefine/>
    <w:qFormat/>
    <w:uiPriority w:val="0"/>
    <w:rPr>
      <w:rFonts w:ascii="仿宋_GB2312" w:eastAsia="仿宋_GB2312"/>
      <w:b/>
      <w:sz w:val="32"/>
      <w:szCs w:val="32"/>
    </w:rPr>
  </w:style>
  <w:style w:type="paragraph" w:customStyle="1" w:styleId="281">
    <w:name w:val="l正文"/>
    <w:basedOn w:val="1"/>
    <w:autoRedefine/>
    <w:qFormat/>
    <w:uiPriority w:val="0"/>
    <w:pPr>
      <w:spacing w:line="360" w:lineRule="auto"/>
      <w:ind w:firstLine="200" w:firstLineChars="200"/>
    </w:pPr>
    <w:rPr>
      <w:rFonts w:ascii="宋体" w:hAnsi="宋体"/>
      <w:sz w:val="24"/>
    </w:rPr>
  </w:style>
  <w:style w:type="paragraph" w:customStyle="1" w:styleId="282">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autoRedefin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autoRedefine/>
    <w:qFormat/>
    <w:uiPriority w:val="0"/>
    <w:rPr>
      <w:rFonts w:ascii="仿宋_GB2312" w:eastAsia="仿宋_GB2312"/>
      <w:b/>
      <w:sz w:val="32"/>
      <w:szCs w:val="32"/>
    </w:rPr>
  </w:style>
  <w:style w:type="paragraph" w:customStyle="1" w:styleId="286">
    <w:name w:val="xl29"/>
    <w:basedOn w:val="1"/>
    <w:autoRedefine/>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autoRedefine/>
    <w:qFormat/>
    <w:uiPriority w:val="0"/>
    <w:rPr>
      <w:rFonts w:ascii="仿宋_GB2312" w:eastAsia="仿宋_GB2312"/>
      <w:b/>
      <w:sz w:val="32"/>
      <w:szCs w:val="32"/>
    </w:rPr>
  </w:style>
  <w:style w:type="paragraph" w:customStyle="1" w:styleId="288">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4"/>
    <w:autoRedefine/>
    <w:qFormat/>
    <w:uiPriority w:val="0"/>
    <w:pPr>
      <w:tabs>
        <w:tab w:val="left" w:pos="709"/>
      </w:tabs>
    </w:pPr>
    <w:rPr>
      <w:rFonts w:ascii="宋体" w:hAnsi="宋体"/>
      <w:sz w:val="36"/>
      <w:szCs w:val="36"/>
    </w:rPr>
  </w:style>
  <w:style w:type="paragraph" w:customStyle="1" w:styleId="291">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autoRedefine/>
    <w:qFormat/>
    <w:uiPriority w:val="0"/>
    <w:rPr>
      <w:rFonts w:ascii="仿宋_GB2312" w:eastAsia="仿宋_GB2312"/>
      <w:b/>
      <w:sz w:val="32"/>
      <w:szCs w:val="32"/>
    </w:rPr>
  </w:style>
  <w:style w:type="paragraph" w:customStyle="1" w:styleId="294">
    <w:name w:val="正文字缩2字"/>
    <w:basedOn w:val="1"/>
    <w:autoRedefine/>
    <w:qFormat/>
    <w:uiPriority w:val="0"/>
    <w:pPr>
      <w:spacing w:before="60" w:after="60" w:line="360" w:lineRule="auto"/>
      <w:ind w:left="200" w:leftChars="200" w:firstLine="200" w:firstLineChars="200"/>
    </w:pPr>
    <w:rPr>
      <w:sz w:val="24"/>
    </w:rPr>
  </w:style>
  <w:style w:type="paragraph" w:customStyle="1" w:styleId="295">
    <w:name w:val="正文2"/>
    <w:basedOn w:val="1"/>
    <w:autoRedefine/>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21"/>
    <w:autoRedefine/>
    <w:qFormat/>
    <w:uiPriority w:val="0"/>
    <w:pPr>
      <w:keepNext/>
      <w:spacing w:after="160"/>
    </w:pPr>
    <w:rPr>
      <w:szCs w:val="20"/>
    </w:rPr>
  </w:style>
  <w:style w:type="paragraph" w:customStyle="1" w:styleId="297">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autoRedefine/>
    <w:qFormat/>
    <w:uiPriority w:val="0"/>
    <w:rPr>
      <w:rFonts w:ascii="仿宋_GB2312" w:eastAsia="仿宋_GB2312"/>
      <w:b/>
      <w:sz w:val="32"/>
      <w:szCs w:val="32"/>
    </w:rPr>
  </w:style>
  <w:style w:type="paragraph" w:customStyle="1" w:styleId="301">
    <w:name w:val="Char2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8"/>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autoRedefine/>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autoRedefine/>
    <w:qFormat/>
    <w:uiPriority w:val="0"/>
    <w:rPr>
      <w:rFonts w:ascii="宋体" w:hAnsi="宋体"/>
      <w:color w:val="000000"/>
      <w:sz w:val="24"/>
    </w:rPr>
  </w:style>
  <w:style w:type="paragraph" w:customStyle="1" w:styleId="305">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autoRedefine/>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5"/>
    <w:autoRedefine/>
    <w:qFormat/>
    <w:uiPriority w:val="0"/>
    <w:pPr>
      <w:spacing w:before="260" w:after="260" w:line="413" w:lineRule="auto"/>
    </w:pPr>
    <w:rPr>
      <w:rFonts w:ascii="黑体" w:hAnsi="黑体"/>
      <w:b w:val="0"/>
      <w:kern w:val="0"/>
      <w:sz w:val="24"/>
      <w:szCs w:val="32"/>
    </w:rPr>
  </w:style>
  <w:style w:type="paragraph" w:customStyle="1" w:styleId="317">
    <w:name w:val="正文_0_0"/>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autoRedefine/>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autoRedefine/>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autoRedefine/>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autoRedefine/>
    <w:qFormat/>
    <w:uiPriority w:val="0"/>
    <w:pPr>
      <w:ind w:firstLine="420" w:firstLineChars="200"/>
    </w:pPr>
  </w:style>
  <w:style w:type="paragraph" w:customStyle="1" w:styleId="324">
    <w:name w:val="标题五"/>
    <w:basedOn w:val="1"/>
    <w:autoRedefine/>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autoRedefine/>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autoRedefine/>
    <w:qFormat/>
    <w:uiPriority w:val="0"/>
    <w:pPr>
      <w:widowControl/>
    </w:pPr>
    <w:rPr>
      <w:kern w:val="0"/>
      <w:szCs w:val="21"/>
    </w:rPr>
  </w:style>
  <w:style w:type="paragraph" w:customStyle="1" w:styleId="327">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autoRedefine/>
    <w:qFormat/>
    <w:uiPriority w:val="0"/>
    <w:tblPr>
      <w:tblCellMar>
        <w:top w:w="0" w:type="dxa"/>
        <w:left w:w="0" w:type="dxa"/>
        <w:bottom w:w="0" w:type="dxa"/>
        <w:right w:w="0" w:type="dxa"/>
      </w:tblCellMar>
    </w:tblPr>
  </w:style>
  <w:style w:type="paragraph" w:styleId="329">
    <w:name w:val="List Paragraph"/>
    <w:basedOn w:val="1"/>
    <w:autoRedefine/>
    <w:qFormat/>
    <w:uiPriority w:val="99"/>
    <w:pPr>
      <w:ind w:firstLine="420" w:firstLineChars="200"/>
    </w:pPr>
  </w:style>
  <w:style w:type="paragraph" w:customStyle="1" w:styleId="330">
    <w:name w:val="正文段"/>
    <w:basedOn w:val="1"/>
    <w:autoRedefine/>
    <w:qFormat/>
    <w:uiPriority w:val="0"/>
    <w:pPr>
      <w:widowControl/>
      <w:snapToGrid w:val="0"/>
      <w:spacing w:afterLines="50"/>
      <w:ind w:firstLine="200" w:firstLineChars="200"/>
    </w:pPr>
    <w:rPr>
      <w:sz w:val="24"/>
      <w:szCs w:val="20"/>
    </w:rPr>
  </w:style>
  <w:style w:type="paragraph" w:customStyle="1" w:styleId="331">
    <w:name w:val="_Style 3"/>
    <w:basedOn w:val="1"/>
    <w:next w:val="1"/>
    <w:autoRedefine/>
    <w:qFormat/>
    <w:uiPriority w:val="34"/>
    <w:pPr>
      <w:spacing w:line="360" w:lineRule="auto"/>
      <w:ind w:firstLine="420" w:firstLineChars="200"/>
    </w:pPr>
  </w:style>
  <w:style w:type="paragraph" w:customStyle="1" w:styleId="332">
    <w:name w:val="_Style 2"/>
    <w:basedOn w:val="1"/>
    <w:next w:val="1"/>
    <w:autoRedefine/>
    <w:qFormat/>
    <w:uiPriority w:val="0"/>
    <w:pPr>
      <w:pBdr>
        <w:bottom w:val="single" w:color="auto" w:sz="6" w:space="1"/>
      </w:pBdr>
      <w:jc w:val="center"/>
    </w:pPr>
    <w:rPr>
      <w:rFonts w:ascii="Arial"/>
      <w:vanish/>
      <w:sz w:val="16"/>
    </w:rPr>
  </w:style>
  <w:style w:type="character" w:customStyle="1" w:styleId="333">
    <w:name w:val="font31"/>
    <w:basedOn w:val="54"/>
    <w:autoRedefine/>
    <w:qFormat/>
    <w:uiPriority w:val="0"/>
    <w:rPr>
      <w:rFonts w:hint="eastAsia" w:ascii="宋体" w:hAnsi="宋体" w:eastAsia="宋体" w:cs="宋体"/>
      <w:color w:val="000000"/>
      <w:sz w:val="24"/>
      <w:szCs w:val="24"/>
      <w:u w:val="single"/>
    </w:rPr>
  </w:style>
  <w:style w:type="paragraph" w:customStyle="1" w:styleId="334">
    <w:name w:val="表格文字"/>
    <w:basedOn w:val="1"/>
    <w:next w:val="21"/>
    <w:autoRedefine/>
    <w:qFormat/>
    <w:uiPriority w:val="0"/>
    <w:pPr>
      <w:adjustRightInd w:val="0"/>
      <w:spacing w:line="420" w:lineRule="atLeast"/>
      <w:jc w:val="left"/>
      <w:textAlignment w:val="baseline"/>
    </w:pPr>
    <w:rPr>
      <w:kern w:val="0"/>
    </w:rPr>
  </w:style>
  <w:style w:type="character" w:customStyle="1" w:styleId="335">
    <w:name w:val="font01"/>
    <w:basedOn w:val="54"/>
    <w:autoRedefine/>
    <w:qFormat/>
    <w:uiPriority w:val="0"/>
    <w:rPr>
      <w:rFonts w:ascii="Arial" w:hAnsi="Arial" w:cs="Arial"/>
      <w:color w:val="000000"/>
      <w:sz w:val="18"/>
      <w:szCs w:val="18"/>
      <w:u w:val="none"/>
    </w:rPr>
  </w:style>
  <w:style w:type="paragraph" w:customStyle="1" w:styleId="336">
    <w:name w:val="列出段落3"/>
    <w:basedOn w:val="1"/>
    <w:autoRedefine/>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autoRedefine/>
    <w:qFormat/>
    <w:uiPriority w:val="0"/>
    <w:pPr>
      <w:keepNext/>
      <w:keepLines/>
      <w:spacing w:before="340" w:after="330" w:line="360" w:lineRule="exact"/>
      <w:jc w:val="left"/>
      <w:outlineLvl w:val="2"/>
    </w:pPr>
    <w:rPr>
      <w:b/>
      <w:bCs/>
      <w:kern w:val="44"/>
      <w:szCs w:val="21"/>
    </w:rPr>
  </w:style>
  <w:style w:type="character" w:customStyle="1" w:styleId="338">
    <w:name w:val="font61"/>
    <w:basedOn w:val="54"/>
    <w:autoRedefine/>
    <w:qFormat/>
    <w:uiPriority w:val="0"/>
    <w:rPr>
      <w:rFonts w:hint="eastAsia" w:ascii="宋体" w:hAnsi="宋体" w:eastAsia="宋体" w:cs="宋体"/>
      <w:color w:val="000000"/>
      <w:sz w:val="20"/>
      <w:szCs w:val="20"/>
      <w:u w:val="none"/>
    </w:rPr>
  </w:style>
  <w:style w:type="character" w:customStyle="1" w:styleId="339">
    <w:name w:val="font81"/>
    <w:basedOn w:val="54"/>
    <w:autoRedefine/>
    <w:qFormat/>
    <w:uiPriority w:val="0"/>
    <w:rPr>
      <w:rFonts w:ascii="Calibri" w:hAnsi="Calibri" w:cs="Calibri"/>
      <w:color w:val="000000"/>
      <w:sz w:val="20"/>
      <w:szCs w:val="20"/>
      <w:u w:val="none"/>
    </w:rPr>
  </w:style>
  <w:style w:type="character" w:customStyle="1" w:styleId="340">
    <w:name w:val="font71"/>
    <w:basedOn w:val="54"/>
    <w:autoRedefine/>
    <w:qFormat/>
    <w:uiPriority w:val="0"/>
    <w:rPr>
      <w:rFonts w:hint="eastAsia" w:ascii="宋体" w:hAnsi="宋体" w:eastAsia="宋体" w:cs="宋体"/>
      <w:color w:val="000000"/>
      <w:sz w:val="22"/>
      <w:szCs w:val="22"/>
      <w:u w:val="none"/>
    </w:rPr>
  </w:style>
  <w:style w:type="paragraph" w:customStyle="1" w:styleId="341">
    <w:name w:val="01 正文-首行缩进2字符"/>
    <w:basedOn w:val="1"/>
    <w:autoRedefine/>
    <w:qFormat/>
    <w:uiPriority w:val="0"/>
    <w:pPr>
      <w:spacing w:before="50" w:beforeLines="50" w:after="50" w:afterLines="50"/>
      <w:ind w:firstLine="200" w:firstLineChars="200"/>
    </w:pPr>
    <w:rPr>
      <w:rFonts w:ascii="Arial" w:hAnsi="Arial"/>
      <w:color w:val="000000"/>
    </w:rPr>
  </w:style>
  <w:style w:type="paragraph" w:customStyle="1" w:styleId="342">
    <w:name w:val="paragraph1"/>
    <w:basedOn w:val="1"/>
    <w:qFormat/>
    <w:uiPriority w:val="0"/>
    <w:pPr>
      <w:spacing w:after="93" w:afterLines="30" w:line="360" w:lineRule="auto"/>
      <w:ind w:firstLine="480" w:firstLineChars="200"/>
    </w:pPr>
    <w:rPr>
      <w:rFonts w:eastAsia="楷体_GB231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中国远东国际贸易总公司</Company>
  <Pages>74</Pages>
  <Words>38180</Words>
  <Characters>40032</Characters>
  <Lines>331</Lines>
  <Paragraphs>93</Paragraphs>
  <TotalTime>16</TotalTime>
  <ScaleCrop>false</ScaleCrop>
  <LinksUpToDate>false</LinksUpToDate>
  <CharactersWithSpaces>42537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乐圣天</cp:lastModifiedBy>
  <cp:lastPrinted>2021-03-22T07:00:00Z</cp:lastPrinted>
  <dcterms:modified xsi:type="dcterms:W3CDTF">2024-10-21T09:02:23Z</dcterms:modified>
  <dc:title>招标文件目录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BC1BA64C697642BF92F420CC9F67FF35</vt:lpwstr>
  </property>
</Properties>
</file>