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044C9">
      <w:pPr>
        <w:spacing w:line="360" w:lineRule="auto"/>
        <w:jc w:val="both"/>
        <w:rPr>
          <w:rFonts w:hint="eastAsia" w:ascii="仿宋" w:hAnsi="仿宋" w:eastAsia="仿宋" w:cs="仿宋"/>
          <w:color w:val="auto"/>
          <w:sz w:val="24"/>
          <w:highlight w:val="none"/>
        </w:rPr>
      </w:pPr>
      <w:r>
        <w:rPr>
          <w:rFonts w:hint="eastAsia" w:ascii="仿宋" w:hAnsi="仿宋" w:eastAsia="仿宋" w:cs="仿宋"/>
          <w:b/>
          <w:bCs/>
          <w:color w:val="auto"/>
          <w:highlight w:val="none"/>
        </w:rPr>
        <w:drawing>
          <wp:inline distT="0" distB="0" distL="114300" distR="114300">
            <wp:extent cx="2734945" cy="460375"/>
            <wp:effectExtent l="0" t="0" r="8255" b="15875"/>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6"/>
                    <a:stretch>
                      <a:fillRect/>
                    </a:stretch>
                  </pic:blipFill>
                  <pic:spPr>
                    <a:xfrm>
                      <a:off x="0" y="0"/>
                      <a:ext cx="2734945" cy="460375"/>
                    </a:xfrm>
                    <a:prstGeom prst="rect">
                      <a:avLst/>
                    </a:prstGeom>
                    <a:noFill/>
                    <a:ln>
                      <a:noFill/>
                    </a:ln>
                  </pic:spPr>
                </pic:pic>
              </a:graphicData>
            </a:graphic>
          </wp:inline>
        </w:drawing>
      </w:r>
    </w:p>
    <w:p w14:paraId="63A4585B">
      <w:pPr>
        <w:spacing w:line="360" w:lineRule="auto"/>
        <w:jc w:val="center"/>
        <w:rPr>
          <w:rFonts w:hint="eastAsia" w:ascii="仿宋" w:hAnsi="仿宋" w:eastAsia="仿宋" w:cs="仿宋"/>
          <w:color w:val="auto"/>
          <w:sz w:val="24"/>
          <w:highlight w:val="none"/>
        </w:rPr>
      </w:pPr>
    </w:p>
    <w:p w14:paraId="28364BEB">
      <w:pPr>
        <w:pStyle w:val="23"/>
        <w:jc w:val="center"/>
        <w:rPr>
          <w:rFonts w:hint="eastAsia"/>
          <w:color w:val="auto"/>
          <w:highlight w:val="none"/>
        </w:rPr>
      </w:pPr>
    </w:p>
    <w:p w14:paraId="5D56FBBE">
      <w:pPr>
        <w:spacing w:line="360" w:lineRule="auto"/>
        <w:jc w:val="center"/>
        <w:rPr>
          <w:rFonts w:hint="eastAsia" w:ascii="仿宋" w:hAnsi="仿宋" w:eastAsia="仿宋" w:cs="仿宋"/>
          <w:color w:val="auto"/>
          <w:sz w:val="24"/>
          <w:highlight w:val="none"/>
        </w:rPr>
      </w:pPr>
    </w:p>
    <w:p w14:paraId="6B2E5A6A">
      <w:pPr>
        <w:pStyle w:val="23"/>
        <w:jc w:val="center"/>
        <w:rPr>
          <w:rFonts w:hint="eastAsia"/>
          <w:color w:val="auto"/>
          <w:highlight w:val="none"/>
        </w:rPr>
      </w:pPr>
    </w:p>
    <w:p w14:paraId="3589E00A">
      <w:pPr>
        <w:adjustRightInd/>
        <w:spacing w:line="360" w:lineRule="auto"/>
        <w:jc w:val="center"/>
        <w:outlineLvl w:val="0"/>
        <w:rPr>
          <w:rFonts w:hint="eastAsia" w:ascii="仿宋" w:hAnsi="仿宋" w:eastAsia="仿宋" w:cs="仿宋"/>
          <w:b/>
          <w:color w:val="auto"/>
          <w:sz w:val="44"/>
          <w:szCs w:val="44"/>
          <w:highlight w:val="none"/>
          <w:u w:val="single"/>
          <w:lang w:eastAsia="zh-CN"/>
        </w:rPr>
      </w:pPr>
      <w:r>
        <w:rPr>
          <w:rFonts w:hint="eastAsia" w:ascii="仿宋" w:hAnsi="仿宋" w:eastAsia="仿宋" w:cs="仿宋"/>
          <w:b/>
          <w:color w:val="auto"/>
          <w:sz w:val="44"/>
          <w:szCs w:val="44"/>
          <w:highlight w:val="none"/>
          <w:u w:val="single"/>
          <w:lang w:eastAsia="zh-CN"/>
        </w:rPr>
        <w:t>江心屿西园垃圾中转站除臭设备采购项目</w:t>
      </w:r>
    </w:p>
    <w:p w14:paraId="57422305">
      <w:pPr>
        <w:adjustRightInd/>
        <w:spacing w:line="360" w:lineRule="auto"/>
        <w:jc w:val="center"/>
        <w:outlineLvl w:val="0"/>
        <w:rPr>
          <w:rFonts w:hint="eastAsia" w:ascii="仿宋" w:hAnsi="仿宋" w:eastAsia="仿宋" w:cs="仿宋"/>
          <w:b/>
          <w:color w:val="auto"/>
          <w:sz w:val="44"/>
          <w:szCs w:val="44"/>
          <w:highlight w:val="none"/>
          <w:u w:val="single"/>
          <w:lang w:eastAsia="zh-CN"/>
        </w:rPr>
      </w:pPr>
      <w:r>
        <w:rPr>
          <w:rFonts w:hint="eastAsia" w:ascii="仿宋" w:hAnsi="仿宋" w:eastAsia="仿宋" w:cs="仿宋"/>
          <w:b/>
          <w:color w:val="auto"/>
          <w:sz w:val="44"/>
          <w:szCs w:val="44"/>
          <w:highlight w:val="none"/>
          <w:u w:val="single"/>
          <w:lang w:val="en-US" w:eastAsia="zh-CN"/>
        </w:rPr>
        <w:t xml:space="preserve"> </w:t>
      </w:r>
      <w:r>
        <w:rPr>
          <w:rFonts w:hint="eastAsia" w:ascii="仿宋" w:hAnsi="仿宋" w:eastAsia="仿宋" w:cs="仿宋"/>
          <w:b/>
          <w:color w:val="auto"/>
          <w:sz w:val="44"/>
          <w:szCs w:val="44"/>
          <w:highlight w:val="none"/>
          <w:u w:val="single"/>
          <w:lang w:eastAsia="zh-CN"/>
        </w:rPr>
        <w:t>(第二次)</w:t>
      </w:r>
    </w:p>
    <w:p w14:paraId="059C237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招标文件</w:t>
      </w:r>
    </w:p>
    <w:p w14:paraId="324A8A04">
      <w:pPr>
        <w:adjustRightInd/>
        <w:spacing w:line="360" w:lineRule="auto"/>
        <w:jc w:val="center"/>
        <w:rPr>
          <w:rFonts w:hint="eastAsia" w:ascii="仿宋" w:hAnsi="仿宋" w:eastAsia="仿宋" w:cs="仿宋"/>
          <w:b/>
          <w:color w:val="auto"/>
          <w:sz w:val="40"/>
          <w:szCs w:val="40"/>
          <w:highlight w:val="none"/>
        </w:rPr>
      </w:pPr>
    </w:p>
    <w:p w14:paraId="6030814E">
      <w:pPr>
        <w:pStyle w:val="23"/>
        <w:rPr>
          <w:rFonts w:hint="eastAsia" w:ascii="仿宋" w:hAnsi="仿宋" w:eastAsia="仿宋" w:cs="仿宋"/>
          <w:b/>
          <w:color w:val="auto"/>
          <w:sz w:val="40"/>
          <w:szCs w:val="40"/>
          <w:highlight w:val="none"/>
        </w:rPr>
      </w:pPr>
    </w:p>
    <w:p w14:paraId="52F5C320">
      <w:pPr>
        <w:pStyle w:val="24"/>
        <w:rPr>
          <w:rFonts w:hint="eastAsia"/>
          <w:color w:val="auto"/>
          <w:highlight w:val="none"/>
        </w:rPr>
      </w:pPr>
    </w:p>
    <w:p w14:paraId="40047788">
      <w:pPr>
        <w:adjustRightInd/>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（电子招投标）</w:t>
      </w:r>
    </w:p>
    <w:p w14:paraId="59EB793D">
      <w:pPr>
        <w:snapToGrid w:val="0"/>
        <w:spacing w:line="360" w:lineRule="auto"/>
        <w:ind w:firstLine="1800" w:firstLineChars="600"/>
        <w:jc w:val="left"/>
        <w:rPr>
          <w:rFonts w:hint="eastAsia" w:ascii="仿宋" w:hAnsi="仿宋" w:eastAsia="仿宋" w:cs="仿宋"/>
          <w:color w:val="auto"/>
          <w:sz w:val="30"/>
          <w:szCs w:val="30"/>
          <w:highlight w:val="none"/>
        </w:rPr>
      </w:pPr>
    </w:p>
    <w:p w14:paraId="320C1B92">
      <w:pPr>
        <w:pStyle w:val="24"/>
        <w:rPr>
          <w:rFonts w:hint="eastAsia" w:ascii="仿宋" w:hAnsi="仿宋" w:eastAsia="仿宋" w:cs="仿宋"/>
          <w:color w:val="auto"/>
          <w:sz w:val="30"/>
          <w:szCs w:val="30"/>
          <w:highlight w:val="none"/>
        </w:rPr>
      </w:pPr>
    </w:p>
    <w:p w14:paraId="7811DE3B">
      <w:pPr>
        <w:rPr>
          <w:rFonts w:hint="eastAsia"/>
          <w:color w:val="auto"/>
          <w:highlight w:val="none"/>
        </w:rPr>
      </w:pPr>
    </w:p>
    <w:p w14:paraId="597AF4DC">
      <w:pPr>
        <w:snapToGrid w:val="0"/>
        <w:spacing w:line="360" w:lineRule="auto"/>
        <w:ind w:firstLine="1800" w:firstLineChars="600"/>
        <w:jc w:val="left"/>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val="en-US" w:eastAsia="zh-CN"/>
        </w:rPr>
        <w:t>ZJJS--20240142</w:t>
      </w:r>
    </w:p>
    <w:p w14:paraId="7C42ACA3">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公开招标</w:t>
      </w:r>
    </w:p>
    <w:p w14:paraId="4D5B9A3A">
      <w:pPr>
        <w:spacing w:line="360" w:lineRule="auto"/>
        <w:jc w:val="center"/>
        <w:rPr>
          <w:rFonts w:hint="eastAsia" w:ascii="仿宋" w:hAnsi="仿宋" w:eastAsia="仿宋" w:cs="仿宋"/>
          <w:color w:val="auto"/>
          <w:sz w:val="24"/>
          <w:highlight w:val="none"/>
        </w:rPr>
      </w:pPr>
    </w:p>
    <w:p w14:paraId="317466AA">
      <w:pPr>
        <w:spacing w:line="360" w:lineRule="auto"/>
        <w:jc w:val="center"/>
        <w:rPr>
          <w:rFonts w:hint="eastAsia" w:ascii="仿宋" w:hAnsi="仿宋" w:eastAsia="仿宋" w:cs="仿宋"/>
          <w:color w:val="auto"/>
          <w:sz w:val="24"/>
          <w:highlight w:val="none"/>
        </w:rPr>
      </w:pPr>
    </w:p>
    <w:p w14:paraId="34947CC8">
      <w:pPr>
        <w:spacing w:line="360" w:lineRule="auto"/>
        <w:jc w:val="center"/>
        <w:rPr>
          <w:rFonts w:hint="eastAsia" w:ascii="仿宋" w:hAnsi="仿宋" w:eastAsia="仿宋" w:cs="仿宋"/>
          <w:color w:val="auto"/>
          <w:sz w:val="24"/>
          <w:highlight w:val="none"/>
        </w:rPr>
      </w:pPr>
    </w:p>
    <w:p w14:paraId="51E851D9">
      <w:pPr>
        <w:spacing w:line="360" w:lineRule="auto"/>
        <w:jc w:val="center"/>
        <w:rPr>
          <w:rFonts w:hint="eastAsia" w:ascii="仿宋" w:hAnsi="仿宋" w:eastAsia="仿宋" w:cs="仿宋"/>
          <w:color w:val="auto"/>
          <w:sz w:val="24"/>
          <w:highlight w:val="none"/>
        </w:rPr>
      </w:pPr>
    </w:p>
    <w:p w14:paraId="26A1A5AF">
      <w:pPr>
        <w:snapToGrid w:val="0"/>
        <w:spacing w:line="360" w:lineRule="auto"/>
        <w:ind w:firstLine="1280" w:firstLineChars="4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u w:val="single"/>
          <w:lang w:eastAsia="zh-CN"/>
        </w:rPr>
        <w:t>温州市鹿城区旅游和体育事业发展中心</w:t>
      </w:r>
    </w:p>
    <w:p w14:paraId="3C62B712">
      <w:pPr>
        <w:snapToGrid w:val="0"/>
        <w:spacing w:line="360" w:lineRule="auto"/>
        <w:ind w:firstLine="1280" w:firstLineChars="400"/>
        <w:jc w:val="left"/>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u w:val="single"/>
        </w:rPr>
        <w:t>浙江金穗工程项目管理有限公司</w:t>
      </w:r>
    </w:p>
    <w:p w14:paraId="21EF28F8">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eastAsia="zh-CN"/>
        </w:rPr>
        <w:t>十二</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月</w:t>
      </w:r>
    </w:p>
    <w:p w14:paraId="14CD6F73">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D72205F">
      <w:pPr>
        <w:spacing w:line="360" w:lineRule="auto"/>
        <w:jc w:val="center"/>
        <w:rPr>
          <w:rFonts w:hint="eastAsia" w:ascii="仿宋" w:hAnsi="仿宋" w:eastAsia="仿宋" w:cs="仿宋"/>
          <w:color w:val="auto"/>
          <w:sz w:val="24"/>
          <w:highlight w:val="none"/>
        </w:rPr>
      </w:pPr>
    </w:p>
    <w:p w14:paraId="321BE693">
      <w:pPr>
        <w:spacing w:line="360" w:lineRule="auto"/>
        <w:jc w:val="center"/>
        <w:rPr>
          <w:rFonts w:hint="eastAsia" w:ascii="仿宋" w:hAnsi="仿宋" w:eastAsia="仿宋" w:cs="仿宋"/>
          <w:color w:val="auto"/>
          <w:sz w:val="24"/>
          <w:highlight w:val="none"/>
        </w:rPr>
      </w:pPr>
    </w:p>
    <w:p w14:paraId="403B5B1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1A20A5D">
      <w:pPr>
        <w:spacing w:line="360" w:lineRule="auto"/>
        <w:rPr>
          <w:rFonts w:hint="eastAsia" w:ascii="仿宋" w:hAnsi="仿宋" w:eastAsia="仿宋" w:cs="仿宋"/>
          <w:color w:val="auto"/>
          <w:sz w:val="32"/>
          <w:szCs w:val="32"/>
          <w:highlight w:val="none"/>
        </w:rPr>
      </w:pPr>
    </w:p>
    <w:p w14:paraId="5450E60F">
      <w:pPr>
        <w:spacing w:before="0" w:beforeLines="0" w:after="0" w:afterLines="0" w:line="240" w:lineRule="auto"/>
        <w:ind w:left="0" w:leftChars="0" w:right="0" w:rightChars="0" w:firstLine="0" w:firstLineChars="0"/>
        <w:jc w:val="center"/>
        <w:rPr>
          <w:color w:val="auto"/>
          <w:highlight w:val="none"/>
        </w:rPr>
      </w:pPr>
    </w:p>
    <w:p w14:paraId="56014CB8">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52"/>
          <w:szCs w:val="52"/>
          <w:highlight w:val="none"/>
        </w:rPr>
        <w:fldChar w:fldCharType="begin"/>
      </w:r>
      <w:r>
        <w:rPr>
          <w:rFonts w:hint="eastAsia" w:ascii="仿宋" w:hAnsi="仿宋" w:eastAsia="仿宋" w:cs="仿宋"/>
          <w:color w:val="auto"/>
          <w:sz w:val="52"/>
          <w:szCs w:val="52"/>
          <w:highlight w:val="none"/>
        </w:rPr>
        <w:instrText xml:space="preserve">TOC \o "1-1" \h \u </w:instrText>
      </w:r>
      <w:r>
        <w:rPr>
          <w:rFonts w:hint="eastAsia" w:ascii="仿宋" w:hAnsi="仿宋" w:eastAsia="仿宋" w:cs="仿宋"/>
          <w:color w:val="auto"/>
          <w:sz w:val="52"/>
          <w:szCs w:val="52"/>
          <w:highlight w:val="none"/>
        </w:rPr>
        <w:fldChar w:fldCharType="separate"/>
      </w: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_Toc21511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_Toc21511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105A45B5">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_Toc25109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_Toc25109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02EA536D">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_Toc29596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_Toc29596 \h </w:instrText>
      </w:r>
      <w:r>
        <w:rPr>
          <w:color w:val="auto"/>
          <w:sz w:val="32"/>
          <w:szCs w:val="32"/>
          <w:highlight w:val="none"/>
        </w:rPr>
        <w:fldChar w:fldCharType="separate"/>
      </w:r>
      <w:r>
        <w:rPr>
          <w:color w:val="auto"/>
          <w:sz w:val="32"/>
          <w:szCs w:val="32"/>
          <w:highlight w:val="none"/>
        </w:rPr>
        <w:t>22</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0B09A7F7">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_Toc24805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第四部分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_Toc24805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44A205D9">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_Toc29853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32"/>
          <w:highlight w:val="none"/>
        </w:rPr>
        <w:t>第五部分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_Toc29853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61A4EC59">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_Toc6003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第六部分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_Toc6003 \h </w:instrText>
      </w:r>
      <w:r>
        <w:rPr>
          <w:color w:val="auto"/>
          <w:sz w:val="32"/>
          <w:szCs w:val="32"/>
          <w:highlight w:val="none"/>
        </w:rPr>
        <w:fldChar w:fldCharType="separate"/>
      </w:r>
      <w:r>
        <w:rPr>
          <w:color w:val="auto"/>
          <w:sz w:val="32"/>
          <w:szCs w:val="32"/>
          <w:highlight w:val="none"/>
        </w:rPr>
        <w:t>59</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27373605">
      <w:pPr>
        <w:spacing w:line="360" w:lineRule="auto"/>
        <w:rPr>
          <w:rFonts w:hint="eastAsia" w:ascii="仿宋" w:hAnsi="仿宋" w:eastAsia="仿宋" w:cs="仿宋"/>
          <w:color w:val="auto"/>
          <w:sz w:val="52"/>
          <w:szCs w:val="52"/>
          <w:highlight w:val="none"/>
        </w:rPr>
      </w:pPr>
      <w:r>
        <w:rPr>
          <w:rFonts w:hint="eastAsia" w:ascii="仿宋" w:hAnsi="仿宋" w:eastAsia="仿宋" w:cs="仿宋"/>
          <w:color w:val="auto"/>
          <w:sz w:val="36"/>
          <w:szCs w:val="52"/>
          <w:highlight w:val="none"/>
        </w:rPr>
        <w:fldChar w:fldCharType="end"/>
      </w:r>
    </w:p>
    <w:p w14:paraId="1E900CA7">
      <w:pPr>
        <w:spacing w:line="360" w:lineRule="auto"/>
        <w:ind w:firstLine="549" w:firstLineChars="229"/>
        <w:rPr>
          <w:rFonts w:hint="eastAsia" w:ascii="仿宋" w:hAnsi="仿宋" w:eastAsia="仿宋" w:cs="仿宋"/>
          <w:color w:val="auto"/>
          <w:sz w:val="24"/>
          <w:highlight w:val="none"/>
        </w:rPr>
      </w:pPr>
    </w:p>
    <w:p w14:paraId="1A3DCEC6">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A49CAD8">
      <w:pPr>
        <w:adjustRightInd/>
        <w:spacing w:line="360" w:lineRule="auto"/>
        <w:jc w:val="center"/>
        <w:outlineLvl w:val="0"/>
        <w:rPr>
          <w:rFonts w:hint="eastAsia" w:ascii="仿宋" w:hAnsi="仿宋" w:eastAsia="仿宋" w:cs="仿宋"/>
          <w:b/>
          <w:color w:val="auto"/>
          <w:sz w:val="36"/>
          <w:szCs w:val="20"/>
          <w:highlight w:val="none"/>
        </w:rPr>
      </w:pPr>
      <w:bookmarkStart w:id="0" w:name="_Toc21511"/>
      <w:r>
        <w:rPr>
          <w:rFonts w:hint="eastAsia" w:ascii="仿宋" w:hAnsi="仿宋" w:eastAsia="仿宋" w:cs="仿宋"/>
          <w:b/>
          <w:color w:val="auto"/>
          <w:sz w:val="36"/>
          <w:szCs w:val="20"/>
          <w:highlight w:val="none"/>
        </w:rPr>
        <w:t>第一部分  招标公告</w:t>
      </w:r>
      <w:bookmarkEnd w:id="0"/>
    </w:p>
    <w:p w14:paraId="4B5BE88F">
      <w:pPr>
        <w:widowControl/>
        <w:adjustRightInd/>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rPr>
        <w:t>浙江金穗工程项目管理有限公司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江心屿西园垃圾中转站除臭设备采购项目(第二次)</w:t>
      </w:r>
      <w:r>
        <w:rPr>
          <w:rFonts w:hint="eastAsia" w:ascii="仿宋" w:hAnsi="仿宋" w:eastAsia="仿宋" w:cs="仿宋"/>
          <w:b/>
          <w:bCs/>
          <w:color w:val="auto"/>
          <w:kern w:val="0"/>
          <w:sz w:val="28"/>
          <w:szCs w:val="28"/>
          <w:highlight w:val="none"/>
        </w:rPr>
        <w:t>的公开招标公告</w:t>
      </w:r>
    </w:p>
    <w:tbl>
      <w:tblPr>
        <w:tblStyle w:val="58"/>
        <w:tblW w:w="0" w:type="auto"/>
        <w:tblInd w:w="1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12"/>
      </w:tblGrid>
      <w:tr w14:paraId="07040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 w:hRule="atLeast"/>
        </w:trPr>
        <w:tc>
          <w:tcPr>
            <w:tcW w:w="9612" w:type="dxa"/>
          </w:tcPr>
          <w:p w14:paraId="696D7324">
            <w:pPr>
              <w:widowControl/>
              <w:snapToGrid w:val="0"/>
              <w:spacing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项目概况</w:t>
            </w:r>
          </w:p>
          <w:p w14:paraId="0B990D1C">
            <w:pPr>
              <w:widowControl/>
              <w:snapToGrid w:val="0"/>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u w:val="single"/>
                <w:lang w:eastAsia="zh-CN"/>
              </w:rPr>
              <w:t>江心屿西园垃圾中转站除臭设备采购项目(第二次)</w:t>
            </w:r>
            <w:r>
              <w:rPr>
                <w:rFonts w:hint="eastAsia" w:ascii="仿宋" w:hAnsi="仿宋" w:eastAsia="仿宋" w:cs="仿宋"/>
                <w:color w:val="auto"/>
                <w:kern w:val="0"/>
                <w:sz w:val="24"/>
                <w:highlight w:val="none"/>
              </w:rPr>
              <w:t>的潜在投标人应在政采云平台https://www.zcygov.cn/获取（下载）招标文件，并于202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bCs/>
                <w:color w:val="auto"/>
                <w:sz w:val="24"/>
                <w:highlight w:val="none"/>
                <w:u w:val="singl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color w:val="auto"/>
                <w:kern w:val="0"/>
                <w:sz w:val="24"/>
                <w:highlight w:val="none"/>
              </w:rPr>
              <w:t>（北京时间）前递交（上传）投标文件。</w:t>
            </w:r>
          </w:p>
        </w:tc>
      </w:tr>
    </w:tbl>
    <w:p w14:paraId="2D22DE64">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一、项目基本情况</w:t>
      </w:r>
    </w:p>
    <w:p w14:paraId="1FCFDECE">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lang w:val="en-US" w:eastAsia="zh-CN"/>
        </w:rPr>
        <w:t>ZJJS--20240142</w:t>
      </w:r>
    </w:p>
    <w:p w14:paraId="5F5510A4">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u w:val="single"/>
          <w:lang w:eastAsia="zh-CN"/>
        </w:rPr>
        <w:t>江心屿西园垃圾中转站除臭设备采购项目(第二次)</w:t>
      </w:r>
    </w:p>
    <w:p w14:paraId="02EEEC5B">
      <w:pPr>
        <w:widowControl/>
        <w:snapToGri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预算金额（元）：</w:t>
      </w:r>
      <w:r>
        <w:rPr>
          <w:rFonts w:hint="eastAsia" w:ascii="仿宋" w:hAnsi="仿宋" w:eastAsia="仿宋" w:cs="仿宋"/>
          <w:bCs/>
          <w:color w:val="auto"/>
          <w:sz w:val="24"/>
          <w:highlight w:val="none"/>
          <w:u w:val="single"/>
          <w:lang w:val="en-US" w:eastAsia="zh-CN"/>
        </w:rPr>
        <w:t>450000</w:t>
      </w:r>
    </w:p>
    <w:p w14:paraId="1CA65CB6">
      <w:pPr>
        <w:widowControl/>
        <w:snapToGri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最高限价（元）：</w:t>
      </w:r>
      <w:r>
        <w:rPr>
          <w:rFonts w:hint="eastAsia" w:ascii="仿宋" w:hAnsi="仿宋" w:eastAsia="仿宋" w:cs="仿宋"/>
          <w:bCs/>
          <w:color w:val="auto"/>
          <w:sz w:val="24"/>
          <w:highlight w:val="none"/>
          <w:u w:val="single"/>
          <w:lang w:val="en-US" w:eastAsia="zh-CN"/>
        </w:rPr>
        <w:t>450000</w:t>
      </w:r>
    </w:p>
    <w:p w14:paraId="7249CE6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采购需求：</w:t>
      </w:r>
    </w:p>
    <w:p w14:paraId="3BC1806D">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标项名称:</w:t>
      </w:r>
      <w:r>
        <w:rPr>
          <w:rFonts w:hint="eastAsia" w:ascii="仿宋" w:hAnsi="仿宋" w:eastAsia="仿宋" w:cs="仿宋"/>
          <w:color w:val="auto"/>
          <w:kern w:val="0"/>
          <w:sz w:val="24"/>
          <w:highlight w:val="none"/>
          <w:u w:val="single"/>
          <w:lang w:eastAsia="zh-CN"/>
        </w:rPr>
        <w:t>江心屿西园垃圾中转站除臭设备采购项目(第二次)</w:t>
      </w:r>
    </w:p>
    <w:p w14:paraId="2FEBCC6D">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数量:</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 xml:space="preserve"> </w:t>
      </w:r>
    </w:p>
    <w:p w14:paraId="47ACBA04">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预算金额（元）:</w:t>
      </w:r>
      <w:r>
        <w:rPr>
          <w:rFonts w:hint="eastAsia" w:ascii="仿宋" w:hAnsi="仿宋" w:eastAsia="仿宋" w:cs="仿宋"/>
          <w:bCs/>
          <w:color w:val="auto"/>
          <w:sz w:val="24"/>
          <w:highlight w:val="none"/>
          <w:u w:val="single"/>
          <w:lang w:val="en-US" w:eastAsia="zh-CN"/>
        </w:rPr>
        <w:t>450000</w:t>
      </w:r>
    </w:p>
    <w:p w14:paraId="424265AE">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简要规格描述或项目基本概况介绍、用途：</w:t>
      </w:r>
      <w:r>
        <w:rPr>
          <w:rFonts w:hint="eastAsia" w:ascii="仿宋" w:hAnsi="仿宋" w:eastAsia="仿宋" w:cs="仿宋"/>
          <w:bCs/>
          <w:color w:val="auto"/>
          <w:sz w:val="24"/>
          <w:highlight w:val="none"/>
          <w:u w:val="single"/>
          <w:lang w:eastAsia="zh-CN"/>
        </w:rPr>
        <w:t>除臭系统一套，详见</w:t>
      </w:r>
      <w:r>
        <w:rPr>
          <w:rFonts w:hint="eastAsia" w:ascii="仿宋" w:hAnsi="仿宋" w:eastAsia="仿宋" w:cs="仿宋"/>
          <w:bCs/>
          <w:color w:val="auto"/>
          <w:sz w:val="24"/>
          <w:highlight w:val="none"/>
          <w:u w:val="single"/>
        </w:rPr>
        <w:t>第三部分采购需求</w:t>
      </w:r>
    </w:p>
    <w:p w14:paraId="4B2ABE1F">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备注：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 </w:t>
      </w:r>
      <w:r>
        <w:rPr>
          <w:rFonts w:hint="eastAsia" w:ascii="仿宋" w:hAnsi="仿宋" w:eastAsia="仿宋" w:cs="仿宋"/>
          <w:bCs/>
          <w:color w:val="auto"/>
          <w:sz w:val="24"/>
          <w:highlight w:val="none"/>
          <w:u w:val="single"/>
        </w:rPr>
        <w:t xml:space="preserve"> </w:t>
      </w:r>
    </w:p>
    <w:p w14:paraId="41D4226F">
      <w:pPr>
        <w:widowControl/>
        <w:snapToGrid w:val="0"/>
        <w:spacing w:line="360" w:lineRule="auto"/>
        <w:ind w:left="420" w:left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合同履约期限：标项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合同签订后</w:t>
      </w:r>
      <w:r>
        <w:rPr>
          <w:rFonts w:hint="eastAsia" w:ascii="仿宋" w:hAnsi="仿宋" w:eastAsia="仿宋" w:cs="仿宋"/>
          <w:color w:val="auto"/>
          <w:kern w:val="0"/>
          <w:sz w:val="24"/>
          <w:highlight w:val="none"/>
          <w:u w:val="single"/>
          <w:lang w:val="en-US" w:eastAsia="zh-CN"/>
        </w:rPr>
        <w:t>20</w:t>
      </w:r>
      <w:r>
        <w:rPr>
          <w:rFonts w:hint="eastAsia" w:ascii="仿宋" w:hAnsi="仿宋" w:eastAsia="仿宋" w:cs="仿宋"/>
          <w:color w:val="auto"/>
          <w:kern w:val="0"/>
          <w:sz w:val="24"/>
          <w:highlight w:val="none"/>
          <w:u w:val="single"/>
        </w:rPr>
        <w:t>个工作日内</w:t>
      </w:r>
      <w:r>
        <w:rPr>
          <w:rFonts w:hint="eastAsia" w:ascii="仿宋" w:hAnsi="仿宋" w:eastAsia="仿宋" w:cs="仿宋"/>
          <w:color w:val="auto"/>
          <w:kern w:val="0"/>
          <w:sz w:val="24"/>
          <w:highlight w:val="none"/>
          <w:u w:val="single"/>
          <w:lang w:eastAsia="zh-CN"/>
        </w:rPr>
        <w:t>完成安装调试工作</w:t>
      </w:r>
      <w:r>
        <w:rPr>
          <w:rFonts w:hint="eastAsia" w:ascii="仿宋" w:hAnsi="仿宋" w:eastAsia="仿宋" w:cs="仿宋"/>
          <w:color w:val="auto"/>
          <w:kern w:val="0"/>
          <w:sz w:val="24"/>
          <w:highlight w:val="none"/>
          <w:u w:val="single"/>
        </w:rPr>
        <w:t>。</w:t>
      </w:r>
    </w:p>
    <w:p w14:paraId="6739B6A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是</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接受联合体投标。</w:t>
      </w:r>
    </w:p>
    <w:p w14:paraId="546D9C2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二、申请人的资格要求</w:t>
      </w:r>
    </w:p>
    <w:p w14:paraId="579EE98D">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65773A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.若为联合体投标的，提供联合协议</w:t>
      </w:r>
      <w:r>
        <w:rPr>
          <w:rFonts w:hint="eastAsia" w:ascii="仿宋" w:hAnsi="仿宋" w:eastAsia="仿宋" w:cs="仿宋"/>
          <w:color w:val="auto"/>
          <w:kern w:val="0"/>
          <w:sz w:val="24"/>
          <w:highlight w:val="none"/>
          <w:lang w:eastAsia="zh-CN"/>
        </w:rPr>
        <w:t>书，且</w:t>
      </w:r>
      <w:r>
        <w:rPr>
          <w:rFonts w:hint="eastAsia" w:ascii="仿宋" w:hAnsi="仿宋" w:eastAsia="仿宋" w:cs="仿宋"/>
          <w:color w:val="auto"/>
          <w:kern w:val="0"/>
          <w:sz w:val="24"/>
          <w:highlight w:val="none"/>
        </w:rPr>
        <w:t>联合体其中一家必须为小微企业，联合体成员总数（含牵头人）不超过2家；联合体协议中须明确联合体牵头人；</w:t>
      </w:r>
    </w:p>
    <w:p w14:paraId="22C38D5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.落实政府采购政策需满足的资格要求：专门面向中小企业</w:t>
      </w:r>
      <w:r>
        <w:rPr>
          <w:rFonts w:hint="eastAsia" w:ascii="仿宋" w:hAnsi="仿宋" w:eastAsia="仿宋" w:cs="仿宋"/>
          <w:color w:val="auto"/>
          <w:kern w:val="0"/>
          <w:sz w:val="24"/>
          <w:highlight w:val="none"/>
          <w:lang w:eastAsia="zh-CN"/>
        </w:rPr>
        <w:t>（货物全部由符合政策要求的中小企业制造，提供中小企业声明函）</w:t>
      </w:r>
      <w:r>
        <w:rPr>
          <w:rFonts w:hint="eastAsia" w:ascii="仿宋" w:hAnsi="仿宋" w:eastAsia="仿宋" w:cs="仿宋"/>
          <w:color w:val="auto"/>
          <w:kern w:val="0"/>
          <w:sz w:val="24"/>
          <w:highlight w:val="none"/>
        </w:rPr>
        <w:t>。</w:t>
      </w:r>
    </w:p>
    <w:p w14:paraId="6671E3ED">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三、获取招标文件</w:t>
      </w:r>
    </w:p>
    <w:p w14:paraId="46811A2D">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时间：/至202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lang w:val="en-US" w:eastAsia="zh-CN"/>
        </w:rPr>
        <w:t>27</w:t>
      </w:r>
      <w:r>
        <w:rPr>
          <w:rFonts w:hint="eastAsia" w:ascii="仿宋" w:hAnsi="仿宋" w:eastAsia="仿宋" w:cs="仿宋"/>
          <w:color w:val="auto"/>
          <w:kern w:val="0"/>
          <w:sz w:val="24"/>
          <w:highlight w:val="none"/>
        </w:rPr>
        <w:t>日，每天上午00:00至12:00，下午12:00至23:59（北京时间，线上获取法定节假日均可，线下获取文件法定节假日除外）</w:t>
      </w:r>
    </w:p>
    <w:p w14:paraId="3C60032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地点（网址）：政采云平台https://www.zcygov.cn/</w:t>
      </w:r>
    </w:p>
    <w:p w14:paraId="465388A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方式：投标人登录政采云平台https://www.zcygov.cn/在线申请获取招标文件（进入“项目采购”应用，在获取招标文件菜单中选择项目，申请获取招标文件）</w:t>
      </w:r>
    </w:p>
    <w:p w14:paraId="2ECC3A6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售价（元）：0</w:t>
      </w:r>
    </w:p>
    <w:p w14:paraId="329ED89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四、提交投标文件截止时间、开标时间和地点</w:t>
      </w:r>
    </w:p>
    <w:p w14:paraId="4ACE5DF3">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提交投标文件截止时间：202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12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rPr>
        <w:t>（北京时间）</w:t>
      </w:r>
    </w:p>
    <w:p w14:paraId="5E5FF74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0"/>
          <w:sz w:val="24"/>
          <w:highlight w:val="none"/>
        </w:rPr>
        <w:t>https://www.zcygov.cn/）</w:t>
      </w:r>
      <w:r>
        <w:rPr>
          <w:rStyle w:val="71"/>
          <w:rFonts w:hint="eastAsia" w:ascii="仿宋" w:hAnsi="仿宋" w:eastAsia="仿宋" w:cs="仿宋"/>
          <w:color w:val="auto"/>
          <w:kern w:val="0"/>
          <w:sz w:val="24"/>
          <w:highlight w:val="none"/>
        </w:rPr>
        <w:fldChar w:fldCharType="end"/>
      </w:r>
    </w:p>
    <w:p w14:paraId="25DD8785">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开标时间：202</w:t>
      </w:r>
      <w:r>
        <w:rPr>
          <w:rFonts w:hint="eastAsia" w:ascii="仿宋" w:hAnsi="仿宋" w:eastAsia="仿宋" w:cs="仿宋"/>
          <w:bCs/>
          <w:color w:val="auto"/>
          <w:sz w:val="24"/>
          <w:highlight w:val="none"/>
          <w:u w:val="singl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27</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lang w:val="en-US" w:eastAsia="zh-CN"/>
        </w:rPr>
        <w:t>14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30</w:t>
      </w:r>
    </w:p>
    <w:p w14:paraId="67A0720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开标地点（网址）：政采云平台（</w:t>
      </w:r>
      <w:r>
        <w:rPr>
          <w:rFonts w:hint="eastAsia" w:ascii="仿宋" w:hAnsi="仿宋" w:eastAsia="仿宋" w:cs="仿宋"/>
          <w:color w:val="auto"/>
          <w:kern w:val="0"/>
          <w:sz w:val="24"/>
          <w:highlight w:val="none"/>
          <w:u w:val="single"/>
        </w:rPr>
        <w:t>https://www.zcygov.cn/</w:t>
      </w:r>
      <w:r>
        <w:rPr>
          <w:rFonts w:hint="eastAsia" w:ascii="仿宋" w:hAnsi="仿宋" w:eastAsia="仿宋" w:cs="仿宋"/>
          <w:color w:val="auto"/>
          <w:kern w:val="0"/>
          <w:sz w:val="24"/>
          <w:highlight w:val="none"/>
        </w:rPr>
        <w:t>）</w:t>
      </w:r>
    </w:p>
    <w:p w14:paraId="0665E22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、公告期限</w:t>
      </w:r>
    </w:p>
    <w:p w14:paraId="52E338F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36D1763E">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六</w:t>
      </w:r>
      <w:r>
        <w:rPr>
          <w:rFonts w:hint="eastAsia" w:ascii="仿宋" w:hAnsi="仿宋" w:eastAsia="仿宋" w:cs="仿宋"/>
          <w:b/>
          <w:bCs/>
          <w:color w:val="auto"/>
          <w:kern w:val="0"/>
          <w:sz w:val="24"/>
          <w:highlight w:val="none"/>
        </w:rPr>
        <w:t>、其他补充事宜</w:t>
      </w:r>
    </w:p>
    <w:p w14:paraId="2EBD84D2">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304AF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2.其他事项：</w:t>
      </w:r>
    </w:p>
    <w:p w14:paraId="7285A82C">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（1）电子招投标：本项目以数据电文形式，依托“政采云平台（www.zcygov.cn）”进行招投标活动，各供应商应按照本项目采购文件和政采云平台的要求编制、加密并递交投标文件，不接受纸质投标文件。</w:t>
      </w:r>
    </w:p>
    <w:p w14:paraId="139D083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（2）投标准备：</w:t>
      </w:r>
    </w:p>
    <w:p w14:paraId="39F4A1F4">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1)注册账号--点击“商家入驻”，进行政府采购供应商资料填写，通过审核后可成为正式供应商；</w:t>
      </w:r>
    </w:p>
    <w:p w14:paraId="6EF30806">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2)申领CA数字证书---申领流程详见“浙江政府采购网-下载专区-电子交易客户端-CA驱动和申领流程”：供应商应在开标前完成CA数字证书办理，完成CA数字证书办理预计1-2周左右，各供应商应充分考虑办理时间等因素</w:t>
      </w:r>
      <w:r>
        <w:rPr>
          <w:rFonts w:hint="eastAsia" w:ascii="仿宋" w:hAnsi="仿宋" w:eastAsia="仿宋" w:cs="仿宋"/>
          <w:iCs/>
          <w:color w:val="auto"/>
          <w:kern w:val="0"/>
          <w:sz w:val="24"/>
          <w:highlight w:val="none"/>
          <w:u w:val="single"/>
          <w:lang w:eastAsia="zh-CN"/>
        </w:rPr>
        <w:t>；</w:t>
      </w:r>
    </w:p>
    <w:p w14:paraId="61CDC3A3">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办理流程详见:《CA证书办理操作指南》https://helpcenter.zcygov.cn/document/#/document/detail?siteCode=beijing&amp;manualId=795&amp;topicId=4081</w:t>
      </w:r>
      <w:r>
        <w:rPr>
          <w:rFonts w:hint="eastAsia" w:ascii="仿宋" w:hAnsi="仿宋" w:eastAsia="仿宋" w:cs="仿宋"/>
          <w:iCs/>
          <w:color w:val="auto"/>
          <w:kern w:val="0"/>
          <w:sz w:val="24"/>
          <w:highlight w:val="none"/>
          <w:u w:val="single"/>
          <w:lang w:eastAsia="zh-CN"/>
        </w:rPr>
        <w:t>；</w:t>
      </w:r>
    </w:p>
    <w:p w14:paraId="3422B329">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3)安装“政采云电子交易客户端”----供应商通过政采云平台电子投标工具制作投标文件，前往“浙江政府采购网-下载专区-电子交易客户端”进行下载并安装。政采云电子交易客户端：https://customer.zcygov.cn/CA-driver-download</w:t>
      </w:r>
      <w:r>
        <w:rPr>
          <w:rFonts w:hint="eastAsia" w:ascii="仿宋" w:hAnsi="仿宋" w:eastAsia="仿宋" w:cs="仿宋"/>
          <w:iCs/>
          <w:color w:val="auto"/>
          <w:kern w:val="0"/>
          <w:sz w:val="24"/>
          <w:highlight w:val="none"/>
          <w:u w:val="single"/>
          <w:lang w:eastAsia="zh-CN"/>
        </w:rPr>
        <w:t>。</w:t>
      </w:r>
    </w:p>
    <w:p w14:paraId="3A8EF9F5">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（3）招标文件的获取：使用账号登录或者使用CA登录政采云平台（非政府采购）；进入“项目采购”应用，在获取采购文件菜单中选择项目，获取招标文件。</w:t>
      </w:r>
    </w:p>
    <w:p w14:paraId="220C840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（4）投标文件的制作：在“政采云电子交易客户端”中完成“填写基本信息”、“导入投标文件”、“标书关联”、“标书检查”、“电子签名”、“生成电子标书”等操作。</w:t>
      </w:r>
    </w:p>
    <w:p w14:paraId="75DCB456">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（5）投标文件的传输递交：供应商在投标截止时间前将加密的投标文件上传至政采云平台。</w:t>
      </w:r>
    </w:p>
    <w:p w14:paraId="76791C95">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（6）投标文件的解密：供应商按照平台提示和采购文件的规定的时间内完成在线解密。</w:t>
      </w:r>
    </w:p>
    <w:p w14:paraId="4D46D2A4">
      <w:pPr>
        <w:widowControl/>
        <w:snapToGrid w:val="0"/>
        <w:spacing w:line="360" w:lineRule="auto"/>
        <w:jc w:val="left"/>
        <w:rPr>
          <w:rFonts w:hint="eastAsia" w:ascii="仿宋" w:hAnsi="仿宋" w:eastAsia="仿宋" w:cs="仿宋"/>
          <w:i w:val="0"/>
          <w:iCs/>
          <w:color w:val="auto"/>
          <w:kern w:val="0"/>
          <w:sz w:val="24"/>
          <w:highlight w:val="none"/>
          <w:u w:val="single"/>
          <w:lang w:val="en-US" w:eastAsia="zh-CN"/>
        </w:rPr>
      </w:pPr>
      <w:r>
        <w:rPr>
          <w:rFonts w:hint="eastAsia" w:ascii="仿宋" w:hAnsi="仿宋" w:eastAsia="仿宋" w:cs="仿宋"/>
          <w:iCs/>
          <w:color w:val="auto"/>
          <w:kern w:val="0"/>
          <w:sz w:val="24"/>
          <w:highlight w:val="none"/>
          <w:u w:val="single"/>
        </w:rPr>
        <w:t>（7）具体操作指南：详见政采云平台“服务中心-帮助文档-项目采购-操作流程-电子招投标-政府采购项目电子交易管理操作指南-供应商”：浙江省政府采购项目政采云平台学习专题</w:t>
      </w:r>
      <w:r>
        <w:rPr>
          <w:rFonts w:hint="eastAsia" w:ascii="仿宋" w:hAnsi="仿宋" w:eastAsia="仿宋" w:cs="仿宋"/>
          <w:iCs/>
          <w:color w:val="auto"/>
          <w:kern w:val="0"/>
          <w:sz w:val="24"/>
          <w:highlight w:val="none"/>
          <w:u w:val="single"/>
        </w:rPr>
        <w:fldChar w:fldCharType="begin"/>
      </w:r>
      <w:r>
        <w:rPr>
          <w:rFonts w:hint="eastAsia" w:ascii="仿宋" w:hAnsi="仿宋" w:eastAsia="仿宋" w:cs="仿宋"/>
          <w:iCs/>
          <w:color w:val="auto"/>
          <w:kern w:val="0"/>
          <w:sz w:val="24"/>
          <w:highlight w:val="none"/>
          <w:u w:val="single"/>
        </w:rPr>
        <w:instrText xml:space="preserve"> HYPERLINK "https://edu.zcygov.cn/luban/e-biding。" </w:instrText>
      </w:r>
      <w:r>
        <w:rPr>
          <w:rFonts w:hint="eastAsia" w:ascii="仿宋" w:hAnsi="仿宋" w:eastAsia="仿宋" w:cs="仿宋"/>
          <w:iCs/>
          <w:color w:val="auto"/>
          <w:kern w:val="0"/>
          <w:sz w:val="24"/>
          <w:highlight w:val="none"/>
          <w:u w:val="single"/>
        </w:rPr>
        <w:fldChar w:fldCharType="separate"/>
      </w:r>
      <w:r>
        <w:rPr>
          <w:rFonts w:hint="eastAsia" w:ascii="仿宋" w:hAnsi="仿宋" w:eastAsia="仿宋" w:cs="仿宋"/>
          <w:iCs/>
          <w:color w:val="auto"/>
          <w:kern w:val="0"/>
          <w:sz w:val="24"/>
          <w:highlight w:val="none"/>
          <w:u w:val="single"/>
        </w:rPr>
        <w:t>https://edu.zcygov.cn/luban/e-biding。</w:t>
      </w:r>
      <w:r>
        <w:rPr>
          <w:rFonts w:hint="eastAsia" w:ascii="仿宋" w:hAnsi="仿宋" w:eastAsia="仿宋" w:cs="仿宋"/>
          <w:iCs/>
          <w:color w:val="auto"/>
          <w:kern w:val="0"/>
          <w:sz w:val="24"/>
          <w:highlight w:val="none"/>
          <w:u w:val="single"/>
        </w:rPr>
        <w:fldChar w:fldCharType="end"/>
      </w:r>
      <w:r>
        <w:rPr>
          <w:rFonts w:hint="eastAsia" w:ascii="仿宋" w:hAnsi="仿宋" w:eastAsia="仿宋" w:cs="仿宋"/>
          <w:iCs/>
          <w:color w:val="auto"/>
          <w:kern w:val="0"/>
          <w:sz w:val="24"/>
          <w:highlight w:val="none"/>
          <w:u w:val="single"/>
          <w:lang w:val="en-US" w:eastAsia="zh-CN"/>
        </w:rPr>
        <w:tab/>
      </w:r>
    </w:p>
    <w:p w14:paraId="70C5788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val="en-US" w:eastAsia="zh-CN"/>
        </w:rPr>
        <w:t>七</w:t>
      </w:r>
      <w:r>
        <w:rPr>
          <w:rFonts w:hint="eastAsia" w:ascii="仿宋" w:hAnsi="仿宋" w:eastAsia="仿宋" w:cs="仿宋"/>
          <w:b/>
          <w:bCs/>
          <w:color w:val="auto"/>
          <w:kern w:val="0"/>
          <w:sz w:val="24"/>
          <w:highlight w:val="none"/>
        </w:rPr>
        <w:t>、对本次采购提出询问、质疑、投诉，请按以下方式联系</w:t>
      </w:r>
    </w:p>
    <w:p w14:paraId="3117B9B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35BD3515">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温州市鹿城区旅游和体育事业发展中心</w:t>
      </w:r>
    </w:p>
    <w:p w14:paraId="45C1AFD6">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温州市鹿城区江滨西路怡浦园小区2栋2楼</w:t>
      </w:r>
    </w:p>
    <w:p w14:paraId="1E9D0877">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传真：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p>
    <w:p w14:paraId="1EBDB5D4">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严斌</w:t>
      </w:r>
    </w:p>
    <w:p w14:paraId="6FD501DF">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val="en-US" w:eastAsia="zh-CN"/>
        </w:rPr>
        <w:t>18958868690</w:t>
      </w:r>
    </w:p>
    <w:p w14:paraId="514EC539">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lang w:val="en-US" w:eastAsia="zh-CN"/>
        </w:rPr>
        <w:t>潘女士</w:t>
      </w:r>
    </w:p>
    <w:p w14:paraId="3B50D410">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lang w:val="en-US" w:eastAsia="zh-CN"/>
        </w:rPr>
        <w:t>0577-88959262</w:t>
      </w:r>
    </w:p>
    <w:p w14:paraId="10B8378D">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76100DF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浙江金穗工程项目管理有限公司</w:t>
      </w:r>
    </w:p>
    <w:p w14:paraId="616E744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温州市鹿城区车站大道75号金鳞花苑商务楼三楼</w:t>
      </w:r>
    </w:p>
    <w:p w14:paraId="04B01356">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bCs/>
          <w:color w:val="auto"/>
          <w:sz w:val="24"/>
          <w:highlight w:val="none"/>
          <w:u w:val="single"/>
        </w:rPr>
        <w:t>0577-86511702</w:t>
      </w:r>
    </w:p>
    <w:p w14:paraId="35F2F99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项目联系人（询问）：</w:t>
      </w:r>
      <w:r>
        <w:rPr>
          <w:rFonts w:hint="eastAsia" w:ascii="仿宋" w:hAnsi="仿宋" w:eastAsia="仿宋" w:cs="仿宋"/>
          <w:bCs/>
          <w:color w:val="auto"/>
          <w:sz w:val="24"/>
          <w:highlight w:val="none"/>
          <w:u w:val="single"/>
          <w:lang w:eastAsia="zh-CN"/>
        </w:rPr>
        <w:t>王海鹏</w:t>
      </w:r>
    </w:p>
    <w:p w14:paraId="3178A554">
      <w:pPr>
        <w:widowControl/>
        <w:snapToGrid w:val="0"/>
        <w:spacing w:line="360" w:lineRule="auto"/>
        <w:jc w:val="left"/>
        <w:rPr>
          <w:rFonts w:hint="eastAsia" w:ascii="仿宋" w:hAnsi="仿宋" w:eastAsia="仿宋" w:cs="仿宋"/>
          <w:bCs/>
          <w:color w:val="auto"/>
          <w:sz w:val="24"/>
          <w:highlight w:val="none"/>
          <w:u w:val="single"/>
          <w:lang w:val="en-US" w:eastAsia="zh-CN"/>
        </w:rPr>
      </w:pPr>
      <w:r>
        <w:rPr>
          <w:rFonts w:hint="eastAsia" w:ascii="仿宋" w:hAnsi="仿宋" w:eastAsia="仿宋" w:cs="仿宋"/>
          <w:color w:val="auto"/>
          <w:kern w:val="0"/>
          <w:sz w:val="24"/>
          <w:highlight w:val="none"/>
        </w:rPr>
        <w:t>项目联系方式（询问）：</w:t>
      </w:r>
      <w:r>
        <w:rPr>
          <w:rFonts w:hint="eastAsia" w:ascii="仿宋" w:hAnsi="仿宋" w:eastAsia="仿宋" w:cs="仿宋"/>
          <w:bCs/>
          <w:color w:val="auto"/>
          <w:sz w:val="24"/>
          <w:highlight w:val="none"/>
          <w:u w:val="single"/>
          <w:lang w:eastAsia="zh-CN"/>
        </w:rPr>
        <w:t>0577-865117</w:t>
      </w:r>
      <w:r>
        <w:rPr>
          <w:rFonts w:hint="eastAsia" w:ascii="仿宋" w:hAnsi="仿宋" w:eastAsia="仿宋" w:cs="仿宋"/>
          <w:bCs/>
          <w:color w:val="auto"/>
          <w:sz w:val="24"/>
          <w:highlight w:val="none"/>
          <w:u w:val="single"/>
          <w:lang w:val="en-US" w:eastAsia="zh-CN"/>
        </w:rPr>
        <w:t>19/</w:t>
      </w:r>
      <w:r>
        <w:rPr>
          <w:rFonts w:hint="eastAsia" w:ascii="仿宋" w:hAnsi="仿宋" w:eastAsia="仿宋" w:cs="仿宋"/>
          <w:bCs/>
          <w:color w:val="auto"/>
          <w:sz w:val="24"/>
          <w:highlight w:val="none"/>
          <w:u w:val="single"/>
          <w:lang w:eastAsia="zh-CN"/>
        </w:rPr>
        <w:t>15158555213</w:t>
      </w:r>
    </w:p>
    <w:p w14:paraId="19A299C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质疑联系人：</w:t>
      </w:r>
      <w:r>
        <w:rPr>
          <w:rFonts w:hint="eastAsia" w:ascii="仿宋" w:hAnsi="仿宋" w:eastAsia="仿宋" w:cs="仿宋"/>
          <w:color w:val="auto"/>
          <w:kern w:val="0"/>
          <w:sz w:val="24"/>
          <w:highlight w:val="none"/>
          <w:u w:val="single"/>
        </w:rPr>
        <w:t>李奔</w:t>
      </w:r>
    </w:p>
    <w:p w14:paraId="26318CF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质疑联系方式：</w:t>
      </w:r>
      <w:r>
        <w:rPr>
          <w:rFonts w:hint="eastAsia" w:ascii="仿宋" w:hAnsi="仿宋" w:eastAsia="仿宋" w:cs="仿宋"/>
          <w:color w:val="auto"/>
          <w:kern w:val="0"/>
          <w:sz w:val="24"/>
          <w:highlight w:val="none"/>
          <w:u w:val="single"/>
        </w:rPr>
        <w:t>0577-86511706</w:t>
      </w:r>
    </w:p>
    <w:p w14:paraId="0B707BD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3.同级政府采购监督管理部门</w:t>
      </w:r>
    </w:p>
    <w:p w14:paraId="1349D1AB">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温州市鹿城区财政局</w:t>
      </w:r>
    </w:p>
    <w:p w14:paraId="09B17158">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lang w:val="en-US" w:eastAsia="zh-CN"/>
        </w:rPr>
        <w:t>温州市鹿城区江滨西路552号</w:t>
      </w:r>
    </w:p>
    <w:p w14:paraId="20A68A2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bCs/>
          <w:color w:val="auto"/>
          <w:sz w:val="24"/>
          <w:highlight w:val="none"/>
          <w:u w:val="single"/>
          <w:lang w:val="en-US" w:eastAsia="zh-CN"/>
        </w:rPr>
        <w:t>/</w:t>
      </w:r>
    </w:p>
    <w:p w14:paraId="347E542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u w:val="single"/>
        </w:rPr>
        <w:t>黄女士、朱先生</w:t>
      </w:r>
    </w:p>
    <w:p w14:paraId="6BFD31FF">
      <w:pPr>
        <w:widowControl/>
        <w:snapToGrid w:val="0"/>
        <w:spacing w:line="360" w:lineRule="auto"/>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监督投诉电话：</w:t>
      </w:r>
      <w:r>
        <w:rPr>
          <w:rFonts w:hint="eastAsia" w:ascii="仿宋" w:hAnsi="仿宋" w:eastAsia="仿宋" w:cs="仿宋"/>
          <w:color w:val="auto"/>
          <w:kern w:val="0"/>
          <w:sz w:val="24"/>
          <w:highlight w:val="none"/>
          <w:u w:val="single"/>
        </w:rPr>
        <w:t>0577-88359173</w:t>
      </w:r>
    </w:p>
    <w:p w14:paraId="1C1875EB">
      <w:pPr>
        <w:pStyle w:val="5"/>
        <w:rPr>
          <w:rFonts w:hint="eastAsia"/>
          <w:color w:val="auto"/>
          <w:highlight w:val="none"/>
          <w:lang w:eastAsia="zh-CN"/>
        </w:rPr>
      </w:pPr>
    </w:p>
    <w:p w14:paraId="49BFA033">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0"/>
          <w:szCs w:val="21"/>
          <w:highlight w:val="none"/>
        </w:rPr>
        <w:t>https://www.zcygov.cn/</w:t>
      </w:r>
      <w:r>
        <w:rPr>
          <w:rStyle w:val="71"/>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），点击右侧咨询小采，获取采小蜜智能服务管家帮助，或拨打政采云服务热线95763获取热线服务帮助。</w:t>
      </w:r>
    </w:p>
    <w:p w14:paraId="28A5DFBE">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4B361EB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77CA0FC7">
      <w:pPr>
        <w:widowControl/>
        <w:snapToGrid w:val="0"/>
        <w:spacing w:line="360" w:lineRule="auto"/>
        <w:jc w:val="center"/>
        <w:outlineLvl w:val="0"/>
        <w:rPr>
          <w:rFonts w:hint="eastAsia" w:ascii="仿宋" w:hAnsi="仿宋" w:eastAsia="仿宋" w:cs="仿宋"/>
          <w:b/>
          <w:color w:val="auto"/>
          <w:sz w:val="36"/>
          <w:szCs w:val="36"/>
          <w:highlight w:val="none"/>
        </w:rPr>
      </w:pPr>
      <w:bookmarkStart w:id="1" w:name="_Toc25109"/>
      <w:r>
        <w:rPr>
          <w:rFonts w:hint="eastAsia" w:ascii="仿宋" w:hAnsi="仿宋" w:eastAsia="仿宋" w:cs="仿宋"/>
          <w:b/>
          <w:color w:val="auto"/>
          <w:sz w:val="36"/>
          <w:szCs w:val="36"/>
          <w:highlight w:val="none"/>
        </w:rPr>
        <w:t>第二部分  投标人须知</w:t>
      </w:r>
      <w:bookmarkEnd w:id="1"/>
    </w:p>
    <w:p w14:paraId="389F1090">
      <w:pPr>
        <w:widowControl/>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29E6EFA2">
        <w:tblPrEx>
          <w:tblCellMar>
            <w:top w:w="0" w:type="dxa"/>
            <w:left w:w="108" w:type="dxa"/>
            <w:bottom w:w="0" w:type="dxa"/>
            <w:right w:w="108" w:type="dxa"/>
          </w:tblCellMar>
        </w:tblPrEx>
        <w:trPr>
          <w:trHeight w:val="9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C80C72">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2FE3C0C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EC9A6F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11CE36D7">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42385E0">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0396845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2265C82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7F42AF4F">
            <w:pPr>
              <w:numPr>
                <w:ilvl w:val="0"/>
                <w:numId w:val="1"/>
              </w:numPr>
              <w:snapToGrid w:val="0"/>
              <w:ind w:firstLine="210" w:firstLineChars="100"/>
              <w:rPr>
                <w:rFonts w:hint="eastAsia"/>
                <w:color w:val="auto"/>
                <w:highlight w:val="none"/>
              </w:rPr>
            </w:pPr>
            <w:r>
              <w:rPr>
                <w:rFonts w:hint="eastAsia" w:ascii="仿宋" w:hAnsi="仿宋" w:eastAsia="仿宋" w:cs="仿宋"/>
                <w:color w:val="auto"/>
                <w:kern w:val="0"/>
                <w:szCs w:val="21"/>
                <w:highlight w:val="none"/>
              </w:rPr>
              <w:t>标的：</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kern w:val="0"/>
                <w:szCs w:val="21"/>
                <w:highlight w:val="none"/>
              </w:rPr>
              <w:t>，属于</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工业 </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kern w:val="0"/>
                <w:szCs w:val="21"/>
                <w:highlight w:val="none"/>
              </w:rPr>
              <w:t>行业；</w:t>
            </w:r>
            <w:r>
              <w:rPr>
                <w:rFonts w:hint="eastAsia" w:ascii="仿宋" w:hAnsi="仿宋" w:eastAsia="仿宋" w:cs="仿宋"/>
                <w:color w:val="auto"/>
                <w:kern w:val="0"/>
                <w:szCs w:val="21"/>
                <w:highlight w:val="none"/>
                <w:lang w:eastAsia="zh-CN"/>
              </w:rPr>
              <w:t>具体以</w:t>
            </w:r>
            <w:r>
              <w:rPr>
                <w:rFonts w:hint="eastAsia" w:ascii="仿宋" w:hAnsi="仿宋" w:eastAsia="仿宋" w:cs="仿宋"/>
                <w:color w:val="auto"/>
                <w:kern w:val="0"/>
                <w:szCs w:val="21"/>
                <w:highlight w:val="none"/>
              </w:rPr>
              <w:t>《统计上大中小微型企业划分办法(2017)》（国统字〔2017〕213号）</w:t>
            </w:r>
            <w:r>
              <w:rPr>
                <w:rFonts w:hint="eastAsia" w:ascii="仿宋" w:hAnsi="仿宋" w:eastAsia="仿宋" w:cs="仿宋"/>
                <w:color w:val="auto"/>
                <w:kern w:val="0"/>
                <w:szCs w:val="21"/>
                <w:highlight w:val="none"/>
                <w:lang w:eastAsia="zh-CN"/>
              </w:rPr>
              <w:t>为准。</w:t>
            </w:r>
          </w:p>
        </w:tc>
      </w:tr>
      <w:tr w14:paraId="1F7F6537">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6C8EEC7">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82CA34B">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5F3FD707">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货物类</w:t>
            </w:r>
          </w:p>
        </w:tc>
      </w:tr>
      <w:tr w14:paraId="5AEA0F4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AC59A4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B922381">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6A25BB23">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636E80B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FA19A70">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36AE8A0">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56D78B3E">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w:t>
            </w:r>
          </w:p>
          <w:p w14:paraId="23E2B84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偏差允许幅度及其处理方法：</w:t>
            </w:r>
            <w:r>
              <w:rPr>
                <w:rFonts w:hint="eastAsia" w:ascii="仿宋" w:hAnsi="仿宋" w:eastAsia="仿宋" w:cs="仿宋"/>
                <w:color w:val="auto"/>
                <w:kern w:val="0"/>
                <w:szCs w:val="21"/>
                <w:highlight w:val="none"/>
                <w:u w:val="single"/>
              </w:rPr>
              <w:t>允许细微偏差，不允许重大偏差。由评标委员会判断，细微偏差要求投标供应商在评标时予以澄清、说明或补正，不接受按要求进行澄清、说明或补正的，评标委员会有权做无效标处理</w:t>
            </w:r>
          </w:p>
        </w:tc>
      </w:tr>
      <w:tr w14:paraId="5DCBC27F">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156921F">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c>
          <w:tcPr>
            <w:tcW w:w="1687" w:type="dxa"/>
            <w:tcBorders>
              <w:top w:val="single" w:color="auto" w:sz="4" w:space="0"/>
              <w:left w:val="single" w:color="auto" w:sz="4" w:space="0"/>
              <w:bottom w:val="single" w:color="auto" w:sz="4" w:space="0"/>
              <w:right w:val="single" w:color="auto" w:sz="4" w:space="0"/>
            </w:tcBorders>
            <w:vAlign w:val="center"/>
          </w:tcPr>
          <w:p w14:paraId="613B302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核心产品</w:t>
            </w:r>
          </w:p>
        </w:tc>
        <w:tc>
          <w:tcPr>
            <w:tcW w:w="6261" w:type="dxa"/>
            <w:tcBorders>
              <w:top w:val="single" w:color="auto" w:sz="4" w:space="0"/>
              <w:left w:val="single" w:color="auto" w:sz="4" w:space="0"/>
              <w:bottom w:val="single" w:color="auto" w:sz="4" w:space="0"/>
              <w:right w:val="single" w:color="auto" w:sz="4" w:space="0"/>
            </w:tcBorders>
            <w:vAlign w:val="center"/>
          </w:tcPr>
          <w:p w14:paraId="4AC33905">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负压收集处理系统（核心产品）</w:t>
            </w:r>
          </w:p>
          <w:p w14:paraId="7F735443">
            <w:pPr>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植物液综合处理系统（核心产品）</w:t>
            </w:r>
          </w:p>
        </w:tc>
      </w:tr>
      <w:tr w14:paraId="4A07E45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F36ECD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w:t>
            </w:r>
          </w:p>
        </w:tc>
        <w:tc>
          <w:tcPr>
            <w:tcW w:w="1687" w:type="dxa"/>
            <w:tcBorders>
              <w:top w:val="single" w:color="auto" w:sz="4" w:space="0"/>
              <w:left w:val="single" w:color="auto" w:sz="4" w:space="0"/>
              <w:bottom w:val="single" w:color="auto" w:sz="4" w:space="0"/>
              <w:right w:val="single" w:color="auto" w:sz="4" w:space="0"/>
            </w:tcBorders>
            <w:vAlign w:val="center"/>
          </w:tcPr>
          <w:p w14:paraId="4AE45D0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是否允许采购进口产品</w:t>
            </w:r>
          </w:p>
        </w:tc>
        <w:tc>
          <w:tcPr>
            <w:tcW w:w="6261" w:type="dxa"/>
            <w:tcBorders>
              <w:top w:val="single" w:color="auto" w:sz="4" w:space="0"/>
              <w:left w:val="single" w:color="auto" w:sz="4" w:space="0"/>
              <w:bottom w:val="single" w:color="auto" w:sz="4" w:space="0"/>
              <w:right w:val="single" w:color="auto" w:sz="4" w:space="0"/>
            </w:tcBorders>
            <w:vAlign w:val="center"/>
          </w:tcPr>
          <w:p w14:paraId="18E5E534">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不允许</w:t>
            </w:r>
          </w:p>
        </w:tc>
      </w:tr>
      <w:tr w14:paraId="0D959543">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67CBE88">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w:t>
            </w:r>
          </w:p>
        </w:tc>
        <w:tc>
          <w:tcPr>
            <w:tcW w:w="1687" w:type="dxa"/>
            <w:tcBorders>
              <w:top w:val="single" w:color="auto" w:sz="4" w:space="0"/>
              <w:left w:val="single" w:color="auto" w:sz="4" w:space="0"/>
              <w:bottom w:val="single" w:color="auto" w:sz="4" w:space="0"/>
              <w:right w:val="single" w:color="auto" w:sz="4" w:space="0"/>
            </w:tcBorders>
            <w:vAlign w:val="center"/>
          </w:tcPr>
          <w:p w14:paraId="237655E8">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是否要求节能产品、环境标志产品</w:t>
            </w:r>
          </w:p>
        </w:tc>
        <w:tc>
          <w:tcPr>
            <w:tcW w:w="6261" w:type="dxa"/>
            <w:tcBorders>
              <w:top w:val="single" w:color="auto" w:sz="4" w:space="0"/>
              <w:left w:val="single" w:color="auto" w:sz="4" w:space="0"/>
              <w:bottom w:val="single" w:color="auto" w:sz="4" w:space="0"/>
              <w:right w:val="single" w:color="auto" w:sz="4" w:space="0"/>
            </w:tcBorders>
            <w:vAlign w:val="center"/>
          </w:tcPr>
          <w:p w14:paraId="6A81448F">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FBF14A5">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65D6A92">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0E3FEDF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0D1BB040">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不组织</w:t>
            </w:r>
          </w:p>
        </w:tc>
      </w:tr>
      <w:tr w14:paraId="39A8099C">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D78D753">
            <w:pPr>
              <w:autoSpaceDE w:val="0"/>
              <w:autoSpaceDN w:val="0"/>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4F2F7016">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样品的提供</w:t>
            </w:r>
          </w:p>
        </w:tc>
        <w:tc>
          <w:tcPr>
            <w:tcW w:w="6261" w:type="dxa"/>
            <w:tcBorders>
              <w:top w:val="single" w:color="auto" w:sz="4" w:space="0"/>
              <w:left w:val="single" w:color="auto" w:sz="4" w:space="0"/>
              <w:bottom w:val="single" w:color="auto" w:sz="4" w:space="0"/>
              <w:right w:val="single" w:color="auto" w:sz="4" w:space="0"/>
            </w:tcBorders>
            <w:vAlign w:val="center"/>
          </w:tcPr>
          <w:p w14:paraId="228FBFC1">
            <w:pPr>
              <w:snapToGrid w:val="0"/>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不要求提供</w:t>
            </w:r>
          </w:p>
        </w:tc>
      </w:tr>
      <w:tr w14:paraId="315BDEB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F3C35A2">
            <w:pPr>
              <w:autoSpaceDE w:val="0"/>
              <w:autoSpaceDN w:val="0"/>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52855254">
            <w:pPr>
              <w:snapToGrid w:val="0"/>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725E18A0">
            <w:pPr>
              <w:snapToGrid w:val="0"/>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lang w:eastAsia="zh-CN"/>
              </w:rPr>
              <w:t>不</w:t>
            </w:r>
            <w:r>
              <w:rPr>
                <w:rFonts w:hint="eastAsia" w:ascii="仿宋" w:hAnsi="仿宋" w:eastAsia="仿宋" w:cs="仿宋"/>
                <w:color w:val="auto"/>
                <w:szCs w:val="21"/>
                <w:highlight w:val="none"/>
              </w:rPr>
              <w:t>组织</w:t>
            </w:r>
          </w:p>
        </w:tc>
      </w:tr>
      <w:tr w14:paraId="1AF3E51F">
        <w:tblPrEx>
          <w:tblCellMar>
            <w:top w:w="0" w:type="dxa"/>
            <w:left w:w="108" w:type="dxa"/>
            <w:bottom w:w="0" w:type="dxa"/>
            <w:right w:w="108" w:type="dxa"/>
          </w:tblCellMar>
        </w:tblPrEx>
        <w:trPr>
          <w:trHeight w:val="31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657461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6A0C396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17F38C7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zh-CN"/>
              </w:rPr>
              <w:t>报价包含的内容：</w:t>
            </w:r>
          </w:p>
          <w:p w14:paraId="4B573D27">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bCs/>
                <w:color w:val="auto"/>
                <w:szCs w:val="21"/>
                <w:highlight w:val="none"/>
                <w:u w:val="single"/>
              </w:rPr>
              <w:t xml:space="preserve"> 货物供货、检测、试验、至最终目的地的运费和保险费、装卸、现场仓储、税金以及安装、调试、测试、验收、技术服务、培训、售后服务、质保期保障等完成合同所需的一切本身和不可或缺的所有工作开支、政策性文件规定及合同包含的所有风险、责任等全部费用，实行固定总价包干</w:t>
            </w:r>
            <w:r>
              <w:rPr>
                <w:rFonts w:hint="eastAsia" w:ascii="仿宋" w:hAnsi="仿宋" w:eastAsia="仿宋" w:cs="仿宋"/>
                <w:color w:val="auto"/>
                <w:kern w:val="0"/>
                <w:szCs w:val="21"/>
                <w:highlight w:val="none"/>
              </w:rPr>
              <w:t>；</w:t>
            </w:r>
          </w:p>
          <w:p w14:paraId="4695147B">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u w:val="single"/>
              </w:rPr>
              <w:t>履约验收费用（包含第三方检测及评审费用）</w:t>
            </w:r>
          </w:p>
        </w:tc>
      </w:tr>
      <w:tr w14:paraId="38AE3E9C">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D7C8C2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6DA7A3B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607A9E74">
            <w:pPr>
              <w:snapToGrid w:val="0"/>
              <w:rPr>
                <w:rFonts w:hint="eastAsia" w:ascii="仿宋" w:hAnsi="仿宋" w:eastAsia="仿宋" w:cs="仿宋"/>
                <w:color w:val="auto"/>
                <w:sz w:val="21"/>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42A2A561">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CC2DC1B">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7C7D234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4AD452D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22F6906B">
        <w:tblPrEx>
          <w:tblCellMar>
            <w:top w:w="0" w:type="dxa"/>
            <w:left w:w="108" w:type="dxa"/>
            <w:bottom w:w="0" w:type="dxa"/>
            <w:right w:w="108" w:type="dxa"/>
          </w:tblCellMar>
        </w:tblPrEx>
        <w:trPr>
          <w:trHeight w:val="464"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4B4567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570749A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4F99B033">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1、可以开标当天在投标递交截止时间前自行送达至开标地点。 </w:t>
            </w:r>
          </w:p>
          <w:p w14:paraId="28F419CD">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2、可以（邮寄形式，建议顺丰）在投标截止时间前一天递交，并需采购代理机构确认是否收到。</w:t>
            </w:r>
          </w:p>
          <w:p w14:paraId="30D4B6D1">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开标（邮寄）地址：温州市车站大道75号金鳞商务楼三楼</w:t>
            </w:r>
          </w:p>
          <w:p w14:paraId="01112CFE">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联系人：王海鹏   联系电话：15158555213</w:t>
            </w:r>
          </w:p>
          <w:p w14:paraId="0F54EDD1">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3、可以</w:t>
            </w:r>
            <w:r>
              <w:rPr>
                <w:rFonts w:hint="eastAsia" w:ascii="仿宋" w:hAnsi="仿宋" w:eastAsia="仿宋" w:cs="仿宋"/>
                <w:bCs/>
                <w:color w:val="auto"/>
                <w:szCs w:val="21"/>
                <w:highlight w:val="none"/>
                <w:lang w:val="en-US" w:eastAsia="zh-CN"/>
              </w:rPr>
              <w:fldChar w:fldCharType="begin"/>
            </w:r>
            <w:r>
              <w:rPr>
                <w:rFonts w:hint="eastAsia" w:ascii="仿宋" w:hAnsi="仿宋" w:eastAsia="仿宋" w:cs="仿宋"/>
                <w:bCs/>
                <w:color w:val="auto"/>
                <w:szCs w:val="21"/>
                <w:highlight w:val="none"/>
                <w:lang w:val="en-US" w:eastAsia="zh-CN"/>
              </w:rPr>
              <w:instrText xml:space="preserve"> HYPERLINK "mailto:备份电子响应文件以介质（电子邮件方式传送至电子邮箱406324231@qq.com）存储的数据电文形式（如有）1份，传送的备份电子响应文件需打包压缩并加密，加密密码由供应商自行保管，未加密导致投标信息泄露的风险由供应商自行承担。" </w:instrText>
            </w:r>
            <w:r>
              <w:rPr>
                <w:rFonts w:hint="eastAsia" w:ascii="仿宋" w:hAnsi="仿宋" w:eastAsia="仿宋" w:cs="仿宋"/>
                <w:bCs/>
                <w:color w:val="auto"/>
                <w:szCs w:val="21"/>
                <w:highlight w:val="none"/>
                <w:lang w:val="en-US" w:eastAsia="zh-CN"/>
              </w:rPr>
              <w:fldChar w:fldCharType="separate"/>
            </w:r>
            <w:r>
              <w:rPr>
                <w:rFonts w:hint="eastAsia" w:ascii="仿宋" w:hAnsi="仿宋" w:eastAsia="仿宋" w:cs="仿宋"/>
                <w:bCs/>
                <w:color w:val="auto"/>
                <w:szCs w:val="21"/>
                <w:highlight w:val="none"/>
                <w:lang w:val="en-US" w:eastAsia="zh-CN"/>
              </w:rPr>
              <w:t>以电子邮件方式传送至电子邮箱406324231@qq.com，邮件内容需打包压缩并加密，加密密码由供应商自行保管，未加密导致投标信息泄露的风险由供应商自行承担。</w:t>
            </w:r>
            <w:r>
              <w:rPr>
                <w:rFonts w:hint="eastAsia" w:ascii="仿宋" w:hAnsi="仿宋" w:eastAsia="仿宋" w:cs="仿宋"/>
                <w:bCs/>
                <w:color w:val="auto"/>
                <w:szCs w:val="21"/>
                <w:highlight w:val="none"/>
                <w:lang w:val="en-US" w:eastAsia="zh-CN"/>
              </w:rPr>
              <w:fldChar w:fldCharType="end"/>
            </w:r>
          </w:p>
          <w:p w14:paraId="4898577A">
            <w:pPr>
              <w:snapToGrid w:val="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lang w:val="en-US" w:eastAsia="zh-CN"/>
              </w:rPr>
              <w:t>（若不提供备份投标文件，开标当天电子加密投标文件解密失败，投标人自行负责。）</w:t>
            </w:r>
          </w:p>
        </w:tc>
      </w:tr>
      <w:tr w14:paraId="0CBE84A8">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1D60885">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6D3AADE9">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69310E25">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09721E14">
            <w:pPr>
              <w:snapToGri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供应商可登录政采云平台-【金融服务】—【我的项目】—【已备案合同】以保函形式提供履约保证金：</w:t>
            </w:r>
          </w:p>
          <w:p w14:paraId="12FBDD67">
            <w:pPr>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（1）供应商在合同列表选择需要投保的合同，点击[保函推荐]。</w:t>
            </w:r>
          </w:p>
          <w:p w14:paraId="476171E2">
            <w:pPr>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（2）在弹框里查看推荐的保函产品，供应商自行选择保函产品，点击[立即申请]。</w:t>
            </w:r>
          </w:p>
          <w:p w14:paraId="06F1E684">
            <w:pPr>
              <w:snapToGrid w:val="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（3）在弹框里填写保函申请信息。具体步骤：选择产品—填写供应商信息—选择中标项目—确认信息—等待保险/保函受理—确认保单—支付保费—成功出单。政采云金融专线400-903-9583</w:t>
            </w:r>
          </w:p>
        </w:tc>
      </w:tr>
      <w:tr w14:paraId="386C23B1">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295A25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026BA48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5F1ACF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中出现的措辞“发包人”和“承包人”，或者“甲方”和“乙方”（或“中标供应商”）等，在采购阶段应当分别按“采购人”和“投标人”进行理解，其中“中标供应商”与“中标人”同义。</w:t>
            </w:r>
          </w:p>
          <w:p w14:paraId="4C8FA7BA">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57579AE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43F7C88F">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中标人在领取中标通知书时应提供与电子投标文件内容一致的纸质投标文件（一正二副）。</w:t>
            </w:r>
          </w:p>
        </w:tc>
      </w:tr>
    </w:tbl>
    <w:p w14:paraId="0E324BAF">
      <w:pPr>
        <w:rPr>
          <w:rFonts w:hint="eastAsia" w:ascii="仿宋" w:hAnsi="仿宋" w:eastAsia="仿宋" w:cs="仿宋"/>
          <w:color w:val="auto"/>
          <w:highlight w:val="none"/>
        </w:rPr>
      </w:pPr>
      <w:bookmarkStart w:id="2" w:name="_Toc34508130"/>
      <w:bookmarkStart w:id="3" w:name="_Toc265529380"/>
      <w:bookmarkStart w:id="4" w:name="_Toc241404199"/>
      <w:bookmarkStart w:id="5" w:name="_Toc239145351"/>
      <w:bookmarkStart w:id="6" w:name="_Toc223715995"/>
      <w:bookmarkStart w:id="7" w:name="_Toc221356883"/>
      <w:bookmarkStart w:id="8" w:name="_Toc221374623"/>
      <w:bookmarkStart w:id="9" w:name="_Toc221423616"/>
      <w:bookmarkStart w:id="10" w:name="_Toc221356948"/>
      <w:bookmarkStart w:id="11" w:name="_Toc222114876"/>
      <w:r>
        <w:rPr>
          <w:rFonts w:hint="eastAsia" w:ascii="仿宋" w:hAnsi="仿宋" w:eastAsia="仿宋" w:cs="仿宋"/>
          <w:color w:val="auto"/>
          <w:highlight w:val="none"/>
        </w:rPr>
        <w:br w:type="page"/>
      </w:r>
    </w:p>
    <w:p w14:paraId="52C78BE7">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bookmarkEnd w:id="2"/>
      <w:bookmarkEnd w:id="3"/>
      <w:bookmarkEnd w:id="4"/>
      <w:bookmarkEnd w:id="5"/>
      <w:bookmarkEnd w:id="6"/>
      <w:bookmarkEnd w:id="7"/>
      <w:bookmarkEnd w:id="8"/>
      <w:bookmarkEnd w:id="9"/>
      <w:bookmarkEnd w:id="10"/>
      <w:bookmarkEnd w:id="11"/>
      <w:r>
        <w:rPr>
          <w:rFonts w:hint="eastAsia" w:ascii="仿宋" w:hAnsi="仿宋" w:eastAsia="仿宋" w:cs="仿宋"/>
          <w:b/>
          <w:color w:val="auto"/>
          <w:sz w:val="28"/>
          <w:szCs w:val="28"/>
          <w:highlight w:val="none"/>
        </w:rPr>
        <w:t>总则</w:t>
      </w:r>
    </w:p>
    <w:p w14:paraId="2882D7F6">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6B9D3AD5">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78EACD09">
      <w:pPr>
        <w:tabs>
          <w:tab w:val="left" w:pos="540"/>
          <w:tab w:val="left" w:pos="900"/>
        </w:tabs>
        <w:snapToGrid w:val="0"/>
        <w:spacing w:line="360" w:lineRule="auto"/>
        <w:rPr>
          <w:rFonts w:hint="eastAsia" w:ascii="仿宋" w:hAnsi="仿宋" w:eastAsia="仿宋" w:cs="仿宋"/>
          <w:b/>
          <w:color w:val="auto"/>
          <w:sz w:val="24"/>
          <w:highlight w:val="none"/>
        </w:rPr>
      </w:pPr>
      <w:bookmarkStart w:id="12" w:name="_Hlk93147856"/>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62A4EE68">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002939A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2.2采用最低评标价法的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9001B2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64435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611A054A">
      <w:pPr>
        <w:snapToGrid w:val="0"/>
        <w:spacing w:line="360" w:lineRule="auto"/>
        <w:ind w:firstLine="480" w:firstLineChars="200"/>
        <w:rPr>
          <w:rFonts w:hint="eastAsia" w:ascii="仿宋" w:hAnsi="仿宋" w:eastAsia="仿宋" w:cs="仿宋"/>
          <w:bCs/>
          <w:color w:val="auto"/>
          <w:spacing w:val="6"/>
          <w:sz w:val="24"/>
          <w:highlight w:val="none"/>
        </w:rPr>
      </w:pPr>
      <w:r>
        <w:rPr>
          <w:rFonts w:hint="eastAsia" w:ascii="仿宋" w:hAnsi="仿宋" w:eastAsia="仿宋" w:cs="仿宋"/>
          <w:color w:val="auto"/>
          <w:sz w:val="24"/>
          <w:highlight w:val="none"/>
        </w:rPr>
        <w:t>2.3货物类是否允许采购进口产品、是否要求节能/环境标志产品等情况见投标人须知前附表。</w:t>
      </w:r>
      <w:bookmarkEnd w:id="12"/>
    </w:p>
    <w:p w14:paraId="5258F27E">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3.合格的投标人</w:t>
      </w:r>
    </w:p>
    <w:p w14:paraId="5A2B4B22">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2A576B3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2FBFC6D4">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1B0FB8D">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4.投标费用</w:t>
      </w:r>
    </w:p>
    <w:p w14:paraId="7D4BC0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投标人应承担所有与准备和参加投标有关费用，不论投标的结果如何，采购人和采购代理机构均无义务和责任承担这些费用。</w:t>
      </w:r>
    </w:p>
    <w:p w14:paraId="155F765F">
      <w:pPr>
        <w:tabs>
          <w:tab w:val="left" w:pos="540"/>
          <w:tab w:val="left" w:pos="900"/>
        </w:tabs>
        <w:snapToGrid w:val="0"/>
        <w:spacing w:line="360" w:lineRule="auto"/>
        <w:rPr>
          <w:rFonts w:hint="eastAsia" w:ascii="仿宋" w:hAnsi="仿宋" w:eastAsia="仿宋" w:cs="仿宋"/>
          <w:b/>
          <w:color w:val="auto"/>
          <w:sz w:val="24"/>
          <w:highlight w:val="none"/>
        </w:rPr>
      </w:pPr>
      <w:bookmarkStart w:id="13" w:name="_Hlk93148567"/>
      <w:r>
        <w:rPr>
          <w:rFonts w:hint="eastAsia" w:ascii="仿宋" w:hAnsi="仿宋" w:eastAsia="仿宋" w:cs="仿宋"/>
          <w:b/>
          <w:color w:val="auto"/>
          <w:sz w:val="24"/>
          <w:highlight w:val="none"/>
        </w:rPr>
        <w:t>5.保密</w:t>
      </w:r>
    </w:p>
    <w:p w14:paraId="24B1AF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和投标文件中的商业和技术等秘密保密，否则应承担相应的法律责任。</w:t>
      </w:r>
    </w:p>
    <w:p w14:paraId="19D801E2">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6.标前答疑会或现场考察</w:t>
      </w:r>
    </w:p>
    <w:p w14:paraId="04AF27A7">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4" w:name="bookmark32"/>
      <w:bookmarkEnd w:id="14"/>
    </w:p>
    <w:p w14:paraId="0C1F61A1">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6.2投标人考察现场发生的费用自理。除采购人的原因外，投标人自行负责在考察现场中所发生的人员伤亡和财产损失。</w:t>
      </w:r>
    </w:p>
    <w:bookmarkEnd w:id="13"/>
    <w:p w14:paraId="700C7FF6">
      <w:pPr>
        <w:snapToGrid w:val="0"/>
        <w:spacing w:line="360" w:lineRule="auto"/>
        <w:rPr>
          <w:rFonts w:hint="eastAsia" w:ascii="仿宋" w:hAnsi="仿宋" w:eastAsia="仿宋" w:cs="仿宋"/>
          <w:b/>
          <w:bCs/>
          <w:color w:val="auto"/>
          <w:spacing w:val="6"/>
          <w:sz w:val="24"/>
          <w:highlight w:val="none"/>
        </w:rPr>
      </w:pPr>
      <w:bookmarkStart w:id="15" w:name="_Hlk93148676"/>
      <w:r>
        <w:rPr>
          <w:rFonts w:hint="eastAsia" w:ascii="仿宋" w:hAnsi="仿宋" w:eastAsia="仿宋" w:cs="仿宋"/>
          <w:b/>
          <w:bCs/>
          <w:color w:val="auto"/>
          <w:spacing w:val="6"/>
          <w:sz w:val="24"/>
          <w:highlight w:val="none"/>
        </w:rPr>
        <w:t>7.落实政府采购政策</w:t>
      </w:r>
    </w:p>
    <w:p w14:paraId="7365246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CD125B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79AC20C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color w:val="auto"/>
          <w:spacing w:val="6"/>
          <w:sz w:val="24"/>
          <w:highlight w:val="none"/>
        </w:rPr>
        <w:t>。</w:t>
      </w:r>
    </w:p>
    <w:p w14:paraId="460C528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E4EEF8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63027C9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0B88AA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6E00FC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7.3.2在政府采购活动中，投标人提供的货物、工程或者服务符合下列情形的，享受中小企业扶持政策：</w:t>
      </w:r>
    </w:p>
    <w:p w14:paraId="6F4FAD1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2D54DAD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17FC419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6BB25BC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在货物采购项目中，投标人提供的货物既有中小企业制造货物，也有大型企业制造货物的，不享受中小企业扶持政策。</w:t>
      </w:r>
    </w:p>
    <w:p w14:paraId="266A9F1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4FDF464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w:t>
      </w:r>
      <w:r>
        <w:rPr>
          <w:rFonts w:hint="eastAsia" w:ascii="仿宋" w:hAnsi="仿宋" w:eastAsia="仿宋" w:cs="仿宋"/>
          <w:bCs/>
          <w:color w:val="auto"/>
          <w:spacing w:val="6"/>
          <w:sz w:val="24"/>
          <w:highlight w:val="none"/>
        </w:rPr>
        <w:t>%-</w:t>
      </w:r>
      <w:r>
        <w:rPr>
          <w:rFonts w:hint="eastAsia" w:ascii="仿宋" w:hAnsi="仿宋" w:eastAsia="仿宋" w:cs="仿宋"/>
          <w:bCs/>
          <w:color w:val="auto"/>
          <w:spacing w:val="6"/>
          <w:sz w:val="24"/>
          <w:highlight w:val="none"/>
          <w:lang w:val="en-US" w:eastAsia="zh-CN"/>
        </w:rPr>
        <w:t>20</w:t>
      </w:r>
      <w:r>
        <w:rPr>
          <w:rFonts w:hint="eastAsia" w:ascii="仿宋" w:hAnsi="仿宋" w:eastAsia="仿宋" w:cs="仿宋"/>
          <w:bCs/>
          <w:color w:val="auto"/>
          <w:spacing w:val="6"/>
          <w:sz w:val="24"/>
          <w:highlight w:val="none"/>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31C662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w:t>
      </w:r>
      <w:r>
        <w:rPr>
          <w:rFonts w:hint="eastAsia" w:ascii="仿宋" w:hAnsi="仿宋" w:eastAsia="仿宋" w:cs="仿宋"/>
          <w:bCs/>
          <w:color w:val="auto"/>
          <w:spacing w:val="6"/>
          <w:sz w:val="24"/>
          <w:highlight w:val="none"/>
        </w:rPr>
        <w:t>%-</w:t>
      </w:r>
      <w:r>
        <w:rPr>
          <w:rFonts w:hint="eastAsia" w:ascii="仿宋" w:hAnsi="仿宋" w:eastAsia="仿宋" w:cs="仿宋"/>
          <w:bCs/>
          <w:color w:val="auto"/>
          <w:spacing w:val="6"/>
          <w:sz w:val="24"/>
          <w:highlight w:val="none"/>
          <w:lang w:val="en-US" w:eastAsia="zh-CN"/>
        </w:rPr>
        <w:t>6</w:t>
      </w:r>
      <w:r>
        <w:rPr>
          <w:rFonts w:hint="eastAsia" w:ascii="仿宋" w:hAnsi="仿宋" w:eastAsia="仿宋" w:cs="仿宋"/>
          <w:bCs/>
          <w:color w:val="auto"/>
          <w:spacing w:val="6"/>
          <w:sz w:val="24"/>
          <w:highlight w:val="none"/>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8F69D9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01F7714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45554B9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38AF0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10EC3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74FDF8B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5"/>
    </w:p>
    <w:p w14:paraId="5D2A8C53">
      <w:pPr>
        <w:snapToGrid w:val="0"/>
        <w:spacing w:line="360" w:lineRule="auto"/>
        <w:rPr>
          <w:rFonts w:hint="eastAsia" w:ascii="仿宋" w:hAnsi="仿宋" w:eastAsia="仿宋" w:cs="仿宋"/>
          <w:b/>
          <w:bCs/>
          <w:color w:val="auto"/>
          <w:spacing w:val="6"/>
          <w:sz w:val="24"/>
          <w:highlight w:val="none"/>
        </w:rPr>
      </w:pPr>
      <w:bookmarkStart w:id="16" w:name="_Hlk93148897"/>
      <w:r>
        <w:rPr>
          <w:rFonts w:hint="eastAsia" w:ascii="仿宋" w:hAnsi="仿宋" w:eastAsia="仿宋" w:cs="仿宋"/>
          <w:b/>
          <w:bCs/>
          <w:color w:val="auto"/>
          <w:spacing w:val="6"/>
          <w:sz w:val="24"/>
          <w:highlight w:val="none"/>
        </w:rPr>
        <w:t>8.询问、质疑、投诉</w:t>
      </w:r>
    </w:p>
    <w:p w14:paraId="30E1552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22001B0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06A908D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460141D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8.2.1提出质疑的投标人应当是参与所质疑项目采购活动的供应商。潜在投标人已依法获取其可质疑的招标文件的，可以对该文件提出质疑。</w:t>
      </w:r>
    </w:p>
    <w:p w14:paraId="29FA773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4F18390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（1）对招标文件提出质疑的，质疑期限为投标人获得招标文件之日或者招标文件公告期限届满之日起计算。</w:t>
      </w:r>
    </w:p>
    <w:p w14:paraId="303B186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74E6E09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017D6C8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8.2.3投标人提出质疑应当提交质疑函和必要的证明材料。质疑函应当包括下列内容：</w:t>
      </w:r>
    </w:p>
    <w:p w14:paraId="04B0F7A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40F154E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55B0078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4E2CF3A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5F48493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13DCFB8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24B62DE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2BBCE7B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6B6AC8D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6017F85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66C53D1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4E0940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8.3.2投标人投诉的事项不得超出已质疑事项的范围，基于质疑答复内容提出的投诉事项除外。</w:t>
      </w:r>
    </w:p>
    <w:p w14:paraId="65DB11C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8.3.3投标人投诉应当有明确的请求和必要的证明材料。</w:t>
      </w:r>
    </w:p>
    <w:p w14:paraId="7E3B45E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7752D02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bookmarkEnd w:id="16"/>
    </w:p>
    <w:p w14:paraId="6A515DAC">
      <w:pPr>
        <w:snapToGrid w:val="0"/>
        <w:spacing w:line="360" w:lineRule="auto"/>
        <w:jc w:val="center"/>
        <w:rPr>
          <w:rFonts w:hint="eastAsia" w:ascii="仿宋" w:hAnsi="仿宋" w:eastAsia="仿宋" w:cs="仿宋"/>
          <w:b/>
          <w:color w:val="auto"/>
          <w:sz w:val="28"/>
          <w:szCs w:val="28"/>
          <w:highlight w:val="none"/>
        </w:rPr>
      </w:pPr>
      <w:bookmarkStart w:id="17" w:name="_Toc221356884"/>
      <w:bookmarkStart w:id="18" w:name="_Toc241404200"/>
      <w:bookmarkStart w:id="19" w:name="_Toc223715996"/>
      <w:bookmarkStart w:id="20" w:name="_Toc221423617"/>
      <w:bookmarkStart w:id="21" w:name="_Toc221374624"/>
      <w:bookmarkStart w:id="22" w:name="_Toc221356949"/>
      <w:bookmarkStart w:id="23" w:name="_Toc222114877"/>
      <w:bookmarkStart w:id="24" w:name="_Toc265529381"/>
      <w:bookmarkStart w:id="25" w:name="_Toc34508131"/>
      <w:bookmarkStart w:id="26" w:name="_Toc239145352"/>
      <w:r>
        <w:rPr>
          <w:rFonts w:hint="eastAsia" w:ascii="仿宋" w:hAnsi="仿宋" w:eastAsia="仿宋" w:cs="仿宋"/>
          <w:b/>
          <w:color w:val="auto"/>
          <w:sz w:val="28"/>
          <w:szCs w:val="28"/>
          <w:highlight w:val="none"/>
        </w:rPr>
        <w:t>二、招标文件</w:t>
      </w:r>
      <w:bookmarkEnd w:id="17"/>
      <w:bookmarkEnd w:id="18"/>
      <w:bookmarkEnd w:id="19"/>
      <w:bookmarkEnd w:id="20"/>
      <w:bookmarkEnd w:id="21"/>
      <w:bookmarkEnd w:id="22"/>
      <w:bookmarkEnd w:id="23"/>
      <w:bookmarkEnd w:id="24"/>
      <w:bookmarkEnd w:id="25"/>
      <w:bookmarkEnd w:id="26"/>
    </w:p>
    <w:p w14:paraId="1074A36F">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9.招标文件</w:t>
      </w:r>
    </w:p>
    <w:p w14:paraId="70C8E39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9.1本项目招标文件由招标文件目录所列内容及相关资料组成。</w:t>
      </w:r>
      <w:bookmarkStart w:id="27" w:name="_Hlk93148980"/>
      <w:r>
        <w:rPr>
          <w:rFonts w:hint="eastAsia" w:ascii="仿宋" w:hAnsi="仿宋" w:eastAsia="仿宋" w:cs="仿宋"/>
          <w:color w:val="auto"/>
          <w:sz w:val="24"/>
          <w:highlight w:val="none"/>
        </w:rPr>
        <w:t>获取招标文件的时间期限、地点、方式及招标文件售价等情况详见招标公告。</w:t>
      </w:r>
      <w:bookmarkEnd w:id="27"/>
    </w:p>
    <w:p w14:paraId="5586EF78">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9.2招标文件的澄清或修改</w:t>
      </w:r>
    </w:p>
    <w:p w14:paraId="32013664">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73193FFD">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468DDDB3">
      <w:pPr>
        <w:snapToGrid w:val="0"/>
        <w:spacing w:line="360" w:lineRule="auto"/>
        <w:jc w:val="center"/>
        <w:outlineLvl w:val="1"/>
        <w:rPr>
          <w:rFonts w:hint="eastAsia" w:ascii="仿宋" w:hAnsi="仿宋" w:eastAsia="仿宋" w:cs="仿宋"/>
          <w:b/>
          <w:color w:val="auto"/>
          <w:sz w:val="28"/>
          <w:szCs w:val="28"/>
          <w:highlight w:val="none"/>
        </w:rPr>
      </w:pPr>
      <w:bookmarkStart w:id="28" w:name="_Toc241404201"/>
      <w:bookmarkStart w:id="29" w:name="_Toc221423618"/>
      <w:bookmarkStart w:id="30" w:name="_Toc222114878"/>
      <w:bookmarkStart w:id="31" w:name="_Toc239145353"/>
      <w:bookmarkStart w:id="32" w:name="_Toc221374625"/>
      <w:bookmarkStart w:id="33" w:name="_Toc221356950"/>
      <w:bookmarkStart w:id="34" w:name="_Toc223715997"/>
      <w:bookmarkStart w:id="35" w:name="_Toc34508132"/>
      <w:bookmarkStart w:id="36" w:name="_Toc265529382"/>
      <w:bookmarkStart w:id="37" w:name="_Toc221356885"/>
      <w:r>
        <w:rPr>
          <w:rFonts w:hint="eastAsia" w:ascii="仿宋" w:hAnsi="仿宋" w:eastAsia="仿宋" w:cs="仿宋"/>
          <w:b/>
          <w:color w:val="auto"/>
          <w:sz w:val="28"/>
          <w:szCs w:val="28"/>
          <w:highlight w:val="none"/>
        </w:rPr>
        <w:t>三、投标文件</w:t>
      </w:r>
      <w:bookmarkEnd w:id="28"/>
      <w:bookmarkEnd w:id="29"/>
      <w:bookmarkEnd w:id="30"/>
      <w:bookmarkEnd w:id="31"/>
      <w:bookmarkEnd w:id="32"/>
      <w:bookmarkEnd w:id="33"/>
      <w:bookmarkEnd w:id="34"/>
      <w:bookmarkEnd w:id="35"/>
      <w:bookmarkEnd w:id="36"/>
      <w:bookmarkEnd w:id="37"/>
    </w:p>
    <w:p w14:paraId="400A88CB">
      <w:pPr>
        <w:snapToGrid w:val="0"/>
        <w:spacing w:line="360" w:lineRule="auto"/>
        <w:rPr>
          <w:rFonts w:hint="eastAsia" w:ascii="仿宋" w:hAnsi="仿宋" w:eastAsia="仿宋" w:cs="仿宋"/>
          <w:b/>
          <w:bCs/>
          <w:snapToGrid w:val="0"/>
          <w:color w:val="auto"/>
          <w:sz w:val="24"/>
          <w:highlight w:val="none"/>
        </w:rPr>
      </w:pPr>
      <w:bookmarkStart w:id="38" w:name="_Toc221356886"/>
      <w:bookmarkStart w:id="39" w:name="_Hlk931492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投标文件的构成</w:t>
      </w:r>
    </w:p>
    <w:p w14:paraId="0B5BF659">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754923E9">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 资格文件须包括下列内容：</w:t>
      </w:r>
    </w:p>
    <w:p w14:paraId="57A682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4405A3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59CB09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2BDDF6A4">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1102A0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6F48D9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217C3CD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27D5C5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697C0F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684B958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6投标人认为需要提供的其他相关资料</w:t>
      </w:r>
      <w:r>
        <w:rPr>
          <w:rFonts w:hint="eastAsia" w:ascii="仿宋" w:hAnsi="仿宋" w:eastAsia="仿宋" w:cs="仿宋"/>
          <w:color w:val="auto"/>
          <w:sz w:val="24"/>
          <w:highlight w:val="none"/>
          <w:lang w:val="zh-CN"/>
        </w:rPr>
        <w:t>。</w:t>
      </w:r>
    </w:p>
    <w:p w14:paraId="74744AF5">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0520EDC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10.3.1开标一览表（报价表）；</w:t>
      </w:r>
    </w:p>
    <w:p w14:paraId="339C1C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09873B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p>
    <w:p w14:paraId="66E381B6">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 要求投标人提供样品、讲解或演示的，见投标人须知前附表。</w:t>
      </w:r>
    </w:p>
    <w:bookmarkEnd w:id="38"/>
    <w:p w14:paraId="32B264A7">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11.投标文件编制</w:t>
      </w:r>
    </w:p>
    <w:p w14:paraId="2954BDE0">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0"/>
          <w:sz w:val="24"/>
          <w:highlight w:val="none"/>
          <w:u w:val="single"/>
          <w:lang w:val="zh-CN"/>
        </w:rPr>
        <w:t>投标人未按规定加密的投标文件，政采云平台将拒收并提示</w:t>
      </w:r>
      <w:r>
        <w:rPr>
          <w:rFonts w:hint="eastAsia" w:ascii="仿宋" w:hAnsi="仿宋" w:eastAsia="仿宋" w:cs="仿宋"/>
          <w:color w:val="auto"/>
          <w:kern w:val="0"/>
          <w:sz w:val="24"/>
          <w:highlight w:val="none"/>
          <w:lang w:val="zh-CN"/>
        </w:rPr>
        <w:t>。</w:t>
      </w:r>
    </w:p>
    <w:p w14:paraId="26337761">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11.2投标人应当按照本部分“投标文件的构成”规定的内容及顺序在“政采云电子交易客户端”编制投标文件。</w:t>
      </w:r>
      <w:r>
        <w:rPr>
          <w:rFonts w:hint="eastAsia" w:ascii="仿宋" w:hAnsi="仿宋" w:eastAsia="仿宋" w:cs="仿宋"/>
          <w:color w:val="auto"/>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3154EBE1">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061986C3">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12.投标文件的签署、盖章</w:t>
      </w:r>
    </w:p>
    <w:p w14:paraId="3BEB429B">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12.1投标文件按照招标文件第五部分格式要求进行签署、盖章。</w:t>
      </w:r>
    </w:p>
    <w:p w14:paraId="1CC09C6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12.2为确保网上操作合法、有效和安全，投标人应当在投标截止时间前完成在“政采云平台”的身份认证，确保在电子投标过程中能够对相关数据电文进行加密和使用电子签名。</w:t>
      </w:r>
    </w:p>
    <w:p w14:paraId="420A0A70">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12.3招标文件对投标文件签署、盖章的要求适用于电子签名。</w:t>
      </w:r>
      <w:bookmarkEnd w:id="39"/>
    </w:p>
    <w:p w14:paraId="60947766">
      <w:pPr>
        <w:tabs>
          <w:tab w:val="left" w:pos="540"/>
        </w:tabs>
        <w:snapToGrid w:val="0"/>
        <w:spacing w:line="360" w:lineRule="auto"/>
        <w:rPr>
          <w:rFonts w:hint="eastAsia" w:ascii="仿宋" w:hAnsi="仿宋" w:eastAsia="仿宋" w:cs="仿宋"/>
          <w:b/>
          <w:color w:val="auto"/>
          <w:sz w:val="24"/>
          <w:highlight w:val="none"/>
        </w:rPr>
      </w:pPr>
      <w:bookmarkStart w:id="40" w:name="_Hlk93149637"/>
      <w:r>
        <w:rPr>
          <w:rFonts w:hint="eastAsia" w:ascii="仿宋" w:hAnsi="仿宋" w:eastAsia="仿宋" w:cs="仿宋"/>
          <w:b/>
          <w:bCs/>
          <w:color w:val="auto"/>
          <w:sz w:val="24"/>
          <w:highlight w:val="none"/>
        </w:rPr>
        <w:t>13.投标报价</w:t>
      </w:r>
    </w:p>
    <w:p w14:paraId="6372B534">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5652B98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招标文件未列明，而投标人认为必需的费用也需列入报价。</w:t>
      </w:r>
    </w:p>
    <w:p w14:paraId="0BDB2AD0">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投标报价其他要求见投标人须知前附表。</w:t>
      </w:r>
      <w:bookmarkEnd w:id="40"/>
    </w:p>
    <w:p w14:paraId="7C2D67ED">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41" w:name="_Toc221356951"/>
      <w:bookmarkStart w:id="42" w:name="_Toc223715998"/>
      <w:bookmarkStart w:id="43" w:name="_Toc221423619"/>
      <w:bookmarkStart w:id="44" w:name="_Toc221356887"/>
      <w:bookmarkStart w:id="45" w:name="_Toc265529383"/>
      <w:bookmarkStart w:id="46" w:name="_Toc222114879"/>
      <w:bookmarkStart w:id="47" w:name="_Toc241404202"/>
      <w:bookmarkStart w:id="48" w:name="_Toc239145354"/>
      <w:bookmarkStart w:id="49" w:name="_Toc221374626"/>
      <w:r>
        <w:rPr>
          <w:rFonts w:hint="eastAsia" w:ascii="仿宋" w:hAnsi="仿宋" w:eastAsia="仿宋" w:cs="仿宋"/>
          <w:b/>
          <w:bCs/>
          <w:color w:val="auto"/>
          <w:sz w:val="24"/>
          <w:highlight w:val="none"/>
        </w:rPr>
        <w:t>14.投标保证金</w:t>
      </w:r>
    </w:p>
    <w:p w14:paraId="77C7354F">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14:paraId="66DBE6BF">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14.2无论是否收取投标保证金，投标人在政府采购活动中违反政府采购相关规定给采购组织机构造成损失的，采购组织机构可要求投标人承担赔偿责任。</w:t>
      </w:r>
    </w:p>
    <w:p w14:paraId="475E8EFE">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有下列情形之一的，采购人将按项目预算的2%要求投标人赔偿：</w:t>
      </w:r>
    </w:p>
    <w:p w14:paraId="08FCCF16">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（1）投标人在投标有效期内撤销投标文件；</w:t>
      </w:r>
    </w:p>
    <w:p w14:paraId="7C175F89">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（2）中标人在收到中标通知书后，无正当理由不与采购人订立合同，在签订合同时向采购人提出附加条件，或者不按照招标文件要求提交履约保证金。</w:t>
      </w:r>
    </w:p>
    <w:p w14:paraId="3D5F1B85">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5C60B5E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bookmarkStart w:id="50" w:name="_Hlk93150253"/>
      <w:r>
        <w:rPr>
          <w:rFonts w:hint="eastAsia" w:ascii="仿宋" w:hAnsi="仿宋" w:eastAsia="仿宋" w:cs="仿宋"/>
          <w:color w:val="auto"/>
          <w:kern w:val="0"/>
          <w:sz w:val="24"/>
          <w:highlight w:val="none"/>
        </w:rPr>
        <w:t>投标有效期见投标人须知前附表。</w:t>
      </w:r>
      <w:r>
        <w:rPr>
          <w:rFonts w:hint="eastAsia" w:ascii="仿宋" w:hAnsi="仿宋" w:eastAsia="仿宋" w:cs="仿宋"/>
          <w:b/>
          <w:color w:val="auto"/>
          <w:kern w:val="0"/>
          <w:sz w:val="24"/>
          <w:highlight w:val="none"/>
          <w:u w:val="single"/>
        </w:rPr>
        <w:t>▲投标人的投标文件中承诺的投标有效期少于招标文件中载明的投标有效期的，投标无效</w:t>
      </w:r>
      <w:r>
        <w:rPr>
          <w:rFonts w:hint="eastAsia" w:ascii="仿宋" w:hAnsi="仿宋" w:eastAsia="仿宋" w:cs="仿宋"/>
          <w:color w:val="auto"/>
          <w:kern w:val="0"/>
          <w:sz w:val="24"/>
          <w:highlight w:val="none"/>
        </w:rPr>
        <w:t>。</w:t>
      </w:r>
    </w:p>
    <w:p w14:paraId="3BB1F92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15.2投标文件合格投递后，自投标截止日期起，在投标有效期内有效。</w:t>
      </w:r>
    </w:p>
    <w:p w14:paraId="2C246086">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1"/>
    <w:bookmarkEnd w:id="42"/>
    <w:bookmarkEnd w:id="43"/>
    <w:bookmarkEnd w:id="44"/>
    <w:bookmarkEnd w:id="45"/>
    <w:bookmarkEnd w:id="46"/>
    <w:bookmarkEnd w:id="47"/>
    <w:bookmarkEnd w:id="48"/>
    <w:bookmarkEnd w:id="49"/>
    <w:bookmarkEnd w:id="50"/>
    <w:p w14:paraId="682BEC91">
      <w:pPr>
        <w:pStyle w:val="89"/>
        <w:snapToGrid w:val="0"/>
        <w:spacing w:before="0"/>
        <w:ind w:firstLine="0" w:firstLineChars="0"/>
        <w:rPr>
          <w:rFonts w:hint="eastAsia" w:ascii="仿宋" w:hAnsi="仿宋" w:eastAsia="仿宋" w:cs="仿宋"/>
          <w:b/>
          <w:color w:val="auto"/>
          <w:szCs w:val="24"/>
          <w:highlight w:val="none"/>
        </w:rPr>
      </w:pPr>
      <w:bookmarkStart w:id="51" w:name="_Hlk93150425"/>
      <w:r>
        <w:rPr>
          <w:rFonts w:hint="eastAsia" w:ascii="仿宋" w:hAnsi="仿宋" w:eastAsia="仿宋" w:cs="仿宋"/>
          <w:b/>
          <w:color w:val="auto"/>
          <w:szCs w:val="24"/>
          <w:highlight w:val="none"/>
        </w:rPr>
        <w:t>16.投标文件的递交、补充、修改、撤回</w:t>
      </w:r>
    </w:p>
    <w:p w14:paraId="00167277">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color w:val="auto"/>
          <w:kern w:val="0"/>
          <w:highlight w:val="none"/>
          <w:u w:val="single"/>
        </w:rPr>
        <w:t>▲</w:t>
      </w:r>
      <w:r>
        <w:rPr>
          <w:rFonts w:hint="eastAsia" w:ascii="仿宋" w:hAnsi="仿宋" w:eastAsia="仿宋" w:cs="仿宋"/>
          <w:b/>
          <w:color w:val="auto"/>
          <w:szCs w:val="24"/>
          <w:highlight w:val="none"/>
          <w:u w:val="single"/>
        </w:rPr>
        <w:t>投标截止时间后递交的投标文件，政采云平台将拒收</w:t>
      </w:r>
      <w:r>
        <w:rPr>
          <w:rFonts w:hint="eastAsia" w:ascii="仿宋" w:hAnsi="仿宋" w:eastAsia="仿宋" w:cs="仿宋"/>
          <w:color w:val="auto"/>
          <w:szCs w:val="24"/>
          <w:highlight w:val="none"/>
        </w:rPr>
        <w:t>。</w:t>
      </w:r>
    </w:p>
    <w:p w14:paraId="3995BF9B">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79B434A0">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6FA1D17B">
      <w:pPr>
        <w:pStyle w:val="32"/>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17.备份投标文件</w:t>
      </w:r>
    </w:p>
    <w:p w14:paraId="70717122">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7F6B86E2">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8D0CCE6">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采购机构将拒绝接受逾期送达的备份投标文件。</w:t>
      </w:r>
      <w:r>
        <w:rPr>
          <w:rFonts w:hint="eastAsia" w:ascii="仿宋" w:hAnsi="仿宋" w:eastAsia="仿宋" w:cs="仿宋"/>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14:paraId="06D2EF3E">
      <w:pPr>
        <w:pStyle w:val="32"/>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w:t>
      </w:r>
      <w:r>
        <w:rPr>
          <w:rFonts w:hint="eastAsia" w:ascii="仿宋" w:hAnsi="仿宋" w:eastAsia="仿宋" w:cs="仿宋"/>
          <w:b/>
          <w:color w:val="auto"/>
          <w:kern w:val="0"/>
          <w:sz w:val="24"/>
          <w:highlight w:val="none"/>
          <w:u w:val="single"/>
        </w:rPr>
        <w:t>▲</w:t>
      </w:r>
      <w:r>
        <w:rPr>
          <w:rFonts w:hint="eastAsia" w:ascii="仿宋" w:hAnsi="仿宋" w:eastAsia="仿宋" w:cs="仿宋"/>
          <w:b/>
          <w:color w:val="auto"/>
          <w:sz w:val="24"/>
          <w:szCs w:val="24"/>
          <w:highlight w:val="none"/>
          <w:u w:val="single"/>
        </w:rPr>
        <w:t>投标人仅提交备份投标文件，没有在政采云平台传输递交投标文件的，投标无效</w:t>
      </w:r>
      <w:r>
        <w:rPr>
          <w:rFonts w:hint="eastAsia" w:ascii="仿宋" w:hAnsi="仿宋" w:eastAsia="仿宋" w:cs="仿宋"/>
          <w:b/>
          <w:color w:val="auto"/>
          <w:sz w:val="24"/>
          <w:szCs w:val="24"/>
          <w:highlight w:val="none"/>
        </w:rPr>
        <w:t>。</w:t>
      </w:r>
    </w:p>
    <w:p w14:paraId="1B8244F8">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18.投标文件的无效处理</w:t>
      </w:r>
    </w:p>
    <w:p w14:paraId="6943E15E">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见招标文件第六部分评标办法。</w:t>
      </w:r>
      <w:bookmarkEnd w:id="51"/>
    </w:p>
    <w:p w14:paraId="117A0508">
      <w:pPr>
        <w:pStyle w:val="89"/>
        <w:snapToGrid w:val="0"/>
        <w:spacing w:before="0"/>
        <w:ind w:firstLine="0" w:firstLine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57A8B046">
      <w:pPr>
        <w:pStyle w:val="92"/>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19.开标</w:t>
      </w:r>
    </w:p>
    <w:p w14:paraId="76FC6E69">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19.1采购机构按照招标文件规定的时间通过政采云平台组织开标，所有投标人均应当准时在线参加。投标人不足3家的，不得开标。</w:t>
      </w:r>
    </w:p>
    <w:p w14:paraId="7D05A7E8">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19.2开标时，政采云平台按开标时间自动提取所有投标文件。采购机构依托政采云平台发起开始解密指令，投标人按照平台提示和招标文件的规定完成在线解密。</w:t>
      </w:r>
    </w:p>
    <w:p w14:paraId="194BD617">
      <w:pPr>
        <w:tabs>
          <w:tab w:val="left" w:pos="54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采用二阶段开标形式的，第一阶段按前款规定</w:t>
      </w:r>
      <w:r>
        <w:rPr>
          <w:rFonts w:hint="eastAsia" w:ascii="仿宋" w:hAnsi="仿宋" w:eastAsia="仿宋" w:cs="仿宋"/>
          <w:color w:val="auto"/>
          <w:sz w:val="24"/>
          <w:highlight w:val="none"/>
        </w:rPr>
        <w:t>投标人完成在线解密</w:t>
      </w:r>
      <w:r>
        <w:rPr>
          <w:rFonts w:hint="eastAsia" w:ascii="仿宋" w:hAnsi="仿宋" w:eastAsia="仿宋" w:cs="仿宋"/>
          <w:color w:val="auto"/>
          <w:kern w:val="0"/>
          <w:sz w:val="24"/>
          <w:highlight w:val="none"/>
        </w:rPr>
        <w:t>，先进入符合性审查、商务技术文件的评审；</w:t>
      </w:r>
      <w:r>
        <w:rPr>
          <w:rFonts w:hint="eastAsia" w:ascii="仿宋" w:hAnsi="仿宋" w:eastAsia="仿宋" w:cs="仿宋"/>
          <w:color w:val="auto"/>
          <w:sz w:val="24"/>
          <w:highlight w:val="none"/>
        </w:rPr>
        <w:t>采购机构</w:t>
      </w:r>
      <w:r>
        <w:rPr>
          <w:rFonts w:hint="eastAsia" w:ascii="仿宋" w:hAnsi="仿宋" w:eastAsia="仿宋" w:cs="仿宋"/>
          <w:color w:val="auto"/>
          <w:kern w:val="0"/>
          <w:sz w:val="24"/>
          <w:highlight w:val="none"/>
        </w:rPr>
        <w:t>在符合性审查、商务技术文件的评审结束后再进行第二阶段开标：采购机构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14:paraId="4C2FA3DC">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19.3特别说明：</w:t>
      </w:r>
    </w:p>
    <w:p w14:paraId="1118457A">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072DE904">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639547D5">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9EC3AFE">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19.4投标文件未按时解密，投标人提供了备份投标文件的，以备份投标文件作为依据，否则视为投标文件撤回。投标文件已按时解密的，备份投标文件自动失效。</w:t>
      </w:r>
    </w:p>
    <w:p w14:paraId="69DDE8CD">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20、资格审查</w:t>
      </w:r>
    </w:p>
    <w:p w14:paraId="54C7854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20.1开标后，采购人或采购代理机构将依法对投标人的资格进行审查。</w:t>
      </w:r>
    </w:p>
    <w:p w14:paraId="7A05B13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sz w:val="24"/>
          <w:highlight w:val="none"/>
        </w:rPr>
        <w:t>采购人或采购代理机构依据法律法规和招标文件的规定，对投标人的基本资格条件、落实政府采购政策需满足的资格要求、特定资格条件进行审查。</w:t>
      </w:r>
    </w:p>
    <w:p w14:paraId="6BFD1103">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20.3</w:t>
      </w:r>
      <w:r>
        <w:rPr>
          <w:rFonts w:hint="eastAsia" w:ascii="仿宋" w:hAnsi="仿宋" w:eastAsia="仿宋" w:cs="仿宋"/>
          <w:b/>
          <w:color w:val="auto"/>
          <w:kern w:val="0"/>
          <w:highlight w:val="none"/>
          <w:u w:val="single"/>
        </w:rPr>
        <w:t>▲</w:t>
      </w:r>
      <w:r>
        <w:rPr>
          <w:rFonts w:hint="eastAsia" w:ascii="仿宋" w:hAnsi="仿宋" w:eastAsia="仿宋" w:cs="仿宋"/>
          <w:b/>
          <w:color w:val="auto"/>
          <w:kern w:val="0"/>
          <w:szCs w:val="24"/>
          <w:highlight w:val="none"/>
          <w:u w:val="single"/>
        </w:rPr>
        <w:t>投标人未按照招标文件要求提供与</w:t>
      </w:r>
      <w:r>
        <w:rPr>
          <w:rFonts w:hint="eastAsia" w:ascii="仿宋" w:hAnsi="仿宋" w:eastAsia="仿宋" w:cs="仿宋"/>
          <w:b/>
          <w:color w:val="auto"/>
          <w:szCs w:val="24"/>
          <w:highlight w:val="none"/>
          <w:u w:val="single"/>
        </w:rPr>
        <w:t>基本资格条件、</w:t>
      </w:r>
      <w:r>
        <w:rPr>
          <w:rFonts w:hint="eastAsia" w:ascii="仿宋" w:hAnsi="仿宋" w:eastAsia="仿宋" w:cs="仿宋"/>
          <w:b/>
          <w:color w:val="auto"/>
          <w:highlight w:val="none"/>
          <w:u w:val="single"/>
        </w:rPr>
        <w:t>落实政府采购政策需满足的资格要求、</w:t>
      </w:r>
      <w:r>
        <w:rPr>
          <w:rFonts w:hint="eastAsia" w:ascii="仿宋" w:hAnsi="仿宋" w:eastAsia="仿宋" w:cs="仿宋"/>
          <w:b/>
          <w:color w:val="auto"/>
          <w:szCs w:val="24"/>
          <w:highlight w:val="none"/>
          <w:u w:val="single"/>
        </w:rPr>
        <w:t>特定资格条件相应的</w:t>
      </w:r>
      <w:r>
        <w:rPr>
          <w:rFonts w:hint="eastAsia" w:ascii="仿宋" w:hAnsi="仿宋" w:eastAsia="仿宋" w:cs="仿宋"/>
          <w:b/>
          <w:color w:val="auto"/>
          <w:kern w:val="0"/>
          <w:szCs w:val="24"/>
          <w:highlight w:val="none"/>
          <w:u w:val="single"/>
        </w:rPr>
        <w:t>有效资格证明材料的，视为</w:t>
      </w:r>
      <w:r>
        <w:rPr>
          <w:rFonts w:hint="eastAsia" w:ascii="仿宋" w:hAnsi="仿宋" w:eastAsia="仿宋" w:cs="仿宋"/>
          <w:b/>
          <w:color w:val="auto"/>
          <w:szCs w:val="24"/>
          <w:highlight w:val="none"/>
          <w:u w:val="single"/>
        </w:rPr>
        <w:t>投标人不具备招标文件中规定的资格要求，其投标无效</w:t>
      </w:r>
      <w:r>
        <w:rPr>
          <w:rFonts w:hint="eastAsia" w:ascii="仿宋" w:hAnsi="仿宋" w:eastAsia="仿宋" w:cs="仿宋"/>
          <w:color w:val="auto"/>
          <w:szCs w:val="24"/>
          <w:highlight w:val="none"/>
        </w:rPr>
        <w:t>。</w:t>
      </w:r>
    </w:p>
    <w:p w14:paraId="3642B9C3">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4对未通过资格审查的投标人，采购人或采购代理机构告知其未通过的原因。</w:t>
      </w:r>
    </w:p>
    <w:p w14:paraId="5143D800">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5合格投标人不足3家的，不再评标。</w:t>
      </w:r>
    </w:p>
    <w:p w14:paraId="7824A290">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21、信用信息查询</w:t>
      </w:r>
    </w:p>
    <w:p w14:paraId="4E3F169D">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21.1信用信息查询渠道及截止时间：采购机构将通过“信用中国”网站(www.creditchina.gov.cn)、中国政府采购网(www.ccgp.gov.cn)渠道查询供应商投标截止时间当天的信用记录。</w:t>
      </w:r>
    </w:p>
    <w:p w14:paraId="45658BA5">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21.2信用信息查询记录和证据留存的具体方式：现场查询的供应商的信用记录、查询结果经确认后将与招标文件一起存档。</w:t>
      </w:r>
    </w:p>
    <w:p w14:paraId="0DC1609B">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14:paraId="3DB3AA85">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9DA327A">
      <w:pPr>
        <w:snapToGrid w:val="0"/>
        <w:spacing w:line="360" w:lineRule="auto"/>
        <w:jc w:val="center"/>
        <w:outlineLvl w:val="1"/>
        <w:rPr>
          <w:rFonts w:hint="eastAsia" w:ascii="仿宋" w:hAnsi="仿宋" w:eastAsia="仿宋" w:cs="仿宋"/>
          <w:b/>
          <w:color w:val="auto"/>
          <w:sz w:val="28"/>
          <w:szCs w:val="28"/>
          <w:highlight w:val="none"/>
        </w:rPr>
      </w:pPr>
      <w:bookmarkStart w:id="52" w:name="_Toc34508135"/>
      <w:bookmarkStart w:id="53" w:name="_Toc34221900"/>
      <w:r>
        <w:rPr>
          <w:rFonts w:hint="eastAsia" w:ascii="仿宋" w:hAnsi="仿宋" w:eastAsia="仿宋" w:cs="仿宋"/>
          <w:b/>
          <w:color w:val="auto"/>
          <w:sz w:val="28"/>
          <w:szCs w:val="28"/>
          <w:highlight w:val="none"/>
        </w:rPr>
        <w:t>五、评标</w:t>
      </w:r>
      <w:bookmarkEnd w:id="52"/>
      <w:bookmarkEnd w:id="53"/>
    </w:p>
    <w:p w14:paraId="1CE6071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22.评标委员会</w:t>
      </w:r>
    </w:p>
    <w:p w14:paraId="1010F2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3579A9E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26C167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具体见招标文件第六部分评标办法。</w:t>
      </w:r>
    </w:p>
    <w:p w14:paraId="3B9AF78C">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2AA0ABD8">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24.确定中标人</w:t>
      </w:r>
    </w:p>
    <w:p w14:paraId="29746080">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采购人将自收到评审报告之日起5个工作日内通过政采云平台在评审报告推荐的中标候选人中按顺序确定中标人。</w:t>
      </w:r>
    </w:p>
    <w:p w14:paraId="345DEC48">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25.中标通知与中标结果公告</w:t>
      </w:r>
    </w:p>
    <w:p w14:paraId="1F2FB4EC">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25.1自中标人确定之日起2个工作日内，采购人向中标人发出中标通知书，同时编制发布采购结果公告。</w:t>
      </w:r>
    </w:p>
    <w:p w14:paraId="07C8BB1A">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EC48BAE">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25.3公告期限为1个工作日。</w:t>
      </w:r>
    </w:p>
    <w:p w14:paraId="5736E066">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5C2606CD">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26.合同的签订</w:t>
      </w:r>
    </w:p>
    <w:p w14:paraId="248563DE">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727E9AF9">
      <w:pPr>
        <w:pStyle w:val="89"/>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32DFA4EA">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26.3中标人拒绝与采购人签订合同的，采购人重新开展政府采购活动。</w:t>
      </w:r>
    </w:p>
    <w:p w14:paraId="26DD45F1">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26.4采购合同可由采购人与中标人根据招标文件、投标文件等内容通过政采云平台在线签订，自动备案。</w:t>
      </w:r>
    </w:p>
    <w:p w14:paraId="6FF34A07">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27.合同履约管理</w:t>
      </w:r>
    </w:p>
    <w:p w14:paraId="322C740B">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72681549">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28.履约保证金</w:t>
      </w:r>
    </w:p>
    <w:p w14:paraId="6515B7C4">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w:t>
      </w:r>
      <w:r>
        <w:rPr>
          <w:rFonts w:hint="eastAsia" w:ascii="仿宋" w:hAnsi="仿宋" w:eastAsia="仿宋" w:cs="仿宋"/>
          <w:b/>
          <w:bCs/>
          <w:color w:val="auto"/>
          <w:kern w:val="0"/>
          <w:sz w:val="24"/>
          <w:highlight w:val="none"/>
        </w:rPr>
        <w:t>采购人不得拒收履约保函</w:t>
      </w:r>
      <w:r>
        <w:rPr>
          <w:rFonts w:hint="eastAsia" w:ascii="仿宋" w:hAnsi="仿宋" w:eastAsia="仿宋" w:cs="仿宋"/>
          <w:color w:val="auto"/>
          <w:kern w:val="0"/>
          <w:sz w:val="24"/>
          <w:highlight w:val="none"/>
        </w:rPr>
        <w:t>。</w:t>
      </w:r>
    </w:p>
    <w:p w14:paraId="51B9DBB3">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216B100B">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29</w:t>
      </w:r>
      <w:r>
        <w:rPr>
          <w:rFonts w:hint="eastAsia" w:ascii="仿宋" w:hAnsi="仿宋" w:eastAsia="仿宋" w:cs="仿宋"/>
          <w:b/>
          <w:color w:val="auto"/>
          <w:szCs w:val="24"/>
          <w:highlight w:val="none"/>
        </w:rPr>
        <w:t>.电子交易活动的中止。</w:t>
      </w:r>
    </w:p>
    <w:p w14:paraId="41C03A4D">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采购过程中出现以下情形，导致政采云平台无法正常运行，或者无法保证电子交易的公平、公正和安全时，采购机构可中止电子交易活动：</w:t>
      </w:r>
    </w:p>
    <w:p w14:paraId="0CB9EA6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29.1政采云平台发生故障而无法登录访问的； </w:t>
      </w:r>
    </w:p>
    <w:p w14:paraId="0EAB34AA">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29.2政采云平台应用或数据库出现错误，不能进行正常操作的；</w:t>
      </w:r>
    </w:p>
    <w:p w14:paraId="06902A88">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29.3政采云平台发现严重安全漏洞，有潜在泄密危险的；</w:t>
      </w:r>
    </w:p>
    <w:p w14:paraId="0A754D4E">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29.4病毒发作导致不能进行正常操作的； </w:t>
      </w:r>
    </w:p>
    <w:p w14:paraId="47A779DF">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29.5其他无法保证电子交易的公平、公正和安全的情况。</w:t>
      </w:r>
    </w:p>
    <w:p w14:paraId="7874D358">
      <w:pPr>
        <w:pStyle w:val="89"/>
        <w:snapToGrid w:val="0"/>
        <w:spacing w:before="0"/>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01CEF99">
      <w:pPr>
        <w:pStyle w:val="25"/>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30.重新采购</w:t>
      </w:r>
    </w:p>
    <w:p w14:paraId="394C4780">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1E6BF18A">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30.1未确定中标、成交供应商的，终止本次政府采购活动，重新开展政府采购活动。</w:t>
      </w:r>
    </w:p>
    <w:p w14:paraId="2D89909F">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30.2中标、成交供应商已经确定但采购合同尚未履行的，撤销合同，从合格的中标、成交候选人中另行确定中标、成交供应商；没有合格的中标、成交候选人的，重新开展政府采购活动。</w:t>
      </w:r>
    </w:p>
    <w:p w14:paraId="1136344A">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30.3政府采购合同已签订但尚未履行的，撤销合同，从合格的中标候选人中另行确定中标或者中标人；没有合格的中标候选人的，重新开展政府采购活动。</w:t>
      </w:r>
    </w:p>
    <w:p w14:paraId="5B89EC5C">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30.4政府采购合同已经履行，给采购人、供应商造成损失的，由责任人承担赔偿责任。</w:t>
      </w:r>
    </w:p>
    <w:p w14:paraId="1F27E1F6">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7B7F8E2C">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58CA065F">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31.验收</w:t>
      </w:r>
    </w:p>
    <w:p w14:paraId="63156A94">
      <w:pPr>
        <w:tabs>
          <w:tab w:val="left" w:pos="0"/>
        </w:tabs>
        <w:snapToGrid w:val="0"/>
        <w:spacing w:line="360" w:lineRule="auto"/>
        <w:ind w:firstLine="480" w:firstLineChars="200"/>
        <w:rPr>
          <w:rFonts w:hint="eastAsia" w:ascii="仿宋" w:hAnsi="仿宋" w:eastAsia="仿宋" w:cs="仿宋"/>
          <w:color w:val="auto"/>
          <w:kern w:val="0"/>
          <w:sz w:val="24"/>
          <w:highlight w:val="none"/>
        </w:rPr>
      </w:pPr>
      <w:bookmarkStart w:id="54" w:name="_Hlk93169321"/>
      <w:r>
        <w:rPr>
          <w:rFonts w:hint="eastAsia" w:ascii="仿宋" w:hAnsi="仿宋" w:eastAsia="仿宋" w:cs="仿宋"/>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B2F2E8">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48627894">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4"/>
    </w:p>
    <w:p w14:paraId="69F0FBB4">
      <w:pPr>
        <w:widowControl/>
        <w:snapToGrid w:val="0"/>
        <w:spacing w:line="360" w:lineRule="auto"/>
        <w:ind w:firstLine="480" w:firstLineChars="200"/>
        <w:jc w:val="left"/>
        <w:rPr>
          <w:rFonts w:hint="eastAsia" w:ascii="仿宋" w:hAnsi="仿宋" w:eastAsia="仿宋" w:cs="仿宋"/>
          <w:color w:val="auto"/>
          <w:sz w:val="24"/>
          <w:highlight w:val="none"/>
        </w:rPr>
      </w:pPr>
      <w:bookmarkStart w:id="55" w:name="_Hlk93169378"/>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4E0E9F">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301A34F6">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32.其他说明</w:t>
      </w:r>
    </w:p>
    <w:p w14:paraId="2B10DCF9">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见投标人须知前附表。</w:t>
      </w:r>
      <w:bookmarkEnd w:id="55"/>
    </w:p>
    <w:p w14:paraId="5E896E88">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5E59C67E">
      <w:pPr>
        <w:snapToGrid w:val="0"/>
        <w:spacing w:beforeLines="100" w:line="360" w:lineRule="auto"/>
        <w:jc w:val="center"/>
        <w:outlineLvl w:val="0"/>
        <w:rPr>
          <w:rFonts w:hint="eastAsia" w:ascii="仿宋" w:hAnsi="仿宋" w:eastAsia="仿宋" w:cs="仿宋"/>
          <w:b/>
          <w:color w:val="auto"/>
          <w:sz w:val="36"/>
          <w:szCs w:val="36"/>
          <w:highlight w:val="none"/>
        </w:rPr>
      </w:pPr>
      <w:bookmarkStart w:id="56" w:name="_Toc29596"/>
      <w:r>
        <w:rPr>
          <w:rFonts w:hint="eastAsia" w:ascii="仿宋" w:hAnsi="仿宋" w:eastAsia="仿宋" w:cs="仿宋"/>
          <w:b/>
          <w:color w:val="auto"/>
          <w:sz w:val="36"/>
          <w:szCs w:val="36"/>
          <w:highlight w:val="none"/>
        </w:rPr>
        <w:t>第三部分  采购需求</w:t>
      </w:r>
      <w:bookmarkEnd w:id="56"/>
    </w:p>
    <w:p w14:paraId="0B4926BE">
      <w:pPr>
        <w:snapToGrid w:val="0"/>
        <w:spacing w:line="360" w:lineRule="auto"/>
        <w:jc w:val="left"/>
        <w:rPr>
          <w:rFonts w:hint="eastAsia" w:ascii="仿宋" w:hAnsi="仿宋" w:eastAsia="仿宋" w:cs="仿宋"/>
          <w:b/>
          <w:color w:val="auto"/>
          <w:sz w:val="24"/>
          <w:szCs w:val="24"/>
          <w:highlight w:val="none"/>
          <w:lang w:val="en-US" w:eastAsia="zh-CN"/>
        </w:rPr>
      </w:pPr>
      <w:bookmarkStart w:id="57" w:name="_Toc203534124"/>
      <w:bookmarkStart w:id="58" w:name="_Toc428194193"/>
      <w:bookmarkStart w:id="59" w:name="_Toc227489897"/>
      <w:bookmarkStart w:id="60" w:name="_Toc352704748"/>
      <w:bookmarkStart w:id="61" w:name="_Toc352313357"/>
      <w:bookmarkStart w:id="62" w:name="_Toc223933231"/>
      <w:bookmarkStart w:id="63" w:name="_Toc223717614"/>
      <w:bookmarkStart w:id="64" w:name="_Toc227056860"/>
      <w:bookmarkStart w:id="65" w:name="_Hlk16066388"/>
      <w:bookmarkStart w:id="66" w:name="_Toc227057043"/>
      <w:bookmarkStart w:id="67" w:name="_Toc20384570"/>
      <w:bookmarkStart w:id="68" w:name="_Hlk93169452"/>
      <w:r>
        <w:rPr>
          <w:rFonts w:hint="eastAsia" w:ascii="仿宋" w:hAnsi="仿宋" w:eastAsia="仿宋" w:cs="仿宋"/>
          <w:b/>
          <w:color w:val="auto"/>
          <w:sz w:val="24"/>
          <w:szCs w:val="24"/>
          <w:highlight w:val="none"/>
          <w:lang w:val="en-US" w:eastAsia="zh-CN"/>
        </w:rPr>
        <w:t>一、总说明</w:t>
      </w:r>
    </w:p>
    <w:p w14:paraId="23DC6BA1">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技术指标</w:t>
      </w:r>
      <w:r>
        <w:rPr>
          <w:rFonts w:hint="eastAsia" w:ascii="仿宋" w:hAnsi="仿宋" w:eastAsia="仿宋" w:cs="仿宋"/>
          <w:color w:val="auto"/>
          <w:sz w:val="24"/>
          <w:szCs w:val="24"/>
          <w:highlight w:val="none"/>
        </w:rPr>
        <w:t>只是货物及安装的一些原则性规定，并不是详尽的要求，投标供应商有责任对该设备设计符合技术规格书要求负责。</w:t>
      </w:r>
    </w:p>
    <w:p w14:paraId="0CBB8691">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2.采购的货物所涉及的产品标准、规范，验收标准、规范，应符合国家有关条例及规范，如有新的标准应采纳新标准，如是国外相应标准应征得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认可。</w:t>
      </w:r>
    </w:p>
    <w:p w14:paraId="1F338191">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供应商应根据招标文件所提出的技术规格、参数、数量和服务要求，综合考虑货物的适应性，选择具有最佳性能价格比的货物前来投标。希望供应商以精良的货物、优良的服务和优惠的价格，充分显示自身的竞争实力。</w:t>
      </w:r>
    </w:p>
    <w:p w14:paraId="6EE11064">
      <w:pPr>
        <w:tabs>
          <w:tab w:val="left" w:pos="720"/>
        </w:tabs>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Cs/>
          <w:color w:val="auto"/>
          <w:sz w:val="24"/>
          <w:szCs w:val="24"/>
          <w:highlight w:val="none"/>
        </w:rPr>
        <w:t>4.</w:t>
      </w:r>
      <w:r>
        <w:rPr>
          <w:rFonts w:hint="eastAsia" w:ascii="仿宋" w:hAnsi="仿宋" w:eastAsia="仿宋" w:cs="仿宋"/>
          <w:b/>
          <w:bCs/>
          <w:color w:val="auto"/>
          <w:sz w:val="24"/>
          <w:szCs w:val="24"/>
          <w:highlight w:val="none"/>
          <w:u w:val="single"/>
        </w:rPr>
        <w:t>▲</w:t>
      </w:r>
      <w:r>
        <w:rPr>
          <w:rFonts w:hint="eastAsia" w:ascii="仿宋" w:hAnsi="仿宋" w:eastAsia="仿宋" w:cs="仿宋"/>
          <w:b/>
          <w:color w:val="auto"/>
          <w:sz w:val="24"/>
          <w:szCs w:val="24"/>
          <w:highlight w:val="none"/>
          <w:u w:val="single"/>
        </w:rPr>
        <w:t>本次采购只设一个标段，投标供应商必须对全部内容进行报价。</w:t>
      </w:r>
    </w:p>
    <w:p w14:paraId="50C05F54">
      <w:pPr>
        <w:tabs>
          <w:tab w:val="left" w:pos="7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供应商报价产品及主要部件的名称、品牌、型号、技术参数、性能、数量、单价、合价、厂商、产地、质保期等应在投标文件中明确，对招标文件的技术条款及要求应予以实质性响应，如有偏离应在偏离表中注明。</w:t>
      </w:r>
    </w:p>
    <w:p w14:paraId="25A4D25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6.本项目采用总价包干方式报价。投标供应商可以自行到采购人处现场探勘，了解安装地点、环境尺寸及采购人需求，本项目涉及的安装材料、安装附件、尺寸修改均采用包干方式计入投标总价，中标后不予调整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若涉及的</w:t>
      </w:r>
      <w:r>
        <w:rPr>
          <w:rFonts w:hint="eastAsia" w:ascii="仿宋" w:hAnsi="仿宋" w:eastAsia="仿宋" w:cs="仿宋"/>
          <w:color w:val="auto"/>
          <w:sz w:val="24"/>
          <w:szCs w:val="24"/>
          <w:highlight w:val="none"/>
          <w:lang w:eastAsia="zh-CN"/>
        </w:rPr>
        <w:t>数量</w:t>
      </w:r>
      <w:r>
        <w:rPr>
          <w:rFonts w:hint="eastAsia" w:ascii="仿宋" w:hAnsi="仿宋" w:eastAsia="仿宋" w:cs="仿宋"/>
          <w:color w:val="auto"/>
          <w:sz w:val="24"/>
          <w:szCs w:val="24"/>
          <w:highlight w:val="none"/>
        </w:rPr>
        <w:t>发生增减，按实际调整增减内容的价格参照合同内相应设备的合同价结算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采购人清单中的货物如有遗漏必须的设备，请投标供应商自行配齐，成交后采购人将不予调整。</w:t>
      </w:r>
    </w:p>
    <w:p w14:paraId="17E27E73">
      <w:pPr>
        <w:snapToGrid w:val="0"/>
        <w:spacing w:line="360" w:lineRule="auto"/>
        <w:ind w:left="525" w:hanging="600" w:hanging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u w:val="single"/>
        </w:rPr>
        <w:t>▲</w:t>
      </w:r>
      <w:r>
        <w:rPr>
          <w:rFonts w:hint="eastAsia" w:ascii="仿宋" w:hAnsi="仿宋" w:eastAsia="仿宋" w:cs="仿宋"/>
          <w:b/>
          <w:bCs/>
          <w:color w:val="auto"/>
          <w:sz w:val="24"/>
          <w:szCs w:val="24"/>
          <w:highlight w:val="none"/>
          <w:u w:val="single"/>
        </w:rPr>
        <w:t>本项目为交钥匙工程,项目最终必须通过验收并可正式投入使用</w:t>
      </w:r>
      <w:r>
        <w:rPr>
          <w:rFonts w:hint="eastAsia" w:ascii="仿宋" w:hAnsi="仿宋" w:eastAsia="仿宋" w:cs="仿宋"/>
          <w:color w:val="auto"/>
          <w:sz w:val="24"/>
          <w:szCs w:val="24"/>
          <w:highlight w:val="none"/>
        </w:rPr>
        <w:t>。</w:t>
      </w:r>
    </w:p>
    <w:p w14:paraId="6E0E64AB">
      <w:pPr>
        <w:snapToGrid w:val="0"/>
        <w:spacing w:line="360" w:lineRule="auto"/>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二、</w:t>
      </w:r>
      <w:bookmarkEnd w:id="57"/>
      <w:bookmarkEnd w:id="58"/>
      <w:r>
        <w:rPr>
          <w:rFonts w:hint="eastAsia" w:ascii="仿宋" w:hAnsi="仿宋" w:eastAsia="仿宋" w:cs="仿宋"/>
          <w:b/>
          <w:color w:val="auto"/>
          <w:sz w:val="24"/>
          <w:highlight w:val="none"/>
          <w:lang w:val="en-US" w:eastAsia="zh-CN"/>
        </w:rPr>
        <w:t>采购内容</w:t>
      </w:r>
      <w:bookmarkEnd w:id="59"/>
      <w:bookmarkEnd w:id="60"/>
      <w:bookmarkEnd w:id="61"/>
      <w:bookmarkEnd w:id="62"/>
      <w:bookmarkEnd w:id="63"/>
      <w:bookmarkEnd w:id="64"/>
      <w:bookmarkEnd w:id="65"/>
      <w:bookmarkEnd w:id="66"/>
    </w:p>
    <w:tbl>
      <w:tblPr>
        <w:tblStyle w:val="57"/>
        <w:tblW w:w="9900" w:type="dxa"/>
        <w:tblInd w:w="0" w:type="dxa"/>
        <w:tblLayout w:type="fixed"/>
        <w:tblCellMar>
          <w:top w:w="0" w:type="dxa"/>
          <w:left w:w="108" w:type="dxa"/>
          <w:bottom w:w="0" w:type="dxa"/>
          <w:right w:w="108" w:type="dxa"/>
        </w:tblCellMar>
      </w:tblPr>
      <w:tblGrid>
        <w:gridCol w:w="909"/>
        <w:gridCol w:w="5706"/>
        <w:gridCol w:w="1695"/>
        <w:gridCol w:w="1590"/>
      </w:tblGrid>
      <w:tr w14:paraId="4926D71D">
        <w:tblPrEx>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shd w:val="clear" w:color="000000" w:fill="FFFFFF"/>
            <w:vAlign w:val="center"/>
          </w:tcPr>
          <w:p w14:paraId="620632BB">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706" w:type="dxa"/>
            <w:tcBorders>
              <w:top w:val="single" w:color="auto" w:sz="4" w:space="0"/>
              <w:left w:val="nil"/>
              <w:bottom w:val="single" w:color="auto" w:sz="4" w:space="0"/>
              <w:right w:val="single" w:color="auto" w:sz="4" w:space="0"/>
            </w:tcBorders>
            <w:shd w:val="clear" w:color="000000" w:fill="FFFFFF"/>
            <w:vAlign w:val="center"/>
          </w:tcPr>
          <w:p w14:paraId="11E6136E">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695" w:type="dxa"/>
            <w:tcBorders>
              <w:top w:val="single" w:color="auto" w:sz="4" w:space="0"/>
              <w:left w:val="nil"/>
              <w:bottom w:val="single" w:color="auto" w:sz="4" w:space="0"/>
              <w:right w:val="single" w:color="auto" w:sz="4" w:space="0"/>
            </w:tcBorders>
            <w:shd w:val="clear" w:color="000000" w:fill="FFFFFF"/>
            <w:vAlign w:val="center"/>
          </w:tcPr>
          <w:p w14:paraId="0DADBA56">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698C2F1F">
            <w:pPr>
              <w:snapToGrid w:val="0"/>
              <w:spacing w:line="240" w:lineRule="auto"/>
              <w:ind w:left="525" w:hanging="600" w:hangingChars="2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r>
      <w:tr w14:paraId="561CAA62">
        <w:tblPrEx>
          <w:tblCellMar>
            <w:top w:w="0" w:type="dxa"/>
            <w:left w:w="108" w:type="dxa"/>
            <w:bottom w:w="0" w:type="dxa"/>
            <w:right w:w="108" w:type="dxa"/>
          </w:tblCellMar>
        </w:tblPrEx>
        <w:tc>
          <w:tcPr>
            <w:tcW w:w="909" w:type="dxa"/>
            <w:tcBorders>
              <w:top w:val="nil"/>
              <w:left w:val="single" w:color="auto" w:sz="4" w:space="0"/>
              <w:bottom w:val="single" w:color="auto" w:sz="4" w:space="0"/>
              <w:right w:val="single" w:color="auto" w:sz="4" w:space="0"/>
            </w:tcBorders>
            <w:shd w:val="clear" w:color="auto" w:fill="auto"/>
            <w:vAlign w:val="center"/>
          </w:tcPr>
          <w:p w14:paraId="552B8113">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06" w:type="dxa"/>
            <w:tcBorders>
              <w:top w:val="nil"/>
              <w:left w:val="nil"/>
              <w:bottom w:val="single" w:color="auto" w:sz="4" w:space="0"/>
              <w:right w:val="single" w:color="auto" w:sz="4" w:space="0"/>
            </w:tcBorders>
            <w:shd w:val="clear" w:color="auto" w:fill="auto"/>
            <w:vAlign w:val="center"/>
          </w:tcPr>
          <w:p w14:paraId="37FF5BAB">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除臭设备</w:t>
            </w:r>
          </w:p>
        </w:tc>
        <w:tc>
          <w:tcPr>
            <w:tcW w:w="1695" w:type="dxa"/>
            <w:tcBorders>
              <w:top w:val="nil"/>
              <w:left w:val="nil"/>
              <w:bottom w:val="single" w:color="auto" w:sz="4" w:space="0"/>
              <w:right w:val="single" w:color="auto" w:sz="4" w:space="0"/>
            </w:tcBorders>
            <w:shd w:val="clear" w:color="auto" w:fill="auto"/>
            <w:vAlign w:val="center"/>
          </w:tcPr>
          <w:p w14:paraId="5A08909F">
            <w:pPr>
              <w:snapToGrid w:val="0"/>
              <w:spacing w:line="240" w:lineRule="auto"/>
              <w:ind w:left="525" w:hanging="600" w:hangingChars="2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1590" w:type="dxa"/>
            <w:tcBorders>
              <w:top w:val="nil"/>
              <w:left w:val="nil"/>
              <w:bottom w:val="single" w:color="auto" w:sz="4" w:space="0"/>
              <w:right w:val="single" w:color="auto" w:sz="4" w:space="0"/>
            </w:tcBorders>
            <w:shd w:val="clear" w:color="auto" w:fill="auto"/>
            <w:vAlign w:val="center"/>
          </w:tcPr>
          <w:p w14:paraId="13875F4E">
            <w:pPr>
              <w:snapToGrid w:val="0"/>
              <w:spacing w:line="240" w:lineRule="auto"/>
              <w:ind w:left="525" w:hanging="600" w:hangingChars="25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套</w:t>
            </w:r>
          </w:p>
        </w:tc>
      </w:tr>
      <w:bookmarkEnd w:id="67"/>
    </w:tbl>
    <w:p w14:paraId="0480769A">
      <w:pPr>
        <w:keepNext w:val="0"/>
        <w:keepLines w:val="0"/>
        <w:pageBreakBefore w:val="0"/>
        <w:widowControl w:val="0"/>
        <w:kinsoku/>
        <w:overflowPunct/>
        <w:topLinePunct w:val="0"/>
        <w:bidi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69" w:name="_Toc22175"/>
      <w:bookmarkEnd w:id="69"/>
      <w:bookmarkStart w:id="70" w:name="_Toc14137"/>
      <w:r>
        <w:rPr>
          <w:rFonts w:hint="eastAsia" w:ascii="仿宋" w:hAnsi="仿宋" w:eastAsia="仿宋" w:cs="仿宋"/>
          <w:b/>
          <w:bCs/>
          <w:color w:val="auto"/>
          <w:sz w:val="24"/>
          <w:szCs w:val="24"/>
          <w:highlight w:val="none"/>
          <w:lang w:val="en-US" w:eastAsia="zh-CN"/>
        </w:rPr>
        <w:t>三、设计排放标准</w:t>
      </w:r>
    </w:p>
    <w:p w14:paraId="0A9FBC64">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在正常工况及常规气象条件下，处理后气体排放执行《恶臭污染物排放标准》（GB 14554-1993）厂界以及有组织废气排放最高允许浓度一级标准，具体指标见下表（表1）：</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2763"/>
        <w:gridCol w:w="2764"/>
        <w:gridCol w:w="2764"/>
      </w:tblGrid>
      <w:tr w14:paraId="0290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67" w:type="dxa"/>
            <w:noWrap w:val="0"/>
            <w:vAlign w:val="top"/>
          </w:tcPr>
          <w:p w14:paraId="5C4D7CC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63" w:type="dxa"/>
            <w:noWrap w:val="0"/>
            <w:vAlign w:val="center"/>
          </w:tcPr>
          <w:p w14:paraId="28F1C04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2764" w:type="dxa"/>
            <w:noWrap w:val="0"/>
            <w:vAlign w:val="center"/>
          </w:tcPr>
          <w:p w14:paraId="3A381E8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厂界排放标准</w:t>
            </w:r>
          </w:p>
        </w:tc>
        <w:tc>
          <w:tcPr>
            <w:tcW w:w="2764" w:type="dxa"/>
            <w:noWrap w:val="0"/>
            <w:vAlign w:val="top"/>
          </w:tcPr>
          <w:p w14:paraId="0436F6E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有组织排放标准</w:t>
            </w:r>
          </w:p>
        </w:tc>
      </w:tr>
      <w:tr w14:paraId="4EA96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67" w:type="dxa"/>
            <w:noWrap w:val="0"/>
            <w:vAlign w:val="top"/>
          </w:tcPr>
          <w:p w14:paraId="7AA6B34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63" w:type="dxa"/>
            <w:noWrap w:val="0"/>
            <w:vAlign w:val="center"/>
          </w:tcPr>
          <w:p w14:paraId="1C50089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硫化氢</w:t>
            </w:r>
          </w:p>
        </w:tc>
        <w:tc>
          <w:tcPr>
            <w:tcW w:w="2764" w:type="dxa"/>
            <w:noWrap w:val="0"/>
            <w:vAlign w:val="center"/>
          </w:tcPr>
          <w:p w14:paraId="7384924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0.03 mg/m³</w:t>
            </w:r>
          </w:p>
        </w:tc>
        <w:tc>
          <w:tcPr>
            <w:tcW w:w="2764" w:type="dxa"/>
            <w:noWrap w:val="0"/>
            <w:vAlign w:val="top"/>
          </w:tcPr>
          <w:p w14:paraId="5EC0BEA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0.33kg/h</w:t>
            </w:r>
          </w:p>
        </w:tc>
      </w:tr>
      <w:tr w14:paraId="600FC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67" w:type="dxa"/>
            <w:noWrap w:val="0"/>
            <w:vAlign w:val="top"/>
          </w:tcPr>
          <w:p w14:paraId="48A3D9B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63" w:type="dxa"/>
            <w:noWrap w:val="0"/>
            <w:vAlign w:val="center"/>
          </w:tcPr>
          <w:p w14:paraId="6298519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氨气</w:t>
            </w:r>
          </w:p>
        </w:tc>
        <w:tc>
          <w:tcPr>
            <w:tcW w:w="2764" w:type="dxa"/>
            <w:noWrap w:val="0"/>
            <w:vAlign w:val="center"/>
          </w:tcPr>
          <w:p w14:paraId="689E360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mg/ m³</w:t>
            </w:r>
          </w:p>
        </w:tc>
        <w:tc>
          <w:tcPr>
            <w:tcW w:w="2764" w:type="dxa"/>
            <w:noWrap w:val="0"/>
            <w:vAlign w:val="top"/>
          </w:tcPr>
          <w:p w14:paraId="0830AD1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4.9kg/h</w:t>
            </w:r>
          </w:p>
        </w:tc>
      </w:tr>
      <w:tr w14:paraId="728C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867" w:type="dxa"/>
            <w:noWrap w:val="0"/>
            <w:vAlign w:val="top"/>
          </w:tcPr>
          <w:p w14:paraId="75A22DB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763" w:type="dxa"/>
            <w:noWrap w:val="0"/>
            <w:vAlign w:val="center"/>
          </w:tcPr>
          <w:p w14:paraId="7BBA293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臭气浓度</w:t>
            </w:r>
          </w:p>
        </w:tc>
        <w:tc>
          <w:tcPr>
            <w:tcW w:w="2764" w:type="dxa"/>
            <w:noWrap w:val="0"/>
            <w:vAlign w:val="center"/>
          </w:tcPr>
          <w:p w14:paraId="1E82425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10（无量纲）</w:t>
            </w:r>
          </w:p>
        </w:tc>
        <w:tc>
          <w:tcPr>
            <w:tcW w:w="2764" w:type="dxa"/>
            <w:noWrap w:val="0"/>
            <w:vAlign w:val="top"/>
          </w:tcPr>
          <w:p w14:paraId="4A25EDD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r>
              <w:rPr>
                <w:rFonts w:hint="eastAsia" w:ascii="仿宋" w:hAnsi="仿宋" w:eastAsia="仿宋" w:cs="仿宋"/>
                <w:color w:val="auto"/>
                <w:sz w:val="24"/>
                <w:szCs w:val="24"/>
                <w:highlight w:val="none"/>
              </w:rPr>
              <w:t>（无量纲）</w:t>
            </w:r>
          </w:p>
        </w:tc>
      </w:tr>
    </w:tbl>
    <w:p w14:paraId="333A76B1">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考虑到转运站</w:t>
      </w:r>
      <w:r>
        <w:rPr>
          <w:rFonts w:hint="eastAsia" w:ascii="仿宋" w:hAnsi="仿宋" w:eastAsia="仿宋" w:cs="仿宋"/>
          <w:color w:val="auto"/>
          <w:sz w:val="24"/>
          <w:szCs w:val="24"/>
          <w:highlight w:val="none"/>
          <w:lang w:val="en-US" w:eastAsia="zh-CN"/>
        </w:rPr>
        <w:t>周边为景区，</w:t>
      </w:r>
      <w:r>
        <w:rPr>
          <w:rFonts w:hint="eastAsia" w:ascii="仿宋" w:hAnsi="仿宋" w:eastAsia="仿宋" w:cs="仿宋"/>
          <w:color w:val="auto"/>
          <w:sz w:val="24"/>
          <w:szCs w:val="24"/>
          <w:highlight w:val="none"/>
        </w:rPr>
        <w:t>为了让周边</w:t>
      </w:r>
      <w:r>
        <w:rPr>
          <w:rFonts w:hint="eastAsia" w:ascii="仿宋" w:hAnsi="仿宋" w:eastAsia="仿宋" w:cs="仿宋"/>
          <w:color w:val="auto"/>
          <w:sz w:val="24"/>
          <w:szCs w:val="24"/>
          <w:highlight w:val="none"/>
          <w:lang w:val="en-US" w:eastAsia="zh-CN"/>
        </w:rPr>
        <w:t>游客</w:t>
      </w:r>
      <w:r>
        <w:rPr>
          <w:rFonts w:hint="eastAsia" w:ascii="仿宋" w:hAnsi="仿宋" w:eastAsia="仿宋" w:cs="仿宋"/>
          <w:color w:val="auto"/>
          <w:sz w:val="24"/>
          <w:szCs w:val="24"/>
          <w:highlight w:val="none"/>
        </w:rPr>
        <w:t>能有一个良好的环境,我们希望能将处理后的臭气排放标准提高。</w:t>
      </w:r>
    </w:p>
    <w:p w14:paraId="78E7C9B9">
      <w:pPr>
        <w:keepNext w:val="0"/>
        <w:keepLines w:val="0"/>
        <w:pageBreakBefore w:val="0"/>
        <w:widowControl w:val="0"/>
        <w:kinsoku/>
        <w:overflowPunct/>
        <w:topLinePunct w:val="0"/>
        <w:bidi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1" w:name="_Toc12059"/>
      <w:bookmarkEnd w:id="71"/>
      <w:r>
        <w:rPr>
          <w:rFonts w:hint="eastAsia" w:ascii="仿宋" w:hAnsi="仿宋" w:eastAsia="仿宋" w:cs="仿宋"/>
          <w:b/>
          <w:bCs/>
          <w:color w:val="auto"/>
          <w:sz w:val="24"/>
          <w:szCs w:val="24"/>
          <w:highlight w:val="none"/>
          <w:lang w:val="en-US" w:eastAsia="zh-CN"/>
        </w:rPr>
        <w:t>四、臭气处理工艺简介</w:t>
      </w:r>
    </w:p>
    <w:p w14:paraId="1D4A4601">
      <w:pPr>
        <w:keepNext w:val="0"/>
        <w:keepLines w:val="0"/>
        <w:pageBreakBefore w:val="0"/>
        <w:widowControl w:val="0"/>
        <w:kinsoku/>
        <w:overflowPunct/>
        <w:topLinePunct w:val="0"/>
        <w:bidi w:val="0"/>
        <w:snapToGrid w:val="0"/>
        <w:spacing w:beforeAutospacing="0" w:afterAutospacing="0" w:line="360" w:lineRule="auto"/>
        <w:ind w:firstLine="40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垃圾分类中转站</w:t>
      </w:r>
      <w:r>
        <w:rPr>
          <w:rFonts w:hint="eastAsia" w:ascii="仿宋" w:hAnsi="仿宋" w:eastAsia="仿宋" w:cs="仿宋"/>
          <w:color w:val="auto"/>
          <w:sz w:val="24"/>
          <w:szCs w:val="24"/>
          <w:highlight w:val="none"/>
        </w:rPr>
        <w:t>综合除臭措施主要由五大集成系统组成。</w:t>
      </w:r>
    </w:p>
    <w:p w14:paraId="485C4E49">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1、快速门禁系统。</w:t>
      </w:r>
      <w:r>
        <w:rPr>
          <w:rFonts w:hint="eastAsia" w:ascii="仿宋" w:hAnsi="仿宋" w:eastAsia="仿宋" w:cs="仿宋"/>
          <w:color w:val="auto"/>
          <w:sz w:val="24"/>
          <w:szCs w:val="24"/>
          <w:highlight w:val="none"/>
        </w:rPr>
        <w:t>主要由感应式快速门+风幕系统组成，该系统可在垃圾运输车辆进出时被感应门禁系统监测到，快速打开大门（通常在3-5秒内），同时提前启动风幕系统。可最大程度降低转运站内粉尘臭气对站外环境的不利影响。该系统应同时配备安全装置，以防止意外发生。</w:t>
      </w:r>
    </w:p>
    <w:p w14:paraId="50334973">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2、负压收集处理系统。</w:t>
      </w:r>
      <w:r>
        <w:rPr>
          <w:rFonts w:hint="eastAsia" w:ascii="仿宋" w:hAnsi="仿宋" w:eastAsia="仿宋" w:cs="仿宋"/>
          <w:color w:val="auto"/>
          <w:sz w:val="24"/>
          <w:szCs w:val="24"/>
          <w:highlight w:val="none"/>
        </w:rPr>
        <w:t>主要由站内臭气收集管路+离子复合一体化系统组成。经管道负压收集的臭气通过离子复合一体化系统处理达标后排放。离子复合一体化系统主要包括三个处理过程：①离子单元；用高压快速脉冲电源进行双介质阻挡放点形成高效等离子，在此单元与臭气进行混合反应。②化学吸附反应单元；经过等离子处理后的臭气进入化学吸附材料，发生催化氧化等反应，反应在常温差压下由催化剂辅助发生，温和安全、不产生热量。③喷淋吸收单元；最后臭气经过喷淋吸收处理，然后达标排放。</w:t>
      </w:r>
    </w:p>
    <w:p w14:paraId="4B5A7064">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3、植物液综合处理系统。</w:t>
      </w:r>
      <w:r>
        <w:rPr>
          <w:rFonts w:hint="eastAsia" w:ascii="仿宋" w:hAnsi="仿宋" w:eastAsia="仿宋" w:cs="仿宋"/>
          <w:color w:val="auto"/>
          <w:sz w:val="24"/>
          <w:szCs w:val="24"/>
          <w:highlight w:val="none"/>
        </w:rPr>
        <w:t>该系统由一套植物精油气化系统组成。在</w:t>
      </w:r>
      <w:r>
        <w:rPr>
          <w:rFonts w:hint="eastAsia" w:ascii="仿宋" w:hAnsi="仿宋" w:eastAsia="仿宋" w:cs="仿宋"/>
          <w:color w:val="auto"/>
          <w:sz w:val="24"/>
          <w:szCs w:val="24"/>
          <w:highlight w:val="none"/>
          <w:lang w:eastAsia="zh-CN"/>
        </w:rPr>
        <w:t>垃圾分类中转站</w:t>
      </w:r>
      <w:r>
        <w:rPr>
          <w:rFonts w:hint="eastAsia" w:ascii="仿宋" w:hAnsi="仿宋" w:eastAsia="仿宋" w:cs="仿宋"/>
          <w:color w:val="auto"/>
          <w:sz w:val="24"/>
          <w:szCs w:val="24"/>
          <w:highlight w:val="none"/>
        </w:rPr>
        <w:t>卸料口等臭气重度污染区域周边部署植物液气化发散口，可实现重点区域重点监控，原地逸散原地消灭，同</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rPr>
        <w:t>设置一套植物液雾化装置，在整个转运站空间的上部设置雾化管道和雾化喷头，一方面降低站内扬尘，另一方面改善整个区域的空气质量。</w:t>
      </w:r>
    </w:p>
    <w:p w14:paraId="52A8C58A">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4、离子新风系统。</w:t>
      </w:r>
      <w:r>
        <w:rPr>
          <w:rFonts w:hint="eastAsia" w:ascii="仿宋" w:hAnsi="仿宋" w:eastAsia="仿宋" w:cs="仿宋"/>
          <w:color w:val="auto"/>
          <w:sz w:val="24"/>
          <w:szCs w:val="24"/>
          <w:highlight w:val="none"/>
        </w:rPr>
        <w:t>该系统主要由离子发生设备+新风输送管路组成。离子发生设备通过抽取外界新风，混合成高浓度离子新风，通过输送管路送至</w:t>
      </w:r>
      <w:r>
        <w:rPr>
          <w:rFonts w:hint="eastAsia" w:ascii="仿宋" w:hAnsi="仿宋" w:eastAsia="仿宋" w:cs="仿宋"/>
          <w:color w:val="auto"/>
          <w:sz w:val="24"/>
          <w:szCs w:val="24"/>
          <w:highlight w:val="none"/>
          <w:lang w:eastAsia="zh-CN"/>
        </w:rPr>
        <w:t>垃圾分类中转站</w:t>
      </w:r>
      <w:r>
        <w:rPr>
          <w:rFonts w:hint="eastAsia" w:ascii="仿宋" w:hAnsi="仿宋" w:eastAsia="仿宋" w:cs="仿宋"/>
          <w:color w:val="auto"/>
          <w:sz w:val="24"/>
          <w:szCs w:val="24"/>
          <w:highlight w:val="none"/>
        </w:rPr>
        <w:t>卸料大厅等位置，配合负压收集系统，进行全过程臭气控制和治理。</w:t>
      </w:r>
    </w:p>
    <w:p w14:paraId="24C15AF9">
      <w:pPr>
        <w:keepNext w:val="0"/>
        <w:keepLines w:val="0"/>
        <w:pageBreakBefore w:val="0"/>
        <w:widowControl w:val="0"/>
        <w:kinsoku/>
        <w:overflowPunct/>
        <w:topLinePunct w:val="0"/>
        <w:bidi w:val="0"/>
        <w:snapToGrid w:val="0"/>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5、中央控制系统。</w:t>
      </w:r>
      <w:r>
        <w:rPr>
          <w:rFonts w:hint="eastAsia" w:ascii="仿宋" w:hAnsi="仿宋" w:eastAsia="仿宋" w:cs="仿宋"/>
          <w:color w:val="auto"/>
          <w:sz w:val="24"/>
          <w:szCs w:val="24"/>
          <w:highlight w:val="none"/>
        </w:rPr>
        <w:t>该系统是整个系统的控制中枢，负责对整个除臭装置发号命令，参与控制，数据采集与分析，以及安全保障控制为一体的控制系统，可实现远程报警，远程指令下达远程状态反馈，此外配备动力柜一台。</w:t>
      </w:r>
    </w:p>
    <w:p w14:paraId="0FF75FDA">
      <w:pPr>
        <w:keepNext w:val="0"/>
        <w:keepLines w:val="0"/>
        <w:pageBreakBefore w:val="0"/>
        <w:widowControl w:val="0"/>
        <w:kinsoku/>
        <w:overflowPunct/>
        <w:topLinePunct w:val="0"/>
        <w:bidi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2" w:name="_Toc17295"/>
      <w:bookmarkEnd w:id="72"/>
      <w:r>
        <w:rPr>
          <w:rFonts w:hint="eastAsia" w:ascii="仿宋" w:hAnsi="仿宋" w:eastAsia="仿宋" w:cs="仿宋"/>
          <w:b/>
          <w:bCs/>
          <w:color w:val="auto"/>
          <w:sz w:val="24"/>
          <w:szCs w:val="24"/>
          <w:highlight w:val="none"/>
          <w:lang w:val="en-US" w:eastAsia="zh-CN"/>
        </w:rPr>
        <w:t>五、除臭设备（一套）清单及具体技术规格、要求。</w:t>
      </w:r>
    </w:p>
    <w:p w14:paraId="7692CA16">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（一）快速门禁系统</w:t>
      </w:r>
    </w:p>
    <w:tbl>
      <w:tblPr>
        <w:tblStyle w:val="57"/>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517"/>
        <w:gridCol w:w="6942"/>
        <w:gridCol w:w="729"/>
      </w:tblGrid>
      <w:tr w14:paraId="1946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1391D10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7" w:type="dxa"/>
            <w:noWrap w:val="0"/>
            <w:vAlign w:val="center"/>
          </w:tcPr>
          <w:p w14:paraId="415CAD0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942" w:type="dxa"/>
            <w:noWrap w:val="0"/>
            <w:vAlign w:val="center"/>
          </w:tcPr>
          <w:p w14:paraId="2D8315B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729" w:type="dxa"/>
            <w:noWrap w:val="0"/>
            <w:vAlign w:val="center"/>
          </w:tcPr>
          <w:p w14:paraId="0821672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F8A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53" w:type="dxa"/>
            <w:gridSpan w:val="4"/>
            <w:noWrap w:val="0"/>
            <w:vAlign w:val="center"/>
          </w:tcPr>
          <w:p w14:paraId="5062C30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一、快速门（</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套</w:t>
            </w:r>
            <w:r>
              <w:rPr>
                <w:rFonts w:hint="eastAsia" w:ascii="仿宋" w:hAnsi="仿宋" w:eastAsia="仿宋" w:cs="仿宋"/>
                <w:color w:val="auto"/>
                <w:sz w:val="24"/>
                <w:szCs w:val="24"/>
                <w:highlight w:val="none"/>
                <w:lang w:eastAsia="zh-CN"/>
              </w:rPr>
              <w:t>，具体根据中转站实际情况调整，</w:t>
            </w:r>
            <w:r>
              <w:rPr>
                <w:rFonts w:hint="eastAsia" w:ascii="仿宋" w:hAnsi="仿宋" w:eastAsia="仿宋" w:cs="仿宋"/>
                <w:color w:val="auto"/>
                <w:sz w:val="24"/>
                <w:szCs w:val="24"/>
                <w:highlight w:val="none"/>
                <w:lang w:val="en-US" w:eastAsia="zh-CN"/>
              </w:rPr>
              <w:t>价格不再调整</w:t>
            </w:r>
            <w:r>
              <w:rPr>
                <w:rFonts w:hint="eastAsia" w:ascii="仿宋" w:hAnsi="仿宋" w:eastAsia="仿宋" w:cs="仿宋"/>
                <w:color w:val="auto"/>
                <w:sz w:val="24"/>
                <w:szCs w:val="24"/>
                <w:highlight w:val="none"/>
              </w:rPr>
              <w:t>）</w:t>
            </w:r>
          </w:p>
        </w:tc>
      </w:tr>
      <w:tr w14:paraId="3A0E3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225AA1D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17" w:type="dxa"/>
            <w:noWrap w:val="0"/>
            <w:vAlign w:val="center"/>
          </w:tcPr>
          <w:p w14:paraId="3AF8428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门框</w:t>
            </w:r>
          </w:p>
        </w:tc>
        <w:tc>
          <w:tcPr>
            <w:tcW w:w="6942" w:type="dxa"/>
            <w:noWrap w:val="0"/>
            <w:vAlign w:val="center"/>
          </w:tcPr>
          <w:p w14:paraId="5E7B7185">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采用2.0mm不锈钢，门罩厚度1.0mm，内置毛刷且底端配有钢管配重。</w:t>
            </w:r>
          </w:p>
        </w:tc>
        <w:tc>
          <w:tcPr>
            <w:tcW w:w="729" w:type="dxa"/>
            <w:noWrap w:val="0"/>
            <w:vAlign w:val="center"/>
          </w:tcPr>
          <w:p w14:paraId="5CD944C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D3F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34020F5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7" w:type="dxa"/>
            <w:noWrap w:val="0"/>
            <w:vAlign w:val="center"/>
          </w:tcPr>
          <w:p w14:paraId="28DD1D6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门帘</w:t>
            </w:r>
          </w:p>
        </w:tc>
        <w:tc>
          <w:tcPr>
            <w:tcW w:w="6942" w:type="dxa"/>
            <w:noWrap w:val="0"/>
            <w:vAlign w:val="center"/>
          </w:tcPr>
          <w:p w14:paraId="5A1DCF97">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选用PVC聚氯乙烯涂层织物，颜色为多种可选。使用布帘为0.9mm厚聚脂纤维涂层基布，PVC透明视窗软板厚度1.0mm，帘布可与不平地面紧密结合防尘、防虫、密封。</w:t>
            </w:r>
          </w:p>
        </w:tc>
        <w:tc>
          <w:tcPr>
            <w:tcW w:w="729" w:type="dxa"/>
            <w:noWrap w:val="0"/>
            <w:vAlign w:val="center"/>
          </w:tcPr>
          <w:p w14:paraId="38747FB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050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394108B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17" w:type="dxa"/>
            <w:noWrap w:val="0"/>
            <w:vAlign w:val="center"/>
          </w:tcPr>
          <w:p w14:paraId="6309BA1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驱动装置</w:t>
            </w:r>
          </w:p>
        </w:tc>
        <w:tc>
          <w:tcPr>
            <w:tcW w:w="6942" w:type="dxa"/>
            <w:noWrap w:val="0"/>
            <w:vAlign w:val="center"/>
          </w:tcPr>
          <w:p w14:paraId="3048B273">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使用刹车电机、三相380V、功率1.5KW/1390S/转。</w:t>
            </w:r>
          </w:p>
        </w:tc>
        <w:tc>
          <w:tcPr>
            <w:tcW w:w="729" w:type="dxa"/>
            <w:noWrap w:val="0"/>
            <w:vAlign w:val="center"/>
          </w:tcPr>
          <w:p w14:paraId="5DB4F0E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BBC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25CC97E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17" w:type="dxa"/>
            <w:noWrap w:val="0"/>
            <w:vAlign w:val="center"/>
          </w:tcPr>
          <w:p w14:paraId="39BA789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电控系统</w:t>
            </w:r>
          </w:p>
        </w:tc>
        <w:tc>
          <w:tcPr>
            <w:tcW w:w="6942" w:type="dxa"/>
            <w:noWrap w:val="0"/>
            <w:vAlign w:val="center"/>
          </w:tcPr>
          <w:p w14:paraId="6985C407">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主电源AC380V、50HZ控制回路、DC24V。采用变频器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1.5KW，PLC电脑编程控制。具有高性能、高稳定精准定位等特点。具有软启动缓停止。保证门体平稳运转并增加使用年限。</w:t>
            </w:r>
          </w:p>
        </w:tc>
        <w:tc>
          <w:tcPr>
            <w:tcW w:w="729" w:type="dxa"/>
            <w:noWrap w:val="0"/>
            <w:vAlign w:val="center"/>
          </w:tcPr>
          <w:p w14:paraId="5D73827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A6A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40A9165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17" w:type="dxa"/>
            <w:noWrap w:val="0"/>
            <w:vAlign w:val="center"/>
          </w:tcPr>
          <w:p w14:paraId="1438FE7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安全装置</w:t>
            </w:r>
          </w:p>
        </w:tc>
        <w:tc>
          <w:tcPr>
            <w:tcW w:w="6942" w:type="dxa"/>
            <w:noWrap w:val="0"/>
            <w:vAlign w:val="center"/>
          </w:tcPr>
          <w:p w14:paraId="5DA0B957">
            <w:pPr>
              <w:keepNext w:val="0"/>
              <w:keepLines w:val="0"/>
              <w:pageBreakBefore w:val="0"/>
              <w:widowControl w:val="0"/>
              <w:kinsoku/>
              <w:overflowPunct/>
              <w:topLinePunct w:val="0"/>
              <w:bidi w:val="0"/>
              <w:snapToGrid w:val="0"/>
              <w:spacing w:beforeAutospacing="0" w:afterAutospacing="0"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设安全装置，以防造成意外事故</w:t>
            </w:r>
          </w:p>
        </w:tc>
        <w:tc>
          <w:tcPr>
            <w:tcW w:w="729" w:type="dxa"/>
            <w:noWrap w:val="0"/>
            <w:vAlign w:val="center"/>
          </w:tcPr>
          <w:p w14:paraId="070366B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7BC6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3" w:type="dxa"/>
            <w:gridSpan w:val="4"/>
            <w:noWrap w:val="0"/>
            <w:vAlign w:val="center"/>
          </w:tcPr>
          <w:p w14:paraId="57436B82">
            <w:pPr>
              <w:keepNext w:val="0"/>
              <w:keepLines w:val="0"/>
              <w:pageBreakBefore w:val="0"/>
              <w:widowControl w:val="0"/>
              <w:numPr>
                <w:ilvl w:val="0"/>
                <w:numId w:val="2"/>
              </w:numPr>
              <w:kinsoku/>
              <w:overflowPunct/>
              <w:topLinePunct w:val="0"/>
              <w:bidi w:val="0"/>
              <w:snapToGrid w:val="0"/>
              <w:spacing w:beforeAutospacing="0" w:afterAutospacing="0"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风幕系统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套</w:t>
            </w:r>
            <w:r>
              <w:rPr>
                <w:rFonts w:hint="eastAsia" w:ascii="仿宋" w:hAnsi="仿宋" w:eastAsia="仿宋" w:cs="仿宋"/>
                <w:color w:val="auto"/>
                <w:sz w:val="24"/>
                <w:szCs w:val="24"/>
                <w:highlight w:val="none"/>
                <w:lang w:eastAsia="zh-CN"/>
              </w:rPr>
              <w:t>，具体根据中转站实际情况调整，</w:t>
            </w:r>
            <w:r>
              <w:rPr>
                <w:rFonts w:hint="eastAsia" w:ascii="仿宋" w:hAnsi="仿宋" w:eastAsia="仿宋" w:cs="仿宋"/>
                <w:color w:val="auto"/>
                <w:sz w:val="24"/>
                <w:szCs w:val="24"/>
                <w:highlight w:val="none"/>
                <w:lang w:val="en-US" w:eastAsia="zh-CN"/>
              </w:rPr>
              <w:t>价格不再调整</w:t>
            </w:r>
            <w:r>
              <w:rPr>
                <w:rFonts w:hint="eastAsia" w:ascii="仿宋" w:hAnsi="仿宋" w:eastAsia="仿宋" w:cs="仿宋"/>
                <w:color w:val="auto"/>
                <w:sz w:val="24"/>
                <w:szCs w:val="24"/>
                <w:highlight w:val="none"/>
                <w:lang w:eastAsia="zh-CN"/>
              </w:rPr>
              <w:t>）</w:t>
            </w:r>
          </w:p>
        </w:tc>
      </w:tr>
      <w:tr w14:paraId="6DE8E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78A274F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p>
        </w:tc>
        <w:tc>
          <w:tcPr>
            <w:tcW w:w="1517" w:type="dxa"/>
            <w:noWrap w:val="0"/>
            <w:vAlign w:val="center"/>
          </w:tcPr>
          <w:p w14:paraId="36D7F1B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风量</w:t>
            </w:r>
          </w:p>
        </w:tc>
        <w:tc>
          <w:tcPr>
            <w:tcW w:w="6942" w:type="dxa"/>
            <w:noWrap w:val="0"/>
            <w:vAlign w:val="center"/>
          </w:tcPr>
          <w:p w14:paraId="6A00B37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6000m³/h</w:t>
            </w:r>
          </w:p>
        </w:tc>
        <w:tc>
          <w:tcPr>
            <w:tcW w:w="729" w:type="dxa"/>
            <w:noWrap w:val="0"/>
            <w:vAlign w:val="center"/>
          </w:tcPr>
          <w:p w14:paraId="1C59B6E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C0D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730059D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17" w:type="dxa"/>
            <w:noWrap w:val="0"/>
            <w:vAlign w:val="center"/>
          </w:tcPr>
          <w:p w14:paraId="083F535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送风方式</w:t>
            </w:r>
          </w:p>
        </w:tc>
        <w:tc>
          <w:tcPr>
            <w:tcW w:w="6942" w:type="dxa"/>
            <w:noWrap w:val="0"/>
            <w:vAlign w:val="center"/>
          </w:tcPr>
          <w:p w14:paraId="53C2CAD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两侧送风</w:t>
            </w:r>
          </w:p>
        </w:tc>
        <w:tc>
          <w:tcPr>
            <w:tcW w:w="729" w:type="dxa"/>
            <w:noWrap w:val="0"/>
            <w:vAlign w:val="center"/>
          </w:tcPr>
          <w:p w14:paraId="656EF34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2BC7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5" w:type="dxa"/>
            <w:noWrap w:val="0"/>
            <w:vAlign w:val="center"/>
          </w:tcPr>
          <w:p w14:paraId="2462F39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p>
        </w:tc>
        <w:tc>
          <w:tcPr>
            <w:tcW w:w="1517" w:type="dxa"/>
            <w:noWrap w:val="0"/>
            <w:vAlign w:val="center"/>
          </w:tcPr>
          <w:p w14:paraId="481CD4B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风口风速</w:t>
            </w:r>
          </w:p>
        </w:tc>
        <w:tc>
          <w:tcPr>
            <w:tcW w:w="6942" w:type="dxa"/>
            <w:noWrap w:val="0"/>
            <w:vAlign w:val="center"/>
          </w:tcPr>
          <w:p w14:paraId="248A24D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8～12m/s</w:t>
            </w:r>
          </w:p>
        </w:tc>
        <w:tc>
          <w:tcPr>
            <w:tcW w:w="729" w:type="dxa"/>
            <w:noWrap w:val="0"/>
            <w:vAlign w:val="center"/>
          </w:tcPr>
          <w:p w14:paraId="06BBC0C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241D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7890569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17" w:type="dxa"/>
            <w:noWrap w:val="0"/>
            <w:vAlign w:val="center"/>
          </w:tcPr>
          <w:p w14:paraId="01616A3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风口尺寸</w:t>
            </w:r>
          </w:p>
        </w:tc>
        <w:tc>
          <w:tcPr>
            <w:tcW w:w="6942" w:type="dxa"/>
            <w:noWrap w:val="0"/>
            <w:vAlign w:val="center"/>
          </w:tcPr>
          <w:p w14:paraId="2D3A7FB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850×120mm</w:t>
            </w:r>
          </w:p>
        </w:tc>
        <w:tc>
          <w:tcPr>
            <w:tcW w:w="729" w:type="dxa"/>
            <w:noWrap w:val="0"/>
            <w:vAlign w:val="center"/>
          </w:tcPr>
          <w:p w14:paraId="0AF7E77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42D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 w:type="dxa"/>
            <w:noWrap w:val="0"/>
            <w:vAlign w:val="center"/>
          </w:tcPr>
          <w:p w14:paraId="6FD9032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p>
        </w:tc>
        <w:tc>
          <w:tcPr>
            <w:tcW w:w="1517" w:type="dxa"/>
            <w:noWrap w:val="0"/>
            <w:vAlign w:val="center"/>
          </w:tcPr>
          <w:p w14:paraId="1843EFE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装机功率</w:t>
            </w:r>
          </w:p>
        </w:tc>
        <w:tc>
          <w:tcPr>
            <w:tcW w:w="6942" w:type="dxa"/>
            <w:noWrap w:val="0"/>
            <w:vAlign w:val="center"/>
          </w:tcPr>
          <w:p w14:paraId="210CBB2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0.75Kw</w:t>
            </w:r>
          </w:p>
        </w:tc>
        <w:tc>
          <w:tcPr>
            <w:tcW w:w="729" w:type="dxa"/>
            <w:noWrap w:val="0"/>
            <w:vAlign w:val="center"/>
          </w:tcPr>
          <w:p w14:paraId="59E54CE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E08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3" w:type="dxa"/>
            <w:gridSpan w:val="4"/>
            <w:noWrap w:val="0"/>
            <w:vAlign w:val="center"/>
          </w:tcPr>
          <w:p w14:paraId="2FA4E8C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【自动控制说明】</w:t>
            </w:r>
          </w:p>
          <w:p w14:paraId="042ACB5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快速门与风幕机应自带感应装置和安全装置，可实现手动/自动控制切换；所有信号均接入中央控制系统，实现自动化控制。</w:t>
            </w:r>
          </w:p>
        </w:tc>
      </w:tr>
    </w:tbl>
    <w:p w14:paraId="5BB85790">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（二）负压收集处理系统</w:t>
      </w:r>
      <w:r>
        <w:rPr>
          <w:rFonts w:hint="eastAsia" w:ascii="仿宋" w:hAnsi="仿宋" w:eastAsia="仿宋" w:cs="仿宋"/>
          <w:b/>
          <w:bCs/>
          <w:color w:val="auto"/>
          <w:sz w:val="24"/>
          <w:szCs w:val="24"/>
          <w:highlight w:val="none"/>
        </w:rPr>
        <w:t>（核心产品）</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6596"/>
        <w:gridCol w:w="762"/>
      </w:tblGrid>
      <w:tr w14:paraId="40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0EC5D86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1" w:type="dxa"/>
            <w:noWrap w:val="0"/>
            <w:vAlign w:val="center"/>
          </w:tcPr>
          <w:p w14:paraId="48D68AE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596" w:type="dxa"/>
            <w:noWrap w:val="0"/>
            <w:vAlign w:val="center"/>
          </w:tcPr>
          <w:p w14:paraId="1CEC08E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762" w:type="dxa"/>
            <w:noWrap w:val="0"/>
            <w:vAlign w:val="center"/>
          </w:tcPr>
          <w:p w14:paraId="4C13ECE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3CD3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720DB69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一、离子复合一体化设备</w:t>
            </w:r>
          </w:p>
        </w:tc>
      </w:tr>
      <w:tr w14:paraId="545D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noWrap w:val="0"/>
            <w:vAlign w:val="center"/>
          </w:tcPr>
          <w:p w14:paraId="20A2FD1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2685D85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w:t>
            </w:r>
          </w:p>
        </w:tc>
        <w:tc>
          <w:tcPr>
            <w:tcW w:w="6596" w:type="dxa"/>
            <w:noWrap w:val="0"/>
            <w:vAlign w:val="center"/>
          </w:tcPr>
          <w:p w14:paraId="45CC23C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外壳整体采用SUS304不锈钢,</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1600×1600×4500mm</w:t>
            </w:r>
          </w:p>
        </w:tc>
        <w:tc>
          <w:tcPr>
            <w:tcW w:w="762" w:type="dxa"/>
            <w:noWrap w:val="0"/>
            <w:vAlign w:val="center"/>
          </w:tcPr>
          <w:p w14:paraId="2B3862B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4D5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6DE8F33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p>
        </w:tc>
        <w:tc>
          <w:tcPr>
            <w:tcW w:w="1701" w:type="dxa"/>
            <w:noWrap w:val="0"/>
            <w:vAlign w:val="center"/>
          </w:tcPr>
          <w:p w14:paraId="2A0D1D1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离子反应段</w:t>
            </w:r>
          </w:p>
        </w:tc>
        <w:tc>
          <w:tcPr>
            <w:tcW w:w="6596" w:type="dxa"/>
            <w:noWrap w:val="0"/>
            <w:vAlign w:val="center"/>
          </w:tcPr>
          <w:p w14:paraId="61D6503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采用管式发生器，一组7管，金属部分全部为SUS304，塑料部分全部为聚碳酸树脂。</w:t>
            </w:r>
          </w:p>
        </w:tc>
        <w:tc>
          <w:tcPr>
            <w:tcW w:w="762" w:type="dxa"/>
            <w:noWrap w:val="0"/>
            <w:vAlign w:val="center"/>
          </w:tcPr>
          <w:p w14:paraId="6DEDD1A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39640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1373D09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p>
        </w:tc>
        <w:tc>
          <w:tcPr>
            <w:tcW w:w="1701" w:type="dxa"/>
            <w:noWrap w:val="0"/>
            <w:vAlign w:val="center"/>
          </w:tcPr>
          <w:p w14:paraId="5652776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干式化学吸附段</w:t>
            </w:r>
          </w:p>
        </w:tc>
        <w:tc>
          <w:tcPr>
            <w:tcW w:w="6596" w:type="dxa"/>
            <w:noWrap w:val="0"/>
            <w:vAlign w:val="center"/>
          </w:tcPr>
          <w:p w14:paraId="1B13111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内置干式化学吸附滤料，滤料安装在模块中，模块为设备两侧开门装卸。过滤面积＞7.0 ㎡，过滤风速＜0.5m/s，阻力损失＜400Pa。</w:t>
            </w:r>
          </w:p>
        </w:tc>
        <w:tc>
          <w:tcPr>
            <w:tcW w:w="762" w:type="dxa"/>
            <w:noWrap w:val="0"/>
            <w:vAlign w:val="center"/>
          </w:tcPr>
          <w:p w14:paraId="37687E5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2C8C8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2017018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p>
        </w:tc>
        <w:tc>
          <w:tcPr>
            <w:tcW w:w="1701" w:type="dxa"/>
            <w:noWrap w:val="0"/>
            <w:vAlign w:val="center"/>
          </w:tcPr>
          <w:p w14:paraId="26D0772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喷淋吸收段</w:t>
            </w:r>
          </w:p>
        </w:tc>
        <w:tc>
          <w:tcPr>
            <w:tcW w:w="6596" w:type="dxa"/>
            <w:noWrap w:val="0"/>
            <w:vAlign w:val="center"/>
          </w:tcPr>
          <w:p w14:paraId="14A18E6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流速14-16m/s，气液比0.5～1 L/m³，出口压力≥6Kg/c㎡，内胆水箱SUS304材质，容量≥500升</w:t>
            </w:r>
          </w:p>
        </w:tc>
        <w:tc>
          <w:tcPr>
            <w:tcW w:w="762" w:type="dxa"/>
            <w:noWrap w:val="0"/>
            <w:vAlign w:val="center"/>
          </w:tcPr>
          <w:p w14:paraId="4DF067D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C4CC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6E25D17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二、风机</w:t>
            </w:r>
          </w:p>
        </w:tc>
      </w:tr>
      <w:tr w14:paraId="1106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1B83FBB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000D11F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w:t>
            </w:r>
          </w:p>
        </w:tc>
        <w:tc>
          <w:tcPr>
            <w:tcW w:w="6596" w:type="dxa"/>
            <w:noWrap w:val="0"/>
            <w:vAlign w:val="center"/>
          </w:tcPr>
          <w:p w14:paraId="2E7DD9E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FRP耐酸碱树脂制作</w:t>
            </w:r>
          </w:p>
        </w:tc>
        <w:tc>
          <w:tcPr>
            <w:tcW w:w="762" w:type="dxa"/>
            <w:noWrap w:val="0"/>
            <w:vAlign w:val="center"/>
          </w:tcPr>
          <w:p w14:paraId="42E51FF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C9BF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noWrap w:val="0"/>
            <w:vAlign w:val="center"/>
          </w:tcPr>
          <w:p w14:paraId="100469E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noWrap w:val="0"/>
            <w:vAlign w:val="center"/>
          </w:tcPr>
          <w:p w14:paraId="22E37F4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电机</w:t>
            </w:r>
          </w:p>
        </w:tc>
        <w:tc>
          <w:tcPr>
            <w:tcW w:w="6596" w:type="dxa"/>
            <w:noWrap w:val="0"/>
            <w:vAlign w:val="center"/>
          </w:tcPr>
          <w:p w14:paraId="66239F4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强冷变频</w:t>
            </w:r>
          </w:p>
        </w:tc>
        <w:tc>
          <w:tcPr>
            <w:tcW w:w="762" w:type="dxa"/>
            <w:noWrap w:val="0"/>
            <w:vAlign w:val="center"/>
          </w:tcPr>
          <w:p w14:paraId="27AE927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0AF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675" w:type="dxa"/>
            <w:noWrap w:val="0"/>
            <w:vAlign w:val="center"/>
          </w:tcPr>
          <w:p w14:paraId="4748F62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noWrap w:val="0"/>
            <w:vAlign w:val="center"/>
          </w:tcPr>
          <w:p w14:paraId="032FBD0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传动方式</w:t>
            </w:r>
          </w:p>
        </w:tc>
        <w:tc>
          <w:tcPr>
            <w:tcW w:w="6596" w:type="dxa"/>
            <w:noWrap w:val="0"/>
            <w:vAlign w:val="center"/>
          </w:tcPr>
          <w:p w14:paraId="70F1416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皮带传动</w:t>
            </w:r>
          </w:p>
        </w:tc>
        <w:tc>
          <w:tcPr>
            <w:tcW w:w="762" w:type="dxa"/>
            <w:noWrap w:val="0"/>
            <w:vAlign w:val="center"/>
          </w:tcPr>
          <w:p w14:paraId="444B32C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227C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30CC146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p>
        </w:tc>
        <w:tc>
          <w:tcPr>
            <w:tcW w:w="1701" w:type="dxa"/>
            <w:noWrap w:val="0"/>
            <w:vAlign w:val="center"/>
          </w:tcPr>
          <w:p w14:paraId="4AE8385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降噪方式</w:t>
            </w:r>
          </w:p>
        </w:tc>
        <w:tc>
          <w:tcPr>
            <w:tcW w:w="6596" w:type="dxa"/>
            <w:noWrap w:val="0"/>
            <w:vAlign w:val="center"/>
          </w:tcPr>
          <w:p w14:paraId="3A9F1CF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SUS304面板+铝合金边框，内部FRP多孔板+隔音岩棉</w:t>
            </w:r>
          </w:p>
        </w:tc>
        <w:tc>
          <w:tcPr>
            <w:tcW w:w="762" w:type="dxa"/>
            <w:noWrap w:val="0"/>
            <w:vAlign w:val="center"/>
          </w:tcPr>
          <w:p w14:paraId="37FD429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CF1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4DCD4D0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三、收集风管</w:t>
            </w:r>
          </w:p>
        </w:tc>
      </w:tr>
      <w:tr w14:paraId="393A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55A13FA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561E79E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管径</w:t>
            </w:r>
          </w:p>
        </w:tc>
        <w:tc>
          <w:tcPr>
            <w:tcW w:w="6596" w:type="dxa"/>
            <w:noWrap w:val="0"/>
            <w:vAlign w:val="center"/>
          </w:tcPr>
          <w:p w14:paraId="044CFA0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主风管截面积＞0.09㎡，支风管截面积＞0.03㎡</w:t>
            </w:r>
          </w:p>
        </w:tc>
        <w:tc>
          <w:tcPr>
            <w:tcW w:w="762" w:type="dxa"/>
            <w:noWrap w:val="0"/>
            <w:vAlign w:val="center"/>
          </w:tcPr>
          <w:p w14:paraId="592E13B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41A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702F8EF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noWrap w:val="0"/>
            <w:vAlign w:val="center"/>
          </w:tcPr>
          <w:p w14:paraId="69C21DA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吸风口</w:t>
            </w:r>
          </w:p>
        </w:tc>
        <w:tc>
          <w:tcPr>
            <w:tcW w:w="6596" w:type="dxa"/>
            <w:noWrap w:val="0"/>
            <w:vAlign w:val="center"/>
          </w:tcPr>
          <w:p w14:paraId="06006D8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每个压缩基坑左右各布置3各吸风口，每个渗滤液池设置两个吸风口，单个吸风口截面积参照支风管截面积； </w:t>
            </w:r>
          </w:p>
        </w:tc>
        <w:tc>
          <w:tcPr>
            <w:tcW w:w="762" w:type="dxa"/>
            <w:noWrap w:val="0"/>
            <w:vAlign w:val="center"/>
          </w:tcPr>
          <w:p w14:paraId="455A9E4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7FCD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675" w:type="dxa"/>
            <w:noWrap w:val="0"/>
            <w:vAlign w:val="center"/>
          </w:tcPr>
          <w:p w14:paraId="2378629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noWrap w:val="0"/>
            <w:vAlign w:val="center"/>
          </w:tcPr>
          <w:p w14:paraId="62819F8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管道敷设</w:t>
            </w:r>
          </w:p>
        </w:tc>
        <w:tc>
          <w:tcPr>
            <w:tcW w:w="6596" w:type="dxa"/>
            <w:noWrap w:val="0"/>
            <w:vAlign w:val="center"/>
          </w:tcPr>
          <w:p w14:paraId="1522F8E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收集风管采用地埋敷设，由投标人自行勘测现场后优化设计；所涉及破拆、挖沟、打洞等工序均由投标人自行完成并要求完工后恢复原有大理石地面和墙壁。</w:t>
            </w:r>
          </w:p>
        </w:tc>
        <w:tc>
          <w:tcPr>
            <w:tcW w:w="762" w:type="dxa"/>
            <w:noWrap w:val="0"/>
            <w:vAlign w:val="center"/>
          </w:tcPr>
          <w:p w14:paraId="1786BFC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ED2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734" w:type="dxa"/>
            <w:gridSpan w:val="4"/>
            <w:noWrap w:val="0"/>
            <w:vAlign w:val="center"/>
          </w:tcPr>
          <w:p w14:paraId="4E417ACD">
            <w:pPr>
              <w:keepNext w:val="0"/>
              <w:keepLines w:val="0"/>
              <w:pageBreakBefore w:val="0"/>
              <w:widowControl w:val="0"/>
              <w:kinsoku/>
              <w:overflowPunct/>
              <w:topLinePunct w:val="0"/>
              <w:bidi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数量：离子复合一体化设备1套、风机1台、收集风管若干（现场实际需要）</w:t>
            </w:r>
          </w:p>
          <w:p w14:paraId="428D674B">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【干式化学吸附滤料】</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shd w:val="clear" w:color="auto" w:fill="auto"/>
                <w:lang w:val="en-US" w:eastAsia="zh-CN"/>
              </w:rPr>
              <w:t>投标时提供检测报告清晰扫描件</w:t>
            </w:r>
            <w:r>
              <w:rPr>
                <w:rFonts w:hint="eastAsia" w:ascii="仿宋" w:hAnsi="仿宋" w:eastAsia="仿宋" w:cs="仿宋"/>
                <w:b/>
                <w:bCs/>
                <w:color w:val="auto"/>
                <w:sz w:val="24"/>
                <w:szCs w:val="24"/>
                <w:highlight w:val="none"/>
                <w:lang w:eastAsia="zh-CN"/>
              </w:rPr>
              <w:t>）</w:t>
            </w:r>
          </w:p>
          <w:p w14:paraId="3D9F6EC9">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干式化学滤料成分中氧化镁含量大于8%、高锰酸钠含量大于8%，主要由高活性催化剂促使臭气与滤料发生反应，从而降低臭气浓度达到除臭目的。投标文件内必须附上滤料成分检测报告和臭气去除效率报告。</w:t>
            </w:r>
          </w:p>
          <w:p w14:paraId="24795D88">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箱体内应包含化学滤料450公斤，指标符合上述要求，投标文件中应提供化学滤料的成分检测报告及臭气去除率报告。</w:t>
            </w:r>
          </w:p>
        </w:tc>
      </w:tr>
    </w:tbl>
    <w:p w14:paraId="10B4E221">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（三）植物液综合处理系统</w:t>
      </w:r>
      <w:r>
        <w:rPr>
          <w:rFonts w:hint="eastAsia" w:ascii="仿宋" w:hAnsi="仿宋" w:eastAsia="仿宋" w:cs="仿宋"/>
          <w:b/>
          <w:color w:val="auto"/>
          <w:sz w:val="24"/>
          <w:szCs w:val="24"/>
          <w:highlight w:val="none"/>
        </w:rPr>
        <w:t>（核心产品）</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6454"/>
        <w:gridCol w:w="762"/>
      </w:tblGrid>
      <w:tr w14:paraId="5FF5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C98C9B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1" w:type="dxa"/>
            <w:noWrap w:val="0"/>
            <w:vAlign w:val="center"/>
          </w:tcPr>
          <w:p w14:paraId="12A001F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454" w:type="dxa"/>
            <w:noWrap w:val="0"/>
            <w:vAlign w:val="center"/>
          </w:tcPr>
          <w:p w14:paraId="3211F84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762" w:type="dxa"/>
            <w:noWrap w:val="0"/>
            <w:vAlign w:val="center"/>
          </w:tcPr>
          <w:p w14:paraId="1F7862A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DD4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4" w:type="dxa"/>
            <w:gridSpan w:val="4"/>
            <w:noWrap w:val="0"/>
            <w:vAlign w:val="center"/>
          </w:tcPr>
          <w:p w14:paraId="46AE159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植物液气化系统</w:t>
            </w:r>
          </w:p>
        </w:tc>
      </w:tr>
      <w:tr w14:paraId="77B70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004EE3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1" w:type="dxa"/>
            <w:noWrap w:val="0"/>
            <w:vAlign w:val="center"/>
          </w:tcPr>
          <w:p w14:paraId="3C960CDD">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运行模式</w:t>
            </w:r>
          </w:p>
        </w:tc>
        <w:tc>
          <w:tcPr>
            <w:tcW w:w="6454" w:type="dxa"/>
            <w:noWrap w:val="0"/>
            <w:vAlign w:val="top"/>
          </w:tcPr>
          <w:p w14:paraId="1A63CA2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多种情景、多时段任意设定</w:t>
            </w:r>
          </w:p>
        </w:tc>
        <w:tc>
          <w:tcPr>
            <w:tcW w:w="762" w:type="dxa"/>
            <w:noWrap w:val="0"/>
            <w:vAlign w:val="top"/>
          </w:tcPr>
          <w:p w14:paraId="33BF86D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40F5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7B0598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1" w:type="dxa"/>
            <w:noWrap w:val="0"/>
            <w:vAlign w:val="center"/>
          </w:tcPr>
          <w:p w14:paraId="303410C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控制方式</w:t>
            </w:r>
          </w:p>
        </w:tc>
        <w:tc>
          <w:tcPr>
            <w:tcW w:w="6454" w:type="dxa"/>
            <w:noWrap w:val="0"/>
            <w:vAlign w:val="top"/>
          </w:tcPr>
          <w:p w14:paraId="337259A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远程/本地，可实现手动/自动/遥控等多种模式</w:t>
            </w:r>
          </w:p>
        </w:tc>
        <w:tc>
          <w:tcPr>
            <w:tcW w:w="762" w:type="dxa"/>
            <w:noWrap w:val="0"/>
            <w:vAlign w:val="top"/>
          </w:tcPr>
          <w:p w14:paraId="714DDD1D">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CB0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967C3E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1" w:type="dxa"/>
            <w:noWrap w:val="0"/>
            <w:vAlign w:val="center"/>
          </w:tcPr>
          <w:p w14:paraId="2020332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装机功率</w:t>
            </w:r>
          </w:p>
        </w:tc>
        <w:tc>
          <w:tcPr>
            <w:tcW w:w="6454" w:type="dxa"/>
            <w:noWrap w:val="0"/>
            <w:vAlign w:val="top"/>
          </w:tcPr>
          <w:p w14:paraId="7FF7975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≦3Kw</w:t>
            </w:r>
          </w:p>
        </w:tc>
        <w:tc>
          <w:tcPr>
            <w:tcW w:w="762" w:type="dxa"/>
            <w:noWrap w:val="0"/>
            <w:vAlign w:val="top"/>
          </w:tcPr>
          <w:p w14:paraId="5F6D4E9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3D2E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4A3135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1" w:type="dxa"/>
            <w:noWrap w:val="0"/>
            <w:vAlign w:val="center"/>
          </w:tcPr>
          <w:p w14:paraId="0907097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气化管道</w:t>
            </w:r>
          </w:p>
        </w:tc>
        <w:tc>
          <w:tcPr>
            <w:tcW w:w="6454" w:type="dxa"/>
            <w:noWrap w:val="0"/>
            <w:vAlign w:val="top"/>
          </w:tcPr>
          <w:p w14:paraId="1AB15DA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直径不小于9.5mm</w:t>
            </w:r>
          </w:p>
        </w:tc>
        <w:tc>
          <w:tcPr>
            <w:tcW w:w="762" w:type="dxa"/>
            <w:noWrap w:val="0"/>
            <w:vAlign w:val="top"/>
          </w:tcPr>
          <w:p w14:paraId="10EC577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CDF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F64202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1" w:type="dxa"/>
            <w:noWrap w:val="0"/>
            <w:vAlign w:val="center"/>
          </w:tcPr>
          <w:p w14:paraId="736B4E5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有效管道长度</w:t>
            </w:r>
          </w:p>
        </w:tc>
        <w:tc>
          <w:tcPr>
            <w:tcW w:w="6454" w:type="dxa"/>
            <w:noWrap w:val="0"/>
            <w:vAlign w:val="top"/>
          </w:tcPr>
          <w:p w14:paraId="0B45BD5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0—200米可调</w:t>
            </w:r>
          </w:p>
        </w:tc>
        <w:tc>
          <w:tcPr>
            <w:tcW w:w="762" w:type="dxa"/>
            <w:noWrap w:val="0"/>
            <w:vAlign w:val="top"/>
          </w:tcPr>
          <w:p w14:paraId="13AB337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DF6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DAA7DA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w:t>
            </w:r>
          </w:p>
        </w:tc>
        <w:tc>
          <w:tcPr>
            <w:tcW w:w="1701" w:type="dxa"/>
            <w:noWrap w:val="0"/>
            <w:vAlign w:val="center"/>
          </w:tcPr>
          <w:p w14:paraId="2B1AB26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气化后液滴直径</w:t>
            </w:r>
          </w:p>
        </w:tc>
        <w:tc>
          <w:tcPr>
            <w:tcW w:w="6454" w:type="dxa"/>
            <w:noWrap w:val="0"/>
            <w:vAlign w:val="center"/>
          </w:tcPr>
          <w:p w14:paraId="367D70B2">
            <w:pPr>
              <w:keepNext w:val="0"/>
              <w:keepLines w:val="0"/>
              <w:pageBreakBefore w:val="0"/>
              <w:widowControl w:val="0"/>
              <w:kinsoku/>
              <w:overflowPunct/>
              <w:topLinePunct w:val="0"/>
              <w:bidi w:val="0"/>
              <w:snapToGrid w:val="0"/>
              <w:spacing w:beforeAutospacing="0" w:afterAutospacing="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＜0.5μm</w:t>
            </w:r>
          </w:p>
        </w:tc>
        <w:tc>
          <w:tcPr>
            <w:tcW w:w="762" w:type="dxa"/>
            <w:noWrap w:val="0"/>
            <w:vAlign w:val="top"/>
          </w:tcPr>
          <w:p w14:paraId="3E22C6E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D8BE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A88D3E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1" w:type="dxa"/>
            <w:noWrap w:val="0"/>
            <w:vAlign w:val="center"/>
          </w:tcPr>
          <w:p w14:paraId="29A2DEC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气化效果</w:t>
            </w:r>
          </w:p>
        </w:tc>
        <w:tc>
          <w:tcPr>
            <w:tcW w:w="6454" w:type="dxa"/>
            <w:noWrap w:val="0"/>
            <w:vAlign w:val="top"/>
          </w:tcPr>
          <w:p w14:paraId="20B7B2F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不增加空气湿度</w:t>
            </w:r>
          </w:p>
        </w:tc>
        <w:tc>
          <w:tcPr>
            <w:tcW w:w="762" w:type="dxa"/>
            <w:noWrap w:val="0"/>
            <w:vAlign w:val="top"/>
          </w:tcPr>
          <w:p w14:paraId="699EA43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F6B8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330F20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w:t>
            </w:r>
          </w:p>
        </w:tc>
        <w:tc>
          <w:tcPr>
            <w:tcW w:w="1701" w:type="dxa"/>
            <w:noWrap w:val="0"/>
            <w:vAlign w:val="center"/>
          </w:tcPr>
          <w:p w14:paraId="5083E4D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噪音</w:t>
            </w:r>
          </w:p>
        </w:tc>
        <w:tc>
          <w:tcPr>
            <w:tcW w:w="6454" w:type="dxa"/>
            <w:noWrap w:val="0"/>
            <w:vAlign w:val="top"/>
          </w:tcPr>
          <w:p w14:paraId="12592609">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762" w:type="dxa"/>
            <w:noWrap w:val="0"/>
            <w:vAlign w:val="top"/>
          </w:tcPr>
          <w:p w14:paraId="1FD6FC8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7905B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D3D557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1" w:type="dxa"/>
            <w:noWrap w:val="0"/>
            <w:vAlign w:val="center"/>
          </w:tcPr>
          <w:p w14:paraId="2DC6C72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气化头安装</w:t>
            </w:r>
          </w:p>
        </w:tc>
        <w:tc>
          <w:tcPr>
            <w:tcW w:w="6454" w:type="dxa"/>
            <w:noWrap w:val="0"/>
            <w:vAlign w:val="top"/>
          </w:tcPr>
          <w:p w14:paraId="273A98E7">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管道开孔</w:t>
            </w:r>
          </w:p>
        </w:tc>
        <w:tc>
          <w:tcPr>
            <w:tcW w:w="762" w:type="dxa"/>
            <w:noWrap w:val="0"/>
            <w:vAlign w:val="top"/>
          </w:tcPr>
          <w:p w14:paraId="61CB08F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867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4" w:type="dxa"/>
            <w:gridSpan w:val="4"/>
            <w:noWrap w:val="0"/>
            <w:vAlign w:val="center"/>
          </w:tcPr>
          <w:p w14:paraId="23DACAB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数量：植物液气化设备1套（出风口＞12）、植物液雾化设备1套（雾化喷头＞12）</w:t>
            </w:r>
          </w:p>
          <w:p w14:paraId="1755858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【植物精油气化系统】</w:t>
            </w:r>
          </w:p>
          <w:p w14:paraId="41D1C75D">
            <w:pPr>
              <w:keepNext w:val="0"/>
              <w:keepLines w:val="0"/>
              <w:pageBreakBefore w:val="0"/>
              <w:widowControl w:val="0"/>
              <w:kinsoku/>
              <w:overflowPunct/>
              <w:topLinePunct w:val="0"/>
              <w:bidi w:val="0"/>
              <w:snapToGrid w:val="0"/>
              <w:spacing w:beforeAutospacing="0" w:afterAutospacing="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植物液气化装置是将高浓度的植物精油，直接通过专用设备将精油气化，并通过小型风机将其发送至空间各处，与空气中的致臭污染物反应，以达到消除恶臭的目。</w:t>
            </w:r>
          </w:p>
          <w:p w14:paraId="5540C98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【植物液气化系统】</w:t>
            </w:r>
          </w:p>
          <w:p w14:paraId="0E055B2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植物液雾化系统装置是将稀释后的植物液均匀的喷洒在转运站的整个空间，从而消除扬尘并改善异味状况。</w:t>
            </w:r>
          </w:p>
          <w:p w14:paraId="4D0287E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shd w:val="clear" w:color="auto" w:fill="auto"/>
              </w:rPr>
              <w:t>然植物液】</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shd w:val="clear" w:color="auto" w:fill="auto"/>
                <w:lang w:val="en-US" w:eastAsia="zh-CN"/>
              </w:rPr>
              <w:t>投标时提供检测报告清晰扫描件</w:t>
            </w:r>
            <w:r>
              <w:rPr>
                <w:rFonts w:hint="eastAsia" w:ascii="仿宋" w:hAnsi="仿宋" w:eastAsia="仿宋" w:cs="仿宋"/>
                <w:b/>
                <w:bCs/>
                <w:color w:val="auto"/>
                <w:sz w:val="24"/>
                <w:szCs w:val="24"/>
                <w:highlight w:val="none"/>
                <w:shd w:val="clear" w:color="auto" w:fill="auto"/>
                <w:lang w:eastAsia="zh-CN"/>
              </w:rPr>
              <w:t>）</w:t>
            </w:r>
          </w:p>
          <w:p w14:paraId="6D26A232">
            <w:pPr>
              <w:keepNext w:val="0"/>
              <w:keepLines w:val="0"/>
              <w:pageBreakBefore w:val="0"/>
              <w:widowControl w:val="0"/>
              <w:kinsoku/>
              <w:overflowPunct/>
              <w:topLinePunct w:val="0"/>
              <w:bidi w:val="0"/>
              <w:snapToGrid w:val="0"/>
              <w:spacing w:beforeAutospacing="0" w:afterAutospacing="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为确保植物除臭剂的除臭效果，投标文件必须提供植物除臭剂的臭气去除率检测报告。</w:t>
            </w:r>
          </w:p>
          <w:p w14:paraId="7B0766EB">
            <w:pPr>
              <w:keepNext w:val="0"/>
              <w:keepLines w:val="0"/>
              <w:pageBreakBefore w:val="0"/>
              <w:widowControl w:val="0"/>
              <w:kinsoku/>
              <w:overflowPunct/>
              <w:topLinePunct w:val="0"/>
              <w:bidi w:val="0"/>
              <w:snapToGrid w:val="0"/>
              <w:spacing w:beforeAutospacing="0" w:afterAutospacing="0"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为确保植物除臭剂的安全性，投标文件必须提供植物除臭剂经过了“小鼠急性口毒性试验、小鼠急性吸入毒性试验”的检测报告，检验结果应为实际无毒级。</w:t>
            </w:r>
          </w:p>
        </w:tc>
      </w:tr>
    </w:tbl>
    <w:p w14:paraId="3A58147F">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（四）离子新风系统</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59"/>
        <w:gridCol w:w="6325"/>
        <w:gridCol w:w="886"/>
      </w:tblGrid>
      <w:tr w14:paraId="4F8BA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0DE47A8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59" w:type="dxa"/>
            <w:noWrap w:val="0"/>
            <w:vAlign w:val="center"/>
          </w:tcPr>
          <w:p w14:paraId="49F2BC6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325" w:type="dxa"/>
            <w:noWrap w:val="0"/>
            <w:vAlign w:val="center"/>
          </w:tcPr>
          <w:p w14:paraId="16E54CA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886" w:type="dxa"/>
            <w:noWrap w:val="0"/>
            <w:vAlign w:val="center"/>
          </w:tcPr>
          <w:p w14:paraId="291A1C8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2B51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458C396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59" w:type="dxa"/>
            <w:noWrap w:val="0"/>
            <w:vAlign w:val="center"/>
          </w:tcPr>
          <w:p w14:paraId="0042362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设备外形尺寸</w:t>
            </w:r>
          </w:p>
        </w:tc>
        <w:tc>
          <w:tcPr>
            <w:tcW w:w="6325" w:type="dxa"/>
            <w:noWrap w:val="0"/>
            <w:vAlign w:val="top"/>
          </w:tcPr>
          <w:p w14:paraId="21C7749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500×500×900mm</w:t>
            </w:r>
          </w:p>
        </w:tc>
        <w:tc>
          <w:tcPr>
            <w:tcW w:w="886" w:type="dxa"/>
            <w:noWrap w:val="0"/>
            <w:vAlign w:val="top"/>
          </w:tcPr>
          <w:p w14:paraId="1167602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D52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6A4D13A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p>
        </w:tc>
        <w:tc>
          <w:tcPr>
            <w:tcW w:w="1859" w:type="dxa"/>
            <w:noWrap w:val="0"/>
            <w:vAlign w:val="center"/>
          </w:tcPr>
          <w:p w14:paraId="7EDA7DA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设计风量</w:t>
            </w:r>
          </w:p>
        </w:tc>
        <w:tc>
          <w:tcPr>
            <w:tcW w:w="6325" w:type="dxa"/>
            <w:noWrap w:val="0"/>
            <w:vAlign w:val="top"/>
          </w:tcPr>
          <w:p w14:paraId="54D3BBA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1600 m³/h/台</w:t>
            </w:r>
          </w:p>
        </w:tc>
        <w:tc>
          <w:tcPr>
            <w:tcW w:w="886" w:type="dxa"/>
            <w:noWrap w:val="0"/>
            <w:vAlign w:val="top"/>
          </w:tcPr>
          <w:p w14:paraId="27A026D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74E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5F15726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p>
        </w:tc>
        <w:tc>
          <w:tcPr>
            <w:tcW w:w="1859" w:type="dxa"/>
            <w:noWrap w:val="0"/>
            <w:vAlign w:val="center"/>
          </w:tcPr>
          <w:p w14:paraId="34C3C1E1">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装机功率</w:t>
            </w:r>
          </w:p>
        </w:tc>
        <w:tc>
          <w:tcPr>
            <w:tcW w:w="6325" w:type="dxa"/>
            <w:noWrap w:val="0"/>
            <w:vAlign w:val="top"/>
          </w:tcPr>
          <w:p w14:paraId="0C7365F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500W</w:t>
            </w:r>
          </w:p>
        </w:tc>
        <w:tc>
          <w:tcPr>
            <w:tcW w:w="886" w:type="dxa"/>
            <w:noWrap w:val="0"/>
            <w:vAlign w:val="top"/>
          </w:tcPr>
          <w:p w14:paraId="48BE7FB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5AB5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20E0B36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p>
        </w:tc>
        <w:tc>
          <w:tcPr>
            <w:tcW w:w="1859" w:type="dxa"/>
            <w:noWrap w:val="0"/>
            <w:vAlign w:val="center"/>
          </w:tcPr>
          <w:p w14:paraId="3B5AD91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噪声</w:t>
            </w:r>
          </w:p>
        </w:tc>
        <w:tc>
          <w:tcPr>
            <w:tcW w:w="6325" w:type="dxa"/>
            <w:noWrap w:val="0"/>
            <w:vAlign w:val="top"/>
          </w:tcPr>
          <w:p w14:paraId="26FF48B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50dB（A）</w:t>
            </w:r>
          </w:p>
        </w:tc>
        <w:tc>
          <w:tcPr>
            <w:tcW w:w="886" w:type="dxa"/>
            <w:noWrap w:val="0"/>
            <w:vAlign w:val="top"/>
          </w:tcPr>
          <w:p w14:paraId="0955D85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0CE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70943B4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p>
        </w:tc>
        <w:tc>
          <w:tcPr>
            <w:tcW w:w="1859" w:type="dxa"/>
            <w:noWrap w:val="0"/>
            <w:vAlign w:val="center"/>
          </w:tcPr>
          <w:p w14:paraId="70D2F04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离子数</w:t>
            </w:r>
          </w:p>
        </w:tc>
        <w:tc>
          <w:tcPr>
            <w:tcW w:w="6325" w:type="dxa"/>
            <w:noWrap w:val="0"/>
            <w:vAlign w:val="top"/>
          </w:tcPr>
          <w:p w14:paraId="038CA08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200～800万个/cm³可调</w:t>
            </w:r>
          </w:p>
        </w:tc>
        <w:tc>
          <w:tcPr>
            <w:tcW w:w="886" w:type="dxa"/>
            <w:noWrap w:val="0"/>
            <w:vAlign w:val="top"/>
          </w:tcPr>
          <w:p w14:paraId="1F84382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EBC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5042934B">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59" w:type="dxa"/>
            <w:noWrap w:val="0"/>
            <w:vAlign w:val="center"/>
          </w:tcPr>
          <w:p w14:paraId="1D3A1A6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循环管路</w:t>
            </w:r>
          </w:p>
        </w:tc>
        <w:tc>
          <w:tcPr>
            <w:tcW w:w="6325" w:type="dxa"/>
            <w:noWrap w:val="0"/>
            <w:vAlign w:val="top"/>
          </w:tcPr>
          <w:p w14:paraId="30FE74D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隐蔽布管，口径根据现场定制</w:t>
            </w:r>
          </w:p>
        </w:tc>
        <w:tc>
          <w:tcPr>
            <w:tcW w:w="886" w:type="dxa"/>
            <w:noWrap w:val="0"/>
            <w:vAlign w:val="top"/>
          </w:tcPr>
          <w:p w14:paraId="25E72F7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5C6D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7C0F8C1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59" w:type="dxa"/>
            <w:noWrap w:val="0"/>
            <w:vAlign w:val="center"/>
          </w:tcPr>
          <w:p w14:paraId="2DE53DF8">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风口</w:t>
            </w:r>
          </w:p>
        </w:tc>
        <w:tc>
          <w:tcPr>
            <w:tcW w:w="6325" w:type="dxa"/>
            <w:noWrap w:val="0"/>
            <w:vAlign w:val="top"/>
          </w:tcPr>
          <w:p w14:paraId="449566E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采用球形喷流风口，可在正负30度的范围内通过人工或电动方式摆动，具有送风距离远、噪声小等特点。</w:t>
            </w:r>
          </w:p>
        </w:tc>
        <w:tc>
          <w:tcPr>
            <w:tcW w:w="886" w:type="dxa"/>
            <w:noWrap w:val="0"/>
            <w:vAlign w:val="top"/>
          </w:tcPr>
          <w:p w14:paraId="1C0783F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5E31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4B209504">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59" w:type="dxa"/>
            <w:noWrap w:val="0"/>
            <w:vAlign w:val="center"/>
          </w:tcPr>
          <w:p w14:paraId="73BCFB37">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装备特点</w:t>
            </w:r>
          </w:p>
        </w:tc>
        <w:tc>
          <w:tcPr>
            <w:tcW w:w="6325" w:type="dxa"/>
            <w:noWrap w:val="0"/>
            <w:vAlign w:val="top"/>
          </w:tcPr>
          <w:p w14:paraId="23A75BF5">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离子发生装置外部不带电，安全可靠；采用AC交流电，功率低，能耗小。</w:t>
            </w:r>
          </w:p>
        </w:tc>
        <w:tc>
          <w:tcPr>
            <w:tcW w:w="886" w:type="dxa"/>
            <w:noWrap w:val="0"/>
            <w:vAlign w:val="top"/>
          </w:tcPr>
          <w:p w14:paraId="7612791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766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745" w:type="dxa"/>
            <w:gridSpan w:val="4"/>
            <w:noWrap w:val="0"/>
            <w:vAlign w:val="center"/>
          </w:tcPr>
          <w:p w14:paraId="344BC2A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数量：离子新风设备1套、循环管路若干（现场实际需要）</w:t>
            </w:r>
          </w:p>
          <w:p w14:paraId="1FBD7C90">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【离子发生器】采用管式发生器，单组7支，离子量＞40万，金属采用316不锈钢，塑料部分采用聚碳酸树脂。</w:t>
            </w:r>
          </w:p>
        </w:tc>
      </w:tr>
    </w:tbl>
    <w:p w14:paraId="6FEC1C9C">
      <w:pPr>
        <w:keepNext w:val="0"/>
        <w:keepLines w:val="0"/>
        <w:pageBreakBefore w:val="0"/>
        <w:widowControl w:val="0"/>
        <w:kinsoku/>
        <w:overflowPunct/>
        <w:topLinePunct w:val="0"/>
        <w:bidi w:val="0"/>
        <w:snapToGrid w:val="0"/>
        <w:spacing w:beforeAutospacing="0" w:afterAutospacing="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（五）中央控制系统系统</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6635"/>
        <w:gridCol w:w="864"/>
      </w:tblGrid>
      <w:tr w14:paraId="27BA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51C42D4A">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60" w:type="dxa"/>
            <w:noWrap w:val="0"/>
            <w:vAlign w:val="center"/>
          </w:tcPr>
          <w:p w14:paraId="027364C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635" w:type="dxa"/>
            <w:noWrap w:val="0"/>
            <w:vAlign w:val="center"/>
          </w:tcPr>
          <w:p w14:paraId="79E2054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技术参数及性能描述</w:t>
            </w:r>
          </w:p>
        </w:tc>
        <w:tc>
          <w:tcPr>
            <w:tcW w:w="864" w:type="dxa"/>
            <w:noWrap w:val="0"/>
            <w:vAlign w:val="center"/>
          </w:tcPr>
          <w:p w14:paraId="426D82F0">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229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18AA6D63">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0" w:type="dxa"/>
            <w:noWrap w:val="0"/>
            <w:vAlign w:val="center"/>
          </w:tcPr>
          <w:p w14:paraId="5EB70395">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控制柜尺寸</w:t>
            </w:r>
          </w:p>
        </w:tc>
        <w:tc>
          <w:tcPr>
            <w:tcW w:w="6635" w:type="dxa"/>
            <w:noWrap w:val="0"/>
            <w:vAlign w:val="top"/>
          </w:tcPr>
          <w:p w14:paraId="109799C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材质为304不锈钢，尺寸</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1850×800×600mm</w:t>
            </w:r>
          </w:p>
        </w:tc>
        <w:tc>
          <w:tcPr>
            <w:tcW w:w="864" w:type="dxa"/>
            <w:noWrap w:val="0"/>
            <w:vAlign w:val="top"/>
          </w:tcPr>
          <w:p w14:paraId="20F84E1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1C00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15088A3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0" w:type="dxa"/>
            <w:noWrap w:val="0"/>
            <w:vAlign w:val="center"/>
          </w:tcPr>
          <w:p w14:paraId="01A5B20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主要元器件</w:t>
            </w:r>
          </w:p>
        </w:tc>
        <w:tc>
          <w:tcPr>
            <w:tcW w:w="6635" w:type="dxa"/>
            <w:noWrap w:val="0"/>
            <w:vAlign w:val="top"/>
          </w:tcPr>
          <w:p w14:paraId="349B378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0B1C7D9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A5E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37136A6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60" w:type="dxa"/>
            <w:noWrap w:val="0"/>
            <w:vAlign w:val="center"/>
          </w:tcPr>
          <w:p w14:paraId="09D8FED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PLC</w:t>
            </w:r>
          </w:p>
        </w:tc>
        <w:tc>
          <w:tcPr>
            <w:tcW w:w="6635" w:type="dxa"/>
            <w:noWrap w:val="0"/>
            <w:vAlign w:val="top"/>
          </w:tcPr>
          <w:p w14:paraId="60D430B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2BEF29D6">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0838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2AA45BE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60" w:type="dxa"/>
            <w:noWrap w:val="0"/>
            <w:vAlign w:val="center"/>
          </w:tcPr>
          <w:p w14:paraId="5E029EFE">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变频器</w:t>
            </w:r>
          </w:p>
        </w:tc>
        <w:tc>
          <w:tcPr>
            <w:tcW w:w="6635" w:type="dxa"/>
            <w:noWrap w:val="0"/>
            <w:vAlign w:val="top"/>
          </w:tcPr>
          <w:p w14:paraId="2EDA340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4E7BCBC2">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3BB4E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39510D1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60" w:type="dxa"/>
            <w:noWrap w:val="0"/>
            <w:vAlign w:val="center"/>
          </w:tcPr>
          <w:p w14:paraId="2FC76436">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HMI</w:t>
            </w:r>
          </w:p>
        </w:tc>
        <w:tc>
          <w:tcPr>
            <w:tcW w:w="6635" w:type="dxa"/>
            <w:noWrap w:val="0"/>
            <w:vAlign w:val="top"/>
          </w:tcPr>
          <w:p w14:paraId="6691D3BB">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3AB2AE5A">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2A2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49B71A6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60" w:type="dxa"/>
            <w:noWrap w:val="0"/>
            <w:vAlign w:val="center"/>
          </w:tcPr>
          <w:p w14:paraId="1DCD23E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w:t>
            </w:r>
          </w:p>
        </w:tc>
        <w:tc>
          <w:tcPr>
            <w:tcW w:w="6635" w:type="dxa"/>
            <w:noWrap w:val="0"/>
            <w:vAlign w:val="top"/>
          </w:tcPr>
          <w:p w14:paraId="3373559D">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3A20A6E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42E8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64288D0C">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560" w:type="dxa"/>
            <w:noWrap w:val="0"/>
            <w:vAlign w:val="center"/>
          </w:tcPr>
          <w:p w14:paraId="70FB84DF">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电线电缆</w:t>
            </w:r>
          </w:p>
        </w:tc>
        <w:tc>
          <w:tcPr>
            <w:tcW w:w="6635" w:type="dxa"/>
            <w:noWrap w:val="0"/>
            <w:vAlign w:val="top"/>
          </w:tcPr>
          <w:p w14:paraId="63467ECD">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符合国标要求</w:t>
            </w:r>
          </w:p>
        </w:tc>
        <w:tc>
          <w:tcPr>
            <w:tcW w:w="864" w:type="dxa"/>
            <w:noWrap w:val="0"/>
            <w:vAlign w:val="top"/>
          </w:tcPr>
          <w:p w14:paraId="6610D328">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6140D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75" w:type="dxa"/>
            <w:noWrap w:val="0"/>
            <w:vAlign w:val="center"/>
          </w:tcPr>
          <w:p w14:paraId="032C0639">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560" w:type="dxa"/>
            <w:noWrap w:val="0"/>
            <w:vAlign w:val="center"/>
          </w:tcPr>
          <w:p w14:paraId="59881492">
            <w:pPr>
              <w:keepNext w:val="0"/>
              <w:keepLines w:val="0"/>
              <w:pageBreakBefore w:val="0"/>
              <w:widowControl w:val="0"/>
              <w:kinsoku/>
              <w:overflowPunct/>
              <w:topLinePunct w:val="0"/>
              <w:bidi w:val="0"/>
              <w:snapToGrid w:val="0"/>
              <w:spacing w:beforeAutospacing="0" w:afterAutospacing="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整体要求</w:t>
            </w:r>
          </w:p>
        </w:tc>
        <w:tc>
          <w:tcPr>
            <w:tcW w:w="6635" w:type="dxa"/>
            <w:noWrap w:val="0"/>
            <w:vAlign w:val="top"/>
          </w:tcPr>
          <w:p w14:paraId="42597053">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系统稳定：设备运行各系统不可出现故障影响系统安全。</w:t>
            </w:r>
          </w:p>
          <w:p w14:paraId="507B2DDE">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安全性高：设备整体运行中会</w:t>
            </w:r>
            <w:r>
              <w:rPr>
                <w:rFonts w:hint="eastAsia" w:ascii="仿宋" w:hAnsi="仿宋" w:eastAsia="仿宋" w:cs="仿宋"/>
                <w:color w:val="auto"/>
                <w:sz w:val="24"/>
                <w:szCs w:val="24"/>
                <w:highlight w:val="none"/>
                <w:lang w:val="en-US" w:eastAsia="zh-CN"/>
              </w:rPr>
              <w:t>涉及</w:t>
            </w:r>
            <w:r>
              <w:rPr>
                <w:rFonts w:hint="eastAsia" w:ascii="仿宋" w:hAnsi="仿宋" w:eastAsia="仿宋" w:cs="仿宋"/>
                <w:color w:val="auto"/>
                <w:sz w:val="24"/>
                <w:szCs w:val="24"/>
                <w:highlight w:val="none"/>
              </w:rPr>
              <w:t>人员进出，所以设备必须要有很好的安全措施防止造成人员事故，电控必须要有多重安全保障连锁在里面，确保万无一失。</w:t>
            </w:r>
          </w:p>
          <w:p w14:paraId="19EF387F">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控制要求：根据系统和客户要求整体系统可以在上位机上控制，可以在上位机显示各个设备运行状态，系统数据，可通过上位机实现远程启停及参数设置。</w:t>
            </w:r>
          </w:p>
          <w:p w14:paraId="14969EB4">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云控制：客户可以在异地对整体系统的运行状态实时掌握，实现故障实时传送，以及实现在异地可以对设备进行控制，即云服务。</w:t>
            </w:r>
          </w:p>
        </w:tc>
        <w:tc>
          <w:tcPr>
            <w:tcW w:w="864" w:type="dxa"/>
            <w:noWrap w:val="0"/>
            <w:vAlign w:val="top"/>
          </w:tcPr>
          <w:p w14:paraId="17FA08D1">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p>
        </w:tc>
      </w:tr>
      <w:tr w14:paraId="07E0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734" w:type="dxa"/>
            <w:gridSpan w:val="4"/>
            <w:noWrap w:val="0"/>
            <w:vAlign w:val="center"/>
          </w:tcPr>
          <w:p w14:paraId="738B0D8C">
            <w:pPr>
              <w:keepNext w:val="0"/>
              <w:keepLines w:val="0"/>
              <w:pageBreakBefore w:val="0"/>
              <w:widowControl w:val="0"/>
              <w:kinsoku/>
              <w:overflowPunct/>
              <w:topLinePunct w:val="0"/>
              <w:bidi w:val="0"/>
              <w:snapToGrid w:val="0"/>
              <w:spacing w:beforeAutospacing="0" w:after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数量：电控柜2套（动力柜、系统柜各一）</w:t>
            </w:r>
          </w:p>
        </w:tc>
      </w:tr>
    </w:tbl>
    <w:p w14:paraId="269F4115">
      <w:pPr>
        <w:keepNext w:val="0"/>
        <w:keepLines w:val="0"/>
        <w:pageBreakBefore w:val="0"/>
        <w:widowControl w:val="0"/>
        <w:kinsoku/>
        <w:overflowPunct/>
        <w:topLinePunct w:val="0"/>
        <w:bidi w:val="0"/>
        <w:snapToGrid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3" w:name="_Toc27568"/>
      <w:bookmarkEnd w:id="73"/>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验货检测及验收达标检测。</w:t>
      </w:r>
    </w:p>
    <w:p w14:paraId="28858618">
      <w:pPr>
        <w:keepNext w:val="0"/>
        <w:keepLines w:val="0"/>
        <w:pageBreakBefore w:val="0"/>
        <w:widowControl w:val="0"/>
        <w:kinsoku/>
        <w:overflowPunct/>
        <w:topLinePunct w:val="0"/>
        <w:bidi w:val="0"/>
        <w:snapToGrid w:val="0"/>
        <w:spacing w:beforeAutospacing="0" w:afterAutospacing="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工程竣工验收时，必须经过</w:t>
      </w:r>
      <w:r>
        <w:rPr>
          <w:rFonts w:hint="eastAsia" w:ascii="仿宋" w:hAnsi="仿宋" w:eastAsia="仿宋" w:cs="仿宋"/>
          <w:color w:val="auto"/>
          <w:sz w:val="24"/>
          <w:szCs w:val="24"/>
          <w:highlight w:val="none"/>
          <w:u w:val="single"/>
          <w:lang w:eastAsia="zh-CN"/>
        </w:rPr>
        <w:t>采购人认可</w:t>
      </w:r>
      <w:r>
        <w:rPr>
          <w:rFonts w:hint="eastAsia" w:ascii="仿宋" w:hAnsi="仿宋" w:eastAsia="仿宋" w:cs="仿宋"/>
          <w:color w:val="auto"/>
          <w:sz w:val="24"/>
          <w:szCs w:val="24"/>
          <w:highlight w:val="none"/>
          <w:u w:val="single"/>
        </w:rPr>
        <w:t>的第三方权威机构进行检测并出具报告。</w:t>
      </w:r>
      <w:r>
        <w:rPr>
          <w:rFonts w:hint="eastAsia" w:ascii="仿宋" w:hAnsi="仿宋" w:eastAsia="仿宋" w:cs="仿宋"/>
          <w:b/>
          <w:bCs/>
          <w:color w:val="auto"/>
          <w:sz w:val="24"/>
          <w:szCs w:val="24"/>
          <w:highlight w:val="none"/>
        </w:rPr>
        <w:t>（所有检测费用均包含在本次报价中。）</w:t>
      </w:r>
    </w:p>
    <w:p w14:paraId="2665A032">
      <w:pPr>
        <w:keepNext w:val="0"/>
        <w:keepLines w:val="0"/>
        <w:pageBreakBefore w:val="0"/>
        <w:widowControl w:val="0"/>
        <w:kinsoku/>
        <w:overflowPunct/>
        <w:topLinePunct w:val="0"/>
        <w:bidi w:val="0"/>
        <w:snapToGrid w:val="0"/>
        <w:spacing w:beforeAutospacing="0" w:afterAutospacing="0" w:line="360" w:lineRule="auto"/>
        <w:ind w:firstLine="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报告包括以下3份：</w:t>
      </w:r>
    </w:p>
    <w:p w14:paraId="42D12D2F">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臭气厂界检测（转运站周边5米内）和有组织排放检测报告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满足国家标准及投标人相关承诺的要求；</w:t>
      </w:r>
    </w:p>
    <w:p w14:paraId="1A80DDC5">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2、植物液除臭剂检测报告：臭气去除效率报告，“小鼠急性口毒性试验、小鼠急性吸入毒性试验”检测无毒性报告。满足招标文件及投标人递交文件的要求；</w:t>
      </w:r>
    </w:p>
    <w:p w14:paraId="148024C3">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3、干式</w:t>
      </w:r>
      <w:r>
        <w:rPr>
          <w:rFonts w:hint="eastAsia" w:ascii="仿宋" w:hAnsi="仿宋" w:eastAsia="仿宋" w:cs="仿宋"/>
          <w:color w:val="auto"/>
          <w:sz w:val="24"/>
          <w:szCs w:val="24"/>
          <w:highlight w:val="none"/>
        </w:rPr>
        <w:t>化学滤料成分检测报告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eastAsia="zh-CN"/>
        </w:rPr>
        <w:t>成分</w:t>
      </w:r>
      <w:r>
        <w:rPr>
          <w:rFonts w:hint="eastAsia" w:ascii="仿宋" w:hAnsi="仿宋" w:eastAsia="仿宋" w:cs="仿宋"/>
          <w:color w:val="auto"/>
          <w:sz w:val="24"/>
          <w:szCs w:val="24"/>
          <w:highlight w:val="none"/>
          <w:lang w:val="en-US" w:eastAsia="zh-CN"/>
        </w:rPr>
        <w:t>氧化镁、高锰酸钾含量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臭气去除效率报告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并满足招标文件及投标人递交文件的要求</w:t>
      </w:r>
      <w:r>
        <w:rPr>
          <w:rFonts w:hint="eastAsia" w:ascii="仿宋" w:hAnsi="仿宋" w:eastAsia="仿宋" w:cs="仿宋"/>
          <w:color w:val="auto"/>
          <w:sz w:val="24"/>
          <w:szCs w:val="24"/>
          <w:highlight w:val="none"/>
          <w:lang w:eastAsia="zh-CN"/>
        </w:rPr>
        <w:t>。</w:t>
      </w:r>
    </w:p>
    <w:p w14:paraId="17867C08">
      <w:pPr>
        <w:pStyle w:val="994"/>
        <w:keepNext w:val="0"/>
        <w:keepLines w:val="0"/>
        <w:pageBreakBefore w:val="0"/>
        <w:widowControl w:val="0"/>
        <w:numPr>
          <w:ilvl w:val="0"/>
          <w:numId w:val="0"/>
        </w:numPr>
        <w:kinsoku/>
        <w:overflowPunct/>
        <w:topLinePunct w:val="0"/>
        <w:bidi w:val="0"/>
        <w:snapToGrid w:val="0"/>
        <w:spacing w:beforeAutospacing="0" w:afterAutospacing="0" w:line="360" w:lineRule="auto"/>
        <w:ind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注：以上检测报告均须在工程竣工验收时提供原件。</w:t>
      </w:r>
    </w:p>
    <w:p w14:paraId="65902A7F">
      <w:pPr>
        <w:keepNext w:val="0"/>
        <w:keepLines w:val="0"/>
        <w:pageBreakBefore w:val="0"/>
        <w:widowControl w:val="0"/>
        <w:kinsoku/>
        <w:overflowPunct/>
        <w:topLinePunct w:val="0"/>
        <w:bidi w:val="0"/>
        <w:snapToGrid w:val="0"/>
        <w:spacing w:beforeAutospacing="0" w:afterAutospacing="0" w:line="360" w:lineRule="auto"/>
        <w:ind w:firstLine="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验货时业主有权要求对提供过检测报告的部分材料或产品重新取样检测，如不符和招标要求业主有权中止合同并要求赔偿损失。（</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检测费用</w:t>
      </w:r>
      <w:r>
        <w:rPr>
          <w:rFonts w:hint="eastAsia" w:ascii="仿宋" w:hAnsi="仿宋" w:eastAsia="仿宋" w:cs="仿宋"/>
          <w:color w:val="auto"/>
          <w:sz w:val="24"/>
          <w:szCs w:val="24"/>
          <w:highlight w:val="none"/>
          <w:lang w:val="en-US" w:eastAsia="zh-CN"/>
        </w:rPr>
        <w:t>均</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承担）</w:t>
      </w:r>
    </w:p>
    <w:p w14:paraId="557826B9">
      <w:pPr>
        <w:keepNext w:val="0"/>
        <w:keepLines w:val="0"/>
        <w:pageBreakBefore w:val="0"/>
        <w:widowControl w:val="0"/>
        <w:kinsoku/>
        <w:overflowPunct/>
        <w:topLinePunct w:val="0"/>
        <w:bidi w:val="0"/>
        <w:snapToGrid w:val="0"/>
        <w:spacing w:beforeAutospacing="0" w:afterAutospacing="0" w:line="360" w:lineRule="auto"/>
        <w:outlineLvl w:val="1"/>
        <w:rPr>
          <w:rFonts w:hint="eastAsia" w:ascii="仿宋" w:hAnsi="仿宋" w:eastAsia="仿宋" w:cs="仿宋"/>
          <w:b/>
          <w:bCs/>
          <w:color w:val="auto"/>
          <w:sz w:val="24"/>
          <w:szCs w:val="24"/>
          <w:highlight w:val="none"/>
          <w:lang w:val="en-US" w:eastAsia="zh-CN"/>
        </w:rPr>
      </w:pPr>
      <w:bookmarkStart w:id="74" w:name="_Toc17730"/>
      <w:bookmarkEnd w:id="74"/>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商务需求及其他需求</w:t>
      </w:r>
    </w:p>
    <w:p w14:paraId="76E4B415">
      <w:pPr>
        <w:keepNext w:val="0"/>
        <w:keepLines w:val="0"/>
        <w:pageBreakBefore w:val="0"/>
        <w:widowControl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1、交付日期：</w:t>
      </w:r>
    </w:p>
    <w:p w14:paraId="78381FC3">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sz w:val="24"/>
          <w:szCs w:val="24"/>
          <w:highlight w:val="none"/>
        </w:rPr>
        <w:t>合同生效后，根据</w:t>
      </w:r>
      <w:r>
        <w:rPr>
          <w:rFonts w:hint="eastAsia" w:ascii="仿宋" w:hAnsi="仿宋" w:eastAsia="仿宋" w:cs="仿宋"/>
          <w:b w:val="0"/>
          <w:bCs w:val="0"/>
          <w:color w:val="auto"/>
          <w:sz w:val="24"/>
          <w:szCs w:val="24"/>
          <w:highlight w:val="none"/>
          <w:lang w:val="en-US" w:eastAsia="zh-CN"/>
        </w:rPr>
        <w:t>采购人要求</w:t>
      </w:r>
      <w:r>
        <w:rPr>
          <w:rFonts w:hint="eastAsia" w:ascii="仿宋" w:hAnsi="仿宋" w:eastAsia="仿宋" w:cs="仿宋"/>
          <w:b w:val="0"/>
          <w:bCs w:val="0"/>
          <w:color w:val="auto"/>
          <w:sz w:val="24"/>
          <w:szCs w:val="24"/>
          <w:highlight w:val="none"/>
        </w:rPr>
        <w:t>及时安排设备供货、预埋、安装、调试。由于</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未派驻工程师或跟踪协调不及时，造成整体项目进度拖延或未完成设备供货、预埋、安装、调试，给</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造成的损失，由</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承担一切责任费用。</w:t>
      </w:r>
    </w:p>
    <w:p w14:paraId="1C74BED9">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每完成一座</w:t>
      </w:r>
      <w:r>
        <w:rPr>
          <w:rFonts w:hint="eastAsia" w:ascii="仿宋" w:hAnsi="仿宋" w:eastAsia="仿宋" w:cs="仿宋"/>
          <w:b w:val="0"/>
          <w:bCs w:val="0"/>
          <w:color w:val="auto"/>
          <w:sz w:val="24"/>
          <w:szCs w:val="24"/>
          <w:highlight w:val="none"/>
          <w:lang w:eastAsia="zh-CN"/>
        </w:rPr>
        <w:t>垃圾分类中转站除臭设备</w:t>
      </w:r>
      <w:r>
        <w:rPr>
          <w:rFonts w:hint="eastAsia" w:ascii="仿宋" w:hAnsi="仿宋" w:eastAsia="仿宋" w:cs="仿宋"/>
          <w:b w:val="0"/>
          <w:bCs w:val="0"/>
          <w:color w:val="auto"/>
          <w:sz w:val="24"/>
          <w:szCs w:val="24"/>
          <w:highlight w:val="none"/>
        </w:rPr>
        <w:t>的供货、预埋、安装、调试，经</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组织人员通过验收后正式交付。</w:t>
      </w:r>
    </w:p>
    <w:p w14:paraId="1B24C703">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r>
        <w:rPr>
          <w:rFonts w:hint="eastAsia" w:ascii="仿宋" w:hAnsi="仿宋" w:eastAsia="仿宋" w:cs="仿宋"/>
          <w:b w:val="0"/>
          <w:bCs w:val="0"/>
          <w:color w:val="auto"/>
          <w:sz w:val="24"/>
          <w:szCs w:val="24"/>
          <w:highlight w:val="none"/>
          <w:lang w:eastAsia="zh-CN"/>
        </w:rPr>
        <w:t>中标人根据</w:t>
      </w:r>
      <w:r>
        <w:rPr>
          <w:rFonts w:hint="eastAsia" w:ascii="仿宋" w:hAnsi="仿宋" w:eastAsia="仿宋" w:cs="仿宋"/>
          <w:b w:val="0"/>
          <w:bCs w:val="0"/>
          <w:color w:val="auto"/>
          <w:sz w:val="24"/>
          <w:szCs w:val="24"/>
          <w:highlight w:val="none"/>
          <w:lang w:val="en-US" w:eastAsia="zh-CN"/>
        </w:rPr>
        <w:t>采购人要求</w:t>
      </w:r>
      <w:r>
        <w:rPr>
          <w:rFonts w:hint="eastAsia" w:ascii="仿宋" w:hAnsi="仿宋" w:eastAsia="仿宋" w:cs="仿宋"/>
          <w:b w:val="0"/>
          <w:bCs w:val="0"/>
          <w:color w:val="auto"/>
          <w:sz w:val="24"/>
          <w:szCs w:val="24"/>
          <w:highlight w:val="none"/>
        </w:rPr>
        <w:t>安排设备供货时间，</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对</w:t>
      </w: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的除臭设备随时安排人员进行中间验收。</w:t>
      </w:r>
    </w:p>
    <w:p w14:paraId="720ABBA5">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1.4交货地点：业主指定地点</w:t>
      </w:r>
    </w:p>
    <w:p w14:paraId="2B7174BC">
      <w:pPr>
        <w:keepNext w:val="0"/>
        <w:keepLines w:val="0"/>
        <w:pageBreakBefore w:val="0"/>
        <w:kinsoku/>
        <w:overflowPunct/>
        <w:topLinePunct w:val="0"/>
        <w:bidi w:val="0"/>
        <w:snapToGrid w:val="0"/>
        <w:spacing w:beforeAutospacing="0" w:afterAutospacing="0" w:line="360" w:lineRule="auto"/>
        <w:ind w:firstLine="600" w:firstLineChars="25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1.5图纸：中标人须在中标后7个工作日内提供图纸</w:t>
      </w:r>
    </w:p>
    <w:p w14:paraId="391E18A1">
      <w:pPr>
        <w:keepNext w:val="0"/>
        <w:keepLines w:val="0"/>
        <w:pageBreakBefore w:val="0"/>
        <w:widowControl w:val="0"/>
        <w:numPr>
          <w:ilvl w:val="0"/>
          <w:numId w:val="3"/>
        </w:numPr>
        <w:tabs>
          <w:tab w:val="left" w:pos="360"/>
        </w:tabs>
        <w:kinsoku/>
        <w:overflowPunct/>
        <w:topLinePunct w:val="0"/>
        <w:bidi w:val="0"/>
        <w:spacing w:beforeAutospacing="0" w:afterAutospacing="0" w:line="360" w:lineRule="auto"/>
        <w:ind w:leftChars="24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付款方式与结算</w:t>
      </w:r>
    </w:p>
    <w:p w14:paraId="477FB22A">
      <w:pPr>
        <w:keepNext w:val="0"/>
        <w:keepLines w:val="0"/>
        <w:pageBreakBefore w:val="0"/>
        <w:widowControl w:val="0"/>
        <w:numPr>
          <w:ilvl w:val="0"/>
          <w:numId w:val="0"/>
        </w:numPr>
        <w:tabs>
          <w:tab w:val="left" w:pos="360"/>
        </w:tabs>
        <w:kinsoku/>
        <w:overflowPunct/>
        <w:topLinePunct w:val="0"/>
        <w:bidi w:val="0"/>
        <w:spacing w:beforeAutospacing="0" w:afterAutospacing="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 乙方向甲方</w:t>
      </w:r>
      <w:r>
        <w:rPr>
          <w:rFonts w:hint="eastAsia" w:ascii="仿宋" w:hAnsi="仿宋" w:eastAsia="仿宋" w:cs="仿宋"/>
          <w:b w:val="0"/>
          <w:bCs/>
          <w:color w:val="auto"/>
          <w:sz w:val="24"/>
          <w:szCs w:val="24"/>
          <w:highlight w:val="none"/>
        </w:rPr>
        <w:t>提供合同金额的</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%作为履约保证金</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或履约保函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待完成所有</w:t>
      </w:r>
      <w:r>
        <w:rPr>
          <w:rFonts w:hint="eastAsia" w:ascii="仿宋" w:hAnsi="仿宋" w:eastAsia="仿宋" w:cs="仿宋"/>
          <w:b w:val="0"/>
          <w:bCs/>
          <w:color w:val="auto"/>
          <w:sz w:val="24"/>
          <w:szCs w:val="24"/>
          <w:highlight w:val="none"/>
          <w:lang w:eastAsia="zh-CN"/>
        </w:rPr>
        <w:t>垃圾分类中转站除臭设备</w:t>
      </w:r>
      <w:r>
        <w:rPr>
          <w:rFonts w:hint="eastAsia" w:ascii="仿宋" w:hAnsi="仿宋" w:eastAsia="仿宋" w:cs="仿宋"/>
          <w:b w:val="0"/>
          <w:bCs/>
          <w:color w:val="auto"/>
          <w:sz w:val="24"/>
          <w:szCs w:val="24"/>
          <w:highlight w:val="none"/>
        </w:rPr>
        <w:t>的预埋、安装、调试、验收合格后无息退还履约保证金</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或履约保函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w:t>
      </w:r>
    </w:p>
    <w:p w14:paraId="20C01835">
      <w:pPr>
        <w:keepNext w:val="0"/>
        <w:keepLines w:val="0"/>
        <w:pageBreakBefore w:val="0"/>
        <w:kinsoku/>
        <w:overflowPunct/>
        <w:topLinePunct w:val="0"/>
        <w:bidi w:val="0"/>
        <w:snapToGrid w:val="0"/>
        <w:spacing w:beforeAutospacing="0" w:afterAutospacing="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2.2 </w:t>
      </w:r>
      <w:r>
        <w:rPr>
          <w:rFonts w:hint="eastAsia" w:ascii="仿宋" w:hAnsi="仿宋" w:eastAsia="仿宋" w:cs="仿宋"/>
          <w:b w:val="0"/>
          <w:bCs/>
          <w:color w:val="auto"/>
          <w:kern w:val="0"/>
          <w:sz w:val="24"/>
          <w:szCs w:val="24"/>
          <w:highlight w:val="none"/>
        </w:rPr>
        <w:t>合同签订生效</w:t>
      </w:r>
      <w:r>
        <w:rPr>
          <w:rFonts w:hint="eastAsia" w:ascii="仿宋" w:hAnsi="仿宋" w:eastAsia="仿宋" w:cs="仿宋"/>
          <w:b w:val="0"/>
          <w:bCs/>
          <w:color w:val="auto"/>
          <w:kern w:val="0"/>
          <w:sz w:val="24"/>
          <w:szCs w:val="24"/>
          <w:highlight w:val="none"/>
          <w:lang w:val="en-US" w:eastAsia="zh-CN"/>
        </w:rPr>
        <w:t>后</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sz w:val="24"/>
          <w:szCs w:val="24"/>
          <w:highlight w:val="none"/>
          <w:lang w:eastAsia="zh-CN"/>
        </w:rPr>
        <w:t>垃圾分类中转站除臭设备</w:t>
      </w:r>
      <w:r>
        <w:rPr>
          <w:rFonts w:hint="eastAsia" w:ascii="仿宋" w:hAnsi="仿宋" w:eastAsia="仿宋" w:cs="仿宋"/>
          <w:b w:val="0"/>
          <w:bCs/>
          <w:color w:val="auto"/>
          <w:sz w:val="24"/>
          <w:szCs w:val="24"/>
          <w:highlight w:val="none"/>
        </w:rPr>
        <w:t>（套）</w:t>
      </w:r>
      <w:r>
        <w:rPr>
          <w:rFonts w:hint="eastAsia" w:ascii="仿宋" w:hAnsi="仿宋" w:eastAsia="仿宋" w:cs="仿宋"/>
          <w:b w:val="0"/>
          <w:bCs/>
          <w:color w:val="auto"/>
          <w:kern w:val="0"/>
          <w:sz w:val="24"/>
          <w:szCs w:val="24"/>
          <w:highlight w:val="none"/>
        </w:rPr>
        <w:t>具备实施条件</w:t>
      </w:r>
      <w:r>
        <w:rPr>
          <w:rFonts w:hint="eastAsia" w:ascii="仿宋" w:hAnsi="仿宋" w:eastAsia="仿宋" w:cs="仿宋"/>
          <w:b w:val="0"/>
          <w:bCs/>
          <w:color w:val="auto"/>
          <w:kern w:val="0"/>
          <w:sz w:val="24"/>
          <w:szCs w:val="24"/>
          <w:highlight w:val="none"/>
          <w:lang w:val="en-US" w:eastAsia="zh-CN"/>
        </w:rPr>
        <w:t>收到发票</w:t>
      </w:r>
      <w:r>
        <w:rPr>
          <w:rFonts w:hint="eastAsia" w:ascii="仿宋" w:hAnsi="仿宋" w:eastAsia="仿宋" w:cs="仿宋"/>
          <w:b w:val="0"/>
          <w:bCs/>
          <w:color w:val="auto"/>
          <w:kern w:val="0"/>
          <w:sz w:val="24"/>
          <w:szCs w:val="24"/>
          <w:highlight w:val="none"/>
        </w:rPr>
        <w:t>后</w:t>
      </w:r>
      <w:r>
        <w:rPr>
          <w:rFonts w:hint="eastAsia" w:ascii="仿宋" w:hAnsi="仿宋" w:eastAsia="仿宋" w:cs="仿宋"/>
          <w:b w:val="0"/>
          <w:bCs/>
          <w:color w:val="auto"/>
          <w:kern w:val="0"/>
          <w:sz w:val="24"/>
          <w:szCs w:val="24"/>
          <w:highlight w:val="none"/>
          <w:lang w:val="en-US" w:eastAsia="zh-CN"/>
        </w:rPr>
        <w:t>7个工作日内</w:t>
      </w:r>
      <w:r>
        <w:rPr>
          <w:rFonts w:hint="eastAsia" w:ascii="仿宋" w:hAnsi="仿宋" w:eastAsia="仿宋" w:cs="仿宋"/>
          <w:b w:val="0"/>
          <w:bCs/>
          <w:color w:val="auto"/>
          <w:kern w:val="0"/>
          <w:sz w:val="24"/>
          <w:szCs w:val="24"/>
          <w:highlight w:val="none"/>
        </w:rPr>
        <w:t>，甲方向乙方支付</w:t>
      </w:r>
      <w:r>
        <w:rPr>
          <w:rFonts w:hint="eastAsia" w:ascii="仿宋" w:hAnsi="仿宋" w:eastAsia="仿宋" w:cs="仿宋"/>
          <w:b w:val="0"/>
          <w:bCs/>
          <w:color w:val="auto"/>
          <w:kern w:val="0"/>
          <w:sz w:val="24"/>
          <w:szCs w:val="24"/>
          <w:highlight w:val="none"/>
          <w:lang w:eastAsia="zh-CN"/>
        </w:rPr>
        <w:t>垃圾分类中转站除臭设备</w:t>
      </w:r>
      <w:r>
        <w:rPr>
          <w:rFonts w:hint="eastAsia" w:ascii="仿宋" w:hAnsi="仿宋" w:eastAsia="仿宋" w:cs="仿宋"/>
          <w:b w:val="0"/>
          <w:bCs/>
          <w:color w:val="auto"/>
          <w:kern w:val="0"/>
          <w:sz w:val="24"/>
          <w:szCs w:val="24"/>
          <w:highlight w:val="none"/>
        </w:rPr>
        <w:t>（套）总额40%的预付款</w:t>
      </w:r>
      <w:r>
        <w:rPr>
          <w:rFonts w:hint="eastAsia" w:ascii="仿宋" w:hAnsi="仿宋" w:eastAsia="仿宋" w:cs="仿宋"/>
          <w:b w:val="0"/>
          <w:bCs/>
          <w:color w:val="auto"/>
          <w:kern w:val="0"/>
          <w:sz w:val="24"/>
          <w:szCs w:val="24"/>
          <w:highlight w:val="none"/>
          <w:lang w:eastAsia="zh-CN"/>
        </w:rPr>
        <w:t>。</w:t>
      </w:r>
    </w:p>
    <w:p w14:paraId="3E67378B">
      <w:pPr>
        <w:keepNext w:val="0"/>
        <w:keepLines w:val="0"/>
        <w:pageBreakBefore w:val="0"/>
        <w:kinsoku/>
        <w:overflowPunct/>
        <w:topLinePunct w:val="0"/>
        <w:bidi w:val="0"/>
        <w:snapToGrid w:val="0"/>
        <w:spacing w:beforeAutospacing="0" w:afterAutospacing="0"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2.3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提供设备预埋安装图纸</w:t>
      </w:r>
      <w:r>
        <w:rPr>
          <w:rFonts w:hint="eastAsia" w:ascii="仿宋" w:hAnsi="仿宋" w:eastAsia="仿宋" w:cs="仿宋"/>
          <w:b w:val="0"/>
          <w:bCs/>
          <w:color w:val="auto"/>
          <w:sz w:val="24"/>
          <w:szCs w:val="24"/>
          <w:highlight w:val="none"/>
          <w:lang w:val="en-US" w:eastAsia="zh-CN"/>
        </w:rPr>
        <w:t>后</w:t>
      </w:r>
      <w:r>
        <w:rPr>
          <w:rFonts w:hint="eastAsia" w:ascii="仿宋" w:hAnsi="仿宋" w:eastAsia="仿宋" w:cs="仿宋"/>
          <w:b w:val="0"/>
          <w:bCs/>
          <w:color w:val="auto"/>
          <w:sz w:val="24"/>
          <w:szCs w:val="24"/>
          <w:highlight w:val="none"/>
        </w:rPr>
        <w:t>，完成</w:t>
      </w:r>
      <w:r>
        <w:rPr>
          <w:rFonts w:hint="eastAsia" w:ascii="仿宋" w:hAnsi="仿宋" w:eastAsia="仿宋" w:cs="仿宋"/>
          <w:b w:val="0"/>
          <w:bCs/>
          <w:color w:val="auto"/>
          <w:sz w:val="24"/>
          <w:szCs w:val="24"/>
          <w:highlight w:val="none"/>
          <w:lang w:eastAsia="zh-CN"/>
        </w:rPr>
        <w:t>垃圾分类中转站除臭设备</w:t>
      </w:r>
      <w:r>
        <w:rPr>
          <w:rFonts w:hint="eastAsia" w:ascii="仿宋" w:hAnsi="仿宋" w:eastAsia="仿宋" w:cs="仿宋"/>
          <w:b w:val="0"/>
          <w:bCs/>
          <w:color w:val="auto"/>
          <w:sz w:val="24"/>
          <w:szCs w:val="24"/>
          <w:highlight w:val="none"/>
        </w:rPr>
        <w:t>（套）的预埋、安装、调试、验收合格并经</w:t>
      </w:r>
      <w:r>
        <w:rPr>
          <w:rFonts w:hint="eastAsia" w:ascii="仿宋" w:hAnsi="仿宋" w:eastAsia="仿宋" w:cs="仿宋"/>
          <w:b w:val="0"/>
          <w:bCs/>
          <w:color w:val="auto"/>
          <w:sz w:val="24"/>
          <w:szCs w:val="24"/>
          <w:highlight w:val="none"/>
          <w:lang w:eastAsia="zh-CN"/>
        </w:rPr>
        <w:t>采购人认可</w:t>
      </w:r>
      <w:r>
        <w:rPr>
          <w:rFonts w:hint="eastAsia" w:ascii="仿宋" w:hAnsi="仿宋" w:eastAsia="仿宋" w:cs="仿宋"/>
          <w:b w:val="0"/>
          <w:bCs/>
          <w:color w:val="auto"/>
          <w:sz w:val="24"/>
          <w:szCs w:val="24"/>
          <w:highlight w:val="none"/>
        </w:rPr>
        <w:t>权威机构检测达到要求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收到发票</w:t>
      </w:r>
      <w:r>
        <w:rPr>
          <w:rFonts w:hint="eastAsia" w:ascii="仿宋" w:hAnsi="仿宋" w:eastAsia="仿宋" w:cs="仿宋"/>
          <w:b w:val="0"/>
          <w:bCs/>
          <w:color w:val="auto"/>
          <w:sz w:val="24"/>
          <w:szCs w:val="24"/>
          <w:highlight w:val="none"/>
        </w:rPr>
        <w:t>后7个工作日内，</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w:t>
      </w:r>
      <w:r>
        <w:rPr>
          <w:rFonts w:hint="eastAsia" w:ascii="仿宋" w:hAnsi="仿宋" w:eastAsia="仿宋" w:cs="仿宋"/>
          <w:b w:val="0"/>
          <w:bCs/>
          <w:color w:val="auto"/>
          <w:sz w:val="24"/>
          <w:szCs w:val="24"/>
          <w:highlight w:val="none"/>
          <w:lang w:val="en-US" w:eastAsia="zh-CN"/>
        </w:rPr>
        <w:t>至</w:t>
      </w:r>
      <w:r>
        <w:rPr>
          <w:rFonts w:hint="eastAsia" w:ascii="仿宋" w:hAnsi="仿宋" w:eastAsia="仿宋" w:cs="仿宋"/>
          <w:b w:val="0"/>
          <w:bCs/>
          <w:color w:val="auto"/>
          <w:sz w:val="24"/>
          <w:szCs w:val="24"/>
          <w:highlight w:val="none"/>
          <w:lang w:eastAsia="zh-CN"/>
        </w:rPr>
        <w:t>垃圾分类中转站</w:t>
      </w:r>
      <w:r>
        <w:rPr>
          <w:rFonts w:hint="eastAsia" w:ascii="仿宋" w:hAnsi="仿宋" w:eastAsia="仿宋" w:cs="仿宋"/>
          <w:b w:val="0"/>
          <w:bCs/>
          <w:color w:val="auto"/>
          <w:sz w:val="24"/>
          <w:szCs w:val="24"/>
          <w:highlight w:val="none"/>
          <w:lang w:val="en-US" w:eastAsia="zh-CN"/>
        </w:rPr>
        <w:t>除臭</w:t>
      </w:r>
      <w:r>
        <w:rPr>
          <w:rFonts w:hint="eastAsia" w:ascii="仿宋" w:hAnsi="仿宋" w:eastAsia="仿宋" w:cs="仿宋"/>
          <w:b w:val="0"/>
          <w:bCs/>
          <w:color w:val="auto"/>
          <w:sz w:val="24"/>
          <w:szCs w:val="24"/>
          <w:highlight w:val="none"/>
        </w:rPr>
        <w:t>设备（套）的</w:t>
      </w:r>
      <w:r>
        <w:rPr>
          <w:rFonts w:hint="eastAsia" w:ascii="仿宋" w:hAnsi="仿宋" w:eastAsia="仿宋" w:cs="仿宋"/>
          <w:b w:val="0"/>
          <w:bCs/>
          <w:color w:val="auto"/>
          <w:sz w:val="24"/>
          <w:szCs w:val="24"/>
          <w:highlight w:val="none"/>
          <w:lang w:val="en-US" w:eastAsia="zh-CN"/>
        </w:rPr>
        <w:t>100%</w:t>
      </w:r>
      <w:r>
        <w:rPr>
          <w:rFonts w:hint="eastAsia" w:ascii="仿宋" w:hAnsi="仿宋" w:eastAsia="仿宋" w:cs="仿宋"/>
          <w:b w:val="0"/>
          <w:bCs/>
          <w:color w:val="auto"/>
          <w:sz w:val="24"/>
          <w:szCs w:val="24"/>
          <w:highlight w:val="none"/>
        </w:rPr>
        <w:t>货款（</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必须开具</w:t>
      </w:r>
      <w:r>
        <w:rPr>
          <w:rFonts w:hint="eastAsia" w:ascii="仿宋" w:hAnsi="仿宋" w:eastAsia="仿宋" w:cs="仿宋"/>
          <w:b w:val="0"/>
          <w:bCs/>
          <w:color w:val="auto"/>
          <w:sz w:val="24"/>
          <w:szCs w:val="24"/>
          <w:highlight w:val="none"/>
          <w:lang w:val="en-US" w:eastAsia="zh-CN"/>
        </w:rPr>
        <w:t>所付</w:t>
      </w:r>
      <w:r>
        <w:rPr>
          <w:rFonts w:hint="eastAsia" w:ascii="仿宋" w:hAnsi="仿宋" w:eastAsia="仿宋" w:cs="仿宋"/>
          <w:b w:val="0"/>
          <w:bCs/>
          <w:color w:val="auto"/>
          <w:sz w:val="24"/>
          <w:szCs w:val="24"/>
          <w:highlight w:val="none"/>
        </w:rPr>
        <w:t>金额100%的正式税务发票）</w:t>
      </w:r>
      <w:r>
        <w:rPr>
          <w:rFonts w:hint="eastAsia" w:ascii="仿宋" w:hAnsi="仿宋" w:eastAsia="仿宋" w:cs="仿宋"/>
          <w:b w:val="0"/>
          <w:bCs/>
          <w:color w:val="auto"/>
          <w:sz w:val="24"/>
          <w:szCs w:val="24"/>
          <w:highlight w:val="none"/>
          <w:lang w:eastAsia="zh-CN"/>
        </w:rPr>
        <w:t>。</w:t>
      </w:r>
    </w:p>
    <w:p w14:paraId="3DDC7762">
      <w:pPr>
        <w:keepNext w:val="0"/>
        <w:keepLines w:val="0"/>
        <w:pageBreakBefore w:val="0"/>
        <w:widowControl w:val="0"/>
        <w:tabs>
          <w:tab w:val="left" w:pos="360"/>
        </w:tabs>
        <w:kinsoku/>
        <w:overflowPunct/>
        <w:topLinePunct w:val="0"/>
        <w:bidi w:val="0"/>
        <w:spacing w:beforeAutospacing="0" w:afterAutospacing="0" w:line="360" w:lineRule="auto"/>
        <w:ind w:firstLine="600" w:firstLineChars="2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3、本项目的质量保证期为自货物通过最终验收，向采购人移交之日起 1年（12个月）（设备另有超过质保期规定或招标文件另有规定的按就高原则执行），在保修期内所产生的相关费用由中标人承担，在此期间，因产品制造质量不良而产生损坏或不能正常工作，投标人应免费维修和正常保养。</w:t>
      </w:r>
    </w:p>
    <w:p w14:paraId="3E8FD5FD">
      <w:pPr>
        <w:keepNext w:val="0"/>
        <w:keepLines w:val="0"/>
        <w:pageBreakBefore w:val="0"/>
        <w:widowControl w:val="0"/>
        <w:tabs>
          <w:tab w:val="left" w:pos="360"/>
        </w:tabs>
        <w:kinsoku/>
        <w:overflowPunct/>
        <w:topLinePunct w:val="0"/>
        <w:bidi w:val="0"/>
        <w:spacing w:beforeAutospacing="0" w:afterAutospacing="0" w:line="360" w:lineRule="auto"/>
        <w:ind w:firstLine="600" w:firstLineChars="25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中标人所投产品不得为贴牌产品。采购人有权在负压收集处理系统、植物液综合处理系统、离子新风系统、中央控制系统的生产节点组织技术、纪检等部门人员参与进行过程检验。在检验或验收过程中如发现不是在本企业生产、不符合招标文件要求、和投标文件不一致等弄虚作假行为，将承担相关法律责任。</w:t>
      </w:r>
    </w:p>
    <w:bookmarkEnd w:id="68"/>
    <w:bookmarkEnd w:id="70"/>
    <w:p w14:paraId="46486801">
      <w:pPr>
        <w:tabs>
          <w:tab w:val="left" w:pos="720"/>
        </w:tabs>
        <w:spacing w:line="360" w:lineRule="auto"/>
        <w:ind w:firstLine="723" w:firstLineChars="200"/>
        <w:rPr>
          <w:rFonts w:hint="default" w:ascii="仿宋" w:hAnsi="仿宋" w:eastAsia="仿宋" w:cs="仿宋"/>
          <w:color w:val="auto"/>
          <w:sz w:val="22"/>
          <w:szCs w:val="22"/>
          <w:highlight w:val="none"/>
          <w:lang w:val="en-US" w:eastAsia="zh-CN"/>
        </w:rPr>
      </w:pPr>
      <w:bookmarkStart w:id="75" w:name="_Toc24805"/>
      <w:r>
        <w:rPr>
          <w:rFonts w:hint="eastAsia" w:ascii="仿宋" w:hAnsi="仿宋" w:eastAsia="仿宋" w:cs="仿宋"/>
          <w:b/>
          <w:color w:val="auto"/>
          <w:sz w:val="36"/>
          <w:szCs w:val="36"/>
          <w:highlight w:val="none"/>
        </w:rPr>
        <w:br w:type="page"/>
      </w:r>
    </w:p>
    <w:p w14:paraId="0B00C133">
      <w:pPr>
        <w:rPr>
          <w:rFonts w:hint="eastAsia" w:ascii="仿宋" w:hAnsi="仿宋" w:eastAsia="仿宋" w:cs="仿宋"/>
          <w:b/>
          <w:color w:val="auto"/>
          <w:sz w:val="36"/>
          <w:szCs w:val="36"/>
          <w:highlight w:val="none"/>
        </w:rPr>
      </w:pPr>
    </w:p>
    <w:p w14:paraId="3366D481">
      <w:pPr>
        <w:snapToGrid w:val="0"/>
        <w:spacing w:beforeLines="150" w:afterLines="5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bookmarkEnd w:id="75"/>
    </w:p>
    <w:p w14:paraId="5351718A">
      <w:pPr>
        <w:spacing w:line="360" w:lineRule="auto"/>
        <w:ind w:firstLine="480" w:firstLineChars="200"/>
        <w:rPr>
          <w:rFonts w:hint="eastAsia" w:ascii="仿宋" w:hAnsi="仿宋" w:eastAsia="仿宋" w:cs="仿宋"/>
          <w:b/>
          <w:color w:val="auto"/>
          <w:sz w:val="24"/>
          <w:szCs w:val="24"/>
          <w:highlight w:val="none"/>
        </w:rPr>
      </w:pPr>
      <w:bookmarkStart w:id="76" w:name="_Toc495862902"/>
      <w:r>
        <w:rPr>
          <w:rFonts w:hint="eastAsia" w:ascii="仿宋" w:hAnsi="仿宋" w:eastAsia="仿宋" w:cs="仿宋"/>
          <w:color w:val="auto"/>
          <w:sz w:val="24"/>
          <w:szCs w:val="24"/>
          <w:highlight w:val="none"/>
        </w:rPr>
        <w:t>说明：如甲、乙双方同意，合同格式也可以按照其他形式。但合同条款的基本内容应与《中标合同》要求的内容相一致。</w:t>
      </w:r>
    </w:p>
    <w:bookmarkEnd w:id="76"/>
    <w:p w14:paraId="53CDCDD9">
      <w:pPr>
        <w:spacing w:line="360" w:lineRule="auto"/>
        <w:ind w:left="442"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b/>
          <w:color w:val="auto"/>
          <w:sz w:val="24"/>
          <w:szCs w:val="24"/>
          <w:highlight w:val="none"/>
          <w:u w:val="single"/>
        </w:rPr>
        <w:t>本次合同由</w:t>
      </w:r>
      <w:r>
        <w:rPr>
          <w:rFonts w:hint="eastAsia" w:ascii="仿宋" w:hAnsi="仿宋" w:eastAsia="仿宋" w:cs="仿宋"/>
          <w:b/>
          <w:color w:val="auto"/>
          <w:sz w:val="24"/>
          <w:szCs w:val="24"/>
          <w:highlight w:val="none"/>
          <w:u w:val="single"/>
          <w:lang w:eastAsia="zh-CN"/>
        </w:rPr>
        <w:t>温州市鹿城区旅游和体育事业发展中心</w:t>
      </w:r>
      <w:r>
        <w:rPr>
          <w:rFonts w:hint="eastAsia" w:ascii="仿宋" w:hAnsi="仿宋" w:eastAsia="仿宋" w:cs="仿宋"/>
          <w:b/>
          <w:color w:val="auto"/>
          <w:sz w:val="24"/>
          <w:szCs w:val="24"/>
          <w:highlight w:val="none"/>
          <w:u w:val="single"/>
        </w:rPr>
        <w:t>与中标供应商签定。</w:t>
      </w:r>
      <w:r>
        <w:rPr>
          <w:rFonts w:hint="eastAsia" w:ascii="仿宋" w:hAnsi="仿宋" w:eastAsia="仿宋" w:cs="仿宋"/>
          <w:color w:val="auto"/>
          <w:sz w:val="24"/>
          <w:szCs w:val="24"/>
          <w:highlight w:val="none"/>
        </w:rPr>
        <w:t>如甲、乙双方同意，合同格式也可以按照其他形式。但合同条款的基本内容应与《中标合同》要求的内容相一致。</w:t>
      </w:r>
    </w:p>
    <w:p w14:paraId="018B60D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p>
    <w:p w14:paraId="3BBBD1D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（中标供应商）</w:t>
      </w:r>
    </w:p>
    <w:p w14:paraId="306FB55D">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温州市鹿城区旅游和体育事业发展中心</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（项目名称、编号）在国内以</w:t>
      </w:r>
      <w:r>
        <w:rPr>
          <w:rFonts w:hint="eastAsia" w:ascii="仿宋" w:hAnsi="仿宋" w:eastAsia="仿宋" w:cs="仿宋"/>
          <w:bCs/>
          <w:color w:val="auto"/>
          <w:sz w:val="24"/>
          <w:szCs w:val="24"/>
          <w:highlight w:val="none"/>
          <w:u w:val="single"/>
        </w:rPr>
        <w:t>公开招标</w:t>
      </w:r>
      <w:r>
        <w:rPr>
          <w:rFonts w:hint="eastAsia" w:ascii="仿宋" w:hAnsi="仿宋" w:eastAsia="仿宋" w:cs="仿宋"/>
          <w:bCs/>
          <w:color w:val="auto"/>
          <w:sz w:val="24"/>
          <w:szCs w:val="24"/>
          <w:highlight w:val="none"/>
        </w:rPr>
        <w:t>方式进行采购，经评标委员会评定</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（中标供应商名称）为中标供应商。双方本着诚信及互利互惠的原则，同意按照下面条款和条件，签署本合同。</w:t>
      </w:r>
    </w:p>
    <w:p w14:paraId="7C4CDE4A">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一、本合同签订依据</w:t>
      </w:r>
    </w:p>
    <w:p w14:paraId="742FEC41">
      <w:pPr>
        <w:spacing w:line="360" w:lineRule="auto"/>
        <w:ind w:firstLine="588" w:firstLineChars="24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《中华人民共和国民法典》</w:t>
      </w:r>
      <w:r>
        <w:rPr>
          <w:rFonts w:hint="eastAsia" w:ascii="仿宋" w:hAnsi="仿宋" w:eastAsia="仿宋" w:cs="仿宋"/>
          <w:bCs/>
          <w:color w:val="auto"/>
          <w:sz w:val="24"/>
          <w:szCs w:val="24"/>
          <w:highlight w:val="none"/>
          <w:lang w:eastAsia="zh-CN"/>
        </w:rPr>
        <w:t>、《中华人民共和国政府采购法》</w:t>
      </w:r>
    </w:p>
    <w:p w14:paraId="783CA34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二、合同文件的优先次序</w:t>
      </w:r>
    </w:p>
    <w:p w14:paraId="1265F97E">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合同文件如存在歧义或不一致则根据以下优先次序来判断：</w:t>
      </w:r>
    </w:p>
    <w:p w14:paraId="69C2D671">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1、合同书及合同补充条款或说明 </w:t>
      </w:r>
    </w:p>
    <w:p w14:paraId="70C68850">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2、中标（成交）通知书</w:t>
      </w:r>
    </w:p>
    <w:p w14:paraId="1711C314">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3、承诺书（含询标记录和优惠条款）</w:t>
      </w:r>
    </w:p>
    <w:p w14:paraId="24849471">
      <w:pPr>
        <w:spacing w:line="360" w:lineRule="auto"/>
        <w:ind w:firstLine="588" w:firstLineChars="24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招标文件</w:t>
      </w:r>
    </w:p>
    <w:p w14:paraId="69216D70">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5、投标文件</w:t>
      </w:r>
    </w:p>
    <w:p w14:paraId="58BAACA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三、采购内容</w:t>
      </w:r>
    </w:p>
    <w:p w14:paraId="44F43D5A">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1、产品名称、规格及数量</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894"/>
        <w:gridCol w:w="1065"/>
        <w:gridCol w:w="765"/>
        <w:gridCol w:w="681"/>
        <w:gridCol w:w="941"/>
        <w:gridCol w:w="1132"/>
        <w:gridCol w:w="1486"/>
      </w:tblGrid>
      <w:tr w14:paraId="6355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14:paraId="4435E45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noWrap w:val="0"/>
            <w:vAlign w:val="top"/>
          </w:tcPr>
          <w:p w14:paraId="14AB66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894" w:type="dxa"/>
            <w:noWrap w:val="0"/>
            <w:vAlign w:val="top"/>
          </w:tcPr>
          <w:p w14:paraId="11C0114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065" w:type="dxa"/>
            <w:noWrap w:val="0"/>
            <w:vAlign w:val="top"/>
          </w:tcPr>
          <w:p w14:paraId="165113A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765" w:type="dxa"/>
            <w:noWrap w:val="0"/>
            <w:vAlign w:val="top"/>
          </w:tcPr>
          <w:p w14:paraId="26D2D5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1" w:type="dxa"/>
            <w:noWrap w:val="0"/>
            <w:vAlign w:val="top"/>
          </w:tcPr>
          <w:p w14:paraId="44FF81B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941" w:type="dxa"/>
            <w:noWrap w:val="0"/>
            <w:vAlign w:val="top"/>
          </w:tcPr>
          <w:p w14:paraId="5322AC8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1132" w:type="dxa"/>
            <w:noWrap w:val="0"/>
            <w:vAlign w:val="top"/>
          </w:tcPr>
          <w:p w14:paraId="5347E6C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交货周期</w:t>
            </w:r>
          </w:p>
        </w:tc>
        <w:tc>
          <w:tcPr>
            <w:tcW w:w="1486" w:type="dxa"/>
            <w:noWrap w:val="0"/>
            <w:vAlign w:val="top"/>
          </w:tcPr>
          <w:p w14:paraId="30A072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ADF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14:paraId="23336EFF">
            <w:pPr>
              <w:spacing w:line="360" w:lineRule="auto"/>
              <w:rPr>
                <w:rFonts w:hint="eastAsia" w:ascii="仿宋" w:hAnsi="仿宋" w:eastAsia="仿宋" w:cs="仿宋"/>
                <w:color w:val="auto"/>
                <w:sz w:val="24"/>
                <w:szCs w:val="24"/>
                <w:highlight w:val="none"/>
              </w:rPr>
            </w:pPr>
          </w:p>
        </w:tc>
        <w:tc>
          <w:tcPr>
            <w:tcW w:w="1418" w:type="dxa"/>
            <w:noWrap w:val="0"/>
            <w:vAlign w:val="top"/>
          </w:tcPr>
          <w:p w14:paraId="1C10569A">
            <w:pPr>
              <w:spacing w:line="360" w:lineRule="auto"/>
              <w:rPr>
                <w:rFonts w:hint="eastAsia" w:ascii="仿宋" w:hAnsi="仿宋" w:eastAsia="仿宋" w:cs="仿宋"/>
                <w:color w:val="auto"/>
                <w:sz w:val="24"/>
                <w:szCs w:val="24"/>
                <w:highlight w:val="none"/>
              </w:rPr>
            </w:pPr>
          </w:p>
        </w:tc>
        <w:tc>
          <w:tcPr>
            <w:tcW w:w="894" w:type="dxa"/>
            <w:noWrap w:val="0"/>
            <w:vAlign w:val="top"/>
          </w:tcPr>
          <w:p w14:paraId="56836D17">
            <w:pPr>
              <w:spacing w:line="360" w:lineRule="auto"/>
              <w:rPr>
                <w:rFonts w:hint="eastAsia" w:ascii="仿宋" w:hAnsi="仿宋" w:eastAsia="仿宋" w:cs="仿宋"/>
                <w:color w:val="auto"/>
                <w:sz w:val="24"/>
                <w:szCs w:val="24"/>
                <w:highlight w:val="none"/>
              </w:rPr>
            </w:pPr>
          </w:p>
        </w:tc>
        <w:tc>
          <w:tcPr>
            <w:tcW w:w="1065" w:type="dxa"/>
            <w:noWrap w:val="0"/>
            <w:vAlign w:val="top"/>
          </w:tcPr>
          <w:p w14:paraId="7BC5B866">
            <w:pPr>
              <w:spacing w:line="360" w:lineRule="auto"/>
              <w:rPr>
                <w:rFonts w:hint="eastAsia" w:ascii="仿宋" w:hAnsi="仿宋" w:eastAsia="仿宋" w:cs="仿宋"/>
                <w:color w:val="auto"/>
                <w:sz w:val="24"/>
                <w:szCs w:val="24"/>
                <w:highlight w:val="none"/>
              </w:rPr>
            </w:pPr>
          </w:p>
        </w:tc>
        <w:tc>
          <w:tcPr>
            <w:tcW w:w="765" w:type="dxa"/>
            <w:noWrap w:val="0"/>
            <w:vAlign w:val="top"/>
          </w:tcPr>
          <w:p w14:paraId="4D7B01A6">
            <w:pPr>
              <w:spacing w:line="360" w:lineRule="auto"/>
              <w:rPr>
                <w:rFonts w:hint="eastAsia" w:ascii="仿宋" w:hAnsi="仿宋" w:eastAsia="仿宋" w:cs="仿宋"/>
                <w:color w:val="auto"/>
                <w:sz w:val="24"/>
                <w:szCs w:val="24"/>
                <w:highlight w:val="none"/>
              </w:rPr>
            </w:pPr>
          </w:p>
        </w:tc>
        <w:tc>
          <w:tcPr>
            <w:tcW w:w="681" w:type="dxa"/>
            <w:noWrap w:val="0"/>
            <w:vAlign w:val="top"/>
          </w:tcPr>
          <w:p w14:paraId="5BA7FE94">
            <w:pPr>
              <w:spacing w:line="360" w:lineRule="auto"/>
              <w:rPr>
                <w:rFonts w:hint="eastAsia" w:ascii="仿宋" w:hAnsi="仿宋" w:eastAsia="仿宋" w:cs="仿宋"/>
                <w:color w:val="auto"/>
                <w:sz w:val="24"/>
                <w:szCs w:val="24"/>
                <w:highlight w:val="none"/>
              </w:rPr>
            </w:pPr>
          </w:p>
        </w:tc>
        <w:tc>
          <w:tcPr>
            <w:tcW w:w="941" w:type="dxa"/>
            <w:noWrap w:val="0"/>
            <w:vAlign w:val="top"/>
          </w:tcPr>
          <w:p w14:paraId="057636C9">
            <w:pPr>
              <w:spacing w:line="360" w:lineRule="auto"/>
              <w:rPr>
                <w:rFonts w:hint="eastAsia" w:ascii="仿宋" w:hAnsi="仿宋" w:eastAsia="仿宋" w:cs="仿宋"/>
                <w:color w:val="auto"/>
                <w:sz w:val="24"/>
                <w:szCs w:val="24"/>
                <w:highlight w:val="none"/>
              </w:rPr>
            </w:pPr>
          </w:p>
        </w:tc>
        <w:tc>
          <w:tcPr>
            <w:tcW w:w="1132" w:type="dxa"/>
            <w:noWrap w:val="0"/>
            <w:vAlign w:val="top"/>
          </w:tcPr>
          <w:p w14:paraId="6650DA52">
            <w:pPr>
              <w:spacing w:line="360" w:lineRule="auto"/>
              <w:rPr>
                <w:rFonts w:hint="eastAsia" w:ascii="仿宋" w:hAnsi="仿宋" w:eastAsia="仿宋" w:cs="仿宋"/>
                <w:color w:val="auto"/>
                <w:sz w:val="24"/>
                <w:szCs w:val="24"/>
                <w:highlight w:val="none"/>
              </w:rPr>
            </w:pPr>
          </w:p>
        </w:tc>
        <w:tc>
          <w:tcPr>
            <w:tcW w:w="1486" w:type="dxa"/>
            <w:noWrap w:val="0"/>
            <w:vAlign w:val="top"/>
          </w:tcPr>
          <w:p w14:paraId="793AC7F8">
            <w:pPr>
              <w:spacing w:line="360" w:lineRule="auto"/>
              <w:rPr>
                <w:rFonts w:hint="eastAsia" w:ascii="仿宋" w:hAnsi="仿宋" w:eastAsia="仿宋" w:cs="仿宋"/>
                <w:color w:val="auto"/>
                <w:sz w:val="24"/>
                <w:szCs w:val="24"/>
                <w:highlight w:val="none"/>
              </w:rPr>
            </w:pPr>
          </w:p>
        </w:tc>
      </w:tr>
      <w:tr w14:paraId="78C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14:paraId="0415278C">
            <w:pPr>
              <w:spacing w:line="360" w:lineRule="auto"/>
              <w:rPr>
                <w:rFonts w:hint="eastAsia" w:ascii="仿宋" w:hAnsi="仿宋" w:eastAsia="仿宋" w:cs="仿宋"/>
                <w:color w:val="auto"/>
                <w:sz w:val="24"/>
                <w:szCs w:val="24"/>
                <w:highlight w:val="none"/>
              </w:rPr>
            </w:pPr>
          </w:p>
        </w:tc>
        <w:tc>
          <w:tcPr>
            <w:tcW w:w="1418" w:type="dxa"/>
            <w:noWrap w:val="0"/>
            <w:vAlign w:val="top"/>
          </w:tcPr>
          <w:p w14:paraId="42077451">
            <w:pPr>
              <w:spacing w:line="360" w:lineRule="auto"/>
              <w:rPr>
                <w:rFonts w:hint="eastAsia" w:ascii="仿宋" w:hAnsi="仿宋" w:eastAsia="仿宋" w:cs="仿宋"/>
                <w:color w:val="auto"/>
                <w:sz w:val="24"/>
                <w:szCs w:val="24"/>
                <w:highlight w:val="none"/>
              </w:rPr>
            </w:pPr>
          </w:p>
        </w:tc>
        <w:tc>
          <w:tcPr>
            <w:tcW w:w="894" w:type="dxa"/>
            <w:noWrap w:val="0"/>
            <w:vAlign w:val="top"/>
          </w:tcPr>
          <w:p w14:paraId="1F38CE5E">
            <w:pPr>
              <w:spacing w:line="360" w:lineRule="auto"/>
              <w:rPr>
                <w:rFonts w:hint="eastAsia" w:ascii="仿宋" w:hAnsi="仿宋" w:eastAsia="仿宋" w:cs="仿宋"/>
                <w:color w:val="auto"/>
                <w:sz w:val="24"/>
                <w:szCs w:val="24"/>
                <w:highlight w:val="none"/>
              </w:rPr>
            </w:pPr>
          </w:p>
        </w:tc>
        <w:tc>
          <w:tcPr>
            <w:tcW w:w="1065" w:type="dxa"/>
            <w:noWrap w:val="0"/>
            <w:vAlign w:val="top"/>
          </w:tcPr>
          <w:p w14:paraId="520F7B08">
            <w:pPr>
              <w:spacing w:line="360" w:lineRule="auto"/>
              <w:rPr>
                <w:rFonts w:hint="eastAsia" w:ascii="仿宋" w:hAnsi="仿宋" w:eastAsia="仿宋" w:cs="仿宋"/>
                <w:color w:val="auto"/>
                <w:sz w:val="24"/>
                <w:szCs w:val="24"/>
                <w:highlight w:val="none"/>
              </w:rPr>
            </w:pPr>
          </w:p>
        </w:tc>
        <w:tc>
          <w:tcPr>
            <w:tcW w:w="765" w:type="dxa"/>
            <w:noWrap w:val="0"/>
            <w:vAlign w:val="top"/>
          </w:tcPr>
          <w:p w14:paraId="017F848E">
            <w:pPr>
              <w:spacing w:line="360" w:lineRule="auto"/>
              <w:rPr>
                <w:rFonts w:hint="eastAsia" w:ascii="仿宋" w:hAnsi="仿宋" w:eastAsia="仿宋" w:cs="仿宋"/>
                <w:color w:val="auto"/>
                <w:sz w:val="24"/>
                <w:szCs w:val="24"/>
                <w:highlight w:val="none"/>
              </w:rPr>
            </w:pPr>
          </w:p>
        </w:tc>
        <w:tc>
          <w:tcPr>
            <w:tcW w:w="681" w:type="dxa"/>
            <w:noWrap w:val="0"/>
            <w:vAlign w:val="top"/>
          </w:tcPr>
          <w:p w14:paraId="22F14A69">
            <w:pPr>
              <w:spacing w:line="360" w:lineRule="auto"/>
              <w:rPr>
                <w:rFonts w:hint="eastAsia" w:ascii="仿宋" w:hAnsi="仿宋" w:eastAsia="仿宋" w:cs="仿宋"/>
                <w:color w:val="auto"/>
                <w:sz w:val="24"/>
                <w:szCs w:val="24"/>
                <w:highlight w:val="none"/>
              </w:rPr>
            </w:pPr>
          </w:p>
        </w:tc>
        <w:tc>
          <w:tcPr>
            <w:tcW w:w="941" w:type="dxa"/>
            <w:noWrap w:val="0"/>
            <w:vAlign w:val="top"/>
          </w:tcPr>
          <w:p w14:paraId="71D629E0">
            <w:pPr>
              <w:spacing w:line="360" w:lineRule="auto"/>
              <w:rPr>
                <w:rFonts w:hint="eastAsia" w:ascii="仿宋" w:hAnsi="仿宋" w:eastAsia="仿宋" w:cs="仿宋"/>
                <w:color w:val="auto"/>
                <w:sz w:val="24"/>
                <w:szCs w:val="24"/>
                <w:highlight w:val="none"/>
              </w:rPr>
            </w:pPr>
          </w:p>
        </w:tc>
        <w:tc>
          <w:tcPr>
            <w:tcW w:w="1132" w:type="dxa"/>
            <w:noWrap w:val="0"/>
            <w:vAlign w:val="top"/>
          </w:tcPr>
          <w:p w14:paraId="277A79B2">
            <w:pPr>
              <w:spacing w:line="360" w:lineRule="auto"/>
              <w:rPr>
                <w:rFonts w:hint="eastAsia" w:ascii="仿宋" w:hAnsi="仿宋" w:eastAsia="仿宋" w:cs="仿宋"/>
                <w:color w:val="auto"/>
                <w:sz w:val="24"/>
                <w:szCs w:val="24"/>
                <w:highlight w:val="none"/>
              </w:rPr>
            </w:pPr>
          </w:p>
        </w:tc>
        <w:tc>
          <w:tcPr>
            <w:tcW w:w="1486" w:type="dxa"/>
            <w:noWrap w:val="0"/>
            <w:vAlign w:val="top"/>
          </w:tcPr>
          <w:p w14:paraId="3B49B22A">
            <w:pPr>
              <w:spacing w:line="360" w:lineRule="auto"/>
              <w:rPr>
                <w:rFonts w:hint="eastAsia" w:ascii="仿宋" w:hAnsi="仿宋" w:eastAsia="仿宋" w:cs="仿宋"/>
                <w:color w:val="auto"/>
                <w:sz w:val="24"/>
                <w:szCs w:val="24"/>
                <w:highlight w:val="none"/>
              </w:rPr>
            </w:pPr>
          </w:p>
        </w:tc>
      </w:tr>
      <w:tr w14:paraId="5960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2" w:type="dxa"/>
            <w:gridSpan w:val="7"/>
            <w:noWrap w:val="0"/>
            <w:vAlign w:val="top"/>
          </w:tcPr>
          <w:p w14:paraId="2F83752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合同额：大写：                              小写：</w:t>
            </w:r>
          </w:p>
        </w:tc>
        <w:tc>
          <w:tcPr>
            <w:tcW w:w="1132" w:type="dxa"/>
            <w:noWrap w:val="0"/>
            <w:vAlign w:val="top"/>
          </w:tcPr>
          <w:p w14:paraId="1553EC67">
            <w:pPr>
              <w:spacing w:line="360" w:lineRule="auto"/>
              <w:rPr>
                <w:rFonts w:hint="eastAsia" w:ascii="仿宋" w:hAnsi="仿宋" w:eastAsia="仿宋" w:cs="仿宋"/>
                <w:color w:val="auto"/>
                <w:sz w:val="24"/>
                <w:szCs w:val="24"/>
                <w:highlight w:val="none"/>
              </w:rPr>
            </w:pPr>
          </w:p>
        </w:tc>
        <w:tc>
          <w:tcPr>
            <w:tcW w:w="1486" w:type="dxa"/>
            <w:noWrap w:val="0"/>
            <w:vAlign w:val="top"/>
          </w:tcPr>
          <w:p w14:paraId="01725D1C">
            <w:pPr>
              <w:spacing w:line="360" w:lineRule="auto"/>
              <w:rPr>
                <w:rFonts w:hint="eastAsia" w:ascii="仿宋" w:hAnsi="仿宋" w:eastAsia="仿宋" w:cs="仿宋"/>
                <w:color w:val="auto"/>
                <w:sz w:val="24"/>
                <w:szCs w:val="24"/>
                <w:highlight w:val="none"/>
              </w:rPr>
            </w:pPr>
          </w:p>
        </w:tc>
      </w:tr>
    </w:tbl>
    <w:p w14:paraId="70EB540B">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2、标准和计量单位</w:t>
      </w:r>
    </w:p>
    <w:p w14:paraId="6D98151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（1）本合同项下交付的货物应符合技术规格所述的标准。如在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中无相应说明，则以国家颁布的最新版本标准或行业（部）标准或相应的国际标准执行，没有国家或行业（部）标准的则按企业标准执行。</w:t>
      </w:r>
    </w:p>
    <w:p w14:paraId="33D202A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除非技术规格中另有规定，计量单位均采用中华人民共和国法定计量单位。</w:t>
      </w:r>
    </w:p>
    <w:p w14:paraId="199CC611">
      <w:pPr>
        <w:spacing w:line="360" w:lineRule="auto"/>
        <w:ind w:firstLine="588" w:firstLineChars="24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3、专利权</w:t>
      </w:r>
    </w:p>
    <w:p w14:paraId="4071823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乙方应保证，甲方在使用该货物或货物的任何一部分时，免受第三方提出的侵犯其专利权、商标权、著作权或其它知识产权的起诉。乙方应承担由此可能产生的一切法律责任和费用。</w:t>
      </w:r>
    </w:p>
    <w:p w14:paraId="06E7C80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四、设备交货</w:t>
      </w:r>
    </w:p>
    <w:p w14:paraId="041E1A6F">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1、包装要求</w:t>
      </w:r>
    </w:p>
    <w:p w14:paraId="7961CB53">
      <w:pPr>
        <w:spacing w:line="360" w:lineRule="auto"/>
        <w:ind w:firstLine="588" w:firstLineChars="245"/>
        <w:rPr>
          <w:rFonts w:hint="eastAsia" w:ascii="仿宋" w:hAnsi="仿宋" w:eastAsia="仿宋" w:cs="仿宋"/>
          <w:color w:val="auto"/>
          <w:sz w:val="24"/>
          <w:szCs w:val="24"/>
          <w:highlight w:val="none"/>
        </w:rPr>
      </w:pPr>
      <w:bookmarkStart w:id="77" w:name="OLE_LINK4"/>
      <w:r>
        <w:rPr>
          <w:rFonts w:hint="eastAsia" w:ascii="仿宋" w:hAnsi="仿宋" w:eastAsia="仿宋" w:cs="仿宋"/>
          <w:color w:val="auto"/>
          <w:sz w:val="24"/>
          <w:szCs w:val="24"/>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7BD2E315">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（2）每一包装箱内必须附有装箱清单、合格证和齐全的技术资料等。</w:t>
      </w:r>
      <w:bookmarkEnd w:id="77"/>
    </w:p>
    <w:p w14:paraId="3C7BBE14">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（3）乙方应在每一包装箱的四侧用不褪色的油漆以醒目的中文字样标注“收货人”“货物名称”“小心轻放”、“防潮”、“此端朝上，请勿倒置”等字样和其他国际贸易中使用的适当标志。</w:t>
      </w:r>
    </w:p>
    <w:p w14:paraId="5DDD4D0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2、交货方式</w:t>
      </w:r>
    </w:p>
    <w:p w14:paraId="55F49A2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（1）现场交货：乙方负责办理运输和保险，将货物运抵甲方指定的现场并落地就位。有关运输和保险的一切费用由乙方承担。所有货物运抵现场的日期为交货日期。</w:t>
      </w:r>
    </w:p>
    <w:p w14:paraId="0F57006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（2）在现场交货条件下，乙方在货物发运前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天，将要发运货物的合同号、货物名称、规格、数量、包装箱件数、重量、包装箱尺寸（长×宽×高）和货物的卸车，贮存的特殊要求以及运输工具名称以及启运日期，以传真形式通知甲方。</w:t>
      </w:r>
    </w:p>
    <w:p w14:paraId="4FF45FB4">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（3）如因乙方延误将上述内容用传真形式通知甲方，由此引起的一切损失应由乙方承担。</w:t>
      </w:r>
    </w:p>
    <w:p w14:paraId="7989B2AF">
      <w:pPr>
        <w:spacing w:line="360" w:lineRule="auto"/>
        <w:ind w:firstLine="590" w:firstLineChars="245"/>
        <w:rPr>
          <w:rFonts w:hint="eastAsia" w:ascii="仿宋" w:hAnsi="仿宋" w:eastAsia="仿宋" w:cs="仿宋"/>
          <w:i w:val="0"/>
          <w:iCs/>
          <w:color w:val="auto"/>
          <w:sz w:val="24"/>
          <w:szCs w:val="24"/>
          <w:highlight w:val="none"/>
          <w:u w:val="none"/>
          <w:lang w:eastAsia="zh-CN"/>
        </w:rPr>
      </w:pPr>
      <w:r>
        <w:rPr>
          <w:rFonts w:hint="eastAsia" w:ascii="仿宋" w:hAnsi="仿宋" w:eastAsia="仿宋" w:cs="仿宋"/>
          <w:b/>
          <w:color w:val="auto"/>
          <w:sz w:val="24"/>
          <w:szCs w:val="24"/>
          <w:highlight w:val="none"/>
        </w:rPr>
        <w:t>3、交付日期：</w:t>
      </w:r>
      <w:r>
        <w:rPr>
          <w:rFonts w:hint="eastAsia" w:ascii="仿宋" w:hAnsi="仿宋" w:eastAsia="仿宋" w:cs="仿宋"/>
          <w:i w:val="0"/>
          <w:iCs/>
          <w:color w:val="auto"/>
          <w:sz w:val="24"/>
          <w:szCs w:val="24"/>
          <w:highlight w:val="none"/>
          <w:u w:val="single"/>
          <w:lang w:eastAsia="zh-CN"/>
        </w:rPr>
        <w:t>合同签订后</w:t>
      </w:r>
      <w:r>
        <w:rPr>
          <w:rFonts w:hint="eastAsia" w:ascii="仿宋" w:hAnsi="仿宋" w:eastAsia="仿宋" w:cs="仿宋"/>
          <w:i w:val="0"/>
          <w:iCs/>
          <w:color w:val="auto"/>
          <w:sz w:val="24"/>
          <w:szCs w:val="24"/>
          <w:highlight w:val="none"/>
          <w:u w:val="single"/>
          <w:lang w:val="en-US" w:eastAsia="zh-CN"/>
        </w:rPr>
        <w:t xml:space="preserve">   </w:t>
      </w:r>
      <w:r>
        <w:rPr>
          <w:rFonts w:hint="eastAsia" w:ascii="仿宋" w:hAnsi="仿宋" w:eastAsia="仿宋" w:cs="仿宋"/>
          <w:i w:val="0"/>
          <w:iCs/>
          <w:color w:val="auto"/>
          <w:sz w:val="24"/>
          <w:szCs w:val="24"/>
          <w:highlight w:val="none"/>
          <w:u w:val="single"/>
          <w:lang w:eastAsia="zh-CN"/>
        </w:rPr>
        <w:t>日历天内完成供货安装调试并一次性验收合格。</w:t>
      </w:r>
    </w:p>
    <w:p w14:paraId="56B4AE7D">
      <w:pPr>
        <w:spacing w:line="360" w:lineRule="auto"/>
        <w:ind w:firstLine="590" w:firstLineChars="245"/>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4、交货地点：甲方指定地点</w:t>
      </w:r>
      <w:r>
        <w:rPr>
          <w:rFonts w:hint="eastAsia" w:ascii="仿宋" w:hAnsi="仿宋" w:eastAsia="仿宋" w:cs="仿宋"/>
          <w:b/>
          <w:color w:val="auto"/>
          <w:sz w:val="24"/>
          <w:szCs w:val="24"/>
          <w:highlight w:val="none"/>
          <w:lang w:eastAsia="zh-CN"/>
        </w:rPr>
        <w:t>。</w:t>
      </w:r>
    </w:p>
    <w:p w14:paraId="17CB1388">
      <w:pPr>
        <w:spacing w:line="360" w:lineRule="auto"/>
        <w:ind w:firstLine="590" w:firstLineChars="245"/>
        <w:rPr>
          <w:rFonts w:hint="eastAsia" w:ascii="仿宋" w:hAnsi="仿宋" w:eastAsia="仿宋" w:cs="仿宋"/>
          <w:b/>
          <w:color w:val="auto"/>
          <w:sz w:val="24"/>
          <w:szCs w:val="24"/>
          <w:highlight w:val="none"/>
        </w:rPr>
      </w:pPr>
      <w:bookmarkStart w:id="78" w:name="OLE_LINK6"/>
      <w:r>
        <w:rPr>
          <w:rFonts w:hint="eastAsia" w:ascii="仿宋" w:hAnsi="仿宋" w:eastAsia="仿宋" w:cs="仿宋"/>
          <w:b/>
          <w:color w:val="auto"/>
          <w:sz w:val="24"/>
          <w:szCs w:val="24"/>
          <w:highlight w:val="none"/>
        </w:rPr>
        <w:t>5、技术文件和资料</w:t>
      </w:r>
    </w:p>
    <w:p w14:paraId="49B89DC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（1）随同货物一起发运需随机提供包装完整的目录索引、技术说明书、操作手册、使用指南、维修指南(或服务手册)和示意图、性能测试报告、合格证书等；资料需装订成册，其费用包括在货物总价内。</w:t>
      </w:r>
    </w:p>
    <w:p w14:paraId="307504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（2）如果甲方确认乙方提供的技术文件和资料不完整，或在运输途中丢失或破损字迹不清，乙方应在收到甲方通知后3天内将这些文件、资料补齐。</w:t>
      </w:r>
      <w:bookmarkEnd w:id="78"/>
    </w:p>
    <w:p w14:paraId="2D6F635B">
      <w:pPr>
        <w:spacing w:line="360" w:lineRule="auto"/>
        <w:ind w:firstLine="120" w:firstLineChars="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五、付款方式与结算</w:t>
      </w:r>
    </w:p>
    <w:p w14:paraId="76B5CA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履约保证金支付</w:t>
      </w:r>
    </w:p>
    <w:p w14:paraId="6AA480D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合同签订后，乙方5个工作日内支付合同金额的1%或保函作为履约保证金，履约保证金自项目验收合格之日起无质量问题，甲方按程序在7个工作日内无息退还或退还保函。</w:t>
      </w:r>
    </w:p>
    <w:p w14:paraId="3C614A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合同金额结算及支付方式：</w:t>
      </w:r>
    </w:p>
    <w:p w14:paraId="7C0A17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甲方收到乙方出具的合同金额40 %（填写预付款比例）保函以及具备实施条件后7个工作日内，向乙方支付合同总额40 %的预付款，乙方完成全部服务，甲方验收合格并收到乙方出具全额增值税发票后7个工作日内，甲方支付剩余的合同款并退还保函。</w:t>
      </w:r>
    </w:p>
    <w:p w14:paraId="1326A3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若乙方自愿放弃预付款，则按该方式支付：乙方完成全部服务，甲方验收合格并收到乙方出具全额增值税发票后7个工作日内，甲方支付合同全款。</w:t>
      </w:r>
    </w:p>
    <w:p w14:paraId="1089EBA8">
      <w:pPr>
        <w:numPr>
          <w:ilvl w:val="0"/>
          <w:numId w:val="0"/>
        </w:num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注：所有费用需等财政拨付到位后再支付费用。</w:t>
      </w:r>
    </w:p>
    <w:p w14:paraId="381C2756">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货物交付安装完毕验收合格并正常运行后的两周内，支付至货物总价的100％。结算时，须提交下列资料：</w:t>
      </w:r>
    </w:p>
    <w:p w14:paraId="36F8A8C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a．乙方须开具合同总价100%的正式增值税专用发票</w:t>
      </w:r>
      <w:r>
        <w:rPr>
          <w:rFonts w:hint="eastAsia" w:ascii="仿宋" w:hAnsi="仿宋" w:eastAsia="仿宋" w:cs="仿宋"/>
          <w:color w:val="auto"/>
          <w:sz w:val="24"/>
          <w:szCs w:val="24"/>
          <w:highlight w:val="none"/>
          <w:lang w:eastAsia="zh-CN"/>
        </w:rPr>
        <w:t>（货物类）</w:t>
      </w:r>
      <w:r>
        <w:rPr>
          <w:rFonts w:hint="eastAsia" w:ascii="仿宋" w:hAnsi="仿宋" w:eastAsia="仿宋" w:cs="仿宋"/>
          <w:color w:val="auto"/>
          <w:sz w:val="24"/>
          <w:szCs w:val="24"/>
          <w:highlight w:val="none"/>
        </w:rPr>
        <w:t>；</w:t>
      </w:r>
    </w:p>
    <w:p w14:paraId="4E0D4F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b．双方出具的设备验收合格证明；</w:t>
      </w:r>
    </w:p>
    <w:p w14:paraId="7473DA1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c．由乙方</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制造商出具的质量保证书；</w:t>
      </w:r>
    </w:p>
    <w:p w14:paraId="3C800F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在项目实施过程中，若采购内容发生增减，甲方应及时通知乙方，按实际调整。增减内容的价格参照合同内相应设备的合同价结算。</w:t>
      </w:r>
    </w:p>
    <w:p w14:paraId="7B1D868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六、质量要求</w:t>
      </w:r>
    </w:p>
    <w:p w14:paraId="4413203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1、乙方提供设备前应将所采用的全部标准提交给甲方，以征得甲方同意。</w:t>
      </w:r>
    </w:p>
    <w:p w14:paraId="6A357E74">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设备的设计、制造、检测、验收、安装、调试等所采用的标准应符合ISO、IEC、GB标准和设备生产厂家所在国的标准，或其它与之等效的标准，还应符合有毒气体、腐蚀气体、易燃易爆气体等专业标准及安全标准等的要求。</w:t>
      </w:r>
    </w:p>
    <w:p w14:paraId="517BA88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货物应保证是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2598C97B">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1E9AEBF5">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5、乙方提供的货物在质保期内因货物本身的质量问题发生故障，乙方应负责免费更换。对达不到技术要求的，根据实际情况，经双方协商，可按以下办法处理：</w:t>
      </w:r>
    </w:p>
    <w:p w14:paraId="75F32528">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（1）更换：由乙方承担所发生的全部费用。</w:t>
      </w:r>
    </w:p>
    <w:p w14:paraId="42FF5558">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（2）贬值处理：甲乙双方合议定价。</w:t>
      </w:r>
    </w:p>
    <w:p w14:paraId="76044C45">
      <w:pPr>
        <w:spacing w:line="360" w:lineRule="auto"/>
        <w:ind w:firstLine="456" w:firstLineChars="1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（3）退货处理：乙方应退还甲方支付的合同款，同时应承担该货物的直接费用（运输、保险、检验、货款利息及银行手续费等）。</w:t>
      </w:r>
    </w:p>
    <w:p w14:paraId="4668D771">
      <w:pPr>
        <w:numPr>
          <w:ilvl w:val="0"/>
          <w:numId w:val="0"/>
        </w:numPr>
        <w:spacing w:line="360" w:lineRule="auto"/>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售后服务</w:t>
      </w:r>
    </w:p>
    <w:p w14:paraId="62B18C71">
      <w:pPr>
        <w:numPr>
          <w:ilvl w:val="0"/>
          <w:numId w:val="4"/>
        </w:numPr>
        <w:spacing w:line="360" w:lineRule="auto"/>
        <w:ind w:left="180" w:leftChars="0" w:firstLine="24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未特别注明免费保修期的设备，均要求提供</w:t>
      </w:r>
      <w:r>
        <w:rPr>
          <w:rFonts w:hint="eastAsia" w:ascii="仿宋" w:hAnsi="仿宋" w:eastAsia="仿宋" w:cs="仿宋"/>
          <w:color w:val="auto"/>
          <w:sz w:val="24"/>
          <w:szCs w:val="24"/>
          <w:highlight w:val="none"/>
          <w:u w:val="none"/>
          <w:lang w:val="en-US" w:eastAsia="zh-CN"/>
        </w:rPr>
        <w:t>一</w:t>
      </w:r>
      <w:r>
        <w:rPr>
          <w:rFonts w:hint="eastAsia" w:ascii="仿宋" w:hAnsi="仿宋" w:eastAsia="仿宋" w:cs="仿宋"/>
          <w:color w:val="auto"/>
          <w:sz w:val="24"/>
          <w:szCs w:val="24"/>
          <w:highlight w:val="none"/>
          <w:lang w:val="en-US" w:eastAsia="zh-CN"/>
        </w:rPr>
        <w:t>年的原厂免费保修服务</w:t>
      </w:r>
      <w:r>
        <w:rPr>
          <w:rFonts w:hint="eastAsia" w:ascii="仿宋" w:hAnsi="仿宋" w:eastAsia="仿宋" w:cs="仿宋"/>
          <w:color w:val="auto"/>
          <w:sz w:val="24"/>
          <w:szCs w:val="24"/>
          <w:highlight w:val="none"/>
        </w:rPr>
        <w:t>；在质保期外，乙方有义务对所售设备进行终身维修，协商收取维修费用。</w:t>
      </w:r>
    </w:p>
    <w:p w14:paraId="66A1C13B">
      <w:pPr>
        <w:numPr>
          <w:ilvl w:val="0"/>
          <w:numId w:val="4"/>
        </w:numPr>
        <w:spacing w:line="360" w:lineRule="auto"/>
        <w:ind w:left="180" w:leftChars="0" w:firstLine="24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年的质保期既保修期(以项目最终验收合格之日起算)，质保期内免费上门维修、维护或更换。</w:t>
      </w:r>
    </w:p>
    <w:p w14:paraId="5AE3722A">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b/>
          <w:color w:val="auto"/>
          <w:sz w:val="22"/>
          <w:highlight w:val="none"/>
        </w:rPr>
      </w:pPr>
      <w:r>
        <w:rPr>
          <w:rFonts w:hint="eastAsia" w:ascii="仿宋" w:hAnsi="仿宋" w:eastAsia="仿宋" w:cs="仿宋"/>
          <w:color w:val="auto"/>
          <w:sz w:val="24"/>
          <w:szCs w:val="24"/>
          <w:highlight w:val="none"/>
          <w:lang w:val="en-US" w:eastAsia="zh-CN"/>
        </w:rPr>
        <w:t>（1）接到上门维修通知后，供应商应2小时内响应，24小时到达项目所在地进行维修。在质保期内，如乙方经甲方催促未能按承诺及时到达现场维修或多次未能修复的，采购人有权邀请第三方进行维护，费用由乙方承担。</w:t>
      </w:r>
    </w:p>
    <w:p w14:paraId="5303B94B">
      <w:pPr>
        <w:spacing w:line="360" w:lineRule="auto"/>
        <w:ind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（2）质保期内因不能排除的故障而影响工作的情况每发生一次，其质保期相应延长30天，质保期内因货物本身缺陷造成各种故障应由中标人免费予以更换，否则将扣除履约保证金作为对采购人的补偿；</w:t>
      </w:r>
    </w:p>
    <w:p w14:paraId="043C2FD2">
      <w:pPr>
        <w:spacing w:line="360" w:lineRule="auto"/>
        <w:ind w:firstLine="456" w:firstLineChars="19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（3）非因采购人人为原因而出现设备质量问题的，由中标人负责包修、包换或包退并承担修理、调换或退货而产生的实际费用。如因采购人使用不当造成故障的，中标人应负责修理、调换，费用另行协商；</w:t>
      </w:r>
    </w:p>
    <w:p w14:paraId="1BEC09ED">
      <w:pPr>
        <w:spacing w:line="360" w:lineRule="auto"/>
        <w:ind w:firstLine="456" w:firstLineChars="190"/>
        <w:rPr>
          <w:rFonts w:hint="eastAsia"/>
          <w:color w:val="auto"/>
          <w:highlight w:val="none"/>
        </w:rPr>
      </w:pPr>
      <w:r>
        <w:rPr>
          <w:rFonts w:hint="eastAsia" w:ascii="仿宋" w:hAnsi="仿宋" w:eastAsia="仿宋" w:cs="仿宋"/>
          <w:color w:val="auto"/>
          <w:sz w:val="24"/>
          <w:szCs w:val="24"/>
          <w:highlight w:val="none"/>
          <w:lang w:val="en-US" w:eastAsia="zh-CN"/>
        </w:rPr>
        <w:t>（4）质保期内，中标人负责免费提供设备运行所需全部备件，并提供免费维修、保养服务。质保期满后，仅收取零配件成本费用，免人工费、差旅费，所涉及软件终身免费升级。</w:t>
      </w:r>
    </w:p>
    <w:p w14:paraId="49896E8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八、验收</w:t>
      </w:r>
    </w:p>
    <w:p w14:paraId="79C43F3D">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交货前，乙方应对货物的质量、规格、性能、数量、重量等进行详细而全面的检验，并出具证明货物符合合同规定的书面证书，乙方检验的结果和细节应在证书中加以说明。该证书将作为申请付款单据的一部分，但有关质量、规格、性能、数量、重量的检验不应视为最终检验。</w:t>
      </w:r>
    </w:p>
    <w:p w14:paraId="19EE04E1">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2、供应商配合采购人及采购人委托第三方机构的验收工作，根据招标文件、投标（响应）文件、采购合同、封存样品等约定的质量、数量、技术指标或者服务要求设置验收指标及其标准，制定验收指标及标准。</w:t>
      </w:r>
    </w:p>
    <w:p w14:paraId="0983AE9D">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3、如验收不合格的，供应商应采取补救措施，及时处理。整改结束后，重新组织验收。</w:t>
      </w:r>
    </w:p>
    <w:p w14:paraId="30C61BB0">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4、本项目由采购人委托第三方机构组织验收，费用由中标人支付。</w:t>
      </w:r>
    </w:p>
    <w:p w14:paraId="24BE349A">
      <w:pPr>
        <w:spacing w:line="360" w:lineRule="auto"/>
        <w:ind w:firstLine="588" w:firstLineChars="24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未尽事宜，按《中华人民共和国政府采购法》及其实施条例、《中华人民共和国合同法》、《财政部关于进一步加强政府采购需求和履约验收管理的指导意见》（财库〔2016〕205号）、《浙江省财政厅关于印发浙江省政府采购合同暂行办法的通知》（浙财采监〔2017〕11号）、《温州市政府采购履约验收办法》（温财采〔2020〕6号）等相关法律法规、规定执行。</w:t>
      </w:r>
    </w:p>
    <w:p w14:paraId="4C1878D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九、双方责任</w:t>
      </w:r>
    </w:p>
    <w:p w14:paraId="11363E4A">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w:t>
      </w:r>
    </w:p>
    <w:p w14:paraId="3746F01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（1）按合同规定向乙方支付货款。</w:t>
      </w:r>
    </w:p>
    <w:p w14:paraId="26CA6DC1">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（2）组织对货物的验收。</w:t>
      </w:r>
    </w:p>
    <w:p w14:paraId="50E5BFC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w:t>
      </w:r>
    </w:p>
    <w:p w14:paraId="70566D7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（1）按合同要求提供货物和服务。</w:t>
      </w:r>
    </w:p>
    <w:p w14:paraId="3C62299E">
      <w:pPr>
        <w:spacing w:line="360" w:lineRule="auto"/>
        <w:ind w:firstLine="588" w:firstLineChars="245"/>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（2）对所提供的货物和服务质量问题无条件负责处理。</w:t>
      </w:r>
    </w:p>
    <w:p w14:paraId="26EB1264">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十、乙方履约延误</w:t>
      </w:r>
    </w:p>
    <w:p w14:paraId="271FB9DF">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1、乙方应按照合同规定的时间交货和提供服务。</w:t>
      </w:r>
    </w:p>
    <w:p w14:paraId="2874A8D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4C1B9B4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3、除了合同条款中不可抗力的情况外，除非延误是取得甲方同意而不收取赔偿费，乙方延误交货或提供服务将按合同条款第十一条规定被收取误期赔偿费。</w:t>
      </w:r>
    </w:p>
    <w:p w14:paraId="6B712FE1">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4、所有提供的货物及验收都应服从甲方的统一安排。</w:t>
      </w:r>
    </w:p>
    <w:p w14:paraId="5511A853">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十一、误期赔偿费</w:t>
      </w:r>
    </w:p>
    <w:p w14:paraId="5AC38A22">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18612F6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十二、不可抗力</w:t>
      </w:r>
    </w:p>
    <w:p w14:paraId="3BA7836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1F4D0E2B">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十三、税费</w:t>
      </w:r>
    </w:p>
    <w:p w14:paraId="55214DE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1、根据国家现行税法对甲方征收的与本合同有关的一切费用由甲方承担。</w:t>
      </w:r>
    </w:p>
    <w:p w14:paraId="460B040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2、根据现行税法对乙方征收的与本合同有关的一切税费均由乙方承担。</w:t>
      </w:r>
    </w:p>
    <w:p w14:paraId="308DE89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3、在中国境外发生的与本合同执行有关的一切税费由乙方承担。</w:t>
      </w:r>
    </w:p>
    <w:p w14:paraId="3852E9D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十四、违约终止合同</w:t>
      </w:r>
    </w:p>
    <w:p w14:paraId="6ED0D1DE">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1、甲方在乙方违约的情况下，如果发生下列情况之一，可考虑终止部分或全部合同：</w:t>
      </w:r>
    </w:p>
    <w:p w14:paraId="4BF9253C">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（1）乙方未能在合同规定的期限内或甲方同意延长的期限内提供全部或部分货物；</w:t>
      </w:r>
    </w:p>
    <w:p w14:paraId="59E4D9CA">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52356DCF">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0DB1964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十五、履约保证金的罚没</w:t>
      </w:r>
    </w:p>
    <w:p w14:paraId="4DFA0E1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1、如乙方未能履行合同规定的任何义务，甲方有权从履约保证金中得到补偿。</w:t>
      </w:r>
    </w:p>
    <w:p w14:paraId="235BFFD9">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2、如果乙方毫无理由地拖延交货或拒绝履行合同规定的任何义务，履约保证金将被没收，并加收违约赔偿金。</w:t>
      </w:r>
    </w:p>
    <w:p w14:paraId="455AA607">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3、乙方提供的货物须和报价文件中所承诺的货物规格、数量、型号等相符（合同中另有规定除外），如不符，除追究乙方责任外，其履约保证金将被没收。</w:t>
      </w:r>
    </w:p>
    <w:p w14:paraId="2F3D384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十六、争端的解决</w:t>
      </w:r>
    </w:p>
    <w:p w14:paraId="354EDDFD">
      <w:pPr>
        <w:spacing w:line="360" w:lineRule="auto"/>
        <w:ind w:firstLine="708" w:firstLineChars="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合同实施或与合同有关的一切争端，甲乙双方应通过友好协商解决，如果协商仍得不到解决，可向甲方所在地人民法院起诉。</w:t>
      </w:r>
    </w:p>
    <w:p w14:paraId="526BC26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十七、转让和分包及货物不可替代</w:t>
      </w:r>
    </w:p>
    <w:p w14:paraId="301F2E88">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1、未经甲方事先书面同意，乙方不得部分转让或全部转让和分包其履行合同的义务。</w:t>
      </w:r>
    </w:p>
    <w:p w14:paraId="091B92C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2、货物不可替代，乙方在没有取得甲方的书面授权的情况下，不得将合同货物的生产制造转交其他生产厂商或以其他厂商的货物替代。</w:t>
      </w:r>
    </w:p>
    <w:p w14:paraId="21CD38F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十八、适用法律</w:t>
      </w:r>
    </w:p>
    <w:p w14:paraId="730A72D6">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本合同按照中华人民共和国的法律进行解释。</w:t>
      </w:r>
    </w:p>
    <w:p w14:paraId="65A2B96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十九、合同生效及其他</w:t>
      </w:r>
    </w:p>
    <w:p w14:paraId="5375A513">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1、合同应在双方签字盖章并在甲方收到乙方提供的履约保证金后开始生效。</w:t>
      </w:r>
    </w:p>
    <w:p w14:paraId="20A1BBEB">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2、如需修改或补充合同内容，经协商，双方应签署书面修改或补充协议，该协议将作为本合同的一个组成部分。</w:t>
      </w:r>
    </w:p>
    <w:p w14:paraId="60AC8F8B">
      <w:pPr>
        <w:spacing w:line="360" w:lineRule="auto"/>
        <w:ind w:firstLine="588" w:firstLineChars="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合同壹式陆份，甲方</w:t>
      </w:r>
      <w:r>
        <w:rPr>
          <w:rFonts w:hint="eastAsia" w:ascii="仿宋" w:hAnsi="仿宋" w:eastAsia="仿宋" w:cs="仿宋"/>
          <w:b/>
          <w:bCs/>
          <w:color w:val="auto"/>
          <w:sz w:val="24"/>
          <w:szCs w:val="24"/>
          <w:highlight w:val="none"/>
          <w:lang w:eastAsia="zh-CN"/>
        </w:rPr>
        <w:t>肆</w:t>
      </w:r>
      <w:r>
        <w:rPr>
          <w:rFonts w:hint="eastAsia" w:ascii="仿宋" w:hAnsi="仿宋" w:eastAsia="仿宋" w:cs="仿宋"/>
          <w:b/>
          <w:bCs/>
          <w:color w:val="auto"/>
          <w:sz w:val="24"/>
          <w:szCs w:val="24"/>
          <w:highlight w:val="none"/>
        </w:rPr>
        <w:t>份，乙方贰份。</w:t>
      </w:r>
    </w:p>
    <w:p w14:paraId="04C3761D">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甲方：（印章）                       乙方：（印章）</w:t>
      </w:r>
    </w:p>
    <w:p w14:paraId="10EFAAD5">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全权代表:（签字）                    全权代表:（签字）</w:t>
      </w:r>
    </w:p>
    <w:p w14:paraId="1A4EF36A">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4C465A09">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4EE890FC">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693EE1A1">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1AD1EF27">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52A4CB9C">
      <w:pPr>
        <w:tabs>
          <w:tab w:val="left" w:pos="360"/>
        </w:tabs>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21203C61">
      <w:pPr>
        <w:spacing w:line="360" w:lineRule="auto"/>
        <w:ind w:firstLine="588" w:firstLineChars="245"/>
        <w:rPr>
          <w:rFonts w:hint="eastAsia" w:ascii="仿宋" w:hAnsi="仿宋" w:eastAsia="仿宋" w:cs="仿宋"/>
          <w:i/>
          <w:color w:val="auto"/>
          <w:sz w:val="24"/>
          <w:highlight w:val="none"/>
        </w:rPr>
      </w:pPr>
      <w:r>
        <w:rPr>
          <w:rFonts w:hint="eastAsia" w:ascii="仿宋" w:hAnsi="仿宋" w:eastAsia="仿宋" w:cs="仿宋"/>
          <w:color w:val="auto"/>
          <w:sz w:val="24"/>
          <w:szCs w:val="24"/>
          <w:highlight w:val="none"/>
        </w:rPr>
        <w:t>时间:                                时间</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br w:type="page"/>
      </w:r>
    </w:p>
    <w:p w14:paraId="27AC4D6F">
      <w:pPr>
        <w:spacing w:line="360" w:lineRule="auto"/>
        <w:ind w:left="720" w:firstLine="723" w:firstLineChars="200"/>
        <w:outlineLvl w:val="0"/>
        <w:rPr>
          <w:rFonts w:hint="eastAsia" w:ascii="仿宋" w:hAnsi="仿宋" w:eastAsia="仿宋" w:cs="仿宋"/>
          <w:b/>
          <w:color w:val="auto"/>
          <w:sz w:val="36"/>
          <w:szCs w:val="20"/>
          <w:highlight w:val="none"/>
        </w:rPr>
      </w:pPr>
      <w:bookmarkStart w:id="79" w:name="_Toc29853"/>
      <w:bookmarkStart w:id="80" w:name="_Toc221356961"/>
      <w:bookmarkStart w:id="81" w:name="_Toc221356898"/>
      <w:r>
        <w:rPr>
          <w:rFonts w:hint="eastAsia" w:ascii="仿宋" w:hAnsi="仿宋" w:eastAsia="仿宋" w:cs="仿宋"/>
          <w:b/>
          <w:color w:val="auto"/>
          <w:sz w:val="36"/>
          <w:szCs w:val="20"/>
          <w:highlight w:val="none"/>
        </w:rPr>
        <w:t>第五部分  应提交的有关格式范例</w:t>
      </w:r>
      <w:bookmarkEnd w:id="79"/>
    </w:p>
    <w:p w14:paraId="03EA4754">
      <w:pPr>
        <w:rPr>
          <w:rFonts w:hint="eastAsia" w:ascii="仿宋" w:hAnsi="仿宋" w:eastAsia="仿宋" w:cs="仿宋"/>
          <w:b/>
          <w:color w:val="auto"/>
          <w:kern w:val="0"/>
          <w:sz w:val="36"/>
          <w:szCs w:val="36"/>
          <w:highlight w:val="none"/>
        </w:rPr>
      </w:pPr>
    </w:p>
    <w:p w14:paraId="7FF10D90">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3C2DAE2">
      <w:pPr>
        <w:jc w:val="center"/>
        <w:rPr>
          <w:rFonts w:hint="eastAsia" w:ascii="仿宋" w:hAnsi="仿宋" w:eastAsia="仿宋" w:cs="仿宋"/>
          <w:b/>
          <w:color w:val="auto"/>
          <w:kern w:val="0"/>
          <w:sz w:val="36"/>
          <w:szCs w:val="36"/>
          <w:highlight w:val="none"/>
        </w:rPr>
      </w:pPr>
    </w:p>
    <w:p w14:paraId="56D9436D">
      <w:pPr>
        <w:jc w:val="center"/>
        <w:rPr>
          <w:rFonts w:hint="eastAsia" w:ascii="仿宋" w:hAnsi="仿宋" w:eastAsia="仿宋" w:cs="仿宋"/>
          <w:b/>
          <w:color w:val="auto"/>
          <w:kern w:val="0"/>
          <w:sz w:val="36"/>
          <w:szCs w:val="36"/>
          <w:highlight w:val="none"/>
        </w:rPr>
      </w:pPr>
    </w:p>
    <w:p w14:paraId="72CF7D9E">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DB39F39">
      <w:pPr>
        <w:rPr>
          <w:rFonts w:hint="eastAsia" w:ascii="仿宋" w:hAnsi="仿宋" w:eastAsia="仿宋" w:cs="仿宋"/>
          <w:b/>
          <w:color w:val="auto"/>
          <w:kern w:val="0"/>
          <w:sz w:val="36"/>
          <w:szCs w:val="36"/>
          <w:highlight w:val="none"/>
        </w:rPr>
      </w:pPr>
    </w:p>
    <w:p w14:paraId="39B141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926CA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166FD1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1E054D20">
      <w:pPr>
        <w:snapToGrid w:val="0"/>
        <w:spacing w:line="360" w:lineRule="auto"/>
        <w:ind w:firstLine="480" w:firstLineChars="200"/>
        <w:rPr>
          <w:rFonts w:hint="eastAsia" w:ascii="仿宋" w:hAnsi="仿宋" w:eastAsia="仿宋" w:cs="仿宋"/>
          <w:color w:val="auto"/>
          <w:sz w:val="24"/>
          <w:highlight w:val="none"/>
        </w:rPr>
      </w:pPr>
    </w:p>
    <w:p w14:paraId="5C46B041">
      <w:pPr>
        <w:spacing w:line="360" w:lineRule="auto"/>
        <w:ind w:firstLine="480" w:firstLineChars="200"/>
        <w:rPr>
          <w:rFonts w:hint="eastAsia" w:ascii="仿宋" w:hAnsi="仿宋" w:eastAsia="仿宋" w:cs="仿宋"/>
          <w:color w:val="auto"/>
          <w:sz w:val="24"/>
          <w:highlight w:val="none"/>
        </w:rPr>
      </w:pPr>
    </w:p>
    <w:p w14:paraId="7F9EB96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2C2BDB3D">
      <w:pPr>
        <w:snapToGrid w:val="0"/>
        <w:spacing w:line="360" w:lineRule="auto"/>
        <w:rPr>
          <w:rFonts w:hint="eastAsia" w:ascii="仿宋" w:hAnsi="仿宋" w:eastAsia="仿宋" w:cs="仿宋"/>
          <w:color w:val="auto"/>
          <w:sz w:val="24"/>
          <w:highlight w:val="none"/>
          <w:u w:val="single"/>
        </w:rPr>
      </w:pPr>
    </w:p>
    <w:p w14:paraId="699F8D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（采购代理机构）</w:t>
      </w:r>
      <w:r>
        <w:rPr>
          <w:rFonts w:hint="eastAsia" w:ascii="仿宋" w:hAnsi="仿宋" w:eastAsia="仿宋" w:cs="仿宋"/>
          <w:color w:val="auto"/>
          <w:sz w:val="24"/>
          <w:highlight w:val="none"/>
        </w:rPr>
        <w:t>：</w:t>
      </w:r>
    </w:p>
    <w:p w14:paraId="784EA3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江心屿西园垃圾中转站除臭设备采购项目(第二次) </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（采购编号）】政府采购活动，郑重承诺：</w:t>
      </w:r>
    </w:p>
    <w:p w14:paraId="411AAAD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2D1B3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F17B6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4E92E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B9D3E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0EB61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915CC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AECBF0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AC03A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E8CD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48D3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5E502A7">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AE915A9">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30A92E90">
      <w:pPr>
        <w:snapToGrid w:val="0"/>
        <w:spacing w:line="360" w:lineRule="auto"/>
        <w:ind w:right="480"/>
        <w:jc w:val="center"/>
        <w:rPr>
          <w:rFonts w:hint="eastAsia" w:ascii="仿宋" w:hAnsi="仿宋" w:eastAsia="仿宋" w:cs="仿宋"/>
          <w:b/>
          <w:color w:val="auto"/>
          <w:kern w:val="0"/>
          <w:sz w:val="32"/>
          <w:szCs w:val="32"/>
          <w:highlight w:val="none"/>
        </w:rPr>
      </w:pPr>
    </w:p>
    <w:p w14:paraId="0A0B8154">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34DE30FA">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43A0EB20">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46FF856A">
      <w:pPr>
        <w:snapToGrid w:val="0"/>
        <w:spacing w:line="360" w:lineRule="auto"/>
        <w:jc w:val="left"/>
        <w:rPr>
          <w:rFonts w:hint="eastAsia" w:ascii="仿宋" w:hAnsi="仿宋" w:eastAsia="仿宋" w:cs="仿宋"/>
          <w:color w:val="auto"/>
          <w:szCs w:val="21"/>
          <w:highlight w:val="none"/>
        </w:rPr>
      </w:pPr>
    </w:p>
    <w:p w14:paraId="4A3DFCCD">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779DA5F7">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D9F84C2">
      <w:pPr>
        <w:widowControl/>
        <w:adjustRightInd/>
        <w:jc w:val="left"/>
        <w:rPr>
          <w:rFonts w:hint="eastAsia" w:ascii="仿宋" w:hAnsi="仿宋" w:eastAsia="仿宋" w:cs="仿宋"/>
          <w:b/>
          <w:color w:val="auto"/>
          <w:kern w:val="0"/>
          <w:sz w:val="32"/>
          <w:szCs w:val="32"/>
          <w:highlight w:val="none"/>
        </w:rPr>
      </w:pPr>
    </w:p>
    <w:p w14:paraId="4418744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5EC0C7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9F4D3C2">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6A99E13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体协议（附件2）和中小企业声明函（附件1），联合体协议中中小企业合同金额应当达到招标文件载明的比例；如果供应商本身提供所有标的均由中小企业制造或承接的，视同符合了资格条件，无需再与其他中小企业组成联合体参加政府采购活动，无需提供联合体协议。</w:t>
      </w:r>
    </w:p>
    <w:p w14:paraId="29DD92D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3）和中小企业声明函（附件1），分包意向协议中中小企业合同金额应当达到招标文件载明的比例；如果供应商本身提供所有标的均由中小企业制造或承接，视同符合了资格条件，无需再向中小企业分包，无需提供分包意向协议。</w:t>
      </w:r>
    </w:p>
    <w:p w14:paraId="5E18B9DC">
      <w:pPr>
        <w:widowControl/>
        <w:spacing w:line="360" w:lineRule="auto"/>
        <w:ind w:firstLine="470" w:firstLineChars="196"/>
        <w:jc w:val="left"/>
        <w:rPr>
          <w:rFonts w:hint="eastAsia" w:ascii="仿宋" w:hAnsi="仿宋" w:eastAsia="仿宋" w:cs="仿宋"/>
          <w:color w:val="auto"/>
          <w:sz w:val="24"/>
          <w:highlight w:val="none"/>
        </w:rPr>
      </w:pPr>
    </w:p>
    <w:p w14:paraId="1C2FA8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F9990E0">
      <w:pPr>
        <w:pStyle w:val="842"/>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rPr>
      </w:pPr>
      <w:bookmarkStart w:id="82" w:name="_Toc9002"/>
      <w:r>
        <w:rPr>
          <w:rFonts w:hint="eastAsia" w:ascii="仿宋" w:hAnsi="仿宋" w:eastAsia="仿宋" w:cs="仿宋"/>
          <w:color w:val="auto"/>
          <w:sz w:val="28"/>
          <w:szCs w:val="28"/>
          <w:highlight w:val="none"/>
        </w:rPr>
        <w:t>附件1</w:t>
      </w:r>
      <w:bookmarkEnd w:id="82"/>
    </w:p>
    <w:p w14:paraId="2DF4CAD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（1）中小企业声明函（货物）</w:t>
      </w:r>
    </w:p>
    <w:p w14:paraId="322DE1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江心屿西园垃圾中转站除臭设备采购项目(第二次)</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7B703C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C1B79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CFE9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94980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4942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F14A6E2">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4E5C54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48FCBE9">
      <w:pPr>
        <w:spacing w:line="360" w:lineRule="auto"/>
        <w:jc w:val="left"/>
        <w:rPr>
          <w:rFonts w:hint="eastAsia" w:ascii="仿宋" w:hAnsi="仿宋" w:eastAsia="仿宋" w:cs="仿宋"/>
          <w:color w:val="auto"/>
          <w:sz w:val="18"/>
          <w:szCs w:val="18"/>
          <w:highlight w:val="none"/>
        </w:rPr>
      </w:pPr>
    </w:p>
    <w:p w14:paraId="09A145BD">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5F34A1AD">
      <w:pPr>
        <w:spacing w:line="360" w:lineRule="auto"/>
        <w:ind w:right="420"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217013">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8507C76">
      <w:pPr>
        <w:spacing w:line="360" w:lineRule="auto"/>
        <w:jc w:val="center"/>
        <w:rPr>
          <w:rFonts w:hint="eastAsia" w:ascii="仿宋" w:hAnsi="仿宋" w:eastAsia="仿宋" w:cs="仿宋"/>
          <w:b/>
          <w:color w:val="auto"/>
          <w:sz w:val="32"/>
          <w:szCs w:val="32"/>
          <w:highlight w:val="none"/>
        </w:rPr>
      </w:pPr>
    </w:p>
    <w:p w14:paraId="403EA31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（2）中小企业声明函（工程、服务）</w:t>
      </w:r>
    </w:p>
    <w:p w14:paraId="3E8BD7A5">
      <w:pPr>
        <w:spacing w:line="360" w:lineRule="auto"/>
        <w:rPr>
          <w:rFonts w:hint="eastAsia" w:ascii="仿宋" w:hAnsi="仿宋" w:eastAsia="仿宋" w:cs="仿宋"/>
          <w:color w:val="auto"/>
          <w:highlight w:val="none"/>
        </w:rPr>
      </w:pPr>
    </w:p>
    <w:p w14:paraId="350A67C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江心屿西园垃圾中转站除臭设备采购项目(第二次)</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7D9C7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659E20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4727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13551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E0C834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3364F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DE67E3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7D084603">
      <w:pPr>
        <w:spacing w:line="360" w:lineRule="auto"/>
        <w:jc w:val="left"/>
        <w:rPr>
          <w:rFonts w:hint="eastAsia" w:ascii="仿宋" w:hAnsi="仿宋" w:eastAsia="仿宋" w:cs="仿宋"/>
          <w:b/>
          <w:color w:val="auto"/>
          <w:szCs w:val="21"/>
          <w:highlight w:val="none"/>
        </w:rPr>
      </w:pPr>
    </w:p>
    <w:p w14:paraId="73A87477">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4B89EFB4">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B8C697">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71D4D015">
      <w:pPr>
        <w:spacing w:line="360" w:lineRule="auto"/>
        <w:jc w:val="center"/>
        <w:rPr>
          <w:rFonts w:hint="eastAsia" w:ascii="仿宋" w:hAnsi="仿宋" w:eastAsia="仿宋" w:cs="仿宋"/>
          <w:b/>
          <w:bCs/>
          <w:color w:val="auto"/>
          <w:sz w:val="22"/>
          <w:szCs w:val="22"/>
          <w:highlight w:val="none"/>
        </w:rPr>
      </w:pPr>
    </w:p>
    <w:p w14:paraId="05608BE5">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（3）残疾人福利性单位声明函</w:t>
      </w:r>
    </w:p>
    <w:p w14:paraId="6348B358">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41275DEE">
      <w:pPr>
        <w:spacing w:line="588" w:lineRule="exact"/>
        <w:jc w:val="left"/>
        <w:rPr>
          <w:rFonts w:hint="eastAsia" w:ascii="仿宋" w:hAnsi="仿宋" w:eastAsia="仿宋" w:cs="仿宋"/>
          <w:b/>
          <w:color w:val="auto"/>
          <w:spacing w:val="6"/>
          <w:sz w:val="30"/>
          <w:szCs w:val="30"/>
          <w:highlight w:val="none"/>
        </w:rPr>
      </w:pPr>
    </w:p>
    <w:p w14:paraId="1B248B98">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42FE0C">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0B03BAB1">
      <w:pPr>
        <w:spacing w:line="480" w:lineRule="auto"/>
        <w:ind w:firstLine="504" w:firstLineChars="200"/>
        <w:jc w:val="left"/>
        <w:rPr>
          <w:rFonts w:hint="eastAsia" w:ascii="仿宋" w:hAnsi="仿宋" w:eastAsia="仿宋" w:cs="仿宋"/>
          <w:color w:val="auto"/>
          <w:spacing w:val="6"/>
          <w:sz w:val="24"/>
          <w:highlight w:val="none"/>
        </w:rPr>
      </w:pPr>
    </w:p>
    <w:p w14:paraId="0C5E0957">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14:paraId="45DFF4D7">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35F2D964">
      <w:pPr>
        <w:spacing w:line="360" w:lineRule="auto"/>
        <w:jc w:val="left"/>
        <w:rPr>
          <w:rFonts w:hint="eastAsia" w:ascii="仿宋" w:hAnsi="仿宋" w:eastAsia="仿宋" w:cs="仿宋"/>
          <w:b/>
          <w:color w:val="auto"/>
          <w:sz w:val="24"/>
          <w:highlight w:val="none"/>
        </w:rPr>
      </w:pPr>
    </w:p>
    <w:p w14:paraId="31D82939">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541DA1B1">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66565181">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4B4C12A6">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4AC13D1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D04E59E">
      <w:pPr>
        <w:snapToGrid w:val="0"/>
        <w:spacing w:before="50" w:after="50" w:line="360" w:lineRule="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附件2</w:t>
      </w:r>
    </w:p>
    <w:p w14:paraId="62AF0507">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联合体协议</w:t>
      </w:r>
    </w:p>
    <w:p w14:paraId="144A28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江心屿西园垃圾中转站除臭设备采购项目(第二次)</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投标。</w:t>
      </w:r>
    </w:p>
    <w:p w14:paraId="0263EC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8156A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B750E4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14:paraId="0008798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F8B79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5F498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4C35A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74306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EFB856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56A29E82">
      <w:pPr>
        <w:snapToGrid w:val="0"/>
        <w:spacing w:line="360" w:lineRule="auto"/>
        <w:ind w:firstLine="4536" w:firstLineChars="189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C3FDF3">
      <w:pPr>
        <w:snapToGrid w:val="0"/>
        <w:spacing w:line="360" w:lineRule="auto"/>
        <w:ind w:firstLine="4536" w:firstLineChars="189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F4B108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CD2A6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220A3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04AD61">
      <w:pPr>
        <w:snapToGrid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附件3</w:t>
      </w:r>
    </w:p>
    <w:p w14:paraId="2C0385E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69CF1305">
      <w:pPr>
        <w:widowControl/>
        <w:spacing w:line="360" w:lineRule="auto"/>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（中标后以分包方式履行合同的，提供分包意向协议；采购人不同意分包或者投标人中标后不以分包方式履行合同的，则不需要提供。）</w:t>
      </w:r>
    </w:p>
    <w:p w14:paraId="42AFE1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江心屿西园垃圾中转站除臭设备采购项目(第二次)</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48F54E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63896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602D3FC">
      <w:pPr>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14:paraId="244556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751BD100">
      <w:pPr>
        <w:snapToGrid w:val="0"/>
        <w:spacing w:line="360" w:lineRule="auto"/>
        <w:ind w:firstLine="576"/>
        <w:rPr>
          <w:rFonts w:hint="eastAsia" w:ascii="仿宋" w:hAnsi="仿宋" w:eastAsia="仿宋" w:cs="仿宋"/>
          <w:color w:val="auto"/>
          <w:highlight w:val="none"/>
          <w:u w:val="single"/>
        </w:rPr>
      </w:pPr>
    </w:p>
    <w:p w14:paraId="7C718F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40C9961">
      <w:pPr>
        <w:snapToGrid w:val="0"/>
        <w:spacing w:line="360" w:lineRule="auto"/>
        <w:ind w:firstLine="576"/>
        <w:rPr>
          <w:rFonts w:hint="eastAsia" w:ascii="仿宋" w:hAnsi="仿宋" w:eastAsia="仿宋" w:cs="仿宋"/>
          <w:color w:val="auto"/>
          <w:kern w:val="0"/>
          <w:sz w:val="24"/>
          <w:highlight w:val="none"/>
          <w:lang w:val="zh-CN"/>
        </w:rPr>
      </w:pPr>
    </w:p>
    <w:p w14:paraId="267814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8C0827B">
      <w:pPr>
        <w:snapToGrid w:val="0"/>
        <w:spacing w:line="360" w:lineRule="auto"/>
        <w:ind w:left="573" w:leftChars="273"/>
        <w:rPr>
          <w:rFonts w:hint="eastAsia" w:ascii="仿宋" w:hAnsi="仿宋" w:eastAsia="仿宋" w:cs="仿宋"/>
          <w:color w:val="auto"/>
          <w:kern w:val="0"/>
          <w:sz w:val="24"/>
          <w:highlight w:val="none"/>
          <w:lang w:val="zh-CN"/>
        </w:rPr>
      </w:pPr>
    </w:p>
    <w:p w14:paraId="4E76924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80B77C7">
      <w:pPr>
        <w:snapToGrid w:val="0"/>
        <w:spacing w:line="360" w:lineRule="auto"/>
        <w:ind w:firstLine="576"/>
        <w:rPr>
          <w:rFonts w:hint="eastAsia" w:ascii="仿宋" w:hAnsi="仿宋" w:eastAsia="仿宋" w:cs="仿宋"/>
          <w:color w:val="auto"/>
          <w:kern w:val="0"/>
          <w:sz w:val="24"/>
          <w:highlight w:val="none"/>
          <w:lang w:val="zh-CN"/>
        </w:rPr>
      </w:pPr>
    </w:p>
    <w:p w14:paraId="37C91E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1AF3A415">
      <w:pPr>
        <w:snapToGrid w:val="0"/>
        <w:spacing w:line="360" w:lineRule="auto"/>
        <w:ind w:firstLine="576"/>
        <w:rPr>
          <w:rFonts w:hint="eastAsia" w:ascii="仿宋" w:hAnsi="仿宋" w:eastAsia="仿宋" w:cs="仿宋"/>
          <w:color w:val="auto"/>
          <w:kern w:val="0"/>
          <w:sz w:val="24"/>
          <w:highlight w:val="none"/>
          <w:lang w:val="zh-CN"/>
        </w:rPr>
      </w:pPr>
    </w:p>
    <w:p w14:paraId="765E99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6DB3972">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 xml:space="preserve">  。</w:t>
      </w:r>
    </w:p>
    <w:p w14:paraId="7A4E98FA">
      <w:pPr>
        <w:wordWrap w:val="0"/>
        <w:snapToGrid w:val="0"/>
        <w:spacing w:line="360" w:lineRule="auto"/>
        <w:ind w:left="5758" w:leftChars="342" w:hanging="5040" w:hangingChars="210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p>
    <w:p w14:paraId="6278D070">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7CBE45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610102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1D16F0">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47CBD3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18996C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（根据招标公告本项目的特定资格要求及评标办法前附表的要求提供相应的材料；未要求的，无需提供）</w:t>
      </w:r>
    </w:p>
    <w:p w14:paraId="4FA1B12F">
      <w:pPr>
        <w:rPr>
          <w:rFonts w:hint="eastAsia" w:ascii="仿宋" w:hAnsi="仿宋" w:eastAsia="仿宋" w:cs="仿宋"/>
          <w:color w:val="auto"/>
          <w:highlight w:val="none"/>
        </w:rPr>
      </w:pPr>
    </w:p>
    <w:p w14:paraId="54ED40A6">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06A2313A">
      <w:pPr>
        <w:spacing w:line="360" w:lineRule="auto"/>
        <w:ind w:right="420"/>
        <w:jc w:val="center"/>
        <w:rPr>
          <w:rFonts w:hint="eastAsia" w:ascii="仿宋" w:hAnsi="仿宋" w:eastAsia="仿宋" w:cs="仿宋"/>
          <w:b/>
          <w:color w:val="auto"/>
          <w:kern w:val="0"/>
          <w:sz w:val="36"/>
          <w:szCs w:val="36"/>
          <w:highlight w:val="none"/>
        </w:rPr>
      </w:pPr>
      <w:bookmarkStart w:id="83" w:name="_Hlk93169794"/>
      <w:r>
        <w:rPr>
          <w:rFonts w:hint="eastAsia" w:ascii="仿宋" w:hAnsi="仿宋" w:eastAsia="仿宋" w:cs="仿宋"/>
          <w:b/>
          <w:color w:val="auto"/>
          <w:kern w:val="0"/>
          <w:sz w:val="36"/>
          <w:szCs w:val="36"/>
          <w:highlight w:val="none"/>
        </w:rPr>
        <w:t>商务技术文件部分</w:t>
      </w:r>
      <w:bookmarkEnd w:id="83"/>
    </w:p>
    <w:p w14:paraId="3690C114">
      <w:pPr>
        <w:spacing w:line="360" w:lineRule="auto"/>
        <w:jc w:val="center"/>
        <w:outlineLvl w:val="9"/>
        <w:rPr>
          <w:rFonts w:hint="eastAsia" w:ascii="仿宋" w:hAnsi="仿宋" w:eastAsia="仿宋" w:cs="仿宋"/>
          <w:b/>
          <w:color w:val="auto"/>
          <w:kern w:val="0"/>
          <w:sz w:val="24"/>
          <w:highlight w:val="none"/>
        </w:rPr>
      </w:pPr>
    </w:p>
    <w:p w14:paraId="25204D84">
      <w:pPr>
        <w:spacing w:line="360" w:lineRule="auto"/>
        <w:jc w:val="center"/>
        <w:outlineLvl w:val="0"/>
        <w:rPr>
          <w:rFonts w:hint="eastAsia" w:ascii="仿宋" w:hAnsi="仿宋" w:eastAsia="仿宋" w:cs="仿宋"/>
          <w:b/>
          <w:color w:val="auto"/>
          <w:kern w:val="0"/>
          <w:sz w:val="28"/>
          <w:szCs w:val="28"/>
          <w:highlight w:val="none"/>
        </w:rPr>
      </w:pPr>
      <w:bookmarkStart w:id="84" w:name="_Toc9497"/>
      <w:r>
        <w:rPr>
          <w:rFonts w:hint="eastAsia" w:ascii="仿宋" w:hAnsi="仿宋" w:eastAsia="仿宋" w:cs="仿宋"/>
          <w:b/>
          <w:color w:val="auto"/>
          <w:kern w:val="0"/>
          <w:sz w:val="28"/>
          <w:szCs w:val="28"/>
          <w:highlight w:val="none"/>
        </w:rPr>
        <w:t>目录</w:t>
      </w:r>
      <w:bookmarkEnd w:id="84"/>
    </w:p>
    <w:p w14:paraId="00F17DB4">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74ED91AA">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B87DCD4">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91E4865">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…………………………………………………（页码）</w:t>
      </w:r>
    </w:p>
    <w:p w14:paraId="3AE976B0">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55396C00">
      <w:pPr>
        <w:snapToGrid w:val="0"/>
        <w:spacing w:line="360" w:lineRule="auto"/>
        <w:jc w:val="center"/>
        <w:outlineLvl w:val="9"/>
        <w:rPr>
          <w:rFonts w:hint="eastAsia" w:ascii="仿宋" w:hAnsi="仿宋" w:eastAsia="仿宋" w:cs="仿宋"/>
          <w:b/>
          <w:color w:val="auto"/>
          <w:kern w:val="0"/>
          <w:sz w:val="32"/>
          <w:szCs w:val="32"/>
          <w:highlight w:val="none"/>
        </w:rPr>
      </w:pPr>
    </w:p>
    <w:p w14:paraId="2901EA9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0FA9B">
      <w:pPr>
        <w:snapToGrid w:val="0"/>
        <w:spacing w:line="360" w:lineRule="auto"/>
        <w:jc w:val="left"/>
        <w:outlineLvl w:val="0"/>
        <w:rPr>
          <w:rFonts w:hint="eastAsia" w:ascii="仿宋" w:hAnsi="仿宋" w:eastAsia="仿宋" w:cs="仿宋"/>
          <w:b/>
          <w:color w:val="auto"/>
          <w:kern w:val="0"/>
          <w:sz w:val="28"/>
          <w:szCs w:val="28"/>
          <w:highlight w:val="none"/>
        </w:rPr>
      </w:pPr>
      <w:bookmarkStart w:id="85" w:name="_Toc22136"/>
      <w:r>
        <w:rPr>
          <w:rFonts w:hint="eastAsia" w:ascii="仿宋" w:hAnsi="仿宋" w:eastAsia="仿宋" w:cs="仿宋"/>
          <w:b/>
          <w:color w:val="auto"/>
          <w:kern w:val="0"/>
          <w:sz w:val="28"/>
          <w:szCs w:val="28"/>
          <w:highlight w:val="none"/>
        </w:rPr>
        <w:t>附件4</w:t>
      </w:r>
      <w:bookmarkEnd w:id="85"/>
    </w:p>
    <w:p w14:paraId="40DC7253">
      <w:pPr>
        <w:snapToGrid w:val="0"/>
        <w:spacing w:line="360" w:lineRule="auto"/>
        <w:jc w:val="center"/>
        <w:outlineLvl w:val="0"/>
        <w:rPr>
          <w:rFonts w:hint="eastAsia" w:ascii="仿宋" w:hAnsi="仿宋" w:eastAsia="仿宋" w:cs="仿宋"/>
          <w:b/>
          <w:color w:val="auto"/>
          <w:sz w:val="32"/>
          <w:szCs w:val="32"/>
          <w:highlight w:val="none"/>
        </w:rPr>
      </w:pPr>
      <w:bookmarkStart w:id="86" w:name="_Toc15627"/>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86"/>
    </w:p>
    <w:p w14:paraId="6FDC55EB">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（采购代理机构）</w:t>
      </w:r>
      <w:r>
        <w:rPr>
          <w:rFonts w:hint="eastAsia" w:ascii="仿宋" w:hAnsi="仿宋" w:eastAsia="仿宋" w:cs="仿宋"/>
          <w:color w:val="auto"/>
          <w:szCs w:val="21"/>
          <w:highlight w:val="none"/>
        </w:rPr>
        <w:t>：</w:t>
      </w:r>
    </w:p>
    <w:p w14:paraId="4F02B82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我方参加你方组织的</w:t>
      </w:r>
      <w:r>
        <w:rPr>
          <w:rFonts w:hint="eastAsia" w:ascii="仿宋" w:hAnsi="仿宋" w:eastAsia="仿宋" w:cs="仿宋"/>
          <w:color w:val="auto"/>
          <w:szCs w:val="21"/>
          <w:highlight w:val="none"/>
          <w:u w:val="single"/>
          <w:lang w:eastAsia="zh-CN"/>
        </w:rPr>
        <w:t>江心屿西园垃圾中转站除臭设备采购项目(第二次)</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采购编号</w:t>
      </w:r>
      <w:r>
        <w:rPr>
          <w:rFonts w:hint="eastAsia" w:ascii="仿宋" w:hAnsi="仿宋" w:eastAsia="仿宋" w:cs="仿宋"/>
          <w:color w:val="auto"/>
          <w:szCs w:val="21"/>
          <w:highlight w:val="none"/>
        </w:rPr>
        <w:t>】采购的有关活动，并对此项目进行投标。为此：</w:t>
      </w:r>
    </w:p>
    <w:p w14:paraId="6864856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1、我方承诺投标有效期从提交投标文件的截止之日起天（不少于</w:t>
      </w:r>
      <w:r>
        <w:rPr>
          <w:rFonts w:hint="eastAsia" w:ascii="仿宋" w:hAnsi="仿宋" w:eastAsia="仿宋" w:cs="仿宋"/>
          <w:color w:val="auto"/>
          <w:szCs w:val="21"/>
          <w:highlight w:val="none"/>
          <w:u w:val="single"/>
        </w:rPr>
        <w:t>90</w:t>
      </w:r>
      <w:r>
        <w:rPr>
          <w:rFonts w:hint="eastAsia" w:ascii="仿宋" w:hAnsi="仿宋" w:eastAsia="仿宋" w:cs="仿宋"/>
          <w:color w:val="auto"/>
          <w:szCs w:val="21"/>
          <w:highlight w:val="none"/>
        </w:rPr>
        <w:t>天），本投标文件在投标有效期满之前均具有约束力。</w:t>
      </w:r>
    </w:p>
    <w:p w14:paraId="6A194D7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2、我方的投标文件包括以下内容：</w:t>
      </w:r>
    </w:p>
    <w:p w14:paraId="318E0557">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2.1资格文件：</w:t>
      </w:r>
    </w:p>
    <w:p w14:paraId="2DF12AA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2.1.1承诺函；</w:t>
      </w:r>
    </w:p>
    <w:p w14:paraId="000D7759">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2.1.2落实政府采购政策需满足的资格要求（如果有）；</w:t>
      </w:r>
    </w:p>
    <w:p w14:paraId="6E6E59AB">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2.1.3本项目的特定资格要求（如果有）。</w:t>
      </w:r>
    </w:p>
    <w:p w14:paraId="41F28597">
      <w:pPr>
        <w:snapToGrid w:val="0"/>
        <w:spacing w:line="360" w:lineRule="auto"/>
        <w:ind w:left="210" w:leftChars="100"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2商务技术</w:t>
      </w:r>
      <w:r>
        <w:rPr>
          <w:rFonts w:hint="eastAsia" w:ascii="仿宋" w:hAnsi="仿宋" w:eastAsia="仿宋" w:cs="仿宋"/>
          <w:color w:val="auto"/>
          <w:szCs w:val="21"/>
          <w:highlight w:val="none"/>
          <w:lang w:val="zh-CN"/>
        </w:rPr>
        <w:t>文件：</w:t>
      </w:r>
    </w:p>
    <w:p w14:paraId="44E7FA7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2.2.1投标函；</w:t>
      </w:r>
    </w:p>
    <w:p w14:paraId="51189A4D">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2.2.2授权委托书或法定代表人（单位负责人）身份证明；</w:t>
      </w:r>
    </w:p>
    <w:p w14:paraId="2729E243">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2.2.3符合性审查资料；</w:t>
      </w:r>
    </w:p>
    <w:p w14:paraId="6E768599">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2.2.4评标标准相应的商务技术资料；</w:t>
      </w:r>
    </w:p>
    <w:p w14:paraId="232BE1D2">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2.2.5商务技术偏离表；</w:t>
      </w:r>
    </w:p>
    <w:p w14:paraId="0F1B1539">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3报价文件</w:t>
      </w:r>
    </w:p>
    <w:p w14:paraId="19F3DAFF">
      <w:pPr>
        <w:snapToGrid w:val="0"/>
        <w:spacing w:line="360" w:lineRule="auto"/>
        <w:ind w:left="420" w:leftChars="200" w:firstLine="420" w:firstLineChars="200"/>
        <w:rPr>
          <w:rFonts w:hint="eastAsia" w:ascii="仿宋" w:hAnsi="仿宋" w:eastAsia="仿宋" w:cs="仿宋"/>
          <w:color w:val="auto"/>
          <w:szCs w:val="21"/>
          <w:highlight w:val="none"/>
        </w:rPr>
      </w:pPr>
      <w:bookmarkStart w:id="87" w:name="_Hlk93170136"/>
      <w:r>
        <w:rPr>
          <w:rFonts w:hint="eastAsia" w:ascii="仿宋" w:hAnsi="仿宋" w:eastAsia="仿宋" w:cs="仿宋"/>
          <w:color w:val="auto"/>
          <w:szCs w:val="21"/>
          <w:highlight w:val="none"/>
        </w:rPr>
        <w:t>2.3.1开标一览表（报价表）；</w:t>
      </w:r>
    </w:p>
    <w:p w14:paraId="730C2E4D">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2.3.2价格组成表；</w:t>
      </w:r>
    </w:p>
    <w:p w14:paraId="7AD94415">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2.3.3政府采购政策情况表。</w:t>
      </w:r>
      <w:bookmarkEnd w:id="87"/>
    </w:p>
    <w:p w14:paraId="5B56F96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3、我方承诺除商务技术偏离表列出的偏离外，我方响应招标文件的全部要求。</w:t>
      </w:r>
    </w:p>
    <w:p w14:paraId="2F16446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4、如我方中标，我方承诺：</w:t>
      </w:r>
    </w:p>
    <w:p w14:paraId="57396842">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4.1在收到中标通知书后，在中标通知书规定的期限内与你方签订合同； </w:t>
      </w:r>
    </w:p>
    <w:p w14:paraId="4FD976BA">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4.2在签订合同时不向你方提出附加条件； </w:t>
      </w:r>
    </w:p>
    <w:p w14:paraId="2104BB23">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4.3按照招标文件要求提交履约保证金； </w:t>
      </w:r>
    </w:p>
    <w:p w14:paraId="32EBA153">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4.4在合同约定的期限内完成合同规定的全部义务。 </w:t>
      </w:r>
    </w:p>
    <w:p w14:paraId="70F0A7B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5、其他补充说明: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C1807FC">
      <w:pP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投标人名称（电子签名）：</w:t>
      </w:r>
    </w:p>
    <w:p w14:paraId="1EC74BE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0669DED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E3B3E12">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14:paraId="058E488D">
      <w:pPr>
        <w:jc w:val="center"/>
        <w:rPr>
          <w:rFonts w:hint="eastAsia" w:ascii="仿宋" w:hAnsi="仿宋" w:eastAsia="仿宋" w:cs="仿宋"/>
          <w:b/>
          <w:color w:val="auto"/>
          <w:kern w:val="0"/>
          <w:sz w:val="32"/>
          <w:szCs w:val="32"/>
          <w:highlight w:val="none"/>
          <w:lang w:val="zh-CN"/>
        </w:rPr>
      </w:pPr>
    </w:p>
    <w:p w14:paraId="7BBC99D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195B0EAB">
      <w:pPr>
        <w:snapToGrid w:val="0"/>
        <w:spacing w:line="360" w:lineRule="auto"/>
        <w:rPr>
          <w:rFonts w:hint="eastAsia" w:ascii="仿宋" w:hAnsi="仿宋" w:eastAsia="仿宋" w:cs="仿宋"/>
          <w:color w:val="auto"/>
          <w:sz w:val="24"/>
          <w:highlight w:val="none"/>
        </w:rPr>
      </w:pPr>
    </w:p>
    <w:p w14:paraId="7FC04FA1">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0B2BC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（采购代理机构）</w:t>
      </w:r>
      <w:r>
        <w:rPr>
          <w:rFonts w:hint="eastAsia" w:ascii="仿宋" w:hAnsi="仿宋" w:eastAsia="仿宋" w:cs="仿宋"/>
          <w:color w:val="auto"/>
          <w:kern w:val="0"/>
          <w:sz w:val="24"/>
          <w:highlight w:val="none"/>
          <w:lang w:val="zh-CN"/>
        </w:rPr>
        <w:t>：</w:t>
      </w:r>
    </w:p>
    <w:p w14:paraId="226FD59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江心屿西园垃圾中转站除臭设备采购项目(第二次)</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399194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568A9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93D643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7954DD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6CFBEC3">
      <w:pPr>
        <w:snapToGrid w:val="0"/>
        <w:spacing w:line="360" w:lineRule="auto"/>
        <w:rPr>
          <w:rFonts w:hint="eastAsia" w:ascii="仿宋" w:hAnsi="仿宋" w:eastAsia="仿宋" w:cs="仿宋"/>
          <w:color w:val="auto"/>
          <w:sz w:val="24"/>
          <w:highlight w:val="none"/>
        </w:rPr>
      </w:pPr>
    </w:p>
    <w:p w14:paraId="26501BCE">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ECF948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B05A46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江心屿西园垃圾中转站除臭设备采购项目(第二次)</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4BF89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05F9F5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2EF4FAA">
      <w:pPr>
        <w:rPr>
          <w:rFonts w:hint="eastAsia" w:ascii="仿宋" w:hAnsi="仿宋" w:eastAsia="仿宋" w:cs="仿宋"/>
          <w:color w:val="auto"/>
          <w:highlight w:val="none"/>
        </w:rPr>
      </w:pPr>
    </w:p>
    <w:p w14:paraId="2F7D44BA">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8253974">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EF8BF2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71A124A">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F909F8">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1E641E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26EA9F1">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84E40E0">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C1049BC">
      <w:pPr>
        <w:pStyle w:val="25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B2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BBD643">
            <w:pPr>
              <w:pStyle w:val="25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1A78A989">
            <w:pPr>
              <w:pStyle w:val="257"/>
              <w:adjustRightInd w:val="0"/>
              <w:spacing w:line="360" w:lineRule="auto"/>
              <w:rPr>
                <w:rFonts w:hint="eastAsia" w:ascii="仿宋" w:hAnsi="仿宋" w:eastAsia="仿宋" w:cs="仿宋"/>
                <w:bCs/>
                <w:color w:val="auto"/>
                <w:sz w:val="24"/>
                <w:highlight w:val="none"/>
              </w:rPr>
            </w:pPr>
          </w:p>
        </w:tc>
      </w:tr>
    </w:tbl>
    <w:p w14:paraId="5C31AECF">
      <w:pPr>
        <w:snapToGrid w:val="0"/>
        <w:spacing w:line="360" w:lineRule="auto"/>
        <w:ind w:firstLine="576"/>
        <w:jc w:val="center"/>
        <w:rPr>
          <w:rFonts w:hint="eastAsia" w:ascii="仿宋" w:hAnsi="仿宋" w:eastAsia="仿宋" w:cs="仿宋"/>
          <w:color w:val="auto"/>
          <w:kern w:val="0"/>
          <w:sz w:val="24"/>
          <w:highlight w:val="none"/>
          <w:lang w:val="zh-CN"/>
        </w:rPr>
      </w:pPr>
    </w:p>
    <w:p w14:paraId="5FAD85A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BD92FF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E9DCA1">
      <w:pPr>
        <w:jc w:val="center"/>
        <w:rPr>
          <w:rFonts w:hint="eastAsia" w:ascii="仿宋" w:hAnsi="仿宋" w:eastAsia="仿宋" w:cs="仿宋"/>
          <w:b/>
          <w:color w:val="auto"/>
          <w:kern w:val="0"/>
          <w:sz w:val="32"/>
          <w:szCs w:val="32"/>
          <w:highlight w:val="none"/>
        </w:rPr>
      </w:pPr>
    </w:p>
    <w:p w14:paraId="55C47F4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26A047F">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14:paraId="071A7A3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7C70ECC2">
      <w:pPr>
        <w:jc w:val="center"/>
        <w:rPr>
          <w:rFonts w:hint="eastAsia" w:ascii="仿宋" w:hAnsi="仿宋" w:eastAsia="仿宋" w:cs="仿宋"/>
          <w:b/>
          <w:color w:val="auto"/>
          <w:kern w:val="0"/>
          <w:sz w:val="32"/>
          <w:szCs w:val="32"/>
          <w:highlight w:val="none"/>
        </w:rPr>
      </w:pPr>
    </w:p>
    <w:tbl>
      <w:tblPr>
        <w:tblStyle w:val="5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162"/>
        <w:gridCol w:w="2663"/>
        <w:gridCol w:w="1480"/>
      </w:tblGrid>
      <w:tr w14:paraId="021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74" w:type="dxa"/>
            <w:vAlign w:val="center"/>
          </w:tcPr>
          <w:p w14:paraId="344951B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162" w:type="dxa"/>
            <w:vAlign w:val="center"/>
          </w:tcPr>
          <w:p w14:paraId="76A70C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663" w:type="dxa"/>
            <w:vAlign w:val="center"/>
          </w:tcPr>
          <w:p w14:paraId="1691EE1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80" w:type="dxa"/>
            <w:vAlign w:val="center"/>
          </w:tcPr>
          <w:p w14:paraId="2AF9152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A6629E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E34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41816C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62" w:type="dxa"/>
            <w:vAlign w:val="center"/>
          </w:tcPr>
          <w:p w14:paraId="567107E7">
            <w:pPr>
              <w:spacing w:line="360" w:lineRule="auto"/>
              <w:jc w:val="center"/>
              <w:rPr>
                <w:rFonts w:hint="eastAsia" w:ascii="仿宋" w:hAnsi="仿宋" w:eastAsia="仿宋" w:cs="仿宋"/>
                <w:color w:val="auto"/>
                <w:sz w:val="24"/>
                <w:highlight w:val="none"/>
              </w:rPr>
            </w:pPr>
          </w:p>
        </w:tc>
        <w:tc>
          <w:tcPr>
            <w:tcW w:w="2663" w:type="dxa"/>
            <w:vAlign w:val="center"/>
          </w:tcPr>
          <w:p w14:paraId="4D74407C">
            <w:pPr>
              <w:jc w:val="center"/>
              <w:rPr>
                <w:rFonts w:hint="eastAsia" w:ascii="仿宋" w:hAnsi="仿宋" w:eastAsia="仿宋" w:cs="仿宋"/>
                <w:color w:val="auto"/>
                <w:sz w:val="24"/>
                <w:highlight w:val="none"/>
              </w:rPr>
            </w:pPr>
          </w:p>
        </w:tc>
        <w:tc>
          <w:tcPr>
            <w:tcW w:w="1480" w:type="dxa"/>
            <w:vAlign w:val="center"/>
          </w:tcPr>
          <w:p w14:paraId="0073A3D4">
            <w:pPr>
              <w:jc w:val="center"/>
              <w:rPr>
                <w:rFonts w:hint="eastAsia" w:ascii="仿宋" w:hAnsi="仿宋" w:eastAsia="仿宋" w:cs="仿宋"/>
                <w:color w:val="auto"/>
                <w:sz w:val="24"/>
                <w:highlight w:val="none"/>
              </w:rPr>
            </w:pPr>
          </w:p>
        </w:tc>
      </w:tr>
      <w:tr w14:paraId="57E1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2863C2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162" w:type="dxa"/>
            <w:vAlign w:val="center"/>
          </w:tcPr>
          <w:p w14:paraId="0B7FE850">
            <w:pPr>
              <w:spacing w:line="360" w:lineRule="auto"/>
              <w:jc w:val="center"/>
              <w:rPr>
                <w:rFonts w:hint="eastAsia" w:ascii="仿宋" w:hAnsi="仿宋" w:eastAsia="仿宋" w:cs="仿宋"/>
                <w:color w:val="auto"/>
                <w:sz w:val="24"/>
                <w:highlight w:val="none"/>
              </w:rPr>
            </w:pPr>
          </w:p>
        </w:tc>
        <w:tc>
          <w:tcPr>
            <w:tcW w:w="2663" w:type="dxa"/>
            <w:vAlign w:val="center"/>
          </w:tcPr>
          <w:p w14:paraId="023584DC">
            <w:pPr>
              <w:jc w:val="center"/>
              <w:rPr>
                <w:rFonts w:hint="eastAsia" w:ascii="仿宋" w:hAnsi="仿宋" w:eastAsia="仿宋" w:cs="仿宋"/>
                <w:color w:val="auto"/>
                <w:sz w:val="24"/>
                <w:highlight w:val="none"/>
              </w:rPr>
            </w:pPr>
          </w:p>
        </w:tc>
        <w:tc>
          <w:tcPr>
            <w:tcW w:w="1480" w:type="dxa"/>
            <w:vAlign w:val="center"/>
          </w:tcPr>
          <w:p w14:paraId="18A3B489">
            <w:pPr>
              <w:pStyle w:val="3"/>
              <w:jc w:val="center"/>
              <w:outlineLvl w:val="9"/>
              <w:rPr>
                <w:rFonts w:hint="eastAsia" w:ascii="仿宋" w:hAnsi="仿宋" w:eastAsia="仿宋" w:cs="仿宋"/>
                <w:color w:val="auto"/>
                <w:sz w:val="24"/>
                <w:szCs w:val="24"/>
                <w:highlight w:val="none"/>
              </w:rPr>
            </w:pPr>
          </w:p>
        </w:tc>
      </w:tr>
      <w:tr w14:paraId="3655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635B04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62" w:type="dxa"/>
            <w:vAlign w:val="center"/>
          </w:tcPr>
          <w:p w14:paraId="6542D4AE">
            <w:pPr>
              <w:spacing w:line="360" w:lineRule="auto"/>
              <w:jc w:val="center"/>
              <w:rPr>
                <w:rFonts w:hint="eastAsia" w:ascii="仿宋" w:hAnsi="仿宋" w:eastAsia="仿宋" w:cs="仿宋"/>
                <w:color w:val="auto"/>
                <w:sz w:val="24"/>
                <w:highlight w:val="none"/>
              </w:rPr>
            </w:pPr>
          </w:p>
        </w:tc>
        <w:tc>
          <w:tcPr>
            <w:tcW w:w="2663" w:type="dxa"/>
            <w:vAlign w:val="center"/>
          </w:tcPr>
          <w:p w14:paraId="4F25CBA0">
            <w:pPr>
              <w:jc w:val="center"/>
              <w:rPr>
                <w:rFonts w:hint="eastAsia" w:ascii="仿宋" w:hAnsi="仿宋" w:eastAsia="仿宋" w:cs="仿宋"/>
                <w:color w:val="auto"/>
                <w:sz w:val="24"/>
                <w:highlight w:val="none"/>
              </w:rPr>
            </w:pPr>
          </w:p>
        </w:tc>
        <w:tc>
          <w:tcPr>
            <w:tcW w:w="1480" w:type="dxa"/>
            <w:vAlign w:val="center"/>
          </w:tcPr>
          <w:p w14:paraId="6A433814">
            <w:pPr>
              <w:jc w:val="center"/>
              <w:rPr>
                <w:rFonts w:hint="eastAsia" w:ascii="仿宋" w:hAnsi="仿宋" w:eastAsia="仿宋" w:cs="仿宋"/>
                <w:color w:val="auto"/>
                <w:sz w:val="24"/>
                <w:highlight w:val="none"/>
              </w:rPr>
            </w:pPr>
          </w:p>
        </w:tc>
      </w:tr>
      <w:tr w14:paraId="3F2A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74" w:type="dxa"/>
            <w:vAlign w:val="center"/>
          </w:tcPr>
          <w:p w14:paraId="3C8F72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2" w:type="dxa"/>
          </w:tcPr>
          <w:p w14:paraId="53EE367C">
            <w:pPr>
              <w:spacing w:line="360" w:lineRule="auto"/>
              <w:jc w:val="center"/>
              <w:rPr>
                <w:rFonts w:hint="eastAsia" w:ascii="仿宋" w:hAnsi="仿宋" w:eastAsia="仿宋" w:cs="仿宋"/>
                <w:color w:val="auto"/>
                <w:sz w:val="24"/>
                <w:highlight w:val="none"/>
              </w:rPr>
            </w:pPr>
          </w:p>
        </w:tc>
        <w:tc>
          <w:tcPr>
            <w:tcW w:w="2663" w:type="dxa"/>
            <w:vAlign w:val="center"/>
          </w:tcPr>
          <w:p w14:paraId="09588D13">
            <w:pPr>
              <w:jc w:val="center"/>
              <w:rPr>
                <w:rFonts w:hint="eastAsia" w:ascii="仿宋" w:hAnsi="仿宋" w:eastAsia="仿宋" w:cs="仿宋"/>
                <w:color w:val="auto"/>
                <w:sz w:val="24"/>
                <w:highlight w:val="none"/>
              </w:rPr>
            </w:pPr>
          </w:p>
        </w:tc>
        <w:tc>
          <w:tcPr>
            <w:tcW w:w="1480" w:type="dxa"/>
          </w:tcPr>
          <w:p w14:paraId="74505427">
            <w:pPr>
              <w:jc w:val="center"/>
              <w:rPr>
                <w:rFonts w:hint="eastAsia" w:ascii="仿宋" w:hAnsi="仿宋" w:eastAsia="仿宋" w:cs="仿宋"/>
                <w:color w:val="auto"/>
                <w:sz w:val="24"/>
                <w:highlight w:val="none"/>
              </w:rPr>
            </w:pPr>
          </w:p>
        </w:tc>
      </w:tr>
    </w:tbl>
    <w:p w14:paraId="2D7625D6">
      <w:pPr>
        <w:rPr>
          <w:rFonts w:hint="eastAsia" w:ascii="仿宋" w:hAnsi="仿宋" w:eastAsia="仿宋" w:cs="仿宋"/>
          <w:color w:val="auto"/>
          <w:kern w:val="0"/>
          <w:szCs w:val="21"/>
          <w:highlight w:val="none"/>
        </w:rPr>
      </w:pPr>
    </w:p>
    <w:p w14:paraId="5750249D">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注：根据招标文件第六部分“评标办法”第2.2款“符合性审查”的要求，逐条作出实质性响应。</w:t>
      </w:r>
    </w:p>
    <w:p w14:paraId="35525934">
      <w:pPr>
        <w:jc w:val="center"/>
        <w:rPr>
          <w:rFonts w:hint="eastAsia" w:ascii="仿宋" w:hAnsi="仿宋" w:eastAsia="仿宋" w:cs="仿宋"/>
          <w:b/>
          <w:color w:val="auto"/>
          <w:kern w:val="0"/>
          <w:sz w:val="32"/>
          <w:szCs w:val="32"/>
          <w:highlight w:val="none"/>
        </w:rPr>
      </w:pPr>
    </w:p>
    <w:p w14:paraId="22DF391D">
      <w:pPr>
        <w:jc w:val="center"/>
        <w:rPr>
          <w:rFonts w:hint="eastAsia" w:ascii="仿宋" w:hAnsi="仿宋" w:eastAsia="仿宋" w:cs="仿宋"/>
          <w:b/>
          <w:color w:val="auto"/>
          <w:kern w:val="0"/>
          <w:sz w:val="32"/>
          <w:szCs w:val="32"/>
          <w:highlight w:val="none"/>
        </w:rPr>
      </w:pPr>
    </w:p>
    <w:p w14:paraId="6AC3CEB9">
      <w:pPr>
        <w:jc w:val="center"/>
        <w:rPr>
          <w:rFonts w:hint="eastAsia" w:ascii="仿宋" w:hAnsi="仿宋" w:eastAsia="仿宋" w:cs="仿宋"/>
          <w:b/>
          <w:color w:val="auto"/>
          <w:kern w:val="0"/>
          <w:sz w:val="32"/>
          <w:szCs w:val="32"/>
          <w:highlight w:val="none"/>
        </w:rPr>
      </w:pPr>
    </w:p>
    <w:p w14:paraId="4E5BF367">
      <w:pPr>
        <w:jc w:val="center"/>
        <w:rPr>
          <w:rFonts w:hint="eastAsia" w:ascii="仿宋" w:hAnsi="仿宋" w:eastAsia="仿宋" w:cs="仿宋"/>
          <w:b/>
          <w:color w:val="auto"/>
          <w:kern w:val="0"/>
          <w:sz w:val="32"/>
          <w:szCs w:val="32"/>
          <w:highlight w:val="none"/>
        </w:rPr>
      </w:pPr>
    </w:p>
    <w:p w14:paraId="325DC7EA">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D58700">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附件7</w:t>
      </w:r>
    </w:p>
    <w:p w14:paraId="0B318C8A">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36D81075">
      <w:pPr>
        <w:snapToGrid w:val="0"/>
        <w:spacing w:line="360" w:lineRule="auto"/>
        <w:jc w:val="left"/>
        <w:rPr>
          <w:rFonts w:hint="eastAsia" w:ascii="仿宋" w:hAnsi="仿宋" w:eastAsia="仿宋" w:cs="仿宋"/>
          <w:b/>
          <w:color w:val="auto"/>
          <w:sz w:val="24"/>
          <w:highlight w:val="none"/>
        </w:rPr>
      </w:pPr>
    </w:p>
    <w:p w14:paraId="244327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（按招标文件第六部分评标办法前附表中相应的商务技术评审因素提供资料）</w:t>
      </w:r>
    </w:p>
    <w:p w14:paraId="199129A3">
      <w:pPr>
        <w:jc w:val="center"/>
        <w:rPr>
          <w:rFonts w:hint="eastAsia" w:ascii="仿宋" w:hAnsi="仿宋" w:eastAsia="仿宋" w:cs="仿宋"/>
          <w:b/>
          <w:color w:val="auto"/>
          <w:kern w:val="0"/>
          <w:sz w:val="32"/>
          <w:szCs w:val="32"/>
          <w:highlight w:val="none"/>
        </w:rPr>
      </w:pPr>
    </w:p>
    <w:p w14:paraId="0D205142">
      <w:pPr>
        <w:jc w:val="center"/>
        <w:rPr>
          <w:rFonts w:hint="eastAsia" w:ascii="仿宋" w:hAnsi="仿宋" w:eastAsia="仿宋" w:cs="仿宋"/>
          <w:b/>
          <w:color w:val="auto"/>
          <w:kern w:val="0"/>
          <w:sz w:val="32"/>
          <w:szCs w:val="32"/>
          <w:highlight w:val="none"/>
        </w:rPr>
      </w:pPr>
    </w:p>
    <w:p w14:paraId="335AA95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C81979">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附件8</w:t>
      </w:r>
    </w:p>
    <w:p w14:paraId="58532C6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655"/>
        <w:gridCol w:w="3502"/>
        <w:gridCol w:w="1371"/>
      </w:tblGrid>
      <w:tr w14:paraId="5946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0" w:type="dxa"/>
            <w:shd w:val="clear" w:color="auto" w:fill="auto"/>
          </w:tcPr>
          <w:p w14:paraId="6EFD3C3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55" w:type="dxa"/>
            <w:shd w:val="clear" w:color="auto" w:fill="auto"/>
          </w:tcPr>
          <w:p w14:paraId="352D73C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02" w:type="dxa"/>
            <w:shd w:val="clear" w:color="auto" w:fill="auto"/>
          </w:tcPr>
          <w:p w14:paraId="520B28A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71" w:type="dxa"/>
            <w:shd w:val="clear" w:color="auto" w:fill="auto"/>
          </w:tcPr>
          <w:p w14:paraId="7F38F9E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07B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30" w:type="dxa"/>
            <w:shd w:val="clear" w:color="auto" w:fill="auto"/>
          </w:tcPr>
          <w:p w14:paraId="1B437BD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55" w:type="dxa"/>
            <w:shd w:val="clear" w:color="auto" w:fill="auto"/>
          </w:tcPr>
          <w:p w14:paraId="0AC87CB9">
            <w:pPr>
              <w:jc w:val="center"/>
              <w:rPr>
                <w:rFonts w:hint="eastAsia" w:ascii="仿宋" w:hAnsi="仿宋" w:eastAsia="仿宋" w:cs="仿宋"/>
                <w:b/>
                <w:color w:val="auto"/>
                <w:kern w:val="0"/>
                <w:sz w:val="32"/>
                <w:szCs w:val="32"/>
                <w:highlight w:val="none"/>
              </w:rPr>
            </w:pPr>
          </w:p>
        </w:tc>
        <w:tc>
          <w:tcPr>
            <w:tcW w:w="3502" w:type="dxa"/>
            <w:shd w:val="clear" w:color="auto" w:fill="auto"/>
          </w:tcPr>
          <w:p w14:paraId="2006842B">
            <w:pPr>
              <w:jc w:val="center"/>
              <w:rPr>
                <w:rFonts w:hint="eastAsia" w:ascii="仿宋" w:hAnsi="仿宋" w:eastAsia="仿宋" w:cs="仿宋"/>
                <w:b/>
                <w:color w:val="auto"/>
                <w:kern w:val="0"/>
                <w:sz w:val="32"/>
                <w:szCs w:val="32"/>
                <w:highlight w:val="none"/>
              </w:rPr>
            </w:pPr>
          </w:p>
        </w:tc>
        <w:tc>
          <w:tcPr>
            <w:tcW w:w="1371" w:type="dxa"/>
            <w:shd w:val="clear" w:color="auto" w:fill="auto"/>
          </w:tcPr>
          <w:p w14:paraId="5D6656FC">
            <w:pPr>
              <w:jc w:val="center"/>
              <w:rPr>
                <w:rFonts w:hint="eastAsia" w:ascii="仿宋" w:hAnsi="仿宋" w:eastAsia="仿宋" w:cs="仿宋"/>
                <w:b/>
                <w:color w:val="auto"/>
                <w:kern w:val="0"/>
                <w:sz w:val="32"/>
                <w:szCs w:val="32"/>
                <w:highlight w:val="none"/>
              </w:rPr>
            </w:pPr>
          </w:p>
        </w:tc>
      </w:tr>
      <w:tr w14:paraId="2A01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30" w:type="dxa"/>
            <w:shd w:val="clear" w:color="auto" w:fill="auto"/>
          </w:tcPr>
          <w:p w14:paraId="7E28F20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55" w:type="dxa"/>
            <w:shd w:val="clear" w:color="auto" w:fill="auto"/>
          </w:tcPr>
          <w:p w14:paraId="42AF6F64">
            <w:pPr>
              <w:jc w:val="center"/>
              <w:rPr>
                <w:rFonts w:hint="eastAsia" w:ascii="仿宋" w:hAnsi="仿宋" w:eastAsia="仿宋" w:cs="仿宋"/>
                <w:b/>
                <w:color w:val="auto"/>
                <w:kern w:val="0"/>
                <w:sz w:val="32"/>
                <w:szCs w:val="32"/>
                <w:highlight w:val="none"/>
              </w:rPr>
            </w:pPr>
          </w:p>
        </w:tc>
        <w:tc>
          <w:tcPr>
            <w:tcW w:w="3502" w:type="dxa"/>
            <w:shd w:val="clear" w:color="auto" w:fill="auto"/>
          </w:tcPr>
          <w:p w14:paraId="473AE9D6">
            <w:pPr>
              <w:jc w:val="center"/>
              <w:rPr>
                <w:rFonts w:hint="eastAsia" w:ascii="仿宋" w:hAnsi="仿宋" w:eastAsia="仿宋" w:cs="仿宋"/>
                <w:b/>
                <w:color w:val="auto"/>
                <w:kern w:val="0"/>
                <w:sz w:val="32"/>
                <w:szCs w:val="32"/>
                <w:highlight w:val="none"/>
              </w:rPr>
            </w:pPr>
          </w:p>
        </w:tc>
        <w:tc>
          <w:tcPr>
            <w:tcW w:w="1371" w:type="dxa"/>
            <w:shd w:val="clear" w:color="auto" w:fill="auto"/>
          </w:tcPr>
          <w:p w14:paraId="4463D610">
            <w:pPr>
              <w:jc w:val="center"/>
              <w:rPr>
                <w:rFonts w:hint="eastAsia" w:ascii="仿宋" w:hAnsi="仿宋" w:eastAsia="仿宋" w:cs="仿宋"/>
                <w:b/>
                <w:color w:val="auto"/>
                <w:kern w:val="0"/>
                <w:sz w:val="32"/>
                <w:szCs w:val="32"/>
                <w:highlight w:val="none"/>
              </w:rPr>
            </w:pPr>
          </w:p>
        </w:tc>
      </w:tr>
      <w:tr w14:paraId="3F1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30" w:type="dxa"/>
            <w:shd w:val="clear" w:color="auto" w:fill="auto"/>
          </w:tcPr>
          <w:p w14:paraId="3AC0FF0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55" w:type="dxa"/>
            <w:shd w:val="clear" w:color="auto" w:fill="auto"/>
          </w:tcPr>
          <w:p w14:paraId="1A971398">
            <w:pPr>
              <w:jc w:val="center"/>
              <w:rPr>
                <w:rFonts w:hint="eastAsia" w:ascii="仿宋" w:hAnsi="仿宋" w:eastAsia="仿宋" w:cs="仿宋"/>
                <w:b/>
                <w:color w:val="auto"/>
                <w:kern w:val="0"/>
                <w:sz w:val="32"/>
                <w:szCs w:val="32"/>
                <w:highlight w:val="none"/>
              </w:rPr>
            </w:pPr>
          </w:p>
        </w:tc>
        <w:tc>
          <w:tcPr>
            <w:tcW w:w="3502" w:type="dxa"/>
            <w:shd w:val="clear" w:color="auto" w:fill="auto"/>
          </w:tcPr>
          <w:p w14:paraId="5003ABFB">
            <w:pPr>
              <w:jc w:val="center"/>
              <w:rPr>
                <w:rFonts w:hint="eastAsia" w:ascii="仿宋" w:hAnsi="仿宋" w:eastAsia="仿宋" w:cs="仿宋"/>
                <w:b/>
                <w:color w:val="auto"/>
                <w:kern w:val="0"/>
                <w:sz w:val="32"/>
                <w:szCs w:val="32"/>
                <w:highlight w:val="none"/>
              </w:rPr>
            </w:pPr>
          </w:p>
        </w:tc>
        <w:tc>
          <w:tcPr>
            <w:tcW w:w="1371" w:type="dxa"/>
            <w:shd w:val="clear" w:color="auto" w:fill="auto"/>
          </w:tcPr>
          <w:p w14:paraId="6BEDFD39">
            <w:pPr>
              <w:jc w:val="center"/>
              <w:rPr>
                <w:rFonts w:hint="eastAsia" w:ascii="仿宋" w:hAnsi="仿宋" w:eastAsia="仿宋" w:cs="仿宋"/>
                <w:b/>
                <w:color w:val="auto"/>
                <w:kern w:val="0"/>
                <w:sz w:val="32"/>
                <w:szCs w:val="32"/>
                <w:highlight w:val="none"/>
              </w:rPr>
            </w:pPr>
          </w:p>
        </w:tc>
      </w:tr>
    </w:tbl>
    <w:p w14:paraId="4FD0A26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投标人保证：除商务技术偏离表列出的偏离外，投标人响应招标响应文件的全部要求</w:t>
      </w:r>
    </w:p>
    <w:p w14:paraId="1E002F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DC6528C">
      <w:pPr>
        <w:spacing w:line="360" w:lineRule="auto"/>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9</w:t>
      </w:r>
    </w:p>
    <w:p w14:paraId="120C44B4">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节能环保产品证明材料（如有）</w:t>
      </w:r>
    </w:p>
    <w:p w14:paraId="28D18388">
      <w:pPr>
        <w:spacing w:line="360" w:lineRule="exact"/>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说明：</w:t>
      </w:r>
    </w:p>
    <w:p w14:paraId="10ED44B3">
      <w:pPr>
        <w:spacing w:line="360" w:lineRule="exact"/>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1、根据财政部发展改革委生态环境部市场监管总局关于调整优化节能产品、环境标志产品政府采购执行机制的通知财库〔2019〕9号文件要求，供应商所投产品如属于节能产品政府采购品目清单或环境标志产品政府采购品目清单内的（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关于印发环境标志产品政府采购品目清单的通知（财库〔2019〕18号）</w:t>
      </w:r>
      <w:r>
        <w:rPr>
          <w:rFonts w:hint="eastAsia" w:ascii="仿宋" w:hAnsi="仿宋" w:eastAsia="仿宋" w:cs="仿宋"/>
          <w:b/>
          <w:color w:val="auto"/>
          <w:sz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"http://www.ccgp.gov.cn/zcfg/mof/201903/t20190330_11833800.htm"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http://www.ccgp.gov.cn/zcfg/mof/201903/t20190330_11833800.htm</w:t>
      </w:r>
      <w:r>
        <w:rPr>
          <w:rFonts w:hint="eastAsia" w:ascii="仿宋" w:hAnsi="仿宋" w:eastAsia="仿宋" w:cs="仿宋"/>
          <w:b/>
          <w:color w:val="auto"/>
          <w:sz w:val="22"/>
          <w:highlight w:val="none"/>
        </w:rPr>
        <w:fldChar w:fldCharType="end"/>
      </w:r>
      <w:r>
        <w:rPr>
          <w:rFonts w:hint="eastAsia" w:ascii="仿宋" w:hAnsi="仿宋" w:eastAsia="仿宋" w:cs="仿宋"/>
          <w:b/>
          <w:color w:val="auto"/>
          <w:sz w:val="22"/>
          <w:highlight w:val="none"/>
        </w:rPr>
        <w:t>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关于印发节能产品政府采购品目清单的通知（财库〔2019〕19号）</w:t>
      </w:r>
      <w:r>
        <w:rPr>
          <w:rFonts w:hint="eastAsia" w:ascii="仿宋" w:hAnsi="仿宋" w:eastAsia="仿宋" w:cs="仿宋"/>
          <w:b/>
          <w:color w:val="auto"/>
          <w:sz w:val="22"/>
          <w:highlight w:val="none"/>
        </w:rPr>
        <w:fldChar w:fldCharType="end"/>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"http://www.ccgp.gov.cn/zcfg/mof/201904/t20190403_11849836.htm"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2"/>
          <w:highlight w:val="none"/>
        </w:rPr>
        <w:t>http://www.ccgp.gov.cn/zcfg/mof/201904/t20190403_11849836.htm</w:t>
      </w:r>
      <w:r>
        <w:rPr>
          <w:rFonts w:hint="eastAsia" w:ascii="仿宋" w:hAnsi="仿宋" w:eastAsia="仿宋" w:cs="仿宋"/>
          <w:b/>
          <w:color w:val="auto"/>
          <w:sz w:val="22"/>
          <w:highlight w:val="none"/>
        </w:rPr>
        <w:fldChar w:fldCharType="end"/>
      </w:r>
      <w:r>
        <w:rPr>
          <w:rFonts w:hint="eastAsia" w:ascii="仿宋" w:hAnsi="仿宋" w:eastAsia="仿宋" w:cs="仿宋"/>
          <w:b/>
          <w:color w:val="auto"/>
          <w:sz w:val="22"/>
          <w:highlight w:val="none"/>
        </w:rPr>
        <w:t>），供应商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4A165181">
      <w:pPr>
        <w:spacing w:line="360" w:lineRule="exact"/>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2、磋商小组成员审查此项只根据响应文件本身的内容，不再寻求其他的外部证据。</w:t>
      </w:r>
    </w:p>
    <w:p w14:paraId="4B204450">
      <w:pPr>
        <w:rPr>
          <w:rFonts w:hint="eastAsia" w:ascii="仿宋" w:hAnsi="仿宋" w:eastAsia="仿宋" w:cs="仿宋"/>
          <w:b/>
          <w:color w:val="auto"/>
          <w:sz w:val="22"/>
          <w:highlight w:val="none"/>
        </w:rPr>
      </w:pPr>
      <w:r>
        <w:rPr>
          <w:rFonts w:hint="eastAsia" w:ascii="仿宋" w:hAnsi="仿宋" w:eastAsia="仿宋" w:cs="仿宋"/>
          <w:b/>
          <w:color w:val="auto"/>
          <w:sz w:val="22"/>
          <w:highlight w:val="none"/>
        </w:rPr>
        <w:br w:type="page"/>
      </w:r>
    </w:p>
    <w:p w14:paraId="33D551FC">
      <w:pPr>
        <w:spacing w:line="400" w:lineRule="exact"/>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《政府强制采购产品一览表》</w:t>
      </w:r>
    </w:p>
    <w:p w14:paraId="40D26900">
      <w:pPr>
        <w:rPr>
          <w:rFonts w:hint="eastAsia" w:ascii="仿宋" w:hAnsi="仿宋" w:eastAsia="仿宋" w:cs="仿宋"/>
          <w:color w:val="auto"/>
          <w:sz w:val="22"/>
          <w:highlight w:val="none"/>
        </w:rPr>
      </w:pPr>
      <w:r>
        <w:rPr>
          <w:rFonts w:hint="eastAsia" w:ascii="仿宋" w:hAnsi="仿宋" w:eastAsia="仿宋" w:cs="仿宋"/>
          <w:color w:val="auto"/>
          <w:sz w:val="22"/>
          <w:highlight w:val="none"/>
        </w:rPr>
        <w:t>（1）投标产品中节能产品明细清单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78DD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1F84F5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275E9486">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9989408">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D15DB95">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5E8DA58">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509724D">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55B705B">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2FB9B63">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r>
      <w:tr w14:paraId="6F3F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3C96878">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F623577">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53AC433">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FCE781C">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570FD52">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E7E4B68">
            <w:pPr>
              <w:jc w:val="cente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0B98BF26">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EB1AA3F">
            <w:pPr>
              <w:rPr>
                <w:rFonts w:hint="eastAsia" w:ascii="仿宋" w:hAnsi="仿宋" w:eastAsia="仿宋" w:cs="仿宋"/>
                <w:color w:val="auto"/>
                <w:sz w:val="22"/>
                <w:highlight w:val="none"/>
              </w:rPr>
            </w:pPr>
          </w:p>
        </w:tc>
      </w:tr>
      <w:tr w14:paraId="22C3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7F5BFF12">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83B0A2">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20AD8498">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316B3E4">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B770EBC">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4EE167F">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C7CEE9B">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290690B">
            <w:pPr>
              <w:rPr>
                <w:rFonts w:hint="eastAsia" w:ascii="仿宋" w:hAnsi="仿宋" w:eastAsia="仿宋" w:cs="仿宋"/>
                <w:color w:val="auto"/>
                <w:sz w:val="22"/>
                <w:highlight w:val="none"/>
              </w:rPr>
            </w:pPr>
          </w:p>
        </w:tc>
      </w:tr>
    </w:tbl>
    <w:p w14:paraId="70F2C2C2">
      <w:pPr>
        <w:rPr>
          <w:rFonts w:hint="eastAsia" w:ascii="仿宋" w:hAnsi="仿宋" w:eastAsia="仿宋" w:cs="仿宋"/>
          <w:color w:val="auto"/>
          <w:sz w:val="22"/>
          <w:highlight w:val="none"/>
        </w:rPr>
      </w:pPr>
    </w:p>
    <w:p w14:paraId="2BECBA8B">
      <w:pPr>
        <w:rPr>
          <w:rFonts w:hint="eastAsia" w:ascii="仿宋" w:hAnsi="仿宋" w:eastAsia="仿宋" w:cs="仿宋"/>
          <w:color w:val="auto"/>
          <w:sz w:val="22"/>
          <w:highlight w:val="none"/>
        </w:rPr>
      </w:pPr>
      <w:r>
        <w:rPr>
          <w:rFonts w:hint="eastAsia" w:ascii="仿宋" w:hAnsi="仿宋" w:eastAsia="仿宋" w:cs="仿宋"/>
          <w:color w:val="auto"/>
          <w:sz w:val="22"/>
          <w:highlight w:val="none"/>
        </w:rPr>
        <w:t>备注：提供节能产品认证证书或承诺</w:t>
      </w:r>
    </w:p>
    <w:p w14:paraId="2E7A40BE">
      <w:pPr>
        <w:pStyle w:val="25"/>
        <w:rPr>
          <w:rFonts w:hint="eastAsia" w:ascii="仿宋" w:hAnsi="仿宋" w:eastAsia="仿宋" w:cs="仿宋"/>
          <w:color w:val="auto"/>
          <w:highlight w:val="none"/>
        </w:rPr>
      </w:pPr>
    </w:p>
    <w:p w14:paraId="14DC0540">
      <w:pPr>
        <w:rPr>
          <w:rFonts w:hint="eastAsia" w:ascii="仿宋" w:hAnsi="仿宋" w:eastAsia="仿宋" w:cs="仿宋"/>
          <w:color w:val="auto"/>
          <w:highlight w:val="none"/>
        </w:rPr>
      </w:pPr>
    </w:p>
    <w:p w14:paraId="5A77291E">
      <w:pPr>
        <w:pStyle w:val="25"/>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《政府优先采购产品一览表》</w:t>
      </w:r>
    </w:p>
    <w:p w14:paraId="76AFD1F3">
      <w:pPr>
        <w:rPr>
          <w:rFonts w:hint="eastAsia" w:ascii="仿宋" w:hAnsi="仿宋" w:eastAsia="仿宋" w:cs="仿宋"/>
          <w:color w:val="auto"/>
          <w:sz w:val="22"/>
          <w:highlight w:val="none"/>
        </w:rPr>
      </w:pPr>
      <w:r>
        <w:rPr>
          <w:rFonts w:hint="eastAsia" w:ascii="仿宋" w:hAnsi="仿宋" w:eastAsia="仿宋" w:cs="仿宋"/>
          <w:color w:val="auto"/>
          <w:sz w:val="22"/>
          <w:highlight w:val="none"/>
        </w:rPr>
        <w:t>（1）投标产品中节能产品明细清单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2369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541686A2">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5817724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0955574">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4907A1E">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noWrap w:val="0"/>
            <w:vAlign w:val="center"/>
          </w:tcPr>
          <w:p w14:paraId="098220D1">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305071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30508A5">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38C27AB">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r>
      <w:tr w14:paraId="62F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26BBAC6">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EDF08A1">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254F478">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5AC7DF54">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3BA265EF">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425B079">
            <w:pPr>
              <w:jc w:val="cente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443E7DCA">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6007299">
            <w:pPr>
              <w:rPr>
                <w:rFonts w:hint="eastAsia" w:ascii="仿宋" w:hAnsi="仿宋" w:eastAsia="仿宋" w:cs="仿宋"/>
                <w:color w:val="auto"/>
                <w:sz w:val="22"/>
                <w:highlight w:val="none"/>
              </w:rPr>
            </w:pPr>
          </w:p>
        </w:tc>
      </w:tr>
      <w:tr w14:paraId="746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F990F28">
            <w:pPr>
              <w:rPr>
                <w:rFonts w:hint="eastAsia" w:ascii="仿宋" w:hAnsi="仿宋" w:eastAsia="仿宋" w:cs="仿宋"/>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BA74858">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62C858F9">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7034FDFD">
            <w:pPr>
              <w:rPr>
                <w:rFonts w:hint="eastAsia" w:ascii="仿宋" w:hAnsi="仿宋" w:eastAsia="仿宋" w:cs="仿宋"/>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14:paraId="48E64E78">
            <w:pPr>
              <w:rPr>
                <w:rFonts w:hint="eastAsia" w:ascii="仿宋" w:hAnsi="仿宋" w:eastAsia="仿宋" w:cs="仿宋"/>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3C8F7C">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68A68E7">
            <w:pPr>
              <w:rPr>
                <w:rFonts w:hint="eastAsia" w:ascii="仿宋" w:hAnsi="仿宋" w:eastAsia="仿宋" w:cs="仿宋"/>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1A1253E6">
            <w:pPr>
              <w:rPr>
                <w:rFonts w:hint="eastAsia" w:ascii="仿宋" w:hAnsi="仿宋" w:eastAsia="仿宋" w:cs="仿宋"/>
                <w:color w:val="auto"/>
                <w:sz w:val="22"/>
                <w:highlight w:val="none"/>
              </w:rPr>
            </w:pPr>
          </w:p>
        </w:tc>
      </w:tr>
    </w:tbl>
    <w:p w14:paraId="64175244">
      <w:pPr>
        <w:rPr>
          <w:rFonts w:hint="eastAsia" w:ascii="仿宋" w:hAnsi="仿宋" w:eastAsia="仿宋" w:cs="仿宋"/>
          <w:color w:val="auto"/>
          <w:sz w:val="22"/>
          <w:highlight w:val="none"/>
        </w:rPr>
      </w:pPr>
    </w:p>
    <w:p w14:paraId="23A25CFA">
      <w:pPr>
        <w:rPr>
          <w:rFonts w:hint="eastAsia" w:ascii="仿宋" w:hAnsi="仿宋" w:eastAsia="仿宋" w:cs="仿宋"/>
          <w:color w:val="auto"/>
          <w:sz w:val="22"/>
          <w:highlight w:val="none"/>
        </w:rPr>
      </w:pPr>
      <w:r>
        <w:rPr>
          <w:rFonts w:hint="eastAsia" w:ascii="仿宋" w:hAnsi="仿宋" w:eastAsia="仿宋" w:cs="仿宋"/>
          <w:color w:val="auto"/>
          <w:sz w:val="22"/>
          <w:highlight w:val="none"/>
        </w:rPr>
        <w:t>（2）投标产品中环保产品明细清单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254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42579D8">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5CFB933">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D1820FB">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2FAD982">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C3283A3">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2A2DCC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65518BF">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D7B1E3A">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数量</w:t>
            </w:r>
          </w:p>
        </w:tc>
      </w:tr>
      <w:tr w14:paraId="528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0AE51A5">
            <w:pPr>
              <w:rPr>
                <w:rFonts w:hint="eastAsia" w:ascii="仿宋" w:hAnsi="仿宋" w:eastAsia="仿宋" w:cs="仿宋"/>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FBF73BE">
            <w:pPr>
              <w:rPr>
                <w:rFonts w:hint="eastAsia" w:ascii="仿宋" w:hAnsi="仿宋" w:eastAsia="仿宋" w:cs="仿宋"/>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C068797">
            <w:pPr>
              <w:rPr>
                <w:rFonts w:hint="eastAsia" w:ascii="仿宋" w:hAnsi="仿宋" w:eastAsia="仿宋" w:cs="仿宋"/>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3AFB6BF">
            <w:pPr>
              <w:rPr>
                <w:rFonts w:hint="eastAsia" w:ascii="仿宋" w:hAnsi="仿宋" w:eastAsia="仿宋" w:cs="仿宋"/>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69BE4332">
            <w:pPr>
              <w:rPr>
                <w:rFonts w:hint="eastAsia" w:ascii="仿宋" w:hAnsi="仿宋" w:eastAsia="仿宋" w:cs="仿宋"/>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202282B">
            <w:pPr>
              <w:jc w:val="cente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6DA3A7A5">
            <w:pP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5E6D47F">
            <w:pPr>
              <w:rPr>
                <w:rFonts w:hint="eastAsia" w:ascii="仿宋" w:hAnsi="仿宋" w:eastAsia="仿宋" w:cs="仿宋"/>
                <w:color w:val="auto"/>
                <w:sz w:val="22"/>
                <w:highlight w:val="none"/>
              </w:rPr>
            </w:pPr>
          </w:p>
        </w:tc>
      </w:tr>
      <w:tr w14:paraId="4344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17393C0">
            <w:pPr>
              <w:rPr>
                <w:rFonts w:hint="eastAsia" w:ascii="仿宋" w:hAnsi="仿宋" w:eastAsia="仿宋" w:cs="仿宋"/>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23CFC9F">
            <w:pPr>
              <w:rPr>
                <w:rFonts w:hint="eastAsia" w:ascii="仿宋" w:hAnsi="仿宋" w:eastAsia="仿宋" w:cs="仿宋"/>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620999">
            <w:pPr>
              <w:rPr>
                <w:rFonts w:hint="eastAsia" w:ascii="仿宋" w:hAnsi="仿宋" w:eastAsia="仿宋" w:cs="仿宋"/>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357A84">
            <w:pPr>
              <w:rPr>
                <w:rFonts w:hint="eastAsia" w:ascii="仿宋" w:hAnsi="仿宋" w:eastAsia="仿宋" w:cs="仿宋"/>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45A57B3">
            <w:pPr>
              <w:jc w:val="center"/>
              <w:rPr>
                <w:rFonts w:hint="eastAsia" w:ascii="仿宋" w:hAnsi="仿宋" w:eastAsia="仿宋" w:cs="仿宋"/>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0DB1446">
            <w:pP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4310A44">
            <w:pPr>
              <w:rPr>
                <w:rFonts w:hint="eastAsia" w:ascii="仿宋" w:hAnsi="仿宋" w:eastAsia="仿宋" w:cs="仿宋"/>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FDA8DAB">
            <w:pPr>
              <w:rPr>
                <w:rFonts w:hint="eastAsia" w:ascii="仿宋" w:hAnsi="仿宋" w:eastAsia="仿宋" w:cs="仿宋"/>
                <w:color w:val="auto"/>
                <w:sz w:val="22"/>
                <w:highlight w:val="none"/>
              </w:rPr>
            </w:pPr>
          </w:p>
        </w:tc>
      </w:tr>
    </w:tbl>
    <w:p w14:paraId="729651C3">
      <w:pPr>
        <w:rPr>
          <w:rFonts w:hint="eastAsia" w:ascii="仿宋" w:hAnsi="仿宋" w:eastAsia="仿宋" w:cs="仿宋"/>
          <w:color w:val="auto"/>
          <w:sz w:val="22"/>
          <w:highlight w:val="none"/>
        </w:rPr>
      </w:pPr>
    </w:p>
    <w:p w14:paraId="3CDEBBB3">
      <w:pPr>
        <w:rPr>
          <w:rFonts w:hint="eastAsia" w:ascii="仿宋" w:hAnsi="仿宋" w:eastAsia="仿宋" w:cs="仿宋"/>
          <w:color w:val="auto"/>
          <w:sz w:val="22"/>
          <w:highlight w:val="none"/>
        </w:rPr>
      </w:pPr>
      <w:r>
        <w:rPr>
          <w:rFonts w:hint="eastAsia" w:ascii="仿宋" w:hAnsi="仿宋" w:eastAsia="仿宋" w:cs="仿宋"/>
          <w:color w:val="auto"/>
          <w:sz w:val="22"/>
          <w:highlight w:val="none"/>
        </w:rPr>
        <w:t>备注：节能产品、环境标志产品认证证书附后</w:t>
      </w:r>
    </w:p>
    <w:p w14:paraId="768E80BF">
      <w:pPr>
        <w:pStyle w:val="25"/>
        <w:rPr>
          <w:rFonts w:hint="eastAsia" w:ascii="仿宋" w:hAnsi="仿宋" w:eastAsia="仿宋" w:cs="仿宋"/>
          <w:color w:val="auto"/>
          <w:szCs w:val="24"/>
          <w:highlight w:val="none"/>
        </w:rPr>
      </w:pPr>
    </w:p>
    <w:p w14:paraId="50D5FD49">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7C39B71">
      <w:pPr>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10</w:t>
      </w:r>
    </w:p>
    <w:p w14:paraId="4E98892B">
      <w:pPr>
        <w:pStyle w:val="32"/>
        <w:snapToGrid w:val="0"/>
        <w:spacing w:line="400" w:lineRule="exact"/>
        <w:jc w:val="center"/>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承诺书</w:t>
      </w:r>
    </w:p>
    <w:p w14:paraId="115F9907">
      <w:pPr>
        <w:pStyle w:val="32"/>
        <w:snapToGrid w:val="0"/>
        <w:spacing w:line="400" w:lineRule="exact"/>
        <w:jc w:val="center"/>
        <w:rPr>
          <w:rFonts w:hint="eastAsia" w:ascii="仿宋" w:hAnsi="仿宋" w:eastAsia="仿宋" w:cs="仿宋"/>
          <w:b/>
          <w:color w:val="auto"/>
          <w:szCs w:val="24"/>
          <w:highlight w:val="none"/>
        </w:rPr>
      </w:pPr>
    </w:p>
    <w:p w14:paraId="7273DF2E">
      <w:pPr>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（采购人名称）</w:t>
      </w:r>
      <w:r>
        <w:rPr>
          <w:rFonts w:hint="eastAsia" w:ascii="仿宋" w:hAnsi="仿宋" w:eastAsia="仿宋" w:cs="仿宋"/>
          <w:color w:val="auto"/>
          <w:sz w:val="24"/>
          <w:highlight w:val="none"/>
        </w:rPr>
        <w:t>：</w:t>
      </w:r>
    </w:p>
    <w:p w14:paraId="239C5998">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我单位就</w:t>
      </w:r>
      <w:r>
        <w:rPr>
          <w:rFonts w:hint="eastAsia" w:ascii="仿宋" w:hAnsi="仿宋" w:eastAsia="仿宋" w:cs="仿宋"/>
          <w:color w:val="auto"/>
          <w:sz w:val="24"/>
          <w:highlight w:val="none"/>
          <w:u w:val="single"/>
        </w:rPr>
        <w:t xml:space="preserve">                   （项目名称）（项目编号：           ）</w:t>
      </w:r>
      <w:r>
        <w:rPr>
          <w:rFonts w:hint="eastAsia" w:ascii="仿宋" w:hAnsi="仿宋" w:eastAsia="仿宋" w:cs="仿宋"/>
          <w:color w:val="auto"/>
          <w:sz w:val="24"/>
          <w:highlight w:val="none"/>
        </w:rPr>
        <w:t>项目承诺如下：</w:t>
      </w:r>
    </w:p>
    <w:p w14:paraId="4B9E0817">
      <w:pPr>
        <w:spacing w:line="5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我公司相应的投标产品涉及强制采购节能产品材料（设备）的，按照通知的要求使用强制采购节能产品的材料（设备），且相应的投标产品已获得国家确定的认证机构出具的、处于有效期之内的节能产品认证证书。</w:t>
      </w:r>
    </w:p>
    <w:p w14:paraId="0B01D5B6">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若不能落实到位，我单位无条件接受采购人的任何处理决定，我单位对此无任何异议。</w:t>
      </w:r>
    </w:p>
    <w:p w14:paraId="58FB8D21">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特此承诺！</w:t>
      </w:r>
    </w:p>
    <w:p w14:paraId="68D38BCA">
      <w:pPr>
        <w:pStyle w:val="2"/>
        <w:jc w:val="left"/>
        <w:rPr>
          <w:rFonts w:hint="eastAsia" w:ascii="仿宋" w:hAnsi="仿宋" w:eastAsia="仿宋" w:cs="仿宋"/>
          <w:b w:val="0"/>
          <w:bCs w:val="0"/>
          <w:color w:val="auto"/>
          <w:sz w:val="24"/>
          <w:highlight w:val="none"/>
        </w:rPr>
      </w:pPr>
    </w:p>
    <w:p w14:paraId="23E2F26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398016">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5A317F5">
      <w:pPr>
        <w:spacing w:line="360" w:lineRule="exact"/>
        <w:jc w:val="left"/>
        <w:rPr>
          <w:rFonts w:hint="eastAsia" w:ascii="仿宋" w:hAnsi="仿宋" w:eastAsia="仿宋" w:cs="仿宋"/>
          <w:b/>
          <w:color w:val="auto"/>
          <w:sz w:val="22"/>
          <w:highlight w:val="none"/>
        </w:rPr>
      </w:pPr>
    </w:p>
    <w:p w14:paraId="13AA03E4">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9B3C5F9">
      <w:pPr>
        <w:spacing w:line="360" w:lineRule="auto"/>
        <w:jc w:val="center"/>
        <w:outlineLvl w:val="9"/>
        <w:rPr>
          <w:rFonts w:hint="eastAsia" w:ascii="仿宋" w:hAnsi="仿宋" w:eastAsia="仿宋" w:cs="仿宋"/>
          <w:b/>
          <w:color w:val="auto"/>
          <w:kern w:val="0"/>
          <w:sz w:val="36"/>
          <w:szCs w:val="36"/>
          <w:highlight w:val="none"/>
        </w:rPr>
      </w:pPr>
    </w:p>
    <w:p w14:paraId="4C332A47">
      <w:pPr>
        <w:spacing w:line="360" w:lineRule="auto"/>
        <w:jc w:val="center"/>
        <w:outlineLvl w:val="0"/>
        <w:rPr>
          <w:rFonts w:hint="eastAsia" w:ascii="仿宋" w:hAnsi="仿宋" w:eastAsia="仿宋" w:cs="仿宋"/>
          <w:b/>
          <w:color w:val="auto"/>
          <w:kern w:val="0"/>
          <w:sz w:val="36"/>
          <w:szCs w:val="36"/>
          <w:highlight w:val="none"/>
        </w:rPr>
      </w:pPr>
      <w:bookmarkStart w:id="88" w:name="_Toc30895"/>
      <w:r>
        <w:rPr>
          <w:rFonts w:hint="eastAsia" w:ascii="仿宋" w:hAnsi="仿宋" w:eastAsia="仿宋" w:cs="仿宋"/>
          <w:b/>
          <w:color w:val="auto"/>
          <w:kern w:val="0"/>
          <w:sz w:val="36"/>
          <w:szCs w:val="36"/>
          <w:highlight w:val="none"/>
        </w:rPr>
        <w:t>报价文件部分</w:t>
      </w:r>
      <w:bookmarkEnd w:id="88"/>
    </w:p>
    <w:p w14:paraId="0997FC49">
      <w:pPr>
        <w:spacing w:line="360" w:lineRule="auto"/>
        <w:jc w:val="center"/>
        <w:outlineLvl w:val="0"/>
        <w:rPr>
          <w:rFonts w:hint="eastAsia" w:ascii="仿宋" w:hAnsi="仿宋" w:eastAsia="仿宋" w:cs="仿宋"/>
          <w:b/>
          <w:color w:val="auto"/>
          <w:kern w:val="0"/>
          <w:sz w:val="36"/>
          <w:szCs w:val="36"/>
          <w:highlight w:val="none"/>
        </w:rPr>
      </w:pPr>
      <w:bookmarkStart w:id="89" w:name="_Toc6493"/>
      <w:r>
        <w:rPr>
          <w:rFonts w:hint="eastAsia" w:ascii="仿宋" w:hAnsi="仿宋" w:eastAsia="仿宋" w:cs="仿宋"/>
          <w:b/>
          <w:color w:val="auto"/>
          <w:kern w:val="0"/>
          <w:sz w:val="36"/>
          <w:szCs w:val="36"/>
          <w:highlight w:val="none"/>
        </w:rPr>
        <w:t>目录</w:t>
      </w:r>
      <w:bookmarkEnd w:id="89"/>
    </w:p>
    <w:p w14:paraId="370B6710">
      <w:pPr>
        <w:spacing w:line="360" w:lineRule="auto"/>
        <w:jc w:val="center"/>
        <w:outlineLvl w:val="9"/>
        <w:rPr>
          <w:rFonts w:hint="eastAsia" w:ascii="仿宋" w:hAnsi="仿宋" w:eastAsia="仿宋" w:cs="仿宋"/>
          <w:b/>
          <w:color w:val="auto"/>
          <w:kern w:val="0"/>
          <w:sz w:val="36"/>
          <w:szCs w:val="36"/>
          <w:highlight w:val="none"/>
        </w:rPr>
      </w:pPr>
    </w:p>
    <w:p w14:paraId="2F4170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5EEB8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7382FD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（3）政府采购政策情况表…………………………………………………（页码）</w:t>
      </w:r>
    </w:p>
    <w:p w14:paraId="35E3EC81">
      <w:pPr>
        <w:snapToGrid w:val="0"/>
        <w:spacing w:line="360" w:lineRule="auto"/>
        <w:ind w:right="480"/>
        <w:jc w:val="center"/>
        <w:rPr>
          <w:rFonts w:hint="eastAsia" w:ascii="仿宋" w:hAnsi="仿宋" w:eastAsia="仿宋" w:cs="仿宋"/>
          <w:b/>
          <w:color w:val="auto"/>
          <w:kern w:val="0"/>
          <w:sz w:val="32"/>
          <w:szCs w:val="32"/>
          <w:highlight w:val="none"/>
        </w:rPr>
      </w:pPr>
    </w:p>
    <w:p w14:paraId="178B5ACB">
      <w:pPr>
        <w:snapToGrid w:val="0"/>
        <w:spacing w:line="360" w:lineRule="auto"/>
        <w:ind w:right="480"/>
        <w:jc w:val="center"/>
        <w:rPr>
          <w:rFonts w:hint="eastAsia" w:ascii="仿宋" w:hAnsi="仿宋" w:eastAsia="仿宋" w:cs="仿宋"/>
          <w:b/>
          <w:color w:val="auto"/>
          <w:kern w:val="0"/>
          <w:sz w:val="32"/>
          <w:szCs w:val="32"/>
          <w:highlight w:val="none"/>
        </w:rPr>
      </w:pPr>
    </w:p>
    <w:p w14:paraId="05D26F0D">
      <w:pPr>
        <w:snapToGrid w:val="0"/>
        <w:spacing w:line="360" w:lineRule="auto"/>
        <w:ind w:right="480"/>
        <w:jc w:val="center"/>
        <w:rPr>
          <w:rFonts w:hint="eastAsia" w:ascii="仿宋" w:hAnsi="仿宋" w:eastAsia="仿宋" w:cs="仿宋"/>
          <w:b/>
          <w:color w:val="auto"/>
          <w:kern w:val="0"/>
          <w:sz w:val="32"/>
          <w:szCs w:val="32"/>
          <w:highlight w:val="none"/>
        </w:rPr>
      </w:pPr>
    </w:p>
    <w:p w14:paraId="32E10FB1">
      <w:pPr>
        <w:snapToGrid w:val="0"/>
        <w:spacing w:line="360" w:lineRule="auto"/>
        <w:ind w:right="480"/>
        <w:jc w:val="center"/>
        <w:rPr>
          <w:rFonts w:hint="eastAsia" w:ascii="仿宋" w:hAnsi="仿宋" w:eastAsia="仿宋" w:cs="仿宋"/>
          <w:b/>
          <w:color w:val="auto"/>
          <w:kern w:val="0"/>
          <w:sz w:val="32"/>
          <w:szCs w:val="32"/>
          <w:highlight w:val="none"/>
        </w:rPr>
      </w:pPr>
    </w:p>
    <w:p w14:paraId="36C1F35D">
      <w:pPr>
        <w:snapToGrid w:val="0"/>
        <w:spacing w:line="360" w:lineRule="auto"/>
        <w:ind w:right="480"/>
        <w:jc w:val="center"/>
        <w:rPr>
          <w:rFonts w:hint="eastAsia" w:ascii="仿宋" w:hAnsi="仿宋" w:eastAsia="仿宋" w:cs="仿宋"/>
          <w:b/>
          <w:color w:val="auto"/>
          <w:kern w:val="0"/>
          <w:sz w:val="32"/>
          <w:szCs w:val="32"/>
          <w:highlight w:val="none"/>
        </w:rPr>
      </w:pPr>
    </w:p>
    <w:p w14:paraId="0689F3E5">
      <w:pPr>
        <w:snapToGrid w:val="0"/>
        <w:spacing w:line="360" w:lineRule="auto"/>
        <w:ind w:right="480"/>
        <w:jc w:val="center"/>
        <w:rPr>
          <w:rFonts w:hint="eastAsia" w:ascii="仿宋" w:hAnsi="仿宋" w:eastAsia="仿宋" w:cs="仿宋"/>
          <w:b/>
          <w:color w:val="auto"/>
          <w:kern w:val="0"/>
          <w:sz w:val="32"/>
          <w:szCs w:val="32"/>
          <w:highlight w:val="none"/>
        </w:rPr>
      </w:pPr>
    </w:p>
    <w:p w14:paraId="2D52671C">
      <w:pPr>
        <w:snapToGrid w:val="0"/>
        <w:spacing w:line="360" w:lineRule="auto"/>
        <w:ind w:right="480"/>
        <w:jc w:val="center"/>
        <w:rPr>
          <w:rFonts w:hint="eastAsia" w:ascii="仿宋" w:hAnsi="仿宋" w:eastAsia="仿宋" w:cs="仿宋"/>
          <w:b/>
          <w:color w:val="auto"/>
          <w:kern w:val="0"/>
          <w:sz w:val="32"/>
          <w:szCs w:val="32"/>
          <w:highlight w:val="none"/>
        </w:rPr>
      </w:pPr>
    </w:p>
    <w:p w14:paraId="135D1041">
      <w:pPr>
        <w:snapToGrid w:val="0"/>
        <w:spacing w:line="360" w:lineRule="auto"/>
        <w:ind w:right="480"/>
        <w:jc w:val="center"/>
        <w:rPr>
          <w:rFonts w:hint="eastAsia" w:ascii="仿宋" w:hAnsi="仿宋" w:eastAsia="仿宋" w:cs="仿宋"/>
          <w:b/>
          <w:color w:val="auto"/>
          <w:kern w:val="0"/>
          <w:sz w:val="32"/>
          <w:szCs w:val="32"/>
          <w:highlight w:val="none"/>
        </w:rPr>
      </w:pPr>
    </w:p>
    <w:p w14:paraId="3A3E7CF7">
      <w:pPr>
        <w:widowControl/>
        <w:adjustRightInd/>
        <w:jc w:val="left"/>
        <w:rPr>
          <w:rFonts w:hint="eastAsia" w:ascii="仿宋" w:hAnsi="仿宋" w:eastAsia="仿宋" w:cs="仿宋"/>
          <w:b/>
          <w:bCs/>
          <w:color w:val="auto"/>
          <w:kern w:val="0"/>
          <w:sz w:val="22"/>
          <w:szCs w:val="22"/>
          <w:highlight w:val="none"/>
          <w:lang w:val="zh-CN"/>
        </w:rPr>
      </w:pPr>
      <w:bookmarkStart w:id="90" w:name="_Toc14812100"/>
      <w:bookmarkStart w:id="91" w:name="_Toc25942242"/>
      <w:r>
        <w:rPr>
          <w:rFonts w:hint="eastAsia" w:ascii="仿宋" w:hAnsi="仿宋" w:eastAsia="仿宋" w:cs="仿宋"/>
          <w:b/>
          <w:bCs/>
          <w:color w:val="auto"/>
          <w:kern w:val="0"/>
          <w:sz w:val="22"/>
          <w:szCs w:val="22"/>
          <w:highlight w:val="none"/>
          <w:lang w:val="zh-CN"/>
        </w:rPr>
        <w:br w:type="page"/>
      </w:r>
    </w:p>
    <w:p w14:paraId="0C369DB0">
      <w:pPr>
        <w:autoSpaceDE w:val="0"/>
        <w:autoSpaceDN w:val="0"/>
        <w:spacing w:line="460" w:lineRule="atLeast"/>
        <w:jc w:val="left"/>
        <w:rPr>
          <w:rFonts w:hint="default" w:ascii="仿宋" w:hAnsi="仿宋" w:eastAsia="仿宋" w:cs="仿宋"/>
          <w:b/>
          <w:color w:val="auto"/>
          <w:kern w:val="0"/>
          <w:sz w:val="28"/>
          <w:szCs w:val="28"/>
          <w:highlight w:val="none"/>
          <w:lang w:val="en-US" w:eastAsia="zh-CN"/>
        </w:rPr>
      </w:pPr>
      <w:bookmarkStart w:id="92" w:name="_Hlk93170250"/>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11</w:t>
      </w:r>
    </w:p>
    <w:p w14:paraId="1E30B5FF">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4F9870DD">
      <w:pPr>
        <w:pStyle w:val="25"/>
        <w:ind w:left="-420" w:leftChars="-200" w:firstLine="0" w:firstLineChars="0"/>
        <w:rPr>
          <w:rFonts w:hint="eastAsia" w:ascii="仿宋" w:hAnsi="仿宋" w:eastAsia="仿宋" w:cs="仿宋"/>
          <w:color w:val="auto"/>
          <w:highlight w:val="none"/>
          <w:lang w:val="zh-CN"/>
        </w:rPr>
      </w:pPr>
    </w:p>
    <w:p w14:paraId="572E5E78">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                                       项目编号：</w:t>
      </w:r>
    </w:p>
    <w:p w14:paraId="62046823">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077"/>
        <w:gridCol w:w="2132"/>
        <w:gridCol w:w="1944"/>
      </w:tblGrid>
      <w:tr w14:paraId="7575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3679" w:type="dxa"/>
            <w:vAlign w:val="center"/>
          </w:tcPr>
          <w:p w14:paraId="2EC2573A">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2077" w:type="dxa"/>
            <w:vAlign w:val="center"/>
          </w:tcPr>
          <w:p w14:paraId="5ADDF835">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数量</w:t>
            </w:r>
            <w:r>
              <w:rPr>
                <w:rFonts w:hint="eastAsia" w:ascii="仿宋" w:hAnsi="仿宋" w:eastAsia="仿宋" w:cs="仿宋"/>
                <w:color w:val="auto"/>
                <w:sz w:val="22"/>
                <w:szCs w:val="22"/>
                <w:highlight w:val="none"/>
                <w:lang w:val="en-US" w:eastAsia="zh-CN"/>
              </w:rPr>
              <w:t>（项）</w:t>
            </w:r>
          </w:p>
        </w:tc>
        <w:tc>
          <w:tcPr>
            <w:tcW w:w="2132" w:type="dxa"/>
            <w:vAlign w:val="center"/>
          </w:tcPr>
          <w:p w14:paraId="3FFCD150">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质保期</w:t>
            </w:r>
          </w:p>
        </w:tc>
        <w:tc>
          <w:tcPr>
            <w:tcW w:w="1944" w:type="dxa"/>
            <w:vAlign w:val="center"/>
          </w:tcPr>
          <w:p w14:paraId="65EEFB6D">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服务期</w:t>
            </w:r>
          </w:p>
        </w:tc>
      </w:tr>
      <w:tr w14:paraId="7268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477C777B">
            <w:pPr>
              <w:pStyle w:val="32"/>
              <w:jc w:val="center"/>
              <w:rPr>
                <w:rFonts w:hint="eastAsia" w:ascii="仿宋" w:hAnsi="仿宋" w:eastAsia="仿宋" w:cs="仿宋"/>
                <w:color w:val="auto"/>
                <w:sz w:val="22"/>
                <w:szCs w:val="22"/>
                <w:highlight w:val="none"/>
              </w:rPr>
            </w:pPr>
          </w:p>
        </w:tc>
        <w:tc>
          <w:tcPr>
            <w:tcW w:w="2077" w:type="dxa"/>
            <w:vAlign w:val="center"/>
          </w:tcPr>
          <w:p w14:paraId="48A0998F">
            <w:pPr>
              <w:pStyle w:val="32"/>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2132" w:type="dxa"/>
            <w:vAlign w:val="center"/>
          </w:tcPr>
          <w:p w14:paraId="20A5928B">
            <w:pPr>
              <w:pStyle w:val="32"/>
              <w:jc w:val="center"/>
              <w:rPr>
                <w:rFonts w:hint="eastAsia" w:ascii="仿宋" w:hAnsi="仿宋" w:eastAsia="仿宋" w:cs="仿宋"/>
                <w:color w:val="auto"/>
                <w:sz w:val="22"/>
                <w:szCs w:val="22"/>
                <w:highlight w:val="none"/>
              </w:rPr>
            </w:pPr>
          </w:p>
        </w:tc>
        <w:tc>
          <w:tcPr>
            <w:tcW w:w="1944" w:type="dxa"/>
            <w:vAlign w:val="center"/>
          </w:tcPr>
          <w:p w14:paraId="4B703682">
            <w:pPr>
              <w:pStyle w:val="32"/>
              <w:jc w:val="center"/>
              <w:rPr>
                <w:rFonts w:hint="eastAsia" w:ascii="仿宋" w:hAnsi="仿宋" w:eastAsia="仿宋" w:cs="仿宋"/>
                <w:color w:val="auto"/>
                <w:sz w:val="22"/>
                <w:szCs w:val="22"/>
                <w:highlight w:val="none"/>
              </w:rPr>
            </w:pPr>
          </w:p>
        </w:tc>
      </w:tr>
      <w:tr w14:paraId="2B1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C5664F7">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投标报价（人民币元）</w:t>
            </w:r>
          </w:p>
        </w:tc>
        <w:tc>
          <w:tcPr>
            <w:tcW w:w="6153" w:type="dxa"/>
            <w:gridSpan w:val="3"/>
            <w:vAlign w:val="center"/>
          </w:tcPr>
          <w:p w14:paraId="37EBF9C0">
            <w:pPr>
              <w:pStyle w:val="3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w:t>
            </w:r>
          </w:p>
          <w:p w14:paraId="22135FBC">
            <w:pPr>
              <w:pStyle w:val="3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w:t>
            </w:r>
          </w:p>
        </w:tc>
      </w:tr>
    </w:tbl>
    <w:p w14:paraId="5680E1AE">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1A634C03">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color w:val="auto"/>
          <w:sz w:val="22"/>
          <w:szCs w:val="22"/>
          <w:highlight w:val="none"/>
          <w:u w:val="single"/>
        </w:rPr>
        <w:t>▲本表中的投标报价须与附件1</w:t>
      </w:r>
      <w:r>
        <w:rPr>
          <w:rFonts w:hint="eastAsia" w:ascii="仿宋" w:hAnsi="仿宋" w:eastAsia="仿宋" w:cs="仿宋"/>
          <w:color w:val="auto"/>
          <w:sz w:val="22"/>
          <w:szCs w:val="22"/>
          <w:highlight w:val="none"/>
          <w:u w:val="single"/>
          <w:lang w:val="en-US" w:eastAsia="zh-CN"/>
        </w:rPr>
        <w:t>2</w:t>
      </w:r>
      <w:r>
        <w:rPr>
          <w:rFonts w:hint="eastAsia" w:ascii="仿宋" w:hAnsi="仿宋" w:eastAsia="仿宋" w:cs="仿宋"/>
          <w:color w:val="auto"/>
          <w:sz w:val="22"/>
          <w:szCs w:val="22"/>
          <w:highlight w:val="none"/>
          <w:u w:val="single"/>
        </w:rPr>
        <w:t>《价格组成表》中总价一致。</w:t>
      </w:r>
    </w:p>
    <w:p w14:paraId="12574AD6">
      <w:pPr>
        <w:spacing w:line="38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2.</w:t>
      </w:r>
      <w:r>
        <w:rPr>
          <w:rFonts w:hint="eastAsia" w:ascii="仿宋" w:hAnsi="仿宋" w:eastAsia="仿宋" w:cs="仿宋"/>
          <w:color w:val="auto"/>
          <w:sz w:val="22"/>
          <w:szCs w:val="22"/>
          <w:highlight w:val="none"/>
          <w:u w:val="single"/>
        </w:rPr>
        <w:t>▲未提供开标一览表的投标文件将被视为未实质性响应招标文件要求，投标无效。</w:t>
      </w:r>
    </w:p>
    <w:p w14:paraId="75E65CDC">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41D7D7FC">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F98B15F">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3FBE1888">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752E10B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3C87C61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bookmarkEnd w:id="92"/>
    </w:p>
    <w:p w14:paraId="402F9DAE">
      <w:pPr>
        <w:widowControl/>
        <w:adjustRightInd/>
        <w:jc w:val="lef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br w:type="page"/>
      </w:r>
    </w:p>
    <w:p w14:paraId="67C3EC82">
      <w:pPr>
        <w:widowControl/>
        <w:adjustRightInd/>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附件1</w:t>
      </w:r>
      <w:r>
        <w:rPr>
          <w:rFonts w:hint="eastAsia" w:ascii="仿宋" w:hAnsi="仿宋" w:eastAsia="仿宋" w:cs="仿宋"/>
          <w:b/>
          <w:bCs/>
          <w:color w:val="auto"/>
          <w:sz w:val="28"/>
          <w:szCs w:val="28"/>
          <w:highlight w:val="none"/>
          <w:lang w:val="en-US" w:eastAsia="zh-CN"/>
        </w:rPr>
        <w:t>2</w:t>
      </w:r>
    </w:p>
    <w:p w14:paraId="4E13D4ED">
      <w:pPr>
        <w:widowControl/>
        <w:adjustRightInd/>
        <w:jc w:val="center"/>
        <w:rPr>
          <w:rFonts w:hint="eastAsia" w:ascii="仿宋" w:hAnsi="仿宋" w:eastAsia="仿宋" w:cs="仿宋"/>
          <w:b/>
          <w:bCs/>
          <w:color w:val="auto"/>
          <w:kern w:val="36"/>
          <w:sz w:val="28"/>
          <w:szCs w:val="36"/>
          <w:highlight w:val="none"/>
        </w:rPr>
      </w:pPr>
      <w:r>
        <w:rPr>
          <w:rFonts w:hint="eastAsia" w:ascii="仿宋" w:hAnsi="仿宋" w:eastAsia="仿宋" w:cs="仿宋"/>
          <w:b/>
          <w:bCs/>
          <w:color w:val="auto"/>
          <w:kern w:val="36"/>
          <w:sz w:val="28"/>
          <w:szCs w:val="36"/>
          <w:highlight w:val="none"/>
        </w:rPr>
        <w:t>二、价格组成表</w:t>
      </w:r>
    </w:p>
    <w:p w14:paraId="541BD77B">
      <w:pPr>
        <w:widowControl/>
        <w:adjustRightInd/>
        <w:jc w:val="center"/>
        <w:rPr>
          <w:rFonts w:hint="eastAsia" w:ascii="仿宋" w:hAnsi="仿宋" w:eastAsia="仿宋" w:cs="仿宋"/>
          <w:color w:val="auto"/>
          <w:sz w:val="24"/>
          <w:highlight w:val="none"/>
        </w:rPr>
      </w:pPr>
    </w:p>
    <w:p w14:paraId="007D1C1D">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                                       项目编号：</w:t>
      </w:r>
    </w:p>
    <w:p w14:paraId="5DC564E2">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321"/>
        <w:gridCol w:w="950"/>
        <w:gridCol w:w="950"/>
        <w:gridCol w:w="950"/>
        <w:gridCol w:w="950"/>
        <w:gridCol w:w="950"/>
        <w:gridCol w:w="952"/>
      </w:tblGrid>
      <w:tr w14:paraId="409F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97" w:type="dxa"/>
            <w:vAlign w:val="center"/>
          </w:tcPr>
          <w:p w14:paraId="75A41BCF">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3321" w:type="dxa"/>
            <w:vAlign w:val="center"/>
          </w:tcPr>
          <w:p w14:paraId="1EB4F259">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费用名称</w:t>
            </w:r>
          </w:p>
        </w:tc>
        <w:tc>
          <w:tcPr>
            <w:tcW w:w="950" w:type="dxa"/>
            <w:vAlign w:val="center"/>
          </w:tcPr>
          <w:p w14:paraId="5B94D067">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品牌</w:t>
            </w:r>
          </w:p>
        </w:tc>
        <w:tc>
          <w:tcPr>
            <w:tcW w:w="950" w:type="dxa"/>
            <w:vAlign w:val="center"/>
          </w:tcPr>
          <w:p w14:paraId="68EB8E2A">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型号、规格</w:t>
            </w:r>
          </w:p>
        </w:tc>
        <w:tc>
          <w:tcPr>
            <w:tcW w:w="950" w:type="dxa"/>
            <w:vAlign w:val="center"/>
          </w:tcPr>
          <w:p w14:paraId="669A87C7">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制造商</w:t>
            </w:r>
          </w:p>
        </w:tc>
        <w:tc>
          <w:tcPr>
            <w:tcW w:w="950" w:type="dxa"/>
            <w:vAlign w:val="center"/>
          </w:tcPr>
          <w:p w14:paraId="1F0134A2">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投标单价</w:t>
            </w:r>
          </w:p>
        </w:tc>
        <w:tc>
          <w:tcPr>
            <w:tcW w:w="950" w:type="dxa"/>
            <w:vAlign w:val="center"/>
          </w:tcPr>
          <w:p w14:paraId="3BC01900">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952" w:type="dxa"/>
            <w:vAlign w:val="center"/>
          </w:tcPr>
          <w:p w14:paraId="09299E71">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r>
      <w:tr w14:paraId="411C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940B1F5">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321" w:type="dxa"/>
            <w:vAlign w:val="center"/>
          </w:tcPr>
          <w:p w14:paraId="282D2112">
            <w:pPr>
              <w:pStyle w:val="32"/>
              <w:jc w:val="center"/>
              <w:rPr>
                <w:rFonts w:hint="eastAsia" w:ascii="仿宋" w:hAnsi="仿宋" w:eastAsia="仿宋" w:cs="仿宋"/>
                <w:color w:val="auto"/>
                <w:sz w:val="21"/>
                <w:szCs w:val="21"/>
                <w:highlight w:val="none"/>
              </w:rPr>
            </w:pPr>
          </w:p>
        </w:tc>
        <w:tc>
          <w:tcPr>
            <w:tcW w:w="950" w:type="dxa"/>
            <w:vAlign w:val="center"/>
          </w:tcPr>
          <w:p w14:paraId="5F886828">
            <w:pPr>
              <w:pStyle w:val="32"/>
              <w:jc w:val="center"/>
              <w:rPr>
                <w:rFonts w:hint="eastAsia" w:ascii="仿宋" w:hAnsi="仿宋" w:eastAsia="仿宋" w:cs="仿宋"/>
                <w:color w:val="auto"/>
                <w:sz w:val="21"/>
                <w:szCs w:val="21"/>
                <w:highlight w:val="none"/>
              </w:rPr>
            </w:pPr>
          </w:p>
        </w:tc>
        <w:tc>
          <w:tcPr>
            <w:tcW w:w="950" w:type="dxa"/>
            <w:vAlign w:val="center"/>
          </w:tcPr>
          <w:p w14:paraId="36F7E51B">
            <w:pPr>
              <w:pStyle w:val="32"/>
              <w:jc w:val="center"/>
              <w:rPr>
                <w:rFonts w:hint="eastAsia" w:ascii="仿宋" w:hAnsi="仿宋" w:eastAsia="仿宋" w:cs="仿宋"/>
                <w:color w:val="auto"/>
                <w:sz w:val="21"/>
                <w:szCs w:val="21"/>
                <w:highlight w:val="none"/>
              </w:rPr>
            </w:pPr>
          </w:p>
        </w:tc>
        <w:tc>
          <w:tcPr>
            <w:tcW w:w="950" w:type="dxa"/>
            <w:vAlign w:val="center"/>
          </w:tcPr>
          <w:p w14:paraId="08C6D609">
            <w:pPr>
              <w:pStyle w:val="32"/>
              <w:jc w:val="center"/>
              <w:rPr>
                <w:rFonts w:hint="eastAsia" w:ascii="仿宋" w:hAnsi="仿宋" w:eastAsia="仿宋" w:cs="仿宋"/>
                <w:color w:val="auto"/>
                <w:sz w:val="21"/>
                <w:szCs w:val="21"/>
                <w:highlight w:val="none"/>
              </w:rPr>
            </w:pPr>
          </w:p>
        </w:tc>
        <w:tc>
          <w:tcPr>
            <w:tcW w:w="950" w:type="dxa"/>
            <w:vAlign w:val="center"/>
          </w:tcPr>
          <w:p w14:paraId="39C01B97">
            <w:pPr>
              <w:pStyle w:val="32"/>
              <w:jc w:val="center"/>
              <w:rPr>
                <w:rFonts w:hint="eastAsia" w:ascii="仿宋" w:hAnsi="仿宋" w:eastAsia="仿宋" w:cs="仿宋"/>
                <w:color w:val="auto"/>
                <w:sz w:val="21"/>
                <w:szCs w:val="21"/>
                <w:highlight w:val="none"/>
              </w:rPr>
            </w:pPr>
          </w:p>
        </w:tc>
        <w:tc>
          <w:tcPr>
            <w:tcW w:w="950" w:type="dxa"/>
            <w:vAlign w:val="center"/>
          </w:tcPr>
          <w:p w14:paraId="28DBF679">
            <w:pPr>
              <w:pStyle w:val="32"/>
              <w:jc w:val="center"/>
              <w:rPr>
                <w:rFonts w:hint="eastAsia" w:ascii="仿宋" w:hAnsi="仿宋" w:eastAsia="仿宋" w:cs="仿宋"/>
                <w:color w:val="auto"/>
                <w:sz w:val="21"/>
                <w:szCs w:val="21"/>
                <w:highlight w:val="none"/>
              </w:rPr>
            </w:pPr>
          </w:p>
        </w:tc>
        <w:tc>
          <w:tcPr>
            <w:tcW w:w="952" w:type="dxa"/>
            <w:vAlign w:val="center"/>
          </w:tcPr>
          <w:p w14:paraId="25B64738">
            <w:pPr>
              <w:pStyle w:val="32"/>
              <w:jc w:val="center"/>
              <w:rPr>
                <w:rFonts w:hint="eastAsia" w:ascii="仿宋" w:hAnsi="仿宋" w:eastAsia="仿宋" w:cs="仿宋"/>
                <w:color w:val="auto"/>
                <w:sz w:val="21"/>
                <w:szCs w:val="21"/>
                <w:highlight w:val="none"/>
              </w:rPr>
            </w:pPr>
          </w:p>
        </w:tc>
      </w:tr>
      <w:tr w14:paraId="52E8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171C13A5">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321" w:type="dxa"/>
            <w:vAlign w:val="center"/>
          </w:tcPr>
          <w:p w14:paraId="3C07524D">
            <w:pPr>
              <w:pStyle w:val="32"/>
              <w:jc w:val="center"/>
              <w:rPr>
                <w:rFonts w:hint="eastAsia" w:ascii="仿宋" w:hAnsi="仿宋" w:eastAsia="仿宋" w:cs="仿宋"/>
                <w:color w:val="auto"/>
                <w:sz w:val="21"/>
                <w:szCs w:val="21"/>
                <w:highlight w:val="none"/>
              </w:rPr>
            </w:pPr>
          </w:p>
        </w:tc>
        <w:tc>
          <w:tcPr>
            <w:tcW w:w="950" w:type="dxa"/>
            <w:vAlign w:val="center"/>
          </w:tcPr>
          <w:p w14:paraId="6C9F8586">
            <w:pPr>
              <w:pStyle w:val="32"/>
              <w:jc w:val="center"/>
              <w:rPr>
                <w:rFonts w:hint="eastAsia" w:ascii="仿宋" w:hAnsi="仿宋" w:eastAsia="仿宋" w:cs="仿宋"/>
                <w:color w:val="auto"/>
                <w:sz w:val="21"/>
                <w:szCs w:val="21"/>
                <w:highlight w:val="none"/>
              </w:rPr>
            </w:pPr>
          </w:p>
        </w:tc>
        <w:tc>
          <w:tcPr>
            <w:tcW w:w="950" w:type="dxa"/>
            <w:vAlign w:val="center"/>
          </w:tcPr>
          <w:p w14:paraId="2EF371C9">
            <w:pPr>
              <w:pStyle w:val="32"/>
              <w:jc w:val="center"/>
              <w:rPr>
                <w:rFonts w:hint="eastAsia" w:ascii="仿宋" w:hAnsi="仿宋" w:eastAsia="仿宋" w:cs="仿宋"/>
                <w:color w:val="auto"/>
                <w:sz w:val="21"/>
                <w:szCs w:val="21"/>
                <w:highlight w:val="none"/>
              </w:rPr>
            </w:pPr>
          </w:p>
        </w:tc>
        <w:tc>
          <w:tcPr>
            <w:tcW w:w="950" w:type="dxa"/>
            <w:vAlign w:val="center"/>
          </w:tcPr>
          <w:p w14:paraId="0F62DD84">
            <w:pPr>
              <w:pStyle w:val="32"/>
              <w:jc w:val="center"/>
              <w:rPr>
                <w:rFonts w:hint="eastAsia" w:ascii="仿宋" w:hAnsi="仿宋" w:eastAsia="仿宋" w:cs="仿宋"/>
                <w:color w:val="auto"/>
                <w:sz w:val="21"/>
                <w:szCs w:val="21"/>
                <w:highlight w:val="none"/>
              </w:rPr>
            </w:pPr>
          </w:p>
        </w:tc>
        <w:tc>
          <w:tcPr>
            <w:tcW w:w="950" w:type="dxa"/>
            <w:vAlign w:val="center"/>
          </w:tcPr>
          <w:p w14:paraId="13E7675D">
            <w:pPr>
              <w:pStyle w:val="32"/>
              <w:jc w:val="center"/>
              <w:rPr>
                <w:rFonts w:hint="eastAsia" w:ascii="仿宋" w:hAnsi="仿宋" w:eastAsia="仿宋" w:cs="仿宋"/>
                <w:color w:val="auto"/>
                <w:sz w:val="21"/>
                <w:szCs w:val="21"/>
                <w:highlight w:val="none"/>
              </w:rPr>
            </w:pPr>
          </w:p>
        </w:tc>
        <w:tc>
          <w:tcPr>
            <w:tcW w:w="950" w:type="dxa"/>
            <w:vAlign w:val="center"/>
          </w:tcPr>
          <w:p w14:paraId="29E1326D">
            <w:pPr>
              <w:pStyle w:val="32"/>
              <w:jc w:val="center"/>
              <w:rPr>
                <w:rFonts w:hint="eastAsia" w:ascii="仿宋" w:hAnsi="仿宋" w:eastAsia="仿宋" w:cs="仿宋"/>
                <w:color w:val="auto"/>
                <w:sz w:val="21"/>
                <w:szCs w:val="21"/>
                <w:highlight w:val="none"/>
              </w:rPr>
            </w:pPr>
          </w:p>
        </w:tc>
        <w:tc>
          <w:tcPr>
            <w:tcW w:w="952" w:type="dxa"/>
            <w:vAlign w:val="center"/>
          </w:tcPr>
          <w:p w14:paraId="24B30454">
            <w:pPr>
              <w:pStyle w:val="32"/>
              <w:jc w:val="center"/>
              <w:rPr>
                <w:rFonts w:hint="eastAsia" w:ascii="仿宋" w:hAnsi="仿宋" w:eastAsia="仿宋" w:cs="仿宋"/>
                <w:color w:val="auto"/>
                <w:sz w:val="21"/>
                <w:szCs w:val="21"/>
                <w:highlight w:val="none"/>
              </w:rPr>
            </w:pPr>
          </w:p>
        </w:tc>
      </w:tr>
      <w:tr w14:paraId="6AE1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62D049E">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321" w:type="dxa"/>
            <w:vAlign w:val="center"/>
          </w:tcPr>
          <w:p w14:paraId="6F6AD5E8">
            <w:pPr>
              <w:pStyle w:val="32"/>
              <w:jc w:val="center"/>
              <w:rPr>
                <w:rFonts w:hint="eastAsia" w:ascii="仿宋" w:hAnsi="仿宋" w:eastAsia="仿宋" w:cs="仿宋"/>
                <w:color w:val="auto"/>
                <w:sz w:val="21"/>
                <w:szCs w:val="21"/>
                <w:highlight w:val="none"/>
              </w:rPr>
            </w:pPr>
          </w:p>
        </w:tc>
        <w:tc>
          <w:tcPr>
            <w:tcW w:w="950" w:type="dxa"/>
            <w:vAlign w:val="center"/>
          </w:tcPr>
          <w:p w14:paraId="6554015E">
            <w:pPr>
              <w:pStyle w:val="32"/>
              <w:jc w:val="center"/>
              <w:rPr>
                <w:rFonts w:hint="eastAsia" w:ascii="仿宋" w:hAnsi="仿宋" w:eastAsia="仿宋" w:cs="仿宋"/>
                <w:color w:val="auto"/>
                <w:sz w:val="21"/>
                <w:szCs w:val="21"/>
                <w:highlight w:val="none"/>
              </w:rPr>
            </w:pPr>
          </w:p>
        </w:tc>
        <w:tc>
          <w:tcPr>
            <w:tcW w:w="950" w:type="dxa"/>
            <w:vAlign w:val="center"/>
          </w:tcPr>
          <w:p w14:paraId="67AABB07">
            <w:pPr>
              <w:pStyle w:val="32"/>
              <w:jc w:val="center"/>
              <w:rPr>
                <w:rFonts w:hint="eastAsia" w:ascii="仿宋" w:hAnsi="仿宋" w:eastAsia="仿宋" w:cs="仿宋"/>
                <w:color w:val="auto"/>
                <w:sz w:val="21"/>
                <w:szCs w:val="21"/>
                <w:highlight w:val="none"/>
              </w:rPr>
            </w:pPr>
          </w:p>
        </w:tc>
        <w:tc>
          <w:tcPr>
            <w:tcW w:w="950" w:type="dxa"/>
            <w:vAlign w:val="center"/>
          </w:tcPr>
          <w:p w14:paraId="0D912DE8">
            <w:pPr>
              <w:pStyle w:val="32"/>
              <w:jc w:val="center"/>
              <w:rPr>
                <w:rFonts w:hint="eastAsia" w:ascii="仿宋" w:hAnsi="仿宋" w:eastAsia="仿宋" w:cs="仿宋"/>
                <w:color w:val="auto"/>
                <w:sz w:val="21"/>
                <w:szCs w:val="21"/>
                <w:highlight w:val="none"/>
              </w:rPr>
            </w:pPr>
          </w:p>
        </w:tc>
        <w:tc>
          <w:tcPr>
            <w:tcW w:w="950" w:type="dxa"/>
            <w:vAlign w:val="center"/>
          </w:tcPr>
          <w:p w14:paraId="17315682">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0E51AEB3">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3C9243D1">
            <w:pPr>
              <w:pStyle w:val="32"/>
              <w:jc w:val="center"/>
              <w:rPr>
                <w:rFonts w:hint="eastAsia" w:ascii="仿宋" w:hAnsi="仿宋" w:eastAsia="仿宋" w:cs="仿宋"/>
                <w:color w:val="auto"/>
                <w:sz w:val="21"/>
                <w:szCs w:val="21"/>
                <w:highlight w:val="none"/>
              </w:rPr>
            </w:pPr>
          </w:p>
        </w:tc>
      </w:tr>
      <w:tr w14:paraId="4F01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242AA0A">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321" w:type="dxa"/>
            <w:vAlign w:val="center"/>
          </w:tcPr>
          <w:p w14:paraId="585E7237">
            <w:pPr>
              <w:pStyle w:val="32"/>
              <w:jc w:val="center"/>
              <w:rPr>
                <w:rFonts w:hint="eastAsia" w:ascii="仿宋" w:hAnsi="仿宋" w:eastAsia="仿宋" w:cs="仿宋"/>
                <w:color w:val="auto"/>
                <w:sz w:val="21"/>
                <w:szCs w:val="21"/>
                <w:highlight w:val="none"/>
              </w:rPr>
            </w:pPr>
          </w:p>
        </w:tc>
        <w:tc>
          <w:tcPr>
            <w:tcW w:w="950" w:type="dxa"/>
            <w:vAlign w:val="center"/>
          </w:tcPr>
          <w:p w14:paraId="1E7148F9">
            <w:pPr>
              <w:pStyle w:val="32"/>
              <w:jc w:val="center"/>
              <w:rPr>
                <w:rFonts w:hint="eastAsia" w:ascii="仿宋" w:hAnsi="仿宋" w:eastAsia="仿宋" w:cs="仿宋"/>
                <w:color w:val="auto"/>
                <w:sz w:val="21"/>
                <w:szCs w:val="21"/>
                <w:highlight w:val="none"/>
              </w:rPr>
            </w:pPr>
          </w:p>
        </w:tc>
        <w:tc>
          <w:tcPr>
            <w:tcW w:w="950" w:type="dxa"/>
            <w:vAlign w:val="center"/>
          </w:tcPr>
          <w:p w14:paraId="6B39A0F0">
            <w:pPr>
              <w:pStyle w:val="32"/>
              <w:jc w:val="center"/>
              <w:rPr>
                <w:rFonts w:hint="eastAsia" w:ascii="仿宋" w:hAnsi="仿宋" w:eastAsia="仿宋" w:cs="仿宋"/>
                <w:color w:val="auto"/>
                <w:sz w:val="21"/>
                <w:szCs w:val="21"/>
                <w:highlight w:val="none"/>
              </w:rPr>
            </w:pPr>
          </w:p>
        </w:tc>
        <w:tc>
          <w:tcPr>
            <w:tcW w:w="950" w:type="dxa"/>
            <w:vAlign w:val="center"/>
          </w:tcPr>
          <w:p w14:paraId="3551CAAE">
            <w:pPr>
              <w:pStyle w:val="32"/>
              <w:jc w:val="center"/>
              <w:rPr>
                <w:rFonts w:hint="eastAsia" w:ascii="仿宋" w:hAnsi="仿宋" w:eastAsia="仿宋" w:cs="仿宋"/>
                <w:color w:val="auto"/>
                <w:sz w:val="21"/>
                <w:szCs w:val="21"/>
                <w:highlight w:val="none"/>
              </w:rPr>
            </w:pPr>
          </w:p>
        </w:tc>
        <w:tc>
          <w:tcPr>
            <w:tcW w:w="950" w:type="dxa"/>
            <w:vAlign w:val="center"/>
          </w:tcPr>
          <w:p w14:paraId="167951C8">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0518B2A0">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419F7716">
            <w:pPr>
              <w:pStyle w:val="32"/>
              <w:jc w:val="center"/>
              <w:rPr>
                <w:rFonts w:hint="eastAsia" w:ascii="仿宋" w:hAnsi="仿宋" w:eastAsia="仿宋" w:cs="仿宋"/>
                <w:color w:val="auto"/>
                <w:sz w:val="21"/>
                <w:szCs w:val="21"/>
                <w:highlight w:val="none"/>
              </w:rPr>
            </w:pPr>
          </w:p>
        </w:tc>
      </w:tr>
      <w:tr w14:paraId="6ADC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0EFB9F15">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321" w:type="dxa"/>
            <w:vAlign w:val="center"/>
          </w:tcPr>
          <w:p w14:paraId="382E3462">
            <w:pPr>
              <w:pStyle w:val="32"/>
              <w:jc w:val="center"/>
              <w:rPr>
                <w:rFonts w:hint="eastAsia" w:ascii="仿宋" w:hAnsi="仿宋" w:eastAsia="仿宋" w:cs="仿宋"/>
                <w:color w:val="auto"/>
                <w:sz w:val="21"/>
                <w:szCs w:val="21"/>
                <w:highlight w:val="none"/>
              </w:rPr>
            </w:pPr>
          </w:p>
        </w:tc>
        <w:tc>
          <w:tcPr>
            <w:tcW w:w="950" w:type="dxa"/>
            <w:vAlign w:val="center"/>
          </w:tcPr>
          <w:p w14:paraId="36893BEB">
            <w:pPr>
              <w:pStyle w:val="32"/>
              <w:jc w:val="center"/>
              <w:rPr>
                <w:rFonts w:hint="eastAsia" w:ascii="仿宋" w:hAnsi="仿宋" w:eastAsia="仿宋" w:cs="仿宋"/>
                <w:color w:val="auto"/>
                <w:sz w:val="21"/>
                <w:szCs w:val="21"/>
                <w:highlight w:val="none"/>
              </w:rPr>
            </w:pPr>
          </w:p>
        </w:tc>
        <w:tc>
          <w:tcPr>
            <w:tcW w:w="950" w:type="dxa"/>
            <w:vAlign w:val="center"/>
          </w:tcPr>
          <w:p w14:paraId="1B74A9C6">
            <w:pPr>
              <w:pStyle w:val="32"/>
              <w:jc w:val="center"/>
              <w:rPr>
                <w:rFonts w:hint="eastAsia" w:ascii="仿宋" w:hAnsi="仿宋" w:eastAsia="仿宋" w:cs="仿宋"/>
                <w:color w:val="auto"/>
                <w:sz w:val="21"/>
                <w:szCs w:val="21"/>
                <w:highlight w:val="none"/>
              </w:rPr>
            </w:pPr>
          </w:p>
        </w:tc>
        <w:tc>
          <w:tcPr>
            <w:tcW w:w="950" w:type="dxa"/>
            <w:vAlign w:val="center"/>
          </w:tcPr>
          <w:p w14:paraId="1DBD2AC1">
            <w:pPr>
              <w:pStyle w:val="32"/>
              <w:jc w:val="center"/>
              <w:rPr>
                <w:rFonts w:hint="eastAsia" w:ascii="仿宋" w:hAnsi="仿宋" w:eastAsia="仿宋" w:cs="仿宋"/>
                <w:color w:val="auto"/>
                <w:sz w:val="21"/>
                <w:szCs w:val="21"/>
                <w:highlight w:val="none"/>
              </w:rPr>
            </w:pPr>
          </w:p>
        </w:tc>
        <w:tc>
          <w:tcPr>
            <w:tcW w:w="950" w:type="dxa"/>
            <w:vAlign w:val="center"/>
          </w:tcPr>
          <w:p w14:paraId="77CE0570">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3C278661">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12DDA66F">
            <w:pPr>
              <w:pStyle w:val="32"/>
              <w:jc w:val="center"/>
              <w:rPr>
                <w:rFonts w:hint="eastAsia" w:ascii="仿宋" w:hAnsi="仿宋" w:eastAsia="仿宋" w:cs="仿宋"/>
                <w:color w:val="auto"/>
                <w:sz w:val="21"/>
                <w:szCs w:val="21"/>
                <w:highlight w:val="none"/>
              </w:rPr>
            </w:pPr>
          </w:p>
        </w:tc>
      </w:tr>
      <w:tr w14:paraId="6BAB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2B89A98D">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321" w:type="dxa"/>
            <w:vAlign w:val="center"/>
          </w:tcPr>
          <w:p w14:paraId="686204C3">
            <w:pPr>
              <w:pStyle w:val="32"/>
              <w:jc w:val="center"/>
              <w:rPr>
                <w:rFonts w:hint="eastAsia" w:ascii="仿宋" w:hAnsi="仿宋" w:eastAsia="仿宋" w:cs="仿宋"/>
                <w:color w:val="auto"/>
                <w:sz w:val="21"/>
                <w:szCs w:val="21"/>
                <w:highlight w:val="none"/>
              </w:rPr>
            </w:pPr>
          </w:p>
        </w:tc>
        <w:tc>
          <w:tcPr>
            <w:tcW w:w="950" w:type="dxa"/>
            <w:vAlign w:val="center"/>
          </w:tcPr>
          <w:p w14:paraId="2E9849C6">
            <w:pPr>
              <w:pStyle w:val="32"/>
              <w:jc w:val="center"/>
              <w:rPr>
                <w:rFonts w:hint="eastAsia" w:ascii="仿宋" w:hAnsi="仿宋" w:eastAsia="仿宋" w:cs="仿宋"/>
                <w:color w:val="auto"/>
                <w:sz w:val="21"/>
                <w:szCs w:val="21"/>
                <w:highlight w:val="none"/>
              </w:rPr>
            </w:pPr>
          </w:p>
        </w:tc>
        <w:tc>
          <w:tcPr>
            <w:tcW w:w="950" w:type="dxa"/>
            <w:vAlign w:val="center"/>
          </w:tcPr>
          <w:p w14:paraId="3627586B">
            <w:pPr>
              <w:pStyle w:val="32"/>
              <w:jc w:val="center"/>
              <w:rPr>
                <w:rFonts w:hint="eastAsia" w:ascii="仿宋" w:hAnsi="仿宋" w:eastAsia="仿宋" w:cs="仿宋"/>
                <w:color w:val="auto"/>
                <w:sz w:val="21"/>
                <w:szCs w:val="21"/>
                <w:highlight w:val="none"/>
              </w:rPr>
            </w:pPr>
          </w:p>
        </w:tc>
        <w:tc>
          <w:tcPr>
            <w:tcW w:w="950" w:type="dxa"/>
            <w:vAlign w:val="center"/>
          </w:tcPr>
          <w:p w14:paraId="1C24B422">
            <w:pPr>
              <w:pStyle w:val="32"/>
              <w:jc w:val="center"/>
              <w:rPr>
                <w:rFonts w:hint="eastAsia" w:ascii="仿宋" w:hAnsi="仿宋" w:eastAsia="仿宋" w:cs="仿宋"/>
                <w:color w:val="auto"/>
                <w:sz w:val="21"/>
                <w:szCs w:val="21"/>
                <w:highlight w:val="none"/>
              </w:rPr>
            </w:pPr>
          </w:p>
        </w:tc>
        <w:tc>
          <w:tcPr>
            <w:tcW w:w="950" w:type="dxa"/>
            <w:vAlign w:val="center"/>
          </w:tcPr>
          <w:p w14:paraId="1C428221">
            <w:pPr>
              <w:pStyle w:val="32"/>
              <w:jc w:val="center"/>
              <w:rPr>
                <w:rFonts w:hint="default" w:ascii="仿宋" w:hAnsi="仿宋" w:eastAsia="仿宋" w:cs="仿宋"/>
                <w:color w:val="auto"/>
                <w:sz w:val="21"/>
                <w:szCs w:val="21"/>
                <w:highlight w:val="none"/>
                <w:lang w:val="en-US" w:eastAsia="zh-CN"/>
              </w:rPr>
            </w:pPr>
          </w:p>
        </w:tc>
        <w:tc>
          <w:tcPr>
            <w:tcW w:w="950" w:type="dxa"/>
            <w:vAlign w:val="center"/>
          </w:tcPr>
          <w:p w14:paraId="7B833FE6">
            <w:pPr>
              <w:pStyle w:val="32"/>
              <w:jc w:val="center"/>
              <w:rPr>
                <w:rFonts w:hint="default" w:ascii="仿宋" w:hAnsi="仿宋" w:eastAsia="仿宋" w:cs="仿宋"/>
                <w:color w:val="auto"/>
                <w:sz w:val="21"/>
                <w:szCs w:val="21"/>
                <w:highlight w:val="none"/>
                <w:lang w:val="en-US" w:eastAsia="zh-CN"/>
              </w:rPr>
            </w:pPr>
          </w:p>
        </w:tc>
        <w:tc>
          <w:tcPr>
            <w:tcW w:w="952" w:type="dxa"/>
            <w:vAlign w:val="center"/>
          </w:tcPr>
          <w:p w14:paraId="341DE4EA">
            <w:pPr>
              <w:pStyle w:val="32"/>
              <w:jc w:val="center"/>
              <w:rPr>
                <w:rFonts w:hint="eastAsia" w:ascii="仿宋" w:hAnsi="仿宋" w:eastAsia="仿宋" w:cs="仿宋"/>
                <w:color w:val="auto"/>
                <w:sz w:val="21"/>
                <w:szCs w:val="21"/>
                <w:highlight w:val="none"/>
              </w:rPr>
            </w:pPr>
          </w:p>
        </w:tc>
      </w:tr>
      <w:tr w14:paraId="6D17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43855DB7">
            <w:pPr>
              <w:pStyle w:val="32"/>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321" w:type="dxa"/>
            <w:vAlign w:val="center"/>
          </w:tcPr>
          <w:p w14:paraId="255FCB6D">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检测、试验、至最终目的地的运费和保险费、装卸、现场仓储、税金以及安装、调试、测试、验收、技术服务、培训、售后服务、质保期保障、代理服务费等完成合同所需的一切本身和不可或缺的所有工作开支、政策性文件规定及合同包含的所有风险、责任等全部费用</w:t>
            </w:r>
          </w:p>
        </w:tc>
        <w:tc>
          <w:tcPr>
            <w:tcW w:w="5702" w:type="dxa"/>
            <w:gridSpan w:val="6"/>
            <w:vAlign w:val="center"/>
          </w:tcPr>
          <w:p w14:paraId="5EFDBE52">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含</w:t>
            </w:r>
          </w:p>
        </w:tc>
      </w:tr>
      <w:tr w14:paraId="4A85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97" w:type="dxa"/>
            <w:vAlign w:val="center"/>
          </w:tcPr>
          <w:p w14:paraId="641338AB">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321" w:type="dxa"/>
            <w:vAlign w:val="center"/>
          </w:tcPr>
          <w:p w14:paraId="5A56BCF6">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702" w:type="dxa"/>
            <w:gridSpan w:val="6"/>
            <w:vAlign w:val="center"/>
          </w:tcPr>
          <w:p w14:paraId="2642DF92">
            <w:pPr>
              <w:pStyle w:val="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5B54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4018" w:type="dxa"/>
            <w:gridSpan w:val="2"/>
            <w:vAlign w:val="center"/>
          </w:tcPr>
          <w:p w14:paraId="01442B3C">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。。。）汇总</w:t>
            </w:r>
          </w:p>
        </w:tc>
        <w:tc>
          <w:tcPr>
            <w:tcW w:w="5702" w:type="dxa"/>
            <w:gridSpan w:val="6"/>
            <w:vAlign w:val="center"/>
          </w:tcPr>
          <w:p w14:paraId="03588890">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大写：    元 </w:t>
            </w:r>
          </w:p>
          <w:p w14:paraId="6D6461EC">
            <w:pPr>
              <w:pStyle w:val="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小写：    元 </w:t>
            </w:r>
          </w:p>
        </w:tc>
      </w:tr>
    </w:tbl>
    <w:p w14:paraId="5A4B20C0">
      <w:pPr>
        <w:spacing w:line="380" w:lineRule="exact"/>
        <w:rPr>
          <w:rFonts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1、根据采购需求中的清单逐项报价。</w:t>
      </w:r>
    </w:p>
    <w:p w14:paraId="3F177E04">
      <w:pPr>
        <w:spacing w:line="380" w:lineRule="exact"/>
        <w:rPr>
          <w:rFonts w:ascii="仿宋" w:hAnsi="仿宋" w:eastAsia="仿宋" w:cs="新宋体"/>
          <w:color w:val="auto"/>
          <w:sz w:val="22"/>
          <w:szCs w:val="22"/>
          <w:highlight w:val="none"/>
          <w:u w:val="single"/>
        </w:rPr>
      </w:pPr>
      <w:r>
        <w:rPr>
          <w:rFonts w:hint="eastAsia" w:ascii="仿宋" w:hAnsi="仿宋" w:eastAsia="仿宋" w:cs="新宋体"/>
          <w:color w:val="auto"/>
          <w:sz w:val="22"/>
          <w:szCs w:val="22"/>
          <w:highlight w:val="none"/>
          <w:u w:val="single"/>
        </w:rPr>
        <w:t>2、价格组成表的汇总金额必须与开标一览表的填报投标报价金额一致。</w:t>
      </w:r>
    </w:p>
    <w:p w14:paraId="754B0468">
      <w:pPr>
        <w:autoSpaceDE w:val="0"/>
        <w:autoSpaceDN w:val="0"/>
        <w:spacing w:line="380" w:lineRule="atLeast"/>
        <w:ind w:firstLine="660"/>
        <w:rPr>
          <w:rFonts w:ascii="仿宋" w:hAnsi="仿宋" w:eastAsia="仿宋" w:cs="新宋体"/>
          <w:color w:val="auto"/>
          <w:kern w:val="0"/>
          <w:sz w:val="22"/>
          <w:szCs w:val="22"/>
          <w:highlight w:val="none"/>
          <w:lang w:val="zh-CN"/>
        </w:rPr>
      </w:pPr>
    </w:p>
    <w:p w14:paraId="1DF695E9">
      <w:pPr>
        <w:pStyle w:val="54"/>
        <w:rPr>
          <w:rFonts w:ascii="仿宋" w:hAnsi="仿宋" w:eastAsia="仿宋" w:cs="新宋体"/>
          <w:color w:val="auto"/>
          <w:kern w:val="0"/>
          <w:sz w:val="22"/>
          <w:highlight w:val="none"/>
          <w:lang w:val="zh-CN"/>
        </w:rPr>
      </w:pPr>
    </w:p>
    <w:p w14:paraId="69F98344">
      <w:pPr>
        <w:rPr>
          <w:rFonts w:ascii="仿宋" w:hAnsi="仿宋" w:eastAsia="仿宋" w:cs="新宋体"/>
          <w:color w:val="auto"/>
          <w:kern w:val="0"/>
          <w:sz w:val="22"/>
          <w:szCs w:val="22"/>
          <w:highlight w:val="none"/>
          <w:lang w:val="zh-CN"/>
        </w:rPr>
      </w:pPr>
    </w:p>
    <w:p w14:paraId="7B95402C">
      <w:pPr>
        <w:pStyle w:val="54"/>
        <w:rPr>
          <w:color w:val="auto"/>
          <w:highlight w:val="none"/>
          <w:lang w:val="zh-CN"/>
        </w:rPr>
      </w:pPr>
    </w:p>
    <w:p w14:paraId="4A02939B">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14:paraId="4837B5E7">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42BC045">
      <w:pPr>
        <w:widowControl/>
        <w:adjustRightInd/>
        <w:jc w:val="left"/>
        <w:rPr>
          <w:rStyle w:val="77"/>
          <w:rFonts w:hint="eastAsia" w:ascii="仿宋" w:hAnsi="仿宋" w:eastAsia="仿宋" w:cs="仿宋"/>
          <w:color w:val="auto"/>
          <w:sz w:val="28"/>
          <w:szCs w:val="28"/>
          <w:highlight w:val="none"/>
        </w:rPr>
      </w:pPr>
      <w:r>
        <w:rPr>
          <w:rStyle w:val="77"/>
          <w:rFonts w:hint="eastAsia" w:ascii="仿宋" w:hAnsi="仿宋" w:eastAsia="仿宋" w:cs="仿宋"/>
          <w:color w:val="auto"/>
          <w:sz w:val="28"/>
          <w:szCs w:val="28"/>
          <w:highlight w:val="none"/>
        </w:rPr>
        <w:br w:type="page"/>
      </w:r>
    </w:p>
    <w:p w14:paraId="25C4E879">
      <w:pPr>
        <w:rPr>
          <w:rFonts w:hint="eastAsia" w:ascii="仿宋" w:hAnsi="仿宋" w:eastAsia="仿宋" w:cs="仿宋"/>
          <w:b/>
          <w:color w:val="auto"/>
          <w:sz w:val="28"/>
          <w:szCs w:val="36"/>
          <w:highlight w:val="none"/>
          <w:lang w:eastAsia="zh-CN"/>
        </w:rPr>
      </w:pPr>
      <w:r>
        <w:rPr>
          <w:rFonts w:hint="eastAsia" w:ascii="仿宋" w:hAnsi="仿宋" w:eastAsia="仿宋" w:cs="仿宋"/>
          <w:b/>
          <w:color w:val="auto"/>
          <w:sz w:val="28"/>
          <w:szCs w:val="36"/>
          <w:highlight w:val="none"/>
        </w:rPr>
        <w:t>附件1</w:t>
      </w:r>
      <w:r>
        <w:rPr>
          <w:rFonts w:hint="eastAsia" w:ascii="仿宋" w:hAnsi="仿宋" w:eastAsia="仿宋" w:cs="仿宋"/>
          <w:b/>
          <w:color w:val="auto"/>
          <w:sz w:val="28"/>
          <w:szCs w:val="36"/>
          <w:highlight w:val="none"/>
          <w:lang w:val="en-US" w:eastAsia="zh-CN"/>
        </w:rPr>
        <w:t>3</w:t>
      </w:r>
    </w:p>
    <w:p w14:paraId="4D57FEF9">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三、政府采购政策情况表</w:t>
      </w:r>
      <w:bookmarkEnd w:id="90"/>
      <w:bookmarkEnd w:id="91"/>
    </w:p>
    <w:p w14:paraId="6390CEA9">
      <w:pPr>
        <w:pStyle w:val="32"/>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highlight w:val="none"/>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14:paraId="06B2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14:paraId="5FEFFFB4">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中小企业、监狱企业及残疾人福利性单位扶持政策</w:t>
            </w:r>
          </w:p>
        </w:tc>
        <w:tc>
          <w:tcPr>
            <w:tcW w:w="8700" w:type="dxa"/>
            <w:gridSpan w:val="6"/>
            <w:vAlign w:val="center"/>
          </w:tcPr>
          <w:p w14:paraId="5E9190DF">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如属所列情形的，请在括号内打“√”，并</w:t>
            </w:r>
            <w:r>
              <w:rPr>
                <w:rFonts w:hint="eastAsia" w:ascii="仿宋" w:hAnsi="仿宋" w:eastAsia="仿宋" w:cs="仿宋"/>
                <w:color w:val="auto"/>
                <w:szCs w:val="21"/>
                <w:highlight w:val="none"/>
              </w:rPr>
              <w:t>请填写下表内容：</w:t>
            </w:r>
            <w:r>
              <w:rPr>
                <w:rFonts w:hint="eastAsia" w:ascii="仿宋" w:hAnsi="仿宋" w:eastAsia="仿宋" w:cs="仿宋"/>
                <w:color w:val="auto"/>
                <w:szCs w:val="21"/>
                <w:highlight w:val="none"/>
                <w:lang w:val="en-GB"/>
              </w:rPr>
              <w:t>：</w:t>
            </w:r>
          </w:p>
          <w:p w14:paraId="7E3731FD">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（）小型、微型企业投标且提供本企业制造的产品。</w:t>
            </w:r>
          </w:p>
          <w:p w14:paraId="66EC0B52">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（）监狱企业投标且提供本企业制造的产品。</w:t>
            </w:r>
          </w:p>
          <w:p w14:paraId="1E548B44">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（）小微企业投标且提供其它小型、微型企业产品。</w:t>
            </w:r>
          </w:p>
          <w:p w14:paraId="310624BD">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且提供本企业制造的产品。</w:t>
            </w:r>
          </w:p>
          <w:p w14:paraId="43C3DDCB">
            <w:pPr>
              <w:pStyle w:val="988"/>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且提供其它</w:t>
            </w:r>
            <w:r>
              <w:rPr>
                <w:rFonts w:hint="eastAsia" w:ascii="仿宋" w:hAnsi="仿宋" w:eastAsia="仿宋" w:cs="仿宋"/>
                <w:color w:val="auto"/>
                <w:szCs w:val="20"/>
                <w:highlight w:val="none"/>
              </w:rPr>
              <w:t>残疾人福利性单位制造的</w:t>
            </w:r>
            <w:r>
              <w:rPr>
                <w:rFonts w:hint="eastAsia" w:ascii="仿宋" w:hAnsi="仿宋" w:eastAsia="仿宋" w:cs="仿宋"/>
                <w:color w:val="auto"/>
                <w:szCs w:val="21"/>
                <w:highlight w:val="none"/>
              </w:rPr>
              <w:t>货物</w:t>
            </w:r>
            <w:r>
              <w:rPr>
                <w:rFonts w:hint="eastAsia" w:ascii="仿宋" w:hAnsi="仿宋" w:eastAsia="仿宋" w:cs="仿宋"/>
                <w:color w:val="auto"/>
                <w:szCs w:val="20"/>
                <w:highlight w:val="none"/>
              </w:rPr>
              <w:t>（不包括使用非残疾人福利性单位注册商标的货物）</w:t>
            </w:r>
          </w:p>
        </w:tc>
      </w:tr>
      <w:tr w14:paraId="3989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14:paraId="7096737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2D5988BF">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产品名称</w:t>
            </w:r>
          </w:p>
        </w:tc>
        <w:tc>
          <w:tcPr>
            <w:tcW w:w="1425" w:type="dxa"/>
            <w:vAlign w:val="center"/>
          </w:tcPr>
          <w:p w14:paraId="79B4F13F">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品牌</w:t>
            </w:r>
          </w:p>
        </w:tc>
        <w:tc>
          <w:tcPr>
            <w:tcW w:w="1487" w:type="dxa"/>
            <w:vAlign w:val="center"/>
          </w:tcPr>
          <w:p w14:paraId="3359B02D">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型号、规格</w:t>
            </w:r>
          </w:p>
        </w:tc>
        <w:tc>
          <w:tcPr>
            <w:tcW w:w="1537" w:type="dxa"/>
            <w:vAlign w:val="center"/>
          </w:tcPr>
          <w:p w14:paraId="30F21AFE">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tc>
        <w:tc>
          <w:tcPr>
            <w:tcW w:w="1477" w:type="dxa"/>
            <w:vAlign w:val="center"/>
          </w:tcPr>
          <w:p w14:paraId="2797C9EC">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p w14:paraId="1D0EA3B6">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企业类型</w:t>
            </w:r>
          </w:p>
        </w:tc>
        <w:tc>
          <w:tcPr>
            <w:tcW w:w="1628" w:type="dxa"/>
            <w:vAlign w:val="center"/>
          </w:tcPr>
          <w:p w14:paraId="1F45EFD3">
            <w:pPr>
              <w:pStyle w:val="988"/>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金额</w:t>
            </w:r>
          </w:p>
        </w:tc>
      </w:tr>
      <w:tr w14:paraId="2E3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14:paraId="37F0312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74AC545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659E8B6F">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0C63893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290FAFB1">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018C74AB">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A4F5261">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5E41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14:paraId="402ED802">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63FB66B4">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3FDBDBE">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18EBFE75">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32540FF1">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5B7865F7">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45805F88">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458E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14:paraId="108D2580">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932A08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E9EE476">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2FCF1C5">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25AA7F7C">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2D8B8634">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01750E5F">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6B1A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14:paraId="5EA64737">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27E335C">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0C8E720">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7C6B36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57DC059">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590CCE6D">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2DCF568">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r w14:paraId="176D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14:paraId="3303956F">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c>
          <w:tcPr>
            <w:tcW w:w="7072" w:type="dxa"/>
            <w:gridSpan w:val="5"/>
            <w:vAlign w:val="center"/>
          </w:tcPr>
          <w:p w14:paraId="7BE3F4BA">
            <w:pPr>
              <w:pStyle w:val="988"/>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小型、微型企业产品</w:t>
            </w:r>
            <w:r>
              <w:rPr>
                <w:rFonts w:hint="eastAsia" w:ascii="仿宋" w:hAnsi="仿宋" w:eastAsia="仿宋" w:cs="仿宋"/>
                <w:color w:val="auto"/>
                <w:szCs w:val="21"/>
                <w:highlight w:val="none"/>
                <w:lang w:val="en-GB"/>
              </w:rPr>
              <w:t>金额合计</w:t>
            </w:r>
          </w:p>
        </w:tc>
        <w:tc>
          <w:tcPr>
            <w:tcW w:w="1628" w:type="dxa"/>
            <w:vAlign w:val="center"/>
          </w:tcPr>
          <w:p w14:paraId="11DF58B3">
            <w:pPr>
              <w:pStyle w:val="988"/>
              <w:tabs>
                <w:tab w:val="left" w:pos="1260"/>
              </w:tabs>
              <w:snapToGrid w:val="0"/>
              <w:spacing w:line="360" w:lineRule="auto"/>
              <w:jc w:val="left"/>
              <w:rPr>
                <w:rFonts w:hint="eastAsia" w:ascii="仿宋" w:hAnsi="仿宋" w:eastAsia="仿宋" w:cs="仿宋"/>
                <w:color w:val="auto"/>
                <w:szCs w:val="21"/>
                <w:highlight w:val="none"/>
                <w:lang w:val="en-GB"/>
              </w:rPr>
            </w:pPr>
          </w:p>
        </w:tc>
      </w:tr>
    </w:tbl>
    <w:p w14:paraId="2D3EF13B">
      <w:pPr>
        <w:pStyle w:val="32"/>
        <w:spacing w:line="360" w:lineRule="auto"/>
        <w:rPr>
          <w:rFonts w:hint="eastAsia" w:ascii="仿宋" w:hAnsi="仿宋" w:eastAsia="仿宋" w:cs="仿宋"/>
          <w:b/>
          <w:color w:val="auto"/>
          <w:highlight w:val="none"/>
        </w:rPr>
      </w:pPr>
    </w:p>
    <w:p w14:paraId="7AA458DD">
      <w:pPr>
        <w:spacing w:line="360" w:lineRule="auto"/>
        <w:ind w:firstLine="420" w:firstLineChars="200"/>
        <w:jc w:val="left"/>
        <w:rPr>
          <w:rFonts w:hint="eastAsia" w:ascii="仿宋" w:hAnsi="仿宋" w:eastAsia="仿宋" w:cs="仿宋"/>
          <w:color w:val="auto"/>
          <w:szCs w:val="21"/>
          <w:highlight w:val="none"/>
        </w:rPr>
      </w:pPr>
      <w:bookmarkStart w:id="93" w:name="_Toc508709359"/>
      <w:bookmarkStart w:id="94" w:name="_Toc514420711"/>
      <w:bookmarkStart w:id="95" w:name="_Toc515011118"/>
      <w:bookmarkStart w:id="96" w:name="_Toc514337540"/>
      <w:bookmarkStart w:id="97" w:name="_Toc509218976"/>
      <w:bookmarkStart w:id="98" w:name="_Toc518546798"/>
      <w:bookmarkStart w:id="99" w:name="_Toc515011017"/>
      <w:bookmarkStart w:id="100" w:name="_Toc513560346"/>
      <w:r>
        <w:rPr>
          <w:rFonts w:hint="eastAsia" w:ascii="仿宋" w:hAnsi="仿宋" w:eastAsia="仿宋" w:cs="仿宋"/>
          <w:color w:val="auto"/>
          <w:szCs w:val="21"/>
          <w:highlight w:val="none"/>
        </w:rPr>
        <w:t>填报要求：</w:t>
      </w:r>
      <w:bookmarkEnd w:id="93"/>
      <w:bookmarkEnd w:id="94"/>
      <w:bookmarkEnd w:id="95"/>
      <w:bookmarkEnd w:id="96"/>
      <w:bookmarkEnd w:id="97"/>
      <w:bookmarkEnd w:id="98"/>
      <w:bookmarkEnd w:id="99"/>
      <w:bookmarkEnd w:id="100"/>
    </w:p>
    <w:p w14:paraId="6CE42EBE">
      <w:pPr>
        <w:spacing w:line="360" w:lineRule="auto"/>
        <w:ind w:firstLine="420" w:firstLineChars="200"/>
        <w:jc w:val="left"/>
        <w:rPr>
          <w:rFonts w:hint="eastAsia" w:ascii="仿宋" w:hAnsi="仿宋" w:eastAsia="仿宋" w:cs="仿宋"/>
          <w:color w:val="auto"/>
          <w:szCs w:val="21"/>
          <w:highlight w:val="none"/>
        </w:rPr>
      </w:pPr>
      <w:bookmarkStart w:id="101" w:name="_Toc509218977"/>
      <w:bookmarkStart w:id="102" w:name="_Toc515011119"/>
      <w:bookmarkStart w:id="103" w:name="_Toc518546799"/>
      <w:bookmarkStart w:id="104" w:name="_Toc513560347"/>
      <w:bookmarkStart w:id="105" w:name="_Toc515011018"/>
      <w:bookmarkStart w:id="106" w:name="_Toc514337541"/>
      <w:bookmarkStart w:id="107" w:name="_Toc514420712"/>
      <w:bookmarkStart w:id="108" w:name="_Toc508709360"/>
      <w:r>
        <w:rPr>
          <w:rFonts w:hint="eastAsia" w:ascii="仿宋" w:hAnsi="仿宋" w:eastAsia="仿宋" w:cs="仿宋"/>
          <w:color w:val="auto"/>
          <w:szCs w:val="21"/>
          <w:highlight w:val="none"/>
        </w:rPr>
        <w:t>1. 本表的“产品名称”、“品牌”、“型号、规格”、金额应与《价格组成表》的“设备名称”、“品牌、产地”、“规格、型号”、“出厂单价（含税）”一致。</w:t>
      </w:r>
      <w:bookmarkEnd w:id="101"/>
      <w:bookmarkEnd w:id="102"/>
      <w:bookmarkEnd w:id="103"/>
      <w:bookmarkEnd w:id="104"/>
      <w:bookmarkEnd w:id="105"/>
      <w:bookmarkEnd w:id="106"/>
      <w:bookmarkEnd w:id="107"/>
      <w:bookmarkEnd w:id="108"/>
    </w:p>
    <w:p w14:paraId="0CF30859">
      <w:pPr>
        <w:spacing w:line="360" w:lineRule="auto"/>
        <w:ind w:firstLine="420" w:firstLineChars="200"/>
        <w:jc w:val="left"/>
        <w:rPr>
          <w:rFonts w:hint="eastAsia" w:ascii="仿宋" w:hAnsi="仿宋" w:eastAsia="仿宋" w:cs="仿宋"/>
          <w:color w:val="auto"/>
          <w:szCs w:val="21"/>
          <w:highlight w:val="none"/>
        </w:rPr>
      </w:pPr>
      <w:bookmarkStart w:id="109" w:name="_Toc514337542"/>
      <w:bookmarkStart w:id="110" w:name="_Toc515011019"/>
      <w:bookmarkStart w:id="111" w:name="_Toc513560348"/>
      <w:bookmarkStart w:id="112" w:name="_Toc509218978"/>
      <w:bookmarkStart w:id="113" w:name="_Toc508709361"/>
      <w:bookmarkStart w:id="114" w:name="_Toc518546800"/>
      <w:bookmarkStart w:id="115" w:name="_Toc514420713"/>
      <w:bookmarkStart w:id="116" w:name="_Toc515011120"/>
      <w:r>
        <w:rPr>
          <w:rFonts w:hint="eastAsia" w:ascii="仿宋" w:hAnsi="仿宋" w:eastAsia="仿宋" w:cs="仿宋"/>
          <w:color w:val="auto"/>
          <w:szCs w:val="21"/>
          <w:highlight w:val="none"/>
        </w:rPr>
        <w:t>2. “制造商企业类型”栏填写内容应为“小型”、“微型”、“监狱企业”或“</w:t>
      </w:r>
      <w:r>
        <w:rPr>
          <w:rFonts w:hint="eastAsia" w:ascii="仿宋" w:hAnsi="仿宋" w:eastAsia="仿宋" w:cs="仿宋"/>
          <w:color w:val="auto"/>
          <w:highlight w:val="none"/>
        </w:rPr>
        <w:t>残疾人福利性单位</w:t>
      </w:r>
      <w:r>
        <w:rPr>
          <w:rFonts w:hint="eastAsia" w:ascii="仿宋" w:hAnsi="仿宋" w:eastAsia="仿宋" w:cs="仿宋"/>
          <w:color w:val="auto"/>
          <w:szCs w:val="21"/>
          <w:highlight w:val="none"/>
        </w:rPr>
        <w:t>”。</w:t>
      </w:r>
      <w:bookmarkEnd w:id="109"/>
      <w:bookmarkEnd w:id="110"/>
      <w:bookmarkEnd w:id="111"/>
      <w:bookmarkEnd w:id="112"/>
      <w:bookmarkEnd w:id="113"/>
      <w:bookmarkEnd w:id="114"/>
      <w:bookmarkEnd w:id="115"/>
      <w:bookmarkEnd w:id="116"/>
    </w:p>
    <w:p w14:paraId="2C10BD39">
      <w:pPr>
        <w:spacing w:line="360" w:lineRule="auto"/>
        <w:ind w:firstLine="420" w:firstLineChars="200"/>
        <w:jc w:val="left"/>
        <w:rPr>
          <w:rFonts w:hint="eastAsia" w:ascii="仿宋" w:hAnsi="仿宋" w:eastAsia="仿宋" w:cs="仿宋"/>
          <w:color w:val="auto"/>
          <w:highlight w:val="none"/>
        </w:rPr>
      </w:pPr>
      <w:bookmarkStart w:id="117" w:name="_Toc518546801"/>
      <w:bookmarkStart w:id="118" w:name="_Toc514337543"/>
      <w:bookmarkStart w:id="119" w:name="_Toc509218979"/>
      <w:bookmarkStart w:id="120" w:name="_Toc514420714"/>
      <w:bookmarkStart w:id="121" w:name="_Toc513560349"/>
      <w:bookmarkStart w:id="122" w:name="_Toc515011020"/>
      <w:bookmarkStart w:id="123" w:name="_Toc515011121"/>
      <w:bookmarkStart w:id="124" w:name="_Toc508709362"/>
      <w:r>
        <w:rPr>
          <w:rFonts w:hint="eastAsia" w:ascii="仿宋" w:hAnsi="仿宋" w:eastAsia="仿宋" w:cs="仿宋"/>
          <w:color w:val="auto"/>
          <w:highlight w:val="none"/>
        </w:rPr>
        <w:t>3. 请投标人正确填写本表，所填内容将作为报价的评分依据。如果填写不完整或有误，不再享受上述政策优惠。</w:t>
      </w:r>
      <w:bookmarkEnd w:id="117"/>
      <w:bookmarkEnd w:id="118"/>
      <w:bookmarkEnd w:id="119"/>
      <w:bookmarkEnd w:id="120"/>
      <w:bookmarkEnd w:id="121"/>
      <w:bookmarkEnd w:id="122"/>
      <w:bookmarkEnd w:id="123"/>
      <w:bookmarkEnd w:id="124"/>
    </w:p>
    <w:p w14:paraId="401CAF0D">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 如本项目未专门面向中小企业，投标人也未在资格文件部分/落实政府采购政策需满足的资格要求中提供《中小企业声明函》。</w:t>
      </w:r>
    </w:p>
    <w:p w14:paraId="624BC0AD">
      <w:pPr>
        <w:widowControl/>
        <w:adjustRightInd/>
        <w:jc w:val="left"/>
        <w:rPr>
          <w:rStyle w:val="77"/>
          <w:rFonts w:hint="eastAsia" w:ascii="仿宋" w:hAnsi="仿宋" w:eastAsia="仿宋" w:cs="仿宋"/>
          <w:color w:val="auto"/>
          <w:sz w:val="28"/>
          <w:szCs w:val="28"/>
          <w:highlight w:val="none"/>
        </w:rPr>
      </w:pPr>
      <w:r>
        <w:rPr>
          <w:rStyle w:val="77"/>
          <w:rFonts w:hint="eastAsia" w:ascii="仿宋" w:hAnsi="仿宋" w:eastAsia="仿宋" w:cs="仿宋"/>
          <w:color w:val="auto"/>
          <w:sz w:val="28"/>
          <w:szCs w:val="28"/>
          <w:highlight w:val="none"/>
        </w:rPr>
        <w:br w:type="page"/>
      </w:r>
    </w:p>
    <w:p w14:paraId="2BBFA850">
      <w:pPr>
        <w:pStyle w:val="22"/>
        <w:overflowPunct w:val="0"/>
        <w:spacing w:after="0" w:line="460" w:lineRule="exact"/>
        <w:jc w:val="center"/>
        <w:outlineLvl w:val="0"/>
        <w:rPr>
          <w:rFonts w:hint="eastAsia" w:ascii="仿宋" w:hAnsi="仿宋" w:eastAsia="仿宋" w:cs="仿宋"/>
          <w:b/>
          <w:color w:val="auto"/>
          <w:sz w:val="36"/>
          <w:szCs w:val="36"/>
          <w:highlight w:val="none"/>
        </w:rPr>
      </w:pPr>
      <w:bookmarkStart w:id="125" w:name="_Toc6003"/>
      <w:r>
        <w:rPr>
          <w:rStyle w:val="77"/>
          <w:rFonts w:hint="eastAsia" w:ascii="仿宋" w:hAnsi="仿宋" w:eastAsia="仿宋" w:cs="仿宋"/>
          <w:color w:val="auto"/>
          <w:sz w:val="36"/>
          <w:szCs w:val="36"/>
          <w:highlight w:val="none"/>
        </w:rPr>
        <w:t>第六部分  评标办法</w:t>
      </w:r>
      <w:bookmarkEnd w:id="125"/>
    </w:p>
    <w:p w14:paraId="55AB3485">
      <w:pPr>
        <w:pStyle w:val="22"/>
        <w:overflowPunct w:val="0"/>
        <w:spacing w:after="0" w:line="460" w:lineRule="exact"/>
        <w:rPr>
          <w:rFonts w:hint="eastAsia" w:ascii="仿宋" w:hAnsi="仿宋" w:eastAsia="仿宋" w:cs="仿宋"/>
          <w:b/>
          <w:color w:val="auto"/>
          <w:highlight w:val="none"/>
        </w:rPr>
      </w:pPr>
    </w:p>
    <w:p w14:paraId="110EED47">
      <w:pPr>
        <w:snapToGrid w:val="0"/>
        <w:spacing w:line="360" w:lineRule="auto"/>
        <w:jc w:val="center"/>
        <w:rPr>
          <w:rFonts w:hint="eastAsia" w:ascii="仿宋" w:hAnsi="仿宋" w:eastAsia="仿宋" w:cs="仿宋"/>
          <w:b/>
          <w:color w:val="auto"/>
          <w:sz w:val="28"/>
          <w:szCs w:val="28"/>
          <w:highlight w:val="none"/>
        </w:rPr>
      </w:pPr>
      <w:bookmarkStart w:id="126" w:name="_Hlk93170489"/>
      <w:r>
        <w:rPr>
          <w:rFonts w:hint="eastAsia" w:ascii="仿宋" w:hAnsi="仿宋" w:eastAsia="仿宋" w:cs="仿宋"/>
          <w:b/>
          <w:color w:val="auto"/>
          <w:sz w:val="28"/>
          <w:szCs w:val="28"/>
          <w:highlight w:val="none"/>
        </w:rPr>
        <w:t>评标办法前附表</w:t>
      </w:r>
    </w:p>
    <w:tbl>
      <w:tblPr>
        <w:tblStyle w:val="57"/>
        <w:tblW w:w="9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17"/>
        <w:gridCol w:w="1125"/>
        <w:gridCol w:w="1976"/>
        <w:gridCol w:w="5047"/>
        <w:gridCol w:w="639"/>
      </w:tblGrid>
      <w:tr w14:paraId="3FE7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2056" w:type="dxa"/>
            <w:gridSpan w:val="3"/>
            <w:tcBorders>
              <w:top w:val="single" w:color="auto" w:sz="4" w:space="0"/>
              <w:bottom w:val="single" w:color="auto" w:sz="4" w:space="0"/>
              <w:right w:val="single" w:color="auto" w:sz="4" w:space="0"/>
            </w:tcBorders>
            <w:vAlign w:val="center"/>
          </w:tcPr>
          <w:p w14:paraId="0CED2CA2">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976" w:type="dxa"/>
            <w:tcBorders>
              <w:top w:val="single" w:color="auto" w:sz="4" w:space="0"/>
              <w:left w:val="single" w:color="auto" w:sz="4" w:space="0"/>
              <w:bottom w:val="single" w:color="auto" w:sz="4" w:space="0"/>
              <w:right w:val="single" w:color="auto" w:sz="4" w:space="0"/>
            </w:tcBorders>
            <w:vAlign w:val="center"/>
          </w:tcPr>
          <w:p w14:paraId="2674F395">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686" w:type="dxa"/>
            <w:gridSpan w:val="2"/>
            <w:tcBorders>
              <w:top w:val="single" w:color="auto" w:sz="4" w:space="0"/>
              <w:left w:val="single" w:color="auto" w:sz="4" w:space="0"/>
              <w:bottom w:val="single" w:color="auto" w:sz="4" w:space="0"/>
            </w:tcBorders>
            <w:vAlign w:val="center"/>
          </w:tcPr>
          <w:p w14:paraId="14EA6929">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r>
      <w:tr w14:paraId="3CD40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restart"/>
            <w:tcBorders>
              <w:top w:val="single" w:color="auto" w:sz="4" w:space="0"/>
              <w:right w:val="single" w:color="auto" w:sz="4" w:space="0"/>
            </w:tcBorders>
            <w:vAlign w:val="center"/>
          </w:tcPr>
          <w:p w14:paraId="24615F2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42" w:type="dxa"/>
            <w:gridSpan w:val="2"/>
            <w:vMerge w:val="restart"/>
            <w:tcBorders>
              <w:top w:val="single" w:color="auto" w:sz="4" w:space="0"/>
              <w:left w:val="single" w:color="auto" w:sz="4" w:space="0"/>
              <w:right w:val="single" w:color="auto" w:sz="4" w:space="0"/>
            </w:tcBorders>
            <w:vAlign w:val="center"/>
          </w:tcPr>
          <w:p w14:paraId="0E5F5D6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1976" w:type="dxa"/>
            <w:tcBorders>
              <w:top w:val="single" w:color="auto" w:sz="4" w:space="0"/>
              <w:left w:val="single" w:color="auto" w:sz="4" w:space="0"/>
              <w:bottom w:val="single" w:color="auto" w:sz="4" w:space="0"/>
              <w:right w:val="single" w:color="auto" w:sz="4" w:space="0"/>
            </w:tcBorders>
            <w:vAlign w:val="center"/>
          </w:tcPr>
          <w:p w14:paraId="0B53F76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5686" w:type="dxa"/>
            <w:gridSpan w:val="2"/>
            <w:tcBorders>
              <w:top w:val="single" w:color="auto" w:sz="4" w:space="0"/>
              <w:left w:val="single" w:color="auto" w:sz="4" w:space="0"/>
              <w:bottom w:val="single" w:color="auto" w:sz="4" w:space="0"/>
            </w:tcBorders>
            <w:vAlign w:val="center"/>
          </w:tcPr>
          <w:p w14:paraId="51961F80">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综合评分法</w:t>
            </w:r>
          </w:p>
        </w:tc>
      </w:tr>
      <w:tr w14:paraId="6FB4A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continue"/>
            <w:tcBorders>
              <w:top w:val="single" w:color="auto" w:sz="4" w:space="0"/>
              <w:right w:val="single" w:color="auto" w:sz="4" w:space="0"/>
            </w:tcBorders>
            <w:vAlign w:val="center"/>
          </w:tcPr>
          <w:p w14:paraId="0BBDCEE1">
            <w:pPr>
              <w:spacing w:line="240" w:lineRule="auto"/>
              <w:jc w:val="center"/>
              <w:rPr>
                <w:rFonts w:hint="eastAsia" w:ascii="仿宋" w:hAnsi="仿宋" w:eastAsia="仿宋" w:cs="仿宋"/>
                <w:color w:val="auto"/>
                <w:szCs w:val="21"/>
                <w:highlight w:val="none"/>
              </w:rPr>
            </w:pPr>
          </w:p>
        </w:tc>
        <w:tc>
          <w:tcPr>
            <w:tcW w:w="1142" w:type="dxa"/>
            <w:gridSpan w:val="2"/>
            <w:vMerge w:val="continue"/>
            <w:tcBorders>
              <w:top w:val="single" w:color="auto" w:sz="4" w:space="0"/>
              <w:left w:val="single" w:color="auto" w:sz="4" w:space="0"/>
              <w:right w:val="single" w:color="auto" w:sz="4" w:space="0"/>
            </w:tcBorders>
            <w:vAlign w:val="center"/>
          </w:tcPr>
          <w:p w14:paraId="3F6D3274">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vAlign w:val="center"/>
          </w:tcPr>
          <w:p w14:paraId="74559B42">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推荐中标候选人的数量</w:t>
            </w:r>
          </w:p>
        </w:tc>
        <w:tc>
          <w:tcPr>
            <w:tcW w:w="5686" w:type="dxa"/>
            <w:gridSpan w:val="2"/>
            <w:tcBorders>
              <w:top w:val="single" w:color="auto" w:sz="4" w:space="0"/>
              <w:left w:val="single" w:color="auto" w:sz="4" w:space="0"/>
              <w:bottom w:val="single" w:color="auto" w:sz="4" w:space="0"/>
            </w:tcBorders>
            <w:vAlign w:val="center"/>
          </w:tcPr>
          <w:p w14:paraId="01CB6A53">
            <w:pPr>
              <w:spacing w:line="240" w:lineRule="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r>
      <w:tr w14:paraId="7D66D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continue"/>
            <w:tcBorders>
              <w:top w:val="single" w:color="auto" w:sz="4" w:space="0"/>
              <w:right w:val="single" w:color="auto" w:sz="4" w:space="0"/>
            </w:tcBorders>
            <w:vAlign w:val="center"/>
          </w:tcPr>
          <w:p w14:paraId="7B38C4FE">
            <w:pPr>
              <w:spacing w:line="240" w:lineRule="auto"/>
              <w:jc w:val="center"/>
              <w:rPr>
                <w:rFonts w:hint="eastAsia" w:ascii="仿宋" w:hAnsi="仿宋" w:eastAsia="仿宋" w:cs="仿宋"/>
                <w:color w:val="auto"/>
                <w:szCs w:val="21"/>
                <w:highlight w:val="none"/>
              </w:rPr>
            </w:pPr>
          </w:p>
        </w:tc>
        <w:tc>
          <w:tcPr>
            <w:tcW w:w="1142" w:type="dxa"/>
            <w:gridSpan w:val="2"/>
            <w:vMerge w:val="continue"/>
            <w:tcBorders>
              <w:top w:val="single" w:color="auto" w:sz="4" w:space="0"/>
              <w:left w:val="single" w:color="auto" w:sz="4" w:space="0"/>
              <w:right w:val="single" w:color="auto" w:sz="4" w:space="0"/>
            </w:tcBorders>
            <w:vAlign w:val="center"/>
          </w:tcPr>
          <w:p w14:paraId="190A1995">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vAlign w:val="center"/>
          </w:tcPr>
          <w:p w14:paraId="5E8905D5">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综合评分、投标报价均相等时确定中标候选人排序的方式</w:t>
            </w:r>
          </w:p>
        </w:tc>
        <w:tc>
          <w:tcPr>
            <w:tcW w:w="5686" w:type="dxa"/>
            <w:gridSpan w:val="2"/>
            <w:tcBorders>
              <w:top w:val="single" w:color="auto" w:sz="4" w:space="0"/>
              <w:left w:val="single" w:color="auto" w:sz="4" w:space="0"/>
              <w:bottom w:val="single" w:color="auto" w:sz="4" w:space="0"/>
            </w:tcBorders>
            <w:vAlign w:val="center"/>
          </w:tcPr>
          <w:p w14:paraId="15FF304C">
            <w:pPr>
              <w:spacing w:line="240" w:lineRule="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抽签</w:t>
            </w:r>
            <w:r>
              <w:rPr>
                <w:rFonts w:hint="eastAsia" w:ascii="仿宋" w:hAnsi="仿宋" w:eastAsia="仿宋" w:cs="仿宋"/>
                <w:color w:val="auto"/>
                <w:szCs w:val="21"/>
                <w:highlight w:val="none"/>
                <w:lang w:eastAsia="zh-CN"/>
              </w:rPr>
              <w:t>确定</w:t>
            </w:r>
          </w:p>
        </w:tc>
      </w:tr>
      <w:tr w14:paraId="1AE92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158BDF15">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142" w:type="dxa"/>
            <w:gridSpan w:val="2"/>
            <w:vMerge w:val="restart"/>
            <w:tcBorders>
              <w:top w:val="single" w:color="auto" w:sz="4" w:space="0"/>
              <w:left w:val="single" w:color="auto" w:sz="4" w:space="0"/>
              <w:right w:val="single" w:color="auto" w:sz="4" w:space="0"/>
            </w:tcBorders>
            <w:vAlign w:val="center"/>
          </w:tcPr>
          <w:p w14:paraId="512AAAE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1976" w:type="dxa"/>
            <w:tcBorders>
              <w:top w:val="single" w:color="auto" w:sz="4" w:space="0"/>
              <w:left w:val="single" w:color="auto" w:sz="4" w:space="0"/>
              <w:bottom w:val="single" w:color="auto" w:sz="4" w:space="0"/>
              <w:right w:val="single" w:color="auto" w:sz="4" w:space="0"/>
            </w:tcBorders>
            <w:vAlign w:val="center"/>
          </w:tcPr>
          <w:p w14:paraId="15002432">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5686" w:type="dxa"/>
            <w:gridSpan w:val="2"/>
            <w:tcBorders>
              <w:top w:val="single" w:color="auto" w:sz="4" w:space="0"/>
              <w:left w:val="single" w:color="auto" w:sz="4" w:space="0"/>
              <w:bottom w:val="single" w:color="auto" w:sz="4" w:space="0"/>
            </w:tcBorders>
            <w:vAlign w:val="center"/>
          </w:tcPr>
          <w:p w14:paraId="11DC5D08">
            <w:pPr>
              <w:spacing w:line="24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6AAA6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0EDE90BD">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142" w:type="dxa"/>
            <w:gridSpan w:val="2"/>
            <w:vMerge w:val="continue"/>
            <w:tcBorders>
              <w:left w:val="single" w:color="auto" w:sz="4" w:space="0"/>
              <w:bottom w:val="single" w:color="auto" w:sz="4" w:space="0"/>
              <w:right w:val="single" w:color="auto" w:sz="4" w:space="0"/>
            </w:tcBorders>
            <w:vAlign w:val="center"/>
          </w:tcPr>
          <w:p w14:paraId="20836433">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right w:val="single" w:color="auto" w:sz="4" w:space="0"/>
            </w:tcBorders>
            <w:vAlign w:val="center"/>
          </w:tcPr>
          <w:p w14:paraId="00894191">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特定资格条件要求</w:t>
            </w:r>
          </w:p>
        </w:tc>
        <w:tc>
          <w:tcPr>
            <w:tcW w:w="5686" w:type="dxa"/>
            <w:gridSpan w:val="2"/>
            <w:tcBorders>
              <w:top w:val="single" w:color="auto" w:sz="4" w:space="0"/>
              <w:left w:val="single" w:color="auto" w:sz="4" w:space="0"/>
              <w:bottom w:val="single" w:color="auto" w:sz="4" w:space="0"/>
            </w:tcBorders>
            <w:vAlign w:val="center"/>
          </w:tcPr>
          <w:p w14:paraId="7C3B8FED">
            <w:pPr>
              <w:spacing w:line="240" w:lineRule="auto"/>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u w:val="none"/>
                <w:lang w:val="en-US" w:eastAsia="zh-CN"/>
              </w:rPr>
              <w:t>/</w:t>
            </w:r>
          </w:p>
        </w:tc>
      </w:tr>
      <w:tr w14:paraId="7AF78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1C4921F4">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785A68D6">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976" w:type="dxa"/>
            <w:tcBorders>
              <w:top w:val="single" w:color="auto" w:sz="4" w:space="0"/>
              <w:left w:val="single" w:color="auto" w:sz="4" w:space="0"/>
              <w:bottom w:val="single" w:color="auto" w:sz="4" w:space="0"/>
              <w:right w:val="single" w:color="auto" w:sz="4" w:space="0"/>
            </w:tcBorders>
            <w:vAlign w:val="center"/>
          </w:tcPr>
          <w:p w14:paraId="74EF6AB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符合性审查其他要求</w:t>
            </w:r>
          </w:p>
        </w:tc>
        <w:tc>
          <w:tcPr>
            <w:tcW w:w="5686" w:type="dxa"/>
            <w:gridSpan w:val="2"/>
            <w:tcBorders>
              <w:top w:val="single" w:color="auto" w:sz="4" w:space="0"/>
              <w:left w:val="single" w:color="auto" w:sz="4" w:space="0"/>
              <w:bottom w:val="single" w:color="auto" w:sz="4" w:space="0"/>
            </w:tcBorders>
            <w:vAlign w:val="center"/>
          </w:tcPr>
          <w:p w14:paraId="0AD13BB6">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0A6DC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6" w:type="dxa"/>
            <w:gridSpan w:val="3"/>
            <w:tcBorders>
              <w:top w:val="single" w:color="auto" w:sz="4" w:space="0"/>
              <w:bottom w:val="single" w:color="auto" w:sz="4" w:space="0"/>
              <w:right w:val="single" w:color="auto" w:sz="4" w:space="0"/>
            </w:tcBorders>
            <w:vAlign w:val="center"/>
          </w:tcPr>
          <w:p w14:paraId="1AB90E1E">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976" w:type="dxa"/>
            <w:tcBorders>
              <w:top w:val="single" w:color="auto" w:sz="4" w:space="0"/>
              <w:left w:val="single" w:color="auto" w:sz="4" w:space="0"/>
              <w:bottom w:val="single" w:color="auto" w:sz="4" w:space="0"/>
              <w:right w:val="single" w:color="auto" w:sz="4" w:space="0"/>
            </w:tcBorders>
            <w:vAlign w:val="center"/>
          </w:tcPr>
          <w:p w14:paraId="3A13838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分值权重构成</w:t>
            </w:r>
          </w:p>
        </w:tc>
        <w:tc>
          <w:tcPr>
            <w:tcW w:w="5686" w:type="dxa"/>
            <w:gridSpan w:val="2"/>
            <w:tcBorders>
              <w:top w:val="single" w:color="auto" w:sz="4" w:space="0"/>
              <w:left w:val="single" w:color="auto" w:sz="4" w:space="0"/>
              <w:bottom w:val="single" w:color="auto" w:sz="4" w:space="0"/>
            </w:tcBorders>
            <w:vAlign w:val="center"/>
          </w:tcPr>
          <w:p w14:paraId="33B605FE">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商务技术权重：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70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0878D27">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报价权重：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tc>
      </w:tr>
      <w:tr w14:paraId="762CF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restart"/>
            <w:tcBorders>
              <w:top w:val="single" w:color="auto" w:sz="4" w:space="0"/>
              <w:right w:val="single" w:color="auto" w:sz="4" w:space="0"/>
            </w:tcBorders>
            <w:vAlign w:val="center"/>
          </w:tcPr>
          <w:p w14:paraId="6D6471B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125" w:type="dxa"/>
            <w:vMerge w:val="restart"/>
            <w:tcBorders>
              <w:top w:val="single" w:color="auto" w:sz="4" w:space="0"/>
              <w:right w:val="single" w:color="auto" w:sz="4" w:space="0"/>
            </w:tcBorders>
            <w:vAlign w:val="center"/>
          </w:tcPr>
          <w:p w14:paraId="7A8B3019">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商务技术评分标准</w:t>
            </w:r>
          </w:p>
        </w:tc>
        <w:tc>
          <w:tcPr>
            <w:tcW w:w="1976" w:type="dxa"/>
            <w:tcBorders>
              <w:top w:val="single" w:color="auto" w:sz="4" w:space="0"/>
              <w:left w:val="single" w:color="auto" w:sz="4" w:space="0"/>
              <w:bottom w:val="single" w:color="auto" w:sz="4" w:space="0"/>
            </w:tcBorders>
            <w:vAlign w:val="center"/>
          </w:tcPr>
          <w:p w14:paraId="128F9BA7">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w:t>
            </w:r>
          </w:p>
        </w:tc>
        <w:tc>
          <w:tcPr>
            <w:tcW w:w="5047" w:type="dxa"/>
            <w:tcBorders>
              <w:top w:val="single" w:color="auto" w:sz="4" w:space="0"/>
              <w:left w:val="single" w:color="auto" w:sz="4" w:space="0"/>
              <w:bottom w:val="single" w:color="auto" w:sz="4" w:space="0"/>
              <w:right w:val="single" w:color="auto" w:sz="4" w:space="0"/>
            </w:tcBorders>
            <w:vAlign w:val="center"/>
          </w:tcPr>
          <w:p w14:paraId="0C89C28B">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639" w:type="dxa"/>
            <w:tcBorders>
              <w:top w:val="single" w:color="auto" w:sz="4" w:space="0"/>
              <w:left w:val="single" w:color="auto" w:sz="4" w:space="0"/>
              <w:bottom w:val="single" w:color="auto" w:sz="4" w:space="0"/>
            </w:tcBorders>
            <w:vAlign w:val="center"/>
          </w:tcPr>
          <w:p w14:paraId="1DA0B4A5">
            <w:pPr>
              <w:tabs>
                <w:tab w:val="left" w:pos="0"/>
              </w:tabs>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分值</w:t>
            </w:r>
          </w:p>
        </w:tc>
      </w:tr>
      <w:tr w14:paraId="042A9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931" w:type="dxa"/>
            <w:gridSpan w:val="2"/>
            <w:vMerge w:val="continue"/>
            <w:tcBorders>
              <w:right w:val="single" w:color="auto" w:sz="4" w:space="0"/>
            </w:tcBorders>
            <w:vAlign w:val="center"/>
          </w:tcPr>
          <w:p w14:paraId="16942758">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7362576">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tcBorders>
            <w:vAlign w:val="center"/>
          </w:tcPr>
          <w:p w14:paraId="598E1389">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投标人实力</w:t>
            </w:r>
          </w:p>
        </w:tc>
        <w:tc>
          <w:tcPr>
            <w:tcW w:w="5047" w:type="dxa"/>
            <w:tcBorders>
              <w:top w:val="single" w:color="auto" w:sz="4" w:space="0"/>
              <w:left w:val="single" w:color="auto" w:sz="4" w:space="0"/>
              <w:right w:val="single" w:color="auto" w:sz="4" w:space="0"/>
            </w:tcBorders>
            <w:vAlign w:val="center"/>
          </w:tcPr>
          <w:p w14:paraId="1B1093B0">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投标人具有有效的环境管理体系认证、职业健康安全管理体系认证、质量管理体系认证证书的，每个得1分，共计</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5671ED11">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有效性认定：须提供以上有效证书清晰扫描件，并于开标当天在全国认证认可信息公共服务平台(http://cx.cnca.cn/CertECloud/result/skipResultList）查询到有效的相关证书信息，否则不得分。如因系统故障无法查询，则以供应商提供的证明材料为准。</w:t>
            </w:r>
          </w:p>
        </w:tc>
        <w:tc>
          <w:tcPr>
            <w:tcW w:w="639" w:type="dxa"/>
            <w:tcBorders>
              <w:top w:val="single" w:color="auto" w:sz="4" w:space="0"/>
              <w:left w:val="single" w:color="auto" w:sz="4" w:space="0"/>
              <w:bottom w:val="single" w:color="auto" w:sz="4" w:space="0"/>
            </w:tcBorders>
            <w:vAlign w:val="center"/>
          </w:tcPr>
          <w:p w14:paraId="0038D054">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0D93A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3" w:hRule="atLeast"/>
        </w:trPr>
        <w:tc>
          <w:tcPr>
            <w:tcW w:w="931" w:type="dxa"/>
            <w:gridSpan w:val="2"/>
            <w:vMerge w:val="continue"/>
            <w:tcBorders>
              <w:right w:val="single" w:color="auto" w:sz="4" w:space="0"/>
            </w:tcBorders>
            <w:vAlign w:val="center"/>
          </w:tcPr>
          <w:p w14:paraId="4AFC738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69BBD3F7">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0805FC4A">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所投产品与采购要求的符合性</w:t>
            </w:r>
          </w:p>
        </w:tc>
        <w:tc>
          <w:tcPr>
            <w:tcW w:w="5047" w:type="dxa"/>
            <w:tcBorders>
              <w:top w:val="single" w:color="auto" w:sz="4" w:space="0"/>
              <w:left w:val="single" w:color="auto" w:sz="4" w:space="0"/>
              <w:bottom w:val="single" w:color="auto" w:sz="4" w:space="0"/>
              <w:right w:val="single" w:color="auto" w:sz="4" w:space="0"/>
            </w:tcBorders>
            <w:vAlign w:val="center"/>
          </w:tcPr>
          <w:p w14:paraId="2D4A3DC3">
            <w:pPr>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第三部分采购需求→五、</w:t>
            </w:r>
            <w:r>
              <w:rPr>
                <w:rFonts w:hint="eastAsia" w:ascii="仿宋" w:hAnsi="仿宋" w:eastAsia="仿宋" w:cs="仿宋"/>
                <w:color w:val="auto"/>
                <w:szCs w:val="21"/>
                <w:highlight w:val="none"/>
              </w:rPr>
              <w:t>除臭设备（一套）清单及具体技术规格、要求</w:t>
            </w:r>
            <w:r>
              <w:rPr>
                <w:rFonts w:hint="eastAsia" w:ascii="仿宋" w:hAnsi="仿宋" w:eastAsia="仿宋" w:cs="仿宋"/>
                <w:color w:val="auto"/>
                <w:szCs w:val="21"/>
                <w:highlight w:val="none"/>
                <w:lang w:eastAsia="zh-CN"/>
              </w:rPr>
              <w:t>中，</w:t>
            </w:r>
            <w:r>
              <w:rPr>
                <w:rFonts w:hint="eastAsia" w:ascii="仿宋" w:hAnsi="仿宋" w:eastAsia="仿宋" w:cs="仿宋"/>
                <w:color w:val="auto"/>
                <w:szCs w:val="21"/>
                <w:highlight w:val="none"/>
              </w:rPr>
              <w:t>标“★”项为产品核心技术指标，负偏离一项扣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分；其他的性能指标及技术参数属负偏离或缺漏项的</w:t>
            </w:r>
            <w:r>
              <w:rPr>
                <w:rFonts w:hint="eastAsia" w:ascii="仿宋" w:hAnsi="仿宋" w:eastAsia="仿宋" w:cs="仿宋"/>
                <w:color w:val="auto"/>
                <w:szCs w:val="21"/>
                <w:highlight w:val="none"/>
                <w:lang w:eastAsia="zh-CN"/>
              </w:rPr>
              <w:t>一项扣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42DFF619">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注：供应商提供设备的技术参数对应招标文件要求如有偏离的，须在《偏离表》中列出。</w:t>
            </w:r>
            <w:r>
              <w:rPr>
                <w:rFonts w:hint="eastAsia" w:ascii="仿宋" w:hAnsi="仿宋" w:eastAsia="仿宋" w:cs="仿宋"/>
                <w:b/>
                <w:bCs/>
                <w:color w:val="auto"/>
                <w:szCs w:val="21"/>
                <w:highlight w:val="none"/>
                <w:lang w:val="en-US" w:eastAsia="zh-CN"/>
              </w:rPr>
              <w:t>有要求投标时提供</w:t>
            </w:r>
            <w:r>
              <w:rPr>
                <w:rFonts w:hint="eastAsia" w:ascii="仿宋" w:hAnsi="仿宋" w:eastAsia="仿宋" w:cs="仿宋"/>
                <w:b/>
                <w:bCs w:val="0"/>
                <w:color w:val="auto"/>
                <w:szCs w:val="21"/>
                <w:highlight w:val="none"/>
              </w:rPr>
              <w:t>证书、检测检验报告、证明材料等</w:t>
            </w:r>
            <w:r>
              <w:rPr>
                <w:rFonts w:hint="eastAsia" w:ascii="仿宋" w:hAnsi="仿宋" w:eastAsia="仿宋" w:cs="仿宋"/>
                <w:b/>
                <w:bCs w:val="0"/>
                <w:color w:val="auto"/>
                <w:szCs w:val="21"/>
                <w:highlight w:val="none"/>
                <w:lang w:eastAsia="zh-CN"/>
              </w:rPr>
              <w:t>资料的</w:t>
            </w:r>
            <w:r>
              <w:rPr>
                <w:rFonts w:hint="eastAsia" w:ascii="仿宋" w:hAnsi="仿宋" w:eastAsia="仿宋" w:cs="仿宋"/>
                <w:b/>
                <w:bCs w:val="0"/>
                <w:color w:val="auto"/>
                <w:szCs w:val="21"/>
                <w:highlight w:val="none"/>
              </w:rPr>
              <w:t>需</w:t>
            </w:r>
            <w:r>
              <w:rPr>
                <w:rFonts w:hint="eastAsia" w:ascii="仿宋" w:hAnsi="仿宋" w:eastAsia="仿宋" w:cs="仿宋"/>
                <w:b/>
                <w:bCs w:val="0"/>
                <w:color w:val="auto"/>
                <w:szCs w:val="21"/>
                <w:highlight w:val="none"/>
                <w:lang w:eastAsia="zh-CN"/>
              </w:rPr>
              <w:t>提供并</w:t>
            </w:r>
            <w:r>
              <w:rPr>
                <w:rFonts w:hint="eastAsia" w:ascii="仿宋" w:hAnsi="仿宋" w:eastAsia="仿宋" w:cs="仿宋"/>
                <w:b/>
                <w:bCs w:val="0"/>
                <w:color w:val="auto"/>
                <w:szCs w:val="21"/>
                <w:highlight w:val="none"/>
                <w:lang w:val="en-US" w:eastAsia="zh-CN"/>
              </w:rPr>
              <w:t>加盖公章</w:t>
            </w:r>
            <w:r>
              <w:rPr>
                <w:rFonts w:hint="eastAsia" w:ascii="仿宋" w:hAnsi="仿宋" w:eastAsia="仿宋" w:cs="仿宋"/>
                <w:b/>
                <w:bCs w:val="0"/>
                <w:color w:val="auto"/>
                <w:szCs w:val="21"/>
                <w:highlight w:val="none"/>
              </w:rPr>
              <w:t>，否则视为负偏离</w:t>
            </w:r>
            <w:r>
              <w:rPr>
                <w:rFonts w:hint="eastAsia" w:ascii="仿宋" w:hAnsi="仿宋" w:eastAsia="仿宋" w:cs="仿宋"/>
                <w:b/>
                <w:bCs w:val="0"/>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0741E9E6">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w:t>
            </w:r>
          </w:p>
        </w:tc>
      </w:tr>
      <w:tr w14:paraId="6F434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9" w:hRule="atLeast"/>
        </w:trPr>
        <w:tc>
          <w:tcPr>
            <w:tcW w:w="931" w:type="dxa"/>
            <w:gridSpan w:val="2"/>
            <w:vMerge w:val="continue"/>
            <w:tcBorders>
              <w:right w:val="single" w:color="auto" w:sz="4" w:space="0"/>
            </w:tcBorders>
            <w:vAlign w:val="center"/>
          </w:tcPr>
          <w:p w14:paraId="76004AE8">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0F965CF3">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tcBorders>
            <w:vAlign w:val="center"/>
          </w:tcPr>
          <w:p w14:paraId="2C6F62D1">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业绩案例</w:t>
            </w:r>
          </w:p>
        </w:tc>
        <w:tc>
          <w:tcPr>
            <w:tcW w:w="5047" w:type="dxa"/>
            <w:tcBorders>
              <w:top w:val="single" w:color="auto" w:sz="4" w:space="0"/>
              <w:left w:val="single" w:color="auto" w:sz="4" w:space="0"/>
              <w:right w:val="single" w:color="auto" w:sz="4" w:space="0"/>
            </w:tcBorders>
            <w:vAlign w:val="center"/>
          </w:tcPr>
          <w:p w14:paraId="7BA86477">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投标人自202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年1月1日以来</w:t>
            </w:r>
            <w:r>
              <w:rPr>
                <w:rFonts w:hint="eastAsia" w:ascii="仿宋" w:hAnsi="仿宋" w:eastAsia="仿宋" w:cs="仿宋"/>
                <w:color w:val="auto"/>
                <w:szCs w:val="21"/>
                <w:highlight w:val="none"/>
                <w:lang w:eastAsia="zh-CN"/>
              </w:rPr>
              <w:t>同类项目业绩</w:t>
            </w:r>
            <w:r>
              <w:rPr>
                <w:rFonts w:hint="eastAsia" w:ascii="仿宋" w:hAnsi="仿宋" w:eastAsia="仿宋" w:cs="仿宋"/>
                <w:color w:val="auto"/>
                <w:szCs w:val="21"/>
                <w:highlight w:val="none"/>
              </w:rPr>
              <w:t>，每个得1分，最高得3分。</w:t>
            </w:r>
          </w:p>
          <w:p w14:paraId="1425E2EB">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注：</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时间以合同签订时间为准，</w:t>
            </w:r>
            <w:r>
              <w:rPr>
                <w:rFonts w:hint="eastAsia" w:ascii="仿宋" w:hAnsi="仿宋" w:eastAsia="仿宋" w:cs="仿宋"/>
                <w:color w:val="auto"/>
                <w:szCs w:val="21"/>
                <w:highlight w:val="none"/>
              </w:rPr>
              <w:t>证明材料提供合同</w:t>
            </w:r>
            <w:r>
              <w:rPr>
                <w:rFonts w:hint="eastAsia" w:ascii="仿宋" w:hAnsi="仿宋" w:eastAsia="仿宋" w:cs="仿宋"/>
                <w:color w:val="auto"/>
                <w:szCs w:val="21"/>
                <w:highlight w:val="none"/>
                <w:lang w:eastAsia="zh-CN"/>
              </w:rPr>
              <w:t>清晰扫描件加盖公章</w:t>
            </w:r>
            <w:r>
              <w:rPr>
                <w:rFonts w:hint="eastAsia" w:ascii="仿宋" w:hAnsi="仿宋" w:eastAsia="仿宋" w:cs="仿宋"/>
                <w:color w:val="auto"/>
                <w:szCs w:val="21"/>
                <w:highlight w:val="none"/>
              </w:rPr>
              <w:t>，否则不得分。</w:t>
            </w:r>
          </w:p>
          <w:p w14:paraId="73F8D5F4">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i w:val="0"/>
                <w:iCs w:val="0"/>
                <w:caps w:val="0"/>
                <w:color w:val="auto"/>
                <w:spacing w:val="0"/>
                <w:kern w:val="0"/>
                <w:sz w:val="21"/>
                <w:szCs w:val="21"/>
                <w:highlight w:val="none"/>
                <w:lang w:val="en-US" w:eastAsia="zh-CN" w:bidi="ar"/>
              </w:rPr>
              <w:t>2、对省级以上主管部门认定的首台套产品，自纳入《省推广应用指导目录》起三年内参加政府采购活动，视同已具备相应销售业绩，业绩分为满分，提供相关证明材料，未提供证明材料或不能清楚辨析的不得分。</w:t>
            </w:r>
          </w:p>
        </w:tc>
        <w:tc>
          <w:tcPr>
            <w:tcW w:w="639" w:type="dxa"/>
            <w:tcBorders>
              <w:top w:val="single" w:color="auto" w:sz="4" w:space="0"/>
              <w:left w:val="single" w:color="auto" w:sz="4" w:space="0"/>
              <w:bottom w:val="single" w:color="auto" w:sz="4" w:space="0"/>
            </w:tcBorders>
            <w:vAlign w:val="center"/>
          </w:tcPr>
          <w:p w14:paraId="127F0F76">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823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2123385E">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DAAC0F5">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585BC403">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实施方案</w:t>
            </w:r>
          </w:p>
        </w:tc>
        <w:tc>
          <w:tcPr>
            <w:tcW w:w="5047" w:type="dxa"/>
            <w:tcBorders>
              <w:top w:val="single" w:color="auto" w:sz="4" w:space="0"/>
              <w:left w:val="single" w:color="auto" w:sz="4" w:space="0"/>
              <w:bottom w:val="single" w:color="auto" w:sz="4" w:space="0"/>
              <w:right w:val="single" w:color="auto" w:sz="4" w:space="0"/>
            </w:tcBorders>
            <w:vAlign w:val="center"/>
          </w:tcPr>
          <w:p w14:paraId="7AE27220">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根据投标人提供的实施方案及重点问题解析进行评分。</w:t>
            </w:r>
          </w:p>
          <w:p w14:paraId="207E2FCA">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(1)能完全贴合采购人需求，合理可行、针对性强的得6分；</w:t>
            </w:r>
          </w:p>
          <w:p w14:paraId="494D752A">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(2)能比较贴合采购人需求，较合理可行、针对性较强的得4分；</w:t>
            </w:r>
          </w:p>
          <w:p w14:paraId="430DAA93">
            <w:pPr>
              <w:spacing w:line="24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(3)能基本贴合采购人需求，合理性、可行性、针对性一般的得3分。</w:t>
            </w:r>
          </w:p>
        </w:tc>
        <w:tc>
          <w:tcPr>
            <w:tcW w:w="639" w:type="dxa"/>
            <w:tcBorders>
              <w:top w:val="single" w:color="auto" w:sz="4" w:space="0"/>
              <w:left w:val="single" w:color="auto" w:sz="4" w:space="0"/>
              <w:bottom w:val="single" w:color="auto" w:sz="4" w:space="0"/>
            </w:tcBorders>
            <w:vAlign w:val="center"/>
          </w:tcPr>
          <w:p w14:paraId="5BBDBE0E">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4A3E9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5" w:hRule="atLeast"/>
        </w:trPr>
        <w:tc>
          <w:tcPr>
            <w:tcW w:w="931" w:type="dxa"/>
            <w:gridSpan w:val="2"/>
            <w:vMerge w:val="continue"/>
            <w:tcBorders>
              <w:right w:val="single" w:color="auto" w:sz="4" w:space="0"/>
            </w:tcBorders>
            <w:vAlign w:val="center"/>
          </w:tcPr>
          <w:p w14:paraId="287EF846">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597B6CF9">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61ADC306">
            <w:pPr>
              <w:pStyle w:val="3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w:t>
            </w:r>
          </w:p>
        </w:tc>
        <w:tc>
          <w:tcPr>
            <w:tcW w:w="5047" w:type="dxa"/>
            <w:tcBorders>
              <w:top w:val="single" w:color="auto" w:sz="4" w:space="0"/>
              <w:left w:val="single" w:color="auto" w:sz="4" w:space="0"/>
              <w:bottom w:val="single" w:color="auto" w:sz="4" w:space="0"/>
              <w:right w:val="single" w:color="auto" w:sz="4" w:space="0"/>
            </w:tcBorders>
            <w:vAlign w:val="center"/>
          </w:tcPr>
          <w:p w14:paraId="0493EB7C">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投标人可以根据需要自行踏勘现场，根据现场条件，合理优化设备布局，并提供设计图纸以及相关说明（10分）。</w:t>
            </w:r>
          </w:p>
          <w:p w14:paraId="1809F18F">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设计方案符合采购需求，设计布局</w:t>
            </w:r>
            <w:r>
              <w:rPr>
                <w:rFonts w:hint="eastAsia" w:ascii="仿宋" w:hAnsi="仿宋" w:eastAsia="仿宋" w:cs="仿宋"/>
                <w:color w:val="auto"/>
                <w:sz w:val="21"/>
                <w:szCs w:val="21"/>
                <w:highlight w:val="none"/>
                <w:lang w:val="en-US" w:eastAsia="zh-CN"/>
              </w:rPr>
              <w:t>合理可行、针对性强的</w:t>
            </w:r>
            <w:r>
              <w:rPr>
                <w:rFonts w:hint="eastAsia" w:ascii="仿宋" w:hAnsi="仿宋" w:eastAsia="仿宋" w:cs="仿宋"/>
                <w:color w:val="auto"/>
                <w:kern w:val="2"/>
                <w:sz w:val="21"/>
                <w:szCs w:val="21"/>
                <w:highlight w:val="none"/>
                <w:lang w:val="en-US" w:eastAsia="zh-CN" w:bidi="ar-SA"/>
              </w:rPr>
              <w:t>得10分；</w:t>
            </w:r>
          </w:p>
          <w:p w14:paraId="33B12CA1">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设计方案较符合采购需求，</w:t>
            </w:r>
            <w:r>
              <w:rPr>
                <w:rFonts w:hint="eastAsia" w:ascii="仿宋" w:hAnsi="仿宋" w:eastAsia="仿宋" w:cs="仿宋"/>
                <w:color w:val="auto"/>
                <w:sz w:val="21"/>
                <w:szCs w:val="21"/>
                <w:highlight w:val="none"/>
                <w:lang w:val="en-US" w:eastAsia="zh-CN"/>
              </w:rPr>
              <w:t>较合理可行、针对性较强</w:t>
            </w:r>
            <w:r>
              <w:rPr>
                <w:rFonts w:hint="eastAsia" w:ascii="仿宋" w:hAnsi="仿宋" w:eastAsia="仿宋" w:cs="仿宋"/>
                <w:color w:val="auto"/>
                <w:kern w:val="2"/>
                <w:sz w:val="21"/>
                <w:szCs w:val="21"/>
                <w:highlight w:val="none"/>
                <w:lang w:val="en-US" w:eastAsia="zh-CN" w:bidi="ar-SA"/>
              </w:rPr>
              <w:t>的得7分；</w:t>
            </w:r>
          </w:p>
          <w:p w14:paraId="6F63FBEA">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设计方案基本符合采购需求，设计布局欠合理的得4分。</w:t>
            </w:r>
          </w:p>
        </w:tc>
        <w:tc>
          <w:tcPr>
            <w:tcW w:w="639" w:type="dxa"/>
            <w:tcBorders>
              <w:top w:val="single" w:color="auto" w:sz="4" w:space="0"/>
              <w:left w:val="single" w:color="auto" w:sz="4" w:space="0"/>
              <w:bottom w:val="single" w:color="auto" w:sz="4" w:space="0"/>
            </w:tcBorders>
            <w:vAlign w:val="center"/>
          </w:tcPr>
          <w:p w14:paraId="241495FE">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67369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6D5E0C64">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75828BDE">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shd w:val="clear" w:color="auto" w:fill="FFFFFF"/>
            <w:vAlign w:val="center"/>
          </w:tcPr>
          <w:p w14:paraId="61C05951">
            <w:pPr>
              <w:spacing w:line="360" w:lineRule="exact"/>
              <w:ind w:left="-51" w:leftChars="0"/>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质量保证</w:t>
            </w:r>
          </w:p>
        </w:tc>
        <w:tc>
          <w:tcPr>
            <w:tcW w:w="5047" w:type="dxa"/>
            <w:tcBorders>
              <w:top w:val="single" w:color="auto" w:sz="4" w:space="0"/>
              <w:left w:val="single" w:color="auto" w:sz="4" w:space="0"/>
              <w:bottom w:val="single" w:color="auto" w:sz="4" w:space="0"/>
              <w:right w:val="single" w:color="auto" w:sz="4" w:space="0"/>
            </w:tcBorders>
            <w:shd w:val="clear" w:color="auto" w:fill="FFFFFF"/>
            <w:vAlign w:val="center"/>
          </w:tcPr>
          <w:p w14:paraId="316612AD">
            <w:pPr>
              <w:pStyle w:val="3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根据投标人为保证本项目实施过程中的质量保证措施以及能达到臭气排放标准的合理性、科学性、全面性等由评委打分，（6分）。</w:t>
            </w:r>
          </w:p>
          <w:p w14:paraId="444AEB96">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(1)能完全贴合采购人需求，合理可行、针对性强的得6分；</w:t>
            </w:r>
          </w:p>
          <w:p w14:paraId="5DE1F7F3">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(2)能比较贴合采购人需求，较合理可行、针对性较强的得4分；</w:t>
            </w:r>
          </w:p>
          <w:p w14:paraId="3853AF78">
            <w:pPr>
              <w:pStyle w:val="32"/>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(3)能基本贴合采购人需求，合理性、可行性、针对性一般的得3分。</w:t>
            </w:r>
          </w:p>
        </w:tc>
        <w:tc>
          <w:tcPr>
            <w:tcW w:w="639" w:type="dxa"/>
            <w:tcBorders>
              <w:top w:val="single" w:color="auto" w:sz="4" w:space="0"/>
              <w:left w:val="single" w:color="auto" w:sz="4" w:space="0"/>
              <w:bottom w:val="single" w:color="auto" w:sz="4" w:space="0"/>
            </w:tcBorders>
            <w:vAlign w:val="center"/>
          </w:tcPr>
          <w:p w14:paraId="3FFBA897">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76F87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5873D94F">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FEA5D02">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shd w:val="clear" w:color="auto" w:fill="FFFFFF"/>
            <w:vAlign w:val="center"/>
          </w:tcPr>
          <w:p w14:paraId="4F3BC30F">
            <w:pPr>
              <w:spacing w:line="360" w:lineRule="exact"/>
              <w:ind w:left="-51" w:lef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质保期</w:t>
            </w:r>
          </w:p>
        </w:tc>
        <w:tc>
          <w:tcPr>
            <w:tcW w:w="5047" w:type="dxa"/>
            <w:tcBorders>
              <w:top w:val="single" w:color="auto" w:sz="4" w:space="0"/>
              <w:left w:val="single" w:color="auto" w:sz="4" w:space="0"/>
              <w:bottom w:val="single" w:color="auto" w:sz="4" w:space="0"/>
              <w:right w:val="single" w:color="auto" w:sz="4" w:space="0"/>
            </w:tcBorders>
            <w:shd w:val="clear" w:color="auto" w:fill="FFFFFF"/>
            <w:vAlign w:val="center"/>
          </w:tcPr>
          <w:p w14:paraId="0EFEF79F">
            <w:pPr>
              <w:spacing w:line="240"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投标人对质保期的承诺在1年基础上每增加半年加0.5分，最多得1分。（提供相关承诺函，不提供不得分）</w:t>
            </w:r>
          </w:p>
        </w:tc>
        <w:tc>
          <w:tcPr>
            <w:tcW w:w="639" w:type="dxa"/>
            <w:tcBorders>
              <w:top w:val="single" w:color="auto" w:sz="4" w:space="0"/>
              <w:left w:val="single" w:color="auto" w:sz="4" w:space="0"/>
              <w:bottom w:val="single" w:color="auto" w:sz="4" w:space="0"/>
            </w:tcBorders>
            <w:vAlign w:val="center"/>
          </w:tcPr>
          <w:p w14:paraId="52A817F4">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1CC2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18DD0D7C">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58B0ED2">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5B7BF981">
            <w:pPr>
              <w:spacing w:line="360" w:lineRule="exact"/>
              <w:ind w:left="-51" w:leftChars="0"/>
              <w:jc w:val="center"/>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lang w:val="en-US" w:eastAsia="zh-CN"/>
              </w:rPr>
              <w:t>备品备件</w:t>
            </w:r>
          </w:p>
        </w:tc>
        <w:tc>
          <w:tcPr>
            <w:tcW w:w="5047" w:type="dxa"/>
            <w:tcBorders>
              <w:top w:val="single" w:color="auto" w:sz="4" w:space="0"/>
              <w:left w:val="single" w:color="auto" w:sz="4" w:space="0"/>
              <w:bottom w:val="single" w:color="auto" w:sz="4" w:space="0"/>
              <w:right w:val="single" w:color="auto" w:sz="4" w:space="0"/>
            </w:tcBorders>
            <w:vAlign w:val="center"/>
          </w:tcPr>
          <w:p w14:paraId="0F74AACB">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根据投标人对质保期外3年内提供配件的优惠承诺进行打分。（提供相关优惠承诺函）</w:t>
            </w:r>
          </w:p>
        </w:tc>
        <w:tc>
          <w:tcPr>
            <w:tcW w:w="639" w:type="dxa"/>
            <w:tcBorders>
              <w:top w:val="single" w:color="auto" w:sz="4" w:space="0"/>
              <w:left w:val="single" w:color="auto" w:sz="4" w:space="0"/>
              <w:bottom w:val="single" w:color="auto" w:sz="4" w:space="0"/>
            </w:tcBorders>
            <w:vAlign w:val="center"/>
          </w:tcPr>
          <w:p w14:paraId="2846B84C">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17BC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6200D8D7">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7B19526B">
            <w:pPr>
              <w:spacing w:line="240" w:lineRule="auto"/>
              <w:jc w:val="center"/>
              <w:rPr>
                <w:rFonts w:hint="eastAsia" w:ascii="仿宋" w:hAnsi="仿宋" w:eastAsia="仿宋" w:cs="仿宋"/>
                <w:color w:val="auto"/>
                <w:szCs w:val="21"/>
                <w:highlight w:val="none"/>
              </w:rPr>
            </w:pPr>
          </w:p>
        </w:tc>
        <w:tc>
          <w:tcPr>
            <w:tcW w:w="1976" w:type="dxa"/>
            <w:vMerge w:val="restart"/>
            <w:tcBorders>
              <w:top w:val="single" w:color="auto" w:sz="4" w:space="0"/>
              <w:left w:val="single" w:color="auto" w:sz="4" w:space="0"/>
            </w:tcBorders>
            <w:vAlign w:val="center"/>
          </w:tcPr>
          <w:p w14:paraId="0699C22D">
            <w:pPr>
              <w:tabs>
                <w:tab w:val="left" w:pos="0"/>
              </w:tabs>
              <w:spacing w:line="240" w:lineRule="auto"/>
              <w:jc w:val="center"/>
              <w:rPr>
                <w:rFonts w:hint="eastAsia" w:ascii="仿宋" w:hAnsi="仿宋" w:eastAsia="仿宋" w:cs="仿宋"/>
                <w:b w:val="0"/>
                <w:bCs/>
                <w:color w:val="auto"/>
                <w:sz w:val="21"/>
                <w:szCs w:val="21"/>
                <w:highlight w:val="none"/>
              </w:rPr>
            </w:pPr>
            <w:r>
              <w:rPr>
                <w:rFonts w:hint="eastAsia" w:ascii="仿宋" w:hAnsi="仿宋" w:eastAsia="仿宋" w:cs="仿宋"/>
                <w:color w:val="auto"/>
                <w:sz w:val="21"/>
                <w:szCs w:val="21"/>
                <w:highlight w:val="none"/>
              </w:rPr>
              <w:t>售后服务方案</w:t>
            </w:r>
          </w:p>
        </w:tc>
        <w:tc>
          <w:tcPr>
            <w:tcW w:w="5047" w:type="dxa"/>
            <w:tcBorders>
              <w:top w:val="single" w:color="auto" w:sz="4" w:space="0"/>
              <w:left w:val="single" w:color="auto" w:sz="4" w:space="0"/>
              <w:bottom w:val="single" w:color="auto" w:sz="4" w:space="0"/>
              <w:right w:val="single" w:color="auto" w:sz="4" w:space="0"/>
            </w:tcBorders>
            <w:vAlign w:val="center"/>
          </w:tcPr>
          <w:p w14:paraId="4B4C186D">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针对本项目的售后服务内容、售后服务响应体系和就近服务点介绍等</w:t>
            </w:r>
            <w:r>
              <w:rPr>
                <w:rFonts w:hint="eastAsia" w:ascii="仿宋" w:hAnsi="仿宋" w:eastAsia="仿宋" w:cs="仿宋"/>
                <w:color w:val="auto"/>
                <w:sz w:val="21"/>
                <w:szCs w:val="21"/>
                <w:highlight w:val="none"/>
                <w:lang w:eastAsia="zh-CN"/>
              </w:rPr>
              <w:t>内容</w:t>
            </w:r>
            <w:r>
              <w:rPr>
                <w:rFonts w:hint="eastAsia" w:ascii="仿宋" w:hAnsi="仿宋" w:eastAsia="仿宋" w:cs="仿宋"/>
                <w:color w:val="auto"/>
                <w:sz w:val="21"/>
                <w:szCs w:val="21"/>
                <w:highlight w:val="none"/>
              </w:rPr>
              <w:t>打分；</w:t>
            </w:r>
          </w:p>
          <w:p w14:paraId="1DBD0232">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(1)能完全贴合采购人需求，合理可行、针对性强的得3分；</w:t>
            </w:r>
          </w:p>
          <w:p w14:paraId="56361131">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(2)能比较贴合采购人需求，较合理可行、针对性较强的得2分；</w:t>
            </w:r>
          </w:p>
          <w:p w14:paraId="0DA45768">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(3)能基本贴合采购人需求，合理性、可行性、针对性一般的得1分。</w:t>
            </w:r>
          </w:p>
        </w:tc>
        <w:tc>
          <w:tcPr>
            <w:tcW w:w="639" w:type="dxa"/>
            <w:tcBorders>
              <w:top w:val="single" w:color="auto" w:sz="4" w:space="0"/>
              <w:left w:val="single" w:color="auto" w:sz="4" w:space="0"/>
              <w:bottom w:val="single" w:color="auto" w:sz="4" w:space="0"/>
            </w:tcBorders>
            <w:vAlign w:val="center"/>
          </w:tcPr>
          <w:p w14:paraId="0374A951">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14D4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7DC0CA49">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CA2632E">
            <w:pPr>
              <w:spacing w:line="240" w:lineRule="auto"/>
              <w:jc w:val="center"/>
              <w:rPr>
                <w:rFonts w:hint="eastAsia" w:ascii="仿宋" w:hAnsi="仿宋" w:eastAsia="仿宋" w:cs="仿宋"/>
                <w:color w:val="auto"/>
                <w:szCs w:val="21"/>
                <w:highlight w:val="none"/>
              </w:rPr>
            </w:pPr>
          </w:p>
        </w:tc>
        <w:tc>
          <w:tcPr>
            <w:tcW w:w="1976" w:type="dxa"/>
            <w:vMerge w:val="continue"/>
            <w:tcBorders>
              <w:left w:val="single" w:color="auto" w:sz="4" w:space="0"/>
              <w:bottom w:val="single" w:color="auto" w:sz="4" w:space="0"/>
            </w:tcBorders>
            <w:vAlign w:val="center"/>
          </w:tcPr>
          <w:p w14:paraId="24190C27">
            <w:pPr>
              <w:tabs>
                <w:tab w:val="left" w:pos="0"/>
              </w:tabs>
              <w:spacing w:line="240" w:lineRule="auto"/>
              <w:jc w:val="center"/>
              <w:rPr>
                <w:rFonts w:hint="eastAsia" w:ascii="仿宋" w:hAnsi="仿宋" w:eastAsia="仿宋" w:cs="仿宋"/>
                <w:b w:val="0"/>
                <w:bCs/>
                <w:color w:val="auto"/>
                <w:sz w:val="21"/>
                <w:szCs w:val="21"/>
                <w:highlight w:val="none"/>
              </w:rPr>
            </w:pPr>
          </w:p>
        </w:tc>
        <w:tc>
          <w:tcPr>
            <w:tcW w:w="5047" w:type="dxa"/>
            <w:tcBorders>
              <w:top w:val="single" w:color="auto" w:sz="4" w:space="0"/>
              <w:left w:val="single" w:color="auto" w:sz="4" w:space="0"/>
              <w:bottom w:val="single" w:color="auto" w:sz="4" w:space="0"/>
              <w:right w:val="single" w:color="auto" w:sz="4" w:space="0"/>
            </w:tcBorders>
            <w:vAlign w:val="center"/>
          </w:tcPr>
          <w:p w14:paraId="5E02609E">
            <w:pPr>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售后服务应该包括</w:t>
            </w:r>
            <w:r>
              <w:rPr>
                <w:rFonts w:hint="eastAsia" w:ascii="仿宋" w:hAnsi="仿宋" w:eastAsia="仿宋" w:cs="仿宋"/>
                <w:color w:val="auto"/>
                <w:sz w:val="21"/>
                <w:szCs w:val="21"/>
                <w:highlight w:val="none"/>
                <w:lang w:eastAsia="zh-CN"/>
              </w:rPr>
              <w:t>设备维护</w:t>
            </w:r>
            <w:r>
              <w:rPr>
                <w:rFonts w:hint="eastAsia" w:ascii="仿宋" w:hAnsi="仿宋" w:eastAsia="仿宋" w:cs="仿宋"/>
                <w:color w:val="auto"/>
                <w:sz w:val="21"/>
                <w:szCs w:val="21"/>
                <w:highlight w:val="none"/>
              </w:rPr>
              <w:t>培训方案，包括培训内容、人次、培训形式以及后续相关技术支持服务</w:t>
            </w:r>
            <w:r>
              <w:rPr>
                <w:rFonts w:hint="eastAsia" w:ascii="仿宋" w:hAnsi="仿宋" w:eastAsia="仿宋" w:cs="仿宋"/>
                <w:color w:val="auto"/>
                <w:sz w:val="21"/>
                <w:szCs w:val="21"/>
                <w:highlight w:val="none"/>
                <w:lang w:eastAsia="zh-CN"/>
              </w:rPr>
              <w:t>等内容打分；</w:t>
            </w:r>
          </w:p>
          <w:p w14:paraId="36D39B15">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(1)能完全贴合采购人需求，合理可行、针对性强的得3分；</w:t>
            </w:r>
          </w:p>
          <w:p w14:paraId="614C2F00">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(2)能比较贴合采购人需求，较合理可行、针对性较强的得2分；</w:t>
            </w:r>
          </w:p>
          <w:p w14:paraId="4E03272F">
            <w:pPr>
              <w:pStyle w:val="3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(3)能基本贴合采购人需求，合理性、可行性、针对性一般的得1分。</w:t>
            </w:r>
          </w:p>
        </w:tc>
        <w:tc>
          <w:tcPr>
            <w:tcW w:w="639" w:type="dxa"/>
            <w:tcBorders>
              <w:top w:val="single" w:color="auto" w:sz="4" w:space="0"/>
              <w:left w:val="single" w:color="auto" w:sz="4" w:space="0"/>
              <w:bottom w:val="single" w:color="auto" w:sz="4" w:space="0"/>
            </w:tcBorders>
            <w:vAlign w:val="center"/>
          </w:tcPr>
          <w:p w14:paraId="77B5768C">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915A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0C8F2B99">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0F066153">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48AE425F">
            <w:pPr>
              <w:tabs>
                <w:tab w:val="left" w:pos="0"/>
              </w:tabs>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人员</w:t>
            </w:r>
            <w:r>
              <w:rPr>
                <w:rFonts w:hint="eastAsia" w:ascii="仿宋" w:hAnsi="仿宋" w:eastAsia="仿宋" w:cs="仿宋"/>
                <w:color w:val="auto"/>
                <w:sz w:val="21"/>
                <w:szCs w:val="21"/>
                <w:highlight w:val="none"/>
              </w:rPr>
              <w:t>培训方案</w:t>
            </w:r>
          </w:p>
        </w:tc>
        <w:tc>
          <w:tcPr>
            <w:tcW w:w="5047" w:type="dxa"/>
            <w:tcBorders>
              <w:top w:val="single" w:color="auto" w:sz="4" w:space="0"/>
              <w:left w:val="single" w:color="auto" w:sz="4" w:space="0"/>
              <w:bottom w:val="single" w:color="auto" w:sz="4" w:space="0"/>
              <w:right w:val="single" w:color="auto" w:sz="4" w:space="0"/>
            </w:tcBorders>
            <w:vAlign w:val="center"/>
          </w:tcPr>
          <w:p w14:paraId="3CBFAD00">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提出的培训计划内容完整性、安排科学合理针对性进行由</w:t>
            </w:r>
            <w:r>
              <w:rPr>
                <w:rFonts w:hint="eastAsia" w:ascii="仿宋" w:hAnsi="仿宋" w:eastAsia="仿宋" w:cs="仿宋"/>
                <w:color w:val="auto"/>
                <w:sz w:val="21"/>
                <w:szCs w:val="21"/>
                <w:highlight w:val="none"/>
                <w:lang w:val="en-US" w:eastAsia="zh-CN"/>
              </w:rPr>
              <w:t>评委打分</w:t>
            </w:r>
            <w:r>
              <w:rPr>
                <w:rFonts w:hint="eastAsia" w:ascii="仿宋" w:hAnsi="仿宋" w:eastAsia="仿宋" w:cs="仿宋"/>
                <w:color w:val="auto"/>
                <w:sz w:val="21"/>
                <w:szCs w:val="21"/>
                <w:highlight w:val="none"/>
              </w:rPr>
              <w:t>。</w:t>
            </w:r>
          </w:p>
          <w:p w14:paraId="657E85AC">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(1)能完全贴合采购人需求，合理可行、针对性强的得3分；</w:t>
            </w:r>
          </w:p>
          <w:p w14:paraId="38AE452D">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(2)能比较贴合采购人需求，较合理可行、针对性较强的得2分；</w:t>
            </w:r>
          </w:p>
          <w:p w14:paraId="5435D551">
            <w:pPr>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(3)能基本贴合采购人需求，合理性、可行性、针对性一般的得1分。</w:t>
            </w:r>
          </w:p>
        </w:tc>
        <w:tc>
          <w:tcPr>
            <w:tcW w:w="639" w:type="dxa"/>
            <w:tcBorders>
              <w:top w:val="single" w:color="auto" w:sz="4" w:space="0"/>
              <w:left w:val="single" w:color="auto" w:sz="4" w:space="0"/>
              <w:bottom w:val="single" w:color="auto" w:sz="4" w:space="0"/>
            </w:tcBorders>
            <w:vAlign w:val="center"/>
          </w:tcPr>
          <w:p w14:paraId="79348813">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4E8F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2DFDB43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8D8ED9B">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1686E9B5">
            <w:pPr>
              <w:tabs>
                <w:tab w:val="left" w:pos="0"/>
              </w:tabs>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突发事件应急预案</w:t>
            </w:r>
          </w:p>
        </w:tc>
        <w:tc>
          <w:tcPr>
            <w:tcW w:w="5047" w:type="dxa"/>
            <w:tcBorders>
              <w:top w:val="single" w:color="auto" w:sz="4" w:space="0"/>
              <w:left w:val="single" w:color="auto" w:sz="4" w:space="0"/>
              <w:bottom w:val="single" w:color="auto" w:sz="4" w:space="0"/>
              <w:right w:val="single" w:color="auto" w:sz="4" w:space="0"/>
            </w:tcBorders>
            <w:vAlign w:val="center"/>
          </w:tcPr>
          <w:p w14:paraId="473A8035">
            <w:pPr>
              <w:tabs>
                <w:tab w:val="left" w:pos="0"/>
              </w:tabs>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根据投标人提供的应急预案，突击保障、突发问题解决、故障的响应速度以及处理方案等是否具有可靠性和周密性等由评委打分。</w:t>
            </w:r>
          </w:p>
          <w:p w14:paraId="67AE3DD0">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(1)方案合理可行、针对性强的得3分；</w:t>
            </w:r>
          </w:p>
          <w:p w14:paraId="06218E09">
            <w:pPr>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(2)方案较合理可行、针对性较强的得2分；</w:t>
            </w:r>
          </w:p>
          <w:p w14:paraId="704808ED">
            <w:pPr>
              <w:tabs>
                <w:tab w:val="left" w:pos="0"/>
              </w:tabs>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(3)方案合理性、可行性、针对性一般的得1分。</w:t>
            </w:r>
          </w:p>
        </w:tc>
        <w:tc>
          <w:tcPr>
            <w:tcW w:w="639" w:type="dxa"/>
            <w:tcBorders>
              <w:top w:val="single" w:color="auto" w:sz="4" w:space="0"/>
              <w:left w:val="single" w:color="auto" w:sz="4" w:space="0"/>
              <w:bottom w:val="single" w:color="auto" w:sz="4" w:space="0"/>
            </w:tcBorders>
            <w:vAlign w:val="center"/>
          </w:tcPr>
          <w:p w14:paraId="09A3048A">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A579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5CEC254C">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0448F4A">
            <w:pPr>
              <w:spacing w:line="240" w:lineRule="auto"/>
              <w:jc w:val="center"/>
              <w:rPr>
                <w:rFonts w:hint="eastAsia" w:ascii="仿宋" w:hAnsi="仿宋" w:eastAsia="仿宋" w:cs="仿宋"/>
                <w:color w:val="auto"/>
                <w:szCs w:val="21"/>
                <w:highlight w:val="none"/>
              </w:rPr>
            </w:pPr>
          </w:p>
        </w:tc>
        <w:tc>
          <w:tcPr>
            <w:tcW w:w="1976" w:type="dxa"/>
            <w:tcBorders>
              <w:top w:val="single" w:color="auto" w:sz="4" w:space="0"/>
              <w:left w:val="single" w:color="auto" w:sz="4" w:space="0"/>
              <w:bottom w:val="single" w:color="auto" w:sz="4" w:space="0"/>
            </w:tcBorders>
            <w:vAlign w:val="center"/>
          </w:tcPr>
          <w:p w14:paraId="6DCD48D0">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环境标志产品、节能产品</w:t>
            </w:r>
          </w:p>
        </w:tc>
        <w:tc>
          <w:tcPr>
            <w:tcW w:w="5047" w:type="dxa"/>
            <w:tcBorders>
              <w:top w:val="single" w:color="auto" w:sz="4" w:space="0"/>
              <w:left w:val="single" w:color="auto" w:sz="4" w:space="0"/>
              <w:bottom w:val="single" w:color="auto" w:sz="4" w:space="0"/>
              <w:right w:val="single" w:color="auto" w:sz="4" w:space="0"/>
            </w:tcBorders>
            <w:vAlign w:val="center"/>
          </w:tcPr>
          <w:p w14:paraId="7B309A21">
            <w:pPr>
              <w:spacing w:line="240" w:lineRule="auto"/>
              <w:rPr>
                <w:rFonts w:hint="eastAsia" w:ascii="仿宋" w:hAnsi="仿宋" w:eastAsia="仿宋" w:cs="仿宋"/>
                <w:color w:val="auto"/>
                <w:szCs w:val="21"/>
                <w:highlight w:val="none"/>
                <w:lang w:val="en-US" w:eastAsia="zh-CN"/>
              </w:rPr>
            </w:pPr>
            <w:bookmarkStart w:id="143" w:name="_GoBack"/>
            <w:r>
              <w:rPr>
                <w:rFonts w:hint="eastAsia" w:ascii="仿宋" w:hAnsi="仿宋" w:eastAsia="仿宋" w:cs="仿宋"/>
                <w:color w:val="auto"/>
                <w:szCs w:val="21"/>
                <w:highlight w:val="none"/>
              </w:rPr>
              <w:t>投标产品取得有效的节能产品认证证书的，得0.5分（列入强制采购节能产品清单目录的产品不计分）。投标产品取得有效的环境标志产品认证证书的，得0.5分。</w:t>
            </w:r>
            <w:bookmarkEnd w:id="143"/>
          </w:p>
        </w:tc>
        <w:tc>
          <w:tcPr>
            <w:tcW w:w="639" w:type="dxa"/>
            <w:tcBorders>
              <w:top w:val="single" w:color="auto" w:sz="4" w:space="0"/>
              <w:left w:val="single" w:color="auto" w:sz="4" w:space="0"/>
              <w:bottom w:val="single" w:color="auto" w:sz="4" w:space="0"/>
            </w:tcBorders>
            <w:vAlign w:val="center"/>
          </w:tcPr>
          <w:p w14:paraId="45F17D8B">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5B624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57DECD75">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34557420">
            <w:pPr>
              <w:spacing w:line="240" w:lineRule="auto"/>
              <w:jc w:val="center"/>
              <w:rPr>
                <w:rFonts w:hint="eastAsia" w:ascii="仿宋" w:hAnsi="仿宋" w:eastAsia="仿宋" w:cs="仿宋"/>
                <w:color w:val="auto"/>
                <w:szCs w:val="21"/>
                <w:highlight w:val="none"/>
              </w:rPr>
            </w:pPr>
          </w:p>
        </w:tc>
        <w:tc>
          <w:tcPr>
            <w:tcW w:w="7662" w:type="dxa"/>
            <w:gridSpan w:val="3"/>
            <w:tcBorders>
              <w:top w:val="single" w:color="auto" w:sz="4" w:space="0"/>
              <w:left w:val="single" w:color="auto" w:sz="4" w:space="0"/>
              <w:bottom w:val="single" w:color="auto" w:sz="4" w:space="0"/>
            </w:tcBorders>
            <w:vAlign w:val="center"/>
          </w:tcPr>
          <w:p w14:paraId="672FD18B">
            <w:pPr>
              <w:tabs>
                <w:tab w:val="left" w:pos="0"/>
              </w:tabs>
              <w:spacing w:line="240" w:lineRule="auto"/>
              <w:jc w:val="left"/>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olor w:val="auto"/>
                <w:szCs w:val="21"/>
                <w:highlight w:val="none"/>
              </w:rPr>
              <w:t>说明：</w:t>
            </w:r>
            <w:r>
              <w:rPr>
                <w:rFonts w:hint="eastAsia" w:ascii="仿宋" w:hAnsi="仿宋" w:eastAsia="仿宋" w:cs="仿宋"/>
                <w:color w:val="auto"/>
                <w:szCs w:val="21"/>
                <w:highlight w:val="none"/>
              </w:rPr>
              <w:t>每个评委根据上述评分内容和分值独立打分，然后将各评委汇总分的算术平均值作为该投标供应商的商务技术部分最后有效得分</w:t>
            </w:r>
          </w:p>
        </w:tc>
      </w:tr>
      <w:tr w14:paraId="0823F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2056" w:type="dxa"/>
            <w:gridSpan w:val="3"/>
            <w:tcBorders>
              <w:top w:val="single" w:color="auto" w:sz="4" w:space="0"/>
              <w:bottom w:val="single" w:color="auto" w:sz="4" w:space="0"/>
              <w:right w:val="single" w:color="auto" w:sz="4" w:space="0"/>
            </w:tcBorders>
            <w:vAlign w:val="center"/>
          </w:tcPr>
          <w:p w14:paraId="1AFBBD7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tcBorders>
              <w:top w:val="single" w:color="auto" w:sz="4" w:space="0"/>
              <w:left w:val="single" w:color="auto" w:sz="4" w:space="0"/>
              <w:bottom w:val="single" w:color="auto" w:sz="4" w:space="0"/>
              <w:right w:val="single" w:color="auto" w:sz="4" w:space="0"/>
            </w:tcBorders>
            <w:vAlign w:val="center"/>
          </w:tcPr>
          <w:p w14:paraId="68BE95AA">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报价评分办法</w:t>
            </w:r>
          </w:p>
        </w:tc>
        <w:tc>
          <w:tcPr>
            <w:tcW w:w="5686" w:type="dxa"/>
            <w:gridSpan w:val="2"/>
            <w:tcBorders>
              <w:top w:val="single" w:color="auto" w:sz="4" w:space="0"/>
              <w:left w:val="single" w:color="auto" w:sz="4" w:space="0"/>
              <w:bottom w:val="single" w:color="auto" w:sz="4" w:space="0"/>
            </w:tcBorders>
            <w:vAlign w:val="center"/>
          </w:tcPr>
          <w:p w14:paraId="32E9ED12">
            <w:pPr>
              <w:snapToGrid w:val="0"/>
              <w:spacing w:line="24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是否采用低价优先法：</w:t>
            </w:r>
          </w:p>
          <w:p w14:paraId="14D7F78E">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是</w:t>
            </w:r>
          </w:p>
        </w:tc>
      </w:tr>
      <w:tr w14:paraId="36508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56" w:type="dxa"/>
            <w:gridSpan w:val="3"/>
            <w:tcBorders>
              <w:top w:val="single" w:color="auto" w:sz="4" w:space="0"/>
              <w:bottom w:val="single" w:color="auto" w:sz="4" w:space="0"/>
              <w:right w:val="single" w:color="auto" w:sz="4" w:space="0"/>
            </w:tcBorders>
            <w:vAlign w:val="center"/>
          </w:tcPr>
          <w:p w14:paraId="54801E03">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tcBorders>
              <w:top w:val="single" w:color="auto" w:sz="4" w:space="0"/>
              <w:left w:val="single" w:color="auto" w:sz="4" w:space="0"/>
              <w:bottom w:val="single" w:color="auto" w:sz="4" w:space="0"/>
              <w:right w:val="single" w:color="auto" w:sz="4" w:space="0"/>
            </w:tcBorders>
            <w:vAlign w:val="center"/>
          </w:tcPr>
          <w:p w14:paraId="42DCE109">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报价评分标准（低价优先法）</w:t>
            </w:r>
          </w:p>
        </w:tc>
        <w:tc>
          <w:tcPr>
            <w:tcW w:w="5686" w:type="dxa"/>
            <w:gridSpan w:val="2"/>
            <w:tcBorders>
              <w:top w:val="single" w:color="auto" w:sz="4" w:space="0"/>
              <w:left w:val="single" w:color="auto" w:sz="4" w:space="0"/>
              <w:bottom w:val="single" w:color="auto" w:sz="4" w:space="0"/>
            </w:tcBorders>
            <w:vAlign w:val="center"/>
          </w:tcPr>
          <w:p w14:paraId="2E5F5D49">
            <w:pPr>
              <w:snapToGrid w:val="0"/>
              <w:spacing w:line="240" w:lineRule="auto"/>
              <w:outlineLvl w:val="0"/>
              <w:rPr>
                <w:rFonts w:hint="eastAsia" w:ascii="仿宋" w:hAnsi="仿宋" w:eastAsia="仿宋" w:cs="仿宋"/>
                <w:color w:val="auto"/>
                <w:szCs w:val="21"/>
                <w:highlight w:val="none"/>
              </w:rPr>
            </w:pPr>
            <w:bookmarkStart w:id="127" w:name="_Toc11259"/>
            <w:r>
              <w:rPr>
                <w:rFonts w:hint="eastAsia" w:ascii="仿宋" w:hAnsi="仿宋" w:eastAsia="仿宋" w:cs="仿宋"/>
                <w:color w:val="auto"/>
                <w:szCs w:val="21"/>
                <w:highlight w:val="none"/>
              </w:rPr>
              <w:t>报价得分=（评标基准价/评标价）×报价权重×100</w:t>
            </w:r>
            <w:bookmarkEnd w:id="127"/>
          </w:p>
          <w:p w14:paraId="100E5BE5">
            <w:pPr>
              <w:pStyle w:val="23"/>
              <w:snapToGrid w:val="0"/>
              <w:spacing w:after="0" w:line="240" w:lineRule="auto"/>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（1）报价评分以投标人投标报价按政府采购政策扣除后的</w:t>
            </w:r>
            <w:r>
              <w:rPr>
                <w:rFonts w:hint="eastAsia" w:ascii="仿宋" w:hAnsi="仿宋" w:eastAsia="仿宋" w:cs="仿宋"/>
                <w:b/>
                <w:color w:val="auto"/>
                <w:szCs w:val="21"/>
                <w:highlight w:val="none"/>
              </w:rPr>
              <w:t>评标价</w:t>
            </w:r>
            <w:r>
              <w:rPr>
                <w:rFonts w:hint="eastAsia" w:ascii="仿宋" w:hAnsi="仿宋" w:eastAsia="仿宋" w:cs="仿宋"/>
                <w:color w:val="auto"/>
                <w:szCs w:val="21"/>
                <w:highlight w:val="none"/>
              </w:rPr>
              <w:t>为准进行评审。</w:t>
            </w:r>
          </w:p>
          <w:p w14:paraId="2FE631BE">
            <w:pPr>
              <w:pStyle w:val="23"/>
              <w:snapToGrid w:val="0"/>
              <w:spacing w:after="0" w:line="240" w:lineRule="auto"/>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（2）满足</w:t>
            </w:r>
            <w:r>
              <w:rPr>
                <w:rFonts w:hint="eastAsia" w:ascii="仿宋" w:hAnsi="仿宋" w:eastAsia="仿宋" w:cs="仿宋"/>
                <w:color w:val="auto"/>
                <w:szCs w:val="21"/>
                <w:highlight w:val="none"/>
                <w:lang w:eastAsia="zh-CN"/>
              </w:rPr>
              <w:t>招标文件</w:t>
            </w:r>
            <w:r>
              <w:rPr>
                <w:rFonts w:hint="eastAsia" w:ascii="仿宋" w:hAnsi="仿宋" w:eastAsia="仿宋" w:cs="仿宋"/>
                <w:color w:val="auto"/>
                <w:szCs w:val="21"/>
                <w:highlight w:val="none"/>
              </w:rPr>
              <w:t>要求且最低的评标价为评标基准价。</w:t>
            </w:r>
          </w:p>
        </w:tc>
      </w:tr>
      <w:tr w14:paraId="1E7F8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56" w:type="dxa"/>
            <w:gridSpan w:val="3"/>
            <w:tcBorders>
              <w:top w:val="single" w:color="auto" w:sz="4" w:space="0"/>
              <w:bottom w:val="single" w:color="auto" w:sz="4" w:space="0"/>
              <w:right w:val="single" w:color="auto" w:sz="4" w:space="0"/>
            </w:tcBorders>
            <w:vAlign w:val="center"/>
          </w:tcPr>
          <w:p w14:paraId="77BE046E">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tcBorders>
              <w:top w:val="single" w:color="auto" w:sz="4" w:space="0"/>
              <w:left w:val="single" w:color="auto" w:sz="4" w:space="0"/>
              <w:bottom w:val="single" w:color="auto" w:sz="4" w:space="0"/>
              <w:right w:val="single" w:color="auto" w:sz="4" w:space="0"/>
            </w:tcBorders>
            <w:vAlign w:val="center"/>
          </w:tcPr>
          <w:p w14:paraId="54877A2D">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落实政府采购政策需进行的价格扣除</w:t>
            </w:r>
          </w:p>
        </w:tc>
        <w:tc>
          <w:tcPr>
            <w:tcW w:w="5686" w:type="dxa"/>
            <w:gridSpan w:val="2"/>
            <w:tcBorders>
              <w:top w:val="single" w:color="auto" w:sz="4" w:space="0"/>
              <w:left w:val="single" w:color="auto" w:sz="4" w:space="0"/>
              <w:bottom w:val="single" w:color="auto" w:sz="4" w:space="0"/>
            </w:tcBorders>
            <w:vAlign w:val="center"/>
          </w:tcPr>
          <w:p w14:paraId="0F9EC198">
            <w:pPr>
              <w:snapToGrid w:val="0"/>
              <w:spacing w:line="240" w:lineRule="auto"/>
              <w:outlineLvl w:val="0"/>
              <w:rPr>
                <w:rFonts w:hint="eastAsia"/>
                <w:color w:val="auto"/>
                <w:highlight w:val="none"/>
                <w:lang w:val="en-US" w:eastAsia="zh-CN"/>
              </w:rPr>
            </w:pPr>
            <w:r>
              <w:rPr>
                <w:rFonts w:hint="eastAsia" w:ascii="仿宋" w:hAnsi="仿宋" w:eastAsia="仿宋" w:cs="仿宋"/>
                <w:color w:val="auto"/>
                <w:szCs w:val="21"/>
                <w:highlight w:val="none"/>
                <w:lang w:val="en-US" w:eastAsia="zh-CN"/>
              </w:rPr>
              <w:t>本项目专门面向中小企业，不进行价格扣除</w:t>
            </w:r>
          </w:p>
        </w:tc>
      </w:tr>
    </w:tbl>
    <w:p w14:paraId="4A47C2E7">
      <w:pPr>
        <w:pStyle w:val="3"/>
        <w:snapToGrid w:val="0"/>
        <w:spacing w:before="0" w:after="0" w:line="360" w:lineRule="auto"/>
        <w:rPr>
          <w:rFonts w:hint="eastAsia" w:ascii="仿宋" w:hAnsi="仿宋" w:eastAsia="仿宋" w:cs="仿宋"/>
          <w:color w:val="auto"/>
          <w:sz w:val="24"/>
          <w:szCs w:val="24"/>
          <w:highlight w:val="none"/>
        </w:rPr>
      </w:pPr>
      <w:bookmarkStart w:id="128" w:name="_Toc55302373"/>
      <w:bookmarkStart w:id="129" w:name="_Toc63189375"/>
      <w:r>
        <w:rPr>
          <w:rFonts w:hint="eastAsia" w:ascii="仿宋" w:hAnsi="仿宋" w:eastAsia="仿宋" w:cs="仿宋"/>
          <w:color w:val="auto"/>
          <w:sz w:val="24"/>
          <w:szCs w:val="24"/>
          <w:highlight w:val="none"/>
        </w:rPr>
        <w:t>1.评标方法</w:t>
      </w:r>
      <w:bookmarkEnd w:id="128"/>
      <w:bookmarkEnd w:id="129"/>
    </w:p>
    <w:p w14:paraId="617C43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2CEB7A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最低评标价法，是指投标文件满足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14:paraId="1DB9844E">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综合评分法，是指投标文件满足</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color w:val="auto"/>
          <w:sz w:val="24"/>
          <w:highlight w:val="none"/>
        </w:rPr>
        <w:t>评标办法前附表约定的方式</w:t>
      </w:r>
      <w:r>
        <w:rPr>
          <w:rFonts w:hint="eastAsia" w:ascii="仿宋" w:hAnsi="仿宋" w:eastAsia="仿宋" w:cs="仿宋"/>
          <w:color w:val="auto"/>
          <w:kern w:val="0"/>
          <w:sz w:val="24"/>
          <w:highlight w:val="none"/>
        </w:rPr>
        <w:t>确定中标候选人的排序。</w:t>
      </w:r>
    </w:p>
    <w:p w14:paraId="2876D156">
      <w:pPr>
        <w:pStyle w:val="3"/>
        <w:snapToGrid w:val="0"/>
        <w:spacing w:before="0" w:after="0" w:line="360" w:lineRule="auto"/>
        <w:rPr>
          <w:rFonts w:hint="eastAsia" w:ascii="仿宋" w:hAnsi="仿宋" w:eastAsia="仿宋" w:cs="仿宋"/>
          <w:color w:val="auto"/>
          <w:sz w:val="24"/>
          <w:szCs w:val="24"/>
          <w:highlight w:val="none"/>
        </w:rPr>
      </w:pPr>
      <w:bookmarkStart w:id="130" w:name="_Toc63189376"/>
      <w:bookmarkStart w:id="131" w:name="_Toc55302374"/>
      <w:r>
        <w:rPr>
          <w:rFonts w:hint="eastAsia" w:ascii="仿宋" w:hAnsi="仿宋" w:eastAsia="仿宋" w:cs="仿宋"/>
          <w:color w:val="auto"/>
          <w:sz w:val="24"/>
          <w:szCs w:val="24"/>
          <w:highlight w:val="none"/>
        </w:rPr>
        <w:t>2.评标程序</w:t>
      </w:r>
      <w:bookmarkEnd w:id="130"/>
      <w:bookmarkEnd w:id="131"/>
      <w:r>
        <w:rPr>
          <w:rFonts w:hint="eastAsia" w:ascii="仿宋" w:hAnsi="仿宋" w:eastAsia="仿宋" w:cs="仿宋"/>
          <w:color w:val="auto"/>
          <w:sz w:val="24"/>
          <w:szCs w:val="24"/>
          <w:highlight w:val="none"/>
        </w:rPr>
        <w:t>及标准</w:t>
      </w:r>
    </w:p>
    <w:p w14:paraId="2338884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2C1589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0E4BCE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04C39D5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5CF4F5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2BDE176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33D8708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7704793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16CEBC4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103B8D8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（1）仅提交“备份投标文件”的；</w:t>
      </w:r>
    </w:p>
    <w:p w14:paraId="43BE6F4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中规定的资格要求的；</w:t>
      </w:r>
    </w:p>
    <w:p w14:paraId="6ECCCC7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（3）投标文件未按</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要求签署、盖章的；</w:t>
      </w:r>
    </w:p>
    <w:p w14:paraId="2D6B97D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中标注“▲”且加下划线的实质性要求和条件（主要技术规格、商务技术标准或服务要求）的；</w:t>
      </w:r>
    </w:p>
    <w:p w14:paraId="69D5B560">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（5）采购人拟采购的产品属于政府强制采购的节能产品品目清单范围的，投标人未按</w:t>
      </w:r>
      <w:r>
        <w:rPr>
          <w:rFonts w:hint="eastAsia" w:ascii="仿宋" w:hAnsi="仿宋" w:eastAsia="仿宋" w:cs="仿宋"/>
          <w:b/>
          <w:color w:val="auto"/>
          <w:kern w:val="0"/>
          <w:sz w:val="24"/>
          <w:highlight w:val="none"/>
          <w:lang w:eastAsia="zh-CN"/>
        </w:rPr>
        <w:t>招标文件</w:t>
      </w:r>
      <w:r>
        <w:rPr>
          <w:rFonts w:hint="eastAsia" w:ascii="仿宋" w:hAnsi="仿宋" w:eastAsia="仿宋" w:cs="仿宋"/>
          <w:b/>
          <w:color w:val="auto"/>
          <w:kern w:val="0"/>
          <w:sz w:val="24"/>
          <w:highlight w:val="none"/>
        </w:rPr>
        <w:t>要求提供国家确定的认证机构出具的、处于有效期之内的节能产品认证证书的；</w:t>
      </w:r>
    </w:p>
    <w:p w14:paraId="3DC4B3EF">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（6）投标文件中承诺的投标有效期少于</w:t>
      </w:r>
      <w:r>
        <w:rPr>
          <w:rFonts w:hint="eastAsia" w:ascii="仿宋" w:hAnsi="仿宋" w:eastAsia="仿宋" w:cs="仿宋"/>
          <w:b/>
          <w:color w:val="auto"/>
          <w:kern w:val="0"/>
          <w:sz w:val="24"/>
          <w:highlight w:val="none"/>
          <w:lang w:eastAsia="zh-CN"/>
        </w:rPr>
        <w:t>招标文件</w:t>
      </w:r>
      <w:r>
        <w:rPr>
          <w:rFonts w:hint="eastAsia" w:ascii="仿宋" w:hAnsi="仿宋" w:eastAsia="仿宋" w:cs="仿宋"/>
          <w:b/>
          <w:color w:val="auto"/>
          <w:kern w:val="0"/>
          <w:sz w:val="24"/>
          <w:highlight w:val="none"/>
        </w:rPr>
        <w:t>中载明的投标有效期的；</w:t>
      </w:r>
    </w:p>
    <w:p w14:paraId="588C4AB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（7）投标文件实质性内容不全或关键字迹模糊无法辨认的；</w:t>
      </w:r>
    </w:p>
    <w:p w14:paraId="357AC129">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0ADD1ECB">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（9）投标文件出现不是唯一的、有选择性投标报价的；</w:t>
      </w:r>
    </w:p>
    <w:p w14:paraId="6C870C6F">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（10）投标人对根据修正原则修正后的报价不确认的；</w:t>
      </w:r>
    </w:p>
    <w:p w14:paraId="1C73B66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（11）投标文件有采购人不能接受的附加条件的；</w:t>
      </w:r>
    </w:p>
    <w:p w14:paraId="1C89968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（12）投标人提供虚假材料投标的；</w:t>
      </w:r>
    </w:p>
    <w:p w14:paraId="6A142FE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规定的其他无效情形。</w:t>
      </w:r>
    </w:p>
    <w:p w14:paraId="7AA3E80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11B8140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（1）投标人直接或者间接从采购人或者采购代理机构处获得其他投标人的相关情况并修改其投标文件的；</w:t>
      </w:r>
    </w:p>
    <w:p w14:paraId="7F6C5BE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（2）投标人按照采购人或者采购代理机构的授意撤换、修改投标文件的；</w:t>
      </w:r>
    </w:p>
    <w:p w14:paraId="36AD8A5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（3）投标人之间协商报价、技术方案等投标文件或者响应文件的实质性内容；</w:t>
      </w:r>
    </w:p>
    <w:p w14:paraId="1B6FCDD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（4）属于同一集团、协会、商会等组织成员的投标人按照该组织要求协同参加政府采购活动；</w:t>
      </w:r>
    </w:p>
    <w:p w14:paraId="796AE28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（5）投标人之间事先约定由某一特定投标人中标、成交；</w:t>
      </w:r>
    </w:p>
    <w:p w14:paraId="18AE60F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（6）投标人之间商定部分投标人放弃参加政府采购活动或者放弃中标、成交；</w:t>
      </w:r>
    </w:p>
    <w:p w14:paraId="589B0B9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（7）投标人与采购人或者采购代理机构之间、投标人相互之间，为谋求特定投标人中标、成交或者排斥其他投标人的其他串通行为。</w:t>
      </w:r>
    </w:p>
    <w:p w14:paraId="2D16F63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14:paraId="7C0D8FB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（1）不同投标人的投标文件由同一单位或者个人编制；</w:t>
      </w:r>
    </w:p>
    <w:p w14:paraId="39A3A27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（2）不同投标人委托同一单位或者个人办理投标事宜；</w:t>
      </w:r>
    </w:p>
    <w:p w14:paraId="40CAEB7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（3）不同投标人的投标文件载明的项目管理成员或者联系人员为同一人；</w:t>
      </w:r>
    </w:p>
    <w:p w14:paraId="1F95204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（4）不同投标人的投标文件异常一致或者投标报价呈规律性差异；</w:t>
      </w:r>
    </w:p>
    <w:p w14:paraId="0AE484B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（5）不同投标人的投标文件相互混装；</w:t>
      </w:r>
    </w:p>
    <w:p w14:paraId="5379B0D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2.2.4符合性审查其他要求见评标办法前附表。</w:t>
      </w:r>
    </w:p>
    <w:p w14:paraId="13CA7DB1">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要求的投标将被否决，投标人不得通过修正或撤消不合要求的偏离或保留从而使其投标成为实质上响应的投标。</w:t>
      </w:r>
    </w:p>
    <w:p w14:paraId="5D62D076">
      <w:pPr>
        <w:pStyle w:val="4"/>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132" w:name="_Toc63189379"/>
      <w:bookmarkStart w:id="133" w:name="_Toc55375024"/>
      <w:bookmarkStart w:id="134" w:name="_Toc5724"/>
      <w:bookmarkStart w:id="135" w:name="_Toc55302377"/>
      <w:r>
        <w:rPr>
          <w:rFonts w:hint="eastAsia" w:ascii="仿宋" w:hAnsi="仿宋" w:eastAsia="仿宋" w:cs="仿宋"/>
          <w:color w:val="auto"/>
          <w:sz w:val="24"/>
          <w:szCs w:val="24"/>
          <w:highlight w:val="none"/>
        </w:rPr>
        <w:t>2.3比较与评价（适用于综合评分法）</w:t>
      </w:r>
    </w:p>
    <w:bookmarkEnd w:id="132"/>
    <w:bookmarkEnd w:id="133"/>
    <w:bookmarkEnd w:id="134"/>
    <w:bookmarkEnd w:id="135"/>
    <w:p w14:paraId="31913DA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091844A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647299E6">
      <w:pPr>
        <w:pStyle w:val="23"/>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197CBCC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4D40DB7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55ED9D0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2D5ABE66">
      <w:pPr>
        <w:pStyle w:val="4"/>
        <w:widowControl/>
        <w:snapToGrid w:val="0"/>
        <w:spacing w:before="0" w:after="0" w:line="360" w:lineRule="auto"/>
        <w:ind w:firstLine="480" w:firstLineChars="200"/>
        <w:jc w:val="left"/>
        <w:rPr>
          <w:rFonts w:hint="eastAsia" w:ascii="仿宋" w:hAnsi="仿宋" w:eastAsia="仿宋" w:cs="仿宋"/>
          <w:b w:val="0"/>
          <w:color w:val="auto"/>
          <w:sz w:val="24"/>
          <w:szCs w:val="24"/>
          <w:highlight w:val="none"/>
        </w:rPr>
      </w:pPr>
      <w:bookmarkStart w:id="136" w:name="_Toc55302378"/>
      <w:bookmarkStart w:id="137" w:name="_Toc11195"/>
      <w:bookmarkStart w:id="138" w:name="_Toc55375025"/>
      <w:bookmarkStart w:id="139" w:name="_Toc63189380"/>
      <w:r>
        <w:rPr>
          <w:rFonts w:hint="eastAsia" w:ascii="仿宋" w:hAnsi="仿宋" w:eastAsia="仿宋" w:cs="仿宋"/>
          <w:b w:val="0"/>
          <w:color w:val="auto"/>
          <w:sz w:val="24"/>
          <w:szCs w:val="24"/>
          <w:highlight w:val="none"/>
        </w:rPr>
        <w:t>2.4投标文件的澄清</w:t>
      </w:r>
      <w:bookmarkEnd w:id="136"/>
      <w:bookmarkEnd w:id="137"/>
      <w:bookmarkEnd w:id="138"/>
      <w:bookmarkEnd w:id="139"/>
    </w:p>
    <w:p w14:paraId="2A8A01A2">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另有规定处理方法的除外）作必要的澄清或说明，投标人应采用在线回复或其他有效形式在询标规定时间内进行澄清或说明（需盖电子签章或实体公章）。</w:t>
      </w:r>
    </w:p>
    <w:p w14:paraId="729784B7">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32909364">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3335FECC">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3C0D2B3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69103993">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791D3E3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756CCB2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542442F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42E00479">
      <w:pPr>
        <w:pStyle w:val="3"/>
        <w:snapToGrid w:val="0"/>
        <w:spacing w:before="0" w:after="0" w:line="360" w:lineRule="auto"/>
        <w:rPr>
          <w:rFonts w:hint="eastAsia" w:ascii="仿宋" w:hAnsi="仿宋" w:eastAsia="仿宋" w:cs="仿宋"/>
          <w:color w:val="auto"/>
          <w:sz w:val="24"/>
          <w:szCs w:val="24"/>
          <w:highlight w:val="none"/>
        </w:rPr>
      </w:pPr>
      <w:bookmarkStart w:id="140" w:name="_Toc55302379"/>
      <w:bookmarkStart w:id="141" w:name="_Toc63189381"/>
      <w:bookmarkStart w:id="142" w:name="_Toc11850"/>
      <w:r>
        <w:rPr>
          <w:rFonts w:hint="eastAsia" w:ascii="仿宋" w:hAnsi="仿宋" w:eastAsia="仿宋" w:cs="仿宋"/>
          <w:color w:val="auto"/>
          <w:sz w:val="24"/>
          <w:szCs w:val="24"/>
          <w:highlight w:val="none"/>
        </w:rPr>
        <w:t>3.评标结果</w:t>
      </w:r>
      <w:bookmarkEnd w:id="140"/>
      <w:bookmarkEnd w:id="141"/>
      <w:bookmarkEnd w:id="142"/>
    </w:p>
    <w:p w14:paraId="74E8911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3.1采用最低评标价法的，评标委员会按评标价（投标报价）从低到高的排序推荐中标候选人。</w:t>
      </w:r>
    </w:p>
    <w:p w14:paraId="0731AB8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采用综合评分法的，评标委员会按照投标人综合得分由高到低的顺序推荐中标候选人。</w:t>
      </w:r>
    </w:p>
    <w:p w14:paraId="137EE97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0065BC">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7B8FC468">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59E566">
      <w:pPr>
        <w:widowControl/>
        <w:shd w:val="clear" w:color="auto" w:fill="FFFFFF"/>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5084464F">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14:paraId="7F0AC9E1">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5FEB7EC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作实质响应的投标人不足3家的；</w:t>
      </w:r>
    </w:p>
    <w:p w14:paraId="3DE11557">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54320299">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365F516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608C5E5B">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556E6A9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2453A02C">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26"/>
    </w:p>
    <w:bookmarkEnd w:id="80"/>
    <w:bookmarkEnd w:id="81"/>
    <w:p w14:paraId="06EFCF53">
      <w:pPr>
        <w:widowControl/>
        <w:adjustRightInd/>
        <w:jc w:val="left"/>
        <w:rPr>
          <w:rFonts w:hint="eastAsia" w:ascii="仿宋" w:hAnsi="仿宋" w:eastAsia="仿宋" w:cs="仿宋"/>
          <w:color w:val="auto"/>
          <w:sz w:val="24"/>
          <w:highlight w:val="none"/>
        </w:rPr>
      </w:pPr>
    </w:p>
    <w:sectPr>
      <w:footerReference r:id="rId4" w:type="first"/>
      <w:footerReference r:id="rId3" w:type="default"/>
      <w:pgSz w:w="11907" w:h="16840"/>
      <w:pgMar w:top="1134" w:right="1134" w:bottom="1134" w:left="1134" w:header="851" w:footer="85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DAD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C35CE7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23E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34392453">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A1F49"/>
    <w:multiLevelType w:val="singleLevel"/>
    <w:tmpl w:val="8C1A1F49"/>
    <w:lvl w:ilvl="0" w:tentative="0">
      <w:start w:val="2"/>
      <w:numFmt w:val="decimal"/>
      <w:suff w:val="nothing"/>
      <w:lvlText w:val="%1、"/>
      <w:lvlJc w:val="left"/>
    </w:lvl>
  </w:abstractNum>
  <w:abstractNum w:abstractNumId="1">
    <w:nsid w:val="BBD3C36E"/>
    <w:multiLevelType w:val="singleLevel"/>
    <w:tmpl w:val="BBD3C36E"/>
    <w:lvl w:ilvl="0" w:tentative="0">
      <w:start w:val="1"/>
      <w:numFmt w:val="chineseCounting"/>
      <w:suff w:val="nothing"/>
      <w:lvlText w:val="%1、"/>
      <w:lvlJc w:val="left"/>
      <w:rPr>
        <w:rFonts w:hint="eastAsia"/>
      </w:rPr>
    </w:lvl>
  </w:abstractNum>
  <w:abstractNum w:abstractNumId="2">
    <w:nsid w:val="DDD4EF04"/>
    <w:multiLevelType w:val="singleLevel"/>
    <w:tmpl w:val="DDD4EF04"/>
    <w:lvl w:ilvl="0" w:tentative="0">
      <w:start w:val="1"/>
      <w:numFmt w:val="decimal"/>
      <w:suff w:val="nothing"/>
      <w:lvlText w:val="（%1）"/>
      <w:lvlJc w:val="left"/>
    </w:lvl>
  </w:abstractNum>
  <w:abstractNum w:abstractNumId="3">
    <w:nsid w:val="522F9296"/>
    <w:multiLevelType w:val="singleLevel"/>
    <w:tmpl w:val="522F9296"/>
    <w:lvl w:ilvl="0" w:tentative="0">
      <w:start w:val="1"/>
      <w:numFmt w:val="decimal"/>
      <w:suff w:val="nothing"/>
      <w:lvlText w:val="%1、"/>
      <w:lvlJc w:val="left"/>
      <w:pPr>
        <w:ind w:left="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TY2ZWU3MjkzMTFmNWQ3YmIwMjU0MTkyMTliZjk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C3129"/>
    <w:rsid w:val="00FE150A"/>
    <w:rsid w:val="00FF01A3"/>
    <w:rsid w:val="00FF49D3"/>
    <w:rsid w:val="00FF52D0"/>
    <w:rsid w:val="00FF675A"/>
    <w:rsid w:val="023B7FF0"/>
    <w:rsid w:val="02794B06"/>
    <w:rsid w:val="02E62FD5"/>
    <w:rsid w:val="03AF1619"/>
    <w:rsid w:val="04AD3DAA"/>
    <w:rsid w:val="04C37E3B"/>
    <w:rsid w:val="05B6002A"/>
    <w:rsid w:val="05E74E64"/>
    <w:rsid w:val="06286F0D"/>
    <w:rsid w:val="062B4BB1"/>
    <w:rsid w:val="08646E76"/>
    <w:rsid w:val="086E55FF"/>
    <w:rsid w:val="0A14508D"/>
    <w:rsid w:val="0CA43CE5"/>
    <w:rsid w:val="0D3C46A7"/>
    <w:rsid w:val="0E176739"/>
    <w:rsid w:val="0EA63619"/>
    <w:rsid w:val="0EDB1514"/>
    <w:rsid w:val="0FEB4389"/>
    <w:rsid w:val="0FFE4719"/>
    <w:rsid w:val="11336B57"/>
    <w:rsid w:val="11861B94"/>
    <w:rsid w:val="169C50E6"/>
    <w:rsid w:val="1CF0287F"/>
    <w:rsid w:val="1EA062D6"/>
    <w:rsid w:val="22AB1FD2"/>
    <w:rsid w:val="237C4C1C"/>
    <w:rsid w:val="27FF3A1C"/>
    <w:rsid w:val="29B17460"/>
    <w:rsid w:val="2A277466"/>
    <w:rsid w:val="2BAA61CA"/>
    <w:rsid w:val="2D306A77"/>
    <w:rsid w:val="2D7A7914"/>
    <w:rsid w:val="2F0E760F"/>
    <w:rsid w:val="321D3A6E"/>
    <w:rsid w:val="34E575E6"/>
    <w:rsid w:val="358B6F41"/>
    <w:rsid w:val="363E528A"/>
    <w:rsid w:val="38CC6E98"/>
    <w:rsid w:val="397E2754"/>
    <w:rsid w:val="3C3E2FA6"/>
    <w:rsid w:val="3DF70C43"/>
    <w:rsid w:val="3E48263F"/>
    <w:rsid w:val="3E9956CC"/>
    <w:rsid w:val="41C406A8"/>
    <w:rsid w:val="436E6C9E"/>
    <w:rsid w:val="452A69A5"/>
    <w:rsid w:val="476407C5"/>
    <w:rsid w:val="4B4F70BB"/>
    <w:rsid w:val="4C5C727E"/>
    <w:rsid w:val="4CE64A3F"/>
    <w:rsid w:val="4EFC25E0"/>
    <w:rsid w:val="51062F0A"/>
    <w:rsid w:val="529105EE"/>
    <w:rsid w:val="56E7098D"/>
    <w:rsid w:val="5CDA6A56"/>
    <w:rsid w:val="5D0D4D06"/>
    <w:rsid w:val="5D2D2508"/>
    <w:rsid w:val="5D562F30"/>
    <w:rsid w:val="64DF67AE"/>
    <w:rsid w:val="65FF776B"/>
    <w:rsid w:val="66190016"/>
    <w:rsid w:val="6C4A3F9B"/>
    <w:rsid w:val="6CFE3F8C"/>
    <w:rsid w:val="6E614B56"/>
    <w:rsid w:val="6EF42168"/>
    <w:rsid w:val="6F8D391A"/>
    <w:rsid w:val="71315017"/>
    <w:rsid w:val="71D331C4"/>
    <w:rsid w:val="71F75779"/>
    <w:rsid w:val="73E76ABA"/>
    <w:rsid w:val="77AF64E3"/>
    <w:rsid w:val="78505D4C"/>
    <w:rsid w:val="7C412019"/>
    <w:rsid w:val="7DA52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24"/>
    <w:link w:val="94"/>
    <w:unhideWhenUsed/>
    <w:qFormat/>
    <w:uiPriority w:val="99"/>
    <w:pPr>
      <w:ind w:firstLine="420" w:firstLineChars="100"/>
    </w:pPr>
  </w:style>
  <w:style w:type="paragraph" w:styleId="24">
    <w:name w:val="toc 6"/>
    <w:basedOn w:val="1"/>
    <w:next w:val="1"/>
    <w:qFormat/>
    <w:uiPriority w:val="0"/>
    <w:pPr>
      <w:ind w:left="840"/>
      <w:jc w:val="left"/>
    </w:pPr>
    <w:rPr>
      <w:rFonts w:ascii="Times New Roman" w:hAnsi="Times New Roman" w:eastAsia="宋体" w:cs="Times New Roman"/>
      <w:sz w:val="20"/>
      <w:szCs w:val="20"/>
    </w:rPr>
  </w:style>
  <w:style w:type="paragraph" w:styleId="25">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unhideWhenUsed/>
    <w:qFormat/>
    <w:uiPriority w:val="39"/>
    <w:pPr>
      <w:ind w:left="840" w:leftChars="400"/>
    </w:pPr>
  </w:style>
  <w:style w:type="paragraph" w:styleId="32">
    <w:name w:val="Plain Text"/>
    <w:basedOn w:val="1"/>
    <w:next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Date"/>
    <w:basedOn w:val="1"/>
    <w:next w:val="1"/>
    <w:link w:val="99"/>
    <w:unhideWhenUsed/>
    <w:qFormat/>
    <w:uiPriority w:val="0"/>
    <w:pPr>
      <w:ind w:left="100" w:leftChars="2500"/>
    </w:pPr>
  </w:style>
  <w:style w:type="paragraph" w:styleId="35">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6">
    <w:name w:val="endnote text"/>
    <w:basedOn w:val="1"/>
    <w:link w:val="459"/>
    <w:qFormat/>
    <w:uiPriority w:val="0"/>
    <w:rPr>
      <w:rFonts w:asciiTheme="minorHAnsi" w:hAnsiTheme="minorHAnsi" w:eastAsiaTheme="minorEastAsia" w:cstheme="minorBidi"/>
      <w:lang w:val="zh-CN"/>
    </w:rPr>
  </w:style>
  <w:style w:type="paragraph" w:styleId="37">
    <w:name w:val="Balloon Text"/>
    <w:basedOn w:val="1"/>
    <w:link w:val="98"/>
    <w:unhideWhenUsed/>
    <w:qFormat/>
    <w:uiPriority w:val="0"/>
    <w:rPr>
      <w:sz w:val="18"/>
      <w:szCs w:val="18"/>
    </w:rPr>
  </w:style>
  <w:style w:type="paragraph" w:styleId="38">
    <w:name w:val="footer"/>
    <w:basedOn w:val="1"/>
    <w:link w:val="76"/>
    <w:unhideWhenUsed/>
    <w:qFormat/>
    <w:uiPriority w:val="99"/>
    <w:pPr>
      <w:tabs>
        <w:tab w:val="center" w:pos="4153"/>
        <w:tab w:val="right" w:pos="8306"/>
      </w:tabs>
      <w:snapToGrid w:val="0"/>
      <w:jc w:val="left"/>
    </w:pPr>
    <w:rPr>
      <w:sz w:val="18"/>
      <w:szCs w:val="18"/>
    </w:rPr>
  </w:style>
  <w:style w:type="paragraph" w:styleId="39">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5"/>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9"/>
    <w:qFormat/>
    <w:uiPriority w:val="0"/>
    <w:rPr>
      <w:sz w:val="18"/>
      <w:szCs w:val="18"/>
    </w:rPr>
  </w:style>
  <w:style w:type="character" w:customStyle="1" w:styleId="76">
    <w:name w:val="页脚 Char"/>
    <w:basedOn w:val="64"/>
    <w:link w:val="38"/>
    <w:qFormat/>
    <w:uiPriority w:val="0"/>
    <w:rPr>
      <w:sz w:val="18"/>
      <w:szCs w:val="18"/>
    </w:rPr>
  </w:style>
  <w:style w:type="character" w:customStyle="1" w:styleId="77">
    <w:name w:val="标题 1 Char"/>
    <w:basedOn w:val="64"/>
    <w:link w:val="2"/>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kern w:val="0"/>
      <w:sz w:val="24"/>
      <w:szCs w:val="22"/>
      <w:lang w:val="zh-CN" w:eastAsia="zh-CN" w:bidi="ar-SA"/>
    </w:rPr>
  </w:style>
  <w:style w:type="character" w:customStyle="1" w:styleId="81">
    <w:name w:val="标题 2 Char"/>
    <w:basedOn w:val="64"/>
    <w:link w:val="3"/>
    <w:qFormat/>
    <w:uiPriority w:val="0"/>
    <w:rPr>
      <w:rFonts w:asciiTheme="majorHAnsi" w:hAnsiTheme="majorHAnsi" w:eastAsiaTheme="majorEastAsia" w:cstheme="majorBidi"/>
      <w:b/>
      <w:bCs/>
      <w:sz w:val="32"/>
      <w:szCs w:val="32"/>
    </w:rPr>
  </w:style>
  <w:style w:type="character" w:customStyle="1" w:styleId="82">
    <w:name w:val="纯文本 Char"/>
    <w:link w:val="32"/>
    <w:qFormat/>
    <w:uiPriority w:val="0"/>
    <w:rPr>
      <w:rFonts w:ascii="Cambria" w:hAnsi="隶书" w:eastAsia="Cambria"/>
      <w:szCs w:val="21"/>
    </w:rPr>
  </w:style>
  <w:style w:type="character" w:customStyle="1" w:styleId="83">
    <w:name w:val="正文文本缩进 Char"/>
    <w:link w:val="25"/>
    <w:qFormat/>
    <w:uiPriority w:val="0"/>
    <w:rPr>
      <w:rFonts w:eastAsia="Cambria"/>
      <w:sz w:val="24"/>
      <w:szCs w:val="24"/>
    </w:rPr>
  </w:style>
  <w:style w:type="paragraph" w:customStyle="1" w:styleId="84">
    <w:name w:val="Default"/>
    <w:next w:val="38"/>
    <w:link w:val="337"/>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7"/>
    <w:semiHidden/>
    <w:qFormat/>
    <w:uiPriority w:val="99"/>
    <w:rPr>
      <w:rFonts w:ascii="Times New Roman" w:hAnsi="Times New Roman" w:eastAsia="宋体" w:cs="Times New Roman"/>
      <w:sz w:val="18"/>
      <w:szCs w:val="18"/>
    </w:rPr>
  </w:style>
  <w:style w:type="character" w:customStyle="1" w:styleId="99">
    <w:name w:val="日期 Char"/>
    <w:basedOn w:val="64"/>
    <w:link w:val="34"/>
    <w:semiHidden/>
    <w:qFormat/>
    <w:uiPriority w:val="99"/>
    <w:rPr>
      <w:rFonts w:ascii="Times New Roman" w:hAnsi="Times New Roman" w:eastAsia="宋体" w:cs="Times New Roman"/>
      <w:szCs w:val="24"/>
    </w:rPr>
  </w:style>
  <w:style w:type="paragraph" w:customStyle="1" w:styleId="1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0"/>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4"/>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3"/>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0"/>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5"/>
    <w:qFormat/>
    <w:uiPriority w:val="0"/>
    <w:rPr>
      <w:rFonts w:ascii="宋体"/>
      <w:sz w:val="28"/>
    </w:rPr>
  </w:style>
  <w:style w:type="character" w:customStyle="1" w:styleId="402">
    <w:name w:val="脚注文本 Char2"/>
    <w:link w:val="47"/>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6"/>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kern w:val="0"/>
      <w:sz w:val="20"/>
      <w:szCs w:val="20"/>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szCs w:val="20"/>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1">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sz w:val="20"/>
      <w:szCs w:val="20"/>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szCs w:val="20"/>
      <w:lang w:val="en-US" w:eastAsia="zh-CN" w:bidi="ar-SA"/>
    </w:rPr>
  </w:style>
  <w:style w:type="paragraph" w:customStyle="1" w:styleId="850">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5"/>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5"/>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WPSOffice手动目录 1"/>
    <w:qFormat/>
    <w:uiPriority w:val="0"/>
    <w:pPr>
      <w:ind w:leftChars="0"/>
    </w:pPr>
    <w:rPr>
      <w:rFonts w:ascii="Times New Roman" w:hAnsi="Times New Roman" w:eastAsia="宋体" w:cs="Times New Roman"/>
      <w:sz w:val="20"/>
      <w:szCs w:val="20"/>
    </w:rPr>
  </w:style>
  <w:style w:type="paragraph" w:customStyle="1" w:styleId="99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27286</Words>
  <Characters>28913</Characters>
  <Lines>273</Lines>
  <Paragraphs>77</Paragraphs>
  <TotalTime>35</TotalTime>
  <ScaleCrop>false</ScaleCrop>
  <LinksUpToDate>false</LinksUpToDate>
  <CharactersWithSpaces>29600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2022-01-24T00:27:00Z</dcterms:created>
  <dc:creator>Windows 用户</dc:creator>
  <cp:lastModifiedBy>Administrator</cp:lastModifiedBy>
  <cp:lastPrinted>2023-08-11T00:52:00Z</cp:lastPrinted>
  <dcterms:modified xsi:type="dcterms:W3CDTF">2024-12-06T02:10:10Z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1048A3F443CE4C8ABAF9AA85D56995EF_13</vt:lpwstr>
  </property>
</Properties>
</file>