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3044C9">
      <w:pPr>
        <w:spacing w:line="360" w:lineRule="auto"/>
        <w:jc w:val="both"/>
        <w:rPr>
          <w:rFonts w:hint="eastAsia" w:ascii="仿宋" w:hAnsi="仿宋" w:eastAsia="仿宋" w:cs="仿宋"/>
          <w:color w:val="auto"/>
          <w:sz w:val="24"/>
          <w:highlight w:val="none"/>
        </w:rPr>
      </w:pPr>
      <w:r>
        <w:rPr>
          <w:rFonts w:hint="eastAsia" w:ascii="仿宋" w:hAnsi="仿宋" w:eastAsia="仿宋" w:cs="仿宋"/>
          <w:b/>
          <w:bCs/>
          <w:color w:val="auto"/>
          <w:highlight w:val="none"/>
        </w:rPr>
        <w:drawing>
          <wp:inline distT="0" distB="0" distL="114300" distR="114300">
            <wp:extent cx="2734945" cy="460375"/>
            <wp:effectExtent l="0" t="0" r="8255" b="15875"/>
            <wp:docPr id="1" name="图片 1" descr="JS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SPM"/>
                    <pic:cNvPicPr>
                      <a:picLocks noChangeAspect="1"/>
                    </pic:cNvPicPr>
                  </pic:nvPicPr>
                  <pic:blipFill>
                    <a:blip r:embed="rId6"/>
                    <a:stretch>
                      <a:fillRect/>
                    </a:stretch>
                  </pic:blipFill>
                  <pic:spPr>
                    <a:xfrm>
                      <a:off x="0" y="0"/>
                      <a:ext cx="2734945" cy="460375"/>
                    </a:xfrm>
                    <a:prstGeom prst="rect">
                      <a:avLst/>
                    </a:prstGeom>
                    <a:noFill/>
                    <a:ln>
                      <a:noFill/>
                    </a:ln>
                  </pic:spPr>
                </pic:pic>
              </a:graphicData>
            </a:graphic>
          </wp:inline>
        </w:drawing>
      </w:r>
    </w:p>
    <w:p w14:paraId="63A4585B">
      <w:pPr>
        <w:spacing w:line="360" w:lineRule="auto"/>
        <w:jc w:val="center"/>
        <w:rPr>
          <w:rFonts w:hint="eastAsia" w:ascii="仿宋" w:hAnsi="仿宋" w:eastAsia="仿宋" w:cs="仿宋"/>
          <w:color w:val="auto"/>
          <w:sz w:val="24"/>
          <w:highlight w:val="none"/>
        </w:rPr>
      </w:pPr>
    </w:p>
    <w:p w14:paraId="28364BEB">
      <w:pPr>
        <w:pStyle w:val="23"/>
        <w:jc w:val="center"/>
        <w:rPr>
          <w:rFonts w:hint="eastAsia"/>
          <w:color w:val="auto"/>
          <w:highlight w:val="none"/>
        </w:rPr>
      </w:pPr>
    </w:p>
    <w:p w14:paraId="5D56FBBE">
      <w:pPr>
        <w:spacing w:line="360" w:lineRule="auto"/>
        <w:jc w:val="center"/>
        <w:rPr>
          <w:rFonts w:hint="eastAsia" w:ascii="仿宋" w:hAnsi="仿宋" w:eastAsia="仿宋" w:cs="仿宋"/>
          <w:color w:val="auto"/>
          <w:sz w:val="24"/>
          <w:highlight w:val="none"/>
        </w:rPr>
      </w:pPr>
    </w:p>
    <w:p w14:paraId="6B2E5A6A">
      <w:pPr>
        <w:pStyle w:val="23"/>
        <w:jc w:val="center"/>
        <w:rPr>
          <w:rFonts w:hint="eastAsia"/>
          <w:color w:val="auto"/>
          <w:highlight w:val="none"/>
        </w:rPr>
      </w:pPr>
    </w:p>
    <w:p w14:paraId="57422305">
      <w:pPr>
        <w:adjustRightInd/>
        <w:spacing w:line="360" w:lineRule="auto"/>
        <w:jc w:val="center"/>
        <w:outlineLvl w:val="0"/>
        <w:rPr>
          <w:rFonts w:hint="eastAsia" w:ascii="仿宋" w:hAnsi="仿宋" w:eastAsia="仿宋" w:cs="仿宋"/>
          <w:b/>
          <w:color w:val="auto"/>
          <w:sz w:val="44"/>
          <w:szCs w:val="44"/>
          <w:highlight w:val="none"/>
          <w:u w:val="single"/>
          <w:lang w:eastAsia="zh-CN"/>
        </w:rPr>
      </w:pPr>
      <w:r>
        <w:rPr>
          <w:rFonts w:hint="eastAsia" w:ascii="仿宋" w:hAnsi="仿宋" w:eastAsia="仿宋" w:cs="仿宋"/>
          <w:b/>
          <w:color w:val="auto"/>
          <w:sz w:val="44"/>
          <w:szCs w:val="44"/>
          <w:highlight w:val="none"/>
          <w:u w:val="single"/>
          <w:lang w:eastAsia="zh-CN"/>
        </w:rPr>
        <w:t>江心屿西园垃圾中转站除臭设备采购项目</w:t>
      </w:r>
    </w:p>
    <w:p w14:paraId="059C237B">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lang w:eastAsia="zh-CN"/>
        </w:rPr>
        <w:t>招标文件</w:t>
      </w:r>
    </w:p>
    <w:p w14:paraId="324A8A04">
      <w:pPr>
        <w:adjustRightInd/>
        <w:spacing w:line="360" w:lineRule="auto"/>
        <w:jc w:val="center"/>
        <w:rPr>
          <w:rFonts w:hint="eastAsia" w:ascii="仿宋" w:hAnsi="仿宋" w:eastAsia="仿宋" w:cs="仿宋"/>
          <w:b/>
          <w:color w:val="auto"/>
          <w:sz w:val="40"/>
          <w:szCs w:val="40"/>
          <w:highlight w:val="none"/>
        </w:rPr>
      </w:pPr>
    </w:p>
    <w:p w14:paraId="6030814E">
      <w:pPr>
        <w:pStyle w:val="23"/>
        <w:rPr>
          <w:rFonts w:hint="eastAsia" w:ascii="仿宋" w:hAnsi="仿宋" w:eastAsia="仿宋" w:cs="仿宋"/>
          <w:b/>
          <w:color w:val="auto"/>
          <w:sz w:val="40"/>
          <w:szCs w:val="40"/>
          <w:highlight w:val="none"/>
        </w:rPr>
      </w:pPr>
    </w:p>
    <w:p w14:paraId="52F5C320">
      <w:pPr>
        <w:pStyle w:val="24"/>
        <w:rPr>
          <w:rFonts w:hint="eastAsia"/>
          <w:color w:val="auto"/>
          <w:highlight w:val="none"/>
        </w:rPr>
      </w:pPr>
    </w:p>
    <w:p w14:paraId="40047788">
      <w:pPr>
        <w:adjustRightInd/>
        <w:spacing w:line="360" w:lineRule="auto"/>
        <w:jc w:val="center"/>
        <w:rPr>
          <w:rFonts w:hint="eastAsia" w:ascii="仿宋" w:hAnsi="仿宋" w:eastAsia="仿宋" w:cs="仿宋"/>
          <w:b/>
          <w:color w:val="auto"/>
          <w:sz w:val="40"/>
          <w:szCs w:val="40"/>
          <w:highlight w:val="none"/>
        </w:rPr>
      </w:pPr>
      <w:r>
        <w:rPr>
          <w:rFonts w:hint="eastAsia" w:ascii="仿宋" w:hAnsi="仿宋" w:eastAsia="仿宋" w:cs="仿宋"/>
          <w:b/>
          <w:color w:val="auto"/>
          <w:sz w:val="40"/>
          <w:szCs w:val="40"/>
          <w:highlight w:val="none"/>
        </w:rPr>
        <w:t>（电子招投标）</w:t>
      </w:r>
    </w:p>
    <w:p w14:paraId="59EB793D">
      <w:pPr>
        <w:snapToGrid w:val="0"/>
        <w:spacing w:line="360" w:lineRule="auto"/>
        <w:ind w:firstLine="1800" w:firstLineChars="600"/>
        <w:jc w:val="left"/>
        <w:rPr>
          <w:rFonts w:hint="eastAsia" w:ascii="仿宋" w:hAnsi="仿宋" w:eastAsia="仿宋" w:cs="仿宋"/>
          <w:color w:val="auto"/>
          <w:sz w:val="30"/>
          <w:szCs w:val="30"/>
          <w:highlight w:val="none"/>
        </w:rPr>
      </w:pPr>
    </w:p>
    <w:p w14:paraId="105D8B6A">
      <w:pPr>
        <w:pStyle w:val="23"/>
        <w:rPr>
          <w:rFonts w:hint="eastAsia" w:ascii="仿宋" w:hAnsi="仿宋" w:eastAsia="仿宋" w:cs="仿宋"/>
          <w:color w:val="auto"/>
          <w:sz w:val="30"/>
          <w:szCs w:val="30"/>
          <w:highlight w:val="none"/>
        </w:rPr>
      </w:pPr>
    </w:p>
    <w:p w14:paraId="320C1B92">
      <w:pPr>
        <w:pStyle w:val="24"/>
        <w:rPr>
          <w:rFonts w:hint="eastAsia" w:ascii="仿宋" w:hAnsi="仿宋" w:eastAsia="仿宋" w:cs="仿宋"/>
          <w:color w:val="auto"/>
          <w:sz w:val="30"/>
          <w:szCs w:val="30"/>
          <w:highlight w:val="none"/>
        </w:rPr>
      </w:pPr>
    </w:p>
    <w:p w14:paraId="7811DE3B">
      <w:pPr>
        <w:rPr>
          <w:rFonts w:hint="eastAsia"/>
          <w:color w:val="auto"/>
          <w:highlight w:val="none"/>
        </w:rPr>
      </w:pPr>
    </w:p>
    <w:p w14:paraId="597AF4DC">
      <w:pPr>
        <w:snapToGrid w:val="0"/>
        <w:spacing w:line="360" w:lineRule="auto"/>
        <w:ind w:firstLine="1800" w:firstLineChars="600"/>
        <w:jc w:val="left"/>
        <w:rPr>
          <w:rFonts w:hint="default" w:ascii="仿宋" w:hAnsi="仿宋" w:eastAsia="仿宋" w:cs="仿宋"/>
          <w:color w:val="auto"/>
          <w:sz w:val="30"/>
          <w:szCs w:val="30"/>
          <w:highlight w:val="none"/>
          <w:lang w:val="en-US"/>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u w:val="single"/>
          <w:lang w:val="en-US" w:eastAsia="zh-CN"/>
        </w:rPr>
        <w:t>ZJJS-20240142</w:t>
      </w:r>
    </w:p>
    <w:p w14:paraId="7C42ACA3">
      <w:pPr>
        <w:snapToGrid w:val="0"/>
        <w:spacing w:line="360" w:lineRule="auto"/>
        <w:ind w:firstLine="1800" w:firstLineChars="6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采购方式：</w:t>
      </w:r>
      <w:r>
        <w:rPr>
          <w:rFonts w:hint="eastAsia" w:ascii="仿宋" w:hAnsi="仿宋" w:eastAsia="仿宋" w:cs="仿宋"/>
          <w:color w:val="auto"/>
          <w:sz w:val="30"/>
          <w:szCs w:val="30"/>
          <w:highlight w:val="none"/>
          <w:u w:val="single"/>
        </w:rPr>
        <w:t>公开招标</w:t>
      </w:r>
    </w:p>
    <w:p w14:paraId="69BE0F88">
      <w:pPr>
        <w:spacing w:line="360" w:lineRule="auto"/>
        <w:jc w:val="center"/>
        <w:rPr>
          <w:rFonts w:hint="eastAsia" w:ascii="仿宋" w:hAnsi="仿宋" w:eastAsia="仿宋" w:cs="仿宋"/>
          <w:color w:val="auto"/>
          <w:sz w:val="24"/>
          <w:highlight w:val="none"/>
        </w:rPr>
      </w:pPr>
    </w:p>
    <w:p w14:paraId="4D5B9A3A">
      <w:pPr>
        <w:spacing w:line="360" w:lineRule="auto"/>
        <w:jc w:val="center"/>
        <w:rPr>
          <w:rFonts w:hint="eastAsia" w:ascii="仿宋" w:hAnsi="仿宋" w:eastAsia="仿宋" w:cs="仿宋"/>
          <w:color w:val="auto"/>
          <w:sz w:val="24"/>
          <w:highlight w:val="none"/>
        </w:rPr>
      </w:pPr>
    </w:p>
    <w:p w14:paraId="317466AA">
      <w:pPr>
        <w:spacing w:line="360" w:lineRule="auto"/>
        <w:jc w:val="center"/>
        <w:rPr>
          <w:rFonts w:hint="eastAsia" w:ascii="仿宋" w:hAnsi="仿宋" w:eastAsia="仿宋" w:cs="仿宋"/>
          <w:color w:val="auto"/>
          <w:sz w:val="24"/>
          <w:highlight w:val="none"/>
        </w:rPr>
      </w:pPr>
    </w:p>
    <w:p w14:paraId="6FAA1307">
      <w:pPr>
        <w:spacing w:line="360" w:lineRule="auto"/>
        <w:jc w:val="center"/>
        <w:rPr>
          <w:rFonts w:hint="eastAsia" w:ascii="仿宋" w:hAnsi="仿宋" w:eastAsia="仿宋" w:cs="仿宋"/>
          <w:color w:val="auto"/>
          <w:sz w:val="24"/>
          <w:highlight w:val="none"/>
        </w:rPr>
      </w:pPr>
    </w:p>
    <w:p w14:paraId="34947CC8">
      <w:pPr>
        <w:spacing w:line="360" w:lineRule="auto"/>
        <w:jc w:val="center"/>
        <w:rPr>
          <w:rFonts w:hint="eastAsia" w:ascii="仿宋" w:hAnsi="仿宋" w:eastAsia="仿宋" w:cs="仿宋"/>
          <w:color w:val="auto"/>
          <w:sz w:val="24"/>
          <w:highlight w:val="none"/>
        </w:rPr>
      </w:pPr>
    </w:p>
    <w:p w14:paraId="51E851D9">
      <w:pPr>
        <w:spacing w:line="360" w:lineRule="auto"/>
        <w:jc w:val="center"/>
        <w:rPr>
          <w:rFonts w:hint="eastAsia" w:ascii="仿宋" w:hAnsi="仿宋" w:eastAsia="仿宋" w:cs="仿宋"/>
          <w:color w:val="auto"/>
          <w:sz w:val="24"/>
          <w:highlight w:val="none"/>
        </w:rPr>
      </w:pPr>
    </w:p>
    <w:p w14:paraId="26A1A5AF">
      <w:pPr>
        <w:snapToGrid w:val="0"/>
        <w:spacing w:line="360" w:lineRule="auto"/>
        <w:ind w:firstLine="1280" w:firstLineChars="400"/>
        <w:jc w:val="left"/>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采购人：</w:t>
      </w:r>
      <w:r>
        <w:rPr>
          <w:rFonts w:hint="eastAsia" w:ascii="仿宋" w:hAnsi="仿宋" w:eastAsia="仿宋" w:cs="仿宋"/>
          <w:color w:val="auto"/>
          <w:sz w:val="32"/>
          <w:szCs w:val="32"/>
          <w:highlight w:val="none"/>
          <w:u w:val="single"/>
          <w:lang w:eastAsia="zh-CN"/>
        </w:rPr>
        <w:t>温州市鹿城区旅游和体育事业发展中心</w:t>
      </w:r>
    </w:p>
    <w:p w14:paraId="3C62B712">
      <w:pPr>
        <w:snapToGrid w:val="0"/>
        <w:spacing w:line="360" w:lineRule="auto"/>
        <w:ind w:firstLine="1280" w:firstLineChars="400"/>
        <w:jc w:val="left"/>
        <w:rPr>
          <w:rFonts w:hint="eastAsia" w:ascii="仿宋" w:hAnsi="仿宋" w:eastAsia="仿宋" w:cs="仿宋"/>
          <w:bCs/>
          <w:color w:val="auto"/>
          <w:sz w:val="32"/>
          <w:szCs w:val="32"/>
          <w:highlight w:val="none"/>
          <w:u w:val="single"/>
        </w:rPr>
      </w:pPr>
      <w:r>
        <w:rPr>
          <w:rFonts w:hint="eastAsia" w:ascii="仿宋" w:hAnsi="仿宋" w:eastAsia="仿宋" w:cs="仿宋"/>
          <w:bCs/>
          <w:color w:val="auto"/>
          <w:sz w:val="32"/>
          <w:szCs w:val="32"/>
          <w:highlight w:val="none"/>
        </w:rPr>
        <w:t>采购代理机构：</w:t>
      </w:r>
      <w:r>
        <w:rPr>
          <w:rFonts w:hint="eastAsia" w:ascii="仿宋" w:hAnsi="仿宋" w:eastAsia="仿宋" w:cs="仿宋"/>
          <w:bCs/>
          <w:color w:val="auto"/>
          <w:sz w:val="32"/>
          <w:szCs w:val="32"/>
          <w:highlight w:val="none"/>
          <w:u w:val="single"/>
        </w:rPr>
        <w:t>浙江金穗工程项目管理有限公司</w:t>
      </w:r>
    </w:p>
    <w:p w14:paraId="21EF28F8">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eastAsia="zh-CN"/>
        </w:rPr>
        <w:t>四</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u w:val="single"/>
        </w:rPr>
        <w:t xml:space="preserve"> </w:t>
      </w:r>
      <w:r>
        <w:rPr>
          <w:rFonts w:hint="eastAsia" w:ascii="仿宋" w:hAnsi="仿宋" w:eastAsia="仿宋" w:cs="仿宋"/>
          <w:bCs/>
          <w:color w:val="auto"/>
          <w:sz w:val="32"/>
          <w:szCs w:val="32"/>
          <w:highlight w:val="none"/>
          <w:u w:val="single"/>
          <w:lang w:eastAsia="zh-CN"/>
        </w:rPr>
        <w:t>十一</w:t>
      </w:r>
      <w:r>
        <w:rPr>
          <w:rFonts w:hint="eastAsia" w:ascii="仿宋" w:hAnsi="仿宋" w:eastAsia="仿宋" w:cs="仿宋"/>
          <w:bCs/>
          <w:color w:val="auto"/>
          <w:sz w:val="32"/>
          <w:szCs w:val="32"/>
          <w:highlight w:val="none"/>
          <w:u w:val="single"/>
        </w:rPr>
        <w:t xml:space="preserve"> </w:t>
      </w:r>
      <w:r>
        <w:rPr>
          <w:rFonts w:hint="eastAsia" w:ascii="仿宋" w:hAnsi="仿宋" w:eastAsia="仿宋" w:cs="仿宋"/>
          <w:bCs/>
          <w:color w:val="auto"/>
          <w:sz w:val="32"/>
          <w:szCs w:val="32"/>
          <w:highlight w:val="none"/>
        </w:rPr>
        <w:t>月</w:t>
      </w:r>
    </w:p>
    <w:p w14:paraId="14CD6F73">
      <w:pPr>
        <w:widowControl/>
        <w:adjustRightInd/>
        <w:jc w:val="left"/>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7D72205F">
      <w:pPr>
        <w:spacing w:line="360" w:lineRule="auto"/>
        <w:jc w:val="center"/>
        <w:rPr>
          <w:rFonts w:hint="eastAsia" w:ascii="仿宋" w:hAnsi="仿宋" w:eastAsia="仿宋" w:cs="仿宋"/>
          <w:color w:val="auto"/>
          <w:sz w:val="24"/>
          <w:highlight w:val="none"/>
        </w:rPr>
      </w:pPr>
    </w:p>
    <w:p w14:paraId="321BE693">
      <w:pPr>
        <w:spacing w:line="360" w:lineRule="auto"/>
        <w:jc w:val="center"/>
        <w:rPr>
          <w:rFonts w:hint="eastAsia" w:ascii="仿宋" w:hAnsi="仿宋" w:eastAsia="仿宋" w:cs="仿宋"/>
          <w:color w:val="auto"/>
          <w:sz w:val="24"/>
          <w:highlight w:val="none"/>
        </w:rPr>
      </w:pPr>
    </w:p>
    <w:p w14:paraId="403B5B15">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61A20A5D">
      <w:pPr>
        <w:spacing w:line="360" w:lineRule="auto"/>
        <w:rPr>
          <w:rFonts w:hint="eastAsia" w:ascii="仿宋" w:hAnsi="仿宋" w:eastAsia="仿宋" w:cs="仿宋"/>
          <w:color w:val="auto"/>
          <w:sz w:val="32"/>
          <w:szCs w:val="32"/>
          <w:highlight w:val="none"/>
        </w:rPr>
      </w:pPr>
    </w:p>
    <w:p w14:paraId="5450E60F">
      <w:pPr>
        <w:spacing w:before="0" w:beforeLines="0" w:after="0" w:afterLines="0" w:line="240" w:lineRule="auto"/>
        <w:ind w:left="0" w:leftChars="0" w:right="0" w:rightChars="0" w:firstLine="0" w:firstLineChars="0"/>
        <w:jc w:val="center"/>
        <w:rPr>
          <w:color w:val="auto"/>
          <w:highlight w:val="none"/>
        </w:rPr>
      </w:pPr>
    </w:p>
    <w:p w14:paraId="56014CB8">
      <w:pPr>
        <w:pStyle w:val="993"/>
        <w:tabs>
          <w:tab w:val="right" w:leader="dot" w:pos="9639"/>
        </w:tabs>
        <w:spacing w:line="360" w:lineRule="auto"/>
        <w:rPr>
          <w:color w:val="auto"/>
          <w:sz w:val="32"/>
          <w:szCs w:val="32"/>
          <w:highlight w:val="none"/>
        </w:rPr>
      </w:pPr>
      <w:r>
        <w:rPr>
          <w:rFonts w:hint="eastAsia" w:ascii="仿宋" w:hAnsi="仿宋" w:eastAsia="仿宋" w:cs="仿宋"/>
          <w:color w:val="auto"/>
          <w:sz w:val="52"/>
          <w:szCs w:val="52"/>
          <w:highlight w:val="none"/>
        </w:rPr>
        <w:fldChar w:fldCharType="begin"/>
      </w:r>
      <w:r>
        <w:rPr>
          <w:rFonts w:hint="eastAsia" w:ascii="仿宋" w:hAnsi="仿宋" w:eastAsia="仿宋" w:cs="仿宋"/>
          <w:color w:val="auto"/>
          <w:sz w:val="52"/>
          <w:szCs w:val="52"/>
          <w:highlight w:val="none"/>
        </w:rPr>
        <w:instrText xml:space="preserve">TOC \o "1-1" \h \u </w:instrText>
      </w:r>
      <w:r>
        <w:rPr>
          <w:rFonts w:hint="eastAsia" w:ascii="仿宋" w:hAnsi="仿宋" w:eastAsia="仿宋" w:cs="仿宋"/>
          <w:color w:val="auto"/>
          <w:sz w:val="52"/>
          <w:szCs w:val="52"/>
          <w:highlight w:val="none"/>
        </w:rPr>
        <w:fldChar w:fldCharType="separate"/>
      </w:r>
      <w:r>
        <w:rPr>
          <w:rFonts w:hint="eastAsia" w:ascii="仿宋" w:hAnsi="仿宋" w:eastAsia="仿宋" w:cs="仿宋"/>
          <w:color w:val="auto"/>
          <w:sz w:val="32"/>
          <w:szCs w:val="52"/>
          <w:highlight w:val="none"/>
        </w:rPr>
        <w:fldChar w:fldCharType="begin"/>
      </w:r>
      <w:r>
        <w:rPr>
          <w:rFonts w:hint="eastAsia" w:ascii="仿宋" w:hAnsi="仿宋" w:eastAsia="仿宋" w:cs="仿宋"/>
          <w:color w:val="auto"/>
          <w:sz w:val="32"/>
          <w:szCs w:val="52"/>
          <w:highlight w:val="none"/>
        </w:rPr>
        <w:instrText xml:space="preserve"> HYPERLINK \l _Toc21511 </w:instrText>
      </w:r>
      <w:r>
        <w:rPr>
          <w:rFonts w:hint="eastAsia" w:ascii="仿宋" w:hAnsi="仿宋" w:eastAsia="仿宋" w:cs="仿宋"/>
          <w:color w:val="auto"/>
          <w:sz w:val="32"/>
          <w:szCs w:val="52"/>
          <w:highlight w:val="none"/>
        </w:rPr>
        <w:fldChar w:fldCharType="separate"/>
      </w:r>
      <w:r>
        <w:rPr>
          <w:rFonts w:hint="eastAsia" w:ascii="仿宋" w:hAnsi="仿宋" w:eastAsia="仿宋" w:cs="仿宋"/>
          <w:color w:val="auto"/>
          <w:sz w:val="32"/>
          <w:szCs w:val="32"/>
          <w:highlight w:val="none"/>
        </w:rPr>
        <w:t>第一部分  招标公告</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_Toc21511 \h </w:instrText>
      </w:r>
      <w:r>
        <w:rPr>
          <w:color w:val="auto"/>
          <w:sz w:val="32"/>
          <w:szCs w:val="32"/>
          <w:highlight w:val="none"/>
        </w:rPr>
        <w:fldChar w:fldCharType="separate"/>
      </w:r>
      <w:r>
        <w:rPr>
          <w:color w:val="auto"/>
          <w:sz w:val="32"/>
          <w:szCs w:val="32"/>
          <w:highlight w:val="none"/>
        </w:rPr>
        <w:t>3</w:t>
      </w:r>
      <w:r>
        <w:rPr>
          <w:color w:val="auto"/>
          <w:sz w:val="32"/>
          <w:szCs w:val="32"/>
          <w:highlight w:val="none"/>
        </w:rPr>
        <w:fldChar w:fldCharType="end"/>
      </w:r>
      <w:r>
        <w:rPr>
          <w:rFonts w:hint="eastAsia" w:ascii="仿宋" w:hAnsi="仿宋" w:eastAsia="仿宋" w:cs="仿宋"/>
          <w:color w:val="auto"/>
          <w:sz w:val="32"/>
          <w:szCs w:val="52"/>
          <w:highlight w:val="none"/>
        </w:rPr>
        <w:fldChar w:fldCharType="end"/>
      </w:r>
    </w:p>
    <w:p w14:paraId="105A45B5">
      <w:pPr>
        <w:pStyle w:val="993"/>
        <w:tabs>
          <w:tab w:val="right" w:leader="dot" w:pos="9639"/>
        </w:tabs>
        <w:spacing w:line="360" w:lineRule="auto"/>
        <w:rPr>
          <w:color w:val="auto"/>
          <w:sz w:val="32"/>
          <w:szCs w:val="32"/>
          <w:highlight w:val="none"/>
        </w:rPr>
      </w:pPr>
      <w:r>
        <w:rPr>
          <w:rFonts w:hint="eastAsia" w:ascii="仿宋" w:hAnsi="仿宋" w:eastAsia="仿宋" w:cs="仿宋"/>
          <w:color w:val="auto"/>
          <w:sz w:val="32"/>
          <w:szCs w:val="52"/>
          <w:highlight w:val="none"/>
        </w:rPr>
        <w:fldChar w:fldCharType="begin"/>
      </w:r>
      <w:r>
        <w:rPr>
          <w:rFonts w:hint="eastAsia" w:ascii="仿宋" w:hAnsi="仿宋" w:eastAsia="仿宋" w:cs="仿宋"/>
          <w:color w:val="auto"/>
          <w:sz w:val="32"/>
          <w:szCs w:val="52"/>
          <w:highlight w:val="none"/>
        </w:rPr>
        <w:instrText xml:space="preserve"> HYPERLINK \l _Toc25109 </w:instrText>
      </w:r>
      <w:r>
        <w:rPr>
          <w:rFonts w:hint="eastAsia" w:ascii="仿宋" w:hAnsi="仿宋" w:eastAsia="仿宋" w:cs="仿宋"/>
          <w:color w:val="auto"/>
          <w:sz w:val="32"/>
          <w:szCs w:val="52"/>
          <w:highlight w:val="none"/>
        </w:rPr>
        <w:fldChar w:fldCharType="separate"/>
      </w:r>
      <w:r>
        <w:rPr>
          <w:rFonts w:hint="eastAsia" w:ascii="仿宋" w:hAnsi="仿宋" w:eastAsia="仿宋" w:cs="仿宋"/>
          <w:color w:val="auto"/>
          <w:sz w:val="32"/>
          <w:szCs w:val="56"/>
          <w:highlight w:val="none"/>
        </w:rPr>
        <w:t>第二部分  投标人须知</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_Toc25109 \h </w:instrText>
      </w:r>
      <w:r>
        <w:rPr>
          <w:color w:val="auto"/>
          <w:sz w:val="32"/>
          <w:szCs w:val="32"/>
          <w:highlight w:val="none"/>
        </w:rPr>
        <w:fldChar w:fldCharType="separate"/>
      </w:r>
      <w:r>
        <w:rPr>
          <w:color w:val="auto"/>
          <w:sz w:val="32"/>
          <w:szCs w:val="32"/>
          <w:highlight w:val="none"/>
        </w:rPr>
        <w:t>7</w:t>
      </w:r>
      <w:r>
        <w:rPr>
          <w:color w:val="auto"/>
          <w:sz w:val="32"/>
          <w:szCs w:val="32"/>
          <w:highlight w:val="none"/>
        </w:rPr>
        <w:fldChar w:fldCharType="end"/>
      </w:r>
      <w:r>
        <w:rPr>
          <w:rFonts w:hint="eastAsia" w:ascii="仿宋" w:hAnsi="仿宋" w:eastAsia="仿宋" w:cs="仿宋"/>
          <w:color w:val="auto"/>
          <w:sz w:val="32"/>
          <w:szCs w:val="52"/>
          <w:highlight w:val="none"/>
        </w:rPr>
        <w:fldChar w:fldCharType="end"/>
      </w:r>
    </w:p>
    <w:p w14:paraId="02EA536D">
      <w:pPr>
        <w:pStyle w:val="993"/>
        <w:tabs>
          <w:tab w:val="right" w:leader="dot" w:pos="9639"/>
        </w:tabs>
        <w:spacing w:line="360" w:lineRule="auto"/>
        <w:rPr>
          <w:color w:val="auto"/>
          <w:sz w:val="32"/>
          <w:szCs w:val="32"/>
          <w:highlight w:val="none"/>
        </w:rPr>
      </w:pPr>
      <w:r>
        <w:rPr>
          <w:rFonts w:hint="eastAsia" w:ascii="仿宋" w:hAnsi="仿宋" w:eastAsia="仿宋" w:cs="仿宋"/>
          <w:color w:val="auto"/>
          <w:sz w:val="32"/>
          <w:szCs w:val="52"/>
          <w:highlight w:val="none"/>
        </w:rPr>
        <w:fldChar w:fldCharType="begin"/>
      </w:r>
      <w:r>
        <w:rPr>
          <w:rFonts w:hint="eastAsia" w:ascii="仿宋" w:hAnsi="仿宋" w:eastAsia="仿宋" w:cs="仿宋"/>
          <w:color w:val="auto"/>
          <w:sz w:val="32"/>
          <w:szCs w:val="52"/>
          <w:highlight w:val="none"/>
        </w:rPr>
        <w:instrText xml:space="preserve"> HYPERLINK \l _Toc29596 </w:instrText>
      </w:r>
      <w:r>
        <w:rPr>
          <w:rFonts w:hint="eastAsia" w:ascii="仿宋" w:hAnsi="仿宋" w:eastAsia="仿宋" w:cs="仿宋"/>
          <w:color w:val="auto"/>
          <w:sz w:val="32"/>
          <w:szCs w:val="52"/>
          <w:highlight w:val="none"/>
        </w:rPr>
        <w:fldChar w:fldCharType="separate"/>
      </w:r>
      <w:r>
        <w:rPr>
          <w:rFonts w:hint="eastAsia" w:ascii="仿宋" w:hAnsi="仿宋" w:eastAsia="仿宋" w:cs="仿宋"/>
          <w:color w:val="auto"/>
          <w:sz w:val="32"/>
          <w:szCs w:val="56"/>
          <w:highlight w:val="none"/>
        </w:rPr>
        <w:t>第三部分  采购需求</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_Toc29596 \h </w:instrText>
      </w:r>
      <w:r>
        <w:rPr>
          <w:color w:val="auto"/>
          <w:sz w:val="32"/>
          <w:szCs w:val="32"/>
          <w:highlight w:val="none"/>
        </w:rPr>
        <w:fldChar w:fldCharType="separate"/>
      </w:r>
      <w:r>
        <w:rPr>
          <w:color w:val="auto"/>
          <w:sz w:val="32"/>
          <w:szCs w:val="32"/>
          <w:highlight w:val="none"/>
        </w:rPr>
        <w:t>22</w:t>
      </w:r>
      <w:r>
        <w:rPr>
          <w:color w:val="auto"/>
          <w:sz w:val="32"/>
          <w:szCs w:val="32"/>
          <w:highlight w:val="none"/>
        </w:rPr>
        <w:fldChar w:fldCharType="end"/>
      </w:r>
      <w:r>
        <w:rPr>
          <w:rFonts w:hint="eastAsia" w:ascii="仿宋" w:hAnsi="仿宋" w:eastAsia="仿宋" w:cs="仿宋"/>
          <w:color w:val="auto"/>
          <w:sz w:val="32"/>
          <w:szCs w:val="52"/>
          <w:highlight w:val="none"/>
        </w:rPr>
        <w:fldChar w:fldCharType="end"/>
      </w:r>
    </w:p>
    <w:p w14:paraId="0B09A7F7">
      <w:pPr>
        <w:pStyle w:val="993"/>
        <w:tabs>
          <w:tab w:val="right" w:leader="dot" w:pos="9639"/>
        </w:tabs>
        <w:spacing w:line="360" w:lineRule="auto"/>
        <w:rPr>
          <w:color w:val="auto"/>
          <w:sz w:val="32"/>
          <w:szCs w:val="32"/>
          <w:highlight w:val="none"/>
        </w:rPr>
      </w:pPr>
      <w:r>
        <w:rPr>
          <w:rFonts w:hint="eastAsia" w:ascii="仿宋" w:hAnsi="仿宋" w:eastAsia="仿宋" w:cs="仿宋"/>
          <w:color w:val="auto"/>
          <w:sz w:val="32"/>
          <w:szCs w:val="52"/>
          <w:highlight w:val="none"/>
        </w:rPr>
        <w:fldChar w:fldCharType="begin"/>
      </w:r>
      <w:r>
        <w:rPr>
          <w:rFonts w:hint="eastAsia" w:ascii="仿宋" w:hAnsi="仿宋" w:eastAsia="仿宋" w:cs="仿宋"/>
          <w:color w:val="auto"/>
          <w:sz w:val="32"/>
          <w:szCs w:val="52"/>
          <w:highlight w:val="none"/>
        </w:rPr>
        <w:instrText xml:space="preserve"> HYPERLINK \l _Toc24805 </w:instrText>
      </w:r>
      <w:r>
        <w:rPr>
          <w:rFonts w:hint="eastAsia" w:ascii="仿宋" w:hAnsi="仿宋" w:eastAsia="仿宋" w:cs="仿宋"/>
          <w:color w:val="auto"/>
          <w:sz w:val="32"/>
          <w:szCs w:val="52"/>
          <w:highlight w:val="none"/>
        </w:rPr>
        <w:fldChar w:fldCharType="separate"/>
      </w:r>
      <w:r>
        <w:rPr>
          <w:rFonts w:hint="eastAsia" w:ascii="仿宋" w:hAnsi="仿宋" w:eastAsia="仿宋" w:cs="仿宋"/>
          <w:color w:val="auto"/>
          <w:sz w:val="32"/>
          <w:szCs w:val="56"/>
          <w:highlight w:val="none"/>
        </w:rPr>
        <w:t>第四部分  拟签订的合同文本</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_Toc24805 \h </w:instrText>
      </w:r>
      <w:r>
        <w:rPr>
          <w:color w:val="auto"/>
          <w:sz w:val="32"/>
          <w:szCs w:val="32"/>
          <w:highlight w:val="none"/>
        </w:rPr>
        <w:fldChar w:fldCharType="separate"/>
      </w:r>
      <w:r>
        <w:rPr>
          <w:color w:val="auto"/>
          <w:sz w:val="32"/>
          <w:szCs w:val="32"/>
          <w:highlight w:val="none"/>
        </w:rPr>
        <w:t>28</w:t>
      </w:r>
      <w:r>
        <w:rPr>
          <w:color w:val="auto"/>
          <w:sz w:val="32"/>
          <w:szCs w:val="32"/>
          <w:highlight w:val="none"/>
        </w:rPr>
        <w:fldChar w:fldCharType="end"/>
      </w:r>
      <w:r>
        <w:rPr>
          <w:rFonts w:hint="eastAsia" w:ascii="仿宋" w:hAnsi="仿宋" w:eastAsia="仿宋" w:cs="仿宋"/>
          <w:color w:val="auto"/>
          <w:sz w:val="32"/>
          <w:szCs w:val="52"/>
          <w:highlight w:val="none"/>
        </w:rPr>
        <w:fldChar w:fldCharType="end"/>
      </w:r>
    </w:p>
    <w:p w14:paraId="44A205D9">
      <w:pPr>
        <w:pStyle w:val="993"/>
        <w:tabs>
          <w:tab w:val="right" w:leader="dot" w:pos="9639"/>
        </w:tabs>
        <w:spacing w:line="360" w:lineRule="auto"/>
        <w:rPr>
          <w:color w:val="auto"/>
          <w:sz w:val="32"/>
          <w:szCs w:val="32"/>
          <w:highlight w:val="none"/>
        </w:rPr>
      </w:pPr>
      <w:r>
        <w:rPr>
          <w:rFonts w:hint="eastAsia" w:ascii="仿宋" w:hAnsi="仿宋" w:eastAsia="仿宋" w:cs="仿宋"/>
          <w:color w:val="auto"/>
          <w:sz w:val="32"/>
          <w:szCs w:val="52"/>
          <w:highlight w:val="none"/>
        </w:rPr>
        <w:fldChar w:fldCharType="begin"/>
      </w:r>
      <w:r>
        <w:rPr>
          <w:rFonts w:hint="eastAsia" w:ascii="仿宋" w:hAnsi="仿宋" w:eastAsia="仿宋" w:cs="仿宋"/>
          <w:color w:val="auto"/>
          <w:sz w:val="32"/>
          <w:szCs w:val="52"/>
          <w:highlight w:val="none"/>
        </w:rPr>
        <w:instrText xml:space="preserve"> HYPERLINK \l _Toc29853 </w:instrText>
      </w:r>
      <w:r>
        <w:rPr>
          <w:rFonts w:hint="eastAsia" w:ascii="仿宋" w:hAnsi="仿宋" w:eastAsia="仿宋" w:cs="仿宋"/>
          <w:color w:val="auto"/>
          <w:sz w:val="32"/>
          <w:szCs w:val="52"/>
          <w:highlight w:val="none"/>
        </w:rPr>
        <w:fldChar w:fldCharType="separate"/>
      </w:r>
      <w:r>
        <w:rPr>
          <w:rFonts w:hint="eastAsia" w:ascii="仿宋" w:hAnsi="仿宋" w:eastAsia="仿宋" w:cs="仿宋"/>
          <w:color w:val="auto"/>
          <w:sz w:val="32"/>
          <w:szCs w:val="32"/>
          <w:highlight w:val="none"/>
        </w:rPr>
        <w:t>第五部分  应提交的有关格式范例</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_Toc29853 \h </w:instrText>
      </w:r>
      <w:r>
        <w:rPr>
          <w:color w:val="auto"/>
          <w:sz w:val="32"/>
          <w:szCs w:val="32"/>
          <w:highlight w:val="none"/>
        </w:rPr>
        <w:fldChar w:fldCharType="separate"/>
      </w:r>
      <w:r>
        <w:rPr>
          <w:color w:val="auto"/>
          <w:sz w:val="32"/>
          <w:szCs w:val="32"/>
          <w:highlight w:val="none"/>
        </w:rPr>
        <w:t>35</w:t>
      </w:r>
      <w:r>
        <w:rPr>
          <w:color w:val="auto"/>
          <w:sz w:val="32"/>
          <w:szCs w:val="32"/>
          <w:highlight w:val="none"/>
        </w:rPr>
        <w:fldChar w:fldCharType="end"/>
      </w:r>
      <w:r>
        <w:rPr>
          <w:rFonts w:hint="eastAsia" w:ascii="仿宋" w:hAnsi="仿宋" w:eastAsia="仿宋" w:cs="仿宋"/>
          <w:color w:val="auto"/>
          <w:sz w:val="32"/>
          <w:szCs w:val="52"/>
          <w:highlight w:val="none"/>
        </w:rPr>
        <w:fldChar w:fldCharType="end"/>
      </w:r>
    </w:p>
    <w:p w14:paraId="61A4EC59">
      <w:pPr>
        <w:pStyle w:val="993"/>
        <w:tabs>
          <w:tab w:val="right" w:leader="dot" w:pos="9639"/>
        </w:tabs>
        <w:spacing w:line="360" w:lineRule="auto"/>
        <w:rPr>
          <w:color w:val="auto"/>
          <w:sz w:val="32"/>
          <w:szCs w:val="32"/>
          <w:highlight w:val="none"/>
        </w:rPr>
      </w:pPr>
      <w:r>
        <w:rPr>
          <w:rFonts w:hint="eastAsia" w:ascii="仿宋" w:hAnsi="仿宋" w:eastAsia="仿宋" w:cs="仿宋"/>
          <w:color w:val="auto"/>
          <w:sz w:val="32"/>
          <w:szCs w:val="52"/>
          <w:highlight w:val="none"/>
        </w:rPr>
        <w:fldChar w:fldCharType="begin"/>
      </w:r>
      <w:r>
        <w:rPr>
          <w:rFonts w:hint="eastAsia" w:ascii="仿宋" w:hAnsi="仿宋" w:eastAsia="仿宋" w:cs="仿宋"/>
          <w:color w:val="auto"/>
          <w:sz w:val="32"/>
          <w:szCs w:val="52"/>
          <w:highlight w:val="none"/>
        </w:rPr>
        <w:instrText xml:space="preserve"> HYPERLINK \l _Toc6003 </w:instrText>
      </w:r>
      <w:r>
        <w:rPr>
          <w:rFonts w:hint="eastAsia" w:ascii="仿宋" w:hAnsi="仿宋" w:eastAsia="仿宋" w:cs="仿宋"/>
          <w:color w:val="auto"/>
          <w:sz w:val="32"/>
          <w:szCs w:val="52"/>
          <w:highlight w:val="none"/>
        </w:rPr>
        <w:fldChar w:fldCharType="separate"/>
      </w:r>
      <w:r>
        <w:rPr>
          <w:rFonts w:hint="eastAsia" w:ascii="仿宋" w:hAnsi="仿宋" w:eastAsia="仿宋" w:cs="仿宋"/>
          <w:color w:val="auto"/>
          <w:sz w:val="32"/>
          <w:szCs w:val="56"/>
          <w:highlight w:val="none"/>
        </w:rPr>
        <w:t>第六部分  评标办法</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_Toc6003 \h </w:instrText>
      </w:r>
      <w:r>
        <w:rPr>
          <w:color w:val="auto"/>
          <w:sz w:val="32"/>
          <w:szCs w:val="32"/>
          <w:highlight w:val="none"/>
        </w:rPr>
        <w:fldChar w:fldCharType="separate"/>
      </w:r>
      <w:r>
        <w:rPr>
          <w:color w:val="auto"/>
          <w:sz w:val="32"/>
          <w:szCs w:val="32"/>
          <w:highlight w:val="none"/>
        </w:rPr>
        <w:t>59</w:t>
      </w:r>
      <w:r>
        <w:rPr>
          <w:color w:val="auto"/>
          <w:sz w:val="32"/>
          <w:szCs w:val="32"/>
          <w:highlight w:val="none"/>
        </w:rPr>
        <w:fldChar w:fldCharType="end"/>
      </w:r>
      <w:r>
        <w:rPr>
          <w:rFonts w:hint="eastAsia" w:ascii="仿宋" w:hAnsi="仿宋" w:eastAsia="仿宋" w:cs="仿宋"/>
          <w:color w:val="auto"/>
          <w:sz w:val="32"/>
          <w:szCs w:val="52"/>
          <w:highlight w:val="none"/>
        </w:rPr>
        <w:fldChar w:fldCharType="end"/>
      </w:r>
    </w:p>
    <w:p w14:paraId="27373605">
      <w:pPr>
        <w:spacing w:line="360" w:lineRule="auto"/>
        <w:rPr>
          <w:rFonts w:hint="eastAsia" w:ascii="仿宋" w:hAnsi="仿宋" w:eastAsia="仿宋" w:cs="仿宋"/>
          <w:color w:val="auto"/>
          <w:sz w:val="52"/>
          <w:szCs w:val="52"/>
          <w:highlight w:val="none"/>
        </w:rPr>
      </w:pPr>
      <w:r>
        <w:rPr>
          <w:rFonts w:hint="eastAsia" w:ascii="仿宋" w:hAnsi="仿宋" w:eastAsia="仿宋" w:cs="仿宋"/>
          <w:color w:val="auto"/>
          <w:sz w:val="36"/>
          <w:szCs w:val="52"/>
          <w:highlight w:val="none"/>
        </w:rPr>
        <w:fldChar w:fldCharType="end"/>
      </w:r>
    </w:p>
    <w:p w14:paraId="1E900CA7">
      <w:pPr>
        <w:spacing w:line="360" w:lineRule="auto"/>
        <w:ind w:firstLine="549" w:firstLineChars="229"/>
        <w:rPr>
          <w:rFonts w:hint="eastAsia" w:ascii="仿宋" w:hAnsi="仿宋" w:eastAsia="仿宋" w:cs="仿宋"/>
          <w:color w:val="auto"/>
          <w:sz w:val="24"/>
          <w:highlight w:val="none"/>
        </w:rPr>
      </w:pPr>
    </w:p>
    <w:p w14:paraId="1A3DCEC6">
      <w:pPr>
        <w:widowControl/>
        <w:adjustRightInd/>
        <w:jc w:val="left"/>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4A49CAD8">
      <w:pPr>
        <w:adjustRightInd/>
        <w:spacing w:line="360" w:lineRule="auto"/>
        <w:jc w:val="center"/>
        <w:outlineLvl w:val="0"/>
        <w:rPr>
          <w:rFonts w:hint="eastAsia" w:ascii="仿宋" w:hAnsi="仿宋" w:eastAsia="仿宋" w:cs="仿宋"/>
          <w:b/>
          <w:color w:val="auto"/>
          <w:sz w:val="36"/>
          <w:szCs w:val="20"/>
          <w:highlight w:val="none"/>
        </w:rPr>
      </w:pPr>
      <w:bookmarkStart w:id="0" w:name="_Toc21511"/>
      <w:r>
        <w:rPr>
          <w:rFonts w:hint="eastAsia" w:ascii="仿宋" w:hAnsi="仿宋" w:eastAsia="仿宋" w:cs="仿宋"/>
          <w:b/>
          <w:color w:val="auto"/>
          <w:sz w:val="36"/>
          <w:szCs w:val="20"/>
          <w:highlight w:val="none"/>
        </w:rPr>
        <w:t>第一部分  招标公告</w:t>
      </w:r>
      <w:bookmarkEnd w:id="0"/>
    </w:p>
    <w:p w14:paraId="4B5BE88F">
      <w:pPr>
        <w:widowControl/>
        <w:adjustRightInd/>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u w:val="single"/>
        </w:rPr>
        <w:t>浙江金穗工程项目管理有限公司</w:t>
      </w:r>
      <w:r>
        <w:rPr>
          <w:rFonts w:hint="eastAsia" w:ascii="仿宋" w:hAnsi="仿宋" w:eastAsia="仿宋" w:cs="仿宋"/>
          <w:b/>
          <w:bCs/>
          <w:color w:val="auto"/>
          <w:kern w:val="0"/>
          <w:sz w:val="28"/>
          <w:szCs w:val="28"/>
          <w:highlight w:val="none"/>
        </w:rPr>
        <w:t>关于</w:t>
      </w:r>
      <w:r>
        <w:rPr>
          <w:rFonts w:hint="eastAsia" w:ascii="仿宋" w:hAnsi="仿宋" w:eastAsia="仿宋" w:cs="仿宋"/>
          <w:b/>
          <w:bCs/>
          <w:color w:val="auto"/>
          <w:kern w:val="0"/>
          <w:sz w:val="28"/>
          <w:szCs w:val="28"/>
          <w:highlight w:val="none"/>
          <w:u w:val="single"/>
          <w:lang w:eastAsia="zh-CN"/>
        </w:rPr>
        <w:t>江心屿西园垃圾中转站除臭设备采购项目</w:t>
      </w:r>
      <w:r>
        <w:rPr>
          <w:rFonts w:hint="eastAsia" w:ascii="仿宋" w:hAnsi="仿宋" w:eastAsia="仿宋" w:cs="仿宋"/>
          <w:b/>
          <w:bCs/>
          <w:color w:val="auto"/>
          <w:kern w:val="0"/>
          <w:sz w:val="28"/>
          <w:szCs w:val="28"/>
          <w:highlight w:val="none"/>
        </w:rPr>
        <w:t>的公开招标公告</w:t>
      </w:r>
    </w:p>
    <w:tbl>
      <w:tblPr>
        <w:tblStyle w:val="58"/>
        <w:tblW w:w="0" w:type="auto"/>
        <w:tblInd w:w="10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612"/>
      </w:tblGrid>
      <w:tr w14:paraId="0704088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7" w:hRule="atLeast"/>
        </w:trPr>
        <w:tc>
          <w:tcPr>
            <w:tcW w:w="9612" w:type="dxa"/>
          </w:tcPr>
          <w:p w14:paraId="696D7324">
            <w:pPr>
              <w:widowControl/>
              <w:snapToGrid w:val="0"/>
              <w:spacing w:beforeLines="50"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项目概况</w:t>
            </w:r>
          </w:p>
          <w:p w14:paraId="0B990D1C">
            <w:pPr>
              <w:widowControl/>
              <w:snapToGrid w:val="0"/>
              <w:spacing w:line="360" w:lineRule="auto"/>
              <w:ind w:firstLine="480" w:firstLineChars="200"/>
              <w:jc w:val="left"/>
              <w:rPr>
                <w:rFonts w:hint="eastAsia" w:ascii="仿宋" w:hAnsi="仿宋" w:eastAsia="仿宋" w:cs="仿宋"/>
                <w:b/>
                <w:bCs/>
                <w:color w:val="auto"/>
                <w:kern w:val="0"/>
                <w:sz w:val="24"/>
                <w:highlight w:val="none"/>
              </w:rPr>
            </w:pPr>
            <w:r>
              <w:rPr>
                <w:rFonts w:hint="eastAsia" w:ascii="仿宋" w:hAnsi="仿宋" w:eastAsia="仿宋" w:cs="仿宋"/>
                <w:color w:val="auto"/>
                <w:kern w:val="0"/>
                <w:sz w:val="24"/>
                <w:highlight w:val="none"/>
                <w:u w:val="single"/>
                <w:lang w:eastAsia="zh-CN"/>
              </w:rPr>
              <w:t>江心屿西园垃圾中转站除臭设备采购项目</w:t>
            </w:r>
            <w:r>
              <w:rPr>
                <w:rFonts w:hint="eastAsia" w:ascii="仿宋" w:hAnsi="仿宋" w:eastAsia="仿宋" w:cs="仿宋"/>
                <w:color w:val="auto"/>
                <w:kern w:val="0"/>
                <w:sz w:val="24"/>
                <w:highlight w:val="none"/>
              </w:rPr>
              <w:t>的潜在投标人应在政采云平台https://www.zcygov.cn/获取（下载）招标文件，并于202</w:t>
            </w:r>
            <w:r>
              <w:rPr>
                <w:rFonts w:hint="eastAsia" w:ascii="仿宋" w:hAnsi="仿宋" w:eastAsia="仿宋" w:cs="仿宋"/>
                <w:bCs/>
                <w:color w:val="auto"/>
                <w:sz w:val="24"/>
                <w:highlight w:val="none"/>
                <w:u w:val="single"/>
                <w:lang w:val="en-US" w:eastAsia="zh-CN"/>
              </w:rPr>
              <w:t>4</w:t>
            </w:r>
            <w:r>
              <w:rPr>
                <w:rFonts w:hint="eastAsia" w:ascii="仿宋" w:hAnsi="仿宋" w:eastAsia="仿宋" w:cs="仿宋"/>
                <w:color w:val="auto"/>
                <w:kern w:val="0"/>
                <w:sz w:val="24"/>
                <w:highlight w:val="none"/>
              </w:rPr>
              <w:t>年</w:t>
            </w:r>
            <w:r>
              <w:rPr>
                <w:rFonts w:hint="eastAsia" w:ascii="仿宋" w:hAnsi="仿宋" w:eastAsia="仿宋" w:cs="仿宋"/>
                <w:bCs/>
                <w:color w:val="auto"/>
                <w:sz w:val="24"/>
                <w:highlight w:val="none"/>
                <w:u w:val="single"/>
                <w:lang w:val="en-US" w:eastAsia="zh-CN"/>
              </w:rPr>
              <w:t xml:space="preserve"> 12 </w:t>
            </w:r>
            <w:r>
              <w:rPr>
                <w:rFonts w:hint="eastAsia" w:ascii="仿宋" w:hAnsi="仿宋" w:eastAsia="仿宋" w:cs="仿宋"/>
                <w:color w:val="auto"/>
                <w:kern w:val="0"/>
                <w:sz w:val="24"/>
                <w:highlight w:val="none"/>
              </w:rPr>
              <w:t>月</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u w:val="single"/>
                <w:lang w:val="en-US" w:eastAsia="zh-CN"/>
              </w:rPr>
              <w:t>2</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kern w:val="0"/>
                <w:sz w:val="24"/>
                <w:highlight w:val="none"/>
              </w:rPr>
              <w:t>日</w:t>
            </w:r>
            <w:r>
              <w:rPr>
                <w:rFonts w:hint="eastAsia" w:ascii="仿宋" w:hAnsi="仿宋" w:eastAsia="仿宋" w:cs="仿宋"/>
                <w:bCs/>
                <w:color w:val="auto"/>
                <w:sz w:val="24"/>
                <w:highlight w:val="none"/>
                <w:u w:val="single"/>
                <w:lang w:val="en-US" w:eastAsia="zh-CN"/>
              </w:rPr>
              <w:t>09</w:t>
            </w:r>
            <w:r>
              <w:rPr>
                <w:rFonts w:hint="eastAsia" w:ascii="仿宋" w:hAnsi="仿宋" w:eastAsia="仿宋" w:cs="仿宋"/>
                <w:color w:val="auto"/>
                <w:kern w:val="0"/>
                <w:sz w:val="24"/>
                <w:highlight w:val="none"/>
              </w:rPr>
              <w:t>:</w:t>
            </w:r>
            <w:r>
              <w:rPr>
                <w:rFonts w:hint="eastAsia" w:ascii="仿宋" w:hAnsi="仿宋" w:eastAsia="仿宋" w:cs="仿宋"/>
                <w:bCs/>
                <w:color w:val="auto"/>
                <w:sz w:val="24"/>
                <w:highlight w:val="none"/>
                <w:u w:val="single"/>
                <w:lang w:val="en-US" w:eastAsia="zh-CN"/>
              </w:rPr>
              <w:t>30</w:t>
            </w:r>
            <w:r>
              <w:rPr>
                <w:rFonts w:hint="eastAsia" w:ascii="仿宋" w:hAnsi="仿宋" w:eastAsia="仿宋" w:cs="仿宋"/>
                <w:color w:val="auto"/>
                <w:kern w:val="0"/>
                <w:sz w:val="24"/>
                <w:highlight w:val="none"/>
              </w:rPr>
              <w:t>（北京时间）前递交（上传）投标文件。</w:t>
            </w:r>
          </w:p>
        </w:tc>
      </w:tr>
    </w:tbl>
    <w:p w14:paraId="2D22DE64">
      <w:pPr>
        <w:widowControl/>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一、项目基本情况</w:t>
      </w:r>
    </w:p>
    <w:p w14:paraId="1FCFDECE">
      <w:pPr>
        <w:widowControl/>
        <w:snapToGrid w:val="0"/>
        <w:spacing w:line="360" w:lineRule="auto"/>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项目编号：</w:t>
      </w:r>
      <w:r>
        <w:rPr>
          <w:rFonts w:hint="eastAsia" w:ascii="仿宋" w:hAnsi="仿宋" w:eastAsia="仿宋" w:cs="仿宋"/>
          <w:color w:val="auto"/>
          <w:kern w:val="0"/>
          <w:sz w:val="24"/>
          <w:highlight w:val="none"/>
          <w:u w:val="single"/>
          <w:lang w:val="en-US" w:eastAsia="zh-CN"/>
        </w:rPr>
        <w:t>ZJJS-20240142</w:t>
      </w:r>
    </w:p>
    <w:p w14:paraId="5F5510A4">
      <w:pPr>
        <w:widowControl/>
        <w:snapToGrid w:val="0"/>
        <w:spacing w:line="360" w:lineRule="auto"/>
        <w:jc w:val="lef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项目名称：</w:t>
      </w:r>
      <w:r>
        <w:rPr>
          <w:rFonts w:hint="eastAsia" w:ascii="仿宋" w:hAnsi="仿宋" w:eastAsia="仿宋" w:cs="仿宋"/>
          <w:color w:val="auto"/>
          <w:kern w:val="0"/>
          <w:sz w:val="24"/>
          <w:highlight w:val="none"/>
          <w:u w:val="single"/>
          <w:lang w:eastAsia="zh-CN"/>
        </w:rPr>
        <w:t>江心屿西园垃圾中转站除臭设备采购项目</w:t>
      </w:r>
    </w:p>
    <w:p w14:paraId="02EEEC5B">
      <w:pPr>
        <w:widowControl/>
        <w:snapToGrid w:val="0"/>
        <w:spacing w:line="360" w:lineRule="auto"/>
        <w:jc w:val="left"/>
        <w:rPr>
          <w:rFonts w:hint="eastAsia" w:ascii="仿宋" w:hAnsi="仿宋" w:eastAsia="仿宋" w:cs="仿宋"/>
          <w:color w:val="auto"/>
          <w:kern w:val="0"/>
          <w:sz w:val="24"/>
          <w:highlight w:val="none"/>
          <w:u w:val="single"/>
          <w:lang w:val="en-US" w:eastAsia="zh-CN"/>
        </w:rPr>
      </w:pPr>
      <w:r>
        <w:rPr>
          <w:rFonts w:hint="eastAsia" w:ascii="仿宋" w:hAnsi="仿宋" w:eastAsia="仿宋" w:cs="仿宋"/>
          <w:color w:val="auto"/>
          <w:kern w:val="0"/>
          <w:sz w:val="24"/>
          <w:highlight w:val="none"/>
        </w:rPr>
        <w:t>预算金额（元）：</w:t>
      </w:r>
      <w:r>
        <w:rPr>
          <w:rFonts w:hint="eastAsia" w:ascii="仿宋" w:hAnsi="仿宋" w:eastAsia="仿宋" w:cs="仿宋"/>
          <w:bCs/>
          <w:color w:val="auto"/>
          <w:sz w:val="24"/>
          <w:highlight w:val="none"/>
          <w:u w:val="single"/>
          <w:lang w:val="en-US" w:eastAsia="zh-CN"/>
        </w:rPr>
        <w:t>450000</w:t>
      </w:r>
    </w:p>
    <w:p w14:paraId="1CA65CB6">
      <w:pPr>
        <w:widowControl/>
        <w:snapToGrid w:val="0"/>
        <w:spacing w:line="360" w:lineRule="auto"/>
        <w:jc w:val="left"/>
        <w:rPr>
          <w:rFonts w:hint="eastAsia" w:ascii="仿宋" w:hAnsi="仿宋" w:eastAsia="仿宋" w:cs="仿宋"/>
          <w:color w:val="auto"/>
          <w:kern w:val="0"/>
          <w:sz w:val="24"/>
          <w:highlight w:val="none"/>
          <w:u w:val="single"/>
          <w:lang w:val="en-US" w:eastAsia="zh-CN"/>
        </w:rPr>
      </w:pPr>
      <w:r>
        <w:rPr>
          <w:rFonts w:hint="eastAsia" w:ascii="仿宋" w:hAnsi="仿宋" w:eastAsia="仿宋" w:cs="仿宋"/>
          <w:color w:val="auto"/>
          <w:kern w:val="0"/>
          <w:sz w:val="24"/>
          <w:highlight w:val="none"/>
        </w:rPr>
        <w:t>最高限价（元）：</w:t>
      </w:r>
      <w:r>
        <w:rPr>
          <w:rFonts w:hint="eastAsia" w:ascii="仿宋" w:hAnsi="仿宋" w:eastAsia="仿宋" w:cs="仿宋"/>
          <w:bCs/>
          <w:color w:val="auto"/>
          <w:sz w:val="24"/>
          <w:highlight w:val="none"/>
          <w:u w:val="single"/>
          <w:lang w:val="en-US" w:eastAsia="zh-CN"/>
        </w:rPr>
        <w:t>450000</w:t>
      </w:r>
    </w:p>
    <w:p w14:paraId="7249CE62">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采购需求：</w:t>
      </w:r>
    </w:p>
    <w:p w14:paraId="3BC1806D">
      <w:pPr>
        <w:widowControl/>
        <w:snapToGrid w:val="0"/>
        <w:spacing w:line="360" w:lineRule="auto"/>
        <w:ind w:left="420" w:leftChars="200"/>
        <w:jc w:val="left"/>
        <w:rPr>
          <w:rFonts w:hint="eastAsia" w:ascii="仿宋" w:hAnsi="仿宋" w:eastAsia="仿宋" w:cs="仿宋"/>
          <w:color w:val="auto"/>
          <w:kern w:val="0"/>
          <w:sz w:val="24"/>
          <w:highlight w:val="none"/>
          <w:u w:val="single"/>
          <w:lang w:eastAsia="zh-CN"/>
        </w:rPr>
      </w:pPr>
      <w:r>
        <w:rPr>
          <w:rFonts w:hint="eastAsia" w:ascii="仿宋" w:hAnsi="仿宋" w:eastAsia="仿宋" w:cs="仿宋"/>
          <w:color w:val="auto"/>
          <w:kern w:val="0"/>
          <w:sz w:val="24"/>
          <w:highlight w:val="none"/>
        </w:rPr>
        <w:t>标项名称:</w:t>
      </w:r>
      <w:r>
        <w:rPr>
          <w:rFonts w:hint="eastAsia" w:ascii="仿宋" w:hAnsi="仿宋" w:eastAsia="仿宋" w:cs="仿宋"/>
          <w:color w:val="auto"/>
          <w:kern w:val="0"/>
          <w:sz w:val="24"/>
          <w:highlight w:val="none"/>
          <w:u w:val="single"/>
          <w:lang w:eastAsia="zh-CN"/>
        </w:rPr>
        <w:t>江心屿西园垃圾中转站除臭设备采购项目</w:t>
      </w:r>
    </w:p>
    <w:p w14:paraId="2FEBCC6D">
      <w:pPr>
        <w:widowControl/>
        <w:snapToGrid w:val="0"/>
        <w:spacing w:line="360" w:lineRule="auto"/>
        <w:ind w:left="420" w:leftChars="200"/>
        <w:jc w:val="left"/>
        <w:rPr>
          <w:rFonts w:hint="eastAsia" w:ascii="仿宋" w:hAnsi="仿宋" w:eastAsia="仿宋" w:cs="仿宋"/>
          <w:bCs/>
          <w:color w:val="auto"/>
          <w:sz w:val="24"/>
          <w:highlight w:val="none"/>
          <w:u w:val="single"/>
          <w:lang w:eastAsia="zh-CN"/>
        </w:rPr>
      </w:pPr>
      <w:r>
        <w:rPr>
          <w:rFonts w:hint="eastAsia" w:ascii="仿宋" w:hAnsi="仿宋" w:eastAsia="仿宋" w:cs="仿宋"/>
          <w:color w:val="auto"/>
          <w:kern w:val="0"/>
          <w:sz w:val="24"/>
          <w:highlight w:val="none"/>
        </w:rPr>
        <w:t>数量:</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u w:val="single"/>
          <w:lang w:val="en-US" w:eastAsia="zh-CN"/>
        </w:rPr>
        <w:t>1</w:t>
      </w:r>
      <w:r>
        <w:rPr>
          <w:rFonts w:hint="eastAsia" w:ascii="仿宋" w:hAnsi="仿宋" w:eastAsia="仿宋" w:cs="仿宋"/>
          <w:bCs/>
          <w:color w:val="auto"/>
          <w:sz w:val="24"/>
          <w:highlight w:val="none"/>
          <w:u w:val="single"/>
        </w:rPr>
        <w:t xml:space="preserve"> </w:t>
      </w:r>
    </w:p>
    <w:p w14:paraId="47ACBA04">
      <w:pPr>
        <w:widowControl/>
        <w:snapToGrid w:val="0"/>
        <w:spacing w:line="360" w:lineRule="auto"/>
        <w:ind w:left="420" w:leftChars="200"/>
        <w:jc w:val="left"/>
        <w:rPr>
          <w:rFonts w:hint="eastAsia" w:ascii="仿宋" w:hAnsi="仿宋" w:eastAsia="仿宋" w:cs="仿宋"/>
          <w:bCs/>
          <w:color w:val="auto"/>
          <w:sz w:val="24"/>
          <w:highlight w:val="none"/>
          <w:u w:val="single"/>
          <w:lang w:eastAsia="zh-CN"/>
        </w:rPr>
      </w:pPr>
      <w:r>
        <w:rPr>
          <w:rFonts w:hint="eastAsia" w:ascii="仿宋" w:hAnsi="仿宋" w:eastAsia="仿宋" w:cs="仿宋"/>
          <w:color w:val="auto"/>
          <w:kern w:val="0"/>
          <w:sz w:val="24"/>
          <w:highlight w:val="none"/>
        </w:rPr>
        <w:t>预算金额（元）:</w:t>
      </w:r>
      <w:r>
        <w:rPr>
          <w:rFonts w:hint="eastAsia" w:ascii="仿宋" w:hAnsi="仿宋" w:eastAsia="仿宋" w:cs="仿宋"/>
          <w:bCs/>
          <w:color w:val="auto"/>
          <w:sz w:val="24"/>
          <w:highlight w:val="none"/>
          <w:u w:val="single"/>
          <w:lang w:val="en-US" w:eastAsia="zh-CN"/>
        </w:rPr>
        <w:t>450000</w:t>
      </w:r>
    </w:p>
    <w:p w14:paraId="424265AE">
      <w:pPr>
        <w:widowControl/>
        <w:snapToGrid w:val="0"/>
        <w:spacing w:line="360" w:lineRule="auto"/>
        <w:ind w:left="420" w:leftChars="200"/>
        <w:jc w:val="left"/>
        <w:rPr>
          <w:rFonts w:hint="eastAsia" w:ascii="仿宋" w:hAnsi="仿宋" w:eastAsia="仿宋" w:cs="仿宋"/>
          <w:bCs/>
          <w:color w:val="auto"/>
          <w:sz w:val="24"/>
          <w:highlight w:val="none"/>
          <w:u w:val="single"/>
          <w:lang w:eastAsia="zh-CN"/>
        </w:rPr>
      </w:pPr>
      <w:r>
        <w:rPr>
          <w:rFonts w:hint="eastAsia" w:ascii="仿宋" w:hAnsi="仿宋" w:eastAsia="仿宋" w:cs="仿宋"/>
          <w:color w:val="auto"/>
          <w:kern w:val="0"/>
          <w:sz w:val="24"/>
          <w:highlight w:val="none"/>
        </w:rPr>
        <w:t>简要规格描述或项目基本概况介绍、用途：</w:t>
      </w:r>
      <w:r>
        <w:rPr>
          <w:rFonts w:hint="eastAsia" w:ascii="仿宋" w:hAnsi="仿宋" w:eastAsia="仿宋" w:cs="仿宋"/>
          <w:bCs/>
          <w:color w:val="auto"/>
          <w:sz w:val="24"/>
          <w:highlight w:val="none"/>
          <w:u w:val="single"/>
          <w:lang w:eastAsia="zh-CN"/>
        </w:rPr>
        <w:t>除臭系统一套，详见</w:t>
      </w:r>
      <w:r>
        <w:rPr>
          <w:rFonts w:hint="eastAsia" w:ascii="仿宋" w:hAnsi="仿宋" w:eastAsia="仿宋" w:cs="仿宋"/>
          <w:bCs/>
          <w:color w:val="auto"/>
          <w:sz w:val="24"/>
          <w:highlight w:val="none"/>
          <w:u w:val="single"/>
        </w:rPr>
        <w:t>第三部分采购需求</w:t>
      </w:r>
    </w:p>
    <w:p w14:paraId="4B2ABE1F">
      <w:pPr>
        <w:widowControl/>
        <w:snapToGrid w:val="0"/>
        <w:spacing w:line="360" w:lineRule="auto"/>
        <w:ind w:left="420" w:leftChars="200"/>
        <w:jc w:val="left"/>
        <w:rPr>
          <w:rFonts w:hint="eastAsia" w:ascii="仿宋" w:hAnsi="仿宋" w:eastAsia="仿宋" w:cs="仿宋"/>
          <w:bCs/>
          <w:color w:val="auto"/>
          <w:sz w:val="24"/>
          <w:highlight w:val="none"/>
          <w:u w:val="single"/>
          <w:lang w:eastAsia="zh-CN"/>
        </w:rPr>
      </w:pPr>
      <w:r>
        <w:rPr>
          <w:rFonts w:hint="eastAsia" w:ascii="仿宋" w:hAnsi="仿宋" w:eastAsia="仿宋" w:cs="仿宋"/>
          <w:color w:val="auto"/>
          <w:kern w:val="0"/>
          <w:sz w:val="24"/>
          <w:highlight w:val="none"/>
        </w:rPr>
        <w:t>备注：</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u w:val="single"/>
          <w:lang w:val="en-US" w:eastAsia="zh-CN"/>
        </w:rPr>
        <w:t xml:space="preserve"> / </w:t>
      </w:r>
      <w:r>
        <w:rPr>
          <w:rFonts w:hint="eastAsia" w:ascii="仿宋" w:hAnsi="仿宋" w:eastAsia="仿宋" w:cs="仿宋"/>
          <w:bCs/>
          <w:color w:val="auto"/>
          <w:sz w:val="24"/>
          <w:highlight w:val="none"/>
          <w:u w:val="single"/>
        </w:rPr>
        <w:t xml:space="preserve"> </w:t>
      </w:r>
    </w:p>
    <w:p w14:paraId="41D4226F">
      <w:pPr>
        <w:widowControl/>
        <w:snapToGrid w:val="0"/>
        <w:spacing w:line="360" w:lineRule="auto"/>
        <w:ind w:left="420" w:leftChars="200"/>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合同履约期限：标项</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u w:val="single"/>
          <w:lang w:val="en-US" w:eastAsia="zh-CN"/>
        </w:rPr>
        <w:t>1</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u w:val="single"/>
        </w:rPr>
        <w:t>合同签订后</w:t>
      </w:r>
      <w:r>
        <w:rPr>
          <w:rFonts w:hint="eastAsia" w:ascii="仿宋" w:hAnsi="仿宋" w:eastAsia="仿宋" w:cs="仿宋"/>
          <w:color w:val="auto"/>
          <w:kern w:val="0"/>
          <w:sz w:val="24"/>
          <w:highlight w:val="none"/>
          <w:u w:val="single"/>
          <w:lang w:val="en-US" w:eastAsia="zh-CN"/>
        </w:rPr>
        <w:t>20</w:t>
      </w:r>
      <w:r>
        <w:rPr>
          <w:rFonts w:hint="eastAsia" w:ascii="仿宋" w:hAnsi="仿宋" w:eastAsia="仿宋" w:cs="仿宋"/>
          <w:color w:val="auto"/>
          <w:kern w:val="0"/>
          <w:sz w:val="24"/>
          <w:highlight w:val="none"/>
          <w:u w:val="single"/>
        </w:rPr>
        <w:t>个工作日内</w:t>
      </w:r>
      <w:r>
        <w:rPr>
          <w:rFonts w:hint="eastAsia" w:ascii="仿宋" w:hAnsi="仿宋" w:eastAsia="仿宋" w:cs="仿宋"/>
          <w:color w:val="auto"/>
          <w:kern w:val="0"/>
          <w:sz w:val="24"/>
          <w:highlight w:val="none"/>
          <w:u w:val="single"/>
          <w:lang w:eastAsia="zh-CN"/>
        </w:rPr>
        <w:t>完成安装调试工作</w:t>
      </w:r>
      <w:r>
        <w:rPr>
          <w:rFonts w:hint="eastAsia" w:ascii="仿宋" w:hAnsi="仿宋" w:eastAsia="仿宋" w:cs="仿宋"/>
          <w:color w:val="auto"/>
          <w:kern w:val="0"/>
          <w:sz w:val="24"/>
          <w:highlight w:val="none"/>
          <w:u w:val="single"/>
        </w:rPr>
        <w:t>。</w:t>
      </w:r>
    </w:p>
    <w:p w14:paraId="6739B6A9">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本项目</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u w:val="single"/>
          <w:lang w:eastAsia="zh-CN"/>
        </w:rPr>
        <w:t>是</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接受联合体投标。</w:t>
      </w:r>
    </w:p>
    <w:p w14:paraId="546D9C2A">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二、申请人的资格要求</w:t>
      </w:r>
    </w:p>
    <w:p w14:paraId="579EE98D">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665773A8">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.若为联合体投标的，提供联合协议</w:t>
      </w:r>
      <w:r>
        <w:rPr>
          <w:rFonts w:hint="eastAsia" w:ascii="仿宋" w:hAnsi="仿宋" w:eastAsia="仿宋" w:cs="仿宋"/>
          <w:color w:val="auto"/>
          <w:kern w:val="0"/>
          <w:sz w:val="24"/>
          <w:highlight w:val="none"/>
          <w:lang w:eastAsia="zh-CN"/>
        </w:rPr>
        <w:t>书，且</w:t>
      </w:r>
      <w:r>
        <w:rPr>
          <w:rFonts w:hint="eastAsia" w:ascii="仿宋" w:hAnsi="仿宋" w:eastAsia="仿宋" w:cs="仿宋"/>
          <w:color w:val="auto"/>
          <w:kern w:val="0"/>
          <w:sz w:val="24"/>
          <w:highlight w:val="none"/>
        </w:rPr>
        <w:t>联合体其中一家必须为小微企业，联合体成员总数（含牵头人）不超过2家；联合体协议中须明确联合体牵头人；</w:t>
      </w:r>
    </w:p>
    <w:p w14:paraId="22C38D52">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.落实政府采购政策需满足的资格要求：专门面向中小企业</w:t>
      </w:r>
      <w:r>
        <w:rPr>
          <w:rFonts w:hint="eastAsia" w:ascii="仿宋" w:hAnsi="仿宋" w:eastAsia="仿宋" w:cs="仿宋"/>
          <w:color w:val="auto"/>
          <w:kern w:val="0"/>
          <w:sz w:val="24"/>
          <w:highlight w:val="none"/>
          <w:lang w:eastAsia="zh-CN"/>
        </w:rPr>
        <w:t>（货物全部由符合政策要求的中小企业制造，提供中小企业声明函）</w:t>
      </w:r>
      <w:r>
        <w:rPr>
          <w:rFonts w:hint="eastAsia" w:ascii="仿宋" w:hAnsi="仿宋" w:eastAsia="仿宋" w:cs="仿宋"/>
          <w:color w:val="auto"/>
          <w:kern w:val="0"/>
          <w:sz w:val="24"/>
          <w:highlight w:val="none"/>
        </w:rPr>
        <w:t>。</w:t>
      </w:r>
    </w:p>
    <w:p w14:paraId="6671E3ED">
      <w:pPr>
        <w:widowControl/>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三、获取招标文件</w:t>
      </w:r>
    </w:p>
    <w:p w14:paraId="46811A2D">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时间：/至202</w:t>
      </w:r>
      <w:r>
        <w:rPr>
          <w:rFonts w:hint="eastAsia" w:ascii="仿宋" w:hAnsi="仿宋" w:eastAsia="仿宋" w:cs="仿宋"/>
          <w:bCs/>
          <w:color w:val="auto"/>
          <w:sz w:val="24"/>
          <w:highlight w:val="none"/>
          <w:u w:val="single"/>
          <w:lang w:val="en-US" w:eastAsia="zh-CN"/>
        </w:rPr>
        <w:t>4</w:t>
      </w:r>
      <w:r>
        <w:rPr>
          <w:rFonts w:hint="eastAsia" w:ascii="仿宋" w:hAnsi="仿宋" w:eastAsia="仿宋" w:cs="仿宋"/>
          <w:color w:val="auto"/>
          <w:kern w:val="0"/>
          <w:sz w:val="24"/>
          <w:highlight w:val="none"/>
        </w:rPr>
        <w:t>年</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u w:val="single"/>
          <w:lang w:val="en-US" w:eastAsia="zh-CN"/>
        </w:rPr>
        <w:t xml:space="preserve">12 </w:t>
      </w:r>
      <w:r>
        <w:rPr>
          <w:rFonts w:hint="eastAsia" w:ascii="仿宋" w:hAnsi="仿宋" w:eastAsia="仿宋" w:cs="仿宋"/>
          <w:color w:val="auto"/>
          <w:kern w:val="0"/>
          <w:sz w:val="24"/>
          <w:highlight w:val="none"/>
        </w:rPr>
        <w:t>月</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u w:val="single"/>
          <w:lang w:val="en-US" w:eastAsia="zh-CN"/>
        </w:rPr>
        <w:t>2</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kern w:val="0"/>
          <w:sz w:val="24"/>
          <w:highlight w:val="none"/>
        </w:rPr>
        <w:t>日，每天上午00:00至12:00，下午12:00至23:59（北京时间，线上获取法定节假日均可，线下获取文件法定节假日除外）</w:t>
      </w:r>
    </w:p>
    <w:p w14:paraId="3C600329">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地点（网址）：政采云平台https://www.zcygov.cn/</w:t>
      </w:r>
    </w:p>
    <w:p w14:paraId="465388AA">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方式：投标人登录政采云平台https://www.zcygov.cn/在线申请获取招标文件（进入“项目采购”应用，在获取招标文件菜单中选择项目，申请获取招标文件）</w:t>
      </w:r>
    </w:p>
    <w:p w14:paraId="2ECC3A60">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售价（元）：0</w:t>
      </w:r>
    </w:p>
    <w:p w14:paraId="329ED89B">
      <w:pPr>
        <w:widowControl/>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四、提交投标文件截止时间、开标时间和地点</w:t>
      </w:r>
    </w:p>
    <w:p w14:paraId="4ACE5DF3">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提交投标文件截止时间：202</w:t>
      </w:r>
      <w:r>
        <w:rPr>
          <w:rFonts w:hint="eastAsia" w:ascii="仿宋" w:hAnsi="仿宋" w:eastAsia="仿宋" w:cs="仿宋"/>
          <w:bCs/>
          <w:color w:val="auto"/>
          <w:sz w:val="24"/>
          <w:highlight w:val="none"/>
          <w:u w:val="single"/>
          <w:lang w:val="en-US" w:eastAsia="zh-CN"/>
        </w:rPr>
        <w:t>4</w:t>
      </w:r>
      <w:r>
        <w:rPr>
          <w:rFonts w:hint="eastAsia" w:ascii="仿宋" w:hAnsi="仿宋" w:eastAsia="仿宋" w:cs="仿宋"/>
          <w:color w:val="auto"/>
          <w:kern w:val="0"/>
          <w:sz w:val="24"/>
          <w:highlight w:val="none"/>
        </w:rPr>
        <w:t>年</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u w:val="single"/>
          <w:lang w:val="en-US" w:eastAsia="zh-CN"/>
        </w:rPr>
        <w:t xml:space="preserve">12 </w:t>
      </w:r>
      <w:r>
        <w:rPr>
          <w:rFonts w:hint="eastAsia" w:ascii="仿宋" w:hAnsi="仿宋" w:eastAsia="仿宋" w:cs="仿宋"/>
          <w:color w:val="auto"/>
          <w:kern w:val="0"/>
          <w:sz w:val="24"/>
          <w:highlight w:val="none"/>
        </w:rPr>
        <w:t>月</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u w:val="single"/>
          <w:lang w:val="en-US" w:eastAsia="zh-CN"/>
        </w:rPr>
        <w:t>2</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kern w:val="0"/>
          <w:sz w:val="24"/>
          <w:highlight w:val="none"/>
        </w:rPr>
        <w:t>日</w:t>
      </w:r>
      <w:r>
        <w:rPr>
          <w:rFonts w:hint="eastAsia" w:ascii="仿宋" w:hAnsi="仿宋" w:eastAsia="仿宋" w:cs="仿宋"/>
          <w:color w:val="auto"/>
          <w:kern w:val="0"/>
          <w:sz w:val="24"/>
          <w:highlight w:val="none"/>
          <w:u w:val="single"/>
          <w:lang w:val="en-US" w:eastAsia="zh-CN"/>
        </w:rPr>
        <w:t>09</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u w:val="single"/>
          <w:lang w:val="en-US" w:eastAsia="zh-CN"/>
        </w:rPr>
        <w:t>30</w:t>
      </w:r>
      <w:r>
        <w:rPr>
          <w:rFonts w:hint="eastAsia" w:ascii="仿宋" w:hAnsi="仿宋" w:eastAsia="仿宋" w:cs="仿宋"/>
          <w:color w:val="auto"/>
          <w:kern w:val="0"/>
          <w:sz w:val="24"/>
          <w:highlight w:val="none"/>
        </w:rPr>
        <w:t>（北京时间）</w:t>
      </w:r>
    </w:p>
    <w:p w14:paraId="5E5FF74E">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投标地点（网址）：政采云平台（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 </w:instrText>
      </w:r>
      <w:r>
        <w:rPr>
          <w:rFonts w:hint="eastAsia" w:ascii="仿宋" w:hAnsi="仿宋" w:eastAsia="仿宋" w:cs="仿宋"/>
          <w:color w:val="auto"/>
          <w:highlight w:val="none"/>
        </w:rPr>
        <w:fldChar w:fldCharType="separate"/>
      </w:r>
      <w:r>
        <w:rPr>
          <w:rStyle w:val="71"/>
          <w:rFonts w:hint="eastAsia" w:ascii="仿宋" w:hAnsi="仿宋" w:eastAsia="仿宋" w:cs="仿宋"/>
          <w:color w:val="auto"/>
          <w:kern w:val="0"/>
          <w:sz w:val="24"/>
          <w:highlight w:val="none"/>
        </w:rPr>
        <w:t>https://www.zcygov.cn/）</w:t>
      </w:r>
      <w:r>
        <w:rPr>
          <w:rStyle w:val="71"/>
          <w:rFonts w:hint="eastAsia" w:ascii="仿宋" w:hAnsi="仿宋" w:eastAsia="仿宋" w:cs="仿宋"/>
          <w:color w:val="auto"/>
          <w:kern w:val="0"/>
          <w:sz w:val="24"/>
          <w:highlight w:val="none"/>
        </w:rPr>
        <w:fldChar w:fldCharType="end"/>
      </w:r>
    </w:p>
    <w:p w14:paraId="25DD8785">
      <w:pPr>
        <w:widowControl/>
        <w:snapToGrid w:val="0"/>
        <w:spacing w:line="360" w:lineRule="auto"/>
        <w:jc w:val="left"/>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开标时间：202</w:t>
      </w:r>
      <w:r>
        <w:rPr>
          <w:rFonts w:hint="eastAsia" w:ascii="仿宋" w:hAnsi="仿宋" w:eastAsia="仿宋" w:cs="仿宋"/>
          <w:bCs/>
          <w:color w:val="auto"/>
          <w:sz w:val="24"/>
          <w:highlight w:val="none"/>
          <w:u w:val="single"/>
          <w:lang w:val="en-US" w:eastAsia="zh-CN"/>
        </w:rPr>
        <w:t>4</w:t>
      </w:r>
      <w:r>
        <w:rPr>
          <w:rFonts w:hint="eastAsia" w:ascii="仿宋" w:hAnsi="仿宋" w:eastAsia="仿宋" w:cs="仿宋"/>
          <w:color w:val="auto"/>
          <w:kern w:val="0"/>
          <w:sz w:val="24"/>
          <w:highlight w:val="none"/>
        </w:rPr>
        <w:t>年</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u w:val="single"/>
          <w:lang w:val="en-US" w:eastAsia="zh-CN"/>
        </w:rPr>
        <w:t>12</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kern w:val="0"/>
          <w:sz w:val="24"/>
          <w:highlight w:val="none"/>
        </w:rPr>
        <w:t>月</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u w:val="single"/>
          <w:lang w:val="en-US" w:eastAsia="zh-CN"/>
        </w:rPr>
        <w:t>2</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kern w:val="0"/>
          <w:sz w:val="24"/>
          <w:highlight w:val="none"/>
        </w:rPr>
        <w:t>日</w:t>
      </w:r>
      <w:r>
        <w:rPr>
          <w:rFonts w:hint="eastAsia" w:ascii="仿宋" w:hAnsi="仿宋" w:eastAsia="仿宋" w:cs="仿宋"/>
          <w:color w:val="auto"/>
          <w:kern w:val="0"/>
          <w:sz w:val="24"/>
          <w:highlight w:val="none"/>
          <w:u w:val="single"/>
          <w:lang w:val="en-US" w:eastAsia="zh-CN"/>
        </w:rPr>
        <w:t>09</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u w:val="single"/>
          <w:lang w:val="en-US" w:eastAsia="zh-CN"/>
        </w:rPr>
        <w:t>30</w:t>
      </w:r>
    </w:p>
    <w:p w14:paraId="67A07201">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开标地点（网址）：政采云平台（</w:t>
      </w:r>
      <w:r>
        <w:rPr>
          <w:rFonts w:hint="eastAsia" w:ascii="仿宋" w:hAnsi="仿宋" w:eastAsia="仿宋" w:cs="仿宋"/>
          <w:color w:val="auto"/>
          <w:kern w:val="0"/>
          <w:sz w:val="24"/>
          <w:highlight w:val="none"/>
          <w:u w:val="single"/>
        </w:rPr>
        <w:t>https://www.zcygov.cn/</w:t>
      </w:r>
      <w:r>
        <w:rPr>
          <w:rFonts w:hint="eastAsia" w:ascii="仿宋" w:hAnsi="仿宋" w:eastAsia="仿宋" w:cs="仿宋"/>
          <w:color w:val="auto"/>
          <w:kern w:val="0"/>
          <w:sz w:val="24"/>
          <w:highlight w:val="none"/>
        </w:rPr>
        <w:t>）</w:t>
      </w:r>
    </w:p>
    <w:p w14:paraId="0665E22B">
      <w:pPr>
        <w:widowControl/>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lang w:eastAsia="zh-CN"/>
        </w:rPr>
        <w:t>五</w:t>
      </w:r>
      <w:r>
        <w:rPr>
          <w:rFonts w:hint="eastAsia" w:ascii="仿宋" w:hAnsi="仿宋" w:eastAsia="仿宋" w:cs="仿宋"/>
          <w:b/>
          <w:bCs/>
          <w:color w:val="auto"/>
          <w:kern w:val="0"/>
          <w:sz w:val="24"/>
          <w:highlight w:val="none"/>
        </w:rPr>
        <w:t>、公告期限</w:t>
      </w:r>
    </w:p>
    <w:p w14:paraId="52E338F5">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自本公告发布之日起5个工作日。</w:t>
      </w:r>
    </w:p>
    <w:p w14:paraId="36D1763E">
      <w:pPr>
        <w:widowControl/>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lang w:eastAsia="zh-CN"/>
        </w:rPr>
        <w:t>六</w:t>
      </w:r>
      <w:r>
        <w:rPr>
          <w:rFonts w:hint="eastAsia" w:ascii="仿宋" w:hAnsi="仿宋" w:eastAsia="仿宋" w:cs="仿宋"/>
          <w:b/>
          <w:bCs/>
          <w:color w:val="auto"/>
          <w:kern w:val="0"/>
          <w:sz w:val="24"/>
          <w:highlight w:val="none"/>
        </w:rPr>
        <w:t>、其他补充事宜</w:t>
      </w:r>
    </w:p>
    <w:p w14:paraId="2EBD84D2">
      <w:pPr>
        <w:widowControl/>
        <w:snapToGrid w:val="0"/>
        <w:spacing w:line="360" w:lineRule="auto"/>
        <w:jc w:val="lef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1.投标人认为招标文件使自己的权益受到损害的，可以自获取招标文件之日或者招标公告期限届满之日（公告期限届满后获取招标文件的，以公告期限届满之日为准）起7个工作日内，对招标文件需求的以书面形式向采购人提出质疑，对其他内容的以书面形式向采购人和采购代理机构提出质疑。质疑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9304AFC">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2.其他事项：</w:t>
      </w:r>
    </w:p>
    <w:p w14:paraId="7285A82C">
      <w:pPr>
        <w:widowControl/>
        <w:snapToGrid w:val="0"/>
        <w:spacing w:line="360" w:lineRule="auto"/>
        <w:jc w:val="left"/>
        <w:rPr>
          <w:rFonts w:hint="eastAsia" w:ascii="仿宋" w:hAnsi="仿宋" w:eastAsia="仿宋" w:cs="仿宋"/>
          <w:iCs/>
          <w:color w:val="auto"/>
          <w:kern w:val="0"/>
          <w:sz w:val="24"/>
          <w:highlight w:val="none"/>
          <w:u w:val="single"/>
        </w:rPr>
      </w:pPr>
      <w:r>
        <w:rPr>
          <w:rFonts w:hint="eastAsia" w:ascii="仿宋" w:hAnsi="仿宋" w:eastAsia="仿宋" w:cs="仿宋"/>
          <w:iCs/>
          <w:color w:val="auto"/>
          <w:kern w:val="0"/>
          <w:sz w:val="24"/>
          <w:highlight w:val="none"/>
          <w:u w:val="single"/>
        </w:rPr>
        <w:t>（1）电子招投标：本项目以数据电文形式，依托“政采云平台（www.zcygov.cn）”进行招投标活动，各供应商应按照本项目采购文件和政采云平台的要求编制、加密并递交投标文件，不接受纸质投标文件。</w:t>
      </w:r>
    </w:p>
    <w:p w14:paraId="139D0837">
      <w:pPr>
        <w:widowControl/>
        <w:snapToGrid w:val="0"/>
        <w:spacing w:line="360" w:lineRule="auto"/>
        <w:jc w:val="left"/>
        <w:rPr>
          <w:rFonts w:hint="eastAsia" w:ascii="仿宋" w:hAnsi="仿宋" w:eastAsia="仿宋" w:cs="仿宋"/>
          <w:iCs/>
          <w:color w:val="auto"/>
          <w:kern w:val="0"/>
          <w:sz w:val="24"/>
          <w:highlight w:val="none"/>
          <w:u w:val="single"/>
        </w:rPr>
      </w:pPr>
      <w:r>
        <w:rPr>
          <w:rFonts w:hint="eastAsia" w:ascii="仿宋" w:hAnsi="仿宋" w:eastAsia="仿宋" w:cs="仿宋"/>
          <w:iCs/>
          <w:color w:val="auto"/>
          <w:kern w:val="0"/>
          <w:sz w:val="24"/>
          <w:highlight w:val="none"/>
          <w:u w:val="single"/>
        </w:rPr>
        <w:t>（2）投标准备：</w:t>
      </w:r>
    </w:p>
    <w:p w14:paraId="39F4A1F4">
      <w:pPr>
        <w:widowControl/>
        <w:snapToGrid w:val="0"/>
        <w:spacing w:line="360" w:lineRule="auto"/>
        <w:jc w:val="left"/>
        <w:rPr>
          <w:rFonts w:hint="eastAsia" w:ascii="仿宋" w:hAnsi="仿宋" w:eastAsia="仿宋" w:cs="仿宋"/>
          <w:iCs/>
          <w:color w:val="auto"/>
          <w:kern w:val="0"/>
          <w:sz w:val="24"/>
          <w:highlight w:val="none"/>
          <w:u w:val="single"/>
        </w:rPr>
      </w:pPr>
      <w:r>
        <w:rPr>
          <w:rFonts w:hint="eastAsia" w:ascii="仿宋" w:hAnsi="仿宋" w:eastAsia="仿宋" w:cs="仿宋"/>
          <w:iCs/>
          <w:color w:val="auto"/>
          <w:kern w:val="0"/>
          <w:sz w:val="24"/>
          <w:highlight w:val="none"/>
          <w:u w:val="single"/>
        </w:rPr>
        <w:t>1)注册账号--点击“商家入驻”，进行政府采购供应商资料填写，通过审核后可成为正式供应商；</w:t>
      </w:r>
    </w:p>
    <w:p w14:paraId="6EF30806">
      <w:pPr>
        <w:widowControl/>
        <w:snapToGrid w:val="0"/>
        <w:spacing w:line="360" w:lineRule="auto"/>
        <w:jc w:val="left"/>
        <w:rPr>
          <w:rFonts w:hint="eastAsia" w:ascii="仿宋" w:hAnsi="仿宋" w:eastAsia="仿宋" w:cs="仿宋"/>
          <w:iCs/>
          <w:color w:val="auto"/>
          <w:kern w:val="0"/>
          <w:sz w:val="24"/>
          <w:highlight w:val="none"/>
          <w:u w:val="single"/>
          <w:lang w:eastAsia="zh-CN"/>
        </w:rPr>
      </w:pPr>
      <w:r>
        <w:rPr>
          <w:rFonts w:hint="eastAsia" w:ascii="仿宋" w:hAnsi="仿宋" w:eastAsia="仿宋" w:cs="仿宋"/>
          <w:iCs/>
          <w:color w:val="auto"/>
          <w:kern w:val="0"/>
          <w:sz w:val="24"/>
          <w:highlight w:val="none"/>
          <w:u w:val="single"/>
        </w:rPr>
        <w:t>2)申领CA数字证书---申领流程详见“浙江政府采购网-下载专区-电子交易客户端-CA驱动和申领流程”：供应商应在开标前完成CA数字证书办理，完成CA数字证书办理预计1-2周左右，各供应商应充分考虑办理时间等因素</w:t>
      </w:r>
      <w:r>
        <w:rPr>
          <w:rFonts w:hint="eastAsia" w:ascii="仿宋" w:hAnsi="仿宋" w:eastAsia="仿宋" w:cs="仿宋"/>
          <w:iCs/>
          <w:color w:val="auto"/>
          <w:kern w:val="0"/>
          <w:sz w:val="24"/>
          <w:highlight w:val="none"/>
          <w:u w:val="single"/>
          <w:lang w:eastAsia="zh-CN"/>
        </w:rPr>
        <w:t>；</w:t>
      </w:r>
    </w:p>
    <w:p w14:paraId="61CDC3A3">
      <w:pPr>
        <w:widowControl/>
        <w:snapToGrid w:val="0"/>
        <w:spacing w:line="360" w:lineRule="auto"/>
        <w:jc w:val="left"/>
        <w:rPr>
          <w:rFonts w:hint="eastAsia" w:ascii="仿宋" w:hAnsi="仿宋" w:eastAsia="仿宋" w:cs="仿宋"/>
          <w:iCs/>
          <w:color w:val="auto"/>
          <w:kern w:val="0"/>
          <w:sz w:val="24"/>
          <w:highlight w:val="none"/>
          <w:u w:val="single"/>
          <w:lang w:eastAsia="zh-CN"/>
        </w:rPr>
      </w:pPr>
      <w:r>
        <w:rPr>
          <w:rFonts w:hint="eastAsia" w:ascii="仿宋" w:hAnsi="仿宋" w:eastAsia="仿宋" w:cs="仿宋"/>
          <w:iCs/>
          <w:color w:val="auto"/>
          <w:kern w:val="0"/>
          <w:sz w:val="24"/>
          <w:highlight w:val="none"/>
          <w:u w:val="single"/>
        </w:rPr>
        <w:t>办理流程详见:《CA证书办理操作指南》https://helpcenter.zcygov.cn/document/#/document/detail?siteCode=beijing&amp;manualId=795&amp;topicId=4081</w:t>
      </w:r>
      <w:r>
        <w:rPr>
          <w:rFonts w:hint="eastAsia" w:ascii="仿宋" w:hAnsi="仿宋" w:eastAsia="仿宋" w:cs="仿宋"/>
          <w:iCs/>
          <w:color w:val="auto"/>
          <w:kern w:val="0"/>
          <w:sz w:val="24"/>
          <w:highlight w:val="none"/>
          <w:u w:val="single"/>
          <w:lang w:eastAsia="zh-CN"/>
        </w:rPr>
        <w:t>；</w:t>
      </w:r>
    </w:p>
    <w:p w14:paraId="3422B329">
      <w:pPr>
        <w:widowControl/>
        <w:snapToGrid w:val="0"/>
        <w:spacing w:line="360" w:lineRule="auto"/>
        <w:jc w:val="left"/>
        <w:rPr>
          <w:rFonts w:hint="eastAsia" w:ascii="仿宋" w:hAnsi="仿宋" w:eastAsia="仿宋" w:cs="仿宋"/>
          <w:iCs/>
          <w:color w:val="auto"/>
          <w:kern w:val="0"/>
          <w:sz w:val="24"/>
          <w:highlight w:val="none"/>
          <w:u w:val="single"/>
          <w:lang w:eastAsia="zh-CN"/>
        </w:rPr>
      </w:pPr>
      <w:r>
        <w:rPr>
          <w:rFonts w:hint="eastAsia" w:ascii="仿宋" w:hAnsi="仿宋" w:eastAsia="仿宋" w:cs="仿宋"/>
          <w:iCs/>
          <w:color w:val="auto"/>
          <w:kern w:val="0"/>
          <w:sz w:val="24"/>
          <w:highlight w:val="none"/>
          <w:u w:val="single"/>
        </w:rPr>
        <w:t>3)安装“政采云电子交易客户端”----供应商通过政采云平台电子投标工具制作投标文件，前往“浙江政府采购网-下载专区-电子交易客户端”进行下载并安装。政采云电子交易客户端：https://customer.zcygov.cn/CA-driver-download</w:t>
      </w:r>
      <w:r>
        <w:rPr>
          <w:rFonts w:hint="eastAsia" w:ascii="仿宋" w:hAnsi="仿宋" w:eastAsia="仿宋" w:cs="仿宋"/>
          <w:iCs/>
          <w:color w:val="auto"/>
          <w:kern w:val="0"/>
          <w:sz w:val="24"/>
          <w:highlight w:val="none"/>
          <w:u w:val="single"/>
          <w:lang w:eastAsia="zh-CN"/>
        </w:rPr>
        <w:t>。</w:t>
      </w:r>
    </w:p>
    <w:p w14:paraId="3A8EF9F5">
      <w:pPr>
        <w:widowControl/>
        <w:snapToGrid w:val="0"/>
        <w:spacing w:line="360" w:lineRule="auto"/>
        <w:jc w:val="left"/>
        <w:rPr>
          <w:rFonts w:hint="eastAsia" w:ascii="仿宋" w:hAnsi="仿宋" w:eastAsia="仿宋" w:cs="仿宋"/>
          <w:iCs/>
          <w:color w:val="auto"/>
          <w:kern w:val="0"/>
          <w:sz w:val="24"/>
          <w:highlight w:val="none"/>
          <w:u w:val="single"/>
        </w:rPr>
      </w:pPr>
      <w:r>
        <w:rPr>
          <w:rFonts w:hint="eastAsia" w:ascii="仿宋" w:hAnsi="仿宋" w:eastAsia="仿宋" w:cs="仿宋"/>
          <w:iCs/>
          <w:color w:val="auto"/>
          <w:kern w:val="0"/>
          <w:sz w:val="24"/>
          <w:highlight w:val="none"/>
          <w:u w:val="single"/>
        </w:rPr>
        <w:t>（3）招标文件的获取：使用账号登录或者使用CA登录政采云平台（非政府采购）；进入“项目采购”应用，在获取采购文件菜单中选择项目，获取招标文件。</w:t>
      </w:r>
    </w:p>
    <w:p w14:paraId="220C8407">
      <w:pPr>
        <w:widowControl/>
        <w:snapToGrid w:val="0"/>
        <w:spacing w:line="360" w:lineRule="auto"/>
        <w:jc w:val="left"/>
        <w:rPr>
          <w:rFonts w:hint="eastAsia" w:ascii="仿宋" w:hAnsi="仿宋" w:eastAsia="仿宋" w:cs="仿宋"/>
          <w:iCs/>
          <w:color w:val="auto"/>
          <w:kern w:val="0"/>
          <w:sz w:val="24"/>
          <w:highlight w:val="none"/>
          <w:u w:val="single"/>
        </w:rPr>
      </w:pPr>
      <w:r>
        <w:rPr>
          <w:rFonts w:hint="eastAsia" w:ascii="仿宋" w:hAnsi="仿宋" w:eastAsia="仿宋" w:cs="仿宋"/>
          <w:iCs/>
          <w:color w:val="auto"/>
          <w:kern w:val="0"/>
          <w:sz w:val="24"/>
          <w:highlight w:val="none"/>
          <w:u w:val="single"/>
        </w:rPr>
        <w:t>（4）投标文件的制作：在“政采云电子交易客户端”中完成“填写基本信息”、“导入投标文件”、“标书关联”、“标书检查”、“电子签名”、“生成电子标书”等操作。</w:t>
      </w:r>
    </w:p>
    <w:p w14:paraId="75DCB456">
      <w:pPr>
        <w:widowControl/>
        <w:snapToGrid w:val="0"/>
        <w:spacing w:line="360" w:lineRule="auto"/>
        <w:jc w:val="left"/>
        <w:rPr>
          <w:rFonts w:hint="eastAsia" w:ascii="仿宋" w:hAnsi="仿宋" w:eastAsia="仿宋" w:cs="仿宋"/>
          <w:iCs/>
          <w:color w:val="auto"/>
          <w:kern w:val="0"/>
          <w:sz w:val="24"/>
          <w:highlight w:val="none"/>
          <w:u w:val="single"/>
        </w:rPr>
      </w:pPr>
      <w:r>
        <w:rPr>
          <w:rFonts w:hint="eastAsia" w:ascii="仿宋" w:hAnsi="仿宋" w:eastAsia="仿宋" w:cs="仿宋"/>
          <w:iCs/>
          <w:color w:val="auto"/>
          <w:kern w:val="0"/>
          <w:sz w:val="24"/>
          <w:highlight w:val="none"/>
          <w:u w:val="single"/>
        </w:rPr>
        <w:t>（5）投标文件的传输递交：供应商在投标截止时间前将加密的投标文件上传至政采云平台。</w:t>
      </w:r>
    </w:p>
    <w:p w14:paraId="76791C95">
      <w:pPr>
        <w:widowControl/>
        <w:snapToGrid w:val="0"/>
        <w:spacing w:line="360" w:lineRule="auto"/>
        <w:jc w:val="left"/>
        <w:rPr>
          <w:rFonts w:hint="eastAsia" w:ascii="仿宋" w:hAnsi="仿宋" w:eastAsia="仿宋" w:cs="仿宋"/>
          <w:iCs/>
          <w:color w:val="auto"/>
          <w:kern w:val="0"/>
          <w:sz w:val="24"/>
          <w:highlight w:val="none"/>
          <w:u w:val="single"/>
        </w:rPr>
      </w:pPr>
      <w:r>
        <w:rPr>
          <w:rFonts w:hint="eastAsia" w:ascii="仿宋" w:hAnsi="仿宋" w:eastAsia="仿宋" w:cs="仿宋"/>
          <w:iCs/>
          <w:color w:val="auto"/>
          <w:kern w:val="0"/>
          <w:sz w:val="24"/>
          <w:highlight w:val="none"/>
          <w:u w:val="single"/>
        </w:rPr>
        <w:t>（6）投标文件的解密：供应商按照平台提示和采购文件的规定的时间内完成在线解密。</w:t>
      </w:r>
    </w:p>
    <w:p w14:paraId="4D46D2A4">
      <w:pPr>
        <w:widowControl/>
        <w:snapToGrid w:val="0"/>
        <w:spacing w:line="360" w:lineRule="auto"/>
        <w:jc w:val="left"/>
        <w:rPr>
          <w:rFonts w:hint="eastAsia" w:ascii="仿宋" w:hAnsi="仿宋" w:eastAsia="仿宋" w:cs="仿宋"/>
          <w:i w:val="0"/>
          <w:iCs/>
          <w:color w:val="auto"/>
          <w:kern w:val="0"/>
          <w:sz w:val="24"/>
          <w:highlight w:val="none"/>
          <w:u w:val="single"/>
          <w:lang w:val="en-US" w:eastAsia="zh-CN"/>
        </w:rPr>
      </w:pPr>
      <w:r>
        <w:rPr>
          <w:rFonts w:hint="eastAsia" w:ascii="仿宋" w:hAnsi="仿宋" w:eastAsia="仿宋" w:cs="仿宋"/>
          <w:iCs/>
          <w:color w:val="auto"/>
          <w:kern w:val="0"/>
          <w:sz w:val="24"/>
          <w:highlight w:val="none"/>
          <w:u w:val="single"/>
        </w:rPr>
        <w:t>（7）具体操作指南：详见政采云平台“服务中心-帮助文档-项目采购-操作流程-电子招投标-政府采购项目电子交易管理操作指南-供应商”：浙江省政府采购项目政采云平台学习专题</w:t>
      </w:r>
      <w:r>
        <w:rPr>
          <w:rFonts w:hint="eastAsia" w:ascii="仿宋" w:hAnsi="仿宋" w:eastAsia="仿宋" w:cs="仿宋"/>
          <w:iCs/>
          <w:color w:val="auto"/>
          <w:kern w:val="0"/>
          <w:sz w:val="24"/>
          <w:highlight w:val="none"/>
          <w:u w:val="single"/>
        </w:rPr>
        <w:fldChar w:fldCharType="begin"/>
      </w:r>
      <w:r>
        <w:rPr>
          <w:rFonts w:hint="eastAsia" w:ascii="仿宋" w:hAnsi="仿宋" w:eastAsia="仿宋" w:cs="仿宋"/>
          <w:iCs/>
          <w:color w:val="auto"/>
          <w:kern w:val="0"/>
          <w:sz w:val="24"/>
          <w:highlight w:val="none"/>
          <w:u w:val="single"/>
        </w:rPr>
        <w:instrText xml:space="preserve"> HYPERLINK "https://edu.zcygov.cn/luban/e-biding。" </w:instrText>
      </w:r>
      <w:r>
        <w:rPr>
          <w:rFonts w:hint="eastAsia" w:ascii="仿宋" w:hAnsi="仿宋" w:eastAsia="仿宋" w:cs="仿宋"/>
          <w:iCs/>
          <w:color w:val="auto"/>
          <w:kern w:val="0"/>
          <w:sz w:val="24"/>
          <w:highlight w:val="none"/>
          <w:u w:val="single"/>
        </w:rPr>
        <w:fldChar w:fldCharType="separate"/>
      </w:r>
      <w:r>
        <w:rPr>
          <w:rFonts w:hint="eastAsia" w:ascii="仿宋" w:hAnsi="仿宋" w:eastAsia="仿宋" w:cs="仿宋"/>
          <w:iCs/>
          <w:color w:val="auto"/>
          <w:kern w:val="0"/>
          <w:sz w:val="24"/>
          <w:highlight w:val="none"/>
          <w:u w:val="single"/>
        </w:rPr>
        <w:t>https://edu.zcygov.cn/luban/e-biding。</w:t>
      </w:r>
      <w:r>
        <w:rPr>
          <w:rFonts w:hint="eastAsia" w:ascii="仿宋" w:hAnsi="仿宋" w:eastAsia="仿宋" w:cs="仿宋"/>
          <w:iCs/>
          <w:color w:val="auto"/>
          <w:kern w:val="0"/>
          <w:sz w:val="24"/>
          <w:highlight w:val="none"/>
          <w:u w:val="single"/>
        </w:rPr>
        <w:fldChar w:fldCharType="end"/>
      </w:r>
      <w:r>
        <w:rPr>
          <w:rFonts w:hint="eastAsia" w:ascii="仿宋" w:hAnsi="仿宋" w:eastAsia="仿宋" w:cs="仿宋"/>
          <w:iCs/>
          <w:color w:val="auto"/>
          <w:kern w:val="0"/>
          <w:sz w:val="24"/>
          <w:highlight w:val="none"/>
          <w:u w:val="single"/>
          <w:lang w:val="en-US" w:eastAsia="zh-CN"/>
        </w:rPr>
        <w:tab/>
      </w:r>
    </w:p>
    <w:p w14:paraId="70C57889">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lang w:val="en-US" w:eastAsia="zh-CN"/>
        </w:rPr>
        <w:t>七</w:t>
      </w:r>
      <w:bookmarkStart w:id="143" w:name="_GoBack"/>
      <w:bookmarkEnd w:id="143"/>
      <w:r>
        <w:rPr>
          <w:rFonts w:hint="eastAsia" w:ascii="仿宋" w:hAnsi="仿宋" w:eastAsia="仿宋" w:cs="仿宋"/>
          <w:b/>
          <w:bCs/>
          <w:color w:val="auto"/>
          <w:kern w:val="0"/>
          <w:sz w:val="24"/>
          <w:highlight w:val="none"/>
        </w:rPr>
        <w:t>、对本次采购提出询问、质疑、投诉，请按以下方式联系</w:t>
      </w:r>
    </w:p>
    <w:p w14:paraId="3117B9BF">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1.采购人信息</w:t>
      </w:r>
    </w:p>
    <w:p w14:paraId="35BD3515">
      <w:pPr>
        <w:widowControl/>
        <w:snapToGrid w:val="0"/>
        <w:spacing w:line="360" w:lineRule="auto"/>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名称：</w:t>
      </w:r>
      <w:r>
        <w:rPr>
          <w:rFonts w:hint="eastAsia" w:ascii="仿宋" w:hAnsi="仿宋" w:eastAsia="仿宋" w:cs="仿宋"/>
          <w:color w:val="auto"/>
          <w:kern w:val="0"/>
          <w:sz w:val="24"/>
          <w:szCs w:val="24"/>
          <w:highlight w:val="none"/>
          <w:u w:val="single"/>
          <w:lang w:eastAsia="zh-CN"/>
        </w:rPr>
        <w:t>温州市鹿城区旅游和体育事业发展中心</w:t>
      </w:r>
    </w:p>
    <w:p w14:paraId="45C1AFD6">
      <w:pPr>
        <w:widowControl/>
        <w:snapToGrid w:val="0"/>
        <w:spacing w:line="360" w:lineRule="auto"/>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地址：</w:t>
      </w:r>
      <w:r>
        <w:rPr>
          <w:rFonts w:hint="eastAsia" w:ascii="仿宋" w:hAnsi="仿宋" w:eastAsia="仿宋" w:cs="仿宋"/>
          <w:color w:val="auto"/>
          <w:kern w:val="0"/>
          <w:sz w:val="24"/>
          <w:szCs w:val="24"/>
          <w:highlight w:val="none"/>
          <w:u w:val="single"/>
        </w:rPr>
        <w:t>温州市鹿城区江滨西路怡浦园小区2栋2楼</w:t>
      </w:r>
    </w:p>
    <w:p w14:paraId="1E9D0877">
      <w:pPr>
        <w:widowControl/>
        <w:snapToGrid w:val="0"/>
        <w:spacing w:line="360" w:lineRule="auto"/>
        <w:jc w:val="left"/>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传真：</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w:t>
      </w:r>
      <w:r>
        <w:rPr>
          <w:rFonts w:hint="eastAsia" w:ascii="仿宋" w:hAnsi="仿宋" w:eastAsia="仿宋" w:cs="仿宋"/>
          <w:bCs/>
          <w:color w:val="auto"/>
          <w:sz w:val="24"/>
          <w:szCs w:val="24"/>
          <w:highlight w:val="none"/>
          <w:u w:val="single"/>
        </w:rPr>
        <w:t xml:space="preserve">  </w:t>
      </w:r>
    </w:p>
    <w:p w14:paraId="1EBDB5D4">
      <w:pPr>
        <w:widowControl/>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项目联系人（询问）：</w:t>
      </w:r>
      <w:r>
        <w:rPr>
          <w:rFonts w:hint="eastAsia" w:ascii="仿宋" w:hAnsi="仿宋" w:eastAsia="仿宋" w:cs="仿宋"/>
          <w:color w:val="auto"/>
          <w:kern w:val="0"/>
          <w:sz w:val="24"/>
          <w:szCs w:val="24"/>
          <w:highlight w:val="none"/>
          <w:u w:val="single"/>
          <w:lang w:val="en-US" w:eastAsia="zh-CN"/>
        </w:rPr>
        <w:t>严斌</w:t>
      </w:r>
    </w:p>
    <w:p w14:paraId="6FD501DF">
      <w:pPr>
        <w:widowControl/>
        <w:snapToGrid w:val="0"/>
        <w:spacing w:line="360" w:lineRule="auto"/>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项目联系方式（询问）：</w:t>
      </w:r>
      <w:r>
        <w:rPr>
          <w:rFonts w:hint="eastAsia" w:ascii="仿宋" w:hAnsi="仿宋" w:eastAsia="仿宋" w:cs="仿宋"/>
          <w:color w:val="auto"/>
          <w:kern w:val="0"/>
          <w:sz w:val="24"/>
          <w:szCs w:val="24"/>
          <w:highlight w:val="none"/>
          <w:u w:val="single"/>
          <w:lang w:val="en-US" w:eastAsia="zh-CN"/>
        </w:rPr>
        <w:t>18958868690</w:t>
      </w:r>
    </w:p>
    <w:p w14:paraId="514EC539">
      <w:pPr>
        <w:widowControl/>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质疑联系人：</w:t>
      </w:r>
      <w:r>
        <w:rPr>
          <w:rFonts w:hint="eastAsia" w:ascii="仿宋" w:hAnsi="仿宋" w:eastAsia="仿宋" w:cs="仿宋"/>
          <w:color w:val="auto"/>
          <w:kern w:val="0"/>
          <w:sz w:val="24"/>
          <w:szCs w:val="24"/>
          <w:highlight w:val="none"/>
          <w:u w:val="single"/>
          <w:lang w:val="en-US" w:eastAsia="zh-CN"/>
        </w:rPr>
        <w:t>潘女士</w:t>
      </w:r>
    </w:p>
    <w:p w14:paraId="3B50D410">
      <w:pPr>
        <w:widowControl/>
        <w:snapToGrid w:val="0"/>
        <w:spacing w:line="360" w:lineRule="auto"/>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质疑联系方式：</w:t>
      </w:r>
      <w:r>
        <w:rPr>
          <w:rFonts w:hint="eastAsia" w:ascii="仿宋" w:hAnsi="仿宋" w:eastAsia="仿宋" w:cs="仿宋"/>
          <w:color w:val="auto"/>
          <w:kern w:val="0"/>
          <w:sz w:val="24"/>
          <w:szCs w:val="24"/>
          <w:highlight w:val="none"/>
          <w:u w:val="single"/>
          <w:lang w:val="en-US" w:eastAsia="zh-CN"/>
        </w:rPr>
        <w:t>0577-88959262</w:t>
      </w:r>
    </w:p>
    <w:p w14:paraId="10B8378D">
      <w:pPr>
        <w:widowControl/>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2.采购代理机构信息</w:t>
      </w:r>
    </w:p>
    <w:p w14:paraId="76100DF8">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名称：</w:t>
      </w:r>
      <w:r>
        <w:rPr>
          <w:rFonts w:hint="eastAsia" w:ascii="仿宋" w:hAnsi="仿宋" w:eastAsia="仿宋" w:cs="仿宋"/>
          <w:color w:val="auto"/>
          <w:kern w:val="0"/>
          <w:sz w:val="24"/>
          <w:highlight w:val="none"/>
          <w:u w:val="single"/>
        </w:rPr>
        <w:t>浙江金穗工程项目管理有限公司</w:t>
      </w:r>
    </w:p>
    <w:p w14:paraId="616E7447">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地址：</w:t>
      </w:r>
      <w:r>
        <w:rPr>
          <w:rFonts w:hint="eastAsia" w:ascii="仿宋" w:hAnsi="仿宋" w:eastAsia="仿宋" w:cs="仿宋"/>
          <w:color w:val="auto"/>
          <w:kern w:val="0"/>
          <w:sz w:val="24"/>
          <w:highlight w:val="none"/>
          <w:u w:val="single"/>
        </w:rPr>
        <w:t>温州市鹿城区车站大道75号金鳞花苑商务楼三楼</w:t>
      </w:r>
    </w:p>
    <w:p w14:paraId="04B01356">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传真：</w:t>
      </w:r>
      <w:r>
        <w:rPr>
          <w:rFonts w:hint="eastAsia" w:ascii="仿宋" w:hAnsi="仿宋" w:eastAsia="仿宋" w:cs="仿宋"/>
          <w:bCs/>
          <w:color w:val="auto"/>
          <w:sz w:val="24"/>
          <w:highlight w:val="none"/>
          <w:u w:val="single"/>
        </w:rPr>
        <w:t>0577-86511702</w:t>
      </w:r>
    </w:p>
    <w:p w14:paraId="35F2F990">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项目联系人（询问）：</w:t>
      </w:r>
      <w:r>
        <w:rPr>
          <w:rFonts w:hint="eastAsia" w:ascii="仿宋" w:hAnsi="仿宋" w:eastAsia="仿宋" w:cs="仿宋"/>
          <w:bCs/>
          <w:color w:val="auto"/>
          <w:sz w:val="24"/>
          <w:highlight w:val="none"/>
          <w:u w:val="single"/>
          <w:lang w:eastAsia="zh-CN"/>
        </w:rPr>
        <w:t>王海鹏</w:t>
      </w:r>
    </w:p>
    <w:p w14:paraId="3178A554">
      <w:pPr>
        <w:widowControl/>
        <w:snapToGrid w:val="0"/>
        <w:spacing w:line="360" w:lineRule="auto"/>
        <w:jc w:val="left"/>
        <w:rPr>
          <w:rFonts w:hint="eastAsia" w:ascii="仿宋" w:hAnsi="仿宋" w:eastAsia="仿宋" w:cs="仿宋"/>
          <w:bCs/>
          <w:color w:val="auto"/>
          <w:sz w:val="24"/>
          <w:highlight w:val="none"/>
          <w:u w:val="single"/>
          <w:lang w:val="en-US" w:eastAsia="zh-CN"/>
        </w:rPr>
      </w:pPr>
      <w:r>
        <w:rPr>
          <w:rFonts w:hint="eastAsia" w:ascii="仿宋" w:hAnsi="仿宋" w:eastAsia="仿宋" w:cs="仿宋"/>
          <w:color w:val="auto"/>
          <w:kern w:val="0"/>
          <w:sz w:val="24"/>
          <w:highlight w:val="none"/>
        </w:rPr>
        <w:t>项目联系方式（询问）：</w:t>
      </w:r>
      <w:r>
        <w:rPr>
          <w:rFonts w:hint="eastAsia" w:ascii="仿宋" w:hAnsi="仿宋" w:eastAsia="仿宋" w:cs="仿宋"/>
          <w:bCs/>
          <w:color w:val="auto"/>
          <w:sz w:val="24"/>
          <w:highlight w:val="none"/>
          <w:u w:val="single"/>
          <w:lang w:eastAsia="zh-CN"/>
        </w:rPr>
        <w:t>0577-865117</w:t>
      </w:r>
      <w:r>
        <w:rPr>
          <w:rFonts w:hint="eastAsia" w:ascii="仿宋" w:hAnsi="仿宋" w:eastAsia="仿宋" w:cs="仿宋"/>
          <w:bCs/>
          <w:color w:val="auto"/>
          <w:sz w:val="24"/>
          <w:highlight w:val="none"/>
          <w:u w:val="single"/>
          <w:lang w:val="en-US" w:eastAsia="zh-CN"/>
        </w:rPr>
        <w:t>19/</w:t>
      </w:r>
      <w:r>
        <w:rPr>
          <w:rFonts w:hint="eastAsia" w:ascii="仿宋" w:hAnsi="仿宋" w:eastAsia="仿宋" w:cs="仿宋"/>
          <w:bCs/>
          <w:color w:val="auto"/>
          <w:sz w:val="24"/>
          <w:highlight w:val="none"/>
          <w:u w:val="single"/>
          <w:lang w:eastAsia="zh-CN"/>
        </w:rPr>
        <w:t>15158555213</w:t>
      </w:r>
    </w:p>
    <w:p w14:paraId="19A299C8">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质疑联系人：</w:t>
      </w:r>
      <w:r>
        <w:rPr>
          <w:rFonts w:hint="eastAsia" w:ascii="仿宋" w:hAnsi="仿宋" w:eastAsia="仿宋" w:cs="仿宋"/>
          <w:color w:val="auto"/>
          <w:kern w:val="0"/>
          <w:sz w:val="24"/>
          <w:highlight w:val="none"/>
          <w:u w:val="single"/>
        </w:rPr>
        <w:t>李奔</w:t>
      </w:r>
    </w:p>
    <w:p w14:paraId="26318CF1">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质疑联系方式：</w:t>
      </w:r>
      <w:r>
        <w:rPr>
          <w:rFonts w:hint="eastAsia" w:ascii="仿宋" w:hAnsi="仿宋" w:eastAsia="仿宋" w:cs="仿宋"/>
          <w:color w:val="auto"/>
          <w:kern w:val="0"/>
          <w:sz w:val="24"/>
          <w:highlight w:val="none"/>
          <w:u w:val="single"/>
        </w:rPr>
        <w:t>0577-86511706</w:t>
      </w:r>
    </w:p>
    <w:p w14:paraId="0B707BDA">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3.同级政府采购监督管理部门</w:t>
      </w:r>
    </w:p>
    <w:p w14:paraId="1349D1AB">
      <w:pPr>
        <w:widowControl/>
        <w:snapToGrid w:val="0"/>
        <w:spacing w:line="360" w:lineRule="auto"/>
        <w:jc w:val="left"/>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名称：</w:t>
      </w:r>
      <w:r>
        <w:rPr>
          <w:rFonts w:hint="eastAsia" w:ascii="仿宋" w:hAnsi="仿宋" w:eastAsia="仿宋" w:cs="仿宋"/>
          <w:color w:val="auto"/>
          <w:kern w:val="0"/>
          <w:sz w:val="24"/>
          <w:highlight w:val="none"/>
          <w:u w:val="single"/>
        </w:rPr>
        <w:t>温州市鹿城区财政局</w:t>
      </w:r>
    </w:p>
    <w:p w14:paraId="09B17158">
      <w:pPr>
        <w:widowControl/>
        <w:snapToGrid w:val="0"/>
        <w:spacing w:line="360" w:lineRule="auto"/>
        <w:jc w:val="left"/>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地址：</w:t>
      </w:r>
      <w:r>
        <w:rPr>
          <w:rFonts w:hint="eastAsia" w:ascii="仿宋" w:hAnsi="仿宋" w:eastAsia="仿宋" w:cs="仿宋"/>
          <w:color w:val="auto"/>
          <w:kern w:val="0"/>
          <w:sz w:val="24"/>
          <w:highlight w:val="none"/>
          <w:u w:val="single"/>
          <w:lang w:val="en-US" w:eastAsia="zh-CN"/>
        </w:rPr>
        <w:t>温州市鹿城区江滨西路552号</w:t>
      </w:r>
    </w:p>
    <w:p w14:paraId="20A68A29">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传真：</w:t>
      </w:r>
      <w:r>
        <w:rPr>
          <w:rFonts w:hint="eastAsia" w:ascii="仿宋" w:hAnsi="仿宋" w:eastAsia="仿宋" w:cs="仿宋"/>
          <w:bCs/>
          <w:color w:val="auto"/>
          <w:sz w:val="24"/>
          <w:highlight w:val="none"/>
          <w:u w:val="single"/>
          <w:lang w:val="en-US" w:eastAsia="zh-CN"/>
        </w:rPr>
        <w:t>/</w:t>
      </w:r>
    </w:p>
    <w:p w14:paraId="347E5427">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联系人：</w:t>
      </w:r>
      <w:r>
        <w:rPr>
          <w:rFonts w:hint="eastAsia" w:ascii="仿宋" w:hAnsi="仿宋" w:eastAsia="仿宋" w:cs="仿宋"/>
          <w:color w:val="auto"/>
          <w:kern w:val="0"/>
          <w:sz w:val="24"/>
          <w:highlight w:val="none"/>
          <w:u w:val="single"/>
        </w:rPr>
        <w:t>黄女士、朱先生</w:t>
      </w:r>
    </w:p>
    <w:p w14:paraId="6BFD31FF">
      <w:pPr>
        <w:widowControl/>
        <w:snapToGrid w:val="0"/>
        <w:spacing w:line="360" w:lineRule="auto"/>
        <w:jc w:val="left"/>
        <w:rPr>
          <w:rFonts w:hint="eastAsia" w:ascii="仿宋" w:hAnsi="仿宋" w:eastAsia="仿宋" w:cs="仿宋"/>
          <w:color w:val="auto"/>
          <w:kern w:val="0"/>
          <w:sz w:val="24"/>
          <w:highlight w:val="none"/>
          <w:u w:val="single"/>
          <w:lang w:eastAsia="zh-CN"/>
        </w:rPr>
      </w:pPr>
      <w:r>
        <w:rPr>
          <w:rFonts w:hint="eastAsia" w:ascii="仿宋" w:hAnsi="仿宋" w:eastAsia="仿宋" w:cs="仿宋"/>
          <w:color w:val="auto"/>
          <w:kern w:val="0"/>
          <w:sz w:val="24"/>
          <w:highlight w:val="none"/>
        </w:rPr>
        <w:t>监督投诉电话：</w:t>
      </w:r>
      <w:r>
        <w:rPr>
          <w:rFonts w:hint="eastAsia" w:ascii="仿宋" w:hAnsi="仿宋" w:eastAsia="仿宋" w:cs="仿宋"/>
          <w:color w:val="auto"/>
          <w:kern w:val="0"/>
          <w:sz w:val="24"/>
          <w:highlight w:val="none"/>
          <w:u w:val="single"/>
        </w:rPr>
        <w:t>0577-88359173</w:t>
      </w:r>
    </w:p>
    <w:p w14:paraId="1C1875EB">
      <w:pPr>
        <w:pStyle w:val="5"/>
        <w:rPr>
          <w:rFonts w:hint="eastAsia"/>
          <w:color w:val="auto"/>
          <w:highlight w:val="none"/>
          <w:lang w:eastAsia="zh-CN"/>
        </w:rPr>
      </w:pPr>
    </w:p>
    <w:p w14:paraId="49BFA033">
      <w:pPr>
        <w:widowControl/>
        <w:snapToGrid w:val="0"/>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若对项目采购电子交易系统操作有疑问，可登录政采云（</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 </w:instrText>
      </w:r>
      <w:r>
        <w:rPr>
          <w:rFonts w:hint="eastAsia" w:ascii="仿宋" w:hAnsi="仿宋" w:eastAsia="仿宋" w:cs="仿宋"/>
          <w:color w:val="auto"/>
          <w:highlight w:val="none"/>
        </w:rPr>
        <w:fldChar w:fldCharType="separate"/>
      </w:r>
      <w:r>
        <w:rPr>
          <w:rStyle w:val="71"/>
          <w:rFonts w:hint="eastAsia" w:ascii="仿宋" w:hAnsi="仿宋" w:eastAsia="仿宋" w:cs="仿宋"/>
          <w:color w:val="auto"/>
          <w:kern w:val="0"/>
          <w:szCs w:val="21"/>
          <w:highlight w:val="none"/>
        </w:rPr>
        <w:t>https://www.zcygov.cn/</w:t>
      </w:r>
      <w:r>
        <w:rPr>
          <w:rStyle w:val="71"/>
          <w:rFonts w:hint="eastAsia" w:ascii="仿宋" w:hAnsi="仿宋" w:eastAsia="仿宋" w:cs="仿宋"/>
          <w:color w:val="auto"/>
          <w:kern w:val="0"/>
          <w:szCs w:val="21"/>
          <w:highlight w:val="none"/>
        </w:rPr>
        <w:fldChar w:fldCharType="end"/>
      </w:r>
      <w:r>
        <w:rPr>
          <w:rFonts w:hint="eastAsia" w:ascii="仿宋" w:hAnsi="仿宋" w:eastAsia="仿宋" w:cs="仿宋"/>
          <w:color w:val="auto"/>
          <w:kern w:val="0"/>
          <w:szCs w:val="21"/>
          <w:highlight w:val="none"/>
        </w:rPr>
        <w:t>），点击右侧咨询小采，获取采小蜜智能服务管家帮助，或拨打政采云服务热线95763获取热线服务帮助。</w:t>
      </w:r>
    </w:p>
    <w:p w14:paraId="28A5DFBE">
      <w:pPr>
        <w:widowControl/>
        <w:snapToGrid w:val="0"/>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CA问题联系电话（人工）：汇信CA400-888-4636；天谷CA400-087-8198。</w:t>
      </w:r>
    </w:p>
    <w:p w14:paraId="4B361EB0">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br w:type="page"/>
      </w:r>
    </w:p>
    <w:p w14:paraId="77CA0FC7">
      <w:pPr>
        <w:widowControl/>
        <w:snapToGrid w:val="0"/>
        <w:spacing w:line="360" w:lineRule="auto"/>
        <w:jc w:val="center"/>
        <w:outlineLvl w:val="0"/>
        <w:rPr>
          <w:rFonts w:hint="eastAsia" w:ascii="仿宋" w:hAnsi="仿宋" w:eastAsia="仿宋" w:cs="仿宋"/>
          <w:b/>
          <w:color w:val="auto"/>
          <w:sz w:val="36"/>
          <w:szCs w:val="36"/>
          <w:highlight w:val="none"/>
        </w:rPr>
      </w:pPr>
      <w:bookmarkStart w:id="1" w:name="_Toc25109"/>
      <w:r>
        <w:rPr>
          <w:rFonts w:hint="eastAsia" w:ascii="仿宋" w:hAnsi="仿宋" w:eastAsia="仿宋" w:cs="仿宋"/>
          <w:b/>
          <w:color w:val="auto"/>
          <w:sz w:val="36"/>
          <w:szCs w:val="36"/>
          <w:highlight w:val="none"/>
        </w:rPr>
        <w:t>第二部分  投标人须知</w:t>
      </w:r>
      <w:bookmarkEnd w:id="1"/>
    </w:p>
    <w:p w14:paraId="389F1090">
      <w:pPr>
        <w:widowControl/>
        <w:snapToGrid w:val="0"/>
        <w:spacing w:line="360" w:lineRule="auto"/>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投标人须知前附表</w:t>
      </w:r>
    </w:p>
    <w:tbl>
      <w:tblPr>
        <w:tblStyle w:val="57"/>
        <w:tblW w:w="8996" w:type="dxa"/>
        <w:jc w:val="center"/>
        <w:tblLayout w:type="fixed"/>
        <w:tblCellMar>
          <w:top w:w="0" w:type="dxa"/>
          <w:left w:w="108" w:type="dxa"/>
          <w:bottom w:w="0" w:type="dxa"/>
          <w:right w:w="108" w:type="dxa"/>
        </w:tblCellMar>
      </w:tblPr>
      <w:tblGrid>
        <w:gridCol w:w="1048"/>
        <w:gridCol w:w="1687"/>
        <w:gridCol w:w="6261"/>
      </w:tblGrid>
      <w:tr w14:paraId="29E6EFA2">
        <w:tblPrEx>
          <w:tblCellMar>
            <w:top w:w="0" w:type="dxa"/>
            <w:left w:w="108" w:type="dxa"/>
            <w:bottom w:w="0" w:type="dxa"/>
            <w:right w:w="108" w:type="dxa"/>
          </w:tblCellMar>
        </w:tblPrEx>
        <w:trPr>
          <w:trHeight w:val="90" w:hRule="atLeast"/>
          <w:tblHeader/>
          <w:jc w:val="center"/>
        </w:trPr>
        <w:tc>
          <w:tcPr>
            <w:tcW w:w="1048" w:type="dxa"/>
            <w:tcBorders>
              <w:top w:val="single" w:color="auto" w:sz="4" w:space="0"/>
              <w:left w:val="single" w:color="auto" w:sz="4" w:space="0"/>
              <w:bottom w:val="single" w:color="auto" w:sz="4" w:space="0"/>
              <w:right w:val="single" w:color="auto" w:sz="4" w:space="0"/>
            </w:tcBorders>
            <w:vAlign w:val="center"/>
          </w:tcPr>
          <w:p w14:paraId="02C80C72">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条款号</w:t>
            </w:r>
          </w:p>
        </w:tc>
        <w:tc>
          <w:tcPr>
            <w:tcW w:w="1687" w:type="dxa"/>
            <w:tcBorders>
              <w:top w:val="single" w:color="auto" w:sz="4" w:space="0"/>
              <w:left w:val="single" w:color="auto" w:sz="4" w:space="0"/>
              <w:bottom w:val="single" w:color="auto" w:sz="4" w:space="0"/>
              <w:right w:val="single" w:color="auto" w:sz="4" w:space="0"/>
            </w:tcBorders>
            <w:vAlign w:val="center"/>
          </w:tcPr>
          <w:p w14:paraId="2FE3C0C1">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条款名称</w:t>
            </w:r>
          </w:p>
        </w:tc>
        <w:tc>
          <w:tcPr>
            <w:tcW w:w="6261" w:type="dxa"/>
            <w:tcBorders>
              <w:top w:val="single" w:color="auto" w:sz="4" w:space="0"/>
              <w:left w:val="single" w:color="auto" w:sz="4" w:space="0"/>
              <w:bottom w:val="single" w:color="auto" w:sz="4" w:space="0"/>
              <w:right w:val="single" w:color="auto" w:sz="4" w:space="0"/>
            </w:tcBorders>
            <w:vAlign w:val="center"/>
          </w:tcPr>
          <w:p w14:paraId="3EC9A6FC">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编列内容</w:t>
            </w:r>
          </w:p>
        </w:tc>
      </w:tr>
      <w:tr w14:paraId="11CE36D7">
        <w:tblPrEx>
          <w:tblCellMar>
            <w:top w:w="0" w:type="dxa"/>
            <w:left w:w="108" w:type="dxa"/>
            <w:bottom w:w="0" w:type="dxa"/>
            <w:right w:w="108" w:type="dxa"/>
          </w:tblCellMar>
        </w:tblPrEx>
        <w:trPr>
          <w:trHeight w:val="9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042385E0">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2.1</w:t>
            </w:r>
          </w:p>
        </w:tc>
        <w:tc>
          <w:tcPr>
            <w:tcW w:w="1687" w:type="dxa"/>
            <w:tcBorders>
              <w:top w:val="single" w:color="auto" w:sz="4" w:space="0"/>
              <w:left w:val="single" w:color="auto" w:sz="4" w:space="0"/>
              <w:bottom w:val="single" w:color="auto" w:sz="4" w:space="0"/>
              <w:right w:val="single" w:color="auto" w:sz="4" w:space="0"/>
            </w:tcBorders>
            <w:vAlign w:val="center"/>
          </w:tcPr>
          <w:p w14:paraId="0396845D">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行业划分</w:t>
            </w:r>
          </w:p>
        </w:tc>
        <w:tc>
          <w:tcPr>
            <w:tcW w:w="6261" w:type="dxa"/>
            <w:tcBorders>
              <w:top w:val="single" w:color="auto" w:sz="4" w:space="0"/>
              <w:left w:val="single" w:color="auto" w:sz="4" w:space="0"/>
              <w:bottom w:val="single" w:color="auto" w:sz="4" w:space="0"/>
              <w:right w:val="single" w:color="auto" w:sz="4" w:space="0"/>
            </w:tcBorders>
            <w:vAlign w:val="center"/>
          </w:tcPr>
          <w:p w14:paraId="2265C82C">
            <w:pPr>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采购标的对应的中小企业划分标准所属行业：</w:t>
            </w:r>
          </w:p>
          <w:p w14:paraId="7F42AF4F">
            <w:pPr>
              <w:numPr>
                <w:ilvl w:val="0"/>
                <w:numId w:val="1"/>
              </w:numPr>
              <w:snapToGrid w:val="0"/>
              <w:ind w:firstLine="210" w:firstLineChars="100"/>
              <w:rPr>
                <w:rFonts w:hint="eastAsia"/>
                <w:color w:val="auto"/>
                <w:highlight w:val="none"/>
              </w:rPr>
            </w:pPr>
            <w:r>
              <w:rPr>
                <w:rFonts w:hint="eastAsia" w:ascii="仿宋" w:hAnsi="仿宋" w:eastAsia="仿宋" w:cs="仿宋"/>
                <w:color w:val="auto"/>
                <w:kern w:val="0"/>
                <w:szCs w:val="21"/>
                <w:highlight w:val="none"/>
              </w:rPr>
              <w:t>标的：</w:t>
            </w:r>
            <w:r>
              <w:rPr>
                <w:rFonts w:hint="eastAsia" w:ascii="仿宋" w:hAnsi="仿宋" w:eastAsia="仿宋" w:cs="仿宋"/>
                <w:bCs/>
                <w:color w:val="auto"/>
                <w:szCs w:val="21"/>
                <w:highlight w:val="none"/>
                <w:u w:val="single"/>
              </w:rPr>
              <w:t xml:space="preserve"> </w:t>
            </w:r>
            <w:r>
              <w:rPr>
                <w:rFonts w:hint="eastAsia" w:ascii="仿宋" w:hAnsi="仿宋" w:eastAsia="仿宋" w:cs="仿宋"/>
                <w:bCs/>
                <w:color w:val="auto"/>
                <w:szCs w:val="21"/>
                <w:highlight w:val="none"/>
                <w:u w:val="single"/>
                <w:lang w:val="en-US" w:eastAsia="zh-CN"/>
              </w:rPr>
              <w:t>1</w:t>
            </w:r>
            <w:r>
              <w:rPr>
                <w:rFonts w:hint="eastAsia" w:ascii="仿宋" w:hAnsi="仿宋" w:eastAsia="仿宋" w:cs="仿宋"/>
                <w:bCs/>
                <w:color w:val="auto"/>
                <w:szCs w:val="21"/>
                <w:highlight w:val="none"/>
                <w:u w:val="single"/>
              </w:rPr>
              <w:t xml:space="preserve"> </w:t>
            </w:r>
            <w:r>
              <w:rPr>
                <w:rFonts w:hint="eastAsia" w:ascii="仿宋" w:hAnsi="仿宋" w:eastAsia="仿宋" w:cs="仿宋"/>
                <w:color w:val="auto"/>
                <w:kern w:val="0"/>
                <w:szCs w:val="21"/>
                <w:highlight w:val="none"/>
              </w:rPr>
              <w:t>，属于</w:t>
            </w:r>
            <w:r>
              <w:rPr>
                <w:rFonts w:hint="eastAsia" w:ascii="仿宋" w:hAnsi="仿宋" w:eastAsia="仿宋" w:cs="仿宋"/>
                <w:bCs/>
                <w:color w:val="auto"/>
                <w:szCs w:val="21"/>
                <w:highlight w:val="none"/>
                <w:u w:val="single"/>
              </w:rPr>
              <w:t xml:space="preserve"> </w:t>
            </w:r>
            <w:r>
              <w:rPr>
                <w:rFonts w:hint="eastAsia" w:ascii="仿宋" w:hAnsi="仿宋" w:eastAsia="仿宋" w:cs="仿宋"/>
                <w:bCs/>
                <w:color w:val="auto"/>
                <w:szCs w:val="21"/>
                <w:highlight w:val="none"/>
                <w:u w:val="single"/>
                <w:lang w:val="en-US" w:eastAsia="zh-CN"/>
              </w:rPr>
              <w:t xml:space="preserve"> 工业 </w:t>
            </w:r>
            <w:r>
              <w:rPr>
                <w:rFonts w:hint="eastAsia" w:ascii="仿宋" w:hAnsi="仿宋" w:eastAsia="仿宋" w:cs="仿宋"/>
                <w:bCs/>
                <w:color w:val="auto"/>
                <w:szCs w:val="21"/>
                <w:highlight w:val="none"/>
                <w:u w:val="single"/>
              </w:rPr>
              <w:t xml:space="preserve"> </w:t>
            </w:r>
            <w:r>
              <w:rPr>
                <w:rFonts w:hint="eastAsia" w:ascii="仿宋" w:hAnsi="仿宋" w:eastAsia="仿宋" w:cs="仿宋"/>
                <w:color w:val="auto"/>
                <w:kern w:val="0"/>
                <w:szCs w:val="21"/>
                <w:highlight w:val="none"/>
              </w:rPr>
              <w:t>行业；</w:t>
            </w:r>
            <w:r>
              <w:rPr>
                <w:rFonts w:hint="eastAsia" w:ascii="仿宋" w:hAnsi="仿宋" w:eastAsia="仿宋" w:cs="仿宋"/>
                <w:color w:val="auto"/>
                <w:kern w:val="0"/>
                <w:szCs w:val="21"/>
                <w:highlight w:val="none"/>
                <w:lang w:eastAsia="zh-CN"/>
              </w:rPr>
              <w:t>具体以</w:t>
            </w:r>
            <w:r>
              <w:rPr>
                <w:rFonts w:hint="eastAsia" w:ascii="仿宋" w:hAnsi="仿宋" w:eastAsia="仿宋" w:cs="仿宋"/>
                <w:color w:val="auto"/>
                <w:kern w:val="0"/>
                <w:szCs w:val="21"/>
                <w:highlight w:val="none"/>
              </w:rPr>
              <w:t>《统计上大中小微型企业划分办法(2017)》（国统字〔2017〕213号）</w:t>
            </w:r>
            <w:r>
              <w:rPr>
                <w:rFonts w:hint="eastAsia" w:ascii="仿宋" w:hAnsi="仿宋" w:eastAsia="仿宋" w:cs="仿宋"/>
                <w:color w:val="auto"/>
                <w:kern w:val="0"/>
                <w:szCs w:val="21"/>
                <w:highlight w:val="none"/>
                <w:lang w:eastAsia="zh-CN"/>
              </w:rPr>
              <w:t>为准。</w:t>
            </w:r>
          </w:p>
        </w:tc>
      </w:tr>
      <w:tr w14:paraId="1F7F6537">
        <w:tblPrEx>
          <w:tblCellMar>
            <w:top w:w="0" w:type="dxa"/>
            <w:left w:w="108" w:type="dxa"/>
            <w:bottom w:w="0" w:type="dxa"/>
            <w:right w:w="108" w:type="dxa"/>
          </w:tblCellMar>
        </w:tblPrEx>
        <w:trPr>
          <w:trHeight w:val="9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76C8EEC7">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2.1</w:t>
            </w:r>
          </w:p>
        </w:tc>
        <w:tc>
          <w:tcPr>
            <w:tcW w:w="1687" w:type="dxa"/>
            <w:tcBorders>
              <w:top w:val="single" w:color="auto" w:sz="4" w:space="0"/>
              <w:left w:val="single" w:color="auto" w:sz="4" w:space="0"/>
              <w:bottom w:val="single" w:color="auto" w:sz="4" w:space="0"/>
              <w:right w:val="single" w:color="auto" w:sz="4" w:space="0"/>
            </w:tcBorders>
            <w:vAlign w:val="center"/>
          </w:tcPr>
          <w:p w14:paraId="782CA34B">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项目属性</w:t>
            </w:r>
          </w:p>
        </w:tc>
        <w:tc>
          <w:tcPr>
            <w:tcW w:w="6261" w:type="dxa"/>
            <w:tcBorders>
              <w:top w:val="single" w:color="auto" w:sz="4" w:space="0"/>
              <w:left w:val="single" w:color="auto" w:sz="4" w:space="0"/>
              <w:bottom w:val="single" w:color="auto" w:sz="4" w:space="0"/>
              <w:right w:val="single" w:color="auto" w:sz="4" w:space="0"/>
            </w:tcBorders>
            <w:vAlign w:val="center"/>
          </w:tcPr>
          <w:p w14:paraId="5F3FD707">
            <w:pPr>
              <w:snapToGrid w:val="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sym w:font="Wingdings" w:char="F0FE"/>
            </w:r>
            <w:r>
              <w:rPr>
                <w:rFonts w:hint="eastAsia" w:ascii="仿宋" w:hAnsi="仿宋" w:eastAsia="仿宋" w:cs="仿宋"/>
                <w:color w:val="auto"/>
                <w:szCs w:val="21"/>
                <w:highlight w:val="none"/>
              </w:rPr>
              <w:t>货物类</w:t>
            </w:r>
          </w:p>
        </w:tc>
      </w:tr>
      <w:tr w14:paraId="5AEA0F40">
        <w:tblPrEx>
          <w:tblCellMar>
            <w:top w:w="0" w:type="dxa"/>
            <w:left w:w="108" w:type="dxa"/>
            <w:bottom w:w="0" w:type="dxa"/>
            <w:right w:w="108" w:type="dxa"/>
          </w:tblCellMar>
        </w:tblPrEx>
        <w:trPr>
          <w:trHeight w:val="9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2AC59A45">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2.1</w:t>
            </w:r>
          </w:p>
        </w:tc>
        <w:tc>
          <w:tcPr>
            <w:tcW w:w="1687" w:type="dxa"/>
            <w:tcBorders>
              <w:top w:val="single" w:color="auto" w:sz="4" w:space="0"/>
              <w:left w:val="single" w:color="auto" w:sz="4" w:space="0"/>
              <w:bottom w:val="single" w:color="auto" w:sz="4" w:space="0"/>
              <w:right w:val="single" w:color="auto" w:sz="4" w:space="0"/>
            </w:tcBorders>
            <w:vAlign w:val="center"/>
          </w:tcPr>
          <w:p w14:paraId="1B922381">
            <w:pPr>
              <w:snapToGrid w:val="0"/>
              <w:jc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分包</w:t>
            </w:r>
          </w:p>
        </w:tc>
        <w:tc>
          <w:tcPr>
            <w:tcW w:w="6261" w:type="dxa"/>
            <w:tcBorders>
              <w:top w:val="single" w:color="auto" w:sz="4" w:space="0"/>
              <w:left w:val="single" w:color="auto" w:sz="4" w:space="0"/>
              <w:bottom w:val="single" w:color="auto" w:sz="4" w:space="0"/>
              <w:right w:val="single" w:color="auto" w:sz="4" w:space="0"/>
            </w:tcBorders>
            <w:vAlign w:val="center"/>
          </w:tcPr>
          <w:p w14:paraId="6A25BB23">
            <w:pPr>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sym w:font="Wingdings" w:char="00FE"/>
            </w:r>
            <w:r>
              <w:rPr>
                <w:rFonts w:hint="eastAsia" w:ascii="仿宋" w:hAnsi="仿宋" w:eastAsia="仿宋" w:cs="仿宋"/>
                <w:color w:val="auto"/>
                <w:kern w:val="0"/>
                <w:szCs w:val="21"/>
                <w:highlight w:val="none"/>
              </w:rPr>
              <w:t>不允许</w:t>
            </w:r>
          </w:p>
        </w:tc>
      </w:tr>
      <w:tr w14:paraId="636E80B0">
        <w:tblPrEx>
          <w:tblCellMar>
            <w:top w:w="0" w:type="dxa"/>
            <w:left w:w="108" w:type="dxa"/>
            <w:bottom w:w="0" w:type="dxa"/>
            <w:right w:w="108" w:type="dxa"/>
          </w:tblCellMar>
        </w:tblPrEx>
        <w:trPr>
          <w:trHeight w:val="9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2FA19A70">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2.1</w:t>
            </w:r>
          </w:p>
        </w:tc>
        <w:tc>
          <w:tcPr>
            <w:tcW w:w="1687" w:type="dxa"/>
            <w:tcBorders>
              <w:top w:val="single" w:color="auto" w:sz="4" w:space="0"/>
              <w:left w:val="single" w:color="auto" w:sz="4" w:space="0"/>
              <w:bottom w:val="single" w:color="auto" w:sz="4" w:space="0"/>
              <w:right w:val="single" w:color="auto" w:sz="4" w:space="0"/>
            </w:tcBorders>
            <w:vAlign w:val="center"/>
          </w:tcPr>
          <w:p w14:paraId="736AE8A0">
            <w:pPr>
              <w:snapToGrid w:val="0"/>
              <w:jc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偏离</w:t>
            </w:r>
          </w:p>
        </w:tc>
        <w:tc>
          <w:tcPr>
            <w:tcW w:w="6261" w:type="dxa"/>
            <w:tcBorders>
              <w:top w:val="single" w:color="auto" w:sz="4" w:space="0"/>
              <w:left w:val="single" w:color="auto" w:sz="4" w:space="0"/>
              <w:bottom w:val="single" w:color="auto" w:sz="4" w:space="0"/>
              <w:right w:val="single" w:color="auto" w:sz="4" w:space="0"/>
            </w:tcBorders>
            <w:vAlign w:val="center"/>
          </w:tcPr>
          <w:p w14:paraId="56D78B3E">
            <w:pPr>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允许</w:t>
            </w:r>
          </w:p>
          <w:p w14:paraId="23E2B84C">
            <w:pPr>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偏差允许幅度及其处理方法：</w:t>
            </w:r>
            <w:r>
              <w:rPr>
                <w:rFonts w:hint="eastAsia" w:ascii="仿宋" w:hAnsi="仿宋" w:eastAsia="仿宋" w:cs="仿宋"/>
                <w:color w:val="auto"/>
                <w:kern w:val="0"/>
                <w:szCs w:val="21"/>
                <w:highlight w:val="none"/>
                <w:u w:val="single"/>
              </w:rPr>
              <w:t>允许细微偏差，不允许重大偏差。由评标委员会判断，细微偏差要求投标供应商在评标时予以澄清、说明或补正，不接受按要求进行澄清、说明或补正的，评标委员会有权做无效标处理</w:t>
            </w:r>
          </w:p>
        </w:tc>
      </w:tr>
      <w:tr w14:paraId="5DCBC27F">
        <w:tblPrEx>
          <w:tblCellMar>
            <w:top w:w="0" w:type="dxa"/>
            <w:left w:w="108" w:type="dxa"/>
            <w:bottom w:w="0" w:type="dxa"/>
            <w:right w:w="108" w:type="dxa"/>
          </w:tblCellMar>
        </w:tblPrEx>
        <w:trPr>
          <w:trHeight w:val="9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6156921F">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2.2</w:t>
            </w:r>
          </w:p>
        </w:tc>
        <w:tc>
          <w:tcPr>
            <w:tcW w:w="1687" w:type="dxa"/>
            <w:tcBorders>
              <w:top w:val="single" w:color="auto" w:sz="4" w:space="0"/>
              <w:left w:val="single" w:color="auto" w:sz="4" w:space="0"/>
              <w:bottom w:val="single" w:color="auto" w:sz="4" w:space="0"/>
              <w:right w:val="single" w:color="auto" w:sz="4" w:space="0"/>
            </w:tcBorders>
            <w:vAlign w:val="center"/>
          </w:tcPr>
          <w:p w14:paraId="613B302E">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核心产品</w:t>
            </w:r>
          </w:p>
        </w:tc>
        <w:tc>
          <w:tcPr>
            <w:tcW w:w="6261" w:type="dxa"/>
            <w:tcBorders>
              <w:top w:val="single" w:color="auto" w:sz="4" w:space="0"/>
              <w:left w:val="single" w:color="auto" w:sz="4" w:space="0"/>
              <w:bottom w:val="single" w:color="auto" w:sz="4" w:space="0"/>
              <w:right w:val="single" w:color="auto" w:sz="4" w:space="0"/>
            </w:tcBorders>
            <w:vAlign w:val="center"/>
          </w:tcPr>
          <w:p w14:paraId="4AC33905">
            <w:pPr>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负压收集处理系统（核心产品）</w:t>
            </w:r>
          </w:p>
          <w:p w14:paraId="7F735443">
            <w:pPr>
              <w:snapToGrid w:val="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植物液综合处理系统（核心产品）</w:t>
            </w:r>
          </w:p>
        </w:tc>
      </w:tr>
      <w:tr w14:paraId="4A07E45C">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4F36ECD3">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2.3</w:t>
            </w:r>
          </w:p>
        </w:tc>
        <w:tc>
          <w:tcPr>
            <w:tcW w:w="1687" w:type="dxa"/>
            <w:tcBorders>
              <w:top w:val="single" w:color="auto" w:sz="4" w:space="0"/>
              <w:left w:val="single" w:color="auto" w:sz="4" w:space="0"/>
              <w:bottom w:val="single" w:color="auto" w:sz="4" w:space="0"/>
              <w:right w:val="single" w:color="auto" w:sz="4" w:space="0"/>
            </w:tcBorders>
            <w:vAlign w:val="center"/>
          </w:tcPr>
          <w:p w14:paraId="4AE45D0E">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是否允许采购进口产品</w:t>
            </w:r>
          </w:p>
        </w:tc>
        <w:tc>
          <w:tcPr>
            <w:tcW w:w="6261" w:type="dxa"/>
            <w:tcBorders>
              <w:top w:val="single" w:color="auto" w:sz="4" w:space="0"/>
              <w:left w:val="single" w:color="auto" w:sz="4" w:space="0"/>
              <w:bottom w:val="single" w:color="auto" w:sz="4" w:space="0"/>
              <w:right w:val="single" w:color="auto" w:sz="4" w:space="0"/>
            </w:tcBorders>
            <w:vAlign w:val="center"/>
          </w:tcPr>
          <w:p w14:paraId="18E5E534">
            <w:pPr>
              <w:snapToGrid w:val="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sym w:font="Wingdings" w:char="F0FE"/>
            </w:r>
            <w:r>
              <w:rPr>
                <w:rFonts w:hint="eastAsia" w:ascii="仿宋" w:hAnsi="仿宋" w:eastAsia="仿宋" w:cs="仿宋"/>
                <w:color w:val="auto"/>
                <w:szCs w:val="21"/>
                <w:highlight w:val="none"/>
              </w:rPr>
              <w:t>不允许</w:t>
            </w:r>
          </w:p>
        </w:tc>
      </w:tr>
      <w:tr w14:paraId="0D959543">
        <w:tblPrEx>
          <w:tblCellMar>
            <w:top w:w="0" w:type="dxa"/>
            <w:left w:w="108" w:type="dxa"/>
            <w:bottom w:w="0" w:type="dxa"/>
            <w:right w:w="108" w:type="dxa"/>
          </w:tblCellMar>
        </w:tblPrEx>
        <w:trPr>
          <w:trHeight w:val="658"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267CBE88">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2.3</w:t>
            </w:r>
          </w:p>
        </w:tc>
        <w:tc>
          <w:tcPr>
            <w:tcW w:w="1687" w:type="dxa"/>
            <w:tcBorders>
              <w:top w:val="single" w:color="auto" w:sz="4" w:space="0"/>
              <w:left w:val="single" w:color="auto" w:sz="4" w:space="0"/>
              <w:bottom w:val="single" w:color="auto" w:sz="4" w:space="0"/>
              <w:right w:val="single" w:color="auto" w:sz="4" w:space="0"/>
            </w:tcBorders>
            <w:vAlign w:val="center"/>
          </w:tcPr>
          <w:p w14:paraId="237655E8">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是否要求节能产品、环境标志产品</w:t>
            </w:r>
          </w:p>
        </w:tc>
        <w:tc>
          <w:tcPr>
            <w:tcW w:w="6261" w:type="dxa"/>
            <w:tcBorders>
              <w:top w:val="single" w:color="auto" w:sz="4" w:space="0"/>
              <w:left w:val="single" w:color="auto" w:sz="4" w:space="0"/>
              <w:bottom w:val="single" w:color="auto" w:sz="4" w:space="0"/>
              <w:right w:val="single" w:color="auto" w:sz="4" w:space="0"/>
            </w:tcBorders>
            <w:vAlign w:val="center"/>
          </w:tcPr>
          <w:p w14:paraId="6A81448F">
            <w:pPr>
              <w:snapToGrid w:val="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FBF14A5">
        <w:tblPrEx>
          <w:tblCellMar>
            <w:top w:w="0" w:type="dxa"/>
            <w:left w:w="108" w:type="dxa"/>
            <w:bottom w:w="0" w:type="dxa"/>
            <w:right w:w="108" w:type="dxa"/>
          </w:tblCellMar>
        </w:tblPrEx>
        <w:trPr>
          <w:trHeight w:val="9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665D6A92">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6.1</w:t>
            </w:r>
          </w:p>
        </w:tc>
        <w:tc>
          <w:tcPr>
            <w:tcW w:w="1687" w:type="dxa"/>
            <w:tcBorders>
              <w:top w:val="single" w:color="auto" w:sz="4" w:space="0"/>
              <w:left w:val="single" w:color="auto" w:sz="4" w:space="0"/>
              <w:bottom w:val="single" w:color="auto" w:sz="4" w:space="0"/>
              <w:right w:val="single" w:color="auto" w:sz="4" w:space="0"/>
            </w:tcBorders>
            <w:vAlign w:val="center"/>
          </w:tcPr>
          <w:p w14:paraId="0E3FEDF0">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标前答疑会或现场考察</w:t>
            </w:r>
          </w:p>
        </w:tc>
        <w:tc>
          <w:tcPr>
            <w:tcW w:w="6261" w:type="dxa"/>
            <w:tcBorders>
              <w:top w:val="single" w:color="auto" w:sz="4" w:space="0"/>
              <w:left w:val="single" w:color="auto" w:sz="4" w:space="0"/>
              <w:bottom w:val="single" w:color="auto" w:sz="4" w:space="0"/>
              <w:right w:val="single" w:color="auto" w:sz="4" w:space="0"/>
            </w:tcBorders>
            <w:vAlign w:val="center"/>
          </w:tcPr>
          <w:p w14:paraId="0D1BB040">
            <w:pPr>
              <w:snapToGrid w:val="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sym w:font="Wingdings" w:char="F0FE"/>
            </w:r>
            <w:r>
              <w:rPr>
                <w:rFonts w:hint="eastAsia" w:ascii="仿宋" w:hAnsi="仿宋" w:eastAsia="仿宋" w:cs="仿宋"/>
                <w:color w:val="auto"/>
                <w:szCs w:val="21"/>
                <w:highlight w:val="none"/>
              </w:rPr>
              <w:t>不组织</w:t>
            </w:r>
          </w:p>
        </w:tc>
      </w:tr>
      <w:tr w14:paraId="39A8099C">
        <w:tblPrEx>
          <w:tblCellMar>
            <w:top w:w="0" w:type="dxa"/>
            <w:left w:w="108" w:type="dxa"/>
            <w:bottom w:w="0" w:type="dxa"/>
            <w:right w:w="108" w:type="dxa"/>
          </w:tblCellMar>
        </w:tblPrEx>
        <w:trPr>
          <w:trHeight w:val="9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1D78D753">
            <w:pPr>
              <w:autoSpaceDE w:val="0"/>
              <w:autoSpaceDN w:val="0"/>
              <w:snapToGrid w:val="0"/>
              <w:jc w:val="center"/>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10.4</w:t>
            </w:r>
          </w:p>
        </w:tc>
        <w:tc>
          <w:tcPr>
            <w:tcW w:w="1687" w:type="dxa"/>
            <w:tcBorders>
              <w:top w:val="single" w:color="auto" w:sz="4" w:space="0"/>
              <w:left w:val="single" w:color="auto" w:sz="4" w:space="0"/>
              <w:bottom w:val="single" w:color="auto" w:sz="4" w:space="0"/>
              <w:right w:val="single" w:color="auto" w:sz="4" w:space="0"/>
            </w:tcBorders>
            <w:vAlign w:val="center"/>
          </w:tcPr>
          <w:p w14:paraId="4F2F7016">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样品的提供</w:t>
            </w:r>
          </w:p>
        </w:tc>
        <w:tc>
          <w:tcPr>
            <w:tcW w:w="6261" w:type="dxa"/>
            <w:tcBorders>
              <w:top w:val="single" w:color="auto" w:sz="4" w:space="0"/>
              <w:left w:val="single" w:color="auto" w:sz="4" w:space="0"/>
              <w:bottom w:val="single" w:color="auto" w:sz="4" w:space="0"/>
              <w:right w:val="single" w:color="auto" w:sz="4" w:space="0"/>
            </w:tcBorders>
            <w:vAlign w:val="center"/>
          </w:tcPr>
          <w:p w14:paraId="228FBFC1">
            <w:pPr>
              <w:snapToGrid w:val="0"/>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sym w:font="Wingdings" w:char="00FE"/>
            </w:r>
            <w:r>
              <w:rPr>
                <w:rFonts w:hint="eastAsia" w:ascii="仿宋" w:hAnsi="仿宋" w:eastAsia="仿宋" w:cs="仿宋"/>
                <w:color w:val="auto"/>
                <w:szCs w:val="21"/>
                <w:highlight w:val="none"/>
              </w:rPr>
              <w:t>不要求提供</w:t>
            </w:r>
          </w:p>
        </w:tc>
      </w:tr>
      <w:tr w14:paraId="315BDEB0">
        <w:tblPrEx>
          <w:tblCellMar>
            <w:top w:w="0" w:type="dxa"/>
            <w:left w:w="108" w:type="dxa"/>
            <w:bottom w:w="0" w:type="dxa"/>
            <w:right w:w="108" w:type="dxa"/>
          </w:tblCellMar>
        </w:tblPrEx>
        <w:trPr>
          <w:trHeight w:val="9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6F3C35A2">
            <w:pPr>
              <w:autoSpaceDE w:val="0"/>
              <w:autoSpaceDN w:val="0"/>
              <w:snapToGrid w:val="0"/>
              <w:jc w:val="center"/>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10.4</w:t>
            </w:r>
          </w:p>
        </w:tc>
        <w:tc>
          <w:tcPr>
            <w:tcW w:w="1687" w:type="dxa"/>
            <w:tcBorders>
              <w:top w:val="single" w:color="auto" w:sz="4" w:space="0"/>
              <w:left w:val="single" w:color="auto" w:sz="4" w:space="0"/>
              <w:bottom w:val="single" w:color="auto" w:sz="4" w:space="0"/>
              <w:right w:val="single" w:color="auto" w:sz="4" w:space="0"/>
            </w:tcBorders>
            <w:vAlign w:val="center"/>
          </w:tcPr>
          <w:p w14:paraId="52855254">
            <w:pPr>
              <w:snapToGrid w:val="0"/>
              <w:jc w:val="center"/>
              <w:rPr>
                <w:rFonts w:hint="eastAsia" w:ascii="仿宋" w:hAnsi="仿宋" w:eastAsia="仿宋" w:cs="仿宋"/>
                <w:bCs/>
                <w:color w:val="auto"/>
                <w:szCs w:val="21"/>
                <w:highlight w:val="none"/>
              </w:rPr>
            </w:pPr>
            <w:r>
              <w:rPr>
                <w:rFonts w:hint="eastAsia" w:ascii="仿宋" w:hAnsi="仿宋" w:eastAsia="仿宋" w:cs="仿宋"/>
                <w:color w:val="auto"/>
                <w:szCs w:val="21"/>
                <w:highlight w:val="none"/>
              </w:rPr>
              <w:t>讲解或演示</w:t>
            </w:r>
          </w:p>
        </w:tc>
        <w:tc>
          <w:tcPr>
            <w:tcW w:w="6261" w:type="dxa"/>
            <w:tcBorders>
              <w:top w:val="single" w:color="auto" w:sz="4" w:space="0"/>
              <w:left w:val="single" w:color="auto" w:sz="4" w:space="0"/>
              <w:bottom w:val="single" w:color="auto" w:sz="4" w:space="0"/>
              <w:right w:val="single" w:color="auto" w:sz="4" w:space="0"/>
            </w:tcBorders>
            <w:vAlign w:val="center"/>
          </w:tcPr>
          <w:p w14:paraId="725E18A0">
            <w:pPr>
              <w:snapToGrid w:val="0"/>
              <w:rPr>
                <w:rFonts w:hint="eastAsia" w:ascii="仿宋" w:hAnsi="仿宋" w:eastAsia="仿宋" w:cs="仿宋"/>
                <w:b/>
                <w:color w:val="auto"/>
                <w:kern w:val="0"/>
                <w:szCs w:val="21"/>
                <w:highlight w:val="none"/>
                <w:lang w:val="zh-CN"/>
              </w:rPr>
            </w:pPr>
            <w:r>
              <w:rPr>
                <w:rFonts w:hint="eastAsia" w:ascii="仿宋" w:hAnsi="仿宋" w:eastAsia="仿宋" w:cs="仿宋"/>
                <w:color w:val="auto"/>
                <w:kern w:val="0"/>
                <w:szCs w:val="21"/>
                <w:highlight w:val="none"/>
              </w:rPr>
              <w:sym w:font="Wingdings" w:char="F0FE"/>
            </w:r>
            <w:r>
              <w:rPr>
                <w:rFonts w:hint="eastAsia" w:ascii="仿宋" w:hAnsi="仿宋" w:eastAsia="仿宋" w:cs="仿宋"/>
                <w:color w:val="auto"/>
                <w:kern w:val="0"/>
                <w:szCs w:val="21"/>
                <w:highlight w:val="none"/>
                <w:lang w:eastAsia="zh-CN"/>
              </w:rPr>
              <w:t>不</w:t>
            </w:r>
            <w:r>
              <w:rPr>
                <w:rFonts w:hint="eastAsia" w:ascii="仿宋" w:hAnsi="仿宋" w:eastAsia="仿宋" w:cs="仿宋"/>
                <w:color w:val="auto"/>
                <w:szCs w:val="21"/>
                <w:highlight w:val="none"/>
              </w:rPr>
              <w:t>组织</w:t>
            </w:r>
          </w:p>
        </w:tc>
      </w:tr>
      <w:tr w14:paraId="1AF3E51F">
        <w:tblPrEx>
          <w:tblCellMar>
            <w:top w:w="0" w:type="dxa"/>
            <w:left w:w="108" w:type="dxa"/>
            <w:bottom w:w="0" w:type="dxa"/>
            <w:right w:w="108" w:type="dxa"/>
          </w:tblCellMar>
        </w:tblPrEx>
        <w:trPr>
          <w:trHeight w:val="31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3657461E">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13.3</w:t>
            </w:r>
          </w:p>
        </w:tc>
        <w:tc>
          <w:tcPr>
            <w:tcW w:w="1687" w:type="dxa"/>
            <w:tcBorders>
              <w:top w:val="single" w:color="auto" w:sz="4" w:space="0"/>
              <w:left w:val="single" w:color="auto" w:sz="4" w:space="0"/>
              <w:bottom w:val="single" w:color="auto" w:sz="4" w:space="0"/>
              <w:right w:val="single" w:color="auto" w:sz="4" w:space="0"/>
            </w:tcBorders>
            <w:vAlign w:val="center"/>
          </w:tcPr>
          <w:p w14:paraId="6A0C396E">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投标报价的其他要求</w:t>
            </w:r>
          </w:p>
        </w:tc>
        <w:tc>
          <w:tcPr>
            <w:tcW w:w="6261" w:type="dxa"/>
            <w:tcBorders>
              <w:top w:val="single" w:color="auto" w:sz="4" w:space="0"/>
              <w:left w:val="single" w:color="auto" w:sz="4" w:space="0"/>
              <w:bottom w:val="single" w:color="auto" w:sz="4" w:space="0"/>
              <w:right w:val="single" w:color="auto" w:sz="4" w:space="0"/>
            </w:tcBorders>
            <w:vAlign w:val="center"/>
          </w:tcPr>
          <w:p w14:paraId="17F38C72">
            <w:pPr>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w:t>
            </w:r>
            <w:r>
              <w:rPr>
                <w:rFonts w:hint="eastAsia" w:ascii="仿宋" w:hAnsi="仿宋" w:eastAsia="仿宋" w:cs="仿宋"/>
                <w:color w:val="auto"/>
                <w:kern w:val="0"/>
                <w:szCs w:val="21"/>
                <w:highlight w:val="none"/>
                <w:lang w:val="zh-CN"/>
              </w:rPr>
              <w:t>报价包含的内容：</w:t>
            </w:r>
          </w:p>
          <w:p w14:paraId="4B573D27">
            <w:pPr>
              <w:snapToGrid w:val="0"/>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sym w:font="Wingdings" w:char="F0FE"/>
            </w:r>
            <w:r>
              <w:rPr>
                <w:rFonts w:hint="eastAsia" w:ascii="仿宋" w:hAnsi="仿宋" w:eastAsia="仿宋" w:cs="仿宋"/>
                <w:bCs/>
                <w:color w:val="auto"/>
                <w:szCs w:val="21"/>
                <w:highlight w:val="none"/>
                <w:u w:val="single"/>
              </w:rPr>
              <w:t xml:space="preserve"> 货物供货、检测、试验、至最终目的地的运费和保险费、装卸、现场仓储、税金以及安装、调试、测试、验收、技术服务、培训、售后服务、质保期保障等完成合同所需的一切本身和不可或缺的所有工作开支、政策性文件规定及合同包含的所有风险、责任等全部费用，实行固定总价包干</w:t>
            </w:r>
            <w:r>
              <w:rPr>
                <w:rFonts w:hint="eastAsia" w:ascii="仿宋" w:hAnsi="仿宋" w:eastAsia="仿宋" w:cs="仿宋"/>
                <w:color w:val="auto"/>
                <w:kern w:val="0"/>
                <w:szCs w:val="21"/>
                <w:highlight w:val="none"/>
              </w:rPr>
              <w:t>；</w:t>
            </w:r>
          </w:p>
          <w:p w14:paraId="4695147B">
            <w:pPr>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sym w:font="Wingdings" w:char="F0FE"/>
            </w:r>
            <w:r>
              <w:rPr>
                <w:rFonts w:hint="eastAsia" w:ascii="仿宋" w:hAnsi="仿宋" w:eastAsia="仿宋" w:cs="仿宋"/>
                <w:color w:val="auto"/>
                <w:kern w:val="0"/>
                <w:szCs w:val="21"/>
                <w:highlight w:val="none"/>
                <w:u w:val="single"/>
              </w:rPr>
              <w:t>履约验收费用（包含第三方检测及评审费用）</w:t>
            </w:r>
          </w:p>
        </w:tc>
      </w:tr>
      <w:tr w14:paraId="38AE3E9C">
        <w:tblPrEx>
          <w:tblCellMar>
            <w:top w:w="0" w:type="dxa"/>
            <w:left w:w="108" w:type="dxa"/>
            <w:bottom w:w="0" w:type="dxa"/>
            <w:right w:w="108" w:type="dxa"/>
          </w:tblCellMar>
        </w:tblPrEx>
        <w:trPr>
          <w:trHeight w:val="9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1D7C8C2D">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14</w:t>
            </w:r>
          </w:p>
        </w:tc>
        <w:tc>
          <w:tcPr>
            <w:tcW w:w="1687" w:type="dxa"/>
            <w:tcBorders>
              <w:top w:val="single" w:color="auto" w:sz="4" w:space="0"/>
              <w:left w:val="single" w:color="auto" w:sz="4" w:space="0"/>
              <w:bottom w:val="single" w:color="auto" w:sz="4" w:space="0"/>
              <w:right w:val="single" w:color="auto" w:sz="4" w:space="0"/>
            </w:tcBorders>
            <w:vAlign w:val="center"/>
          </w:tcPr>
          <w:p w14:paraId="6DA7A3B6">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投标保证金</w:t>
            </w:r>
          </w:p>
        </w:tc>
        <w:tc>
          <w:tcPr>
            <w:tcW w:w="6261" w:type="dxa"/>
            <w:tcBorders>
              <w:top w:val="single" w:color="auto" w:sz="4" w:space="0"/>
              <w:left w:val="single" w:color="auto" w:sz="4" w:space="0"/>
              <w:bottom w:val="single" w:color="auto" w:sz="4" w:space="0"/>
              <w:right w:val="single" w:color="auto" w:sz="4" w:space="0"/>
            </w:tcBorders>
            <w:vAlign w:val="center"/>
          </w:tcPr>
          <w:p w14:paraId="607A9E74">
            <w:pPr>
              <w:snapToGrid w:val="0"/>
              <w:rPr>
                <w:rFonts w:hint="eastAsia" w:ascii="仿宋" w:hAnsi="仿宋" w:eastAsia="仿宋" w:cs="仿宋"/>
                <w:color w:val="auto"/>
                <w:sz w:val="21"/>
                <w:szCs w:val="21"/>
                <w:highlight w:val="none"/>
                <w:u w:val="single"/>
              </w:rPr>
            </w:pPr>
            <w:r>
              <w:rPr>
                <w:rFonts w:hint="eastAsia" w:ascii="仿宋" w:hAnsi="仿宋" w:eastAsia="仿宋" w:cs="仿宋"/>
                <w:color w:val="auto"/>
                <w:kern w:val="0"/>
                <w:szCs w:val="21"/>
                <w:highlight w:val="none"/>
              </w:rPr>
              <w:sym w:font="Wingdings" w:char="F0FE"/>
            </w:r>
            <w:r>
              <w:rPr>
                <w:rFonts w:hint="eastAsia" w:ascii="仿宋" w:hAnsi="仿宋" w:eastAsia="仿宋" w:cs="仿宋"/>
                <w:color w:val="auto"/>
                <w:kern w:val="0"/>
                <w:szCs w:val="21"/>
                <w:highlight w:val="none"/>
              </w:rPr>
              <w:t>无需提交</w:t>
            </w:r>
          </w:p>
        </w:tc>
      </w:tr>
      <w:tr w14:paraId="42A2A561">
        <w:tblPrEx>
          <w:tblCellMar>
            <w:top w:w="0" w:type="dxa"/>
            <w:left w:w="108" w:type="dxa"/>
            <w:bottom w:w="0" w:type="dxa"/>
            <w:right w:w="108" w:type="dxa"/>
          </w:tblCellMar>
        </w:tblPrEx>
        <w:trPr>
          <w:trHeight w:val="9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0CC2DC1B">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15</w:t>
            </w:r>
          </w:p>
        </w:tc>
        <w:tc>
          <w:tcPr>
            <w:tcW w:w="1687" w:type="dxa"/>
            <w:tcBorders>
              <w:top w:val="single" w:color="auto" w:sz="4" w:space="0"/>
              <w:left w:val="single" w:color="auto" w:sz="4" w:space="0"/>
              <w:bottom w:val="single" w:color="auto" w:sz="4" w:space="0"/>
              <w:right w:val="single" w:color="auto" w:sz="4" w:space="0"/>
            </w:tcBorders>
            <w:vAlign w:val="center"/>
          </w:tcPr>
          <w:p w14:paraId="7C7D234E">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投标有效期</w:t>
            </w:r>
          </w:p>
        </w:tc>
        <w:tc>
          <w:tcPr>
            <w:tcW w:w="6261" w:type="dxa"/>
            <w:tcBorders>
              <w:top w:val="single" w:color="auto" w:sz="4" w:space="0"/>
              <w:left w:val="single" w:color="auto" w:sz="4" w:space="0"/>
              <w:bottom w:val="single" w:color="auto" w:sz="4" w:space="0"/>
              <w:right w:val="single" w:color="auto" w:sz="4" w:space="0"/>
            </w:tcBorders>
            <w:vAlign w:val="center"/>
          </w:tcPr>
          <w:p w14:paraId="4AD452D5">
            <w:pPr>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u w:val="single"/>
              </w:rPr>
              <w:t>90</w:t>
            </w:r>
            <w:r>
              <w:rPr>
                <w:rFonts w:hint="eastAsia" w:ascii="仿宋" w:hAnsi="仿宋" w:eastAsia="仿宋" w:cs="仿宋"/>
                <w:color w:val="auto"/>
                <w:kern w:val="0"/>
                <w:szCs w:val="21"/>
                <w:highlight w:val="none"/>
              </w:rPr>
              <w:t>天</w:t>
            </w:r>
          </w:p>
        </w:tc>
      </w:tr>
      <w:tr w14:paraId="22F6906B">
        <w:tblPrEx>
          <w:tblCellMar>
            <w:top w:w="0" w:type="dxa"/>
            <w:left w:w="108" w:type="dxa"/>
            <w:bottom w:w="0" w:type="dxa"/>
            <w:right w:w="108" w:type="dxa"/>
          </w:tblCellMar>
        </w:tblPrEx>
        <w:trPr>
          <w:trHeight w:val="464"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04B4567D">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17</w:t>
            </w:r>
          </w:p>
        </w:tc>
        <w:tc>
          <w:tcPr>
            <w:tcW w:w="1687" w:type="dxa"/>
            <w:tcBorders>
              <w:top w:val="single" w:color="auto" w:sz="4" w:space="0"/>
              <w:left w:val="single" w:color="auto" w:sz="4" w:space="0"/>
              <w:bottom w:val="single" w:color="auto" w:sz="4" w:space="0"/>
              <w:right w:val="single" w:color="auto" w:sz="4" w:space="0"/>
            </w:tcBorders>
            <w:vAlign w:val="center"/>
          </w:tcPr>
          <w:p w14:paraId="570749A1">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备份投标文件的递交地点</w:t>
            </w:r>
          </w:p>
        </w:tc>
        <w:tc>
          <w:tcPr>
            <w:tcW w:w="6261" w:type="dxa"/>
            <w:tcBorders>
              <w:top w:val="single" w:color="auto" w:sz="4" w:space="0"/>
              <w:left w:val="single" w:color="auto" w:sz="4" w:space="0"/>
              <w:bottom w:val="single" w:color="auto" w:sz="4" w:space="0"/>
              <w:right w:val="single" w:color="auto" w:sz="4" w:space="0"/>
            </w:tcBorders>
            <w:vAlign w:val="center"/>
          </w:tcPr>
          <w:p w14:paraId="4F99B033">
            <w:pPr>
              <w:snapToGrid w:val="0"/>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 xml:space="preserve">1、可以开标当天在投标递交截止时间前自行送达至开标地点。 </w:t>
            </w:r>
          </w:p>
          <w:p w14:paraId="28F419CD">
            <w:pPr>
              <w:snapToGrid w:val="0"/>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2、可以（邮寄形式，建议顺丰）在投标截止时间前一天递交，并需采购代理机构确认是否收到。</w:t>
            </w:r>
          </w:p>
          <w:p w14:paraId="30D4B6D1">
            <w:pPr>
              <w:snapToGrid w:val="0"/>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开标（邮寄）地址：温州市车站大道75号金鳞商务楼三楼</w:t>
            </w:r>
          </w:p>
          <w:p w14:paraId="01112CFE">
            <w:pPr>
              <w:snapToGrid w:val="0"/>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联系人：王海鹏   联系电话：15158555213</w:t>
            </w:r>
          </w:p>
          <w:p w14:paraId="0F54EDD1">
            <w:pPr>
              <w:snapToGrid w:val="0"/>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3、可以</w:t>
            </w:r>
            <w:r>
              <w:rPr>
                <w:rFonts w:hint="eastAsia" w:ascii="仿宋" w:hAnsi="仿宋" w:eastAsia="仿宋" w:cs="仿宋"/>
                <w:bCs/>
                <w:color w:val="auto"/>
                <w:szCs w:val="21"/>
                <w:highlight w:val="none"/>
                <w:lang w:val="en-US" w:eastAsia="zh-CN"/>
              </w:rPr>
              <w:fldChar w:fldCharType="begin"/>
            </w:r>
            <w:r>
              <w:rPr>
                <w:rFonts w:hint="eastAsia" w:ascii="仿宋" w:hAnsi="仿宋" w:eastAsia="仿宋" w:cs="仿宋"/>
                <w:bCs/>
                <w:color w:val="auto"/>
                <w:szCs w:val="21"/>
                <w:highlight w:val="none"/>
                <w:lang w:val="en-US" w:eastAsia="zh-CN"/>
              </w:rPr>
              <w:instrText xml:space="preserve"> HYPERLINK "mailto:备份电子响应文件以介质（电子邮件方式传送至电子邮箱406324231@qq.com）存储的数据电文形式（如有）1份，传送的备份电子响应文件需打包压缩并加密，加密密码由供应商自行保管，未加密导致投标信息泄露的风险由供应商自行承担。" </w:instrText>
            </w:r>
            <w:r>
              <w:rPr>
                <w:rFonts w:hint="eastAsia" w:ascii="仿宋" w:hAnsi="仿宋" w:eastAsia="仿宋" w:cs="仿宋"/>
                <w:bCs/>
                <w:color w:val="auto"/>
                <w:szCs w:val="21"/>
                <w:highlight w:val="none"/>
                <w:lang w:val="en-US" w:eastAsia="zh-CN"/>
              </w:rPr>
              <w:fldChar w:fldCharType="separate"/>
            </w:r>
            <w:r>
              <w:rPr>
                <w:rFonts w:hint="eastAsia" w:ascii="仿宋" w:hAnsi="仿宋" w:eastAsia="仿宋" w:cs="仿宋"/>
                <w:bCs/>
                <w:color w:val="auto"/>
                <w:szCs w:val="21"/>
                <w:highlight w:val="none"/>
                <w:lang w:val="en-US" w:eastAsia="zh-CN"/>
              </w:rPr>
              <w:t>以电子邮件方式传送至电子邮箱406324231@qq.com，邮件内容需打包压缩并加密，加密密码由供应商自行保管，未加密导致投标信息泄露的风险由供应商自行承担。</w:t>
            </w:r>
            <w:r>
              <w:rPr>
                <w:rFonts w:hint="eastAsia" w:ascii="仿宋" w:hAnsi="仿宋" w:eastAsia="仿宋" w:cs="仿宋"/>
                <w:bCs/>
                <w:color w:val="auto"/>
                <w:szCs w:val="21"/>
                <w:highlight w:val="none"/>
                <w:lang w:val="en-US" w:eastAsia="zh-CN"/>
              </w:rPr>
              <w:fldChar w:fldCharType="end"/>
            </w:r>
          </w:p>
          <w:p w14:paraId="4898577A">
            <w:pPr>
              <w:snapToGrid w:val="0"/>
              <w:rPr>
                <w:rFonts w:hint="eastAsia" w:ascii="仿宋" w:hAnsi="仿宋" w:eastAsia="仿宋" w:cs="仿宋"/>
                <w:color w:val="auto"/>
                <w:kern w:val="0"/>
                <w:szCs w:val="21"/>
                <w:highlight w:val="none"/>
              </w:rPr>
            </w:pPr>
            <w:r>
              <w:rPr>
                <w:rFonts w:hint="eastAsia" w:ascii="仿宋" w:hAnsi="仿宋" w:eastAsia="仿宋" w:cs="仿宋"/>
                <w:bCs/>
                <w:color w:val="auto"/>
                <w:szCs w:val="21"/>
                <w:highlight w:val="none"/>
                <w:lang w:val="en-US" w:eastAsia="zh-CN"/>
              </w:rPr>
              <w:t>（若不提供备份投标文件，开标当天电子加密投标文件解密失败，投标人自行负责。）</w:t>
            </w:r>
          </w:p>
        </w:tc>
      </w:tr>
      <w:tr w14:paraId="0CBE84A8">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31D60885">
            <w:pPr>
              <w:snapToGrid w:val="0"/>
              <w:jc w:val="center"/>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rPr>
              <w:t>28.1</w:t>
            </w:r>
          </w:p>
        </w:tc>
        <w:tc>
          <w:tcPr>
            <w:tcW w:w="1687" w:type="dxa"/>
            <w:tcBorders>
              <w:top w:val="single" w:color="auto" w:sz="4" w:space="0"/>
              <w:left w:val="single" w:color="auto" w:sz="4" w:space="0"/>
              <w:bottom w:val="single" w:color="auto" w:sz="4" w:space="0"/>
              <w:right w:val="single" w:color="auto" w:sz="4" w:space="0"/>
            </w:tcBorders>
            <w:vAlign w:val="center"/>
          </w:tcPr>
          <w:p w14:paraId="6D3AADE9">
            <w:pPr>
              <w:snapToGrid w:val="0"/>
              <w:jc w:val="center"/>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rPr>
              <w:t>履约保证金</w:t>
            </w:r>
          </w:p>
        </w:tc>
        <w:tc>
          <w:tcPr>
            <w:tcW w:w="6261" w:type="dxa"/>
            <w:tcBorders>
              <w:top w:val="single" w:color="auto" w:sz="4" w:space="0"/>
              <w:left w:val="single" w:color="auto" w:sz="4" w:space="0"/>
              <w:bottom w:val="single" w:color="auto" w:sz="4" w:space="0"/>
              <w:right w:val="single" w:color="auto" w:sz="4" w:space="0"/>
            </w:tcBorders>
            <w:vAlign w:val="center"/>
          </w:tcPr>
          <w:p w14:paraId="69310E25">
            <w:pPr>
              <w:snapToGrid w:val="0"/>
              <w:rPr>
                <w:rFonts w:hint="eastAsia" w:ascii="仿宋" w:hAnsi="仿宋" w:eastAsia="仿宋" w:cs="仿宋"/>
                <w:bCs/>
                <w:color w:val="auto"/>
                <w:szCs w:val="21"/>
                <w:highlight w:val="none"/>
              </w:rPr>
            </w:pPr>
            <w:r>
              <w:rPr>
                <w:rFonts w:hint="eastAsia" w:ascii="仿宋" w:hAnsi="仿宋" w:eastAsia="仿宋" w:cs="仿宋"/>
                <w:snapToGrid w:val="0"/>
                <w:color w:val="auto"/>
                <w:szCs w:val="21"/>
                <w:highlight w:val="none"/>
              </w:rPr>
              <w:sym w:font="Wingdings" w:char="F0FE"/>
            </w:r>
            <w:r>
              <w:rPr>
                <w:rFonts w:hint="eastAsia" w:ascii="仿宋" w:hAnsi="仿宋" w:eastAsia="仿宋" w:cs="仿宋"/>
                <w:snapToGrid w:val="0"/>
                <w:color w:val="auto"/>
                <w:szCs w:val="21"/>
                <w:highlight w:val="none"/>
              </w:rPr>
              <w:t>需</w:t>
            </w:r>
            <w:r>
              <w:rPr>
                <w:rFonts w:hint="eastAsia" w:ascii="仿宋" w:hAnsi="仿宋" w:eastAsia="仿宋" w:cs="仿宋"/>
                <w:color w:val="auto"/>
                <w:szCs w:val="21"/>
                <w:highlight w:val="none"/>
              </w:rPr>
              <w:t>要，</w:t>
            </w:r>
            <w:r>
              <w:rPr>
                <w:rFonts w:hint="eastAsia" w:ascii="仿宋" w:hAnsi="仿宋" w:eastAsia="仿宋" w:cs="仿宋"/>
                <w:bCs/>
                <w:color w:val="auto"/>
                <w:szCs w:val="21"/>
                <w:highlight w:val="none"/>
              </w:rPr>
              <w:t>提交合同金额</w:t>
            </w:r>
            <w:r>
              <w:rPr>
                <w:rFonts w:hint="eastAsia" w:ascii="仿宋" w:hAnsi="仿宋" w:eastAsia="仿宋" w:cs="仿宋"/>
                <w:bCs/>
                <w:color w:val="auto"/>
                <w:szCs w:val="21"/>
                <w:highlight w:val="none"/>
                <w:u w:val="single"/>
              </w:rPr>
              <w:t xml:space="preserve"> </w:t>
            </w:r>
            <w:r>
              <w:rPr>
                <w:rFonts w:hint="eastAsia" w:ascii="仿宋" w:hAnsi="仿宋" w:eastAsia="仿宋" w:cs="仿宋"/>
                <w:bCs/>
                <w:color w:val="auto"/>
                <w:szCs w:val="21"/>
                <w:highlight w:val="none"/>
                <w:u w:val="single"/>
                <w:lang w:val="en-US" w:eastAsia="zh-CN"/>
              </w:rPr>
              <w:t>1</w:t>
            </w:r>
            <w:r>
              <w:rPr>
                <w:rFonts w:hint="eastAsia" w:ascii="仿宋" w:hAnsi="仿宋" w:eastAsia="仿宋" w:cs="仿宋"/>
                <w:bCs/>
                <w:color w:val="auto"/>
                <w:szCs w:val="21"/>
                <w:highlight w:val="none"/>
                <w:u w:val="single"/>
              </w:rPr>
              <w:t xml:space="preserve"> </w:t>
            </w:r>
            <w:r>
              <w:rPr>
                <w:rFonts w:hint="eastAsia" w:ascii="仿宋" w:hAnsi="仿宋" w:eastAsia="仿宋" w:cs="仿宋"/>
                <w:bCs/>
                <w:color w:val="auto"/>
                <w:szCs w:val="21"/>
                <w:highlight w:val="none"/>
              </w:rPr>
              <w:t>%的履约保证金</w:t>
            </w:r>
          </w:p>
          <w:p w14:paraId="09721E14">
            <w:pPr>
              <w:snapToGrid w:val="0"/>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供应商可登录政采云平台-【金融服务】—【我的项目】—【已备案合同】以保函形式提供履约保证金：</w:t>
            </w:r>
          </w:p>
          <w:p w14:paraId="12FBDD67">
            <w:pPr>
              <w:snapToGrid w:val="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（1）供应商在合同列表选择需要投保的合同，点击[保函推荐]。</w:t>
            </w:r>
          </w:p>
          <w:p w14:paraId="476171E2">
            <w:pPr>
              <w:snapToGrid w:val="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（2）在弹框里查看推荐的保函产品，供应商自行选择保函产品，点击[立即申请]。</w:t>
            </w:r>
          </w:p>
          <w:p w14:paraId="06F1E684">
            <w:pPr>
              <w:snapToGrid w:val="0"/>
              <w:rPr>
                <w:rFonts w:hint="eastAsia" w:ascii="仿宋" w:hAnsi="仿宋" w:eastAsia="仿宋" w:cs="仿宋"/>
                <w:color w:val="auto"/>
                <w:kern w:val="0"/>
                <w:szCs w:val="21"/>
                <w:highlight w:val="none"/>
              </w:rPr>
            </w:pPr>
            <w:r>
              <w:rPr>
                <w:rFonts w:hint="eastAsia" w:ascii="仿宋" w:hAnsi="仿宋" w:eastAsia="仿宋" w:cs="仿宋"/>
                <w:bCs/>
                <w:color w:val="auto"/>
                <w:szCs w:val="21"/>
                <w:highlight w:val="none"/>
              </w:rPr>
              <w:t>（3）在弹框里填写保函申请信息。具体步骤：选择产品—填写供应商信息—选择中标项目—确认信息—等待保险/保函受理—确认保单—支付保费—成功出单。政采云金融专线400-903-9583</w:t>
            </w:r>
          </w:p>
        </w:tc>
      </w:tr>
      <w:tr w14:paraId="386C23B1">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4295A253">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32</w:t>
            </w:r>
          </w:p>
        </w:tc>
        <w:tc>
          <w:tcPr>
            <w:tcW w:w="1687" w:type="dxa"/>
            <w:tcBorders>
              <w:top w:val="single" w:color="auto" w:sz="4" w:space="0"/>
              <w:left w:val="single" w:color="auto" w:sz="4" w:space="0"/>
              <w:bottom w:val="single" w:color="auto" w:sz="4" w:space="0"/>
              <w:right w:val="single" w:color="auto" w:sz="4" w:space="0"/>
            </w:tcBorders>
            <w:vAlign w:val="center"/>
          </w:tcPr>
          <w:p w14:paraId="026BA481">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其他说明</w:t>
            </w:r>
          </w:p>
        </w:tc>
        <w:tc>
          <w:tcPr>
            <w:tcW w:w="6261" w:type="dxa"/>
            <w:tcBorders>
              <w:top w:val="single" w:color="auto" w:sz="4" w:space="0"/>
              <w:left w:val="single" w:color="auto" w:sz="4" w:space="0"/>
              <w:bottom w:val="single" w:color="auto" w:sz="4" w:space="0"/>
              <w:right w:val="single" w:color="auto" w:sz="4" w:space="0"/>
            </w:tcBorders>
            <w:vAlign w:val="center"/>
          </w:tcPr>
          <w:p w14:paraId="5F1ACFFA">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highlight w:val="none"/>
              </w:rPr>
              <w:t>招标文件</w:t>
            </w:r>
            <w:r>
              <w:rPr>
                <w:rFonts w:hint="eastAsia" w:ascii="仿宋" w:hAnsi="仿宋" w:eastAsia="仿宋" w:cs="仿宋"/>
                <w:color w:val="auto"/>
                <w:szCs w:val="21"/>
                <w:highlight w:val="none"/>
              </w:rPr>
              <w:t>各个组成部分</w:t>
            </w:r>
            <w:r>
              <w:rPr>
                <w:rFonts w:hint="eastAsia" w:ascii="仿宋" w:hAnsi="仿宋" w:eastAsia="仿宋" w:cs="仿宋"/>
                <w:color w:val="auto"/>
                <w:highlight w:val="none"/>
              </w:rPr>
              <w:t>中出现的措辞“发包人”和“承包人”，或者“甲方”和“乙方”（或“中标供应商”）等，在采购阶段应当分别按“采购人”和“投标人”进行理解，其中“中标供应商”与“中标人”同义。</w:t>
            </w:r>
          </w:p>
          <w:p w14:paraId="4C8FA7BA">
            <w:pPr>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构成本招标文件的各个组成文件应互为解释，互为说明；如有不明确或不一致，构成合同文件组成内容的，以合同文件约定内容为准，且以专用合同条款约定的合同文件优先顺序解释；仅适用于采购阶段的约定，按招标公告、投标人须知、评标办法、应提交的有关格式范例的先后顺序解释；投标人须知、评标办法及专用合同条款的前附表与正文的约定不一致的，以前附表的约定为准；同一文件中就同一事项的约定不一致的，以逻辑顺序在后者为准；同一文件不同版本之间有不一致的，以形成时间在后者为准。按本款前述约定仍不能形成结论的，由采购人负责解释。</w:t>
            </w:r>
          </w:p>
          <w:p w14:paraId="57579AE6">
            <w:pPr>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本项目采用电子招投标，开标现场组织人员在政采云平台在线公布投标文件解密情况并组织签署《政府采购活动现场确认声明书》（投标文件解密结束后，采购代理机构将以E-mail电子邮件形式统一向所有成功解密投标文件的投标人送达“要求签署和提交《政府采购活动现场确认声明书》”的通知。投标人应当在送达通知后30分钟内完成《政府采购活动现场确认声明书》的提交）；</w:t>
            </w:r>
          </w:p>
          <w:p w14:paraId="43F7C88F">
            <w:pPr>
              <w:snapToGrid w:val="0"/>
              <w:rPr>
                <w:rFonts w:hint="eastAsia" w:ascii="仿宋" w:hAnsi="仿宋" w:eastAsia="仿宋" w:cs="仿宋"/>
                <w:color w:val="auto"/>
                <w:kern w:val="0"/>
                <w:szCs w:val="21"/>
                <w:highlight w:val="none"/>
                <w:u w:val="single"/>
              </w:rPr>
            </w:pPr>
            <w:r>
              <w:rPr>
                <w:rFonts w:hint="eastAsia" w:ascii="仿宋" w:hAnsi="仿宋" w:eastAsia="仿宋" w:cs="仿宋"/>
                <w:color w:val="auto"/>
                <w:szCs w:val="21"/>
                <w:highlight w:val="none"/>
              </w:rPr>
              <w:t>4、</w:t>
            </w:r>
            <w:r>
              <w:rPr>
                <w:rFonts w:hint="eastAsia" w:ascii="仿宋" w:hAnsi="仿宋" w:eastAsia="仿宋" w:cs="仿宋"/>
                <w:bCs/>
                <w:color w:val="auto"/>
                <w:szCs w:val="21"/>
                <w:highlight w:val="none"/>
              </w:rPr>
              <w:t>中标人在领取中标通知书时应提供与电子投标文件内容一致的纸质投标文件（一正二副）。</w:t>
            </w:r>
          </w:p>
        </w:tc>
      </w:tr>
    </w:tbl>
    <w:p w14:paraId="0E324BAF">
      <w:pPr>
        <w:rPr>
          <w:rFonts w:hint="eastAsia" w:ascii="仿宋" w:hAnsi="仿宋" w:eastAsia="仿宋" w:cs="仿宋"/>
          <w:color w:val="auto"/>
          <w:highlight w:val="none"/>
        </w:rPr>
      </w:pPr>
      <w:bookmarkStart w:id="2" w:name="_Toc34508130"/>
      <w:bookmarkStart w:id="3" w:name="_Toc265529380"/>
      <w:bookmarkStart w:id="4" w:name="_Toc221423616"/>
      <w:bookmarkStart w:id="5" w:name="_Toc221356883"/>
      <w:bookmarkStart w:id="6" w:name="_Toc241404199"/>
      <w:bookmarkStart w:id="7" w:name="_Toc223715995"/>
      <w:bookmarkStart w:id="8" w:name="_Toc222114876"/>
      <w:bookmarkStart w:id="9" w:name="_Toc239145351"/>
      <w:bookmarkStart w:id="10" w:name="_Toc221374623"/>
      <w:bookmarkStart w:id="11" w:name="_Toc221356948"/>
      <w:r>
        <w:rPr>
          <w:rFonts w:hint="eastAsia" w:ascii="仿宋" w:hAnsi="仿宋" w:eastAsia="仿宋" w:cs="仿宋"/>
          <w:color w:val="auto"/>
          <w:highlight w:val="none"/>
        </w:rPr>
        <w:br w:type="page"/>
      </w:r>
    </w:p>
    <w:p w14:paraId="52C78BE7">
      <w:pPr>
        <w:spacing w:line="360" w:lineRule="auto"/>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w:t>
      </w:r>
      <w:bookmarkEnd w:id="2"/>
      <w:bookmarkEnd w:id="3"/>
      <w:bookmarkEnd w:id="4"/>
      <w:bookmarkEnd w:id="5"/>
      <w:bookmarkEnd w:id="6"/>
      <w:bookmarkEnd w:id="7"/>
      <w:bookmarkEnd w:id="8"/>
      <w:bookmarkEnd w:id="9"/>
      <w:bookmarkEnd w:id="10"/>
      <w:bookmarkEnd w:id="11"/>
      <w:r>
        <w:rPr>
          <w:rFonts w:hint="eastAsia" w:ascii="仿宋" w:hAnsi="仿宋" w:eastAsia="仿宋" w:cs="仿宋"/>
          <w:b/>
          <w:color w:val="auto"/>
          <w:sz w:val="28"/>
          <w:szCs w:val="28"/>
          <w:highlight w:val="none"/>
        </w:rPr>
        <w:t>总则</w:t>
      </w:r>
    </w:p>
    <w:p w14:paraId="2882D7F6">
      <w:pPr>
        <w:tabs>
          <w:tab w:val="left" w:pos="540"/>
          <w:tab w:val="left" w:pos="900"/>
        </w:tabs>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1.总说明</w:t>
      </w:r>
    </w:p>
    <w:p w14:paraId="6B9D3AD5">
      <w:pPr>
        <w:tabs>
          <w:tab w:val="left" w:pos="540"/>
          <w:tab w:val="left" w:pos="90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本项目采购是按照《中华人民共和国政府采购法》《中华人民共和国政府采购法实施条例》《关于进一步规范政府采购活动的若干意见》等法律及有关法规组织和实施的。</w:t>
      </w:r>
    </w:p>
    <w:p w14:paraId="78EACD09">
      <w:pPr>
        <w:tabs>
          <w:tab w:val="left" w:pos="540"/>
          <w:tab w:val="left" w:pos="900"/>
        </w:tabs>
        <w:snapToGrid w:val="0"/>
        <w:spacing w:line="360" w:lineRule="auto"/>
        <w:rPr>
          <w:rFonts w:hint="eastAsia" w:ascii="仿宋" w:hAnsi="仿宋" w:eastAsia="仿宋" w:cs="仿宋"/>
          <w:b/>
          <w:color w:val="auto"/>
          <w:sz w:val="24"/>
          <w:highlight w:val="none"/>
        </w:rPr>
      </w:pPr>
      <w:bookmarkStart w:id="12" w:name="_Hlk93147856"/>
      <w:r>
        <w:rPr>
          <w:rFonts w:hint="eastAsia" w:ascii="仿宋" w:hAnsi="仿宋" w:eastAsia="仿宋" w:cs="仿宋"/>
          <w:b/>
          <w:bCs/>
          <w:color w:val="auto"/>
          <w:sz w:val="24"/>
          <w:highlight w:val="none"/>
        </w:rPr>
        <w:t>2.</w:t>
      </w:r>
      <w:r>
        <w:rPr>
          <w:rFonts w:hint="eastAsia" w:ascii="仿宋" w:hAnsi="仿宋" w:eastAsia="仿宋" w:cs="仿宋"/>
          <w:b/>
          <w:color w:val="auto"/>
          <w:sz w:val="24"/>
          <w:highlight w:val="none"/>
        </w:rPr>
        <w:t>采购项目</w:t>
      </w:r>
    </w:p>
    <w:p w14:paraId="62A4EE68">
      <w:pPr>
        <w:tabs>
          <w:tab w:val="left" w:pos="540"/>
          <w:tab w:val="left" w:pos="90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2.1采购项目的基本情况见招标公告，采购需求见招标文件第三部分“采购需求”。项目采购标的对应的行业划分、项目属性、是否允许分包、是否允许偏离等情况见投标人须知前附表。</w:t>
      </w:r>
    </w:p>
    <w:p w14:paraId="002939AD">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2.2采用最低评标价法的</w:t>
      </w:r>
      <w:r>
        <w:rPr>
          <w:rFonts w:hint="eastAsia" w:ascii="仿宋" w:hAnsi="仿宋" w:eastAsia="仿宋" w:cs="仿宋"/>
          <w:color w:val="auto"/>
          <w:sz w:val="24"/>
          <w:highlight w:val="none"/>
        </w:rPr>
        <w:t>货物类</w:t>
      </w:r>
      <w:r>
        <w:rPr>
          <w:rFonts w:hint="eastAsia" w:ascii="仿宋" w:hAnsi="仿宋" w:eastAsia="仿宋" w:cs="仿宋"/>
          <w:bCs/>
          <w:color w:val="auto"/>
          <w:spacing w:val="6"/>
          <w:sz w:val="24"/>
          <w:highlight w:val="none"/>
        </w:rPr>
        <w:t>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39001B2F">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使用综合评分法的</w:t>
      </w:r>
      <w:r>
        <w:rPr>
          <w:rFonts w:hint="eastAsia" w:ascii="仿宋" w:hAnsi="仿宋" w:eastAsia="仿宋" w:cs="仿宋"/>
          <w:color w:val="auto"/>
          <w:sz w:val="24"/>
          <w:highlight w:val="none"/>
        </w:rPr>
        <w:t>货物类</w:t>
      </w:r>
      <w:r>
        <w:rPr>
          <w:rFonts w:hint="eastAsia" w:ascii="仿宋" w:hAnsi="仿宋" w:eastAsia="仿宋" w:cs="仿宋"/>
          <w:bCs/>
          <w:color w:val="auto"/>
          <w:spacing w:val="6"/>
          <w:sz w:val="24"/>
          <w:highlight w:val="none"/>
        </w:rPr>
        <w:t>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7644355">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非单一产品采购项目，多家投标人提供的核心产品（见</w:t>
      </w:r>
      <w:r>
        <w:rPr>
          <w:rFonts w:hint="eastAsia" w:ascii="仿宋" w:hAnsi="仿宋" w:eastAsia="仿宋" w:cs="仿宋"/>
          <w:color w:val="auto"/>
          <w:sz w:val="24"/>
          <w:highlight w:val="none"/>
        </w:rPr>
        <w:t>投标人须知前附表</w:t>
      </w:r>
      <w:r>
        <w:rPr>
          <w:rFonts w:hint="eastAsia" w:ascii="仿宋" w:hAnsi="仿宋" w:eastAsia="仿宋" w:cs="仿宋"/>
          <w:bCs/>
          <w:color w:val="auto"/>
          <w:spacing w:val="6"/>
          <w:sz w:val="24"/>
          <w:highlight w:val="none"/>
        </w:rPr>
        <w:t>）品牌相同的，按前两款规定处理。</w:t>
      </w:r>
    </w:p>
    <w:p w14:paraId="611A054A">
      <w:pPr>
        <w:snapToGrid w:val="0"/>
        <w:spacing w:line="360" w:lineRule="auto"/>
        <w:ind w:firstLine="480" w:firstLineChars="200"/>
        <w:rPr>
          <w:rFonts w:hint="eastAsia" w:ascii="仿宋" w:hAnsi="仿宋" w:eastAsia="仿宋" w:cs="仿宋"/>
          <w:bCs/>
          <w:color w:val="auto"/>
          <w:spacing w:val="6"/>
          <w:sz w:val="24"/>
          <w:highlight w:val="none"/>
        </w:rPr>
      </w:pPr>
      <w:r>
        <w:rPr>
          <w:rFonts w:hint="eastAsia" w:ascii="仿宋" w:hAnsi="仿宋" w:eastAsia="仿宋" w:cs="仿宋"/>
          <w:color w:val="auto"/>
          <w:sz w:val="24"/>
          <w:highlight w:val="none"/>
        </w:rPr>
        <w:t>2.3货物类是否允许采购进口产品、是否要求节能/环境标志产品等情况见投标人须知前附表。</w:t>
      </w:r>
      <w:bookmarkEnd w:id="12"/>
    </w:p>
    <w:p w14:paraId="5258F27E">
      <w:pPr>
        <w:tabs>
          <w:tab w:val="left" w:pos="540"/>
          <w:tab w:val="left" w:pos="900"/>
        </w:tabs>
        <w:snapToGrid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3.合格的投标人</w:t>
      </w:r>
    </w:p>
    <w:p w14:paraId="5A2B4B22">
      <w:pPr>
        <w:tabs>
          <w:tab w:val="left" w:pos="540"/>
          <w:tab w:val="left" w:pos="900"/>
        </w:tabs>
        <w:snapToGrid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3.1合格的投标人应满足招标文件第一部分“招标公告”对申请人的资格要求。</w:t>
      </w:r>
    </w:p>
    <w:p w14:paraId="2A576B3D">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3.2</w:t>
      </w:r>
      <w:r>
        <w:rPr>
          <w:rFonts w:hint="eastAsia" w:ascii="仿宋" w:hAnsi="仿宋" w:eastAsia="仿宋" w:cs="仿宋"/>
          <w:b/>
          <w:color w:val="auto"/>
          <w:kern w:val="0"/>
          <w:sz w:val="24"/>
          <w:highlight w:val="none"/>
          <w:u w:val="single"/>
        </w:rPr>
        <w:t>▲</w:t>
      </w:r>
      <w:r>
        <w:rPr>
          <w:rFonts w:hint="eastAsia" w:ascii="仿宋" w:hAnsi="仿宋" w:eastAsia="仿宋" w:cs="仿宋"/>
          <w:b/>
          <w:bCs/>
          <w:color w:val="auto"/>
          <w:spacing w:val="6"/>
          <w:sz w:val="24"/>
          <w:highlight w:val="none"/>
          <w:u w:val="single"/>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r>
        <w:rPr>
          <w:rFonts w:hint="eastAsia" w:ascii="仿宋" w:hAnsi="仿宋" w:eastAsia="仿宋" w:cs="仿宋"/>
          <w:bCs/>
          <w:color w:val="auto"/>
          <w:spacing w:val="6"/>
          <w:sz w:val="24"/>
          <w:highlight w:val="none"/>
        </w:rPr>
        <w:t>。</w:t>
      </w:r>
    </w:p>
    <w:p w14:paraId="2FBFC6D4">
      <w:pPr>
        <w:tabs>
          <w:tab w:val="left" w:pos="540"/>
          <w:tab w:val="left" w:pos="90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投标人可授权投标人代表以投标人名义参加本次采购的投标活动（包括投标文件的签署、澄清、说明、补正、递交、撤回、修改等以及签订合同和处理有关事宜）。如果投标人代表不是法定代表人(负责人)，须持有《法定代表人(负责人)授权书》。</w:t>
      </w:r>
    </w:p>
    <w:p w14:paraId="11B0FB8D">
      <w:pPr>
        <w:tabs>
          <w:tab w:val="left" w:pos="540"/>
          <w:tab w:val="left" w:pos="900"/>
        </w:tabs>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4.投标费用</w:t>
      </w:r>
    </w:p>
    <w:p w14:paraId="7D4BC04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投标人应承担所有与准备和参加投标有关费用，不论投标的结果如何，采购人和采购代理机构均无义务和责任承担这些费用。</w:t>
      </w:r>
    </w:p>
    <w:p w14:paraId="155F765F">
      <w:pPr>
        <w:tabs>
          <w:tab w:val="left" w:pos="540"/>
          <w:tab w:val="left" w:pos="900"/>
        </w:tabs>
        <w:snapToGrid w:val="0"/>
        <w:spacing w:line="360" w:lineRule="auto"/>
        <w:rPr>
          <w:rFonts w:hint="eastAsia" w:ascii="仿宋" w:hAnsi="仿宋" w:eastAsia="仿宋" w:cs="仿宋"/>
          <w:b/>
          <w:color w:val="auto"/>
          <w:sz w:val="24"/>
          <w:highlight w:val="none"/>
        </w:rPr>
      </w:pPr>
      <w:bookmarkStart w:id="13" w:name="_Hlk93148567"/>
      <w:r>
        <w:rPr>
          <w:rFonts w:hint="eastAsia" w:ascii="仿宋" w:hAnsi="仿宋" w:eastAsia="仿宋" w:cs="仿宋"/>
          <w:b/>
          <w:color w:val="auto"/>
          <w:sz w:val="24"/>
          <w:highlight w:val="none"/>
        </w:rPr>
        <w:t>5.保密</w:t>
      </w:r>
    </w:p>
    <w:p w14:paraId="24B1AF6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参与采购活动的各方应对</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和投标文件中的商业和技术等秘密保密，否则应承担相应的法律责任。</w:t>
      </w:r>
    </w:p>
    <w:p w14:paraId="19D801E2">
      <w:pPr>
        <w:snapToGrid w:val="0"/>
        <w:spacing w:line="360" w:lineRule="auto"/>
        <w:rPr>
          <w:rFonts w:hint="eastAsia" w:ascii="仿宋" w:hAnsi="仿宋" w:eastAsia="仿宋" w:cs="仿宋"/>
          <w:b/>
          <w:bCs/>
          <w:color w:val="auto"/>
          <w:spacing w:val="6"/>
          <w:sz w:val="24"/>
          <w:highlight w:val="none"/>
        </w:rPr>
      </w:pPr>
      <w:r>
        <w:rPr>
          <w:rFonts w:hint="eastAsia" w:ascii="仿宋" w:hAnsi="仿宋" w:eastAsia="仿宋" w:cs="仿宋"/>
          <w:b/>
          <w:bCs/>
          <w:color w:val="auto"/>
          <w:spacing w:val="6"/>
          <w:sz w:val="24"/>
          <w:highlight w:val="none"/>
        </w:rPr>
        <w:t>6.标前答疑会或现场考察</w:t>
      </w:r>
    </w:p>
    <w:p w14:paraId="04AF27A7">
      <w:pPr>
        <w:pStyle w:val="22"/>
        <w:kinsoku w:val="0"/>
        <w:autoSpaceDE w:val="0"/>
        <w:autoSpaceDN w:val="0"/>
        <w:snapToGrid w:val="0"/>
        <w:spacing w:after="0"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投标人须知前附表规定组织标前答疑会或现场考察的，投标人可以按投标人须知前附表规定的时间、地点参加标前答疑会或现场考察，以了解采购项目的场地和相关周边环境的情况、要求采购人澄清投标人提出的问题。</w:t>
      </w:r>
      <w:bookmarkStart w:id="14" w:name="bookmark32"/>
      <w:bookmarkEnd w:id="14"/>
    </w:p>
    <w:p w14:paraId="0C1F61A1">
      <w:pPr>
        <w:pStyle w:val="22"/>
        <w:kinsoku w:val="0"/>
        <w:autoSpaceDE w:val="0"/>
        <w:autoSpaceDN w:val="0"/>
        <w:snapToGrid w:val="0"/>
        <w:spacing w:after="0"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6.2投标人考察现场发生的费用自理。除采购人的原因外，投标人自行负责在考察现场中所发生的人员伤亡和财产损失。</w:t>
      </w:r>
    </w:p>
    <w:bookmarkEnd w:id="13"/>
    <w:p w14:paraId="700C7FF6">
      <w:pPr>
        <w:snapToGrid w:val="0"/>
        <w:spacing w:line="360" w:lineRule="auto"/>
        <w:rPr>
          <w:rFonts w:hint="eastAsia" w:ascii="仿宋" w:hAnsi="仿宋" w:eastAsia="仿宋" w:cs="仿宋"/>
          <w:b/>
          <w:bCs/>
          <w:color w:val="auto"/>
          <w:spacing w:val="6"/>
          <w:sz w:val="24"/>
          <w:highlight w:val="none"/>
        </w:rPr>
      </w:pPr>
      <w:bookmarkStart w:id="15" w:name="_Hlk93148676"/>
      <w:r>
        <w:rPr>
          <w:rFonts w:hint="eastAsia" w:ascii="仿宋" w:hAnsi="仿宋" w:eastAsia="仿宋" w:cs="仿宋"/>
          <w:b/>
          <w:bCs/>
          <w:color w:val="auto"/>
          <w:spacing w:val="6"/>
          <w:sz w:val="24"/>
          <w:highlight w:val="none"/>
        </w:rPr>
        <w:t>7.落实政府采购政策</w:t>
      </w:r>
    </w:p>
    <w:p w14:paraId="7365246A">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7.1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4CD125BF">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7.2支持绿色发展</w:t>
      </w:r>
    </w:p>
    <w:p w14:paraId="79AC20C0">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7.2.1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bCs/>
          <w:color w:val="auto"/>
          <w:spacing w:val="6"/>
          <w:sz w:val="24"/>
          <w:highlight w:val="none"/>
          <w:u w:val="single"/>
        </w:rPr>
        <w:t>▲采购人拟采购的产品属于政府强制采购的节能产品品目清单范围的，投标人未按招标文件要求提供国家确定的认证机构出具的、处于有效期之内的节能产品认证证书的，投标无效</w:t>
      </w:r>
      <w:r>
        <w:rPr>
          <w:rFonts w:hint="eastAsia" w:ascii="仿宋" w:hAnsi="仿宋" w:eastAsia="仿宋" w:cs="仿宋"/>
          <w:bCs/>
          <w:color w:val="auto"/>
          <w:spacing w:val="6"/>
          <w:sz w:val="24"/>
          <w:highlight w:val="none"/>
        </w:rPr>
        <w:t>。</w:t>
      </w:r>
    </w:p>
    <w:p w14:paraId="460C5281">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7.2.2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E4EEF8A">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7.3支持中小企业发展</w:t>
      </w:r>
    </w:p>
    <w:p w14:paraId="63027C99">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7.3.1中小企业，是指在中华人民共和国境内依法设立，依据国务院批准的中小企业划分标准确定的中型企业、小型企业和微型企业，但与大企业的负责人为同一人，或者与大企业存在直接控股、管理关系的除外。</w:t>
      </w:r>
    </w:p>
    <w:p w14:paraId="10B88AA6">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符合中小企业划分标准的个体工商户，在政府采购活动中视同中小企业。</w:t>
      </w:r>
    </w:p>
    <w:p w14:paraId="6E00FC2A">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7.3.2在政府采购活动中，投标人提供的货物、工程或者服务符合下列情形的，享受中小企业扶持政策：</w:t>
      </w:r>
    </w:p>
    <w:p w14:paraId="6F4FAD17">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（1）在货物采购项目中，货物由中小企业制造，即货物由中小企业生产且使用该中小企业商号或者注册商标；</w:t>
      </w:r>
    </w:p>
    <w:p w14:paraId="2D54DAD9">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（2）在工程采购项目中，工程由中小企业承建，即工程施工单位为中小企业；</w:t>
      </w:r>
    </w:p>
    <w:p w14:paraId="17FC419E">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（3）在服务采购项目中，服务由中小企业承接，即提供服务的人员为中小企业依照《中华人民共和国劳动合同法》订立劳动合同的从业人员。</w:t>
      </w:r>
    </w:p>
    <w:p w14:paraId="6BB25BCD">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在货物采购项目中，投标人提供的货物既有中小企业制造货物，也有大型企业制造货物的，不享受中小企业扶持政策。</w:t>
      </w:r>
    </w:p>
    <w:p w14:paraId="266A9F1C">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以联合体形式参加政府采购活动，联合体各方均为中小企业的，联合体视同中小企业。其中，联合体各方均为小微企业的，联合体视同小微企业。</w:t>
      </w:r>
    </w:p>
    <w:p w14:paraId="4FDF4644">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7.3.3对于未预留份额专门面向中小企业采购的采购项目，以及预留份额项目中的非预留部分采购包，采购人、采购代理机构应当对符合规定的小微企业报价给予</w:t>
      </w:r>
      <w:r>
        <w:rPr>
          <w:rFonts w:hint="eastAsia" w:ascii="仿宋" w:hAnsi="仿宋" w:eastAsia="仿宋" w:cs="仿宋"/>
          <w:bCs/>
          <w:color w:val="auto"/>
          <w:spacing w:val="6"/>
          <w:sz w:val="24"/>
          <w:highlight w:val="none"/>
          <w:lang w:val="en-US" w:eastAsia="zh-CN"/>
        </w:rPr>
        <w:t>10</w:t>
      </w:r>
      <w:r>
        <w:rPr>
          <w:rFonts w:hint="eastAsia" w:ascii="仿宋" w:hAnsi="仿宋" w:eastAsia="仿宋" w:cs="仿宋"/>
          <w:bCs/>
          <w:color w:val="auto"/>
          <w:spacing w:val="6"/>
          <w:sz w:val="24"/>
          <w:highlight w:val="none"/>
        </w:rPr>
        <w:t>%-</w:t>
      </w:r>
      <w:r>
        <w:rPr>
          <w:rFonts w:hint="eastAsia" w:ascii="仿宋" w:hAnsi="仿宋" w:eastAsia="仿宋" w:cs="仿宋"/>
          <w:bCs/>
          <w:color w:val="auto"/>
          <w:spacing w:val="6"/>
          <w:sz w:val="24"/>
          <w:highlight w:val="none"/>
          <w:lang w:val="en-US" w:eastAsia="zh-CN"/>
        </w:rPr>
        <w:t>20</w:t>
      </w:r>
      <w:r>
        <w:rPr>
          <w:rFonts w:hint="eastAsia" w:ascii="仿宋" w:hAnsi="仿宋" w:eastAsia="仿宋" w:cs="仿宋"/>
          <w:bCs/>
          <w:color w:val="auto"/>
          <w:spacing w:val="6"/>
          <w:sz w:val="24"/>
          <w:highlight w:val="none"/>
        </w:rPr>
        <w:t>%（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31C6629">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接受大中型企业与小微企业组成联合体或者允许大中型企业向一家或者多家小微企业分包的采购项目，对于联合体协议或者分包意向协议约定小微企业的合同份额占到合同总金额30%以上的，采购人、采购代理机构应当对联合体或者大中型企业的报价给予</w:t>
      </w:r>
      <w:r>
        <w:rPr>
          <w:rFonts w:hint="eastAsia" w:ascii="仿宋" w:hAnsi="仿宋" w:eastAsia="仿宋" w:cs="仿宋"/>
          <w:bCs/>
          <w:color w:val="auto"/>
          <w:spacing w:val="6"/>
          <w:sz w:val="24"/>
          <w:highlight w:val="none"/>
          <w:lang w:val="en-US" w:eastAsia="zh-CN"/>
        </w:rPr>
        <w:t>4</w:t>
      </w:r>
      <w:r>
        <w:rPr>
          <w:rFonts w:hint="eastAsia" w:ascii="仿宋" w:hAnsi="仿宋" w:eastAsia="仿宋" w:cs="仿宋"/>
          <w:bCs/>
          <w:color w:val="auto"/>
          <w:spacing w:val="6"/>
          <w:sz w:val="24"/>
          <w:highlight w:val="none"/>
        </w:rPr>
        <w:t>%-</w:t>
      </w:r>
      <w:r>
        <w:rPr>
          <w:rFonts w:hint="eastAsia" w:ascii="仿宋" w:hAnsi="仿宋" w:eastAsia="仿宋" w:cs="仿宋"/>
          <w:bCs/>
          <w:color w:val="auto"/>
          <w:spacing w:val="6"/>
          <w:sz w:val="24"/>
          <w:highlight w:val="none"/>
          <w:lang w:val="en-US" w:eastAsia="zh-CN"/>
        </w:rPr>
        <w:t>6</w:t>
      </w:r>
      <w:r>
        <w:rPr>
          <w:rFonts w:hint="eastAsia" w:ascii="仿宋" w:hAnsi="仿宋" w:eastAsia="仿宋" w:cs="仿宋"/>
          <w:bCs/>
          <w:color w:val="auto"/>
          <w:spacing w:val="6"/>
          <w:sz w:val="24"/>
          <w:highlight w:val="none"/>
        </w:rPr>
        <w:t>%（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18F69D98">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价格扣除比例或者价格分加分比例对小型企业和微型企业同等对待，不作区分。具体采购项目的价格扣除比例或者价格分加分比例，见招标文件第六部分评标办法。</w:t>
      </w:r>
    </w:p>
    <w:p w14:paraId="01F7714C">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7.3.4符合《关于促进残疾人就业政府采购政策的通知》（财库〔2017〕141号）规定的条件并提供《残疾人福利性单位声明函》的残疾人福利性单位视同小型、微型企业；</w:t>
      </w:r>
    </w:p>
    <w:p w14:paraId="45554B9E">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7.3.5符合《关于政府采购支持监狱企业发展有关问题的通知》（财库[2014]68号）规定的监狱企业并提供由省级以上监狱管理局、戒毒管理局（含新疆生产建设兵团）出具的属于监狱企业证明文件的，视同为小型、微型企业。</w:t>
      </w:r>
    </w:p>
    <w:p w14:paraId="7A38AF00">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7.3.6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F10EC3D">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7.3.7中小企业享受扶持政策获得政府采购合同的，小微企业不得将合同分包给大中型企业，中型企业不得将合同分包给大型企业。</w:t>
      </w:r>
    </w:p>
    <w:p w14:paraId="74FDF8B7">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7.4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bookmarkEnd w:id="15"/>
    </w:p>
    <w:p w14:paraId="5D2A8C53">
      <w:pPr>
        <w:snapToGrid w:val="0"/>
        <w:spacing w:line="360" w:lineRule="auto"/>
        <w:rPr>
          <w:rFonts w:hint="eastAsia" w:ascii="仿宋" w:hAnsi="仿宋" w:eastAsia="仿宋" w:cs="仿宋"/>
          <w:b/>
          <w:bCs/>
          <w:color w:val="auto"/>
          <w:spacing w:val="6"/>
          <w:sz w:val="24"/>
          <w:highlight w:val="none"/>
        </w:rPr>
      </w:pPr>
      <w:bookmarkStart w:id="16" w:name="_Hlk93148897"/>
      <w:r>
        <w:rPr>
          <w:rFonts w:hint="eastAsia" w:ascii="仿宋" w:hAnsi="仿宋" w:eastAsia="仿宋" w:cs="仿宋"/>
          <w:b/>
          <w:bCs/>
          <w:color w:val="auto"/>
          <w:spacing w:val="6"/>
          <w:sz w:val="24"/>
          <w:highlight w:val="none"/>
        </w:rPr>
        <w:t>8.询问、质疑、投诉</w:t>
      </w:r>
    </w:p>
    <w:p w14:paraId="30E15521">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8.1询问</w:t>
      </w:r>
    </w:p>
    <w:p w14:paraId="22001B04">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投标人对政府采购活动事项有疑问的，可以提出询问，采购人或者采购代理机构应当在3个工作日内对投标人依法提出的询问作出答复，但答复的内容不得涉及商业秘密。投标人提出的询问超出采购人对采购代理机构委托授权范围的，采购代理机构应当告知投标人向采购人提出。</w:t>
      </w:r>
    </w:p>
    <w:p w14:paraId="06A908D7">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8.2质疑</w:t>
      </w:r>
    </w:p>
    <w:p w14:paraId="460141DD">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8.2.1提出质疑的投标人应当是参与所质疑项目采购活动的供应商。潜在投标人已依法获取其可质疑的招标文件的，可以对该文件提出质疑。</w:t>
      </w:r>
    </w:p>
    <w:p w14:paraId="29FA7730">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8.2.2投标人认为招标文件、采购过程和中标结果使自己的权益受到损害的，可以在知道或者应知其权益受到损害之日起七个工作日内，以书面形式向采购人或者采购机构提出质疑，否则，采购人或者采购机构不予受理：</w:t>
      </w:r>
    </w:p>
    <w:p w14:paraId="4F18390C">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（1）对招标文件提出质疑的，质疑期限为投标人获得招标文件之日或者招标文件公告期限届满之日起计算。</w:t>
      </w:r>
    </w:p>
    <w:p w14:paraId="303B1869">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（2）对采购过程提出质疑的，质疑期限为各采购程序环节结束之日起计算。对同一采购程序环节的质疑，质疑人须一次性提出。</w:t>
      </w:r>
    </w:p>
    <w:p w14:paraId="74E6E09E">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（3）对采购结果提出质疑的，质疑期限自采购结果公告期限届满之日起计算。</w:t>
      </w:r>
    </w:p>
    <w:p w14:paraId="017D6C87">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8.2.3投标人提出质疑应当提交质疑函和必要的证明材料。质疑函应当包括下列内容：</w:t>
      </w:r>
    </w:p>
    <w:p w14:paraId="04B0F7A0">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（1）供应商的姓名或者名称、地址、邮编、联系人及联系电话；</w:t>
      </w:r>
    </w:p>
    <w:p w14:paraId="40F154E5">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（2）质疑项目的名称、编号；</w:t>
      </w:r>
    </w:p>
    <w:p w14:paraId="55B00784">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（3）具体、明确的质疑事项和与质疑事项相关的请求；</w:t>
      </w:r>
    </w:p>
    <w:p w14:paraId="4E2CF3AF">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（4）事实依据；</w:t>
      </w:r>
    </w:p>
    <w:p w14:paraId="5F484934">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（5）必要的法律依据；</w:t>
      </w:r>
    </w:p>
    <w:p w14:paraId="13DCFB84">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（6）提出质疑的日期。</w:t>
      </w:r>
    </w:p>
    <w:p w14:paraId="24B62DEB">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投标人提交的质疑函需一式三份。投标人为自然人的，应当由本人签字；投标人为法人或者其他组织的，应当由法定代表人、主要负责人，或者其授权代表签字或者盖章，并加盖公章。</w:t>
      </w:r>
    </w:p>
    <w:p w14:paraId="2BBCE7B0">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8.2.4采购人或者采购机构应当在收到质疑人的书面质疑后七个工作日内作出答复，并以书面形式通知质疑人和其他与质疑处理结果有利害关系的政府采购当事人，但答复的内容不得涉及商业秘密。</w:t>
      </w:r>
    </w:p>
    <w:p w14:paraId="6B6AC8DE">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8.2.5询问或者质疑事项可能影响采购结果的，采购人应当暂停签订合同，已经签订合同的，应当中止履行合同。</w:t>
      </w:r>
    </w:p>
    <w:p w14:paraId="6017F858">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8.3投诉</w:t>
      </w:r>
    </w:p>
    <w:p w14:paraId="66C53D15">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8.3.1质疑人对采购人、采购机构的答复不满意或者采购人、采购机构未在规定的时间内作出答复的，可以在答复期满后十五个工作日内向同级政府采购监督管理部门提出投诉。</w:t>
      </w:r>
    </w:p>
    <w:p w14:paraId="4E094054">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8.3.2投标人投诉的事项不得超出已质疑事项的范围，基于质疑答复内容提出的投诉事项除外。</w:t>
      </w:r>
    </w:p>
    <w:p w14:paraId="65DB11CD">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8.3.3投标人投诉应当有明确的请求和必要的证明材料。</w:t>
      </w:r>
    </w:p>
    <w:p w14:paraId="7E3B45ED">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8.3.5以联合体形式参加政府采购活动的，其投诉应当由组成联合体的所有供应商共同提出。</w:t>
      </w:r>
    </w:p>
    <w:p w14:paraId="7752D020">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8.4根据《政府采购质疑和投诉办法》第三十七条的规定，投诉人在全国范围12个月内三次以上投诉查无实据的，由财政部门列入不良行为记录名单。</w:t>
      </w:r>
      <w:bookmarkEnd w:id="16"/>
    </w:p>
    <w:p w14:paraId="6A515DAC">
      <w:pPr>
        <w:snapToGrid w:val="0"/>
        <w:spacing w:line="360" w:lineRule="auto"/>
        <w:jc w:val="center"/>
        <w:rPr>
          <w:rFonts w:hint="eastAsia" w:ascii="仿宋" w:hAnsi="仿宋" w:eastAsia="仿宋" w:cs="仿宋"/>
          <w:b/>
          <w:color w:val="auto"/>
          <w:sz w:val="28"/>
          <w:szCs w:val="28"/>
          <w:highlight w:val="none"/>
        </w:rPr>
      </w:pPr>
      <w:bookmarkStart w:id="17" w:name="_Toc221356884"/>
      <w:bookmarkStart w:id="18" w:name="_Toc265529381"/>
      <w:bookmarkStart w:id="19" w:name="_Toc223715996"/>
      <w:bookmarkStart w:id="20" w:name="_Toc34508131"/>
      <w:bookmarkStart w:id="21" w:name="_Toc221374624"/>
      <w:bookmarkStart w:id="22" w:name="_Toc222114877"/>
      <w:bookmarkStart w:id="23" w:name="_Toc239145352"/>
      <w:bookmarkStart w:id="24" w:name="_Toc221423617"/>
      <w:bookmarkStart w:id="25" w:name="_Toc221356949"/>
      <w:bookmarkStart w:id="26" w:name="_Toc241404200"/>
      <w:r>
        <w:rPr>
          <w:rFonts w:hint="eastAsia" w:ascii="仿宋" w:hAnsi="仿宋" w:eastAsia="仿宋" w:cs="仿宋"/>
          <w:b/>
          <w:color w:val="auto"/>
          <w:sz w:val="28"/>
          <w:szCs w:val="28"/>
          <w:highlight w:val="none"/>
        </w:rPr>
        <w:t>二、招标文件</w:t>
      </w:r>
      <w:bookmarkEnd w:id="17"/>
      <w:bookmarkEnd w:id="18"/>
      <w:bookmarkEnd w:id="19"/>
      <w:bookmarkEnd w:id="20"/>
      <w:bookmarkEnd w:id="21"/>
      <w:bookmarkEnd w:id="22"/>
      <w:bookmarkEnd w:id="23"/>
      <w:bookmarkEnd w:id="24"/>
      <w:bookmarkEnd w:id="25"/>
      <w:bookmarkEnd w:id="26"/>
    </w:p>
    <w:p w14:paraId="1074A36F">
      <w:pPr>
        <w:tabs>
          <w:tab w:val="left" w:pos="540"/>
        </w:tabs>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9.招标文件</w:t>
      </w:r>
    </w:p>
    <w:p w14:paraId="70C8E39C">
      <w:pPr>
        <w:tabs>
          <w:tab w:val="left" w:pos="54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9.1本项目招标文件由招标文件目录所列内容及相关资料组成。</w:t>
      </w:r>
      <w:bookmarkStart w:id="27" w:name="_Hlk93148980"/>
      <w:r>
        <w:rPr>
          <w:rFonts w:hint="eastAsia" w:ascii="仿宋" w:hAnsi="仿宋" w:eastAsia="仿宋" w:cs="仿宋"/>
          <w:color w:val="auto"/>
          <w:sz w:val="24"/>
          <w:highlight w:val="none"/>
        </w:rPr>
        <w:t>获取招标文件的时间期限、地点、方式及招标文件售价等情况详见招标公告。</w:t>
      </w:r>
      <w:bookmarkEnd w:id="27"/>
    </w:p>
    <w:p w14:paraId="5586EF78">
      <w:pPr>
        <w:tabs>
          <w:tab w:val="left" w:pos="54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9.2招标文件的澄清或修改</w:t>
      </w:r>
    </w:p>
    <w:p w14:paraId="32013664">
      <w:pPr>
        <w:snapToGrid w:val="0"/>
        <w:spacing w:line="360" w:lineRule="auto"/>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9.2.1采购人或者采购代理机构可以对已发出的招标文件进行必要的澄清或者修改。澄清或者修改在浙江政府采购网上发布公告，政采云系统将自动发送消息通知所有获取招标文件的潜在投标人。澄清或者修改的内容为招标文件的组成部分。</w:t>
      </w:r>
    </w:p>
    <w:p w14:paraId="73193FFD">
      <w:pPr>
        <w:snapToGrid w:val="0"/>
        <w:spacing w:line="360" w:lineRule="auto"/>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9.2.2澄清或者修改的内容可能影响投标文件编制的，采购人或者采购代理机构应当在投标截止时间至少15日前，在浙江政府采购网上发布更正公告，政采云系统将自动发送消息通知所有获取招标文件的潜在投标人；不足15日的，采购人或者采购代理机构应当顺延提交投标文件的截止时间。</w:t>
      </w:r>
    </w:p>
    <w:p w14:paraId="468DDDB3">
      <w:pPr>
        <w:snapToGrid w:val="0"/>
        <w:spacing w:line="360" w:lineRule="auto"/>
        <w:jc w:val="center"/>
        <w:outlineLvl w:val="1"/>
        <w:rPr>
          <w:rFonts w:hint="eastAsia" w:ascii="仿宋" w:hAnsi="仿宋" w:eastAsia="仿宋" w:cs="仿宋"/>
          <w:b/>
          <w:color w:val="auto"/>
          <w:sz w:val="28"/>
          <w:szCs w:val="28"/>
          <w:highlight w:val="none"/>
        </w:rPr>
      </w:pPr>
      <w:bookmarkStart w:id="28" w:name="_Toc221423618"/>
      <w:bookmarkStart w:id="29" w:name="_Toc221356885"/>
      <w:bookmarkStart w:id="30" w:name="_Toc222114878"/>
      <w:bookmarkStart w:id="31" w:name="_Toc239145353"/>
      <w:bookmarkStart w:id="32" w:name="_Toc265529382"/>
      <w:bookmarkStart w:id="33" w:name="_Toc221374625"/>
      <w:bookmarkStart w:id="34" w:name="_Toc241404201"/>
      <w:bookmarkStart w:id="35" w:name="_Toc34508132"/>
      <w:bookmarkStart w:id="36" w:name="_Toc223715997"/>
      <w:bookmarkStart w:id="37" w:name="_Toc221356950"/>
      <w:r>
        <w:rPr>
          <w:rFonts w:hint="eastAsia" w:ascii="仿宋" w:hAnsi="仿宋" w:eastAsia="仿宋" w:cs="仿宋"/>
          <w:b/>
          <w:color w:val="auto"/>
          <w:sz w:val="28"/>
          <w:szCs w:val="28"/>
          <w:highlight w:val="none"/>
        </w:rPr>
        <w:t>三、投标文件</w:t>
      </w:r>
      <w:bookmarkEnd w:id="28"/>
      <w:bookmarkEnd w:id="29"/>
      <w:bookmarkEnd w:id="30"/>
      <w:bookmarkEnd w:id="31"/>
      <w:bookmarkEnd w:id="32"/>
      <w:bookmarkEnd w:id="33"/>
      <w:bookmarkEnd w:id="34"/>
      <w:bookmarkEnd w:id="35"/>
      <w:bookmarkEnd w:id="36"/>
      <w:bookmarkEnd w:id="37"/>
    </w:p>
    <w:p w14:paraId="400A88CB">
      <w:pPr>
        <w:snapToGrid w:val="0"/>
        <w:spacing w:line="360" w:lineRule="auto"/>
        <w:rPr>
          <w:rFonts w:hint="eastAsia" w:ascii="仿宋" w:hAnsi="仿宋" w:eastAsia="仿宋" w:cs="仿宋"/>
          <w:b/>
          <w:bCs/>
          <w:snapToGrid w:val="0"/>
          <w:color w:val="auto"/>
          <w:sz w:val="24"/>
          <w:highlight w:val="none"/>
        </w:rPr>
      </w:pPr>
      <w:bookmarkStart w:id="38" w:name="_Toc221356886"/>
      <w:bookmarkStart w:id="39" w:name="_Hlk93149286"/>
      <w:r>
        <w:rPr>
          <w:rFonts w:hint="eastAsia" w:ascii="仿宋" w:hAnsi="仿宋" w:eastAsia="仿宋" w:cs="仿宋"/>
          <w:b/>
          <w:snapToGrid w:val="0"/>
          <w:color w:val="auto"/>
          <w:sz w:val="24"/>
          <w:highlight w:val="none"/>
        </w:rPr>
        <w:t>10.</w:t>
      </w:r>
      <w:r>
        <w:rPr>
          <w:rFonts w:hint="eastAsia" w:ascii="仿宋" w:hAnsi="仿宋" w:eastAsia="仿宋" w:cs="仿宋"/>
          <w:b/>
          <w:bCs/>
          <w:snapToGrid w:val="0"/>
          <w:color w:val="auto"/>
          <w:sz w:val="24"/>
          <w:highlight w:val="none"/>
        </w:rPr>
        <w:t>投标文件的构成</w:t>
      </w:r>
    </w:p>
    <w:p w14:paraId="0B5BF659">
      <w:pPr>
        <w:snapToGrid w:val="0"/>
        <w:spacing w:line="360" w:lineRule="auto"/>
        <w:ind w:firstLine="470" w:firstLineChars="196"/>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包括资格文件、商务技术文件、报价文件三部分。</w:t>
      </w:r>
    </w:p>
    <w:p w14:paraId="754923E9">
      <w:pPr>
        <w:tabs>
          <w:tab w:val="left" w:pos="360"/>
        </w:tabs>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10.1 资格文件须包括下列内容：</w:t>
      </w:r>
    </w:p>
    <w:p w14:paraId="57A6823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10.1.1符合参加政府采购活动应当具备的一般条件的承诺函；</w:t>
      </w:r>
    </w:p>
    <w:p w14:paraId="4405A38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10.1.2落实政府采购政策需满足的资格要求；</w:t>
      </w:r>
    </w:p>
    <w:p w14:paraId="59CB090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10.1.3本项目的特定资格要求。</w:t>
      </w:r>
    </w:p>
    <w:p w14:paraId="2BDDF6A4">
      <w:pPr>
        <w:tabs>
          <w:tab w:val="left" w:pos="360"/>
        </w:tabs>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10.2 商务技术文件应包括下列部分：</w:t>
      </w:r>
    </w:p>
    <w:p w14:paraId="1102A07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10.2.1投标函；</w:t>
      </w:r>
    </w:p>
    <w:p w14:paraId="6F48D96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10.2.2授权委托书或法定代表人（单位负责人、自然人本人）身份证明；</w:t>
      </w:r>
    </w:p>
    <w:p w14:paraId="217C3CD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10.2.3符合性审查资料；</w:t>
      </w:r>
    </w:p>
    <w:p w14:paraId="27D5C56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10.2.4评标标准相应的商务技术资料；</w:t>
      </w:r>
    </w:p>
    <w:p w14:paraId="697C0FE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10.2.5商务技术偏离表；</w:t>
      </w:r>
    </w:p>
    <w:p w14:paraId="684B958D">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10.</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6投标人认为需要提供的其他相关资料</w:t>
      </w:r>
      <w:r>
        <w:rPr>
          <w:rFonts w:hint="eastAsia" w:ascii="仿宋" w:hAnsi="仿宋" w:eastAsia="仿宋" w:cs="仿宋"/>
          <w:color w:val="auto"/>
          <w:sz w:val="24"/>
          <w:highlight w:val="none"/>
          <w:lang w:val="zh-CN"/>
        </w:rPr>
        <w:t>。</w:t>
      </w:r>
    </w:p>
    <w:p w14:paraId="74744AF5">
      <w:pPr>
        <w:tabs>
          <w:tab w:val="left" w:pos="5355"/>
        </w:tabs>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10.3 报价文件应包括下列部分：</w:t>
      </w:r>
    </w:p>
    <w:p w14:paraId="0520EDC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10.3.1开标一览表（报价表）；</w:t>
      </w:r>
    </w:p>
    <w:p w14:paraId="339C1C9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10.3.2价格组成表；</w:t>
      </w:r>
    </w:p>
    <w:p w14:paraId="09873B6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10.3.3政府采购政策情况表。</w:t>
      </w:r>
    </w:p>
    <w:p w14:paraId="66E381B6">
      <w:pPr>
        <w:snapToGrid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10.4 要求投标人提供样品、讲解或演示的，见投标人须知前附表。</w:t>
      </w:r>
    </w:p>
    <w:bookmarkEnd w:id="38"/>
    <w:p w14:paraId="32B264A7">
      <w:pPr>
        <w:snapToGrid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11.投标文件编制</w:t>
      </w:r>
    </w:p>
    <w:p w14:paraId="2954BDE0">
      <w:pPr>
        <w:tabs>
          <w:tab w:val="left" w:pos="360"/>
        </w:tabs>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11.1本项目通过“政采云平台（www.zcygov.cn）”实行在线投标（电子投标）。投标人应通过“政采云电子交易客户端”，并按照本招标文件和“政采云平台”的要求编制并加密投标文件。</w:t>
      </w:r>
      <w:r>
        <w:rPr>
          <w:rFonts w:hint="eastAsia" w:ascii="仿宋" w:hAnsi="仿宋" w:eastAsia="仿宋" w:cs="仿宋"/>
          <w:b/>
          <w:color w:val="auto"/>
          <w:kern w:val="0"/>
          <w:sz w:val="24"/>
          <w:highlight w:val="none"/>
          <w:u w:val="single"/>
        </w:rPr>
        <w:t>▲</w:t>
      </w:r>
      <w:r>
        <w:rPr>
          <w:rFonts w:hint="eastAsia" w:ascii="仿宋" w:hAnsi="仿宋" w:eastAsia="仿宋" w:cs="仿宋"/>
          <w:b/>
          <w:color w:val="auto"/>
          <w:kern w:val="0"/>
          <w:sz w:val="24"/>
          <w:highlight w:val="none"/>
          <w:u w:val="single"/>
          <w:lang w:val="zh-CN"/>
        </w:rPr>
        <w:t>投标人未按规定加密的投标文件，政采云平台将拒收并提示</w:t>
      </w:r>
      <w:r>
        <w:rPr>
          <w:rFonts w:hint="eastAsia" w:ascii="仿宋" w:hAnsi="仿宋" w:eastAsia="仿宋" w:cs="仿宋"/>
          <w:color w:val="auto"/>
          <w:kern w:val="0"/>
          <w:sz w:val="24"/>
          <w:highlight w:val="none"/>
          <w:lang w:val="zh-CN"/>
        </w:rPr>
        <w:t>。</w:t>
      </w:r>
    </w:p>
    <w:p w14:paraId="26337761">
      <w:pPr>
        <w:snapToGrid w:val="0"/>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11.2投标人应当按照本部分“投标文件的构成”规定的内容及顺序在“政采云电子交易客户端”编制投标文件。</w:t>
      </w:r>
      <w:r>
        <w:rPr>
          <w:rFonts w:hint="eastAsia" w:ascii="仿宋" w:hAnsi="仿宋" w:eastAsia="仿宋" w:cs="仿宋"/>
          <w:color w:val="auto"/>
          <w:kern w:val="0"/>
          <w:sz w:val="24"/>
          <w:highlight w:val="none"/>
          <w:lang w:val="zh-CN"/>
        </w:rPr>
        <w:t>各投标人在编制投标文件时请按照招标文件第五部分规定的格式进行，混乱的编排导致投标文件被误读或评标委员会查找不到有效文件的风险由投标人自行承担。</w:t>
      </w:r>
    </w:p>
    <w:p w14:paraId="3154EBE1">
      <w:pPr>
        <w:tabs>
          <w:tab w:val="left" w:pos="36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11.3使用“政采云电子交易客户端”需要提前申领CA数字证书，申领流程请自行前往“浙江政府采购网-下载专区-电子交易客户端-CA驱动和申领流程”进行查阅。</w:t>
      </w:r>
    </w:p>
    <w:p w14:paraId="061986C3">
      <w:pPr>
        <w:snapToGrid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12.投标文件的签署、盖章</w:t>
      </w:r>
    </w:p>
    <w:p w14:paraId="3BEB429B">
      <w:pPr>
        <w:pStyle w:val="89"/>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12.1投标文件按照招标文件第五部分格式要求进行签署、盖章。</w:t>
      </w:r>
    </w:p>
    <w:p w14:paraId="1CC09C69">
      <w:pPr>
        <w:pStyle w:val="89"/>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12.2为确保网上操作合法、有效和安全，投标人应当在投标截止时间前完成在“政采云平台”的身份认证，确保在电子投标过程中能够对相关数据电文进行加密和使用电子签名。</w:t>
      </w:r>
    </w:p>
    <w:p w14:paraId="420A0A70">
      <w:pPr>
        <w:pStyle w:val="89"/>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12.3招标文件对投标文件签署、盖章的要求适用于电子签名。</w:t>
      </w:r>
      <w:bookmarkEnd w:id="39"/>
    </w:p>
    <w:p w14:paraId="60947766">
      <w:pPr>
        <w:tabs>
          <w:tab w:val="left" w:pos="540"/>
        </w:tabs>
        <w:snapToGrid w:val="0"/>
        <w:spacing w:line="360" w:lineRule="auto"/>
        <w:rPr>
          <w:rFonts w:hint="eastAsia" w:ascii="仿宋" w:hAnsi="仿宋" w:eastAsia="仿宋" w:cs="仿宋"/>
          <w:b/>
          <w:color w:val="auto"/>
          <w:sz w:val="24"/>
          <w:highlight w:val="none"/>
        </w:rPr>
      </w:pPr>
      <w:bookmarkStart w:id="40" w:name="_Hlk93149637"/>
      <w:r>
        <w:rPr>
          <w:rFonts w:hint="eastAsia" w:ascii="仿宋" w:hAnsi="仿宋" w:eastAsia="仿宋" w:cs="仿宋"/>
          <w:b/>
          <w:bCs/>
          <w:color w:val="auto"/>
          <w:sz w:val="24"/>
          <w:highlight w:val="none"/>
        </w:rPr>
        <w:t>13.投标报价</w:t>
      </w:r>
    </w:p>
    <w:p w14:paraId="6372B534">
      <w:pPr>
        <w:tabs>
          <w:tab w:val="left" w:pos="54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13.1投标人应报出本项目采购的货物、服务或工程所包含的所有单价和总价，并提供价格组成表。价格组成表中未列出的项目或未填写单价和总价的项目,在合同执行时采购人将不予支付,并认为这些项目费用已包括在投标报价内。</w:t>
      </w:r>
    </w:p>
    <w:p w14:paraId="5652B987">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13.2有关本项目实施所需的所有费用（含税费）均计入报价。</w:t>
      </w:r>
      <w:r>
        <w:rPr>
          <w:rFonts w:hint="eastAsia" w:ascii="仿宋" w:hAnsi="仿宋" w:eastAsia="仿宋" w:cs="仿宋"/>
          <w:color w:val="auto"/>
          <w:sz w:val="24"/>
          <w:highlight w:val="none"/>
        </w:rPr>
        <w:t>所有投标报价均以人民币报价。</w:t>
      </w:r>
      <w:r>
        <w:rPr>
          <w:rFonts w:hint="eastAsia" w:ascii="仿宋" w:hAnsi="仿宋" w:eastAsia="仿宋" w:cs="仿宋"/>
          <w:color w:val="auto"/>
          <w:kern w:val="0"/>
          <w:sz w:val="24"/>
          <w:highlight w:val="none"/>
          <w:lang w:val="zh-CN"/>
        </w:rPr>
        <w:t>招标文件未列明，而投标人认为必需的费用也需列入报价。</w:t>
      </w:r>
    </w:p>
    <w:p w14:paraId="0BDB2AD0">
      <w:pPr>
        <w:snapToGrid w:val="0"/>
        <w:spacing w:line="360" w:lineRule="auto"/>
        <w:ind w:firstLine="472" w:firstLineChars="196"/>
        <w:jc w:val="left"/>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lang w:val="zh-CN"/>
        </w:rPr>
        <w:t>13.3</w:t>
      </w:r>
      <w:r>
        <w:rPr>
          <w:rFonts w:hint="eastAsia" w:ascii="仿宋" w:hAnsi="仿宋" w:eastAsia="仿宋" w:cs="仿宋"/>
          <w:b/>
          <w:color w:val="auto"/>
          <w:sz w:val="24"/>
          <w:highlight w:val="none"/>
        </w:rPr>
        <w:t>投标报价其他要求见投标人须知前附表。</w:t>
      </w:r>
      <w:bookmarkEnd w:id="40"/>
    </w:p>
    <w:p w14:paraId="7C2D67ED">
      <w:pPr>
        <w:tabs>
          <w:tab w:val="left" w:pos="-180"/>
          <w:tab w:val="left" w:pos="180"/>
          <w:tab w:val="left" w:pos="360"/>
        </w:tabs>
        <w:snapToGrid w:val="0"/>
        <w:spacing w:line="360" w:lineRule="auto"/>
        <w:rPr>
          <w:rFonts w:hint="eastAsia" w:ascii="仿宋" w:hAnsi="仿宋" w:eastAsia="仿宋" w:cs="仿宋"/>
          <w:b/>
          <w:bCs/>
          <w:color w:val="auto"/>
          <w:sz w:val="24"/>
          <w:highlight w:val="none"/>
        </w:rPr>
      </w:pPr>
      <w:bookmarkStart w:id="41" w:name="_Toc221374626"/>
      <w:bookmarkStart w:id="42" w:name="_Toc221423619"/>
      <w:bookmarkStart w:id="43" w:name="_Toc241404202"/>
      <w:bookmarkStart w:id="44" w:name="_Toc265529383"/>
      <w:bookmarkStart w:id="45" w:name="_Toc223715998"/>
      <w:bookmarkStart w:id="46" w:name="_Toc221356951"/>
      <w:bookmarkStart w:id="47" w:name="_Toc221356887"/>
      <w:bookmarkStart w:id="48" w:name="_Toc239145354"/>
      <w:bookmarkStart w:id="49" w:name="_Toc222114879"/>
      <w:r>
        <w:rPr>
          <w:rFonts w:hint="eastAsia" w:ascii="仿宋" w:hAnsi="仿宋" w:eastAsia="仿宋" w:cs="仿宋"/>
          <w:b/>
          <w:bCs/>
          <w:color w:val="auto"/>
          <w:sz w:val="24"/>
          <w:highlight w:val="none"/>
        </w:rPr>
        <w:t>14.投标保证金</w:t>
      </w:r>
    </w:p>
    <w:p w14:paraId="77C7354F">
      <w:pPr>
        <w:tabs>
          <w:tab w:val="left" w:pos="-180"/>
          <w:tab w:val="left" w:pos="180"/>
          <w:tab w:val="left" w:pos="360"/>
        </w:tabs>
        <w:snapToGrid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14.1根据《浙江省财政厅关于明确政府采购保证金管理工作的通知》（浙财采监〔2019〕5号）规定，政府采购货物和服务招标投标活动不得向投标人收取投标保证金，非招标采购方式采购货物、工程和服务亦同。</w:t>
      </w:r>
    </w:p>
    <w:p w14:paraId="66DBE6BF">
      <w:pPr>
        <w:tabs>
          <w:tab w:val="left" w:pos="-180"/>
          <w:tab w:val="left" w:pos="180"/>
          <w:tab w:val="left" w:pos="360"/>
        </w:tabs>
        <w:snapToGrid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14.2无论是否收取投标保证金，投标人在政府采购活动中违反政府采购相关规定给采购组织机构造成损失的，采购组织机构可要求投标人承担赔偿责任。</w:t>
      </w:r>
    </w:p>
    <w:p w14:paraId="475E8EFE">
      <w:pPr>
        <w:tabs>
          <w:tab w:val="left" w:pos="-180"/>
          <w:tab w:val="left" w:pos="180"/>
          <w:tab w:val="left" w:pos="360"/>
        </w:tabs>
        <w:snapToGrid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有下列情形之一的，采购人将按项目预算的2%要求投标人赔偿：</w:t>
      </w:r>
    </w:p>
    <w:p w14:paraId="08FCCF16">
      <w:pPr>
        <w:tabs>
          <w:tab w:val="left" w:pos="-180"/>
          <w:tab w:val="left" w:pos="180"/>
          <w:tab w:val="left" w:pos="360"/>
        </w:tabs>
        <w:snapToGrid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（1）投标人在投标有效期内撤销投标文件；</w:t>
      </w:r>
    </w:p>
    <w:p w14:paraId="7C175F89">
      <w:pPr>
        <w:tabs>
          <w:tab w:val="left" w:pos="-180"/>
          <w:tab w:val="left" w:pos="180"/>
          <w:tab w:val="left" w:pos="360"/>
        </w:tabs>
        <w:snapToGrid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（2）中标人在收到中标通知书后，无正当理由不与采购人订立合同，在签订合同时向采购人提出附加条件，或者不按照招标文件要求提交履约保证金。</w:t>
      </w:r>
    </w:p>
    <w:p w14:paraId="3D5F1B85">
      <w:pPr>
        <w:tabs>
          <w:tab w:val="left" w:pos="-180"/>
          <w:tab w:val="left" w:pos="180"/>
          <w:tab w:val="left" w:pos="360"/>
        </w:tabs>
        <w:snapToGrid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15.投标有效期</w:t>
      </w:r>
    </w:p>
    <w:p w14:paraId="5C60B5EC">
      <w:pP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w:t>
      </w:r>
      <w:bookmarkStart w:id="50" w:name="_Hlk93150253"/>
      <w:r>
        <w:rPr>
          <w:rFonts w:hint="eastAsia" w:ascii="仿宋" w:hAnsi="仿宋" w:eastAsia="仿宋" w:cs="仿宋"/>
          <w:color w:val="auto"/>
          <w:kern w:val="0"/>
          <w:sz w:val="24"/>
          <w:highlight w:val="none"/>
        </w:rPr>
        <w:t>投标有效期见投标人须知前附表。</w:t>
      </w:r>
      <w:r>
        <w:rPr>
          <w:rFonts w:hint="eastAsia" w:ascii="仿宋" w:hAnsi="仿宋" w:eastAsia="仿宋" w:cs="仿宋"/>
          <w:b/>
          <w:color w:val="auto"/>
          <w:kern w:val="0"/>
          <w:sz w:val="24"/>
          <w:highlight w:val="none"/>
          <w:u w:val="single"/>
        </w:rPr>
        <w:t>▲投标人的投标文件中承诺的投标有效期少于招标文件中载明的投标有效期的，投标无效</w:t>
      </w:r>
      <w:r>
        <w:rPr>
          <w:rFonts w:hint="eastAsia" w:ascii="仿宋" w:hAnsi="仿宋" w:eastAsia="仿宋" w:cs="仿宋"/>
          <w:color w:val="auto"/>
          <w:kern w:val="0"/>
          <w:sz w:val="24"/>
          <w:highlight w:val="none"/>
        </w:rPr>
        <w:t>。</w:t>
      </w:r>
    </w:p>
    <w:p w14:paraId="3BB1F922">
      <w:pP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15.2投标文件合格投递后，自投标截止日期起，在投标有效期内有效。</w:t>
      </w:r>
    </w:p>
    <w:p w14:paraId="2C246086">
      <w:pP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15.3在原定投标有效期满之前，如果出现特殊情况，采购机构可以以书面形式通知投标人延长投标有效期。投标人同意延长的，不得要求或被允许修改其投标文件，投标人拒绝延长的，其投标无效。</w:t>
      </w:r>
    </w:p>
    <w:bookmarkEnd w:id="41"/>
    <w:bookmarkEnd w:id="42"/>
    <w:bookmarkEnd w:id="43"/>
    <w:bookmarkEnd w:id="44"/>
    <w:bookmarkEnd w:id="45"/>
    <w:bookmarkEnd w:id="46"/>
    <w:bookmarkEnd w:id="47"/>
    <w:bookmarkEnd w:id="48"/>
    <w:bookmarkEnd w:id="49"/>
    <w:bookmarkEnd w:id="50"/>
    <w:p w14:paraId="682BEC91">
      <w:pPr>
        <w:pStyle w:val="89"/>
        <w:snapToGrid w:val="0"/>
        <w:spacing w:before="0"/>
        <w:ind w:firstLine="0" w:firstLineChars="0"/>
        <w:rPr>
          <w:rFonts w:hint="eastAsia" w:ascii="仿宋" w:hAnsi="仿宋" w:eastAsia="仿宋" w:cs="仿宋"/>
          <w:b/>
          <w:color w:val="auto"/>
          <w:szCs w:val="24"/>
          <w:highlight w:val="none"/>
        </w:rPr>
      </w:pPr>
      <w:bookmarkStart w:id="51" w:name="_Hlk93150425"/>
      <w:r>
        <w:rPr>
          <w:rFonts w:hint="eastAsia" w:ascii="仿宋" w:hAnsi="仿宋" w:eastAsia="仿宋" w:cs="仿宋"/>
          <w:b/>
          <w:color w:val="auto"/>
          <w:szCs w:val="24"/>
          <w:highlight w:val="none"/>
        </w:rPr>
        <w:t>16.投标文件的递交、补充、修改、撤回</w:t>
      </w:r>
    </w:p>
    <w:p w14:paraId="00167277">
      <w:pPr>
        <w:pStyle w:val="89"/>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16.1投标人应当在投标截止时间前完成投标文件的传输递交，并可以补充、修改或者撤回投标文件。补充或者修改投标文件的，应当先行撤回原文件，补充、修改后重新传输递交。投标截止时间前未完成传输的，视为撤回投标文件。</w:t>
      </w:r>
      <w:r>
        <w:rPr>
          <w:rFonts w:hint="eastAsia" w:ascii="仿宋" w:hAnsi="仿宋" w:eastAsia="仿宋" w:cs="仿宋"/>
          <w:b/>
          <w:color w:val="auto"/>
          <w:kern w:val="0"/>
          <w:highlight w:val="none"/>
          <w:u w:val="single"/>
        </w:rPr>
        <w:t>▲</w:t>
      </w:r>
      <w:r>
        <w:rPr>
          <w:rFonts w:hint="eastAsia" w:ascii="仿宋" w:hAnsi="仿宋" w:eastAsia="仿宋" w:cs="仿宋"/>
          <w:b/>
          <w:color w:val="auto"/>
          <w:szCs w:val="24"/>
          <w:highlight w:val="none"/>
          <w:u w:val="single"/>
        </w:rPr>
        <w:t>投标截止时间后递交的投标文件，政采云平台将拒收</w:t>
      </w:r>
      <w:r>
        <w:rPr>
          <w:rFonts w:hint="eastAsia" w:ascii="仿宋" w:hAnsi="仿宋" w:eastAsia="仿宋" w:cs="仿宋"/>
          <w:color w:val="auto"/>
          <w:szCs w:val="24"/>
          <w:highlight w:val="none"/>
        </w:rPr>
        <w:t>。</w:t>
      </w:r>
    </w:p>
    <w:p w14:paraId="3995BF9B">
      <w:pPr>
        <w:pStyle w:val="89"/>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16.2政采云平台收到投标文件，将妥善保存并即时向投标人发出确认回执通知。在投标截止时间前，除投标人补充、修改或者撤回投标文件外，任何单位和个人不得解密或提取投标文件。</w:t>
      </w:r>
    </w:p>
    <w:p w14:paraId="79B434A0">
      <w:pPr>
        <w:pStyle w:val="89"/>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16.3采购人、采购机构可以视情况延长投标文件提交的截止时间。在上述情况下，采购机构与投标人以前在投标截止期方面的全部权利、责任和义务，将适用于延长至新的投标截止期。</w:t>
      </w:r>
    </w:p>
    <w:p w14:paraId="6FA1D17B">
      <w:pPr>
        <w:pStyle w:val="32"/>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17.备份投标文件</w:t>
      </w:r>
    </w:p>
    <w:p w14:paraId="70717122">
      <w:pPr>
        <w:pStyle w:val="32"/>
        <w:snapToGrid w:val="0"/>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17.1投标人在政采云平台传输递交投标文件后，还可以在投标截止时间前直接提交或者以邮政快递方式（递交地点见投标人须知前附表）递交备份投标文件1份，</w:t>
      </w:r>
      <w:r>
        <w:rPr>
          <w:rFonts w:hint="eastAsia" w:ascii="仿宋" w:hAnsi="仿宋" w:eastAsia="仿宋" w:cs="仿宋"/>
          <w:b/>
          <w:color w:val="auto"/>
          <w:sz w:val="24"/>
          <w:szCs w:val="24"/>
          <w:highlight w:val="none"/>
        </w:rPr>
        <w:t>但采购人、采购机构不强制或变相强制投标人提交备份投标文件。</w:t>
      </w:r>
    </w:p>
    <w:p w14:paraId="7F6B86E2">
      <w:pPr>
        <w:pStyle w:val="32"/>
        <w:snapToGrid w:val="0"/>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17.2备份投标文件须在“政采云投标客户端”制作生成，并储存在光盘或U盘中。备份投标文件应当密封包装并在包装上加盖公章并注明投标项目名称，投标人名称(联合体投标的，包装物封面需注明联合体投标，并注明联合体成员各方的名称和联合体协议中约定的牵头人的名称)。</w:t>
      </w:r>
      <w:r>
        <w:rPr>
          <w:rFonts w:hint="eastAsia" w:ascii="仿宋" w:hAnsi="仿宋" w:eastAsia="仿宋" w:cs="仿宋"/>
          <w:b/>
          <w:color w:val="auto"/>
          <w:sz w:val="24"/>
          <w:szCs w:val="24"/>
          <w:highlight w:val="none"/>
        </w:rPr>
        <w:t>不符合上述制作、存储、密封规定的备份投标文件将被视为无效或者被拒绝接收。</w:t>
      </w:r>
    </w:p>
    <w:p w14:paraId="18D0CCE6">
      <w:pPr>
        <w:pStyle w:val="32"/>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17.3</w:t>
      </w:r>
      <w:r>
        <w:rPr>
          <w:rFonts w:hint="eastAsia" w:ascii="仿宋" w:hAnsi="仿宋" w:eastAsia="仿宋" w:cs="仿宋"/>
          <w:b/>
          <w:bCs/>
          <w:color w:val="auto"/>
          <w:sz w:val="24"/>
          <w:szCs w:val="24"/>
          <w:highlight w:val="none"/>
        </w:rPr>
        <w:t>采购机构将拒绝接受逾期送达的备份投标文件。</w:t>
      </w:r>
      <w:r>
        <w:rPr>
          <w:rFonts w:hint="eastAsia" w:ascii="仿宋" w:hAnsi="仿宋" w:eastAsia="仿宋" w:cs="仿宋"/>
          <w:color w:val="auto"/>
          <w:sz w:val="24"/>
          <w:szCs w:val="24"/>
          <w:highlight w:val="none"/>
        </w:rPr>
        <w:t>采用邮政快递方式递交备份投标文件的，送达时间以签收人签收时间为准。邮寄过程中，备份投标文件发生泄露、遗失、损坏或延期送达等情况的，由投标人自行负责。</w:t>
      </w:r>
    </w:p>
    <w:p w14:paraId="06D2EF3E">
      <w:pPr>
        <w:pStyle w:val="32"/>
        <w:snapToGrid w:val="0"/>
        <w:spacing w:line="360" w:lineRule="auto"/>
        <w:ind w:firstLine="472" w:firstLineChars="196"/>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17.4</w:t>
      </w:r>
      <w:r>
        <w:rPr>
          <w:rFonts w:hint="eastAsia" w:ascii="仿宋" w:hAnsi="仿宋" w:eastAsia="仿宋" w:cs="仿宋"/>
          <w:b/>
          <w:color w:val="auto"/>
          <w:kern w:val="0"/>
          <w:sz w:val="24"/>
          <w:highlight w:val="none"/>
          <w:u w:val="single"/>
        </w:rPr>
        <w:t>▲</w:t>
      </w:r>
      <w:r>
        <w:rPr>
          <w:rFonts w:hint="eastAsia" w:ascii="仿宋" w:hAnsi="仿宋" w:eastAsia="仿宋" w:cs="仿宋"/>
          <w:b/>
          <w:color w:val="auto"/>
          <w:sz w:val="24"/>
          <w:szCs w:val="24"/>
          <w:highlight w:val="none"/>
          <w:u w:val="single"/>
        </w:rPr>
        <w:t>投标人仅提交备份投标文件，没有在政采云平台传输递交投标文件的，投标无效</w:t>
      </w:r>
      <w:r>
        <w:rPr>
          <w:rFonts w:hint="eastAsia" w:ascii="仿宋" w:hAnsi="仿宋" w:eastAsia="仿宋" w:cs="仿宋"/>
          <w:b/>
          <w:color w:val="auto"/>
          <w:sz w:val="24"/>
          <w:szCs w:val="24"/>
          <w:highlight w:val="none"/>
        </w:rPr>
        <w:t>。</w:t>
      </w:r>
    </w:p>
    <w:p w14:paraId="1B8244F8">
      <w:pPr>
        <w:pStyle w:val="89"/>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18.投标文件的无效处理</w:t>
      </w:r>
    </w:p>
    <w:p w14:paraId="6943E15E">
      <w:pPr>
        <w:pStyle w:val="25"/>
        <w:adjustRightInd w:val="0"/>
        <w:snapToGrid w:val="0"/>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见招标文件第六部分评标办法。</w:t>
      </w:r>
      <w:bookmarkEnd w:id="51"/>
    </w:p>
    <w:p w14:paraId="117A0508">
      <w:pPr>
        <w:pStyle w:val="89"/>
        <w:snapToGrid w:val="0"/>
        <w:spacing w:before="0"/>
        <w:ind w:firstLine="0" w:firstLineChars="0"/>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四、开标、资格审查与信用信息查询</w:t>
      </w:r>
    </w:p>
    <w:p w14:paraId="57A8B046">
      <w:pPr>
        <w:pStyle w:val="92"/>
        <w:snapToGrid w:val="0"/>
        <w:spacing w:before="0" w:line="360" w:lineRule="auto"/>
        <w:ind w:left="0" w:firstLine="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19.开标</w:t>
      </w:r>
    </w:p>
    <w:p w14:paraId="76FC6E69">
      <w:pPr>
        <w:pStyle w:val="92"/>
        <w:snapToGrid w:val="0"/>
        <w:spacing w:before="0"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19.1采购机构按照招标文件规定的时间通过政采云平台组织开标，所有投标人均应当准时在线参加。投标人不足3家的，不得开标。</w:t>
      </w:r>
    </w:p>
    <w:p w14:paraId="7D05A7E8">
      <w:pPr>
        <w:pStyle w:val="92"/>
        <w:snapToGrid w:val="0"/>
        <w:spacing w:before="0"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19.2开标时，政采云平台按开标时间自动提取所有投标文件。采购机构依托政采云平台发起开始解密指令，投标人按照平台提示和招标文件的规定完成在线解密。</w:t>
      </w:r>
    </w:p>
    <w:p w14:paraId="194BD617">
      <w:pPr>
        <w:tabs>
          <w:tab w:val="left" w:pos="540"/>
        </w:tabs>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采用二阶段开标形式的，第一阶段按前款规定</w:t>
      </w:r>
      <w:r>
        <w:rPr>
          <w:rFonts w:hint="eastAsia" w:ascii="仿宋" w:hAnsi="仿宋" w:eastAsia="仿宋" w:cs="仿宋"/>
          <w:color w:val="auto"/>
          <w:sz w:val="24"/>
          <w:highlight w:val="none"/>
        </w:rPr>
        <w:t>投标人完成在线解密</w:t>
      </w:r>
      <w:r>
        <w:rPr>
          <w:rFonts w:hint="eastAsia" w:ascii="仿宋" w:hAnsi="仿宋" w:eastAsia="仿宋" w:cs="仿宋"/>
          <w:color w:val="auto"/>
          <w:kern w:val="0"/>
          <w:sz w:val="24"/>
          <w:highlight w:val="none"/>
        </w:rPr>
        <w:t>，先进入符合性审查、商务技术文件的评审；</w:t>
      </w:r>
      <w:r>
        <w:rPr>
          <w:rFonts w:hint="eastAsia" w:ascii="仿宋" w:hAnsi="仿宋" w:eastAsia="仿宋" w:cs="仿宋"/>
          <w:color w:val="auto"/>
          <w:sz w:val="24"/>
          <w:highlight w:val="none"/>
        </w:rPr>
        <w:t>采购机构</w:t>
      </w:r>
      <w:r>
        <w:rPr>
          <w:rFonts w:hint="eastAsia" w:ascii="仿宋" w:hAnsi="仿宋" w:eastAsia="仿宋" w:cs="仿宋"/>
          <w:color w:val="auto"/>
          <w:kern w:val="0"/>
          <w:sz w:val="24"/>
          <w:highlight w:val="none"/>
        </w:rPr>
        <w:t>在符合性审查、商务技术文件的评审结束后再进行第二阶段开标：采购机构在政采云平台公布符合性审查、商务技术评审无效投标人名称及理由，公布有效投标人名称及其商务技术部分得分情况，再公布有效投标人开标一览表及有关内容，制作开标记录，投标人应当在30分钟内完成政采云平台上签字确认。</w:t>
      </w:r>
    </w:p>
    <w:p w14:paraId="4C2FA3DC">
      <w:pPr>
        <w:tabs>
          <w:tab w:val="left" w:pos="540"/>
        </w:tabs>
        <w:snapToGrid w:val="0"/>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19.3特别说明：</w:t>
      </w:r>
    </w:p>
    <w:p w14:paraId="1118457A">
      <w:pPr>
        <w:tabs>
          <w:tab w:val="left" w:pos="540"/>
        </w:tabs>
        <w:snapToGrid w:val="0"/>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（1）如遇“政采云平台”电子化开标或评审程序（含相关数据公布）调整的，按调整后程序执行。</w:t>
      </w:r>
    </w:p>
    <w:p w14:paraId="072DE904">
      <w:pPr>
        <w:tabs>
          <w:tab w:val="left" w:pos="540"/>
        </w:tabs>
        <w:snapToGrid w:val="0"/>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（2）开标过程中需要相关当事人进行签字或盖章确认的材料将通过“政采云平台”进行，若因“政采云平台”技术问题无法进行签字或盖章确认的，采购组织机构将通过邮件、传真等形式组织确认。</w:t>
      </w:r>
    </w:p>
    <w:p w14:paraId="639547D5">
      <w:pPr>
        <w:tabs>
          <w:tab w:val="left" w:pos="540"/>
        </w:tabs>
        <w:snapToGrid w:val="0"/>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3）投标人代表应保持“政采云平台”在线并准备好投标人公章、笔、纸、打印机等办公用品，随时做好开评标过程所需文件的邮件收发及签字、盖章工作（下同）。由于投标人代表未在线或电话无法联系而导致的相关损失或责任由投标人承担。</w:t>
      </w:r>
    </w:p>
    <w:p w14:paraId="59EC3AFE">
      <w:pPr>
        <w:pStyle w:val="92"/>
        <w:snapToGrid w:val="0"/>
        <w:spacing w:before="0"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19.4投标文件未按时解密，投标人提供了备份投标文件的，以备份投标文件作为依据，否则视为投标文件撤回。投标文件已按时解密的，备份投标文件自动失效。</w:t>
      </w:r>
    </w:p>
    <w:p w14:paraId="69DDE8CD">
      <w:pPr>
        <w:widowControl/>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20、资格审查</w:t>
      </w:r>
    </w:p>
    <w:p w14:paraId="54C78541">
      <w:pPr>
        <w:pStyle w:val="89"/>
        <w:snapToGrid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20.1开标后，采购人或采购代理机构将依法对投标人的资格进行审查。</w:t>
      </w:r>
    </w:p>
    <w:p w14:paraId="7A05B13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20.2</w:t>
      </w:r>
      <w:r>
        <w:rPr>
          <w:rFonts w:hint="eastAsia" w:ascii="仿宋" w:hAnsi="仿宋" w:eastAsia="仿宋" w:cs="仿宋"/>
          <w:color w:val="auto"/>
          <w:sz w:val="24"/>
          <w:highlight w:val="none"/>
        </w:rPr>
        <w:t>采购人或采购代理机构依据法律法规和招标文件的规定，对投标人的基本资格条件、落实政府采购政策需满足的资格要求、特定资格条件进行审查。</w:t>
      </w:r>
    </w:p>
    <w:p w14:paraId="6BFD1103">
      <w:pPr>
        <w:pStyle w:val="89"/>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20.3</w:t>
      </w:r>
      <w:r>
        <w:rPr>
          <w:rFonts w:hint="eastAsia" w:ascii="仿宋" w:hAnsi="仿宋" w:eastAsia="仿宋" w:cs="仿宋"/>
          <w:b/>
          <w:color w:val="auto"/>
          <w:kern w:val="0"/>
          <w:highlight w:val="none"/>
          <w:u w:val="single"/>
        </w:rPr>
        <w:t>▲</w:t>
      </w:r>
      <w:r>
        <w:rPr>
          <w:rFonts w:hint="eastAsia" w:ascii="仿宋" w:hAnsi="仿宋" w:eastAsia="仿宋" w:cs="仿宋"/>
          <w:b/>
          <w:color w:val="auto"/>
          <w:kern w:val="0"/>
          <w:szCs w:val="24"/>
          <w:highlight w:val="none"/>
          <w:u w:val="single"/>
        </w:rPr>
        <w:t>投标人未按照招标文件要求提供与</w:t>
      </w:r>
      <w:r>
        <w:rPr>
          <w:rFonts w:hint="eastAsia" w:ascii="仿宋" w:hAnsi="仿宋" w:eastAsia="仿宋" w:cs="仿宋"/>
          <w:b/>
          <w:color w:val="auto"/>
          <w:szCs w:val="24"/>
          <w:highlight w:val="none"/>
          <w:u w:val="single"/>
        </w:rPr>
        <w:t>基本资格条件、</w:t>
      </w:r>
      <w:r>
        <w:rPr>
          <w:rFonts w:hint="eastAsia" w:ascii="仿宋" w:hAnsi="仿宋" w:eastAsia="仿宋" w:cs="仿宋"/>
          <w:b/>
          <w:color w:val="auto"/>
          <w:highlight w:val="none"/>
          <w:u w:val="single"/>
        </w:rPr>
        <w:t>落实政府采购政策需满足的资格要求、</w:t>
      </w:r>
      <w:r>
        <w:rPr>
          <w:rFonts w:hint="eastAsia" w:ascii="仿宋" w:hAnsi="仿宋" w:eastAsia="仿宋" w:cs="仿宋"/>
          <w:b/>
          <w:color w:val="auto"/>
          <w:szCs w:val="24"/>
          <w:highlight w:val="none"/>
          <w:u w:val="single"/>
        </w:rPr>
        <w:t>特定资格条件相应的</w:t>
      </w:r>
      <w:r>
        <w:rPr>
          <w:rFonts w:hint="eastAsia" w:ascii="仿宋" w:hAnsi="仿宋" w:eastAsia="仿宋" w:cs="仿宋"/>
          <w:b/>
          <w:color w:val="auto"/>
          <w:kern w:val="0"/>
          <w:szCs w:val="24"/>
          <w:highlight w:val="none"/>
          <w:u w:val="single"/>
        </w:rPr>
        <w:t>有效资格证明材料的，视为</w:t>
      </w:r>
      <w:r>
        <w:rPr>
          <w:rFonts w:hint="eastAsia" w:ascii="仿宋" w:hAnsi="仿宋" w:eastAsia="仿宋" w:cs="仿宋"/>
          <w:b/>
          <w:color w:val="auto"/>
          <w:szCs w:val="24"/>
          <w:highlight w:val="none"/>
          <w:u w:val="single"/>
        </w:rPr>
        <w:t>投标人不具备招标文件中规定的资格要求，其投标无效</w:t>
      </w:r>
      <w:r>
        <w:rPr>
          <w:rFonts w:hint="eastAsia" w:ascii="仿宋" w:hAnsi="仿宋" w:eastAsia="仿宋" w:cs="仿宋"/>
          <w:color w:val="auto"/>
          <w:szCs w:val="24"/>
          <w:highlight w:val="none"/>
        </w:rPr>
        <w:t>。</w:t>
      </w:r>
    </w:p>
    <w:p w14:paraId="3642B9C3">
      <w:pPr>
        <w:pStyle w:val="89"/>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20.</w:t>
      </w:r>
      <w:r>
        <w:rPr>
          <w:rFonts w:hint="eastAsia" w:ascii="仿宋" w:hAnsi="仿宋" w:eastAsia="仿宋" w:cs="仿宋"/>
          <w:color w:val="auto"/>
          <w:szCs w:val="24"/>
          <w:highlight w:val="none"/>
        </w:rPr>
        <w:t>4对未通过资格审查的投标人，采购人或采购代理机构告知其未通过的原因。</w:t>
      </w:r>
    </w:p>
    <w:p w14:paraId="5143D800">
      <w:pPr>
        <w:pStyle w:val="89"/>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20.</w:t>
      </w:r>
      <w:r>
        <w:rPr>
          <w:rFonts w:hint="eastAsia" w:ascii="仿宋" w:hAnsi="仿宋" w:eastAsia="仿宋" w:cs="仿宋"/>
          <w:color w:val="auto"/>
          <w:szCs w:val="24"/>
          <w:highlight w:val="none"/>
        </w:rPr>
        <w:t>5合格投标人不足3家的，不再评标。</w:t>
      </w:r>
    </w:p>
    <w:p w14:paraId="7824A290">
      <w:pPr>
        <w:pStyle w:val="89"/>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21、信用信息查询</w:t>
      </w:r>
    </w:p>
    <w:p w14:paraId="4E3F169D">
      <w:pPr>
        <w:pStyle w:val="89"/>
        <w:snapToGrid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21.1信用信息查询渠道及截止时间：采购机构将通过“信用中国”网站(www.creditchina.gov.cn)、中国政府采购网(www.ccgp.gov.cn)渠道查询供应商投标截止时间当天的信用记录。</w:t>
      </w:r>
    </w:p>
    <w:p w14:paraId="45658BA5">
      <w:pPr>
        <w:pStyle w:val="89"/>
        <w:snapToGrid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21.2信用信息查询记录和证据留存的具体方式：现场查询的供应商的信用记录、查询结果经确认后将与招标文件一起存档。</w:t>
      </w:r>
    </w:p>
    <w:p w14:paraId="0DC1609B">
      <w:pPr>
        <w:pStyle w:val="89"/>
        <w:snapToGrid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21.3信用信息的使用规则：经查询列入失信被执行人名单、重大税收违法案件当事人名单、政府采购严重违法失信行为记录名单的供应商将被拒绝参与政府采购活动。</w:t>
      </w:r>
    </w:p>
    <w:p w14:paraId="3DB3AA85">
      <w:pPr>
        <w:pStyle w:val="89"/>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21.4联合体信用信息查询：两个以上的自然人、法人或者其他组织组成一个联合体，以一个投标人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szCs w:val="24"/>
          <w:highlight w:val="none"/>
        </w:rPr>
        <w:t>。</w:t>
      </w:r>
    </w:p>
    <w:p w14:paraId="59DA327A">
      <w:pPr>
        <w:snapToGrid w:val="0"/>
        <w:spacing w:line="360" w:lineRule="auto"/>
        <w:jc w:val="center"/>
        <w:outlineLvl w:val="1"/>
        <w:rPr>
          <w:rFonts w:hint="eastAsia" w:ascii="仿宋" w:hAnsi="仿宋" w:eastAsia="仿宋" w:cs="仿宋"/>
          <w:b/>
          <w:color w:val="auto"/>
          <w:sz w:val="28"/>
          <w:szCs w:val="28"/>
          <w:highlight w:val="none"/>
        </w:rPr>
      </w:pPr>
      <w:bookmarkStart w:id="52" w:name="_Toc34508135"/>
      <w:bookmarkStart w:id="53" w:name="_Toc34221900"/>
      <w:r>
        <w:rPr>
          <w:rFonts w:hint="eastAsia" w:ascii="仿宋" w:hAnsi="仿宋" w:eastAsia="仿宋" w:cs="仿宋"/>
          <w:b/>
          <w:color w:val="auto"/>
          <w:sz w:val="28"/>
          <w:szCs w:val="28"/>
          <w:highlight w:val="none"/>
        </w:rPr>
        <w:t>五、评标</w:t>
      </w:r>
      <w:bookmarkEnd w:id="52"/>
      <w:bookmarkEnd w:id="53"/>
    </w:p>
    <w:p w14:paraId="1CE60717">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22.评标委员会</w:t>
      </w:r>
    </w:p>
    <w:p w14:paraId="1010F24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符合性审查）。对实质上响应招标文件的投标人，按照评审因素的量化指标排出推荐中标的投标人的先后顺序，并按顺序提出授标建议。</w:t>
      </w:r>
    </w:p>
    <w:p w14:paraId="3579A9EC">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23.评标程序</w:t>
      </w:r>
    </w:p>
    <w:p w14:paraId="26C1679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具体见招标文件第六部分评标办法。</w:t>
      </w:r>
    </w:p>
    <w:p w14:paraId="3B9AF78C">
      <w:pPr>
        <w:snapToGrid w:val="0"/>
        <w:spacing w:line="360" w:lineRule="auto"/>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六、定标</w:t>
      </w:r>
    </w:p>
    <w:p w14:paraId="2AA0ABD8">
      <w:pPr>
        <w:pStyle w:val="25"/>
        <w:adjustRightInd w:val="0"/>
        <w:snapToGrid w:val="0"/>
        <w:spacing w:line="360" w:lineRule="auto"/>
        <w:ind w:left="0"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24.确定中标人</w:t>
      </w:r>
    </w:p>
    <w:p w14:paraId="29746080">
      <w:pPr>
        <w:pStyle w:val="89"/>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采购人将自收到评审报告之日起5个工作日内通过政采云平台在评审报告推荐的中标候选人中按顺序确定中标人。</w:t>
      </w:r>
    </w:p>
    <w:p w14:paraId="345DEC48">
      <w:pPr>
        <w:pStyle w:val="89"/>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25.中标通知与中标结果公告</w:t>
      </w:r>
    </w:p>
    <w:p w14:paraId="1F2FB4EC">
      <w:pPr>
        <w:widowControl/>
        <w:shd w:val="clear" w:color="auto" w:fill="FFFFFF"/>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25.1自中标人确定之日起2个工作日内，采购人向中标人发出中标通知书，同时编制发布采购结果公告。</w:t>
      </w:r>
    </w:p>
    <w:p w14:paraId="07C8BB1A">
      <w:pPr>
        <w:widowControl/>
        <w:shd w:val="clear" w:color="auto" w:fill="FFFFFF"/>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25.2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1EC48BAE">
      <w:pPr>
        <w:widowControl/>
        <w:shd w:val="clear" w:color="auto" w:fill="FFFFFF"/>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25.3公告期限为1个工作日。</w:t>
      </w:r>
    </w:p>
    <w:p w14:paraId="5736E066">
      <w:pPr>
        <w:snapToGrid w:val="0"/>
        <w:spacing w:line="360" w:lineRule="auto"/>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七、合同授予</w:t>
      </w:r>
    </w:p>
    <w:p w14:paraId="5C2606CD">
      <w:pPr>
        <w:pStyle w:val="25"/>
        <w:adjustRightInd w:val="0"/>
        <w:snapToGrid w:val="0"/>
        <w:spacing w:line="360" w:lineRule="auto"/>
        <w:ind w:left="0"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26.合同的签订</w:t>
      </w:r>
    </w:p>
    <w:p w14:paraId="248563DE">
      <w:pPr>
        <w:widowControl/>
        <w:shd w:val="clear" w:color="auto" w:fill="FFFFFF"/>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26.1</w:t>
      </w:r>
      <w:r>
        <w:rPr>
          <w:rFonts w:hint="eastAsia" w:ascii="仿宋" w:hAnsi="仿宋" w:eastAsia="仿宋" w:cs="仿宋"/>
          <w:color w:val="auto"/>
          <w:kern w:val="0"/>
          <w:sz w:val="24"/>
          <w:highlight w:val="none"/>
        </w:rPr>
        <w:t xml:space="preserve"> 采购人与中标人应当在中标通知书发出之日起三十日内，按照招标文件确定的事项签订政府采购合同，并在合同签订之日起2个工作日内依法发布合同公告。</w:t>
      </w:r>
      <w:r>
        <w:rPr>
          <w:rFonts w:hint="eastAsia" w:ascii="仿宋" w:hAnsi="仿宋" w:eastAsia="仿宋" w:cs="仿宋"/>
          <w:color w:val="auto"/>
          <w:sz w:val="24"/>
          <w:highlight w:val="none"/>
        </w:rPr>
        <w:t>合同主要条款详见第四部分拟签订的合同文本。</w:t>
      </w:r>
    </w:p>
    <w:p w14:paraId="727E9AF9">
      <w:pPr>
        <w:pStyle w:val="89"/>
        <w:snapToGrid w:val="0"/>
        <w:spacing w:before="0"/>
        <w:ind w:firstLine="480"/>
        <w:rPr>
          <w:rFonts w:hint="eastAsia" w:ascii="仿宋" w:hAnsi="仿宋" w:eastAsia="仿宋" w:cs="仿宋"/>
          <w:color w:val="auto"/>
          <w:kern w:val="0"/>
          <w:szCs w:val="24"/>
          <w:highlight w:val="none"/>
          <w:lang w:val="zh-CN"/>
        </w:rPr>
      </w:pPr>
      <w:r>
        <w:rPr>
          <w:rFonts w:hint="eastAsia" w:ascii="仿宋" w:hAnsi="仿宋" w:eastAsia="仿宋" w:cs="仿宋"/>
          <w:color w:val="auto"/>
          <w:kern w:val="0"/>
          <w:szCs w:val="24"/>
          <w:highlight w:val="none"/>
          <w:lang w:val="zh-CN"/>
        </w:rPr>
        <w:t>26.2中标人按规定的日期、时间、地点，由法定代表人或其授权代表与采购人代表签订合同。如中标人为联合体的，由联合体成员各方法定代表人或其授权代表与采购人代表签订合同。</w:t>
      </w:r>
    </w:p>
    <w:p w14:paraId="32DFA4EA">
      <w:pPr>
        <w:pStyle w:val="89"/>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26.3中标人拒绝与采购人签订合同的，采购人重新开展政府采购活动。</w:t>
      </w:r>
    </w:p>
    <w:p w14:paraId="26DD45F1">
      <w:pPr>
        <w:pStyle w:val="89"/>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26.4采购合同可由采购人与中标人根据招标文件、投标文件等内容通过政采云平台在线签订，自动备案。</w:t>
      </w:r>
    </w:p>
    <w:p w14:paraId="6FF34A07">
      <w:pPr>
        <w:pStyle w:val="89"/>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27.合同履约管理</w:t>
      </w:r>
    </w:p>
    <w:p w14:paraId="322C740B">
      <w:pPr>
        <w:pStyle w:val="89"/>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合同签订后，采购人依法加强对合同履约进行管理，并在中标单位服务、项目验收等重要关节，如实填写《合同验收报告》（或考核资料），并及时向同级财政部门报告验收过程中遇到的问题。</w:t>
      </w:r>
    </w:p>
    <w:p w14:paraId="72681549">
      <w:pPr>
        <w:pStyle w:val="25"/>
        <w:adjustRightInd w:val="0"/>
        <w:snapToGrid w:val="0"/>
        <w:spacing w:line="360" w:lineRule="auto"/>
        <w:ind w:left="0"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28.履约保证金</w:t>
      </w:r>
    </w:p>
    <w:p w14:paraId="6515B7C4">
      <w:pPr>
        <w:tabs>
          <w:tab w:val="left" w:pos="0"/>
        </w:tabs>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拟签订的合同文本要求中标人提交履约保证金的（见投标人须知前附表），供应商应当以支票、汇票、本票或者金融机构、担保机构出具的保函等非现金形式提交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%。鼓励和支持供应商以银行、保险公司出具的保函</w:t>
      </w:r>
      <w:r>
        <w:rPr>
          <w:rFonts w:hint="eastAsia" w:ascii="仿宋" w:hAnsi="仿宋" w:eastAsia="仿宋" w:cs="仿宋"/>
          <w:color w:val="auto"/>
          <w:kern w:val="0"/>
          <w:sz w:val="24"/>
          <w:highlight w:val="none"/>
        </w:rPr>
        <w:t>形式提供履约保证金。</w:t>
      </w:r>
      <w:r>
        <w:rPr>
          <w:rFonts w:hint="eastAsia" w:ascii="仿宋" w:hAnsi="仿宋" w:eastAsia="仿宋" w:cs="仿宋"/>
          <w:b/>
          <w:bCs/>
          <w:color w:val="auto"/>
          <w:kern w:val="0"/>
          <w:sz w:val="24"/>
          <w:highlight w:val="none"/>
        </w:rPr>
        <w:t>采购人不得拒收履约保函</w:t>
      </w:r>
      <w:r>
        <w:rPr>
          <w:rFonts w:hint="eastAsia" w:ascii="仿宋" w:hAnsi="仿宋" w:eastAsia="仿宋" w:cs="仿宋"/>
          <w:color w:val="auto"/>
          <w:kern w:val="0"/>
          <w:sz w:val="24"/>
          <w:highlight w:val="none"/>
        </w:rPr>
        <w:t>。</w:t>
      </w:r>
    </w:p>
    <w:p w14:paraId="51B9DBB3">
      <w:pPr>
        <w:snapToGrid w:val="0"/>
        <w:spacing w:line="360" w:lineRule="auto"/>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八、电子交易活动的中止</w:t>
      </w:r>
    </w:p>
    <w:p w14:paraId="216B100B">
      <w:pPr>
        <w:pStyle w:val="89"/>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29</w:t>
      </w:r>
      <w:r>
        <w:rPr>
          <w:rFonts w:hint="eastAsia" w:ascii="仿宋" w:hAnsi="仿宋" w:eastAsia="仿宋" w:cs="仿宋"/>
          <w:b/>
          <w:color w:val="auto"/>
          <w:szCs w:val="24"/>
          <w:highlight w:val="none"/>
        </w:rPr>
        <w:t>.电子交易活动的中止。</w:t>
      </w:r>
    </w:p>
    <w:p w14:paraId="41C03A4D">
      <w:pPr>
        <w:pStyle w:val="89"/>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采购过程中出现以下情形，导致政采云平台无法正常运行，或者无法保证电子交易的公平、公正和安全时，采购机构可中止电子交易活动：</w:t>
      </w:r>
    </w:p>
    <w:p w14:paraId="0CB9EA69">
      <w:pPr>
        <w:pStyle w:val="89"/>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29.1政采云平台发生故障而无法登录访问的； </w:t>
      </w:r>
    </w:p>
    <w:p w14:paraId="0EAB34AA">
      <w:pPr>
        <w:pStyle w:val="89"/>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29.2政采云平台应用或数据库出现错误，不能进行正常操作的；</w:t>
      </w:r>
    </w:p>
    <w:p w14:paraId="06902A88">
      <w:pPr>
        <w:pStyle w:val="89"/>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29.3政采云平台发现严重安全漏洞，有潜在泄密危险的；</w:t>
      </w:r>
    </w:p>
    <w:p w14:paraId="0A754D4E">
      <w:pPr>
        <w:pStyle w:val="89"/>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29.4病毒发作导致不能进行正常操作的； </w:t>
      </w:r>
    </w:p>
    <w:p w14:paraId="47A779DF">
      <w:pPr>
        <w:pStyle w:val="89"/>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29.5其他无法保证电子交易的公平、公正和安全的情况。</w:t>
      </w:r>
    </w:p>
    <w:p w14:paraId="7874D358">
      <w:pPr>
        <w:pStyle w:val="89"/>
        <w:snapToGrid w:val="0"/>
        <w:spacing w:before="0"/>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601CEF99">
      <w:pPr>
        <w:pStyle w:val="25"/>
        <w:snapToGrid w:val="0"/>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30.重新采购</w:t>
      </w:r>
    </w:p>
    <w:p w14:paraId="394C4780">
      <w:pPr>
        <w:pStyle w:val="25"/>
        <w:adjustRightInd w:val="0"/>
        <w:snapToGrid w:val="0"/>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14:paraId="1E6BF18A">
      <w:pPr>
        <w:pStyle w:val="25"/>
        <w:adjustRightInd w:val="0"/>
        <w:snapToGrid w:val="0"/>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30.1未确定中标、成交供应商的，终止本次政府采购活动，重新开展政府采购活动。</w:t>
      </w:r>
    </w:p>
    <w:p w14:paraId="2D89909F">
      <w:pPr>
        <w:pStyle w:val="25"/>
        <w:adjustRightInd w:val="0"/>
        <w:snapToGrid w:val="0"/>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30.2中标、成交供应商已经确定但采购合同尚未履行的，撤销合同，从合格的中标、成交候选人中另行确定中标、成交供应商；没有合格的中标、成交候选人的，重新开展政府采购活动。</w:t>
      </w:r>
    </w:p>
    <w:p w14:paraId="1136344A">
      <w:pPr>
        <w:pStyle w:val="25"/>
        <w:adjustRightInd w:val="0"/>
        <w:snapToGrid w:val="0"/>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30.3政府采购合同已签订但尚未履行的，撤销合同，从合格的中标候选人中另行确定中标或者中标人；没有合格的中标候选人的，重新开展政府采购活动。</w:t>
      </w:r>
    </w:p>
    <w:p w14:paraId="5B89EC5C">
      <w:pPr>
        <w:pStyle w:val="25"/>
        <w:adjustRightInd w:val="0"/>
        <w:snapToGrid w:val="0"/>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30.4政府采购合同已经履行，给采购人、供应商造成损失的，由责任人承担赔偿责任。</w:t>
      </w:r>
    </w:p>
    <w:p w14:paraId="1F27E1F6">
      <w:pPr>
        <w:tabs>
          <w:tab w:val="left" w:pos="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30.5政府采购当事人有其他违反政府采购法或者政府采购法实施条例等法律法规规定的行为，经改正后仍然影响或者可能影响中标或成交结果或者依法被认定为中标或成交无效的，依照30.1-30.4规定处理。</w:t>
      </w:r>
    </w:p>
    <w:p w14:paraId="7B7F8E2C">
      <w:pPr>
        <w:snapToGrid w:val="0"/>
        <w:spacing w:line="360" w:lineRule="auto"/>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九、验收</w:t>
      </w:r>
    </w:p>
    <w:p w14:paraId="58CA065F">
      <w:pPr>
        <w:pStyle w:val="25"/>
        <w:adjustRightInd w:val="0"/>
        <w:snapToGrid w:val="0"/>
        <w:spacing w:line="360" w:lineRule="auto"/>
        <w:ind w:left="0"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31.验收</w:t>
      </w:r>
    </w:p>
    <w:p w14:paraId="63156A94">
      <w:pPr>
        <w:tabs>
          <w:tab w:val="left" w:pos="0"/>
        </w:tabs>
        <w:snapToGrid w:val="0"/>
        <w:spacing w:line="360" w:lineRule="auto"/>
        <w:ind w:firstLine="480" w:firstLineChars="200"/>
        <w:rPr>
          <w:rFonts w:hint="eastAsia" w:ascii="仿宋" w:hAnsi="仿宋" w:eastAsia="仿宋" w:cs="仿宋"/>
          <w:color w:val="auto"/>
          <w:kern w:val="0"/>
          <w:sz w:val="24"/>
          <w:highlight w:val="none"/>
        </w:rPr>
      </w:pPr>
      <w:bookmarkStart w:id="54" w:name="_Hlk93169321"/>
      <w:r>
        <w:rPr>
          <w:rFonts w:hint="eastAsia" w:ascii="仿宋" w:hAnsi="仿宋" w:eastAsia="仿宋" w:cs="仿宋"/>
          <w:color w:val="auto"/>
          <w:kern w:val="0"/>
          <w:sz w:val="24"/>
          <w:highlight w:val="none"/>
        </w:rPr>
        <w:t>31.1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2B2F2E8">
      <w:pPr>
        <w:tabs>
          <w:tab w:val="left" w:pos="0"/>
        </w:tabs>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31.2采购人可以邀请参加本项目的其他投标人或者第三方机构参与验收。参与验收的投标人或者第三方机构的意见作为验收书的参考资料一并存档。</w:t>
      </w:r>
    </w:p>
    <w:p w14:paraId="48627894">
      <w:pPr>
        <w:tabs>
          <w:tab w:val="left" w:pos="0"/>
        </w:tabs>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bookmarkEnd w:id="54"/>
    </w:p>
    <w:p w14:paraId="69F0FBB4">
      <w:pPr>
        <w:widowControl/>
        <w:snapToGrid w:val="0"/>
        <w:spacing w:line="360" w:lineRule="auto"/>
        <w:ind w:firstLine="480" w:firstLineChars="200"/>
        <w:jc w:val="left"/>
        <w:rPr>
          <w:rFonts w:hint="eastAsia" w:ascii="仿宋" w:hAnsi="仿宋" w:eastAsia="仿宋" w:cs="仿宋"/>
          <w:color w:val="auto"/>
          <w:sz w:val="24"/>
          <w:highlight w:val="none"/>
        </w:rPr>
      </w:pPr>
      <w:bookmarkStart w:id="55" w:name="_Hlk93169378"/>
      <w:r>
        <w:rPr>
          <w:rFonts w:hint="eastAsia" w:ascii="仿宋" w:hAnsi="仿宋" w:eastAsia="仿宋" w:cs="仿宋"/>
          <w:color w:val="auto"/>
          <w:kern w:val="0"/>
          <w:sz w:val="24"/>
          <w:highlight w:val="none"/>
        </w:rPr>
        <w:t>31.4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84E0E9F">
      <w:pPr>
        <w:snapToGrid w:val="0"/>
        <w:spacing w:line="360" w:lineRule="auto"/>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十、其他说明</w:t>
      </w:r>
    </w:p>
    <w:p w14:paraId="301A34F6">
      <w:pPr>
        <w:pStyle w:val="25"/>
        <w:adjustRightInd w:val="0"/>
        <w:snapToGrid w:val="0"/>
        <w:spacing w:line="360" w:lineRule="auto"/>
        <w:ind w:left="0"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32.其他说明</w:t>
      </w:r>
    </w:p>
    <w:p w14:paraId="2B10DCF9">
      <w:pPr>
        <w:widowControl/>
        <w:snapToGrid w:val="0"/>
        <w:spacing w:line="360" w:lineRule="auto"/>
        <w:ind w:firstLine="48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kern w:val="0"/>
          <w:sz w:val="24"/>
          <w:highlight w:val="none"/>
        </w:rPr>
        <w:t>见投标人须知前附表。</w:t>
      </w:r>
      <w:bookmarkEnd w:id="55"/>
    </w:p>
    <w:p w14:paraId="5E896E88">
      <w:pPr>
        <w:widowControl/>
        <w:adjustRightInd/>
        <w:jc w:val="left"/>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br w:type="page"/>
      </w:r>
    </w:p>
    <w:p w14:paraId="5E59C67E">
      <w:pPr>
        <w:snapToGrid w:val="0"/>
        <w:spacing w:beforeLines="100" w:line="360" w:lineRule="auto"/>
        <w:jc w:val="center"/>
        <w:outlineLvl w:val="0"/>
        <w:rPr>
          <w:rFonts w:hint="eastAsia" w:ascii="仿宋" w:hAnsi="仿宋" w:eastAsia="仿宋" w:cs="仿宋"/>
          <w:b/>
          <w:color w:val="auto"/>
          <w:sz w:val="36"/>
          <w:szCs w:val="36"/>
          <w:highlight w:val="none"/>
        </w:rPr>
      </w:pPr>
      <w:bookmarkStart w:id="56" w:name="_Toc29596"/>
      <w:r>
        <w:rPr>
          <w:rFonts w:hint="eastAsia" w:ascii="仿宋" w:hAnsi="仿宋" w:eastAsia="仿宋" w:cs="仿宋"/>
          <w:b/>
          <w:color w:val="auto"/>
          <w:sz w:val="36"/>
          <w:szCs w:val="36"/>
          <w:highlight w:val="none"/>
        </w:rPr>
        <w:t>第三部分  采购需求</w:t>
      </w:r>
      <w:bookmarkEnd w:id="56"/>
    </w:p>
    <w:p w14:paraId="0B4926BE">
      <w:pPr>
        <w:snapToGrid w:val="0"/>
        <w:spacing w:line="360" w:lineRule="auto"/>
        <w:jc w:val="left"/>
        <w:rPr>
          <w:rFonts w:hint="eastAsia" w:ascii="仿宋" w:hAnsi="仿宋" w:eastAsia="仿宋" w:cs="仿宋"/>
          <w:b/>
          <w:color w:val="auto"/>
          <w:sz w:val="24"/>
          <w:szCs w:val="24"/>
          <w:highlight w:val="none"/>
          <w:lang w:val="en-US" w:eastAsia="zh-CN"/>
        </w:rPr>
      </w:pPr>
      <w:bookmarkStart w:id="57" w:name="_Toc428194193"/>
      <w:bookmarkStart w:id="58" w:name="_Toc203534124"/>
      <w:bookmarkStart w:id="59" w:name="_Toc352704748"/>
      <w:bookmarkStart w:id="60" w:name="_Toc223717614"/>
      <w:bookmarkStart w:id="61" w:name="_Toc227057043"/>
      <w:bookmarkStart w:id="62" w:name="_Hlk16066388"/>
      <w:bookmarkStart w:id="63" w:name="_Toc227489897"/>
      <w:bookmarkStart w:id="64" w:name="_Toc227056860"/>
      <w:bookmarkStart w:id="65" w:name="_Toc352313357"/>
      <w:bookmarkStart w:id="66" w:name="_Toc223933231"/>
      <w:bookmarkStart w:id="67" w:name="_Toc20384570"/>
      <w:bookmarkStart w:id="68" w:name="_Hlk93169452"/>
      <w:r>
        <w:rPr>
          <w:rFonts w:hint="eastAsia" w:ascii="仿宋" w:hAnsi="仿宋" w:eastAsia="仿宋" w:cs="仿宋"/>
          <w:b/>
          <w:color w:val="auto"/>
          <w:sz w:val="24"/>
          <w:szCs w:val="24"/>
          <w:highlight w:val="none"/>
          <w:lang w:val="en-US" w:eastAsia="zh-CN"/>
        </w:rPr>
        <w:t>一、总说明</w:t>
      </w:r>
    </w:p>
    <w:p w14:paraId="23DC6BA1">
      <w:pPr>
        <w:tabs>
          <w:tab w:val="left" w:pos="72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技术指标</w:t>
      </w:r>
      <w:r>
        <w:rPr>
          <w:rFonts w:hint="eastAsia" w:ascii="仿宋" w:hAnsi="仿宋" w:eastAsia="仿宋" w:cs="仿宋"/>
          <w:color w:val="auto"/>
          <w:sz w:val="24"/>
          <w:szCs w:val="24"/>
          <w:highlight w:val="none"/>
        </w:rPr>
        <w:t>只是货物及安装的一些原则性规定，并不是详尽的要求，投标供应商有责任对该设备设计符合技术规格书要求负责。</w:t>
      </w:r>
    </w:p>
    <w:p w14:paraId="0CBB8691">
      <w:pPr>
        <w:tabs>
          <w:tab w:val="left" w:pos="72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2.采购的货物所涉及的产品标准、规范，验收标准、规范，应符合国家有关条例及规范，如有新的标准应采纳新标准，如是国外相应标准应征得</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认可。</w:t>
      </w:r>
    </w:p>
    <w:p w14:paraId="1F338191">
      <w:pPr>
        <w:tabs>
          <w:tab w:val="left" w:pos="72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供应商应根据招标文件所提出的技术规格、参数、数量和服务要求，综合考虑货物的适应性，选择具有最佳性能价格比的货物前来投标。希望供应商以精良的货物、优良的服务和优惠的价格，充分显示自身的竞争实力。</w:t>
      </w:r>
    </w:p>
    <w:p w14:paraId="6EE11064">
      <w:pPr>
        <w:tabs>
          <w:tab w:val="left" w:pos="720"/>
        </w:tabs>
        <w:spacing w:line="360" w:lineRule="auto"/>
        <w:rPr>
          <w:rFonts w:hint="eastAsia" w:ascii="仿宋" w:hAnsi="仿宋" w:eastAsia="仿宋" w:cs="仿宋"/>
          <w:b/>
          <w:color w:val="auto"/>
          <w:sz w:val="24"/>
          <w:szCs w:val="24"/>
          <w:highlight w:val="none"/>
          <w:u w:val="single"/>
        </w:rPr>
      </w:pPr>
      <w:r>
        <w:rPr>
          <w:rFonts w:hint="eastAsia" w:ascii="仿宋" w:hAnsi="仿宋" w:eastAsia="仿宋" w:cs="仿宋"/>
          <w:bCs/>
          <w:color w:val="auto"/>
          <w:sz w:val="24"/>
          <w:szCs w:val="24"/>
          <w:highlight w:val="none"/>
        </w:rPr>
        <w:t>4.</w:t>
      </w:r>
      <w:r>
        <w:rPr>
          <w:rFonts w:hint="eastAsia" w:ascii="仿宋" w:hAnsi="仿宋" w:eastAsia="仿宋" w:cs="仿宋"/>
          <w:b/>
          <w:bCs/>
          <w:color w:val="auto"/>
          <w:sz w:val="24"/>
          <w:szCs w:val="24"/>
          <w:highlight w:val="none"/>
          <w:u w:val="single"/>
        </w:rPr>
        <w:t>▲</w:t>
      </w:r>
      <w:r>
        <w:rPr>
          <w:rFonts w:hint="eastAsia" w:ascii="仿宋" w:hAnsi="仿宋" w:eastAsia="仿宋" w:cs="仿宋"/>
          <w:b/>
          <w:color w:val="auto"/>
          <w:sz w:val="24"/>
          <w:szCs w:val="24"/>
          <w:highlight w:val="none"/>
          <w:u w:val="single"/>
        </w:rPr>
        <w:t>本次采购只设一个标段，投标供应商必须对全部内容进行报价。</w:t>
      </w:r>
    </w:p>
    <w:p w14:paraId="50C05F54">
      <w:pPr>
        <w:tabs>
          <w:tab w:val="left" w:pos="72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投标供应商报价产品及主要部件的名称、品牌、型号、技术参数、性能、数量、单价、合价、厂商、产地、质保期等应在投标文件中明确，对招标文件的技术条款及要求应予以实质性响应，如有偏离应在偏离表中注明。</w:t>
      </w:r>
    </w:p>
    <w:p w14:paraId="25A4D258">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6.本项目采用总价包干方式报价。投标供应商可以自行到采购人处现场探勘，了解安装地点、环境尺寸及采购人需求，本项目涉及的安装材料、安装附件、尺寸修改均采用包干方式计入投标总价，中标后不予调整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若涉及的</w:t>
      </w:r>
      <w:r>
        <w:rPr>
          <w:rFonts w:hint="eastAsia" w:ascii="仿宋" w:hAnsi="仿宋" w:eastAsia="仿宋" w:cs="仿宋"/>
          <w:color w:val="auto"/>
          <w:sz w:val="24"/>
          <w:szCs w:val="24"/>
          <w:highlight w:val="none"/>
          <w:lang w:eastAsia="zh-CN"/>
        </w:rPr>
        <w:t>数量</w:t>
      </w:r>
      <w:r>
        <w:rPr>
          <w:rFonts w:hint="eastAsia" w:ascii="仿宋" w:hAnsi="仿宋" w:eastAsia="仿宋" w:cs="仿宋"/>
          <w:color w:val="auto"/>
          <w:sz w:val="24"/>
          <w:szCs w:val="24"/>
          <w:highlight w:val="none"/>
        </w:rPr>
        <w:t>发生增减，按实际调整增减内容的价格参照合同内相应设备的合同价结算</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采购人清单中的货物如有遗漏必须的设备，请投标供应商自行配齐，成交后采购人将不予调整。</w:t>
      </w:r>
    </w:p>
    <w:p w14:paraId="17E27E73">
      <w:pPr>
        <w:snapToGrid w:val="0"/>
        <w:spacing w:line="360" w:lineRule="auto"/>
        <w:ind w:left="525" w:hanging="600" w:hanging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u w:val="single"/>
        </w:rPr>
        <w:t>▲</w:t>
      </w:r>
      <w:r>
        <w:rPr>
          <w:rFonts w:hint="eastAsia" w:ascii="仿宋" w:hAnsi="仿宋" w:eastAsia="仿宋" w:cs="仿宋"/>
          <w:b/>
          <w:bCs/>
          <w:color w:val="auto"/>
          <w:sz w:val="24"/>
          <w:szCs w:val="24"/>
          <w:highlight w:val="none"/>
          <w:u w:val="single"/>
        </w:rPr>
        <w:t>本项目为交钥匙工程,项目最终必须通过验收并可正式投入使用</w:t>
      </w:r>
      <w:r>
        <w:rPr>
          <w:rFonts w:hint="eastAsia" w:ascii="仿宋" w:hAnsi="仿宋" w:eastAsia="仿宋" w:cs="仿宋"/>
          <w:color w:val="auto"/>
          <w:sz w:val="24"/>
          <w:szCs w:val="24"/>
          <w:highlight w:val="none"/>
        </w:rPr>
        <w:t>。</w:t>
      </w:r>
    </w:p>
    <w:p w14:paraId="6E0E64AB">
      <w:pPr>
        <w:snapToGrid w:val="0"/>
        <w:spacing w:line="360" w:lineRule="auto"/>
        <w:jc w:val="left"/>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二、</w:t>
      </w:r>
      <w:bookmarkEnd w:id="57"/>
      <w:bookmarkEnd w:id="58"/>
      <w:r>
        <w:rPr>
          <w:rFonts w:hint="eastAsia" w:ascii="仿宋" w:hAnsi="仿宋" w:eastAsia="仿宋" w:cs="仿宋"/>
          <w:b/>
          <w:color w:val="auto"/>
          <w:sz w:val="24"/>
          <w:highlight w:val="none"/>
          <w:lang w:val="en-US" w:eastAsia="zh-CN"/>
        </w:rPr>
        <w:t>采购内容</w:t>
      </w:r>
      <w:bookmarkEnd w:id="59"/>
      <w:bookmarkEnd w:id="60"/>
      <w:bookmarkEnd w:id="61"/>
      <w:bookmarkEnd w:id="62"/>
      <w:bookmarkEnd w:id="63"/>
      <w:bookmarkEnd w:id="64"/>
      <w:bookmarkEnd w:id="65"/>
      <w:bookmarkEnd w:id="66"/>
    </w:p>
    <w:tbl>
      <w:tblPr>
        <w:tblStyle w:val="57"/>
        <w:tblW w:w="9900" w:type="dxa"/>
        <w:tblInd w:w="0" w:type="dxa"/>
        <w:tblLayout w:type="fixed"/>
        <w:tblCellMar>
          <w:top w:w="0" w:type="dxa"/>
          <w:left w:w="108" w:type="dxa"/>
          <w:bottom w:w="0" w:type="dxa"/>
          <w:right w:w="108" w:type="dxa"/>
        </w:tblCellMar>
      </w:tblPr>
      <w:tblGrid>
        <w:gridCol w:w="909"/>
        <w:gridCol w:w="5706"/>
        <w:gridCol w:w="1695"/>
        <w:gridCol w:w="1590"/>
      </w:tblGrid>
      <w:tr w14:paraId="4926D71D">
        <w:tblPrEx>
          <w:tblCellMar>
            <w:top w:w="0" w:type="dxa"/>
            <w:left w:w="108" w:type="dxa"/>
            <w:bottom w:w="0" w:type="dxa"/>
            <w:right w:w="108" w:type="dxa"/>
          </w:tblCellMar>
        </w:tblPrEx>
        <w:tc>
          <w:tcPr>
            <w:tcW w:w="909" w:type="dxa"/>
            <w:tcBorders>
              <w:top w:val="single" w:color="auto" w:sz="4" w:space="0"/>
              <w:left w:val="single" w:color="auto" w:sz="4" w:space="0"/>
              <w:bottom w:val="single" w:color="auto" w:sz="4" w:space="0"/>
              <w:right w:val="single" w:color="auto" w:sz="4" w:space="0"/>
            </w:tcBorders>
            <w:shd w:val="clear" w:color="000000" w:fill="FFFFFF"/>
            <w:vAlign w:val="center"/>
          </w:tcPr>
          <w:p w14:paraId="620632BB">
            <w:pPr>
              <w:snapToGrid w:val="0"/>
              <w:spacing w:line="240" w:lineRule="auto"/>
              <w:ind w:left="525" w:hanging="600" w:hangingChars="2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5706" w:type="dxa"/>
            <w:tcBorders>
              <w:top w:val="single" w:color="auto" w:sz="4" w:space="0"/>
              <w:left w:val="nil"/>
              <w:bottom w:val="single" w:color="auto" w:sz="4" w:space="0"/>
              <w:right w:val="single" w:color="auto" w:sz="4" w:space="0"/>
            </w:tcBorders>
            <w:shd w:val="clear" w:color="000000" w:fill="FFFFFF"/>
            <w:vAlign w:val="center"/>
          </w:tcPr>
          <w:p w14:paraId="11E6136E">
            <w:pPr>
              <w:snapToGrid w:val="0"/>
              <w:spacing w:line="240" w:lineRule="auto"/>
              <w:ind w:left="525" w:hanging="600" w:hangingChars="2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货物名称</w:t>
            </w:r>
          </w:p>
        </w:tc>
        <w:tc>
          <w:tcPr>
            <w:tcW w:w="1695" w:type="dxa"/>
            <w:tcBorders>
              <w:top w:val="single" w:color="auto" w:sz="4" w:space="0"/>
              <w:left w:val="nil"/>
              <w:bottom w:val="single" w:color="auto" w:sz="4" w:space="0"/>
              <w:right w:val="single" w:color="auto" w:sz="4" w:space="0"/>
            </w:tcBorders>
            <w:shd w:val="clear" w:color="000000" w:fill="FFFFFF"/>
            <w:vAlign w:val="center"/>
          </w:tcPr>
          <w:p w14:paraId="0DADBA56">
            <w:pPr>
              <w:snapToGrid w:val="0"/>
              <w:spacing w:line="240" w:lineRule="auto"/>
              <w:ind w:left="525" w:hanging="600" w:hangingChars="2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590" w:type="dxa"/>
            <w:tcBorders>
              <w:top w:val="single" w:color="auto" w:sz="4" w:space="0"/>
              <w:left w:val="nil"/>
              <w:bottom w:val="single" w:color="auto" w:sz="4" w:space="0"/>
              <w:right w:val="single" w:color="auto" w:sz="4" w:space="0"/>
            </w:tcBorders>
            <w:shd w:val="clear" w:color="000000" w:fill="FFFFFF"/>
            <w:vAlign w:val="center"/>
          </w:tcPr>
          <w:p w14:paraId="698C2F1F">
            <w:pPr>
              <w:snapToGrid w:val="0"/>
              <w:spacing w:line="240" w:lineRule="auto"/>
              <w:ind w:left="525" w:hanging="600" w:hangingChars="25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单位</w:t>
            </w:r>
          </w:p>
        </w:tc>
      </w:tr>
      <w:tr w14:paraId="561CAA62">
        <w:tblPrEx>
          <w:tblCellMar>
            <w:top w:w="0" w:type="dxa"/>
            <w:left w:w="108" w:type="dxa"/>
            <w:bottom w:w="0" w:type="dxa"/>
            <w:right w:w="108" w:type="dxa"/>
          </w:tblCellMar>
        </w:tblPrEx>
        <w:tc>
          <w:tcPr>
            <w:tcW w:w="909" w:type="dxa"/>
            <w:tcBorders>
              <w:top w:val="nil"/>
              <w:left w:val="single" w:color="auto" w:sz="4" w:space="0"/>
              <w:bottom w:val="single" w:color="auto" w:sz="4" w:space="0"/>
              <w:right w:val="single" w:color="auto" w:sz="4" w:space="0"/>
            </w:tcBorders>
            <w:shd w:val="clear" w:color="auto" w:fill="auto"/>
            <w:vAlign w:val="center"/>
          </w:tcPr>
          <w:p w14:paraId="552B8113">
            <w:pPr>
              <w:snapToGrid w:val="0"/>
              <w:spacing w:line="240" w:lineRule="auto"/>
              <w:ind w:left="525" w:hanging="600" w:hangingChars="2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5706" w:type="dxa"/>
            <w:tcBorders>
              <w:top w:val="nil"/>
              <w:left w:val="nil"/>
              <w:bottom w:val="single" w:color="auto" w:sz="4" w:space="0"/>
              <w:right w:val="single" w:color="auto" w:sz="4" w:space="0"/>
            </w:tcBorders>
            <w:shd w:val="clear" w:color="auto" w:fill="auto"/>
            <w:vAlign w:val="center"/>
          </w:tcPr>
          <w:p w14:paraId="37FF5BAB">
            <w:pPr>
              <w:snapToGrid w:val="0"/>
              <w:spacing w:line="240" w:lineRule="auto"/>
              <w:ind w:left="525" w:hanging="600" w:hangingChars="2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除臭设备</w:t>
            </w:r>
          </w:p>
        </w:tc>
        <w:tc>
          <w:tcPr>
            <w:tcW w:w="1695" w:type="dxa"/>
            <w:tcBorders>
              <w:top w:val="nil"/>
              <w:left w:val="nil"/>
              <w:bottom w:val="single" w:color="auto" w:sz="4" w:space="0"/>
              <w:right w:val="single" w:color="auto" w:sz="4" w:space="0"/>
            </w:tcBorders>
            <w:shd w:val="clear" w:color="auto" w:fill="auto"/>
            <w:vAlign w:val="center"/>
          </w:tcPr>
          <w:p w14:paraId="5A08909F">
            <w:pPr>
              <w:snapToGrid w:val="0"/>
              <w:spacing w:line="240" w:lineRule="auto"/>
              <w:ind w:left="525" w:hanging="600" w:hangingChars="2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p>
        </w:tc>
        <w:tc>
          <w:tcPr>
            <w:tcW w:w="1590" w:type="dxa"/>
            <w:tcBorders>
              <w:top w:val="nil"/>
              <w:left w:val="nil"/>
              <w:bottom w:val="single" w:color="auto" w:sz="4" w:space="0"/>
              <w:right w:val="single" w:color="auto" w:sz="4" w:space="0"/>
            </w:tcBorders>
            <w:shd w:val="clear" w:color="auto" w:fill="auto"/>
            <w:vAlign w:val="center"/>
          </w:tcPr>
          <w:p w14:paraId="13875F4E">
            <w:pPr>
              <w:snapToGrid w:val="0"/>
              <w:spacing w:line="240" w:lineRule="auto"/>
              <w:ind w:left="525" w:hanging="600" w:hangingChars="25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套</w:t>
            </w:r>
          </w:p>
        </w:tc>
      </w:tr>
      <w:bookmarkEnd w:id="67"/>
    </w:tbl>
    <w:p w14:paraId="0480769A">
      <w:pPr>
        <w:keepNext w:val="0"/>
        <w:keepLines w:val="0"/>
        <w:pageBreakBefore w:val="0"/>
        <w:widowControl w:val="0"/>
        <w:kinsoku/>
        <w:overflowPunct/>
        <w:topLinePunct w:val="0"/>
        <w:bidi w:val="0"/>
        <w:spacing w:beforeAutospacing="0" w:afterAutospacing="0" w:line="360" w:lineRule="auto"/>
        <w:outlineLvl w:val="1"/>
        <w:rPr>
          <w:rFonts w:hint="eastAsia" w:ascii="仿宋" w:hAnsi="仿宋" w:eastAsia="仿宋" w:cs="仿宋"/>
          <w:b/>
          <w:bCs/>
          <w:color w:val="auto"/>
          <w:sz w:val="24"/>
          <w:szCs w:val="24"/>
          <w:highlight w:val="none"/>
          <w:lang w:val="en-US" w:eastAsia="zh-CN"/>
        </w:rPr>
      </w:pPr>
      <w:bookmarkStart w:id="69" w:name="_Toc22175"/>
      <w:bookmarkEnd w:id="69"/>
      <w:bookmarkStart w:id="70" w:name="_Toc14137"/>
      <w:r>
        <w:rPr>
          <w:rFonts w:hint="eastAsia" w:ascii="仿宋" w:hAnsi="仿宋" w:eastAsia="仿宋" w:cs="仿宋"/>
          <w:b/>
          <w:bCs/>
          <w:color w:val="auto"/>
          <w:sz w:val="24"/>
          <w:szCs w:val="24"/>
          <w:highlight w:val="none"/>
          <w:lang w:val="en-US" w:eastAsia="zh-CN"/>
        </w:rPr>
        <w:t>三、设计排放标准</w:t>
      </w:r>
    </w:p>
    <w:p w14:paraId="0A9FBC64">
      <w:pPr>
        <w:keepNext w:val="0"/>
        <w:keepLines w:val="0"/>
        <w:pageBreakBefore w:val="0"/>
        <w:widowControl w:val="0"/>
        <w:kinsoku/>
        <w:overflowPunct/>
        <w:topLinePunct w:val="0"/>
        <w:bidi w:val="0"/>
        <w:snapToGrid w:val="0"/>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在正常工况及常规气象条件下，处理后气体排放执行《恶臭污染物排放标准》（GB 14554-1993）厂界以及有组织废气排放最高允许浓度一级标准，具体指标见下表（表1）：</w:t>
      </w:r>
    </w:p>
    <w:tbl>
      <w:tblPr>
        <w:tblStyle w:val="5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7"/>
        <w:gridCol w:w="2763"/>
        <w:gridCol w:w="2764"/>
        <w:gridCol w:w="2764"/>
      </w:tblGrid>
      <w:tr w14:paraId="02905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867" w:type="dxa"/>
            <w:noWrap w:val="0"/>
            <w:vAlign w:val="top"/>
          </w:tcPr>
          <w:p w14:paraId="5C4D7CC0">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763" w:type="dxa"/>
            <w:noWrap w:val="0"/>
            <w:vAlign w:val="center"/>
          </w:tcPr>
          <w:p w14:paraId="28F1C04E">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2764" w:type="dxa"/>
            <w:noWrap w:val="0"/>
            <w:vAlign w:val="center"/>
          </w:tcPr>
          <w:p w14:paraId="3A381E8A">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厂界排放标准</w:t>
            </w:r>
          </w:p>
        </w:tc>
        <w:tc>
          <w:tcPr>
            <w:tcW w:w="2764" w:type="dxa"/>
            <w:noWrap w:val="0"/>
            <w:vAlign w:val="top"/>
          </w:tcPr>
          <w:p w14:paraId="0436F6E4">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有组织排放标准</w:t>
            </w:r>
          </w:p>
        </w:tc>
      </w:tr>
      <w:tr w14:paraId="4EA96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867" w:type="dxa"/>
            <w:noWrap w:val="0"/>
            <w:vAlign w:val="top"/>
          </w:tcPr>
          <w:p w14:paraId="7AA6B34D">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763" w:type="dxa"/>
            <w:noWrap w:val="0"/>
            <w:vAlign w:val="center"/>
          </w:tcPr>
          <w:p w14:paraId="1C500893">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硫化氢</w:t>
            </w:r>
          </w:p>
        </w:tc>
        <w:tc>
          <w:tcPr>
            <w:tcW w:w="2764" w:type="dxa"/>
            <w:noWrap w:val="0"/>
            <w:vAlign w:val="center"/>
          </w:tcPr>
          <w:p w14:paraId="7384924F">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0.03 mg/m³</w:t>
            </w:r>
          </w:p>
        </w:tc>
        <w:tc>
          <w:tcPr>
            <w:tcW w:w="2764" w:type="dxa"/>
            <w:noWrap w:val="0"/>
            <w:vAlign w:val="top"/>
          </w:tcPr>
          <w:p w14:paraId="5EC0BEAF">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0.33kg/h</w:t>
            </w:r>
          </w:p>
        </w:tc>
      </w:tr>
      <w:tr w14:paraId="600FC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867" w:type="dxa"/>
            <w:noWrap w:val="0"/>
            <w:vAlign w:val="top"/>
          </w:tcPr>
          <w:p w14:paraId="48A3D9B8">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763" w:type="dxa"/>
            <w:noWrap w:val="0"/>
            <w:vAlign w:val="center"/>
          </w:tcPr>
          <w:p w14:paraId="6298519A">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氨气</w:t>
            </w:r>
          </w:p>
        </w:tc>
        <w:tc>
          <w:tcPr>
            <w:tcW w:w="2764" w:type="dxa"/>
            <w:noWrap w:val="0"/>
            <w:vAlign w:val="center"/>
          </w:tcPr>
          <w:p w14:paraId="689E360B">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 mg/ m³</w:t>
            </w:r>
          </w:p>
        </w:tc>
        <w:tc>
          <w:tcPr>
            <w:tcW w:w="2764" w:type="dxa"/>
            <w:noWrap w:val="0"/>
            <w:vAlign w:val="top"/>
          </w:tcPr>
          <w:p w14:paraId="0830AD17">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4.9kg/h</w:t>
            </w:r>
          </w:p>
        </w:tc>
      </w:tr>
      <w:tr w14:paraId="728C2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jc w:val="center"/>
        </w:trPr>
        <w:tc>
          <w:tcPr>
            <w:tcW w:w="867" w:type="dxa"/>
            <w:noWrap w:val="0"/>
            <w:vAlign w:val="top"/>
          </w:tcPr>
          <w:p w14:paraId="75A22DBA">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2763" w:type="dxa"/>
            <w:noWrap w:val="0"/>
            <w:vAlign w:val="center"/>
          </w:tcPr>
          <w:p w14:paraId="7BBA293C">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臭气浓度</w:t>
            </w:r>
          </w:p>
        </w:tc>
        <w:tc>
          <w:tcPr>
            <w:tcW w:w="2764" w:type="dxa"/>
            <w:noWrap w:val="0"/>
            <w:vAlign w:val="center"/>
          </w:tcPr>
          <w:p w14:paraId="1E824252">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10（无量纲）</w:t>
            </w:r>
          </w:p>
        </w:tc>
        <w:tc>
          <w:tcPr>
            <w:tcW w:w="2764" w:type="dxa"/>
            <w:noWrap w:val="0"/>
            <w:vAlign w:val="top"/>
          </w:tcPr>
          <w:p w14:paraId="4A25EDD8">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300</w:t>
            </w:r>
            <w:r>
              <w:rPr>
                <w:rFonts w:hint="eastAsia" w:ascii="仿宋" w:hAnsi="仿宋" w:eastAsia="仿宋" w:cs="仿宋"/>
                <w:color w:val="auto"/>
                <w:sz w:val="24"/>
                <w:szCs w:val="24"/>
                <w:highlight w:val="none"/>
              </w:rPr>
              <w:t>（无量纲）</w:t>
            </w:r>
          </w:p>
        </w:tc>
      </w:tr>
    </w:tbl>
    <w:p w14:paraId="333A76B1">
      <w:pPr>
        <w:keepNext w:val="0"/>
        <w:keepLines w:val="0"/>
        <w:pageBreakBefore w:val="0"/>
        <w:widowControl w:val="0"/>
        <w:kinsoku/>
        <w:overflowPunct/>
        <w:topLinePunct w:val="0"/>
        <w:bidi w:val="0"/>
        <w:snapToGrid w:val="0"/>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考虑到转运站</w:t>
      </w:r>
      <w:r>
        <w:rPr>
          <w:rFonts w:hint="eastAsia" w:ascii="仿宋" w:hAnsi="仿宋" w:eastAsia="仿宋" w:cs="仿宋"/>
          <w:color w:val="auto"/>
          <w:sz w:val="24"/>
          <w:szCs w:val="24"/>
          <w:highlight w:val="none"/>
          <w:lang w:val="en-US" w:eastAsia="zh-CN"/>
        </w:rPr>
        <w:t>周边为景区，</w:t>
      </w:r>
      <w:r>
        <w:rPr>
          <w:rFonts w:hint="eastAsia" w:ascii="仿宋" w:hAnsi="仿宋" w:eastAsia="仿宋" w:cs="仿宋"/>
          <w:color w:val="auto"/>
          <w:sz w:val="24"/>
          <w:szCs w:val="24"/>
          <w:highlight w:val="none"/>
        </w:rPr>
        <w:t>为了让周边</w:t>
      </w:r>
      <w:r>
        <w:rPr>
          <w:rFonts w:hint="eastAsia" w:ascii="仿宋" w:hAnsi="仿宋" w:eastAsia="仿宋" w:cs="仿宋"/>
          <w:color w:val="auto"/>
          <w:sz w:val="24"/>
          <w:szCs w:val="24"/>
          <w:highlight w:val="none"/>
          <w:lang w:val="en-US" w:eastAsia="zh-CN"/>
        </w:rPr>
        <w:t>游客</w:t>
      </w:r>
      <w:r>
        <w:rPr>
          <w:rFonts w:hint="eastAsia" w:ascii="仿宋" w:hAnsi="仿宋" w:eastAsia="仿宋" w:cs="仿宋"/>
          <w:color w:val="auto"/>
          <w:sz w:val="24"/>
          <w:szCs w:val="24"/>
          <w:highlight w:val="none"/>
        </w:rPr>
        <w:t>能有一个良好的环境,我们希望能将处理后的臭气排放标准提高。</w:t>
      </w:r>
    </w:p>
    <w:p w14:paraId="78E7C9B9">
      <w:pPr>
        <w:keepNext w:val="0"/>
        <w:keepLines w:val="0"/>
        <w:pageBreakBefore w:val="0"/>
        <w:widowControl w:val="0"/>
        <w:kinsoku/>
        <w:overflowPunct/>
        <w:topLinePunct w:val="0"/>
        <w:bidi w:val="0"/>
        <w:spacing w:beforeAutospacing="0" w:afterAutospacing="0" w:line="360" w:lineRule="auto"/>
        <w:outlineLvl w:val="1"/>
        <w:rPr>
          <w:rFonts w:hint="eastAsia" w:ascii="仿宋" w:hAnsi="仿宋" w:eastAsia="仿宋" w:cs="仿宋"/>
          <w:b/>
          <w:bCs/>
          <w:color w:val="auto"/>
          <w:sz w:val="24"/>
          <w:szCs w:val="24"/>
          <w:highlight w:val="none"/>
          <w:lang w:val="en-US" w:eastAsia="zh-CN"/>
        </w:rPr>
      </w:pPr>
      <w:bookmarkStart w:id="71" w:name="_Toc12059"/>
      <w:bookmarkEnd w:id="71"/>
      <w:r>
        <w:rPr>
          <w:rFonts w:hint="eastAsia" w:ascii="仿宋" w:hAnsi="仿宋" w:eastAsia="仿宋" w:cs="仿宋"/>
          <w:b/>
          <w:bCs/>
          <w:color w:val="auto"/>
          <w:sz w:val="24"/>
          <w:szCs w:val="24"/>
          <w:highlight w:val="none"/>
          <w:lang w:val="en-US" w:eastAsia="zh-CN"/>
        </w:rPr>
        <w:t>四、臭气处理工艺简介</w:t>
      </w:r>
    </w:p>
    <w:p w14:paraId="1D4A4601">
      <w:pPr>
        <w:keepNext w:val="0"/>
        <w:keepLines w:val="0"/>
        <w:pageBreakBefore w:val="0"/>
        <w:widowControl w:val="0"/>
        <w:kinsoku/>
        <w:overflowPunct/>
        <w:topLinePunct w:val="0"/>
        <w:bidi w:val="0"/>
        <w:snapToGrid w:val="0"/>
        <w:spacing w:beforeAutospacing="0" w:afterAutospacing="0" w:line="360" w:lineRule="auto"/>
        <w:ind w:firstLine="408"/>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垃圾分类中转站</w:t>
      </w:r>
      <w:r>
        <w:rPr>
          <w:rFonts w:hint="eastAsia" w:ascii="仿宋" w:hAnsi="仿宋" w:eastAsia="仿宋" w:cs="仿宋"/>
          <w:color w:val="auto"/>
          <w:sz w:val="24"/>
          <w:szCs w:val="24"/>
          <w:highlight w:val="none"/>
        </w:rPr>
        <w:t>综合除臭措施主要由五大集成系统组成。</w:t>
      </w:r>
    </w:p>
    <w:p w14:paraId="485C4E49">
      <w:pPr>
        <w:keepNext w:val="0"/>
        <w:keepLines w:val="0"/>
        <w:pageBreakBefore w:val="0"/>
        <w:widowControl w:val="0"/>
        <w:kinsoku/>
        <w:overflowPunct/>
        <w:topLinePunct w:val="0"/>
        <w:bidi w:val="0"/>
        <w:snapToGrid w:val="0"/>
        <w:spacing w:beforeAutospacing="0" w:afterAutospacing="0"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1、快速门禁系统。</w:t>
      </w:r>
      <w:r>
        <w:rPr>
          <w:rFonts w:hint="eastAsia" w:ascii="仿宋" w:hAnsi="仿宋" w:eastAsia="仿宋" w:cs="仿宋"/>
          <w:color w:val="auto"/>
          <w:sz w:val="24"/>
          <w:szCs w:val="24"/>
          <w:highlight w:val="none"/>
        </w:rPr>
        <w:t>主要由感应式快速门+风幕系统组成，该系统可在垃圾运输车辆进出时被感应门禁系统监测到，快速打开大门（通常在3-5秒内），同时提前启动风幕系统。可最大程度降低转运站内粉尘臭气对站外环境的不利影响。该系统应同时配备安全装置，以防止意外发生。</w:t>
      </w:r>
    </w:p>
    <w:p w14:paraId="50334973">
      <w:pPr>
        <w:keepNext w:val="0"/>
        <w:keepLines w:val="0"/>
        <w:pageBreakBefore w:val="0"/>
        <w:widowControl w:val="0"/>
        <w:kinsoku/>
        <w:overflowPunct/>
        <w:topLinePunct w:val="0"/>
        <w:bidi w:val="0"/>
        <w:snapToGrid w:val="0"/>
        <w:spacing w:beforeAutospacing="0" w:afterAutospacing="0"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2、负压收集处理系统。</w:t>
      </w:r>
      <w:r>
        <w:rPr>
          <w:rFonts w:hint="eastAsia" w:ascii="仿宋" w:hAnsi="仿宋" w:eastAsia="仿宋" w:cs="仿宋"/>
          <w:color w:val="auto"/>
          <w:sz w:val="24"/>
          <w:szCs w:val="24"/>
          <w:highlight w:val="none"/>
        </w:rPr>
        <w:t>主要由站内臭气收集管路+离子复合一体化系统组成。经管道负压收集的臭气通过离子复合一体化系统处理达标后排放。离子复合一体化系统主要包括三个处理过程：①离子单元；用高压快速脉冲电源进行双介质阻挡放点形成高效等离子，在此单元与臭气进行混合反应。②化学吸附反应单元；经过等离子处理后的臭气进入化学吸附材料，发生催化氧化等反应，反应在常温差压下由催化剂辅助发生，温和安全、不产生热量。③喷淋吸收单元；最后臭气经过喷淋吸收处理，然后达标排放。</w:t>
      </w:r>
    </w:p>
    <w:p w14:paraId="4B5A7064">
      <w:pPr>
        <w:keepNext w:val="0"/>
        <w:keepLines w:val="0"/>
        <w:pageBreakBefore w:val="0"/>
        <w:widowControl w:val="0"/>
        <w:kinsoku/>
        <w:overflowPunct/>
        <w:topLinePunct w:val="0"/>
        <w:bidi w:val="0"/>
        <w:snapToGrid w:val="0"/>
        <w:spacing w:beforeAutospacing="0" w:afterAutospacing="0"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3、植物液综合处理系统。</w:t>
      </w:r>
      <w:r>
        <w:rPr>
          <w:rFonts w:hint="eastAsia" w:ascii="仿宋" w:hAnsi="仿宋" w:eastAsia="仿宋" w:cs="仿宋"/>
          <w:color w:val="auto"/>
          <w:sz w:val="24"/>
          <w:szCs w:val="24"/>
          <w:highlight w:val="none"/>
        </w:rPr>
        <w:t>该系统由一套植物精油气化系统组成。在</w:t>
      </w:r>
      <w:r>
        <w:rPr>
          <w:rFonts w:hint="eastAsia" w:ascii="仿宋" w:hAnsi="仿宋" w:eastAsia="仿宋" w:cs="仿宋"/>
          <w:color w:val="auto"/>
          <w:sz w:val="24"/>
          <w:szCs w:val="24"/>
          <w:highlight w:val="none"/>
          <w:lang w:eastAsia="zh-CN"/>
        </w:rPr>
        <w:t>垃圾分类中转站</w:t>
      </w:r>
      <w:r>
        <w:rPr>
          <w:rFonts w:hint="eastAsia" w:ascii="仿宋" w:hAnsi="仿宋" w:eastAsia="仿宋" w:cs="仿宋"/>
          <w:color w:val="auto"/>
          <w:sz w:val="24"/>
          <w:szCs w:val="24"/>
          <w:highlight w:val="none"/>
        </w:rPr>
        <w:t>卸料口等臭气重度污染区域周边部署植物液气化发散口，可实现重点区域重点监控，原地逸散原地消灭，同</w:t>
      </w:r>
      <w:r>
        <w:rPr>
          <w:rFonts w:hint="eastAsia" w:ascii="仿宋" w:hAnsi="仿宋" w:eastAsia="仿宋" w:cs="仿宋"/>
          <w:color w:val="auto"/>
          <w:sz w:val="24"/>
          <w:szCs w:val="24"/>
          <w:highlight w:val="none"/>
          <w:lang w:eastAsia="zh-CN"/>
        </w:rPr>
        <w:t>时</w:t>
      </w:r>
      <w:r>
        <w:rPr>
          <w:rFonts w:hint="eastAsia" w:ascii="仿宋" w:hAnsi="仿宋" w:eastAsia="仿宋" w:cs="仿宋"/>
          <w:color w:val="auto"/>
          <w:sz w:val="24"/>
          <w:szCs w:val="24"/>
          <w:highlight w:val="none"/>
        </w:rPr>
        <w:t>设置一套植物液雾化装置，在整个转运站空间的上部设置雾化管道和雾化喷头，一方面降低站内扬尘，另一方面改善整个区域的空气质量。</w:t>
      </w:r>
    </w:p>
    <w:p w14:paraId="52A8C58A">
      <w:pPr>
        <w:keepNext w:val="0"/>
        <w:keepLines w:val="0"/>
        <w:pageBreakBefore w:val="0"/>
        <w:widowControl w:val="0"/>
        <w:kinsoku/>
        <w:overflowPunct/>
        <w:topLinePunct w:val="0"/>
        <w:bidi w:val="0"/>
        <w:snapToGrid w:val="0"/>
        <w:spacing w:beforeAutospacing="0" w:afterAutospacing="0"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4、离子新风系统。</w:t>
      </w:r>
      <w:r>
        <w:rPr>
          <w:rFonts w:hint="eastAsia" w:ascii="仿宋" w:hAnsi="仿宋" w:eastAsia="仿宋" w:cs="仿宋"/>
          <w:color w:val="auto"/>
          <w:sz w:val="24"/>
          <w:szCs w:val="24"/>
          <w:highlight w:val="none"/>
        </w:rPr>
        <w:t>该系统主要由离子发生设备+新风输送管路组成。离子发生设备通过抽取外界新风，混合成高浓度离子新风，通过输送管路送至</w:t>
      </w:r>
      <w:r>
        <w:rPr>
          <w:rFonts w:hint="eastAsia" w:ascii="仿宋" w:hAnsi="仿宋" w:eastAsia="仿宋" w:cs="仿宋"/>
          <w:color w:val="auto"/>
          <w:sz w:val="24"/>
          <w:szCs w:val="24"/>
          <w:highlight w:val="none"/>
          <w:lang w:eastAsia="zh-CN"/>
        </w:rPr>
        <w:t>垃圾分类中转站</w:t>
      </w:r>
      <w:r>
        <w:rPr>
          <w:rFonts w:hint="eastAsia" w:ascii="仿宋" w:hAnsi="仿宋" w:eastAsia="仿宋" w:cs="仿宋"/>
          <w:color w:val="auto"/>
          <w:sz w:val="24"/>
          <w:szCs w:val="24"/>
          <w:highlight w:val="none"/>
        </w:rPr>
        <w:t>卸料大厅等位置，配合负压收集系统，进行全过程臭气控制和治理。</w:t>
      </w:r>
    </w:p>
    <w:p w14:paraId="24C15AF9">
      <w:pPr>
        <w:keepNext w:val="0"/>
        <w:keepLines w:val="0"/>
        <w:pageBreakBefore w:val="0"/>
        <w:widowControl w:val="0"/>
        <w:kinsoku/>
        <w:overflowPunct/>
        <w:topLinePunct w:val="0"/>
        <w:bidi w:val="0"/>
        <w:snapToGrid w:val="0"/>
        <w:spacing w:beforeAutospacing="0" w:afterAutospacing="0"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5、中央控制系统。</w:t>
      </w:r>
      <w:r>
        <w:rPr>
          <w:rFonts w:hint="eastAsia" w:ascii="仿宋" w:hAnsi="仿宋" w:eastAsia="仿宋" w:cs="仿宋"/>
          <w:color w:val="auto"/>
          <w:sz w:val="24"/>
          <w:szCs w:val="24"/>
          <w:highlight w:val="none"/>
        </w:rPr>
        <w:t>该系统是整个系统的控制中枢，负责对整个除臭装置发号命令，参与控制，数据采集与分析，以及安全保障控制为一体的控制系统，可实现远程报警，远程指令下达远程状态反馈，此外配备动力柜一台。</w:t>
      </w:r>
    </w:p>
    <w:p w14:paraId="0FF75FDA">
      <w:pPr>
        <w:keepNext w:val="0"/>
        <w:keepLines w:val="0"/>
        <w:pageBreakBefore w:val="0"/>
        <w:widowControl w:val="0"/>
        <w:kinsoku/>
        <w:overflowPunct/>
        <w:topLinePunct w:val="0"/>
        <w:bidi w:val="0"/>
        <w:spacing w:beforeAutospacing="0" w:afterAutospacing="0" w:line="360" w:lineRule="auto"/>
        <w:outlineLvl w:val="1"/>
        <w:rPr>
          <w:rFonts w:hint="eastAsia" w:ascii="仿宋" w:hAnsi="仿宋" w:eastAsia="仿宋" w:cs="仿宋"/>
          <w:b/>
          <w:bCs/>
          <w:color w:val="auto"/>
          <w:sz w:val="24"/>
          <w:szCs w:val="24"/>
          <w:highlight w:val="none"/>
          <w:lang w:val="en-US" w:eastAsia="zh-CN"/>
        </w:rPr>
      </w:pPr>
      <w:bookmarkStart w:id="72" w:name="_Toc17295"/>
      <w:bookmarkEnd w:id="72"/>
      <w:r>
        <w:rPr>
          <w:rFonts w:hint="eastAsia" w:ascii="仿宋" w:hAnsi="仿宋" w:eastAsia="仿宋" w:cs="仿宋"/>
          <w:b/>
          <w:bCs/>
          <w:color w:val="auto"/>
          <w:sz w:val="24"/>
          <w:szCs w:val="24"/>
          <w:highlight w:val="none"/>
          <w:lang w:val="en-US" w:eastAsia="zh-CN"/>
        </w:rPr>
        <w:t>五、除臭设备（一套）清单及具体技术规格、要求。</w:t>
      </w:r>
    </w:p>
    <w:p w14:paraId="7692CA16">
      <w:pPr>
        <w:keepNext w:val="0"/>
        <w:keepLines w:val="0"/>
        <w:pageBreakBefore w:val="0"/>
        <w:widowControl w:val="0"/>
        <w:kinsoku/>
        <w:overflowPunct/>
        <w:topLinePunct w:val="0"/>
        <w:bidi w:val="0"/>
        <w:snapToGrid w:val="0"/>
        <w:spacing w:beforeAutospacing="0" w:afterAutospacing="0" w:line="360" w:lineRule="auto"/>
        <w:outlineLvl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（一）快速门禁系统</w:t>
      </w:r>
    </w:p>
    <w:tbl>
      <w:tblPr>
        <w:tblStyle w:val="57"/>
        <w:tblW w:w="0" w:type="auto"/>
        <w:tblInd w:w="-2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5"/>
        <w:gridCol w:w="1517"/>
        <w:gridCol w:w="6942"/>
        <w:gridCol w:w="729"/>
      </w:tblGrid>
      <w:tr w14:paraId="1946C6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5" w:type="dxa"/>
            <w:noWrap w:val="0"/>
            <w:vAlign w:val="center"/>
          </w:tcPr>
          <w:p w14:paraId="1391D10E">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517" w:type="dxa"/>
            <w:noWrap w:val="0"/>
            <w:vAlign w:val="center"/>
          </w:tcPr>
          <w:p w14:paraId="415CAD0F">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w:t>
            </w:r>
          </w:p>
        </w:tc>
        <w:tc>
          <w:tcPr>
            <w:tcW w:w="6942" w:type="dxa"/>
            <w:noWrap w:val="0"/>
            <w:vAlign w:val="center"/>
          </w:tcPr>
          <w:p w14:paraId="2D8315B5">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技术参数及性能描述</w:t>
            </w:r>
          </w:p>
        </w:tc>
        <w:tc>
          <w:tcPr>
            <w:tcW w:w="729" w:type="dxa"/>
            <w:noWrap w:val="0"/>
            <w:vAlign w:val="center"/>
          </w:tcPr>
          <w:p w14:paraId="0821672F">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3F8ADB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853" w:type="dxa"/>
            <w:gridSpan w:val="4"/>
            <w:noWrap w:val="0"/>
            <w:vAlign w:val="center"/>
          </w:tcPr>
          <w:p w14:paraId="5062C309">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一、快速门（</w:t>
            </w: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套</w:t>
            </w:r>
            <w:r>
              <w:rPr>
                <w:rFonts w:hint="eastAsia" w:ascii="仿宋" w:hAnsi="仿宋" w:eastAsia="仿宋" w:cs="仿宋"/>
                <w:color w:val="auto"/>
                <w:sz w:val="24"/>
                <w:szCs w:val="24"/>
                <w:highlight w:val="none"/>
                <w:lang w:eastAsia="zh-CN"/>
              </w:rPr>
              <w:t>，具体根据中转站实际情况调整，</w:t>
            </w:r>
            <w:r>
              <w:rPr>
                <w:rFonts w:hint="eastAsia" w:ascii="仿宋" w:hAnsi="仿宋" w:eastAsia="仿宋" w:cs="仿宋"/>
                <w:color w:val="auto"/>
                <w:sz w:val="24"/>
                <w:szCs w:val="24"/>
                <w:highlight w:val="none"/>
                <w:lang w:val="en-US" w:eastAsia="zh-CN"/>
              </w:rPr>
              <w:t>价格不再调整</w:t>
            </w:r>
            <w:r>
              <w:rPr>
                <w:rFonts w:hint="eastAsia" w:ascii="仿宋" w:hAnsi="仿宋" w:eastAsia="仿宋" w:cs="仿宋"/>
                <w:color w:val="auto"/>
                <w:sz w:val="24"/>
                <w:szCs w:val="24"/>
                <w:highlight w:val="none"/>
              </w:rPr>
              <w:t>）</w:t>
            </w:r>
          </w:p>
        </w:tc>
      </w:tr>
      <w:tr w14:paraId="3A0E38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5" w:type="dxa"/>
            <w:noWrap w:val="0"/>
            <w:vAlign w:val="center"/>
          </w:tcPr>
          <w:p w14:paraId="225AA1DE">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17" w:type="dxa"/>
            <w:noWrap w:val="0"/>
            <w:vAlign w:val="center"/>
          </w:tcPr>
          <w:p w14:paraId="3AF84280">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门框</w:t>
            </w:r>
          </w:p>
        </w:tc>
        <w:tc>
          <w:tcPr>
            <w:tcW w:w="6942" w:type="dxa"/>
            <w:noWrap w:val="0"/>
            <w:vAlign w:val="center"/>
          </w:tcPr>
          <w:p w14:paraId="5E7B7185">
            <w:pPr>
              <w:keepNext w:val="0"/>
              <w:keepLines w:val="0"/>
              <w:pageBreakBefore w:val="0"/>
              <w:widowControl w:val="0"/>
              <w:kinsoku/>
              <w:overflowPunct/>
              <w:topLinePunct w:val="0"/>
              <w:bidi w:val="0"/>
              <w:snapToGrid w:val="0"/>
              <w:spacing w:beforeAutospacing="0" w:afterAutospacing="0"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采用2.0mm不锈钢，门罩厚度1.0mm，内置毛刷且底端配有钢管配重。</w:t>
            </w:r>
          </w:p>
        </w:tc>
        <w:tc>
          <w:tcPr>
            <w:tcW w:w="729" w:type="dxa"/>
            <w:noWrap w:val="0"/>
            <w:vAlign w:val="center"/>
          </w:tcPr>
          <w:p w14:paraId="5CD944CC">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p>
        </w:tc>
      </w:tr>
      <w:tr w14:paraId="0D3FDF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5" w:type="dxa"/>
            <w:noWrap w:val="0"/>
            <w:vAlign w:val="center"/>
          </w:tcPr>
          <w:p w14:paraId="34020F59">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517" w:type="dxa"/>
            <w:noWrap w:val="0"/>
            <w:vAlign w:val="center"/>
          </w:tcPr>
          <w:p w14:paraId="28DD1D6D">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门帘</w:t>
            </w:r>
          </w:p>
        </w:tc>
        <w:tc>
          <w:tcPr>
            <w:tcW w:w="6942" w:type="dxa"/>
            <w:noWrap w:val="0"/>
            <w:vAlign w:val="center"/>
          </w:tcPr>
          <w:p w14:paraId="5A1DCF97">
            <w:pPr>
              <w:keepNext w:val="0"/>
              <w:keepLines w:val="0"/>
              <w:pageBreakBefore w:val="0"/>
              <w:widowControl w:val="0"/>
              <w:kinsoku/>
              <w:overflowPunct/>
              <w:topLinePunct w:val="0"/>
              <w:bidi w:val="0"/>
              <w:snapToGrid w:val="0"/>
              <w:spacing w:beforeAutospacing="0" w:afterAutospacing="0"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选用PVC聚氯乙烯涂层织物，颜色为多种可选。使用布帘为0.9mm厚聚脂纤维涂层基布，PVC透明视窗软板厚度1.0mm，帘布可与不平地面紧密结合防尘、防虫、密封。</w:t>
            </w:r>
          </w:p>
        </w:tc>
        <w:tc>
          <w:tcPr>
            <w:tcW w:w="729" w:type="dxa"/>
            <w:noWrap w:val="0"/>
            <w:vAlign w:val="center"/>
          </w:tcPr>
          <w:p w14:paraId="38747FB4">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p>
        </w:tc>
      </w:tr>
      <w:tr w14:paraId="50500F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5" w:type="dxa"/>
            <w:noWrap w:val="0"/>
            <w:vAlign w:val="center"/>
          </w:tcPr>
          <w:p w14:paraId="394108BF">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517" w:type="dxa"/>
            <w:noWrap w:val="0"/>
            <w:vAlign w:val="center"/>
          </w:tcPr>
          <w:p w14:paraId="6309BA15">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驱动装置</w:t>
            </w:r>
          </w:p>
        </w:tc>
        <w:tc>
          <w:tcPr>
            <w:tcW w:w="6942" w:type="dxa"/>
            <w:noWrap w:val="0"/>
            <w:vAlign w:val="center"/>
          </w:tcPr>
          <w:p w14:paraId="3048B273">
            <w:pPr>
              <w:keepNext w:val="0"/>
              <w:keepLines w:val="0"/>
              <w:pageBreakBefore w:val="0"/>
              <w:widowControl w:val="0"/>
              <w:kinsoku/>
              <w:overflowPunct/>
              <w:topLinePunct w:val="0"/>
              <w:bidi w:val="0"/>
              <w:snapToGrid w:val="0"/>
              <w:spacing w:beforeAutospacing="0" w:afterAutospacing="0"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使用刹车电机、三相380V、功率1.5KW/1390S/转。</w:t>
            </w:r>
          </w:p>
        </w:tc>
        <w:tc>
          <w:tcPr>
            <w:tcW w:w="729" w:type="dxa"/>
            <w:noWrap w:val="0"/>
            <w:vAlign w:val="center"/>
          </w:tcPr>
          <w:p w14:paraId="5DB4F0EC">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p>
        </w:tc>
      </w:tr>
      <w:tr w14:paraId="5BBC0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5" w:type="dxa"/>
            <w:noWrap w:val="0"/>
            <w:vAlign w:val="center"/>
          </w:tcPr>
          <w:p w14:paraId="25CC97E7">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517" w:type="dxa"/>
            <w:noWrap w:val="0"/>
            <w:vAlign w:val="center"/>
          </w:tcPr>
          <w:p w14:paraId="39BA7896">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电控系统</w:t>
            </w:r>
          </w:p>
        </w:tc>
        <w:tc>
          <w:tcPr>
            <w:tcW w:w="6942" w:type="dxa"/>
            <w:noWrap w:val="0"/>
            <w:vAlign w:val="center"/>
          </w:tcPr>
          <w:p w14:paraId="6985C407">
            <w:pPr>
              <w:keepNext w:val="0"/>
              <w:keepLines w:val="0"/>
              <w:pageBreakBefore w:val="0"/>
              <w:widowControl w:val="0"/>
              <w:kinsoku/>
              <w:overflowPunct/>
              <w:topLinePunct w:val="0"/>
              <w:bidi w:val="0"/>
              <w:snapToGrid w:val="0"/>
              <w:spacing w:beforeAutospacing="0" w:afterAutospacing="0"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主电源AC380V、50HZ控制回路、DC24V。采用变频器</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1.5KW，PLC电脑编程控制。具有高性能、高稳定精准定位等特点。具有软启动缓停止。保证门体平稳运转并增加使用年限。</w:t>
            </w:r>
          </w:p>
        </w:tc>
        <w:tc>
          <w:tcPr>
            <w:tcW w:w="729" w:type="dxa"/>
            <w:noWrap w:val="0"/>
            <w:vAlign w:val="center"/>
          </w:tcPr>
          <w:p w14:paraId="5D73827C">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p>
        </w:tc>
      </w:tr>
      <w:tr w14:paraId="5A6A4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5" w:type="dxa"/>
            <w:noWrap w:val="0"/>
            <w:vAlign w:val="center"/>
          </w:tcPr>
          <w:p w14:paraId="40A91652">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517" w:type="dxa"/>
            <w:noWrap w:val="0"/>
            <w:vAlign w:val="center"/>
          </w:tcPr>
          <w:p w14:paraId="1438FE7A">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安全装置</w:t>
            </w:r>
          </w:p>
        </w:tc>
        <w:tc>
          <w:tcPr>
            <w:tcW w:w="6942" w:type="dxa"/>
            <w:noWrap w:val="0"/>
            <w:vAlign w:val="center"/>
          </w:tcPr>
          <w:p w14:paraId="5DA0B957">
            <w:pPr>
              <w:keepNext w:val="0"/>
              <w:keepLines w:val="0"/>
              <w:pageBreakBefore w:val="0"/>
              <w:widowControl w:val="0"/>
              <w:kinsoku/>
              <w:overflowPunct/>
              <w:topLinePunct w:val="0"/>
              <w:bidi w:val="0"/>
              <w:snapToGrid w:val="0"/>
              <w:spacing w:beforeAutospacing="0" w:afterAutospacing="0"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设安全装置，以防造成意外事故</w:t>
            </w:r>
          </w:p>
        </w:tc>
        <w:tc>
          <w:tcPr>
            <w:tcW w:w="729" w:type="dxa"/>
            <w:noWrap w:val="0"/>
            <w:vAlign w:val="center"/>
          </w:tcPr>
          <w:p w14:paraId="070366B6">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p>
        </w:tc>
      </w:tr>
      <w:tr w14:paraId="47BC63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3" w:type="dxa"/>
            <w:gridSpan w:val="4"/>
            <w:noWrap w:val="0"/>
            <w:vAlign w:val="center"/>
          </w:tcPr>
          <w:p w14:paraId="57436B82">
            <w:pPr>
              <w:keepNext w:val="0"/>
              <w:keepLines w:val="0"/>
              <w:pageBreakBefore w:val="0"/>
              <w:widowControl w:val="0"/>
              <w:numPr>
                <w:ilvl w:val="0"/>
                <w:numId w:val="2"/>
              </w:numPr>
              <w:kinsoku/>
              <w:overflowPunct/>
              <w:topLinePunct w:val="0"/>
              <w:bidi w:val="0"/>
              <w:snapToGrid w:val="0"/>
              <w:spacing w:beforeAutospacing="0" w:afterAutospacing="0" w:line="240" w:lineRule="auto"/>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风幕系统</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套</w:t>
            </w:r>
            <w:r>
              <w:rPr>
                <w:rFonts w:hint="eastAsia" w:ascii="仿宋" w:hAnsi="仿宋" w:eastAsia="仿宋" w:cs="仿宋"/>
                <w:color w:val="auto"/>
                <w:sz w:val="24"/>
                <w:szCs w:val="24"/>
                <w:highlight w:val="none"/>
                <w:lang w:eastAsia="zh-CN"/>
              </w:rPr>
              <w:t>，具体根据中转站实际情况调整，</w:t>
            </w:r>
            <w:r>
              <w:rPr>
                <w:rFonts w:hint="eastAsia" w:ascii="仿宋" w:hAnsi="仿宋" w:eastAsia="仿宋" w:cs="仿宋"/>
                <w:color w:val="auto"/>
                <w:sz w:val="24"/>
                <w:szCs w:val="24"/>
                <w:highlight w:val="none"/>
                <w:lang w:val="en-US" w:eastAsia="zh-CN"/>
              </w:rPr>
              <w:t>价格不再调整</w:t>
            </w:r>
            <w:r>
              <w:rPr>
                <w:rFonts w:hint="eastAsia" w:ascii="仿宋" w:hAnsi="仿宋" w:eastAsia="仿宋" w:cs="仿宋"/>
                <w:color w:val="auto"/>
                <w:sz w:val="24"/>
                <w:szCs w:val="24"/>
                <w:highlight w:val="none"/>
                <w:lang w:eastAsia="zh-CN"/>
              </w:rPr>
              <w:t>）</w:t>
            </w:r>
          </w:p>
        </w:tc>
      </w:tr>
      <w:tr w14:paraId="6DE8E4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5" w:type="dxa"/>
            <w:noWrap w:val="0"/>
            <w:vAlign w:val="center"/>
          </w:tcPr>
          <w:p w14:paraId="78A274F5">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w:t>
            </w:r>
          </w:p>
        </w:tc>
        <w:tc>
          <w:tcPr>
            <w:tcW w:w="1517" w:type="dxa"/>
            <w:noWrap w:val="0"/>
            <w:vAlign w:val="center"/>
          </w:tcPr>
          <w:p w14:paraId="36D7F1B0">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风量</w:t>
            </w:r>
          </w:p>
        </w:tc>
        <w:tc>
          <w:tcPr>
            <w:tcW w:w="6942" w:type="dxa"/>
            <w:noWrap w:val="0"/>
            <w:vAlign w:val="center"/>
          </w:tcPr>
          <w:p w14:paraId="6A00B374">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6000m³/h</w:t>
            </w:r>
          </w:p>
        </w:tc>
        <w:tc>
          <w:tcPr>
            <w:tcW w:w="729" w:type="dxa"/>
            <w:noWrap w:val="0"/>
            <w:vAlign w:val="center"/>
          </w:tcPr>
          <w:p w14:paraId="1C59B6EF">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p>
        </w:tc>
      </w:tr>
      <w:tr w14:paraId="6C0DDD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5" w:type="dxa"/>
            <w:noWrap w:val="0"/>
            <w:vAlign w:val="center"/>
          </w:tcPr>
          <w:p w14:paraId="730059D3">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517" w:type="dxa"/>
            <w:noWrap w:val="0"/>
            <w:vAlign w:val="center"/>
          </w:tcPr>
          <w:p w14:paraId="083F5351">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送风方式</w:t>
            </w:r>
          </w:p>
        </w:tc>
        <w:tc>
          <w:tcPr>
            <w:tcW w:w="6942" w:type="dxa"/>
            <w:noWrap w:val="0"/>
            <w:vAlign w:val="center"/>
          </w:tcPr>
          <w:p w14:paraId="53C2CAD6">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两侧送风</w:t>
            </w:r>
          </w:p>
        </w:tc>
        <w:tc>
          <w:tcPr>
            <w:tcW w:w="729" w:type="dxa"/>
            <w:noWrap w:val="0"/>
            <w:vAlign w:val="center"/>
          </w:tcPr>
          <w:p w14:paraId="656EF34E">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p>
        </w:tc>
      </w:tr>
      <w:tr w14:paraId="12BC7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65" w:type="dxa"/>
            <w:noWrap w:val="0"/>
            <w:vAlign w:val="center"/>
          </w:tcPr>
          <w:p w14:paraId="2462F395">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3</w:t>
            </w:r>
          </w:p>
        </w:tc>
        <w:tc>
          <w:tcPr>
            <w:tcW w:w="1517" w:type="dxa"/>
            <w:noWrap w:val="0"/>
            <w:vAlign w:val="center"/>
          </w:tcPr>
          <w:p w14:paraId="481CD4B3">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风口风速</w:t>
            </w:r>
          </w:p>
        </w:tc>
        <w:tc>
          <w:tcPr>
            <w:tcW w:w="6942" w:type="dxa"/>
            <w:noWrap w:val="0"/>
            <w:vAlign w:val="center"/>
          </w:tcPr>
          <w:p w14:paraId="248A24D9">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8～12m/s</w:t>
            </w:r>
          </w:p>
        </w:tc>
        <w:tc>
          <w:tcPr>
            <w:tcW w:w="729" w:type="dxa"/>
            <w:noWrap w:val="0"/>
            <w:vAlign w:val="center"/>
          </w:tcPr>
          <w:p w14:paraId="06BBC0CA">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p>
        </w:tc>
      </w:tr>
      <w:tr w14:paraId="241DF9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5" w:type="dxa"/>
            <w:noWrap w:val="0"/>
            <w:vAlign w:val="center"/>
          </w:tcPr>
          <w:p w14:paraId="78905690">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517" w:type="dxa"/>
            <w:noWrap w:val="0"/>
            <w:vAlign w:val="center"/>
          </w:tcPr>
          <w:p w14:paraId="01616A31">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风口尺寸</w:t>
            </w:r>
          </w:p>
        </w:tc>
        <w:tc>
          <w:tcPr>
            <w:tcW w:w="6942" w:type="dxa"/>
            <w:noWrap w:val="0"/>
            <w:vAlign w:val="center"/>
          </w:tcPr>
          <w:p w14:paraId="2D3A7FBB">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850×120mm</w:t>
            </w:r>
          </w:p>
        </w:tc>
        <w:tc>
          <w:tcPr>
            <w:tcW w:w="729" w:type="dxa"/>
            <w:noWrap w:val="0"/>
            <w:vAlign w:val="center"/>
          </w:tcPr>
          <w:p w14:paraId="0AF7E777">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p>
        </w:tc>
      </w:tr>
      <w:tr w14:paraId="742DCE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5" w:type="dxa"/>
            <w:noWrap w:val="0"/>
            <w:vAlign w:val="center"/>
          </w:tcPr>
          <w:p w14:paraId="6FD9032A">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5</w:t>
            </w:r>
          </w:p>
        </w:tc>
        <w:tc>
          <w:tcPr>
            <w:tcW w:w="1517" w:type="dxa"/>
            <w:noWrap w:val="0"/>
            <w:vAlign w:val="center"/>
          </w:tcPr>
          <w:p w14:paraId="1843EFE8">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装机功率</w:t>
            </w:r>
          </w:p>
        </w:tc>
        <w:tc>
          <w:tcPr>
            <w:tcW w:w="6942" w:type="dxa"/>
            <w:noWrap w:val="0"/>
            <w:vAlign w:val="center"/>
          </w:tcPr>
          <w:p w14:paraId="210CBB29">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0.75Kw</w:t>
            </w:r>
          </w:p>
        </w:tc>
        <w:tc>
          <w:tcPr>
            <w:tcW w:w="729" w:type="dxa"/>
            <w:noWrap w:val="0"/>
            <w:vAlign w:val="center"/>
          </w:tcPr>
          <w:p w14:paraId="59E54CE2">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p>
        </w:tc>
      </w:tr>
      <w:tr w14:paraId="1E083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3" w:type="dxa"/>
            <w:gridSpan w:val="4"/>
            <w:noWrap w:val="0"/>
            <w:vAlign w:val="center"/>
          </w:tcPr>
          <w:p w14:paraId="2FA4E8CF">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【自动控制说明】</w:t>
            </w:r>
          </w:p>
          <w:p w14:paraId="042ACB57">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快速门与风幕机应自带感应装置和安全装置，可实现手动/自动控制切换；所有信号均接入中央控制系统，实现自动化控制。</w:t>
            </w:r>
          </w:p>
        </w:tc>
      </w:tr>
    </w:tbl>
    <w:p w14:paraId="5BB85790">
      <w:pPr>
        <w:keepNext w:val="0"/>
        <w:keepLines w:val="0"/>
        <w:pageBreakBefore w:val="0"/>
        <w:widowControl w:val="0"/>
        <w:kinsoku/>
        <w:overflowPunct/>
        <w:topLinePunct w:val="0"/>
        <w:bidi w:val="0"/>
        <w:snapToGrid w:val="0"/>
        <w:spacing w:beforeAutospacing="0" w:afterAutospacing="0" w:line="360" w:lineRule="auto"/>
        <w:outlineLvl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（二）负压收集处理系统</w:t>
      </w:r>
      <w:r>
        <w:rPr>
          <w:rFonts w:hint="eastAsia" w:ascii="仿宋" w:hAnsi="仿宋" w:eastAsia="仿宋" w:cs="仿宋"/>
          <w:b/>
          <w:bCs/>
          <w:color w:val="auto"/>
          <w:sz w:val="24"/>
          <w:szCs w:val="24"/>
          <w:highlight w:val="none"/>
        </w:rPr>
        <w:t>（核心产品）</w:t>
      </w:r>
    </w:p>
    <w:tbl>
      <w:tblPr>
        <w:tblStyle w:val="57"/>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701"/>
        <w:gridCol w:w="6596"/>
        <w:gridCol w:w="762"/>
      </w:tblGrid>
      <w:tr w14:paraId="40C3E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trPr>
        <w:tc>
          <w:tcPr>
            <w:tcW w:w="675" w:type="dxa"/>
            <w:noWrap w:val="0"/>
            <w:vAlign w:val="center"/>
          </w:tcPr>
          <w:p w14:paraId="0EC5D867">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701" w:type="dxa"/>
            <w:noWrap w:val="0"/>
            <w:vAlign w:val="center"/>
          </w:tcPr>
          <w:p w14:paraId="48D68AEE">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w:t>
            </w:r>
          </w:p>
        </w:tc>
        <w:tc>
          <w:tcPr>
            <w:tcW w:w="6596" w:type="dxa"/>
            <w:noWrap w:val="0"/>
            <w:vAlign w:val="center"/>
          </w:tcPr>
          <w:p w14:paraId="1CEC08EE">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技术参数及性能描述</w:t>
            </w:r>
          </w:p>
        </w:tc>
        <w:tc>
          <w:tcPr>
            <w:tcW w:w="762" w:type="dxa"/>
            <w:noWrap w:val="0"/>
            <w:vAlign w:val="center"/>
          </w:tcPr>
          <w:p w14:paraId="4C13ECE2">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23CD3C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trPr>
        <w:tc>
          <w:tcPr>
            <w:tcW w:w="9734" w:type="dxa"/>
            <w:gridSpan w:val="4"/>
            <w:noWrap w:val="0"/>
            <w:vAlign w:val="center"/>
          </w:tcPr>
          <w:p w14:paraId="720DB697">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一、离子复合一体化设备</w:t>
            </w:r>
          </w:p>
        </w:tc>
      </w:tr>
      <w:tr w14:paraId="545D0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trPr>
        <w:tc>
          <w:tcPr>
            <w:tcW w:w="675" w:type="dxa"/>
            <w:noWrap w:val="0"/>
            <w:vAlign w:val="center"/>
          </w:tcPr>
          <w:p w14:paraId="20A2FD18">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701" w:type="dxa"/>
            <w:noWrap w:val="0"/>
            <w:vAlign w:val="center"/>
          </w:tcPr>
          <w:p w14:paraId="2685D85F">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材质</w:t>
            </w:r>
          </w:p>
        </w:tc>
        <w:tc>
          <w:tcPr>
            <w:tcW w:w="6596" w:type="dxa"/>
            <w:noWrap w:val="0"/>
            <w:vAlign w:val="center"/>
          </w:tcPr>
          <w:p w14:paraId="45CC23CA">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外壳整体采用SUS304不锈钢,</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1600×1600×4500mm</w:t>
            </w:r>
          </w:p>
        </w:tc>
        <w:tc>
          <w:tcPr>
            <w:tcW w:w="762" w:type="dxa"/>
            <w:noWrap w:val="0"/>
            <w:vAlign w:val="center"/>
          </w:tcPr>
          <w:p w14:paraId="2B3862B9">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p>
        </w:tc>
      </w:tr>
      <w:tr w14:paraId="14D54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trPr>
        <w:tc>
          <w:tcPr>
            <w:tcW w:w="675" w:type="dxa"/>
            <w:noWrap w:val="0"/>
            <w:vAlign w:val="center"/>
          </w:tcPr>
          <w:p w14:paraId="6DE8F333">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w:t>
            </w:r>
          </w:p>
        </w:tc>
        <w:tc>
          <w:tcPr>
            <w:tcW w:w="1701" w:type="dxa"/>
            <w:noWrap w:val="0"/>
            <w:vAlign w:val="center"/>
          </w:tcPr>
          <w:p w14:paraId="2A0D1D10">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离子反应段</w:t>
            </w:r>
          </w:p>
        </w:tc>
        <w:tc>
          <w:tcPr>
            <w:tcW w:w="6596" w:type="dxa"/>
            <w:noWrap w:val="0"/>
            <w:vAlign w:val="center"/>
          </w:tcPr>
          <w:p w14:paraId="61D65039">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采用管式发生器，一组7管，金属部分全部为SUS304，塑料部分全部为聚碳酸树脂。</w:t>
            </w:r>
          </w:p>
        </w:tc>
        <w:tc>
          <w:tcPr>
            <w:tcW w:w="762" w:type="dxa"/>
            <w:noWrap w:val="0"/>
            <w:vAlign w:val="center"/>
          </w:tcPr>
          <w:p w14:paraId="6DEDD1A5">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p>
        </w:tc>
      </w:tr>
      <w:tr w14:paraId="39640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trPr>
        <w:tc>
          <w:tcPr>
            <w:tcW w:w="675" w:type="dxa"/>
            <w:noWrap w:val="0"/>
            <w:vAlign w:val="center"/>
          </w:tcPr>
          <w:p w14:paraId="1373D096">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3</w:t>
            </w:r>
          </w:p>
        </w:tc>
        <w:tc>
          <w:tcPr>
            <w:tcW w:w="1701" w:type="dxa"/>
            <w:noWrap w:val="0"/>
            <w:vAlign w:val="center"/>
          </w:tcPr>
          <w:p w14:paraId="5652776C">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干式化学吸附段</w:t>
            </w:r>
          </w:p>
        </w:tc>
        <w:tc>
          <w:tcPr>
            <w:tcW w:w="6596" w:type="dxa"/>
            <w:noWrap w:val="0"/>
            <w:vAlign w:val="center"/>
          </w:tcPr>
          <w:p w14:paraId="1B131111">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内置干式化学吸附滤料，滤料安装在模块中，模块为设备两侧开门装卸。过滤面积＞7.0 ㎡，过滤风速＜0.5m/s，阻力损失＜400Pa。</w:t>
            </w:r>
          </w:p>
        </w:tc>
        <w:tc>
          <w:tcPr>
            <w:tcW w:w="762" w:type="dxa"/>
            <w:noWrap w:val="0"/>
            <w:vAlign w:val="center"/>
          </w:tcPr>
          <w:p w14:paraId="37687E50">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p>
        </w:tc>
      </w:tr>
      <w:tr w14:paraId="2C8C8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trPr>
        <w:tc>
          <w:tcPr>
            <w:tcW w:w="675" w:type="dxa"/>
            <w:noWrap w:val="0"/>
            <w:vAlign w:val="center"/>
          </w:tcPr>
          <w:p w14:paraId="2017018E">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4</w:t>
            </w:r>
          </w:p>
        </w:tc>
        <w:tc>
          <w:tcPr>
            <w:tcW w:w="1701" w:type="dxa"/>
            <w:noWrap w:val="0"/>
            <w:vAlign w:val="center"/>
          </w:tcPr>
          <w:p w14:paraId="26D0772B">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喷淋吸收段</w:t>
            </w:r>
          </w:p>
        </w:tc>
        <w:tc>
          <w:tcPr>
            <w:tcW w:w="6596" w:type="dxa"/>
            <w:noWrap w:val="0"/>
            <w:vAlign w:val="center"/>
          </w:tcPr>
          <w:p w14:paraId="14A18E6C">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流速14-16m/s，气液比0.5～1 L/m³，出口压力≥6Kg/c㎡，内胆水箱SUS304材质，容量≥500升</w:t>
            </w:r>
          </w:p>
        </w:tc>
        <w:tc>
          <w:tcPr>
            <w:tcW w:w="762" w:type="dxa"/>
            <w:noWrap w:val="0"/>
            <w:vAlign w:val="center"/>
          </w:tcPr>
          <w:p w14:paraId="4DF067DF">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p>
        </w:tc>
      </w:tr>
      <w:tr w14:paraId="5C4CCF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trPr>
        <w:tc>
          <w:tcPr>
            <w:tcW w:w="9734" w:type="dxa"/>
            <w:gridSpan w:val="4"/>
            <w:noWrap w:val="0"/>
            <w:vAlign w:val="center"/>
          </w:tcPr>
          <w:p w14:paraId="6E25D171">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二、风机</w:t>
            </w:r>
          </w:p>
        </w:tc>
      </w:tr>
      <w:tr w14:paraId="1106E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trPr>
        <w:tc>
          <w:tcPr>
            <w:tcW w:w="675" w:type="dxa"/>
            <w:noWrap w:val="0"/>
            <w:vAlign w:val="center"/>
          </w:tcPr>
          <w:p w14:paraId="1B83FBBE">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701" w:type="dxa"/>
            <w:noWrap w:val="0"/>
            <w:vAlign w:val="center"/>
          </w:tcPr>
          <w:p w14:paraId="000D11FB">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材质</w:t>
            </w:r>
          </w:p>
        </w:tc>
        <w:tc>
          <w:tcPr>
            <w:tcW w:w="6596" w:type="dxa"/>
            <w:noWrap w:val="0"/>
            <w:vAlign w:val="center"/>
          </w:tcPr>
          <w:p w14:paraId="2E7DD9E0">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FRP耐酸碱树脂制作</w:t>
            </w:r>
          </w:p>
        </w:tc>
        <w:tc>
          <w:tcPr>
            <w:tcW w:w="762" w:type="dxa"/>
            <w:noWrap w:val="0"/>
            <w:vAlign w:val="center"/>
          </w:tcPr>
          <w:p w14:paraId="42E51FF2">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p>
        </w:tc>
      </w:tr>
      <w:tr w14:paraId="0C9BFA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trPr>
        <w:tc>
          <w:tcPr>
            <w:tcW w:w="675" w:type="dxa"/>
            <w:noWrap w:val="0"/>
            <w:vAlign w:val="center"/>
          </w:tcPr>
          <w:p w14:paraId="100469E7">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701" w:type="dxa"/>
            <w:noWrap w:val="0"/>
            <w:vAlign w:val="center"/>
          </w:tcPr>
          <w:p w14:paraId="22E37F48">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电机</w:t>
            </w:r>
          </w:p>
        </w:tc>
        <w:tc>
          <w:tcPr>
            <w:tcW w:w="6596" w:type="dxa"/>
            <w:noWrap w:val="0"/>
            <w:vAlign w:val="center"/>
          </w:tcPr>
          <w:p w14:paraId="66239F40">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强冷变频</w:t>
            </w:r>
          </w:p>
        </w:tc>
        <w:tc>
          <w:tcPr>
            <w:tcW w:w="762" w:type="dxa"/>
            <w:noWrap w:val="0"/>
            <w:vAlign w:val="center"/>
          </w:tcPr>
          <w:p w14:paraId="27AE927A">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p>
        </w:tc>
      </w:tr>
      <w:tr w14:paraId="10AF9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trPr>
        <w:tc>
          <w:tcPr>
            <w:tcW w:w="675" w:type="dxa"/>
            <w:noWrap w:val="0"/>
            <w:vAlign w:val="center"/>
          </w:tcPr>
          <w:p w14:paraId="4748F626">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701" w:type="dxa"/>
            <w:noWrap w:val="0"/>
            <w:vAlign w:val="center"/>
          </w:tcPr>
          <w:p w14:paraId="032FBD02">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传动方式</w:t>
            </w:r>
          </w:p>
        </w:tc>
        <w:tc>
          <w:tcPr>
            <w:tcW w:w="6596" w:type="dxa"/>
            <w:noWrap w:val="0"/>
            <w:vAlign w:val="center"/>
          </w:tcPr>
          <w:p w14:paraId="70F14165">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皮带传动</w:t>
            </w:r>
          </w:p>
        </w:tc>
        <w:tc>
          <w:tcPr>
            <w:tcW w:w="762" w:type="dxa"/>
            <w:noWrap w:val="0"/>
            <w:vAlign w:val="center"/>
          </w:tcPr>
          <w:p w14:paraId="444B32C9">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p>
        </w:tc>
      </w:tr>
      <w:tr w14:paraId="227C1E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trPr>
        <w:tc>
          <w:tcPr>
            <w:tcW w:w="675" w:type="dxa"/>
            <w:noWrap w:val="0"/>
            <w:vAlign w:val="center"/>
          </w:tcPr>
          <w:p w14:paraId="30CC1466">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4</w:t>
            </w:r>
          </w:p>
        </w:tc>
        <w:tc>
          <w:tcPr>
            <w:tcW w:w="1701" w:type="dxa"/>
            <w:noWrap w:val="0"/>
            <w:vAlign w:val="center"/>
          </w:tcPr>
          <w:p w14:paraId="4AE8385C">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降噪方式</w:t>
            </w:r>
          </w:p>
        </w:tc>
        <w:tc>
          <w:tcPr>
            <w:tcW w:w="6596" w:type="dxa"/>
            <w:noWrap w:val="0"/>
            <w:vAlign w:val="center"/>
          </w:tcPr>
          <w:p w14:paraId="3A9F1CF0">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SUS304面板+铝合金边框，内部FRP多孔板+隔音岩棉</w:t>
            </w:r>
          </w:p>
        </w:tc>
        <w:tc>
          <w:tcPr>
            <w:tcW w:w="762" w:type="dxa"/>
            <w:noWrap w:val="0"/>
            <w:vAlign w:val="center"/>
          </w:tcPr>
          <w:p w14:paraId="37FD4291">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p>
        </w:tc>
      </w:tr>
      <w:tr w14:paraId="6CF1EE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trPr>
        <w:tc>
          <w:tcPr>
            <w:tcW w:w="9734" w:type="dxa"/>
            <w:gridSpan w:val="4"/>
            <w:noWrap w:val="0"/>
            <w:vAlign w:val="center"/>
          </w:tcPr>
          <w:p w14:paraId="4DCD4D02">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三、收集风管</w:t>
            </w:r>
          </w:p>
        </w:tc>
      </w:tr>
      <w:tr w14:paraId="393A0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trPr>
        <w:tc>
          <w:tcPr>
            <w:tcW w:w="675" w:type="dxa"/>
            <w:noWrap w:val="0"/>
            <w:vAlign w:val="center"/>
          </w:tcPr>
          <w:p w14:paraId="55A13FAA">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701" w:type="dxa"/>
            <w:noWrap w:val="0"/>
            <w:vAlign w:val="center"/>
          </w:tcPr>
          <w:p w14:paraId="561E79E9">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管径</w:t>
            </w:r>
          </w:p>
        </w:tc>
        <w:tc>
          <w:tcPr>
            <w:tcW w:w="6596" w:type="dxa"/>
            <w:noWrap w:val="0"/>
            <w:vAlign w:val="center"/>
          </w:tcPr>
          <w:p w14:paraId="044CFA0C">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主风管截面积＞0.09㎡，支风管截面积＞0.03㎡</w:t>
            </w:r>
          </w:p>
        </w:tc>
        <w:tc>
          <w:tcPr>
            <w:tcW w:w="762" w:type="dxa"/>
            <w:noWrap w:val="0"/>
            <w:vAlign w:val="center"/>
          </w:tcPr>
          <w:p w14:paraId="592E13B7">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p>
        </w:tc>
      </w:tr>
      <w:tr w14:paraId="041A4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trPr>
        <w:tc>
          <w:tcPr>
            <w:tcW w:w="675" w:type="dxa"/>
            <w:noWrap w:val="0"/>
            <w:vAlign w:val="center"/>
          </w:tcPr>
          <w:p w14:paraId="702F8EF8">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701" w:type="dxa"/>
            <w:noWrap w:val="0"/>
            <w:vAlign w:val="center"/>
          </w:tcPr>
          <w:p w14:paraId="69C21DA7">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吸风口</w:t>
            </w:r>
          </w:p>
        </w:tc>
        <w:tc>
          <w:tcPr>
            <w:tcW w:w="6596" w:type="dxa"/>
            <w:noWrap w:val="0"/>
            <w:vAlign w:val="center"/>
          </w:tcPr>
          <w:p w14:paraId="06006D88">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每个压缩基坑左右各布置3各吸风口，每个渗滤液池设置两个吸风口，单个吸风口截面积参照支风管截面积； </w:t>
            </w:r>
          </w:p>
        </w:tc>
        <w:tc>
          <w:tcPr>
            <w:tcW w:w="762" w:type="dxa"/>
            <w:noWrap w:val="0"/>
            <w:vAlign w:val="center"/>
          </w:tcPr>
          <w:p w14:paraId="455A9E4E">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p>
        </w:tc>
      </w:tr>
      <w:tr w14:paraId="77FCD5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trPr>
        <w:tc>
          <w:tcPr>
            <w:tcW w:w="675" w:type="dxa"/>
            <w:noWrap w:val="0"/>
            <w:vAlign w:val="center"/>
          </w:tcPr>
          <w:p w14:paraId="2378629D">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701" w:type="dxa"/>
            <w:noWrap w:val="0"/>
            <w:vAlign w:val="center"/>
          </w:tcPr>
          <w:p w14:paraId="62819F84">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管道敷设</w:t>
            </w:r>
          </w:p>
        </w:tc>
        <w:tc>
          <w:tcPr>
            <w:tcW w:w="6596" w:type="dxa"/>
            <w:noWrap w:val="0"/>
            <w:vAlign w:val="center"/>
          </w:tcPr>
          <w:p w14:paraId="1522F8EC">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收集风管采用地埋敷设，由投标人自行勘测现场后优化设计；所涉及破拆、挖沟、打洞等工序均由投标人自行完成并要求完工后恢复原有大理石地面和墙壁。</w:t>
            </w:r>
          </w:p>
        </w:tc>
        <w:tc>
          <w:tcPr>
            <w:tcW w:w="762" w:type="dxa"/>
            <w:noWrap w:val="0"/>
            <w:vAlign w:val="center"/>
          </w:tcPr>
          <w:p w14:paraId="1786BFC7">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p>
        </w:tc>
      </w:tr>
      <w:tr w14:paraId="0ED2F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trPr>
        <w:tc>
          <w:tcPr>
            <w:tcW w:w="9734" w:type="dxa"/>
            <w:gridSpan w:val="4"/>
            <w:noWrap w:val="0"/>
            <w:vAlign w:val="center"/>
          </w:tcPr>
          <w:p w14:paraId="4E417ACD">
            <w:pPr>
              <w:keepNext w:val="0"/>
              <w:keepLines w:val="0"/>
              <w:pageBreakBefore w:val="0"/>
              <w:widowControl w:val="0"/>
              <w:kinsoku/>
              <w:overflowPunct/>
              <w:topLinePunct w:val="0"/>
              <w:bidi w:val="0"/>
              <w:snapToGrid w:val="0"/>
              <w:spacing w:beforeAutospacing="0" w:afterAutospacing="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数量：离子复合一体化设备1套、风机1台、收集风管若干（现场实际需要）</w:t>
            </w:r>
          </w:p>
          <w:p w14:paraId="428D674B">
            <w:pPr>
              <w:keepNext w:val="0"/>
              <w:keepLines w:val="0"/>
              <w:pageBreakBefore w:val="0"/>
              <w:widowControl w:val="0"/>
              <w:kinsoku/>
              <w:overflowPunct/>
              <w:topLinePunct w:val="0"/>
              <w:bidi w:val="0"/>
              <w:snapToGrid w:val="0"/>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【干式化学吸附滤料】</w:t>
            </w:r>
            <w:r>
              <w:rPr>
                <w:rFonts w:hint="eastAsia" w:ascii="仿宋" w:hAnsi="仿宋" w:eastAsia="仿宋" w:cs="仿宋"/>
                <w:b/>
                <w:bCs/>
                <w:color w:val="auto"/>
                <w:sz w:val="24"/>
                <w:szCs w:val="24"/>
                <w:highlight w:val="none"/>
                <w:lang w:eastAsia="zh-CN"/>
              </w:rPr>
              <w:t>（</w:t>
            </w:r>
            <w:r>
              <w:rPr>
                <w:rFonts w:hint="eastAsia" w:ascii="仿宋" w:hAnsi="仿宋" w:eastAsia="仿宋" w:cs="仿宋"/>
                <w:color w:val="auto"/>
                <w:sz w:val="24"/>
                <w:szCs w:val="24"/>
                <w:highlight w:val="none"/>
                <w:lang w:eastAsia="zh-CN"/>
              </w:rPr>
              <w:t>★</w:t>
            </w:r>
            <w:r>
              <w:rPr>
                <w:rFonts w:hint="eastAsia" w:ascii="仿宋" w:hAnsi="仿宋" w:eastAsia="仿宋" w:cs="仿宋"/>
                <w:b/>
                <w:bCs/>
                <w:color w:val="auto"/>
                <w:sz w:val="24"/>
                <w:szCs w:val="24"/>
                <w:highlight w:val="none"/>
                <w:u w:val="single"/>
                <w:shd w:val="clear" w:color="auto" w:fill="auto"/>
                <w:lang w:val="en-US" w:eastAsia="zh-CN"/>
              </w:rPr>
              <w:t>投标时提供检测报告清晰扫描件</w:t>
            </w:r>
            <w:r>
              <w:rPr>
                <w:rFonts w:hint="eastAsia" w:ascii="仿宋" w:hAnsi="仿宋" w:eastAsia="仿宋" w:cs="仿宋"/>
                <w:b/>
                <w:bCs/>
                <w:color w:val="auto"/>
                <w:sz w:val="24"/>
                <w:szCs w:val="24"/>
                <w:highlight w:val="none"/>
                <w:lang w:eastAsia="zh-CN"/>
              </w:rPr>
              <w:t>）</w:t>
            </w:r>
          </w:p>
          <w:p w14:paraId="3D9F6EC9">
            <w:pPr>
              <w:keepNext w:val="0"/>
              <w:keepLines w:val="0"/>
              <w:pageBreakBefore w:val="0"/>
              <w:widowControl w:val="0"/>
              <w:kinsoku/>
              <w:overflowPunct/>
              <w:topLinePunct w:val="0"/>
              <w:bidi w:val="0"/>
              <w:snapToGrid w:val="0"/>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干式化学滤料成分中氧化镁含量大于8%、高锰酸钠含量大于8%，主要由高活性催化剂促使臭气与滤料发生反应，从而降低臭气浓度达到除臭目的。投标文件内必须附上滤料成分检测报告和臭气去除效率报告。</w:t>
            </w:r>
          </w:p>
          <w:p w14:paraId="24795D88">
            <w:pPr>
              <w:keepNext w:val="0"/>
              <w:keepLines w:val="0"/>
              <w:pageBreakBefore w:val="0"/>
              <w:widowControl w:val="0"/>
              <w:kinsoku/>
              <w:overflowPunct/>
              <w:topLinePunct w:val="0"/>
              <w:bidi w:val="0"/>
              <w:snapToGrid w:val="0"/>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箱体内应包含化学滤料450公斤，指标符合上述要求，投标文件中应提供化学滤料的成分检测报告及臭气去除率报告。</w:t>
            </w:r>
          </w:p>
        </w:tc>
      </w:tr>
    </w:tbl>
    <w:p w14:paraId="10B4E221">
      <w:pPr>
        <w:keepNext w:val="0"/>
        <w:keepLines w:val="0"/>
        <w:pageBreakBefore w:val="0"/>
        <w:widowControl w:val="0"/>
        <w:kinsoku/>
        <w:overflowPunct/>
        <w:topLinePunct w:val="0"/>
        <w:bidi w:val="0"/>
        <w:snapToGrid w:val="0"/>
        <w:spacing w:beforeAutospacing="0" w:afterAutospacing="0" w:line="360" w:lineRule="auto"/>
        <w:outlineLvl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（三）植物液综合处理系统</w:t>
      </w:r>
      <w:r>
        <w:rPr>
          <w:rFonts w:hint="eastAsia" w:ascii="仿宋" w:hAnsi="仿宋" w:eastAsia="仿宋" w:cs="仿宋"/>
          <w:b/>
          <w:color w:val="auto"/>
          <w:sz w:val="24"/>
          <w:szCs w:val="24"/>
          <w:highlight w:val="none"/>
        </w:rPr>
        <w:t>（核心产品）</w:t>
      </w:r>
    </w:p>
    <w:tbl>
      <w:tblPr>
        <w:tblStyle w:val="57"/>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701"/>
        <w:gridCol w:w="6454"/>
        <w:gridCol w:w="762"/>
      </w:tblGrid>
      <w:tr w14:paraId="5FF53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3C98C9BF">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701" w:type="dxa"/>
            <w:noWrap w:val="0"/>
            <w:vAlign w:val="center"/>
          </w:tcPr>
          <w:p w14:paraId="12A001F6">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w:t>
            </w:r>
          </w:p>
        </w:tc>
        <w:tc>
          <w:tcPr>
            <w:tcW w:w="6454" w:type="dxa"/>
            <w:noWrap w:val="0"/>
            <w:vAlign w:val="center"/>
          </w:tcPr>
          <w:p w14:paraId="3211F844">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技术参数及性能描述</w:t>
            </w:r>
          </w:p>
        </w:tc>
        <w:tc>
          <w:tcPr>
            <w:tcW w:w="762" w:type="dxa"/>
            <w:noWrap w:val="0"/>
            <w:vAlign w:val="center"/>
          </w:tcPr>
          <w:p w14:paraId="1F7862AF">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3DD4C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34" w:type="dxa"/>
            <w:gridSpan w:val="4"/>
            <w:noWrap w:val="0"/>
            <w:vAlign w:val="center"/>
          </w:tcPr>
          <w:p w14:paraId="46AE159C">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植物液气化系统</w:t>
            </w:r>
          </w:p>
        </w:tc>
      </w:tr>
      <w:tr w14:paraId="77B70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0004EE30">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701" w:type="dxa"/>
            <w:noWrap w:val="0"/>
            <w:vAlign w:val="center"/>
          </w:tcPr>
          <w:p w14:paraId="3C960CDD">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运行模式</w:t>
            </w:r>
          </w:p>
        </w:tc>
        <w:tc>
          <w:tcPr>
            <w:tcW w:w="6454" w:type="dxa"/>
            <w:noWrap w:val="0"/>
            <w:vAlign w:val="top"/>
          </w:tcPr>
          <w:p w14:paraId="1A63CA23">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多种情景、多时段任意设定</w:t>
            </w:r>
          </w:p>
        </w:tc>
        <w:tc>
          <w:tcPr>
            <w:tcW w:w="762" w:type="dxa"/>
            <w:noWrap w:val="0"/>
            <w:vAlign w:val="top"/>
          </w:tcPr>
          <w:p w14:paraId="33BF86DC">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p>
        </w:tc>
      </w:tr>
      <w:tr w14:paraId="040F5A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07B05988">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701" w:type="dxa"/>
            <w:noWrap w:val="0"/>
            <w:vAlign w:val="center"/>
          </w:tcPr>
          <w:p w14:paraId="303410C3">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控制方式</w:t>
            </w:r>
          </w:p>
        </w:tc>
        <w:tc>
          <w:tcPr>
            <w:tcW w:w="6454" w:type="dxa"/>
            <w:noWrap w:val="0"/>
            <w:vAlign w:val="top"/>
          </w:tcPr>
          <w:p w14:paraId="337259A3">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远程/本地，可实现手动/自动/遥控等多种模式</w:t>
            </w:r>
          </w:p>
        </w:tc>
        <w:tc>
          <w:tcPr>
            <w:tcW w:w="762" w:type="dxa"/>
            <w:noWrap w:val="0"/>
            <w:vAlign w:val="top"/>
          </w:tcPr>
          <w:p w14:paraId="714DDD1D">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p>
        </w:tc>
      </w:tr>
      <w:tr w14:paraId="6CB018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7967C3E5">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701" w:type="dxa"/>
            <w:noWrap w:val="0"/>
            <w:vAlign w:val="center"/>
          </w:tcPr>
          <w:p w14:paraId="20203326">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装机功率</w:t>
            </w:r>
          </w:p>
        </w:tc>
        <w:tc>
          <w:tcPr>
            <w:tcW w:w="6454" w:type="dxa"/>
            <w:noWrap w:val="0"/>
            <w:vAlign w:val="top"/>
          </w:tcPr>
          <w:p w14:paraId="7FF79750">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≦3Kw</w:t>
            </w:r>
          </w:p>
        </w:tc>
        <w:tc>
          <w:tcPr>
            <w:tcW w:w="762" w:type="dxa"/>
            <w:noWrap w:val="0"/>
            <w:vAlign w:val="top"/>
          </w:tcPr>
          <w:p w14:paraId="5F6D4E92">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p>
        </w:tc>
      </w:tr>
      <w:tr w14:paraId="63D2E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34A31351">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701" w:type="dxa"/>
            <w:noWrap w:val="0"/>
            <w:vAlign w:val="center"/>
          </w:tcPr>
          <w:p w14:paraId="09070971">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气化管道</w:t>
            </w:r>
          </w:p>
        </w:tc>
        <w:tc>
          <w:tcPr>
            <w:tcW w:w="6454" w:type="dxa"/>
            <w:noWrap w:val="0"/>
            <w:vAlign w:val="top"/>
          </w:tcPr>
          <w:p w14:paraId="1AB15DA7">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直径不小于9.5mm</w:t>
            </w:r>
          </w:p>
        </w:tc>
        <w:tc>
          <w:tcPr>
            <w:tcW w:w="762" w:type="dxa"/>
            <w:noWrap w:val="0"/>
            <w:vAlign w:val="top"/>
          </w:tcPr>
          <w:p w14:paraId="10EC5772">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p>
        </w:tc>
      </w:tr>
      <w:tr w14:paraId="7CDF0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6F64202A">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701" w:type="dxa"/>
            <w:noWrap w:val="0"/>
            <w:vAlign w:val="center"/>
          </w:tcPr>
          <w:p w14:paraId="736B4E53">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有效管道长度</w:t>
            </w:r>
          </w:p>
        </w:tc>
        <w:tc>
          <w:tcPr>
            <w:tcW w:w="6454" w:type="dxa"/>
            <w:noWrap w:val="0"/>
            <w:vAlign w:val="top"/>
          </w:tcPr>
          <w:p w14:paraId="0B45BD5C">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0—200米可调</w:t>
            </w:r>
          </w:p>
        </w:tc>
        <w:tc>
          <w:tcPr>
            <w:tcW w:w="762" w:type="dxa"/>
            <w:noWrap w:val="0"/>
            <w:vAlign w:val="top"/>
          </w:tcPr>
          <w:p w14:paraId="13AB337E">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p>
        </w:tc>
      </w:tr>
      <w:tr w14:paraId="0DF67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7DAA7DA1">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6</w:t>
            </w:r>
          </w:p>
        </w:tc>
        <w:tc>
          <w:tcPr>
            <w:tcW w:w="1701" w:type="dxa"/>
            <w:noWrap w:val="0"/>
            <w:vAlign w:val="center"/>
          </w:tcPr>
          <w:p w14:paraId="2B1AB263">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气化后液滴直径</w:t>
            </w:r>
          </w:p>
        </w:tc>
        <w:tc>
          <w:tcPr>
            <w:tcW w:w="6454" w:type="dxa"/>
            <w:noWrap w:val="0"/>
            <w:vAlign w:val="center"/>
          </w:tcPr>
          <w:p w14:paraId="367D70B2">
            <w:pPr>
              <w:keepNext w:val="0"/>
              <w:keepLines w:val="0"/>
              <w:pageBreakBefore w:val="0"/>
              <w:widowControl w:val="0"/>
              <w:kinsoku/>
              <w:overflowPunct/>
              <w:topLinePunct w:val="0"/>
              <w:bidi w:val="0"/>
              <w:snapToGrid w:val="0"/>
              <w:spacing w:beforeAutospacing="0" w:afterAutospacing="0" w:line="24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＜0.5μm</w:t>
            </w:r>
          </w:p>
        </w:tc>
        <w:tc>
          <w:tcPr>
            <w:tcW w:w="762" w:type="dxa"/>
            <w:noWrap w:val="0"/>
            <w:vAlign w:val="top"/>
          </w:tcPr>
          <w:p w14:paraId="3E22C6EC">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p>
        </w:tc>
      </w:tr>
      <w:tr w14:paraId="4D8BE4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0A88D3E1">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701" w:type="dxa"/>
            <w:noWrap w:val="0"/>
            <w:vAlign w:val="center"/>
          </w:tcPr>
          <w:p w14:paraId="29A2DEC1">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气化效果</w:t>
            </w:r>
          </w:p>
        </w:tc>
        <w:tc>
          <w:tcPr>
            <w:tcW w:w="6454" w:type="dxa"/>
            <w:noWrap w:val="0"/>
            <w:vAlign w:val="top"/>
          </w:tcPr>
          <w:p w14:paraId="20B7B2F2">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不增加空气湿度</w:t>
            </w:r>
          </w:p>
        </w:tc>
        <w:tc>
          <w:tcPr>
            <w:tcW w:w="762" w:type="dxa"/>
            <w:noWrap w:val="0"/>
            <w:vAlign w:val="top"/>
          </w:tcPr>
          <w:p w14:paraId="699EA433">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p>
        </w:tc>
      </w:tr>
      <w:tr w14:paraId="7F6B8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6330F20C">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8</w:t>
            </w:r>
          </w:p>
        </w:tc>
        <w:tc>
          <w:tcPr>
            <w:tcW w:w="1701" w:type="dxa"/>
            <w:noWrap w:val="0"/>
            <w:vAlign w:val="center"/>
          </w:tcPr>
          <w:p w14:paraId="5083E4D3">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噪音</w:t>
            </w:r>
          </w:p>
        </w:tc>
        <w:tc>
          <w:tcPr>
            <w:tcW w:w="6454" w:type="dxa"/>
            <w:noWrap w:val="0"/>
            <w:vAlign w:val="top"/>
          </w:tcPr>
          <w:p w14:paraId="12592609">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≦50</w:t>
            </w:r>
          </w:p>
        </w:tc>
        <w:tc>
          <w:tcPr>
            <w:tcW w:w="762" w:type="dxa"/>
            <w:noWrap w:val="0"/>
            <w:vAlign w:val="top"/>
          </w:tcPr>
          <w:p w14:paraId="1FD6FC80">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p>
        </w:tc>
      </w:tr>
      <w:tr w14:paraId="7905B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4D3D557B">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701" w:type="dxa"/>
            <w:noWrap w:val="0"/>
            <w:vAlign w:val="center"/>
          </w:tcPr>
          <w:p w14:paraId="2DC6C722">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气化头安装</w:t>
            </w:r>
          </w:p>
        </w:tc>
        <w:tc>
          <w:tcPr>
            <w:tcW w:w="6454" w:type="dxa"/>
            <w:noWrap w:val="0"/>
            <w:vAlign w:val="top"/>
          </w:tcPr>
          <w:p w14:paraId="273A98E7">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管道开孔</w:t>
            </w:r>
          </w:p>
        </w:tc>
        <w:tc>
          <w:tcPr>
            <w:tcW w:w="762" w:type="dxa"/>
            <w:noWrap w:val="0"/>
            <w:vAlign w:val="top"/>
          </w:tcPr>
          <w:p w14:paraId="61CB08F2">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p>
        </w:tc>
      </w:tr>
      <w:tr w14:paraId="68679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34" w:type="dxa"/>
            <w:gridSpan w:val="4"/>
            <w:noWrap w:val="0"/>
            <w:vAlign w:val="center"/>
          </w:tcPr>
          <w:p w14:paraId="23DACAB1">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数量：植物液气化设备1套（出风口＞12）、植物液雾化设备1套（雾化喷头＞12）</w:t>
            </w:r>
          </w:p>
          <w:p w14:paraId="17558588">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【植物精油气化系统】</w:t>
            </w:r>
          </w:p>
          <w:p w14:paraId="41D1C75D">
            <w:pPr>
              <w:keepNext w:val="0"/>
              <w:keepLines w:val="0"/>
              <w:pageBreakBefore w:val="0"/>
              <w:widowControl w:val="0"/>
              <w:kinsoku/>
              <w:overflowPunct/>
              <w:topLinePunct w:val="0"/>
              <w:bidi w:val="0"/>
              <w:snapToGrid w:val="0"/>
              <w:spacing w:beforeAutospacing="0" w:afterAutospacing="0" w:line="24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植物液气化装置是将高浓度的植物精油，直接通过专用设备将精油气化，并通过小型风机将其发送至空间各处，与空气中的致臭污染物反应，以达到消除恶臭的目。</w:t>
            </w:r>
          </w:p>
          <w:p w14:paraId="5540C980">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【植物液气化系统】</w:t>
            </w:r>
          </w:p>
          <w:p w14:paraId="0E055B26">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植物液雾化系统装置是将稀释后的植物液均匀的喷洒在转运站的整个空间，从而消除扬尘并改善异味状况。</w:t>
            </w:r>
          </w:p>
          <w:p w14:paraId="4D0287E3">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【天</w:t>
            </w:r>
            <w:r>
              <w:rPr>
                <w:rFonts w:hint="eastAsia" w:ascii="仿宋" w:hAnsi="仿宋" w:eastAsia="仿宋" w:cs="仿宋"/>
                <w:color w:val="auto"/>
                <w:sz w:val="24"/>
                <w:szCs w:val="24"/>
                <w:highlight w:val="none"/>
                <w:shd w:val="clear" w:color="auto" w:fill="auto"/>
              </w:rPr>
              <w:t>然植物液】</w:t>
            </w:r>
            <w:r>
              <w:rPr>
                <w:rFonts w:hint="eastAsia" w:ascii="仿宋" w:hAnsi="仿宋" w:eastAsia="仿宋" w:cs="仿宋"/>
                <w:b/>
                <w:bCs/>
                <w:color w:val="auto"/>
                <w:sz w:val="24"/>
                <w:szCs w:val="24"/>
                <w:highlight w:val="none"/>
                <w:shd w:val="clear" w:color="auto" w:fill="auto"/>
                <w:lang w:eastAsia="zh-CN"/>
              </w:rPr>
              <w:t>（</w:t>
            </w:r>
            <w:r>
              <w:rPr>
                <w:rFonts w:hint="eastAsia" w:ascii="仿宋" w:hAnsi="仿宋" w:eastAsia="仿宋" w:cs="仿宋"/>
                <w:color w:val="auto"/>
                <w:sz w:val="24"/>
                <w:szCs w:val="24"/>
                <w:highlight w:val="none"/>
                <w:lang w:eastAsia="zh-CN"/>
              </w:rPr>
              <w:t>★</w:t>
            </w:r>
            <w:r>
              <w:rPr>
                <w:rFonts w:hint="eastAsia" w:ascii="仿宋" w:hAnsi="仿宋" w:eastAsia="仿宋" w:cs="仿宋"/>
                <w:b/>
                <w:bCs/>
                <w:color w:val="auto"/>
                <w:sz w:val="24"/>
                <w:szCs w:val="24"/>
                <w:highlight w:val="none"/>
                <w:u w:val="single"/>
                <w:shd w:val="clear" w:color="auto" w:fill="auto"/>
                <w:lang w:val="en-US" w:eastAsia="zh-CN"/>
              </w:rPr>
              <w:t>投标时提供检测报告清晰扫描件</w:t>
            </w:r>
            <w:r>
              <w:rPr>
                <w:rFonts w:hint="eastAsia" w:ascii="仿宋" w:hAnsi="仿宋" w:eastAsia="仿宋" w:cs="仿宋"/>
                <w:b/>
                <w:bCs/>
                <w:color w:val="auto"/>
                <w:sz w:val="24"/>
                <w:szCs w:val="24"/>
                <w:highlight w:val="none"/>
                <w:shd w:val="clear" w:color="auto" w:fill="auto"/>
                <w:lang w:eastAsia="zh-CN"/>
              </w:rPr>
              <w:t>）</w:t>
            </w:r>
          </w:p>
          <w:p w14:paraId="6D26A232">
            <w:pPr>
              <w:keepNext w:val="0"/>
              <w:keepLines w:val="0"/>
              <w:pageBreakBefore w:val="0"/>
              <w:widowControl w:val="0"/>
              <w:kinsoku/>
              <w:overflowPunct/>
              <w:topLinePunct w:val="0"/>
              <w:bidi w:val="0"/>
              <w:snapToGrid w:val="0"/>
              <w:spacing w:beforeAutospacing="0" w:afterAutospacing="0" w:line="24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为确保植物除臭剂的除臭效果，投标文件必须提供植物除臭剂的臭气去除率检测报告。</w:t>
            </w:r>
          </w:p>
          <w:p w14:paraId="7B0766EB">
            <w:pPr>
              <w:keepNext w:val="0"/>
              <w:keepLines w:val="0"/>
              <w:pageBreakBefore w:val="0"/>
              <w:widowControl w:val="0"/>
              <w:kinsoku/>
              <w:overflowPunct/>
              <w:topLinePunct w:val="0"/>
              <w:bidi w:val="0"/>
              <w:snapToGrid w:val="0"/>
              <w:spacing w:beforeAutospacing="0" w:afterAutospacing="0" w:line="24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为确保植物除臭剂的安全性，投标文件必须提供植物除臭剂经过了“小鼠急性口毒性试验、小鼠急性吸入毒性试验”的检测报告，检验结果应为实际无毒级。</w:t>
            </w:r>
          </w:p>
        </w:tc>
      </w:tr>
    </w:tbl>
    <w:p w14:paraId="3A58147F">
      <w:pPr>
        <w:keepNext w:val="0"/>
        <w:keepLines w:val="0"/>
        <w:pageBreakBefore w:val="0"/>
        <w:widowControl w:val="0"/>
        <w:kinsoku/>
        <w:overflowPunct/>
        <w:topLinePunct w:val="0"/>
        <w:bidi w:val="0"/>
        <w:snapToGrid w:val="0"/>
        <w:spacing w:beforeAutospacing="0" w:afterAutospacing="0" w:line="360" w:lineRule="auto"/>
        <w:outlineLvl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（四）离子新风系统</w:t>
      </w:r>
    </w:p>
    <w:tbl>
      <w:tblPr>
        <w:tblStyle w:val="57"/>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859"/>
        <w:gridCol w:w="6325"/>
        <w:gridCol w:w="886"/>
      </w:tblGrid>
      <w:tr w14:paraId="4F8BA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675" w:type="dxa"/>
            <w:noWrap w:val="0"/>
            <w:vAlign w:val="center"/>
          </w:tcPr>
          <w:p w14:paraId="0DE47A8A">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859" w:type="dxa"/>
            <w:noWrap w:val="0"/>
            <w:vAlign w:val="center"/>
          </w:tcPr>
          <w:p w14:paraId="49F2BC66">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w:t>
            </w:r>
          </w:p>
        </w:tc>
        <w:tc>
          <w:tcPr>
            <w:tcW w:w="6325" w:type="dxa"/>
            <w:noWrap w:val="0"/>
            <w:vAlign w:val="center"/>
          </w:tcPr>
          <w:p w14:paraId="16E54CAE">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技术参数及性能描述</w:t>
            </w:r>
          </w:p>
        </w:tc>
        <w:tc>
          <w:tcPr>
            <w:tcW w:w="886" w:type="dxa"/>
            <w:noWrap w:val="0"/>
            <w:vAlign w:val="center"/>
          </w:tcPr>
          <w:p w14:paraId="291A1C83">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22B51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675" w:type="dxa"/>
            <w:noWrap w:val="0"/>
            <w:vAlign w:val="center"/>
          </w:tcPr>
          <w:p w14:paraId="458C396C">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859" w:type="dxa"/>
            <w:noWrap w:val="0"/>
            <w:vAlign w:val="center"/>
          </w:tcPr>
          <w:p w14:paraId="0042362E">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设备外形尺寸</w:t>
            </w:r>
          </w:p>
        </w:tc>
        <w:tc>
          <w:tcPr>
            <w:tcW w:w="6325" w:type="dxa"/>
            <w:noWrap w:val="0"/>
            <w:vAlign w:val="top"/>
          </w:tcPr>
          <w:p w14:paraId="21C77496">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500×500×900mm</w:t>
            </w:r>
          </w:p>
        </w:tc>
        <w:tc>
          <w:tcPr>
            <w:tcW w:w="886" w:type="dxa"/>
            <w:noWrap w:val="0"/>
            <w:vAlign w:val="top"/>
          </w:tcPr>
          <w:p w14:paraId="11676025">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p>
        </w:tc>
      </w:tr>
      <w:tr w14:paraId="5D52A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675" w:type="dxa"/>
            <w:noWrap w:val="0"/>
            <w:vAlign w:val="center"/>
          </w:tcPr>
          <w:p w14:paraId="6A4D13A5">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w:t>
            </w:r>
          </w:p>
        </w:tc>
        <w:tc>
          <w:tcPr>
            <w:tcW w:w="1859" w:type="dxa"/>
            <w:noWrap w:val="0"/>
            <w:vAlign w:val="center"/>
          </w:tcPr>
          <w:p w14:paraId="7EDA7DAF">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设计风量</w:t>
            </w:r>
          </w:p>
        </w:tc>
        <w:tc>
          <w:tcPr>
            <w:tcW w:w="6325" w:type="dxa"/>
            <w:noWrap w:val="0"/>
            <w:vAlign w:val="top"/>
          </w:tcPr>
          <w:p w14:paraId="54D3BBA8">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1600 m³/h/台</w:t>
            </w:r>
          </w:p>
        </w:tc>
        <w:tc>
          <w:tcPr>
            <w:tcW w:w="886" w:type="dxa"/>
            <w:noWrap w:val="0"/>
            <w:vAlign w:val="top"/>
          </w:tcPr>
          <w:p w14:paraId="27A026D8">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p>
        </w:tc>
      </w:tr>
      <w:tr w14:paraId="174E2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675" w:type="dxa"/>
            <w:noWrap w:val="0"/>
            <w:vAlign w:val="center"/>
          </w:tcPr>
          <w:p w14:paraId="5F15726C">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3</w:t>
            </w:r>
          </w:p>
        </w:tc>
        <w:tc>
          <w:tcPr>
            <w:tcW w:w="1859" w:type="dxa"/>
            <w:noWrap w:val="0"/>
            <w:vAlign w:val="center"/>
          </w:tcPr>
          <w:p w14:paraId="34C3C1E1">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装机功率</w:t>
            </w:r>
          </w:p>
        </w:tc>
        <w:tc>
          <w:tcPr>
            <w:tcW w:w="6325" w:type="dxa"/>
            <w:noWrap w:val="0"/>
            <w:vAlign w:val="top"/>
          </w:tcPr>
          <w:p w14:paraId="0C7365F8">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500W</w:t>
            </w:r>
          </w:p>
        </w:tc>
        <w:tc>
          <w:tcPr>
            <w:tcW w:w="886" w:type="dxa"/>
            <w:noWrap w:val="0"/>
            <w:vAlign w:val="top"/>
          </w:tcPr>
          <w:p w14:paraId="48BE7FBC">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p>
        </w:tc>
      </w:tr>
      <w:tr w14:paraId="65AB5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675" w:type="dxa"/>
            <w:noWrap w:val="0"/>
            <w:vAlign w:val="center"/>
          </w:tcPr>
          <w:p w14:paraId="20E0B363">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4</w:t>
            </w:r>
          </w:p>
        </w:tc>
        <w:tc>
          <w:tcPr>
            <w:tcW w:w="1859" w:type="dxa"/>
            <w:noWrap w:val="0"/>
            <w:vAlign w:val="center"/>
          </w:tcPr>
          <w:p w14:paraId="3B5AD91E">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噪声</w:t>
            </w:r>
          </w:p>
        </w:tc>
        <w:tc>
          <w:tcPr>
            <w:tcW w:w="6325" w:type="dxa"/>
            <w:noWrap w:val="0"/>
            <w:vAlign w:val="top"/>
          </w:tcPr>
          <w:p w14:paraId="26FF48BF">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50dB（A）</w:t>
            </w:r>
          </w:p>
        </w:tc>
        <w:tc>
          <w:tcPr>
            <w:tcW w:w="886" w:type="dxa"/>
            <w:noWrap w:val="0"/>
            <w:vAlign w:val="top"/>
          </w:tcPr>
          <w:p w14:paraId="0955D85A">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p>
        </w:tc>
      </w:tr>
      <w:tr w14:paraId="40CEB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675" w:type="dxa"/>
            <w:noWrap w:val="0"/>
            <w:vAlign w:val="center"/>
          </w:tcPr>
          <w:p w14:paraId="70943B4E">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5</w:t>
            </w:r>
          </w:p>
        </w:tc>
        <w:tc>
          <w:tcPr>
            <w:tcW w:w="1859" w:type="dxa"/>
            <w:noWrap w:val="0"/>
            <w:vAlign w:val="center"/>
          </w:tcPr>
          <w:p w14:paraId="70D2F04F">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离子数</w:t>
            </w:r>
          </w:p>
        </w:tc>
        <w:tc>
          <w:tcPr>
            <w:tcW w:w="6325" w:type="dxa"/>
            <w:noWrap w:val="0"/>
            <w:vAlign w:val="top"/>
          </w:tcPr>
          <w:p w14:paraId="038CA088">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200～800万个/cm³可调</w:t>
            </w:r>
          </w:p>
        </w:tc>
        <w:tc>
          <w:tcPr>
            <w:tcW w:w="886" w:type="dxa"/>
            <w:noWrap w:val="0"/>
            <w:vAlign w:val="top"/>
          </w:tcPr>
          <w:p w14:paraId="1F84382B">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p>
        </w:tc>
      </w:tr>
      <w:tr w14:paraId="5EBC8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675" w:type="dxa"/>
            <w:noWrap w:val="0"/>
            <w:vAlign w:val="center"/>
          </w:tcPr>
          <w:p w14:paraId="5042934B">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859" w:type="dxa"/>
            <w:noWrap w:val="0"/>
            <w:vAlign w:val="center"/>
          </w:tcPr>
          <w:p w14:paraId="1D3A1A68">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循环管路</w:t>
            </w:r>
          </w:p>
        </w:tc>
        <w:tc>
          <w:tcPr>
            <w:tcW w:w="6325" w:type="dxa"/>
            <w:noWrap w:val="0"/>
            <w:vAlign w:val="top"/>
          </w:tcPr>
          <w:p w14:paraId="30FE74D8">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隐蔽布管，口径根据现场定制</w:t>
            </w:r>
          </w:p>
        </w:tc>
        <w:tc>
          <w:tcPr>
            <w:tcW w:w="886" w:type="dxa"/>
            <w:noWrap w:val="0"/>
            <w:vAlign w:val="top"/>
          </w:tcPr>
          <w:p w14:paraId="25E72F7B">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p>
        </w:tc>
      </w:tr>
      <w:tr w14:paraId="55C6DE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675" w:type="dxa"/>
            <w:noWrap w:val="0"/>
            <w:vAlign w:val="center"/>
          </w:tcPr>
          <w:p w14:paraId="7C0F8C13">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859" w:type="dxa"/>
            <w:noWrap w:val="0"/>
            <w:vAlign w:val="center"/>
          </w:tcPr>
          <w:p w14:paraId="2DE53DF8">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风口</w:t>
            </w:r>
          </w:p>
        </w:tc>
        <w:tc>
          <w:tcPr>
            <w:tcW w:w="6325" w:type="dxa"/>
            <w:noWrap w:val="0"/>
            <w:vAlign w:val="top"/>
          </w:tcPr>
          <w:p w14:paraId="449566E0">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采用球形喷流风口，可在正负30度的范围内通过人工或电动方式摆动，具有送风距离远、噪声小等特点。</w:t>
            </w:r>
          </w:p>
        </w:tc>
        <w:tc>
          <w:tcPr>
            <w:tcW w:w="886" w:type="dxa"/>
            <w:noWrap w:val="0"/>
            <w:vAlign w:val="top"/>
          </w:tcPr>
          <w:p w14:paraId="1C0783F6">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p>
        </w:tc>
      </w:tr>
      <w:tr w14:paraId="5E3132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675" w:type="dxa"/>
            <w:noWrap w:val="0"/>
            <w:vAlign w:val="center"/>
          </w:tcPr>
          <w:p w14:paraId="4B209504">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859" w:type="dxa"/>
            <w:noWrap w:val="0"/>
            <w:vAlign w:val="center"/>
          </w:tcPr>
          <w:p w14:paraId="73BCFB37">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装备特点</w:t>
            </w:r>
          </w:p>
        </w:tc>
        <w:tc>
          <w:tcPr>
            <w:tcW w:w="6325" w:type="dxa"/>
            <w:noWrap w:val="0"/>
            <w:vAlign w:val="top"/>
          </w:tcPr>
          <w:p w14:paraId="23A75BF5">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离子发生装置外部不带电，安全可靠；采用AC交流电，功率低，能耗小。</w:t>
            </w:r>
          </w:p>
        </w:tc>
        <w:tc>
          <w:tcPr>
            <w:tcW w:w="886" w:type="dxa"/>
            <w:noWrap w:val="0"/>
            <w:vAlign w:val="top"/>
          </w:tcPr>
          <w:p w14:paraId="76127911">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p>
        </w:tc>
      </w:tr>
      <w:tr w14:paraId="1766C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9745" w:type="dxa"/>
            <w:gridSpan w:val="4"/>
            <w:noWrap w:val="0"/>
            <w:vAlign w:val="center"/>
          </w:tcPr>
          <w:p w14:paraId="344BC2A8">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数量：离子新风设备1套、循环管路若干（现场实际需要）</w:t>
            </w:r>
          </w:p>
          <w:p w14:paraId="1FBD7C90">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【离子发生器】采用管式发生器，单组7支，离子量＞40万，金属采用316不锈钢，塑料部分采用聚碳酸树脂。</w:t>
            </w:r>
          </w:p>
        </w:tc>
      </w:tr>
    </w:tbl>
    <w:p w14:paraId="6FEC1C9C">
      <w:pPr>
        <w:keepNext w:val="0"/>
        <w:keepLines w:val="0"/>
        <w:pageBreakBefore w:val="0"/>
        <w:widowControl w:val="0"/>
        <w:kinsoku/>
        <w:overflowPunct/>
        <w:topLinePunct w:val="0"/>
        <w:bidi w:val="0"/>
        <w:snapToGrid w:val="0"/>
        <w:spacing w:beforeAutospacing="0" w:afterAutospacing="0" w:line="360" w:lineRule="auto"/>
        <w:outlineLvl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（五）中央控制系统系统</w:t>
      </w:r>
    </w:p>
    <w:tbl>
      <w:tblPr>
        <w:tblStyle w:val="57"/>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560"/>
        <w:gridCol w:w="6635"/>
        <w:gridCol w:w="864"/>
      </w:tblGrid>
      <w:tr w14:paraId="27BAE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675" w:type="dxa"/>
            <w:noWrap w:val="0"/>
            <w:vAlign w:val="center"/>
          </w:tcPr>
          <w:p w14:paraId="51C42D4A">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560" w:type="dxa"/>
            <w:noWrap w:val="0"/>
            <w:vAlign w:val="center"/>
          </w:tcPr>
          <w:p w14:paraId="027364CC">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w:t>
            </w:r>
          </w:p>
        </w:tc>
        <w:tc>
          <w:tcPr>
            <w:tcW w:w="6635" w:type="dxa"/>
            <w:noWrap w:val="0"/>
            <w:vAlign w:val="center"/>
          </w:tcPr>
          <w:p w14:paraId="79E20546">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技术参数及性能描述</w:t>
            </w:r>
          </w:p>
        </w:tc>
        <w:tc>
          <w:tcPr>
            <w:tcW w:w="864" w:type="dxa"/>
            <w:noWrap w:val="0"/>
            <w:vAlign w:val="center"/>
          </w:tcPr>
          <w:p w14:paraId="426D82F0">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5D229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675" w:type="dxa"/>
            <w:noWrap w:val="0"/>
            <w:vAlign w:val="center"/>
          </w:tcPr>
          <w:p w14:paraId="18AA6D63">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60" w:type="dxa"/>
            <w:noWrap w:val="0"/>
            <w:vAlign w:val="center"/>
          </w:tcPr>
          <w:p w14:paraId="5EB70395">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控制柜尺寸</w:t>
            </w:r>
          </w:p>
        </w:tc>
        <w:tc>
          <w:tcPr>
            <w:tcW w:w="6635" w:type="dxa"/>
            <w:noWrap w:val="0"/>
            <w:vAlign w:val="top"/>
          </w:tcPr>
          <w:p w14:paraId="109799C4">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材质为304不锈钢，尺寸</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1850×800×600mm</w:t>
            </w:r>
          </w:p>
        </w:tc>
        <w:tc>
          <w:tcPr>
            <w:tcW w:w="864" w:type="dxa"/>
            <w:noWrap w:val="0"/>
            <w:vAlign w:val="top"/>
          </w:tcPr>
          <w:p w14:paraId="20F84E1E">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p>
        </w:tc>
      </w:tr>
      <w:tr w14:paraId="1C001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675" w:type="dxa"/>
            <w:noWrap w:val="0"/>
            <w:vAlign w:val="center"/>
          </w:tcPr>
          <w:p w14:paraId="15088A3E">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560" w:type="dxa"/>
            <w:noWrap w:val="0"/>
            <w:vAlign w:val="center"/>
          </w:tcPr>
          <w:p w14:paraId="01A5B20C">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主要元器件</w:t>
            </w:r>
          </w:p>
        </w:tc>
        <w:tc>
          <w:tcPr>
            <w:tcW w:w="6635" w:type="dxa"/>
            <w:noWrap w:val="0"/>
            <w:vAlign w:val="top"/>
          </w:tcPr>
          <w:p w14:paraId="349B3786">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符合国标要求</w:t>
            </w:r>
          </w:p>
        </w:tc>
        <w:tc>
          <w:tcPr>
            <w:tcW w:w="864" w:type="dxa"/>
            <w:noWrap w:val="0"/>
            <w:vAlign w:val="top"/>
          </w:tcPr>
          <w:p w14:paraId="0B1C7D9B">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p>
        </w:tc>
      </w:tr>
      <w:tr w14:paraId="0A5EB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675" w:type="dxa"/>
            <w:noWrap w:val="0"/>
            <w:vAlign w:val="center"/>
          </w:tcPr>
          <w:p w14:paraId="37136A6E">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560" w:type="dxa"/>
            <w:noWrap w:val="0"/>
            <w:vAlign w:val="center"/>
          </w:tcPr>
          <w:p w14:paraId="09D8FEDF">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PLC</w:t>
            </w:r>
          </w:p>
        </w:tc>
        <w:tc>
          <w:tcPr>
            <w:tcW w:w="6635" w:type="dxa"/>
            <w:noWrap w:val="0"/>
            <w:vAlign w:val="top"/>
          </w:tcPr>
          <w:p w14:paraId="60D430B2">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符合国标要求</w:t>
            </w:r>
          </w:p>
        </w:tc>
        <w:tc>
          <w:tcPr>
            <w:tcW w:w="864" w:type="dxa"/>
            <w:noWrap w:val="0"/>
            <w:vAlign w:val="top"/>
          </w:tcPr>
          <w:p w14:paraId="2BEF29D6">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p>
        </w:tc>
      </w:tr>
      <w:tr w14:paraId="60838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675" w:type="dxa"/>
            <w:noWrap w:val="0"/>
            <w:vAlign w:val="center"/>
          </w:tcPr>
          <w:p w14:paraId="2AA45BE2">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560" w:type="dxa"/>
            <w:noWrap w:val="0"/>
            <w:vAlign w:val="center"/>
          </w:tcPr>
          <w:p w14:paraId="5E029EFE">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变频器</w:t>
            </w:r>
          </w:p>
        </w:tc>
        <w:tc>
          <w:tcPr>
            <w:tcW w:w="6635" w:type="dxa"/>
            <w:noWrap w:val="0"/>
            <w:vAlign w:val="top"/>
          </w:tcPr>
          <w:p w14:paraId="2EDA3402">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符合国标要求</w:t>
            </w:r>
          </w:p>
        </w:tc>
        <w:tc>
          <w:tcPr>
            <w:tcW w:w="864" w:type="dxa"/>
            <w:noWrap w:val="0"/>
            <w:vAlign w:val="top"/>
          </w:tcPr>
          <w:p w14:paraId="4E7BCBC2">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p>
        </w:tc>
      </w:tr>
      <w:tr w14:paraId="3BB4E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675" w:type="dxa"/>
            <w:noWrap w:val="0"/>
            <w:vAlign w:val="center"/>
          </w:tcPr>
          <w:p w14:paraId="39510D16">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560" w:type="dxa"/>
            <w:noWrap w:val="0"/>
            <w:vAlign w:val="center"/>
          </w:tcPr>
          <w:p w14:paraId="2FC76436">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HMI</w:t>
            </w:r>
          </w:p>
        </w:tc>
        <w:tc>
          <w:tcPr>
            <w:tcW w:w="6635" w:type="dxa"/>
            <w:noWrap w:val="0"/>
            <w:vAlign w:val="top"/>
          </w:tcPr>
          <w:p w14:paraId="6691D3BB">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符合国标要求</w:t>
            </w:r>
          </w:p>
        </w:tc>
        <w:tc>
          <w:tcPr>
            <w:tcW w:w="864" w:type="dxa"/>
            <w:noWrap w:val="0"/>
            <w:vAlign w:val="top"/>
          </w:tcPr>
          <w:p w14:paraId="3AB2AE5A">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p>
        </w:tc>
      </w:tr>
      <w:tr w14:paraId="02A253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675" w:type="dxa"/>
            <w:noWrap w:val="0"/>
            <w:vAlign w:val="center"/>
          </w:tcPr>
          <w:p w14:paraId="49B71A6F">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560" w:type="dxa"/>
            <w:noWrap w:val="0"/>
            <w:vAlign w:val="center"/>
          </w:tcPr>
          <w:p w14:paraId="1DCD23E9">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传感器</w:t>
            </w:r>
          </w:p>
        </w:tc>
        <w:tc>
          <w:tcPr>
            <w:tcW w:w="6635" w:type="dxa"/>
            <w:noWrap w:val="0"/>
            <w:vAlign w:val="top"/>
          </w:tcPr>
          <w:p w14:paraId="3373559D">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符合国标要求</w:t>
            </w:r>
          </w:p>
        </w:tc>
        <w:tc>
          <w:tcPr>
            <w:tcW w:w="864" w:type="dxa"/>
            <w:noWrap w:val="0"/>
            <w:vAlign w:val="top"/>
          </w:tcPr>
          <w:p w14:paraId="3A20A6E1">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p>
        </w:tc>
      </w:tr>
      <w:tr w14:paraId="42E83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675" w:type="dxa"/>
            <w:noWrap w:val="0"/>
            <w:vAlign w:val="center"/>
          </w:tcPr>
          <w:p w14:paraId="64288D0C">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560" w:type="dxa"/>
            <w:noWrap w:val="0"/>
            <w:vAlign w:val="center"/>
          </w:tcPr>
          <w:p w14:paraId="70FB84DF">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电线电缆</w:t>
            </w:r>
          </w:p>
        </w:tc>
        <w:tc>
          <w:tcPr>
            <w:tcW w:w="6635" w:type="dxa"/>
            <w:noWrap w:val="0"/>
            <w:vAlign w:val="top"/>
          </w:tcPr>
          <w:p w14:paraId="63467ECD">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符合国标要求</w:t>
            </w:r>
          </w:p>
        </w:tc>
        <w:tc>
          <w:tcPr>
            <w:tcW w:w="864" w:type="dxa"/>
            <w:noWrap w:val="0"/>
            <w:vAlign w:val="top"/>
          </w:tcPr>
          <w:p w14:paraId="6610D328">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p>
        </w:tc>
      </w:tr>
      <w:tr w14:paraId="6140D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675" w:type="dxa"/>
            <w:noWrap w:val="0"/>
            <w:vAlign w:val="center"/>
          </w:tcPr>
          <w:p w14:paraId="032C0639">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560" w:type="dxa"/>
            <w:noWrap w:val="0"/>
            <w:vAlign w:val="center"/>
          </w:tcPr>
          <w:p w14:paraId="59881492">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整体要求</w:t>
            </w:r>
          </w:p>
        </w:tc>
        <w:tc>
          <w:tcPr>
            <w:tcW w:w="6635" w:type="dxa"/>
            <w:noWrap w:val="0"/>
            <w:vAlign w:val="top"/>
          </w:tcPr>
          <w:p w14:paraId="42597053">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系统稳定：设备运行各系统不可出现故障影响系统安全。</w:t>
            </w:r>
          </w:p>
          <w:p w14:paraId="507B2DDE">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安全性高：设备整体运行中会</w:t>
            </w:r>
            <w:r>
              <w:rPr>
                <w:rFonts w:hint="eastAsia" w:ascii="仿宋" w:hAnsi="仿宋" w:eastAsia="仿宋" w:cs="仿宋"/>
                <w:color w:val="auto"/>
                <w:sz w:val="24"/>
                <w:szCs w:val="24"/>
                <w:highlight w:val="none"/>
                <w:lang w:val="en-US" w:eastAsia="zh-CN"/>
              </w:rPr>
              <w:t>涉及</w:t>
            </w:r>
            <w:r>
              <w:rPr>
                <w:rFonts w:hint="eastAsia" w:ascii="仿宋" w:hAnsi="仿宋" w:eastAsia="仿宋" w:cs="仿宋"/>
                <w:color w:val="auto"/>
                <w:sz w:val="24"/>
                <w:szCs w:val="24"/>
                <w:highlight w:val="none"/>
              </w:rPr>
              <w:t>人员进出，所以设备必须要有很好的安全措施防止造成人员事故，电控必须要有多重安全保障连锁在里面，确保万无一失。</w:t>
            </w:r>
          </w:p>
          <w:p w14:paraId="19EF387F">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控制要求：根据系统和客户要求整体系统可以在上位机上控制，可以在上位机显示各个设备运行状态，系统数据，可通过上位机实现远程启停及参数设置。</w:t>
            </w:r>
          </w:p>
          <w:p w14:paraId="14969EB4">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云控制：客户可以在异地对整体系统的运行状态实时掌握，实现故障实时传送，以及实现在异地可以对设备进行控制，即云服务。</w:t>
            </w:r>
          </w:p>
        </w:tc>
        <w:tc>
          <w:tcPr>
            <w:tcW w:w="864" w:type="dxa"/>
            <w:noWrap w:val="0"/>
            <w:vAlign w:val="top"/>
          </w:tcPr>
          <w:p w14:paraId="17FA08D1">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p>
        </w:tc>
      </w:tr>
      <w:tr w14:paraId="07E05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9734" w:type="dxa"/>
            <w:gridSpan w:val="4"/>
            <w:noWrap w:val="0"/>
            <w:vAlign w:val="center"/>
          </w:tcPr>
          <w:p w14:paraId="738B0D8C">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数量：电控柜2套（动力柜、系统柜各一）</w:t>
            </w:r>
          </w:p>
        </w:tc>
      </w:tr>
    </w:tbl>
    <w:p w14:paraId="269F4115">
      <w:pPr>
        <w:keepNext w:val="0"/>
        <w:keepLines w:val="0"/>
        <w:pageBreakBefore w:val="0"/>
        <w:widowControl w:val="0"/>
        <w:kinsoku/>
        <w:overflowPunct/>
        <w:topLinePunct w:val="0"/>
        <w:bidi w:val="0"/>
        <w:snapToGrid w:val="0"/>
        <w:spacing w:beforeAutospacing="0" w:afterAutospacing="0" w:line="360" w:lineRule="auto"/>
        <w:outlineLvl w:val="1"/>
        <w:rPr>
          <w:rFonts w:hint="eastAsia" w:ascii="仿宋" w:hAnsi="仿宋" w:eastAsia="仿宋" w:cs="仿宋"/>
          <w:b/>
          <w:bCs/>
          <w:color w:val="auto"/>
          <w:sz w:val="24"/>
          <w:szCs w:val="24"/>
          <w:highlight w:val="none"/>
          <w:lang w:val="en-US" w:eastAsia="zh-CN"/>
        </w:rPr>
      </w:pPr>
      <w:bookmarkStart w:id="73" w:name="_Toc27568"/>
      <w:bookmarkEnd w:id="73"/>
      <w:r>
        <w:rPr>
          <w:rFonts w:hint="eastAsia" w:ascii="仿宋" w:hAnsi="仿宋" w:eastAsia="仿宋" w:cs="仿宋"/>
          <w:b/>
          <w:bCs/>
          <w:color w:val="auto"/>
          <w:sz w:val="24"/>
          <w:szCs w:val="24"/>
          <w:highlight w:val="none"/>
          <w:lang w:val="en-US" w:eastAsia="zh-CN"/>
        </w:rPr>
        <w:t>六、</w:t>
      </w:r>
      <w:r>
        <w:rPr>
          <w:rFonts w:hint="eastAsia" w:ascii="仿宋" w:hAnsi="仿宋" w:eastAsia="仿宋" w:cs="仿宋"/>
          <w:b/>
          <w:bCs/>
          <w:color w:val="auto"/>
          <w:sz w:val="24"/>
          <w:szCs w:val="24"/>
          <w:highlight w:val="none"/>
        </w:rPr>
        <w:t>验货检测及验收达标检测。</w:t>
      </w:r>
    </w:p>
    <w:p w14:paraId="28858618">
      <w:pPr>
        <w:keepNext w:val="0"/>
        <w:keepLines w:val="0"/>
        <w:pageBreakBefore w:val="0"/>
        <w:widowControl w:val="0"/>
        <w:kinsoku/>
        <w:overflowPunct/>
        <w:topLinePunct w:val="0"/>
        <w:bidi w:val="0"/>
        <w:snapToGrid w:val="0"/>
        <w:spacing w:beforeAutospacing="0" w:afterAutospacing="0"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工程竣工验收时，必须经过</w:t>
      </w:r>
      <w:r>
        <w:rPr>
          <w:rFonts w:hint="eastAsia" w:ascii="仿宋" w:hAnsi="仿宋" w:eastAsia="仿宋" w:cs="仿宋"/>
          <w:color w:val="auto"/>
          <w:sz w:val="24"/>
          <w:szCs w:val="24"/>
          <w:highlight w:val="none"/>
          <w:u w:val="single"/>
          <w:lang w:eastAsia="zh-CN"/>
        </w:rPr>
        <w:t>采购人认可</w:t>
      </w:r>
      <w:r>
        <w:rPr>
          <w:rFonts w:hint="eastAsia" w:ascii="仿宋" w:hAnsi="仿宋" w:eastAsia="仿宋" w:cs="仿宋"/>
          <w:color w:val="auto"/>
          <w:sz w:val="24"/>
          <w:szCs w:val="24"/>
          <w:highlight w:val="none"/>
          <w:u w:val="single"/>
        </w:rPr>
        <w:t>的第三方权威机构进行检测并出具报告。</w:t>
      </w:r>
      <w:r>
        <w:rPr>
          <w:rFonts w:hint="eastAsia" w:ascii="仿宋" w:hAnsi="仿宋" w:eastAsia="仿宋" w:cs="仿宋"/>
          <w:b/>
          <w:bCs/>
          <w:color w:val="auto"/>
          <w:sz w:val="24"/>
          <w:szCs w:val="24"/>
          <w:highlight w:val="none"/>
        </w:rPr>
        <w:t>（所有检测费用均包含在本次报价中。）</w:t>
      </w:r>
    </w:p>
    <w:p w14:paraId="2665A032">
      <w:pPr>
        <w:keepNext w:val="0"/>
        <w:keepLines w:val="0"/>
        <w:pageBreakBefore w:val="0"/>
        <w:widowControl w:val="0"/>
        <w:kinsoku/>
        <w:overflowPunct/>
        <w:topLinePunct w:val="0"/>
        <w:bidi w:val="0"/>
        <w:snapToGrid w:val="0"/>
        <w:spacing w:beforeAutospacing="0" w:afterAutospacing="0" w:line="360" w:lineRule="auto"/>
        <w:ind w:firstLine="43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报告包括以下3份：</w:t>
      </w:r>
    </w:p>
    <w:p w14:paraId="42D12D2F">
      <w:pPr>
        <w:pStyle w:val="994"/>
        <w:keepNext w:val="0"/>
        <w:keepLines w:val="0"/>
        <w:pageBreakBefore w:val="0"/>
        <w:widowControl w:val="0"/>
        <w:numPr>
          <w:ilvl w:val="0"/>
          <w:numId w:val="0"/>
        </w:numPr>
        <w:kinsoku/>
        <w:overflowPunct/>
        <w:topLinePunct w:val="0"/>
        <w:bidi w:val="0"/>
        <w:snapToGrid w:val="0"/>
        <w:spacing w:beforeAutospacing="0" w:afterAutospacing="0" w:line="360" w:lineRule="auto"/>
        <w:ind w:leftChars="0"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臭气厂界检测（转运站周边5米内）和有组织排放检测报告</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满足国家标准及投标人相关承诺的要求；</w:t>
      </w:r>
    </w:p>
    <w:p w14:paraId="1A80DDC5">
      <w:pPr>
        <w:pStyle w:val="994"/>
        <w:keepNext w:val="0"/>
        <w:keepLines w:val="0"/>
        <w:pageBreakBefore w:val="0"/>
        <w:widowControl w:val="0"/>
        <w:numPr>
          <w:ilvl w:val="0"/>
          <w:numId w:val="0"/>
        </w:numPr>
        <w:kinsoku/>
        <w:overflowPunct/>
        <w:topLinePunct w:val="0"/>
        <w:bidi w:val="0"/>
        <w:snapToGrid w:val="0"/>
        <w:spacing w:beforeAutospacing="0" w:afterAutospacing="0" w:line="360" w:lineRule="auto"/>
        <w:ind w:leftChars="0"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2、植物液除臭剂检测报告：臭气去除效率报告，“小鼠急性口毒性试验、小鼠急性吸入毒性试验”检测无毒性报告。满足招标文件及投标人递交文件的要求；</w:t>
      </w:r>
    </w:p>
    <w:p w14:paraId="148024C3">
      <w:pPr>
        <w:pStyle w:val="994"/>
        <w:keepNext w:val="0"/>
        <w:keepLines w:val="0"/>
        <w:pageBreakBefore w:val="0"/>
        <w:widowControl w:val="0"/>
        <w:numPr>
          <w:ilvl w:val="0"/>
          <w:numId w:val="0"/>
        </w:numPr>
        <w:kinsoku/>
        <w:overflowPunct/>
        <w:topLinePunct w:val="0"/>
        <w:bidi w:val="0"/>
        <w:snapToGrid w:val="0"/>
        <w:spacing w:beforeAutospacing="0" w:afterAutospacing="0" w:line="360" w:lineRule="auto"/>
        <w:ind w:leftChars="0"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3、干式</w:t>
      </w:r>
      <w:r>
        <w:rPr>
          <w:rFonts w:hint="eastAsia" w:ascii="仿宋" w:hAnsi="仿宋" w:eastAsia="仿宋" w:cs="仿宋"/>
          <w:color w:val="auto"/>
          <w:sz w:val="24"/>
          <w:szCs w:val="24"/>
          <w:highlight w:val="none"/>
        </w:rPr>
        <w:t>化学滤料成分检测报告</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包括</w:t>
      </w:r>
      <w:r>
        <w:rPr>
          <w:rFonts w:hint="eastAsia" w:ascii="仿宋" w:hAnsi="仿宋" w:eastAsia="仿宋" w:cs="仿宋"/>
          <w:color w:val="auto"/>
          <w:sz w:val="24"/>
          <w:szCs w:val="24"/>
          <w:highlight w:val="none"/>
          <w:lang w:eastAsia="zh-CN"/>
        </w:rPr>
        <w:t>成分</w:t>
      </w:r>
      <w:r>
        <w:rPr>
          <w:rFonts w:hint="eastAsia" w:ascii="仿宋" w:hAnsi="仿宋" w:eastAsia="仿宋" w:cs="仿宋"/>
          <w:color w:val="auto"/>
          <w:sz w:val="24"/>
          <w:szCs w:val="24"/>
          <w:highlight w:val="none"/>
          <w:lang w:val="en-US" w:eastAsia="zh-CN"/>
        </w:rPr>
        <w:t>氧化镁、高锰酸钾含量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臭气去除效率报告</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并满足招标文件及投标人递交文件的要求</w:t>
      </w:r>
      <w:r>
        <w:rPr>
          <w:rFonts w:hint="eastAsia" w:ascii="仿宋" w:hAnsi="仿宋" w:eastAsia="仿宋" w:cs="仿宋"/>
          <w:color w:val="auto"/>
          <w:sz w:val="24"/>
          <w:szCs w:val="24"/>
          <w:highlight w:val="none"/>
          <w:lang w:eastAsia="zh-CN"/>
        </w:rPr>
        <w:t>。</w:t>
      </w:r>
    </w:p>
    <w:p w14:paraId="17867C08">
      <w:pPr>
        <w:pStyle w:val="994"/>
        <w:keepNext w:val="0"/>
        <w:keepLines w:val="0"/>
        <w:pageBreakBefore w:val="0"/>
        <w:widowControl w:val="0"/>
        <w:numPr>
          <w:ilvl w:val="0"/>
          <w:numId w:val="0"/>
        </w:numPr>
        <w:kinsoku/>
        <w:overflowPunct/>
        <w:topLinePunct w:val="0"/>
        <w:bidi w:val="0"/>
        <w:snapToGrid w:val="0"/>
        <w:spacing w:beforeAutospacing="0" w:afterAutospacing="0" w:line="360" w:lineRule="auto"/>
        <w:ind w:leftChars="0"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注：以上检测报告均须在工程竣工验收时提供原件。</w:t>
      </w:r>
    </w:p>
    <w:p w14:paraId="65902A7F">
      <w:pPr>
        <w:keepNext w:val="0"/>
        <w:keepLines w:val="0"/>
        <w:pageBreakBefore w:val="0"/>
        <w:widowControl w:val="0"/>
        <w:kinsoku/>
        <w:overflowPunct/>
        <w:topLinePunct w:val="0"/>
        <w:bidi w:val="0"/>
        <w:snapToGrid w:val="0"/>
        <w:spacing w:beforeAutospacing="0" w:afterAutospacing="0" w:line="360" w:lineRule="auto"/>
        <w:ind w:firstLine="43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验货时业主有权要求对提供过检测报告的部分材料或产品重新取样检测，如不符和招标要求业主有权中止合同并要求赔偿损失。（</w:t>
      </w:r>
      <w:r>
        <w:rPr>
          <w:rFonts w:hint="eastAsia" w:ascii="仿宋" w:hAnsi="仿宋" w:eastAsia="仿宋" w:cs="仿宋"/>
          <w:color w:val="auto"/>
          <w:sz w:val="24"/>
          <w:szCs w:val="24"/>
          <w:highlight w:val="none"/>
          <w:lang w:val="en-US" w:eastAsia="zh-CN"/>
        </w:rPr>
        <w:t>相关</w:t>
      </w:r>
      <w:r>
        <w:rPr>
          <w:rFonts w:hint="eastAsia" w:ascii="仿宋" w:hAnsi="仿宋" w:eastAsia="仿宋" w:cs="仿宋"/>
          <w:color w:val="auto"/>
          <w:sz w:val="24"/>
          <w:szCs w:val="24"/>
          <w:highlight w:val="none"/>
        </w:rPr>
        <w:t>检测费用</w:t>
      </w:r>
      <w:r>
        <w:rPr>
          <w:rFonts w:hint="eastAsia" w:ascii="仿宋" w:hAnsi="仿宋" w:eastAsia="仿宋" w:cs="仿宋"/>
          <w:color w:val="auto"/>
          <w:sz w:val="24"/>
          <w:szCs w:val="24"/>
          <w:highlight w:val="none"/>
          <w:lang w:val="en-US" w:eastAsia="zh-CN"/>
        </w:rPr>
        <w:t>均</w:t>
      </w:r>
      <w:r>
        <w:rPr>
          <w:rFonts w:hint="eastAsia" w:ascii="仿宋" w:hAnsi="仿宋" w:eastAsia="仿宋" w:cs="仿宋"/>
          <w:color w:val="auto"/>
          <w:sz w:val="24"/>
          <w:szCs w:val="24"/>
          <w:highlight w:val="none"/>
        </w:rPr>
        <w:t>由</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承担）</w:t>
      </w:r>
    </w:p>
    <w:p w14:paraId="557826B9">
      <w:pPr>
        <w:keepNext w:val="0"/>
        <w:keepLines w:val="0"/>
        <w:pageBreakBefore w:val="0"/>
        <w:widowControl w:val="0"/>
        <w:kinsoku/>
        <w:overflowPunct/>
        <w:topLinePunct w:val="0"/>
        <w:bidi w:val="0"/>
        <w:snapToGrid w:val="0"/>
        <w:spacing w:beforeAutospacing="0" w:afterAutospacing="0" w:line="360" w:lineRule="auto"/>
        <w:outlineLvl w:val="1"/>
        <w:rPr>
          <w:rFonts w:hint="eastAsia" w:ascii="仿宋" w:hAnsi="仿宋" w:eastAsia="仿宋" w:cs="仿宋"/>
          <w:b/>
          <w:bCs/>
          <w:color w:val="auto"/>
          <w:sz w:val="24"/>
          <w:szCs w:val="24"/>
          <w:highlight w:val="none"/>
          <w:lang w:val="en-US" w:eastAsia="zh-CN"/>
        </w:rPr>
      </w:pPr>
      <w:bookmarkStart w:id="74" w:name="_Toc17730"/>
      <w:bookmarkEnd w:id="74"/>
      <w:r>
        <w:rPr>
          <w:rFonts w:hint="eastAsia" w:ascii="仿宋" w:hAnsi="仿宋" w:eastAsia="仿宋" w:cs="仿宋"/>
          <w:b/>
          <w:bCs/>
          <w:color w:val="auto"/>
          <w:sz w:val="24"/>
          <w:szCs w:val="24"/>
          <w:highlight w:val="none"/>
          <w:lang w:val="en-US" w:eastAsia="zh-CN"/>
        </w:rPr>
        <w:t>七、</w:t>
      </w:r>
      <w:r>
        <w:rPr>
          <w:rFonts w:hint="eastAsia" w:ascii="仿宋" w:hAnsi="仿宋" w:eastAsia="仿宋" w:cs="仿宋"/>
          <w:b/>
          <w:bCs/>
          <w:color w:val="auto"/>
          <w:sz w:val="24"/>
          <w:szCs w:val="24"/>
          <w:highlight w:val="none"/>
        </w:rPr>
        <w:t>商务需求及其他需求</w:t>
      </w:r>
    </w:p>
    <w:p w14:paraId="76E4B415">
      <w:pPr>
        <w:keepNext w:val="0"/>
        <w:keepLines w:val="0"/>
        <w:pageBreakBefore w:val="0"/>
        <w:widowControl w:val="0"/>
        <w:kinsoku/>
        <w:overflowPunct/>
        <w:topLinePunct w:val="0"/>
        <w:bidi w:val="0"/>
        <w:snapToGrid w:val="0"/>
        <w:spacing w:beforeAutospacing="0" w:afterAutospacing="0" w:line="360" w:lineRule="auto"/>
        <w:ind w:firstLine="600" w:firstLineChars="25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1、交付日期：</w:t>
      </w:r>
    </w:p>
    <w:p w14:paraId="78381FC3">
      <w:pPr>
        <w:keepNext w:val="0"/>
        <w:keepLines w:val="0"/>
        <w:pageBreakBefore w:val="0"/>
        <w:kinsoku/>
        <w:overflowPunct/>
        <w:topLinePunct w:val="0"/>
        <w:bidi w:val="0"/>
        <w:snapToGrid w:val="0"/>
        <w:spacing w:beforeAutospacing="0" w:afterAutospacing="0" w:line="360" w:lineRule="auto"/>
        <w:ind w:firstLine="600" w:firstLineChars="25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w:t>
      </w:r>
      <w:r>
        <w:rPr>
          <w:rFonts w:hint="eastAsia" w:ascii="仿宋" w:hAnsi="仿宋" w:eastAsia="仿宋" w:cs="仿宋"/>
          <w:b w:val="0"/>
          <w:bCs w:val="0"/>
          <w:color w:val="auto"/>
          <w:sz w:val="24"/>
          <w:szCs w:val="24"/>
          <w:highlight w:val="none"/>
        </w:rPr>
        <w:t>合同生效后，根据</w:t>
      </w:r>
      <w:r>
        <w:rPr>
          <w:rFonts w:hint="eastAsia" w:ascii="仿宋" w:hAnsi="仿宋" w:eastAsia="仿宋" w:cs="仿宋"/>
          <w:b w:val="0"/>
          <w:bCs w:val="0"/>
          <w:color w:val="auto"/>
          <w:sz w:val="24"/>
          <w:szCs w:val="24"/>
          <w:highlight w:val="none"/>
          <w:lang w:val="en-US" w:eastAsia="zh-CN"/>
        </w:rPr>
        <w:t>采购人要求</w:t>
      </w:r>
      <w:r>
        <w:rPr>
          <w:rFonts w:hint="eastAsia" w:ascii="仿宋" w:hAnsi="仿宋" w:eastAsia="仿宋" w:cs="仿宋"/>
          <w:b w:val="0"/>
          <w:bCs w:val="0"/>
          <w:color w:val="auto"/>
          <w:sz w:val="24"/>
          <w:szCs w:val="24"/>
          <w:highlight w:val="none"/>
        </w:rPr>
        <w:t>及时安排设备供货、预埋、安装、调试。由于</w:t>
      </w:r>
      <w:r>
        <w:rPr>
          <w:rFonts w:hint="eastAsia" w:ascii="仿宋" w:hAnsi="仿宋" w:eastAsia="仿宋" w:cs="仿宋"/>
          <w:b w:val="0"/>
          <w:bCs w:val="0"/>
          <w:color w:val="auto"/>
          <w:sz w:val="24"/>
          <w:szCs w:val="24"/>
          <w:highlight w:val="none"/>
          <w:lang w:eastAsia="zh-CN"/>
        </w:rPr>
        <w:t>中标人</w:t>
      </w:r>
      <w:r>
        <w:rPr>
          <w:rFonts w:hint="eastAsia" w:ascii="仿宋" w:hAnsi="仿宋" w:eastAsia="仿宋" w:cs="仿宋"/>
          <w:b w:val="0"/>
          <w:bCs w:val="0"/>
          <w:color w:val="auto"/>
          <w:sz w:val="24"/>
          <w:szCs w:val="24"/>
          <w:highlight w:val="none"/>
        </w:rPr>
        <w:t>未派驻工程师或跟踪协调不及时，造成整体项目进度拖延或未完成设备供货、预埋、安装、调试，给</w:t>
      </w:r>
      <w:r>
        <w:rPr>
          <w:rFonts w:hint="eastAsia" w:ascii="仿宋" w:hAnsi="仿宋" w:eastAsia="仿宋" w:cs="仿宋"/>
          <w:b w:val="0"/>
          <w:bCs w:val="0"/>
          <w:color w:val="auto"/>
          <w:sz w:val="24"/>
          <w:szCs w:val="24"/>
          <w:highlight w:val="none"/>
          <w:lang w:eastAsia="zh-CN"/>
        </w:rPr>
        <w:t>甲方</w:t>
      </w:r>
      <w:r>
        <w:rPr>
          <w:rFonts w:hint="eastAsia" w:ascii="仿宋" w:hAnsi="仿宋" w:eastAsia="仿宋" w:cs="仿宋"/>
          <w:b w:val="0"/>
          <w:bCs w:val="0"/>
          <w:color w:val="auto"/>
          <w:sz w:val="24"/>
          <w:szCs w:val="24"/>
          <w:highlight w:val="none"/>
        </w:rPr>
        <w:t>造成的损失，由</w:t>
      </w:r>
      <w:r>
        <w:rPr>
          <w:rFonts w:hint="eastAsia" w:ascii="仿宋" w:hAnsi="仿宋" w:eastAsia="仿宋" w:cs="仿宋"/>
          <w:b w:val="0"/>
          <w:bCs w:val="0"/>
          <w:color w:val="auto"/>
          <w:sz w:val="24"/>
          <w:szCs w:val="24"/>
          <w:highlight w:val="none"/>
          <w:lang w:eastAsia="zh-CN"/>
        </w:rPr>
        <w:t>中标人</w:t>
      </w:r>
      <w:r>
        <w:rPr>
          <w:rFonts w:hint="eastAsia" w:ascii="仿宋" w:hAnsi="仿宋" w:eastAsia="仿宋" w:cs="仿宋"/>
          <w:b w:val="0"/>
          <w:bCs w:val="0"/>
          <w:color w:val="auto"/>
          <w:sz w:val="24"/>
          <w:szCs w:val="24"/>
          <w:highlight w:val="none"/>
        </w:rPr>
        <w:t>承担一切责任费用。</w:t>
      </w:r>
    </w:p>
    <w:p w14:paraId="1C74BED9">
      <w:pPr>
        <w:keepNext w:val="0"/>
        <w:keepLines w:val="0"/>
        <w:pageBreakBefore w:val="0"/>
        <w:kinsoku/>
        <w:overflowPunct/>
        <w:topLinePunct w:val="0"/>
        <w:bidi w:val="0"/>
        <w:snapToGrid w:val="0"/>
        <w:spacing w:beforeAutospacing="0" w:afterAutospacing="0" w:line="360" w:lineRule="auto"/>
        <w:ind w:firstLine="600" w:firstLineChars="25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w:t>
      </w:r>
      <w:r>
        <w:rPr>
          <w:rFonts w:hint="eastAsia" w:ascii="仿宋" w:hAnsi="仿宋" w:eastAsia="仿宋" w:cs="仿宋"/>
          <w:b w:val="0"/>
          <w:bCs w:val="0"/>
          <w:color w:val="auto"/>
          <w:sz w:val="24"/>
          <w:szCs w:val="24"/>
          <w:highlight w:val="none"/>
        </w:rPr>
        <w:t>每完成一座</w:t>
      </w:r>
      <w:r>
        <w:rPr>
          <w:rFonts w:hint="eastAsia" w:ascii="仿宋" w:hAnsi="仿宋" w:eastAsia="仿宋" w:cs="仿宋"/>
          <w:b w:val="0"/>
          <w:bCs w:val="0"/>
          <w:color w:val="auto"/>
          <w:sz w:val="24"/>
          <w:szCs w:val="24"/>
          <w:highlight w:val="none"/>
          <w:lang w:eastAsia="zh-CN"/>
        </w:rPr>
        <w:t>垃圾分类中转站除臭设备</w:t>
      </w:r>
      <w:r>
        <w:rPr>
          <w:rFonts w:hint="eastAsia" w:ascii="仿宋" w:hAnsi="仿宋" w:eastAsia="仿宋" w:cs="仿宋"/>
          <w:b w:val="0"/>
          <w:bCs w:val="0"/>
          <w:color w:val="auto"/>
          <w:sz w:val="24"/>
          <w:szCs w:val="24"/>
          <w:highlight w:val="none"/>
        </w:rPr>
        <w:t>的供货、预埋、安装、调试，经</w:t>
      </w:r>
      <w:r>
        <w:rPr>
          <w:rFonts w:hint="eastAsia" w:ascii="仿宋" w:hAnsi="仿宋" w:eastAsia="仿宋" w:cs="仿宋"/>
          <w:b w:val="0"/>
          <w:bCs w:val="0"/>
          <w:color w:val="auto"/>
          <w:sz w:val="24"/>
          <w:szCs w:val="24"/>
          <w:highlight w:val="none"/>
          <w:lang w:eastAsia="zh-CN"/>
        </w:rPr>
        <w:t>采购人</w:t>
      </w:r>
      <w:r>
        <w:rPr>
          <w:rFonts w:hint="eastAsia" w:ascii="仿宋" w:hAnsi="仿宋" w:eastAsia="仿宋" w:cs="仿宋"/>
          <w:b w:val="0"/>
          <w:bCs w:val="0"/>
          <w:color w:val="auto"/>
          <w:sz w:val="24"/>
          <w:szCs w:val="24"/>
          <w:highlight w:val="none"/>
        </w:rPr>
        <w:t>组织人员通过验收后正式交付。</w:t>
      </w:r>
    </w:p>
    <w:p w14:paraId="1B24C703">
      <w:pPr>
        <w:keepNext w:val="0"/>
        <w:keepLines w:val="0"/>
        <w:pageBreakBefore w:val="0"/>
        <w:kinsoku/>
        <w:overflowPunct/>
        <w:topLinePunct w:val="0"/>
        <w:bidi w:val="0"/>
        <w:snapToGrid w:val="0"/>
        <w:spacing w:beforeAutospacing="0" w:afterAutospacing="0" w:line="360" w:lineRule="auto"/>
        <w:ind w:firstLine="600" w:firstLineChars="25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1.3</w:t>
      </w:r>
      <w:r>
        <w:rPr>
          <w:rFonts w:hint="eastAsia" w:ascii="仿宋" w:hAnsi="仿宋" w:eastAsia="仿宋" w:cs="仿宋"/>
          <w:b w:val="0"/>
          <w:bCs w:val="0"/>
          <w:color w:val="auto"/>
          <w:sz w:val="24"/>
          <w:szCs w:val="24"/>
          <w:highlight w:val="none"/>
          <w:lang w:eastAsia="zh-CN"/>
        </w:rPr>
        <w:t>中标人根据</w:t>
      </w:r>
      <w:r>
        <w:rPr>
          <w:rFonts w:hint="eastAsia" w:ascii="仿宋" w:hAnsi="仿宋" w:eastAsia="仿宋" w:cs="仿宋"/>
          <w:b w:val="0"/>
          <w:bCs w:val="0"/>
          <w:color w:val="auto"/>
          <w:sz w:val="24"/>
          <w:szCs w:val="24"/>
          <w:highlight w:val="none"/>
          <w:lang w:val="en-US" w:eastAsia="zh-CN"/>
        </w:rPr>
        <w:t>采购人要求</w:t>
      </w:r>
      <w:r>
        <w:rPr>
          <w:rFonts w:hint="eastAsia" w:ascii="仿宋" w:hAnsi="仿宋" w:eastAsia="仿宋" w:cs="仿宋"/>
          <w:b w:val="0"/>
          <w:bCs w:val="0"/>
          <w:color w:val="auto"/>
          <w:sz w:val="24"/>
          <w:szCs w:val="24"/>
          <w:highlight w:val="none"/>
        </w:rPr>
        <w:t>安排设备供货时间，</w:t>
      </w:r>
      <w:r>
        <w:rPr>
          <w:rFonts w:hint="eastAsia" w:ascii="仿宋" w:hAnsi="仿宋" w:eastAsia="仿宋" w:cs="仿宋"/>
          <w:b w:val="0"/>
          <w:bCs w:val="0"/>
          <w:color w:val="auto"/>
          <w:sz w:val="24"/>
          <w:szCs w:val="24"/>
          <w:highlight w:val="none"/>
          <w:lang w:eastAsia="zh-CN"/>
        </w:rPr>
        <w:t>采购人</w:t>
      </w:r>
      <w:r>
        <w:rPr>
          <w:rFonts w:hint="eastAsia" w:ascii="仿宋" w:hAnsi="仿宋" w:eastAsia="仿宋" w:cs="仿宋"/>
          <w:b w:val="0"/>
          <w:bCs w:val="0"/>
          <w:color w:val="auto"/>
          <w:sz w:val="24"/>
          <w:szCs w:val="24"/>
          <w:highlight w:val="none"/>
        </w:rPr>
        <w:t>对</w:t>
      </w:r>
      <w:r>
        <w:rPr>
          <w:rFonts w:hint="eastAsia" w:ascii="仿宋" w:hAnsi="仿宋" w:eastAsia="仿宋" w:cs="仿宋"/>
          <w:b w:val="0"/>
          <w:bCs w:val="0"/>
          <w:color w:val="auto"/>
          <w:sz w:val="24"/>
          <w:szCs w:val="24"/>
          <w:highlight w:val="none"/>
          <w:lang w:eastAsia="zh-CN"/>
        </w:rPr>
        <w:t>中标人</w:t>
      </w:r>
      <w:r>
        <w:rPr>
          <w:rFonts w:hint="eastAsia" w:ascii="仿宋" w:hAnsi="仿宋" w:eastAsia="仿宋" w:cs="仿宋"/>
          <w:b w:val="0"/>
          <w:bCs w:val="0"/>
          <w:color w:val="auto"/>
          <w:sz w:val="24"/>
          <w:szCs w:val="24"/>
          <w:highlight w:val="none"/>
        </w:rPr>
        <w:t>的除臭设备随时安排人员进行中间验收。</w:t>
      </w:r>
    </w:p>
    <w:p w14:paraId="720ABBA5">
      <w:pPr>
        <w:keepNext w:val="0"/>
        <w:keepLines w:val="0"/>
        <w:pageBreakBefore w:val="0"/>
        <w:kinsoku/>
        <w:overflowPunct/>
        <w:topLinePunct w:val="0"/>
        <w:bidi w:val="0"/>
        <w:snapToGrid w:val="0"/>
        <w:spacing w:beforeAutospacing="0" w:afterAutospacing="0" w:line="360" w:lineRule="auto"/>
        <w:ind w:firstLine="600" w:firstLineChars="25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1.4交货地点：业主指定地点</w:t>
      </w:r>
    </w:p>
    <w:p w14:paraId="2B7174BC">
      <w:pPr>
        <w:keepNext w:val="0"/>
        <w:keepLines w:val="0"/>
        <w:pageBreakBefore w:val="0"/>
        <w:kinsoku/>
        <w:overflowPunct/>
        <w:topLinePunct w:val="0"/>
        <w:bidi w:val="0"/>
        <w:snapToGrid w:val="0"/>
        <w:spacing w:beforeAutospacing="0" w:afterAutospacing="0" w:line="360" w:lineRule="auto"/>
        <w:ind w:firstLine="600" w:firstLineChars="25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1.5图纸：中标人须在中标后7个工作日内提供图纸</w:t>
      </w:r>
    </w:p>
    <w:p w14:paraId="391E18A1">
      <w:pPr>
        <w:keepNext w:val="0"/>
        <w:keepLines w:val="0"/>
        <w:pageBreakBefore w:val="0"/>
        <w:widowControl w:val="0"/>
        <w:numPr>
          <w:ilvl w:val="0"/>
          <w:numId w:val="3"/>
        </w:numPr>
        <w:tabs>
          <w:tab w:val="left" w:pos="360"/>
        </w:tabs>
        <w:kinsoku/>
        <w:overflowPunct/>
        <w:topLinePunct w:val="0"/>
        <w:bidi w:val="0"/>
        <w:spacing w:beforeAutospacing="0" w:afterAutospacing="0" w:line="360" w:lineRule="auto"/>
        <w:ind w:leftChars="245"/>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付款方式与结算</w:t>
      </w:r>
    </w:p>
    <w:p w14:paraId="477FB22A">
      <w:pPr>
        <w:keepNext w:val="0"/>
        <w:keepLines w:val="0"/>
        <w:pageBreakBefore w:val="0"/>
        <w:widowControl w:val="0"/>
        <w:numPr>
          <w:ilvl w:val="0"/>
          <w:numId w:val="0"/>
        </w:numPr>
        <w:tabs>
          <w:tab w:val="left" w:pos="360"/>
        </w:tabs>
        <w:kinsoku/>
        <w:overflowPunct/>
        <w:topLinePunct w:val="0"/>
        <w:bidi w:val="0"/>
        <w:spacing w:beforeAutospacing="0" w:afterAutospacing="0" w:line="360" w:lineRule="auto"/>
        <w:ind w:firstLine="480" w:firstLineChars="2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2.1 乙方向甲方</w:t>
      </w:r>
      <w:r>
        <w:rPr>
          <w:rFonts w:hint="eastAsia" w:ascii="仿宋" w:hAnsi="仿宋" w:eastAsia="仿宋" w:cs="仿宋"/>
          <w:b w:val="0"/>
          <w:bCs/>
          <w:color w:val="auto"/>
          <w:sz w:val="24"/>
          <w:szCs w:val="24"/>
          <w:highlight w:val="none"/>
        </w:rPr>
        <w:t>提供合同金额的</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rPr>
        <w:t>%作为履约保证金</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或履约保函</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待完成所有</w:t>
      </w:r>
      <w:r>
        <w:rPr>
          <w:rFonts w:hint="eastAsia" w:ascii="仿宋" w:hAnsi="仿宋" w:eastAsia="仿宋" w:cs="仿宋"/>
          <w:b w:val="0"/>
          <w:bCs/>
          <w:color w:val="auto"/>
          <w:sz w:val="24"/>
          <w:szCs w:val="24"/>
          <w:highlight w:val="none"/>
          <w:lang w:eastAsia="zh-CN"/>
        </w:rPr>
        <w:t>垃圾分类中转站除臭设备</w:t>
      </w:r>
      <w:r>
        <w:rPr>
          <w:rFonts w:hint="eastAsia" w:ascii="仿宋" w:hAnsi="仿宋" w:eastAsia="仿宋" w:cs="仿宋"/>
          <w:b w:val="0"/>
          <w:bCs/>
          <w:color w:val="auto"/>
          <w:sz w:val="24"/>
          <w:szCs w:val="24"/>
          <w:highlight w:val="none"/>
        </w:rPr>
        <w:t>的预埋、安装、调试、验收合格后无息退还履约保证金</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或履约保函</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w:t>
      </w:r>
    </w:p>
    <w:p w14:paraId="20C01835">
      <w:pPr>
        <w:keepNext w:val="0"/>
        <w:keepLines w:val="0"/>
        <w:pageBreakBefore w:val="0"/>
        <w:kinsoku/>
        <w:overflowPunct/>
        <w:topLinePunct w:val="0"/>
        <w:bidi w:val="0"/>
        <w:snapToGrid w:val="0"/>
        <w:spacing w:beforeAutospacing="0" w:afterAutospacing="0"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    </w:t>
      </w:r>
      <w:r>
        <w:rPr>
          <w:rFonts w:hint="eastAsia" w:ascii="仿宋" w:hAnsi="仿宋" w:eastAsia="仿宋" w:cs="仿宋"/>
          <w:b w:val="0"/>
          <w:bCs/>
          <w:color w:val="auto"/>
          <w:sz w:val="24"/>
          <w:szCs w:val="24"/>
          <w:highlight w:val="none"/>
          <w:lang w:val="en-US" w:eastAsia="zh-CN"/>
        </w:rPr>
        <w:t xml:space="preserve">2.2 </w:t>
      </w:r>
      <w:r>
        <w:rPr>
          <w:rFonts w:hint="eastAsia" w:ascii="仿宋" w:hAnsi="仿宋" w:eastAsia="仿宋" w:cs="仿宋"/>
          <w:b w:val="0"/>
          <w:bCs/>
          <w:color w:val="auto"/>
          <w:kern w:val="0"/>
          <w:sz w:val="24"/>
          <w:szCs w:val="24"/>
          <w:highlight w:val="none"/>
        </w:rPr>
        <w:t>合同签订生效</w:t>
      </w:r>
      <w:r>
        <w:rPr>
          <w:rFonts w:hint="eastAsia" w:ascii="仿宋" w:hAnsi="仿宋" w:eastAsia="仿宋" w:cs="仿宋"/>
          <w:b w:val="0"/>
          <w:bCs/>
          <w:color w:val="auto"/>
          <w:kern w:val="0"/>
          <w:sz w:val="24"/>
          <w:szCs w:val="24"/>
          <w:highlight w:val="none"/>
          <w:lang w:val="en-US" w:eastAsia="zh-CN"/>
        </w:rPr>
        <w:t>后</w:t>
      </w:r>
      <w:r>
        <w:rPr>
          <w:rFonts w:hint="eastAsia" w:ascii="仿宋" w:hAnsi="仿宋" w:eastAsia="仿宋" w:cs="仿宋"/>
          <w:b w:val="0"/>
          <w:bCs/>
          <w:color w:val="auto"/>
          <w:kern w:val="0"/>
          <w:sz w:val="24"/>
          <w:szCs w:val="24"/>
          <w:highlight w:val="none"/>
          <w:lang w:eastAsia="zh-CN"/>
        </w:rPr>
        <w:t>，</w:t>
      </w:r>
      <w:r>
        <w:rPr>
          <w:rFonts w:hint="eastAsia" w:ascii="仿宋" w:hAnsi="仿宋" w:eastAsia="仿宋" w:cs="仿宋"/>
          <w:b w:val="0"/>
          <w:bCs/>
          <w:color w:val="auto"/>
          <w:sz w:val="24"/>
          <w:szCs w:val="24"/>
          <w:highlight w:val="none"/>
          <w:lang w:eastAsia="zh-CN"/>
        </w:rPr>
        <w:t>垃圾分类中转站除臭设备</w:t>
      </w:r>
      <w:r>
        <w:rPr>
          <w:rFonts w:hint="eastAsia" w:ascii="仿宋" w:hAnsi="仿宋" w:eastAsia="仿宋" w:cs="仿宋"/>
          <w:b w:val="0"/>
          <w:bCs/>
          <w:color w:val="auto"/>
          <w:sz w:val="24"/>
          <w:szCs w:val="24"/>
          <w:highlight w:val="none"/>
        </w:rPr>
        <w:t>（套）</w:t>
      </w:r>
      <w:r>
        <w:rPr>
          <w:rFonts w:hint="eastAsia" w:ascii="仿宋" w:hAnsi="仿宋" w:eastAsia="仿宋" w:cs="仿宋"/>
          <w:b w:val="0"/>
          <w:bCs/>
          <w:color w:val="auto"/>
          <w:kern w:val="0"/>
          <w:sz w:val="24"/>
          <w:szCs w:val="24"/>
          <w:highlight w:val="none"/>
        </w:rPr>
        <w:t>具备实施条件</w:t>
      </w:r>
      <w:r>
        <w:rPr>
          <w:rFonts w:hint="eastAsia" w:ascii="仿宋" w:hAnsi="仿宋" w:eastAsia="仿宋" w:cs="仿宋"/>
          <w:b w:val="0"/>
          <w:bCs/>
          <w:color w:val="auto"/>
          <w:kern w:val="0"/>
          <w:sz w:val="24"/>
          <w:szCs w:val="24"/>
          <w:highlight w:val="none"/>
          <w:lang w:val="en-US" w:eastAsia="zh-CN"/>
        </w:rPr>
        <w:t>收到发票</w:t>
      </w:r>
      <w:r>
        <w:rPr>
          <w:rFonts w:hint="eastAsia" w:ascii="仿宋" w:hAnsi="仿宋" w:eastAsia="仿宋" w:cs="仿宋"/>
          <w:b w:val="0"/>
          <w:bCs/>
          <w:color w:val="auto"/>
          <w:kern w:val="0"/>
          <w:sz w:val="24"/>
          <w:szCs w:val="24"/>
          <w:highlight w:val="none"/>
        </w:rPr>
        <w:t>后</w:t>
      </w:r>
      <w:r>
        <w:rPr>
          <w:rFonts w:hint="eastAsia" w:ascii="仿宋" w:hAnsi="仿宋" w:eastAsia="仿宋" w:cs="仿宋"/>
          <w:b w:val="0"/>
          <w:bCs/>
          <w:color w:val="auto"/>
          <w:kern w:val="0"/>
          <w:sz w:val="24"/>
          <w:szCs w:val="24"/>
          <w:highlight w:val="none"/>
          <w:lang w:val="en-US" w:eastAsia="zh-CN"/>
        </w:rPr>
        <w:t>7个工作日内</w:t>
      </w:r>
      <w:r>
        <w:rPr>
          <w:rFonts w:hint="eastAsia" w:ascii="仿宋" w:hAnsi="仿宋" w:eastAsia="仿宋" w:cs="仿宋"/>
          <w:b w:val="0"/>
          <w:bCs/>
          <w:color w:val="auto"/>
          <w:kern w:val="0"/>
          <w:sz w:val="24"/>
          <w:szCs w:val="24"/>
          <w:highlight w:val="none"/>
        </w:rPr>
        <w:t>，甲方向乙方支付</w:t>
      </w:r>
      <w:r>
        <w:rPr>
          <w:rFonts w:hint="eastAsia" w:ascii="仿宋" w:hAnsi="仿宋" w:eastAsia="仿宋" w:cs="仿宋"/>
          <w:b w:val="0"/>
          <w:bCs/>
          <w:color w:val="auto"/>
          <w:kern w:val="0"/>
          <w:sz w:val="24"/>
          <w:szCs w:val="24"/>
          <w:highlight w:val="none"/>
          <w:lang w:eastAsia="zh-CN"/>
        </w:rPr>
        <w:t>垃圾分类中转站除臭设备</w:t>
      </w:r>
      <w:r>
        <w:rPr>
          <w:rFonts w:hint="eastAsia" w:ascii="仿宋" w:hAnsi="仿宋" w:eastAsia="仿宋" w:cs="仿宋"/>
          <w:b w:val="0"/>
          <w:bCs/>
          <w:color w:val="auto"/>
          <w:kern w:val="0"/>
          <w:sz w:val="24"/>
          <w:szCs w:val="24"/>
          <w:highlight w:val="none"/>
        </w:rPr>
        <w:t>（套）总额40%的预付款</w:t>
      </w:r>
      <w:r>
        <w:rPr>
          <w:rFonts w:hint="eastAsia" w:ascii="仿宋" w:hAnsi="仿宋" w:eastAsia="仿宋" w:cs="仿宋"/>
          <w:b w:val="0"/>
          <w:bCs/>
          <w:color w:val="auto"/>
          <w:kern w:val="0"/>
          <w:sz w:val="24"/>
          <w:szCs w:val="24"/>
          <w:highlight w:val="none"/>
          <w:lang w:eastAsia="zh-CN"/>
        </w:rPr>
        <w:t>。</w:t>
      </w:r>
    </w:p>
    <w:p w14:paraId="3E67378B">
      <w:pPr>
        <w:keepNext w:val="0"/>
        <w:keepLines w:val="0"/>
        <w:pageBreakBefore w:val="0"/>
        <w:kinsoku/>
        <w:overflowPunct/>
        <w:topLinePunct w:val="0"/>
        <w:bidi w:val="0"/>
        <w:snapToGrid w:val="0"/>
        <w:spacing w:beforeAutospacing="0" w:afterAutospacing="0" w:line="360" w:lineRule="auto"/>
        <w:ind w:firstLine="480" w:firstLineChars="2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 xml:space="preserve">2.3 </w:t>
      </w:r>
      <w:r>
        <w:rPr>
          <w:rFonts w:hint="eastAsia" w:ascii="仿宋" w:hAnsi="仿宋" w:eastAsia="仿宋" w:cs="仿宋"/>
          <w:b w:val="0"/>
          <w:bCs/>
          <w:color w:val="auto"/>
          <w:sz w:val="24"/>
          <w:szCs w:val="24"/>
          <w:highlight w:val="none"/>
          <w:lang w:eastAsia="zh-CN"/>
        </w:rPr>
        <w:t>乙方</w:t>
      </w:r>
      <w:r>
        <w:rPr>
          <w:rFonts w:hint="eastAsia" w:ascii="仿宋" w:hAnsi="仿宋" w:eastAsia="仿宋" w:cs="仿宋"/>
          <w:b w:val="0"/>
          <w:bCs/>
          <w:color w:val="auto"/>
          <w:sz w:val="24"/>
          <w:szCs w:val="24"/>
          <w:highlight w:val="none"/>
        </w:rPr>
        <w:t>提供设备预埋安装图纸</w:t>
      </w:r>
      <w:r>
        <w:rPr>
          <w:rFonts w:hint="eastAsia" w:ascii="仿宋" w:hAnsi="仿宋" w:eastAsia="仿宋" w:cs="仿宋"/>
          <w:b w:val="0"/>
          <w:bCs/>
          <w:color w:val="auto"/>
          <w:sz w:val="24"/>
          <w:szCs w:val="24"/>
          <w:highlight w:val="none"/>
          <w:lang w:val="en-US" w:eastAsia="zh-CN"/>
        </w:rPr>
        <w:t>后</w:t>
      </w:r>
      <w:r>
        <w:rPr>
          <w:rFonts w:hint="eastAsia" w:ascii="仿宋" w:hAnsi="仿宋" w:eastAsia="仿宋" w:cs="仿宋"/>
          <w:b w:val="0"/>
          <w:bCs/>
          <w:color w:val="auto"/>
          <w:sz w:val="24"/>
          <w:szCs w:val="24"/>
          <w:highlight w:val="none"/>
        </w:rPr>
        <w:t>，完成</w:t>
      </w:r>
      <w:r>
        <w:rPr>
          <w:rFonts w:hint="eastAsia" w:ascii="仿宋" w:hAnsi="仿宋" w:eastAsia="仿宋" w:cs="仿宋"/>
          <w:b w:val="0"/>
          <w:bCs/>
          <w:color w:val="auto"/>
          <w:sz w:val="24"/>
          <w:szCs w:val="24"/>
          <w:highlight w:val="none"/>
          <w:lang w:eastAsia="zh-CN"/>
        </w:rPr>
        <w:t>垃圾分类中转站除臭设备</w:t>
      </w:r>
      <w:r>
        <w:rPr>
          <w:rFonts w:hint="eastAsia" w:ascii="仿宋" w:hAnsi="仿宋" w:eastAsia="仿宋" w:cs="仿宋"/>
          <w:b w:val="0"/>
          <w:bCs/>
          <w:color w:val="auto"/>
          <w:sz w:val="24"/>
          <w:szCs w:val="24"/>
          <w:highlight w:val="none"/>
        </w:rPr>
        <w:t>（套）的预埋、安装、调试、验收合格并经</w:t>
      </w:r>
      <w:r>
        <w:rPr>
          <w:rFonts w:hint="eastAsia" w:ascii="仿宋" w:hAnsi="仿宋" w:eastAsia="仿宋" w:cs="仿宋"/>
          <w:b w:val="0"/>
          <w:bCs/>
          <w:color w:val="auto"/>
          <w:sz w:val="24"/>
          <w:szCs w:val="24"/>
          <w:highlight w:val="none"/>
          <w:lang w:eastAsia="zh-CN"/>
        </w:rPr>
        <w:t>采购人认可</w:t>
      </w:r>
      <w:r>
        <w:rPr>
          <w:rFonts w:hint="eastAsia" w:ascii="仿宋" w:hAnsi="仿宋" w:eastAsia="仿宋" w:cs="仿宋"/>
          <w:b w:val="0"/>
          <w:bCs/>
          <w:color w:val="auto"/>
          <w:sz w:val="24"/>
          <w:szCs w:val="24"/>
          <w:highlight w:val="none"/>
        </w:rPr>
        <w:t>权威机构检测达到要求</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收到发票</w:t>
      </w:r>
      <w:r>
        <w:rPr>
          <w:rFonts w:hint="eastAsia" w:ascii="仿宋" w:hAnsi="仿宋" w:eastAsia="仿宋" w:cs="仿宋"/>
          <w:b w:val="0"/>
          <w:bCs/>
          <w:color w:val="auto"/>
          <w:sz w:val="24"/>
          <w:szCs w:val="24"/>
          <w:highlight w:val="none"/>
        </w:rPr>
        <w:t>后7个工作日内，</w:t>
      </w:r>
      <w:r>
        <w:rPr>
          <w:rFonts w:hint="eastAsia" w:ascii="仿宋" w:hAnsi="仿宋" w:eastAsia="仿宋" w:cs="仿宋"/>
          <w:b w:val="0"/>
          <w:bCs/>
          <w:color w:val="auto"/>
          <w:sz w:val="24"/>
          <w:szCs w:val="24"/>
          <w:highlight w:val="none"/>
          <w:lang w:eastAsia="zh-CN"/>
        </w:rPr>
        <w:t>甲方</w:t>
      </w:r>
      <w:r>
        <w:rPr>
          <w:rFonts w:hint="eastAsia" w:ascii="仿宋" w:hAnsi="仿宋" w:eastAsia="仿宋" w:cs="仿宋"/>
          <w:b w:val="0"/>
          <w:bCs/>
          <w:color w:val="auto"/>
          <w:sz w:val="24"/>
          <w:szCs w:val="24"/>
          <w:highlight w:val="none"/>
        </w:rPr>
        <w:t>向</w:t>
      </w:r>
      <w:r>
        <w:rPr>
          <w:rFonts w:hint="eastAsia" w:ascii="仿宋" w:hAnsi="仿宋" w:eastAsia="仿宋" w:cs="仿宋"/>
          <w:b w:val="0"/>
          <w:bCs/>
          <w:color w:val="auto"/>
          <w:sz w:val="24"/>
          <w:szCs w:val="24"/>
          <w:highlight w:val="none"/>
          <w:lang w:eastAsia="zh-CN"/>
        </w:rPr>
        <w:t>乙方</w:t>
      </w:r>
      <w:r>
        <w:rPr>
          <w:rFonts w:hint="eastAsia" w:ascii="仿宋" w:hAnsi="仿宋" w:eastAsia="仿宋" w:cs="仿宋"/>
          <w:b w:val="0"/>
          <w:bCs/>
          <w:color w:val="auto"/>
          <w:sz w:val="24"/>
          <w:szCs w:val="24"/>
          <w:highlight w:val="none"/>
        </w:rPr>
        <w:t>支付</w:t>
      </w:r>
      <w:r>
        <w:rPr>
          <w:rFonts w:hint="eastAsia" w:ascii="仿宋" w:hAnsi="仿宋" w:eastAsia="仿宋" w:cs="仿宋"/>
          <w:b w:val="0"/>
          <w:bCs/>
          <w:color w:val="auto"/>
          <w:sz w:val="24"/>
          <w:szCs w:val="24"/>
          <w:highlight w:val="none"/>
          <w:lang w:val="en-US" w:eastAsia="zh-CN"/>
        </w:rPr>
        <w:t>至</w:t>
      </w:r>
      <w:r>
        <w:rPr>
          <w:rFonts w:hint="eastAsia" w:ascii="仿宋" w:hAnsi="仿宋" w:eastAsia="仿宋" w:cs="仿宋"/>
          <w:b w:val="0"/>
          <w:bCs/>
          <w:color w:val="auto"/>
          <w:sz w:val="24"/>
          <w:szCs w:val="24"/>
          <w:highlight w:val="none"/>
          <w:lang w:eastAsia="zh-CN"/>
        </w:rPr>
        <w:t>垃圾分类中转站</w:t>
      </w:r>
      <w:r>
        <w:rPr>
          <w:rFonts w:hint="eastAsia" w:ascii="仿宋" w:hAnsi="仿宋" w:eastAsia="仿宋" w:cs="仿宋"/>
          <w:b w:val="0"/>
          <w:bCs/>
          <w:color w:val="auto"/>
          <w:sz w:val="24"/>
          <w:szCs w:val="24"/>
          <w:highlight w:val="none"/>
          <w:lang w:val="en-US" w:eastAsia="zh-CN"/>
        </w:rPr>
        <w:t>除臭</w:t>
      </w:r>
      <w:r>
        <w:rPr>
          <w:rFonts w:hint="eastAsia" w:ascii="仿宋" w:hAnsi="仿宋" w:eastAsia="仿宋" w:cs="仿宋"/>
          <w:b w:val="0"/>
          <w:bCs/>
          <w:color w:val="auto"/>
          <w:sz w:val="24"/>
          <w:szCs w:val="24"/>
          <w:highlight w:val="none"/>
        </w:rPr>
        <w:t>设备（套）的</w:t>
      </w:r>
      <w:r>
        <w:rPr>
          <w:rFonts w:hint="eastAsia" w:ascii="仿宋" w:hAnsi="仿宋" w:eastAsia="仿宋" w:cs="仿宋"/>
          <w:b w:val="0"/>
          <w:bCs/>
          <w:color w:val="auto"/>
          <w:sz w:val="24"/>
          <w:szCs w:val="24"/>
          <w:highlight w:val="none"/>
          <w:lang w:val="en-US" w:eastAsia="zh-CN"/>
        </w:rPr>
        <w:t>100%</w:t>
      </w:r>
      <w:r>
        <w:rPr>
          <w:rFonts w:hint="eastAsia" w:ascii="仿宋" w:hAnsi="仿宋" w:eastAsia="仿宋" w:cs="仿宋"/>
          <w:b w:val="0"/>
          <w:bCs/>
          <w:color w:val="auto"/>
          <w:sz w:val="24"/>
          <w:szCs w:val="24"/>
          <w:highlight w:val="none"/>
        </w:rPr>
        <w:t>货款（</w:t>
      </w:r>
      <w:r>
        <w:rPr>
          <w:rFonts w:hint="eastAsia" w:ascii="仿宋" w:hAnsi="仿宋" w:eastAsia="仿宋" w:cs="仿宋"/>
          <w:b w:val="0"/>
          <w:bCs/>
          <w:color w:val="auto"/>
          <w:sz w:val="24"/>
          <w:szCs w:val="24"/>
          <w:highlight w:val="none"/>
          <w:lang w:eastAsia="zh-CN"/>
        </w:rPr>
        <w:t>乙方</w:t>
      </w:r>
      <w:r>
        <w:rPr>
          <w:rFonts w:hint="eastAsia" w:ascii="仿宋" w:hAnsi="仿宋" w:eastAsia="仿宋" w:cs="仿宋"/>
          <w:b w:val="0"/>
          <w:bCs/>
          <w:color w:val="auto"/>
          <w:sz w:val="24"/>
          <w:szCs w:val="24"/>
          <w:highlight w:val="none"/>
        </w:rPr>
        <w:t>必须开具</w:t>
      </w:r>
      <w:r>
        <w:rPr>
          <w:rFonts w:hint="eastAsia" w:ascii="仿宋" w:hAnsi="仿宋" w:eastAsia="仿宋" w:cs="仿宋"/>
          <w:b w:val="0"/>
          <w:bCs/>
          <w:color w:val="auto"/>
          <w:sz w:val="24"/>
          <w:szCs w:val="24"/>
          <w:highlight w:val="none"/>
          <w:lang w:val="en-US" w:eastAsia="zh-CN"/>
        </w:rPr>
        <w:t>所付</w:t>
      </w:r>
      <w:r>
        <w:rPr>
          <w:rFonts w:hint="eastAsia" w:ascii="仿宋" w:hAnsi="仿宋" w:eastAsia="仿宋" w:cs="仿宋"/>
          <w:b w:val="0"/>
          <w:bCs/>
          <w:color w:val="auto"/>
          <w:sz w:val="24"/>
          <w:szCs w:val="24"/>
          <w:highlight w:val="none"/>
        </w:rPr>
        <w:t>金额100%的正式税务发票）</w:t>
      </w:r>
      <w:r>
        <w:rPr>
          <w:rFonts w:hint="eastAsia" w:ascii="仿宋" w:hAnsi="仿宋" w:eastAsia="仿宋" w:cs="仿宋"/>
          <w:b w:val="0"/>
          <w:bCs/>
          <w:color w:val="auto"/>
          <w:sz w:val="24"/>
          <w:szCs w:val="24"/>
          <w:highlight w:val="none"/>
          <w:lang w:eastAsia="zh-CN"/>
        </w:rPr>
        <w:t>。</w:t>
      </w:r>
    </w:p>
    <w:p w14:paraId="3DDC7762">
      <w:pPr>
        <w:keepNext w:val="0"/>
        <w:keepLines w:val="0"/>
        <w:pageBreakBefore w:val="0"/>
        <w:widowControl w:val="0"/>
        <w:tabs>
          <w:tab w:val="left" w:pos="360"/>
        </w:tabs>
        <w:kinsoku/>
        <w:overflowPunct/>
        <w:topLinePunct w:val="0"/>
        <w:bidi w:val="0"/>
        <w:spacing w:beforeAutospacing="0" w:afterAutospacing="0" w:line="360" w:lineRule="auto"/>
        <w:ind w:firstLine="600" w:firstLineChars="25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3、本项目的质量保证期为自货物通过最终验收，向采购人移交之日起 1年（12个月）（设备另有超过质保期规定或招标文件另有规定的按就高原则执行），在保修期内所产生的相关费用由中标人承担，在此期间，因产品制造质量不良而产生损坏或不能正常工作，投标人应免费维修和正常保养。</w:t>
      </w:r>
    </w:p>
    <w:p w14:paraId="3E8FD5FD">
      <w:pPr>
        <w:keepNext w:val="0"/>
        <w:keepLines w:val="0"/>
        <w:pageBreakBefore w:val="0"/>
        <w:widowControl w:val="0"/>
        <w:tabs>
          <w:tab w:val="left" w:pos="360"/>
        </w:tabs>
        <w:kinsoku/>
        <w:overflowPunct/>
        <w:topLinePunct w:val="0"/>
        <w:bidi w:val="0"/>
        <w:spacing w:beforeAutospacing="0" w:afterAutospacing="0" w:line="360" w:lineRule="auto"/>
        <w:ind w:firstLine="600" w:firstLineChars="250"/>
        <w:rPr>
          <w:rFonts w:hint="eastAsia" w:ascii="仿宋" w:hAnsi="仿宋" w:eastAsia="仿宋" w:cs="仿宋"/>
          <w:b/>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中标人所投产品不得为贴牌产品。采购人有权在负压收集处理系统、植物液综合处理系统、离子新风系统、中央控制系统的生产节点组织技术、纪检等部门人员参与进行过程检验。在检验或验收过程中如发现不是在本企业生产、不符合招标文件要求、和投标文件不一致等弄虚作假行为，将承担相关法律责任。</w:t>
      </w:r>
    </w:p>
    <w:bookmarkEnd w:id="68"/>
    <w:bookmarkEnd w:id="70"/>
    <w:p w14:paraId="46486801">
      <w:pPr>
        <w:tabs>
          <w:tab w:val="left" w:pos="720"/>
        </w:tabs>
        <w:spacing w:line="360" w:lineRule="auto"/>
        <w:ind w:firstLine="723" w:firstLineChars="200"/>
        <w:rPr>
          <w:rFonts w:hint="default" w:ascii="仿宋" w:hAnsi="仿宋" w:eastAsia="仿宋" w:cs="仿宋"/>
          <w:color w:val="auto"/>
          <w:sz w:val="22"/>
          <w:szCs w:val="22"/>
          <w:highlight w:val="none"/>
          <w:lang w:val="en-US" w:eastAsia="zh-CN"/>
        </w:rPr>
      </w:pPr>
      <w:bookmarkStart w:id="75" w:name="_Toc24805"/>
      <w:r>
        <w:rPr>
          <w:rFonts w:hint="eastAsia" w:ascii="仿宋" w:hAnsi="仿宋" w:eastAsia="仿宋" w:cs="仿宋"/>
          <w:b/>
          <w:color w:val="auto"/>
          <w:sz w:val="36"/>
          <w:szCs w:val="36"/>
          <w:highlight w:val="none"/>
        </w:rPr>
        <w:br w:type="page"/>
      </w:r>
    </w:p>
    <w:p w14:paraId="0B00C133">
      <w:pPr>
        <w:rPr>
          <w:rFonts w:hint="eastAsia" w:ascii="仿宋" w:hAnsi="仿宋" w:eastAsia="仿宋" w:cs="仿宋"/>
          <w:b/>
          <w:color w:val="auto"/>
          <w:sz w:val="36"/>
          <w:szCs w:val="36"/>
          <w:highlight w:val="none"/>
        </w:rPr>
      </w:pPr>
    </w:p>
    <w:p w14:paraId="3366D481">
      <w:pPr>
        <w:snapToGrid w:val="0"/>
        <w:spacing w:beforeLines="150" w:afterLines="50"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第四部分  拟签订的合同文本</w:t>
      </w:r>
      <w:bookmarkEnd w:id="75"/>
    </w:p>
    <w:p w14:paraId="5351718A">
      <w:pPr>
        <w:spacing w:line="360" w:lineRule="auto"/>
        <w:ind w:firstLine="480" w:firstLineChars="200"/>
        <w:rPr>
          <w:rFonts w:hint="eastAsia" w:ascii="仿宋" w:hAnsi="仿宋" w:eastAsia="仿宋" w:cs="仿宋"/>
          <w:b/>
          <w:color w:val="auto"/>
          <w:sz w:val="24"/>
          <w:szCs w:val="24"/>
          <w:highlight w:val="none"/>
        </w:rPr>
      </w:pPr>
      <w:bookmarkStart w:id="76" w:name="_Toc495862902"/>
      <w:r>
        <w:rPr>
          <w:rFonts w:hint="eastAsia" w:ascii="仿宋" w:hAnsi="仿宋" w:eastAsia="仿宋" w:cs="仿宋"/>
          <w:color w:val="auto"/>
          <w:sz w:val="24"/>
          <w:szCs w:val="24"/>
          <w:highlight w:val="none"/>
        </w:rPr>
        <w:t>说明：如甲、乙双方同意，合同格式也可以按照其他形式。但合同条款的基本内容应与《中标合同》要求的内容相一致。</w:t>
      </w:r>
    </w:p>
    <w:bookmarkEnd w:id="76"/>
    <w:p w14:paraId="53CDCDD9">
      <w:pPr>
        <w:spacing w:line="360" w:lineRule="auto"/>
        <w:ind w:left="442"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说明：</w:t>
      </w:r>
      <w:r>
        <w:rPr>
          <w:rFonts w:hint="eastAsia" w:ascii="仿宋" w:hAnsi="仿宋" w:eastAsia="仿宋" w:cs="仿宋"/>
          <w:b/>
          <w:color w:val="auto"/>
          <w:sz w:val="24"/>
          <w:szCs w:val="24"/>
          <w:highlight w:val="none"/>
          <w:u w:val="single"/>
        </w:rPr>
        <w:t>本次合同由</w:t>
      </w:r>
      <w:r>
        <w:rPr>
          <w:rFonts w:hint="eastAsia" w:ascii="仿宋" w:hAnsi="仿宋" w:eastAsia="仿宋" w:cs="仿宋"/>
          <w:b/>
          <w:color w:val="auto"/>
          <w:sz w:val="24"/>
          <w:szCs w:val="24"/>
          <w:highlight w:val="none"/>
          <w:u w:val="single"/>
          <w:lang w:eastAsia="zh-CN"/>
        </w:rPr>
        <w:t>温州市鹿城区旅游和体育事业发展中心</w:t>
      </w:r>
      <w:r>
        <w:rPr>
          <w:rFonts w:hint="eastAsia" w:ascii="仿宋" w:hAnsi="仿宋" w:eastAsia="仿宋" w:cs="仿宋"/>
          <w:b/>
          <w:color w:val="auto"/>
          <w:sz w:val="24"/>
          <w:szCs w:val="24"/>
          <w:highlight w:val="none"/>
          <w:u w:val="single"/>
        </w:rPr>
        <w:t>与中标供应商签定。</w:t>
      </w:r>
      <w:r>
        <w:rPr>
          <w:rFonts w:hint="eastAsia" w:ascii="仿宋" w:hAnsi="仿宋" w:eastAsia="仿宋" w:cs="仿宋"/>
          <w:color w:val="auto"/>
          <w:sz w:val="24"/>
          <w:szCs w:val="24"/>
          <w:highlight w:val="none"/>
        </w:rPr>
        <w:t>如甲、乙双方同意，合同格式也可以按照其他形式。但合同条款的基本内容应与《中标合同》要求的内容相一致。</w:t>
      </w:r>
    </w:p>
    <w:p w14:paraId="018B60DC">
      <w:pPr>
        <w:spacing w:line="360" w:lineRule="auto"/>
        <w:ind w:firstLine="588" w:firstLineChars="2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（采购人）</w:t>
      </w:r>
    </w:p>
    <w:p w14:paraId="3BBBD1D2">
      <w:pPr>
        <w:spacing w:line="360" w:lineRule="auto"/>
        <w:ind w:firstLine="588" w:firstLineChars="2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乙方: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（中标供应商）</w:t>
      </w:r>
    </w:p>
    <w:p w14:paraId="306FB55D">
      <w:pPr>
        <w:spacing w:line="360" w:lineRule="auto"/>
        <w:ind w:firstLine="588" w:firstLineChars="245"/>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eastAsia="zh-CN"/>
        </w:rPr>
        <w:t>温州市鹿城区旅游和体育事业发展中心</w:t>
      </w:r>
      <w:r>
        <w:rPr>
          <w:rFonts w:hint="eastAsia" w:ascii="仿宋" w:hAnsi="仿宋" w:eastAsia="仿宋" w:cs="仿宋"/>
          <w:bCs/>
          <w:color w:val="auto"/>
          <w:sz w:val="24"/>
          <w:szCs w:val="24"/>
          <w:highlight w:val="none"/>
        </w:rPr>
        <w:t>的</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（项目名称、编号）在国内以</w:t>
      </w:r>
      <w:r>
        <w:rPr>
          <w:rFonts w:hint="eastAsia" w:ascii="仿宋" w:hAnsi="仿宋" w:eastAsia="仿宋" w:cs="仿宋"/>
          <w:bCs/>
          <w:color w:val="auto"/>
          <w:sz w:val="24"/>
          <w:szCs w:val="24"/>
          <w:highlight w:val="none"/>
          <w:u w:val="single"/>
        </w:rPr>
        <w:t>公开招标</w:t>
      </w:r>
      <w:r>
        <w:rPr>
          <w:rFonts w:hint="eastAsia" w:ascii="仿宋" w:hAnsi="仿宋" w:eastAsia="仿宋" w:cs="仿宋"/>
          <w:bCs/>
          <w:color w:val="auto"/>
          <w:sz w:val="24"/>
          <w:szCs w:val="24"/>
          <w:highlight w:val="none"/>
        </w:rPr>
        <w:t>方式进行采购，经评标委员会评定</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（中标供应商名称）为中标供应商。双方本着诚信及互利互惠的原则，同意按照下面条款和条件，签署本合同。</w:t>
      </w:r>
    </w:p>
    <w:p w14:paraId="7C4CDE4A">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一、本合同签订依据</w:t>
      </w:r>
    </w:p>
    <w:p w14:paraId="742FEC41">
      <w:pPr>
        <w:spacing w:line="360" w:lineRule="auto"/>
        <w:ind w:firstLine="588" w:firstLineChars="245"/>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《中华人民共和国民法典》</w:t>
      </w:r>
      <w:r>
        <w:rPr>
          <w:rFonts w:hint="eastAsia" w:ascii="仿宋" w:hAnsi="仿宋" w:eastAsia="仿宋" w:cs="仿宋"/>
          <w:bCs/>
          <w:color w:val="auto"/>
          <w:sz w:val="24"/>
          <w:szCs w:val="24"/>
          <w:highlight w:val="none"/>
          <w:lang w:eastAsia="zh-CN"/>
        </w:rPr>
        <w:t>、《中华人民共和国政府采购法》</w:t>
      </w:r>
    </w:p>
    <w:p w14:paraId="783CA34E">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二、合同文件的优先次序</w:t>
      </w:r>
    </w:p>
    <w:p w14:paraId="1265F97E">
      <w:pPr>
        <w:spacing w:line="360" w:lineRule="auto"/>
        <w:ind w:firstLine="588" w:firstLineChars="245"/>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合同文件如存在歧义或不一致则根据以下优先次序来判断：</w:t>
      </w:r>
    </w:p>
    <w:p w14:paraId="69C2D671">
      <w:pPr>
        <w:spacing w:line="360" w:lineRule="auto"/>
        <w:ind w:firstLine="588" w:firstLineChars="245"/>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1、合同书及合同补充条款或说明 </w:t>
      </w:r>
    </w:p>
    <w:p w14:paraId="70C68850">
      <w:pPr>
        <w:spacing w:line="360" w:lineRule="auto"/>
        <w:ind w:firstLine="588" w:firstLineChars="245"/>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2、中标（成交）通知书</w:t>
      </w:r>
    </w:p>
    <w:p w14:paraId="1711C314">
      <w:pPr>
        <w:spacing w:line="360" w:lineRule="auto"/>
        <w:ind w:firstLine="588" w:firstLineChars="245"/>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3、承诺书（含询标记录和优惠条款）</w:t>
      </w:r>
    </w:p>
    <w:p w14:paraId="24849471">
      <w:pPr>
        <w:spacing w:line="360" w:lineRule="auto"/>
        <w:ind w:firstLine="588" w:firstLineChars="245"/>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4、</w:t>
      </w:r>
      <w:r>
        <w:rPr>
          <w:rFonts w:hint="eastAsia" w:ascii="仿宋" w:hAnsi="仿宋" w:eastAsia="仿宋" w:cs="仿宋"/>
          <w:bCs/>
          <w:color w:val="auto"/>
          <w:sz w:val="24"/>
          <w:szCs w:val="24"/>
          <w:highlight w:val="none"/>
          <w:lang w:eastAsia="zh-CN"/>
        </w:rPr>
        <w:t>招标文件</w:t>
      </w:r>
    </w:p>
    <w:p w14:paraId="69216D70">
      <w:pPr>
        <w:spacing w:line="360" w:lineRule="auto"/>
        <w:ind w:firstLine="588" w:firstLineChars="245"/>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5、投标文件</w:t>
      </w:r>
    </w:p>
    <w:p w14:paraId="58BAACAD">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三、采购内容</w:t>
      </w:r>
    </w:p>
    <w:p w14:paraId="44F43D5A">
      <w:pPr>
        <w:spacing w:line="360" w:lineRule="auto"/>
        <w:ind w:firstLine="588" w:firstLineChars="245"/>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1、产品名称、规格及数量</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418"/>
        <w:gridCol w:w="894"/>
        <w:gridCol w:w="1065"/>
        <w:gridCol w:w="765"/>
        <w:gridCol w:w="681"/>
        <w:gridCol w:w="941"/>
        <w:gridCol w:w="1132"/>
        <w:gridCol w:w="1486"/>
      </w:tblGrid>
      <w:tr w14:paraId="63557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top"/>
          </w:tcPr>
          <w:p w14:paraId="4435E450">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418" w:type="dxa"/>
            <w:noWrap w:val="0"/>
            <w:vAlign w:val="top"/>
          </w:tcPr>
          <w:p w14:paraId="14AB663F">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产品名称</w:t>
            </w:r>
          </w:p>
        </w:tc>
        <w:tc>
          <w:tcPr>
            <w:tcW w:w="894" w:type="dxa"/>
            <w:noWrap w:val="0"/>
            <w:vAlign w:val="top"/>
          </w:tcPr>
          <w:p w14:paraId="11C01148">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品牌</w:t>
            </w:r>
          </w:p>
        </w:tc>
        <w:tc>
          <w:tcPr>
            <w:tcW w:w="1065" w:type="dxa"/>
            <w:noWrap w:val="0"/>
            <w:vAlign w:val="top"/>
          </w:tcPr>
          <w:p w14:paraId="165113AA">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tc>
        <w:tc>
          <w:tcPr>
            <w:tcW w:w="765" w:type="dxa"/>
            <w:noWrap w:val="0"/>
            <w:vAlign w:val="top"/>
          </w:tcPr>
          <w:p w14:paraId="26D2D57B">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681" w:type="dxa"/>
            <w:noWrap w:val="0"/>
            <w:vAlign w:val="top"/>
          </w:tcPr>
          <w:p w14:paraId="44FF81B2">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合价</w:t>
            </w:r>
          </w:p>
        </w:tc>
        <w:tc>
          <w:tcPr>
            <w:tcW w:w="941" w:type="dxa"/>
            <w:noWrap w:val="0"/>
            <w:vAlign w:val="top"/>
          </w:tcPr>
          <w:p w14:paraId="5322AC8A">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质保期</w:t>
            </w:r>
          </w:p>
        </w:tc>
        <w:tc>
          <w:tcPr>
            <w:tcW w:w="1132" w:type="dxa"/>
            <w:noWrap w:val="0"/>
            <w:vAlign w:val="top"/>
          </w:tcPr>
          <w:p w14:paraId="5347E6CB">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交货周期</w:t>
            </w:r>
          </w:p>
        </w:tc>
        <w:tc>
          <w:tcPr>
            <w:tcW w:w="1486" w:type="dxa"/>
            <w:noWrap w:val="0"/>
            <w:vAlign w:val="top"/>
          </w:tcPr>
          <w:p w14:paraId="30A07271">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3ADF9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top"/>
          </w:tcPr>
          <w:p w14:paraId="23336EFF">
            <w:pPr>
              <w:spacing w:line="360" w:lineRule="auto"/>
              <w:rPr>
                <w:rFonts w:hint="eastAsia" w:ascii="仿宋" w:hAnsi="仿宋" w:eastAsia="仿宋" w:cs="仿宋"/>
                <w:color w:val="auto"/>
                <w:sz w:val="24"/>
                <w:szCs w:val="24"/>
                <w:highlight w:val="none"/>
              </w:rPr>
            </w:pPr>
          </w:p>
        </w:tc>
        <w:tc>
          <w:tcPr>
            <w:tcW w:w="1418" w:type="dxa"/>
            <w:noWrap w:val="0"/>
            <w:vAlign w:val="top"/>
          </w:tcPr>
          <w:p w14:paraId="1C10569A">
            <w:pPr>
              <w:spacing w:line="360" w:lineRule="auto"/>
              <w:rPr>
                <w:rFonts w:hint="eastAsia" w:ascii="仿宋" w:hAnsi="仿宋" w:eastAsia="仿宋" w:cs="仿宋"/>
                <w:color w:val="auto"/>
                <w:sz w:val="24"/>
                <w:szCs w:val="24"/>
                <w:highlight w:val="none"/>
              </w:rPr>
            </w:pPr>
          </w:p>
        </w:tc>
        <w:tc>
          <w:tcPr>
            <w:tcW w:w="894" w:type="dxa"/>
            <w:noWrap w:val="0"/>
            <w:vAlign w:val="top"/>
          </w:tcPr>
          <w:p w14:paraId="56836D17">
            <w:pPr>
              <w:spacing w:line="360" w:lineRule="auto"/>
              <w:rPr>
                <w:rFonts w:hint="eastAsia" w:ascii="仿宋" w:hAnsi="仿宋" w:eastAsia="仿宋" w:cs="仿宋"/>
                <w:color w:val="auto"/>
                <w:sz w:val="24"/>
                <w:szCs w:val="24"/>
                <w:highlight w:val="none"/>
              </w:rPr>
            </w:pPr>
          </w:p>
        </w:tc>
        <w:tc>
          <w:tcPr>
            <w:tcW w:w="1065" w:type="dxa"/>
            <w:noWrap w:val="0"/>
            <w:vAlign w:val="top"/>
          </w:tcPr>
          <w:p w14:paraId="7BC5B866">
            <w:pPr>
              <w:spacing w:line="360" w:lineRule="auto"/>
              <w:rPr>
                <w:rFonts w:hint="eastAsia" w:ascii="仿宋" w:hAnsi="仿宋" w:eastAsia="仿宋" w:cs="仿宋"/>
                <w:color w:val="auto"/>
                <w:sz w:val="24"/>
                <w:szCs w:val="24"/>
                <w:highlight w:val="none"/>
              </w:rPr>
            </w:pPr>
          </w:p>
        </w:tc>
        <w:tc>
          <w:tcPr>
            <w:tcW w:w="765" w:type="dxa"/>
            <w:noWrap w:val="0"/>
            <w:vAlign w:val="top"/>
          </w:tcPr>
          <w:p w14:paraId="4D7B01A6">
            <w:pPr>
              <w:spacing w:line="360" w:lineRule="auto"/>
              <w:rPr>
                <w:rFonts w:hint="eastAsia" w:ascii="仿宋" w:hAnsi="仿宋" w:eastAsia="仿宋" w:cs="仿宋"/>
                <w:color w:val="auto"/>
                <w:sz w:val="24"/>
                <w:szCs w:val="24"/>
                <w:highlight w:val="none"/>
              </w:rPr>
            </w:pPr>
          </w:p>
        </w:tc>
        <w:tc>
          <w:tcPr>
            <w:tcW w:w="681" w:type="dxa"/>
            <w:noWrap w:val="0"/>
            <w:vAlign w:val="top"/>
          </w:tcPr>
          <w:p w14:paraId="5BA7FE94">
            <w:pPr>
              <w:spacing w:line="360" w:lineRule="auto"/>
              <w:rPr>
                <w:rFonts w:hint="eastAsia" w:ascii="仿宋" w:hAnsi="仿宋" w:eastAsia="仿宋" w:cs="仿宋"/>
                <w:color w:val="auto"/>
                <w:sz w:val="24"/>
                <w:szCs w:val="24"/>
                <w:highlight w:val="none"/>
              </w:rPr>
            </w:pPr>
          </w:p>
        </w:tc>
        <w:tc>
          <w:tcPr>
            <w:tcW w:w="941" w:type="dxa"/>
            <w:noWrap w:val="0"/>
            <w:vAlign w:val="top"/>
          </w:tcPr>
          <w:p w14:paraId="057636C9">
            <w:pPr>
              <w:spacing w:line="360" w:lineRule="auto"/>
              <w:rPr>
                <w:rFonts w:hint="eastAsia" w:ascii="仿宋" w:hAnsi="仿宋" w:eastAsia="仿宋" w:cs="仿宋"/>
                <w:color w:val="auto"/>
                <w:sz w:val="24"/>
                <w:szCs w:val="24"/>
                <w:highlight w:val="none"/>
              </w:rPr>
            </w:pPr>
          </w:p>
        </w:tc>
        <w:tc>
          <w:tcPr>
            <w:tcW w:w="1132" w:type="dxa"/>
            <w:noWrap w:val="0"/>
            <w:vAlign w:val="top"/>
          </w:tcPr>
          <w:p w14:paraId="6650DA52">
            <w:pPr>
              <w:spacing w:line="360" w:lineRule="auto"/>
              <w:rPr>
                <w:rFonts w:hint="eastAsia" w:ascii="仿宋" w:hAnsi="仿宋" w:eastAsia="仿宋" w:cs="仿宋"/>
                <w:color w:val="auto"/>
                <w:sz w:val="24"/>
                <w:szCs w:val="24"/>
                <w:highlight w:val="none"/>
              </w:rPr>
            </w:pPr>
          </w:p>
        </w:tc>
        <w:tc>
          <w:tcPr>
            <w:tcW w:w="1486" w:type="dxa"/>
            <w:noWrap w:val="0"/>
            <w:vAlign w:val="top"/>
          </w:tcPr>
          <w:p w14:paraId="793AC7F8">
            <w:pPr>
              <w:spacing w:line="360" w:lineRule="auto"/>
              <w:rPr>
                <w:rFonts w:hint="eastAsia" w:ascii="仿宋" w:hAnsi="仿宋" w:eastAsia="仿宋" w:cs="仿宋"/>
                <w:color w:val="auto"/>
                <w:sz w:val="24"/>
                <w:szCs w:val="24"/>
                <w:highlight w:val="none"/>
              </w:rPr>
            </w:pPr>
          </w:p>
        </w:tc>
      </w:tr>
      <w:tr w14:paraId="78C92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top"/>
          </w:tcPr>
          <w:p w14:paraId="0415278C">
            <w:pPr>
              <w:spacing w:line="360" w:lineRule="auto"/>
              <w:rPr>
                <w:rFonts w:hint="eastAsia" w:ascii="仿宋" w:hAnsi="仿宋" w:eastAsia="仿宋" w:cs="仿宋"/>
                <w:color w:val="auto"/>
                <w:sz w:val="24"/>
                <w:szCs w:val="24"/>
                <w:highlight w:val="none"/>
              </w:rPr>
            </w:pPr>
          </w:p>
        </w:tc>
        <w:tc>
          <w:tcPr>
            <w:tcW w:w="1418" w:type="dxa"/>
            <w:noWrap w:val="0"/>
            <w:vAlign w:val="top"/>
          </w:tcPr>
          <w:p w14:paraId="42077451">
            <w:pPr>
              <w:spacing w:line="360" w:lineRule="auto"/>
              <w:rPr>
                <w:rFonts w:hint="eastAsia" w:ascii="仿宋" w:hAnsi="仿宋" w:eastAsia="仿宋" w:cs="仿宋"/>
                <w:color w:val="auto"/>
                <w:sz w:val="24"/>
                <w:szCs w:val="24"/>
                <w:highlight w:val="none"/>
              </w:rPr>
            </w:pPr>
          </w:p>
        </w:tc>
        <w:tc>
          <w:tcPr>
            <w:tcW w:w="894" w:type="dxa"/>
            <w:noWrap w:val="0"/>
            <w:vAlign w:val="top"/>
          </w:tcPr>
          <w:p w14:paraId="1F38CE5E">
            <w:pPr>
              <w:spacing w:line="360" w:lineRule="auto"/>
              <w:rPr>
                <w:rFonts w:hint="eastAsia" w:ascii="仿宋" w:hAnsi="仿宋" w:eastAsia="仿宋" w:cs="仿宋"/>
                <w:color w:val="auto"/>
                <w:sz w:val="24"/>
                <w:szCs w:val="24"/>
                <w:highlight w:val="none"/>
              </w:rPr>
            </w:pPr>
          </w:p>
        </w:tc>
        <w:tc>
          <w:tcPr>
            <w:tcW w:w="1065" w:type="dxa"/>
            <w:noWrap w:val="0"/>
            <w:vAlign w:val="top"/>
          </w:tcPr>
          <w:p w14:paraId="520F7B08">
            <w:pPr>
              <w:spacing w:line="360" w:lineRule="auto"/>
              <w:rPr>
                <w:rFonts w:hint="eastAsia" w:ascii="仿宋" w:hAnsi="仿宋" w:eastAsia="仿宋" w:cs="仿宋"/>
                <w:color w:val="auto"/>
                <w:sz w:val="24"/>
                <w:szCs w:val="24"/>
                <w:highlight w:val="none"/>
              </w:rPr>
            </w:pPr>
          </w:p>
        </w:tc>
        <w:tc>
          <w:tcPr>
            <w:tcW w:w="765" w:type="dxa"/>
            <w:noWrap w:val="0"/>
            <w:vAlign w:val="top"/>
          </w:tcPr>
          <w:p w14:paraId="017F848E">
            <w:pPr>
              <w:spacing w:line="360" w:lineRule="auto"/>
              <w:rPr>
                <w:rFonts w:hint="eastAsia" w:ascii="仿宋" w:hAnsi="仿宋" w:eastAsia="仿宋" w:cs="仿宋"/>
                <w:color w:val="auto"/>
                <w:sz w:val="24"/>
                <w:szCs w:val="24"/>
                <w:highlight w:val="none"/>
              </w:rPr>
            </w:pPr>
          </w:p>
        </w:tc>
        <w:tc>
          <w:tcPr>
            <w:tcW w:w="681" w:type="dxa"/>
            <w:noWrap w:val="0"/>
            <w:vAlign w:val="top"/>
          </w:tcPr>
          <w:p w14:paraId="22F14A69">
            <w:pPr>
              <w:spacing w:line="360" w:lineRule="auto"/>
              <w:rPr>
                <w:rFonts w:hint="eastAsia" w:ascii="仿宋" w:hAnsi="仿宋" w:eastAsia="仿宋" w:cs="仿宋"/>
                <w:color w:val="auto"/>
                <w:sz w:val="24"/>
                <w:szCs w:val="24"/>
                <w:highlight w:val="none"/>
              </w:rPr>
            </w:pPr>
          </w:p>
        </w:tc>
        <w:tc>
          <w:tcPr>
            <w:tcW w:w="941" w:type="dxa"/>
            <w:noWrap w:val="0"/>
            <w:vAlign w:val="top"/>
          </w:tcPr>
          <w:p w14:paraId="71D629E0">
            <w:pPr>
              <w:spacing w:line="360" w:lineRule="auto"/>
              <w:rPr>
                <w:rFonts w:hint="eastAsia" w:ascii="仿宋" w:hAnsi="仿宋" w:eastAsia="仿宋" w:cs="仿宋"/>
                <w:color w:val="auto"/>
                <w:sz w:val="24"/>
                <w:szCs w:val="24"/>
                <w:highlight w:val="none"/>
              </w:rPr>
            </w:pPr>
          </w:p>
        </w:tc>
        <w:tc>
          <w:tcPr>
            <w:tcW w:w="1132" w:type="dxa"/>
            <w:noWrap w:val="0"/>
            <w:vAlign w:val="top"/>
          </w:tcPr>
          <w:p w14:paraId="277A79B2">
            <w:pPr>
              <w:spacing w:line="360" w:lineRule="auto"/>
              <w:rPr>
                <w:rFonts w:hint="eastAsia" w:ascii="仿宋" w:hAnsi="仿宋" w:eastAsia="仿宋" w:cs="仿宋"/>
                <w:color w:val="auto"/>
                <w:sz w:val="24"/>
                <w:szCs w:val="24"/>
                <w:highlight w:val="none"/>
              </w:rPr>
            </w:pPr>
          </w:p>
        </w:tc>
        <w:tc>
          <w:tcPr>
            <w:tcW w:w="1486" w:type="dxa"/>
            <w:noWrap w:val="0"/>
            <w:vAlign w:val="top"/>
          </w:tcPr>
          <w:p w14:paraId="3B49B22A">
            <w:pPr>
              <w:spacing w:line="360" w:lineRule="auto"/>
              <w:rPr>
                <w:rFonts w:hint="eastAsia" w:ascii="仿宋" w:hAnsi="仿宋" w:eastAsia="仿宋" w:cs="仿宋"/>
                <w:color w:val="auto"/>
                <w:sz w:val="24"/>
                <w:szCs w:val="24"/>
                <w:highlight w:val="none"/>
              </w:rPr>
            </w:pPr>
          </w:p>
        </w:tc>
      </w:tr>
      <w:tr w14:paraId="5960C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2" w:type="dxa"/>
            <w:gridSpan w:val="7"/>
            <w:noWrap w:val="0"/>
            <w:vAlign w:val="top"/>
          </w:tcPr>
          <w:p w14:paraId="2F837521">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合同额：大写：                              小写：</w:t>
            </w:r>
          </w:p>
        </w:tc>
        <w:tc>
          <w:tcPr>
            <w:tcW w:w="1132" w:type="dxa"/>
            <w:noWrap w:val="0"/>
            <w:vAlign w:val="top"/>
          </w:tcPr>
          <w:p w14:paraId="1553EC67">
            <w:pPr>
              <w:spacing w:line="360" w:lineRule="auto"/>
              <w:rPr>
                <w:rFonts w:hint="eastAsia" w:ascii="仿宋" w:hAnsi="仿宋" w:eastAsia="仿宋" w:cs="仿宋"/>
                <w:color w:val="auto"/>
                <w:sz w:val="24"/>
                <w:szCs w:val="24"/>
                <w:highlight w:val="none"/>
              </w:rPr>
            </w:pPr>
          </w:p>
        </w:tc>
        <w:tc>
          <w:tcPr>
            <w:tcW w:w="1486" w:type="dxa"/>
            <w:noWrap w:val="0"/>
            <w:vAlign w:val="top"/>
          </w:tcPr>
          <w:p w14:paraId="01725D1C">
            <w:pPr>
              <w:spacing w:line="360" w:lineRule="auto"/>
              <w:rPr>
                <w:rFonts w:hint="eastAsia" w:ascii="仿宋" w:hAnsi="仿宋" w:eastAsia="仿宋" w:cs="仿宋"/>
                <w:color w:val="auto"/>
                <w:sz w:val="24"/>
                <w:szCs w:val="24"/>
                <w:highlight w:val="none"/>
              </w:rPr>
            </w:pPr>
          </w:p>
        </w:tc>
      </w:tr>
    </w:tbl>
    <w:p w14:paraId="70EB540B">
      <w:pPr>
        <w:spacing w:line="360" w:lineRule="auto"/>
        <w:ind w:firstLine="588" w:firstLineChars="245"/>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2、标准和计量单位</w:t>
      </w:r>
    </w:p>
    <w:p w14:paraId="6D981518">
      <w:pPr>
        <w:spacing w:line="360" w:lineRule="auto"/>
        <w:ind w:firstLine="588" w:firstLineChars="2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（1）本合同项下交付的货物应符合技术规格所述的标准。如在</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中无相应说明，则以国家颁布的最新版本标准或行业（部）标准或相应的国际标准执行，没有国家或行业（部）标准的则按企业标准执行。</w:t>
      </w:r>
    </w:p>
    <w:p w14:paraId="33D202A2">
      <w:pPr>
        <w:spacing w:line="360" w:lineRule="auto"/>
        <w:ind w:firstLine="588" w:firstLineChars="2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除非技术规格中另有规定，计量单位均采用中华人民共和国法定计量单位。</w:t>
      </w:r>
    </w:p>
    <w:p w14:paraId="199CC611">
      <w:pPr>
        <w:spacing w:line="360" w:lineRule="auto"/>
        <w:ind w:firstLine="588" w:firstLineChars="245"/>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3、专利权</w:t>
      </w:r>
    </w:p>
    <w:p w14:paraId="40718233">
      <w:pPr>
        <w:spacing w:line="360" w:lineRule="auto"/>
        <w:ind w:firstLine="588" w:firstLineChars="2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乙方应保证，甲方在使用该货物或货物的任何一部分时，免受第三方提出的侵犯其专利权、商标权、著作权或其它知识产权的起诉。乙方应承担由此可能产生的一切法律责任和费用。</w:t>
      </w:r>
    </w:p>
    <w:p w14:paraId="06E7C804">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四、设备交货</w:t>
      </w:r>
    </w:p>
    <w:p w14:paraId="041E1A6F">
      <w:pPr>
        <w:spacing w:line="360" w:lineRule="auto"/>
        <w:ind w:firstLine="588" w:firstLineChars="2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1、包装要求</w:t>
      </w:r>
    </w:p>
    <w:p w14:paraId="7961CB53">
      <w:pPr>
        <w:spacing w:line="360" w:lineRule="auto"/>
        <w:ind w:firstLine="588" w:firstLineChars="245"/>
        <w:rPr>
          <w:rFonts w:hint="eastAsia" w:ascii="仿宋" w:hAnsi="仿宋" w:eastAsia="仿宋" w:cs="仿宋"/>
          <w:color w:val="auto"/>
          <w:sz w:val="24"/>
          <w:szCs w:val="24"/>
          <w:highlight w:val="none"/>
        </w:rPr>
      </w:pPr>
      <w:bookmarkStart w:id="77" w:name="OLE_LINK4"/>
      <w:r>
        <w:rPr>
          <w:rFonts w:hint="eastAsia" w:ascii="仿宋" w:hAnsi="仿宋" w:eastAsia="仿宋" w:cs="仿宋"/>
          <w:color w:val="auto"/>
          <w:sz w:val="24"/>
          <w:szCs w:val="24"/>
          <w:highlight w:val="none"/>
        </w:rPr>
        <w:t>（1）除合同另有规定外，乙方应提供货物运至合同规定的最终目的地所需要的包装，以防止货物在转运中损坏或变质。这类包装应采取防潮、防晒、防锈防腐蚀、防震动及防止其他损坏的必要保护措施，从而保护货物能够经受多次搬运、装卸储存等并充分考虑到运输途中的各种复杂情况（例如恶劣天气）和温州地区气候特点以及露天存放问题。乙方应承担由于包装或防护措施不妥而引起货物锈蚀、损坏和丢失的任何损失的责任或费用。</w:t>
      </w:r>
    </w:p>
    <w:p w14:paraId="7BD2E315">
      <w:pPr>
        <w:spacing w:line="360" w:lineRule="auto"/>
        <w:ind w:firstLine="588" w:firstLineChars="2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（2）每一包装箱内必须附有装箱清单、合格证和齐全的技术资料等。</w:t>
      </w:r>
      <w:bookmarkEnd w:id="77"/>
    </w:p>
    <w:p w14:paraId="3C7BBE14">
      <w:pPr>
        <w:spacing w:line="360" w:lineRule="auto"/>
        <w:ind w:firstLine="588" w:firstLineChars="2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（3）乙方应在每一包装箱的四侧用不褪色的油漆以醒目的中文字样标注“收货人”“货物名称”“小心轻放”、“防潮”、“此端朝上，请勿倒置”等字样和其他国际贸易中使用的适当标志。</w:t>
      </w:r>
    </w:p>
    <w:p w14:paraId="5DDD4D02">
      <w:pPr>
        <w:spacing w:line="360" w:lineRule="auto"/>
        <w:ind w:firstLine="588" w:firstLineChars="2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2、交货方式</w:t>
      </w:r>
    </w:p>
    <w:p w14:paraId="55F49A2C">
      <w:pPr>
        <w:spacing w:line="360" w:lineRule="auto"/>
        <w:ind w:firstLine="588" w:firstLineChars="2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（1）现场交货：乙方负责办理运输和保险，将货物运抵甲方指定的现场并落地就位。有关运输和保险的一切费用由乙方承担。所有货物运抵现场的日期为交货日期。</w:t>
      </w:r>
    </w:p>
    <w:p w14:paraId="0F570068">
      <w:pPr>
        <w:spacing w:line="360" w:lineRule="auto"/>
        <w:ind w:firstLine="588" w:firstLineChars="2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（2）在现场交货条件下，乙方在货物发运前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天，将要发运货物的合同号、货物名称、规格、数量、包装箱件数、重量、包装箱尺寸（长×宽×高）和货物的卸车，贮存的特殊要求以及运输工具名称以及启运日期，以传真形式通知甲方。</w:t>
      </w:r>
    </w:p>
    <w:p w14:paraId="4FF45FB4">
      <w:pPr>
        <w:spacing w:line="360" w:lineRule="auto"/>
        <w:ind w:firstLine="588" w:firstLineChars="2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（3）如因乙方延误将上述内容用传真形式通知甲方，由此引起的一切损失应由乙方承担。</w:t>
      </w:r>
    </w:p>
    <w:p w14:paraId="7989B2AF">
      <w:pPr>
        <w:spacing w:line="360" w:lineRule="auto"/>
        <w:ind w:firstLine="590" w:firstLineChars="245"/>
        <w:rPr>
          <w:rFonts w:hint="eastAsia" w:ascii="仿宋" w:hAnsi="仿宋" w:eastAsia="仿宋" w:cs="仿宋"/>
          <w:i w:val="0"/>
          <w:iCs/>
          <w:color w:val="auto"/>
          <w:sz w:val="24"/>
          <w:szCs w:val="24"/>
          <w:highlight w:val="none"/>
          <w:u w:val="none"/>
          <w:lang w:eastAsia="zh-CN"/>
        </w:rPr>
      </w:pPr>
      <w:r>
        <w:rPr>
          <w:rFonts w:hint="eastAsia" w:ascii="仿宋" w:hAnsi="仿宋" w:eastAsia="仿宋" w:cs="仿宋"/>
          <w:b/>
          <w:color w:val="auto"/>
          <w:sz w:val="24"/>
          <w:szCs w:val="24"/>
          <w:highlight w:val="none"/>
        </w:rPr>
        <w:t>3、交付日期：</w:t>
      </w:r>
      <w:r>
        <w:rPr>
          <w:rFonts w:hint="eastAsia" w:ascii="仿宋" w:hAnsi="仿宋" w:eastAsia="仿宋" w:cs="仿宋"/>
          <w:i w:val="0"/>
          <w:iCs/>
          <w:color w:val="auto"/>
          <w:sz w:val="24"/>
          <w:szCs w:val="24"/>
          <w:highlight w:val="none"/>
          <w:u w:val="single"/>
          <w:lang w:eastAsia="zh-CN"/>
        </w:rPr>
        <w:t>合同签订后</w:t>
      </w:r>
      <w:r>
        <w:rPr>
          <w:rFonts w:hint="eastAsia" w:ascii="仿宋" w:hAnsi="仿宋" w:eastAsia="仿宋" w:cs="仿宋"/>
          <w:i w:val="0"/>
          <w:iCs/>
          <w:color w:val="auto"/>
          <w:sz w:val="24"/>
          <w:szCs w:val="24"/>
          <w:highlight w:val="none"/>
          <w:u w:val="single"/>
          <w:lang w:val="en-US" w:eastAsia="zh-CN"/>
        </w:rPr>
        <w:t xml:space="preserve">   </w:t>
      </w:r>
      <w:r>
        <w:rPr>
          <w:rFonts w:hint="eastAsia" w:ascii="仿宋" w:hAnsi="仿宋" w:eastAsia="仿宋" w:cs="仿宋"/>
          <w:i w:val="0"/>
          <w:iCs/>
          <w:color w:val="auto"/>
          <w:sz w:val="24"/>
          <w:szCs w:val="24"/>
          <w:highlight w:val="none"/>
          <w:u w:val="single"/>
          <w:lang w:eastAsia="zh-CN"/>
        </w:rPr>
        <w:t>日历天内完成供货安装调试并一次性验收合格。</w:t>
      </w:r>
    </w:p>
    <w:p w14:paraId="56B4AE7D">
      <w:pPr>
        <w:spacing w:line="360" w:lineRule="auto"/>
        <w:ind w:firstLine="590" w:firstLineChars="245"/>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4、交货地点：甲方指定地点</w:t>
      </w:r>
      <w:r>
        <w:rPr>
          <w:rFonts w:hint="eastAsia" w:ascii="仿宋" w:hAnsi="仿宋" w:eastAsia="仿宋" w:cs="仿宋"/>
          <w:b/>
          <w:color w:val="auto"/>
          <w:sz w:val="24"/>
          <w:szCs w:val="24"/>
          <w:highlight w:val="none"/>
          <w:lang w:eastAsia="zh-CN"/>
        </w:rPr>
        <w:t>。</w:t>
      </w:r>
    </w:p>
    <w:p w14:paraId="17CB1388">
      <w:pPr>
        <w:spacing w:line="360" w:lineRule="auto"/>
        <w:ind w:firstLine="590" w:firstLineChars="245"/>
        <w:rPr>
          <w:rFonts w:hint="eastAsia" w:ascii="仿宋" w:hAnsi="仿宋" w:eastAsia="仿宋" w:cs="仿宋"/>
          <w:b/>
          <w:color w:val="auto"/>
          <w:sz w:val="24"/>
          <w:szCs w:val="24"/>
          <w:highlight w:val="none"/>
        </w:rPr>
      </w:pPr>
      <w:bookmarkStart w:id="78" w:name="OLE_LINK6"/>
      <w:r>
        <w:rPr>
          <w:rFonts w:hint="eastAsia" w:ascii="仿宋" w:hAnsi="仿宋" w:eastAsia="仿宋" w:cs="仿宋"/>
          <w:b/>
          <w:color w:val="auto"/>
          <w:sz w:val="24"/>
          <w:szCs w:val="24"/>
          <w:highlight w:val="none"/>
        </w:rPr>
        <w:t>5、技术文件和资料</w:t>
      </w:r>
    </w:p>
    <w:p w14:paraId="49B89DC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（1）随同货物一起发运需随机提供包装完整的目录索引、技术说明书、操作手册、使用指南、维修指南(或服务手册)和示意图、性能测试报告、合格证书等；资料需装订成册，其费用包括在货物总价内。</w:t>
      </w:r>
    </w:p>
    <w:p w14:paraId="307504D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（2）如果甲方确认乙方提供的技术文件和资料不完整，或在运输途中丢失或破损字迹不清，乙方应在收到甲方通知后3天内将这些文件、资料补齐。</w:t>
      </w:r>
      <w:bookmarkEnd w:id="78"/>
    </w:p>
    <w:p w14:paraId="2D6F635B">
      <w:pPr>
        <w:spacing w:line="360" w:lineRule="auto"/>
        <w:ind w:firstLine="120" w:firstLineChars="5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五、付款方式与结算</w:t>
      </w:r>
    </w:p>
    <w:p w14:paraId="76B5CA4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履约保证金支付</w:t>
      </w:r>
    </w:p>
    <w:p w14:paraId="6AA480D6">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合同签订后，乙方5个工作日内支付合同金额的1%或保函作为履约保证金，履约保证金自项目验收合格之日起无质量问题，甲方按程序在7个工作日内无息退还或退还保函。</w:t>
      </w:r>
    </w:p>
    <w:p w14:paraId="3C614A8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合同金额结算及支付方式：</w:t>
      </w:r>
    </w:p>
    <w:p w14:paraId="7C0A171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生效、甲方收到乙方出具的合同金额40 %（填写预付款比例）保函以及具备实施条件后7个工作日内，向乙方支付合同总额40 %的预付款，乙方完成全部服务，甲方验收合格并收到乙方出具全额增值税发票后7个工作日内，甲方支付剩余的合同款并退还保函。</w:t>
      </w:r>
    </w:p>
    <w:p w14:paraId="1326A32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若乙方自愿放弃预付款，则按该方式支付：乙方完成全部服务，甲方验收合格并收到乙方出具全额增值税发票后7个工作日内，甲方支付合同全款。</w:t>
      </w:r>
    </w:p>
    <w:p w14:paraId="1089EBA8">
      <w:pPr>
        <w:numPr>
          <w:ilvl w:val="0"/>
          <w:numId w:val="0"/>
        </w:num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注：所有费用需等财政拨付到位后再支付费用。</w:t>
      </w:r>
    </w:p>
    <w:p w14:paraId="381C2756">
      <w:pPr>
        <w:numPr>
          <w:ilvl w:val="0"/>
          <w:numId w:val="0"/>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货物交付安装完毕验收合格并正常运行后的两周内，支付至货物总价的100％。结算时，须提交下列资料：</w:t>
      </w:r>
    </w:p>
    <w:p w14:paraId="36F8A8C9">
      <w:pPr>
        <w:numPr>
          <w:ilvl w:val="0"/>
          <w:numId w:val="0"/>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a．乙方须开具合同总价100%的正式增值税专用发票</w:t>
      </w:r>
      <w:r>
        <w:rPr>
          <w:rFonts w:hint="eastAsia" w:ascii="仿宋" w:hAnsi="仿宋" w:eastAsia="仿宋" w:cs="仿宋"/>
          <w:color w:val="auto"/>
          <w:sz w:val="24"/>
          <w:szCs w:val="24"/>
          <w:highlight w:val="none"/>
          <w:lang w:eastAsia="zh-CN"/>
        </w:rPr>
        <w:t>（货物类）</w:t>
      </w:r>
      <w:r>
        <w:rPr>
          <w:rFonts w:hint="eastAsia" w:ascii="仿宋" w:hAnsi="仿宋" w:eastAsia="仿宋" w:cs="仿宋"/>
          <w:color w:val="auto"/>
          <w:sz w:val="24"/>
          <w:szCs w:val="24"/>
          <w:highlight w:val="none"/>
        </w:rPr>
        <w:t>；</w:t>
      </w:r>
    </w:p>
    <w:p w14:paraId="4E0D4F5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b．双方出具的设备验收合格证明；</w:t>
      </w:r>
    </w:p>
    <w:p w14:paraId="7473DA1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c．由乙方</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sz w:val="24"/>
          <w:szCs w:val="24"/>
          <w:highlight w:val="none"/>
        </w:rPr>
        <w:t>制造商出具的质量保证书；</w:t>
      </w:r>
    </w:p>
    <w:p w14:paraId="3C800F5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在项目实施过程中，若采购内容发生增减，甲方应及时通知乙方，按实际调整。增减内容的价格参照合同内相应设备的合同价结算。</w:t>
      </w:r>
    </w:p>
    <w:p w14:paraId="7B1D868F">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六、质量要求</w:t>
      </w:r>
    </w:p>
    <w:p w14:paraId="44132038">
      <w:pPr>
        <w:spacing w:line="360" w:lineRule="auto"/>
        <w:ind w:firstLine="588" w:firstLineChars="2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1、乙方提供设备前应将所采用的全部标准提交给甲方，以征得甲方同意。</w:t>
      </w:r>
    </w:p>
    <w:p w14:paraId="6A357E74">
      <w:pPr>
        <w:spacing w:line="360" w:lineRule="auto"/>
        <w:ind w:firstLine="588" w:firstLineChars="2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所提供设备的设计、制造、检测、验收、安装、调试等所采用的标准应符合ISO、IEC、GB标准和设备生产厂家所在国的标准，或其它与之等效的标准，还应符合有毒气体、腐蚀气体、易燃易爆气体等专业标准及安全标准等的要求。</w:t>
      </w:r>
    </w:p>
    <w:p w14:paraId="517BA883">
      <w:pPr>
        <w:spacing w:line="360" w:lineRule="auto"/>
        <w:ind w:firstLine="588" w:firstLineChars="2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所提供的货物应保证是原厂生产的货物而不是其他地方生产的、全新的、未使用过的，是原包装未拆封的，是用一流的工艺和最佳材料制造而成的，并完全符合合同规定的质量、规格和性能要求。乙方应保证所提供的货物经正常运行和保养，在其使用寿命期内应具有使甲方满意的性能，并且确保一次性通过各项检验和测试。在货物质量保证期内，乙方应对由于设计、工艺、材料和配套件的缺陷所产生的任何不足或故障负责。</w:t>
      </w:r>
    </w:p>
    <w:p w14:paraId="2598C97B">
      <w:pPr>
        <w:spacing w:line="360" w:lineRule="auto"/>
        <w:ind w:firstLine="588" w:firstLineChars="2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根据甲方按检验标准检验的结果或当地质检部门检验的结果，或者在质量保证期内，如果货物的数量、质量或规格与合同不符，或证实货物是有缺陷的，包括潜在的缺陷或使用不符合要求的材料等，甲方应尽快以书面形式通知乙方，提出索赔。乙方在收到通知后，应在规定期限内，用与报价时采用的零件、部件或材料免费更换有缺陷的或不符合要求的零件、部件或材料，同时相应延长质量保证期。</w:t>
      </w:r>
    </w:p>
    <w:p w14:paraId="1E9AEBF5">
      <w:pPr>
        <w:spacing w:line="360" w:lineRule="auto"/>
        <w:ind w:firstLine="456" w:firstLineChars="19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5、乙方提供的货物在质保期内因货物本身的质量问题发生故障，乙方应负责免费更换。对达不到技术要求的，根据实际情况，经双方协商，可按以下办法处理：</w:t>
      </w:r>
    </w:p>
    <w:p w14:paraId="75F32528">
      <w:pPr>
        <w:spacing w:line="360" w:lineRule="auto"/>
        <w:ind w:firstLine="456" w:firstLineChars="19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（1）更换：由乙方承担所发生的全部费用。</w:t>
      </w:r>
    </w:p>
    <w:p w14:paraId="42FF5558">
      <w:pPr>
        <w:spacing w:line="360" w:lineRule="auto"/>
        <w:ind w:firstLine="456" w:firstLineChars="19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（2）贬值处理：甲乙双方合议定价。</w:t>
      </w:r>
    </w:p>
    <w:p w14:paraId="76044C45">
      <w:pPr>
        <w:spacing w:line="360" w:lineRule="auto"/>
        <w:ind w:firstLine="456" w:firstLineChars="19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（3）退货处理：乙方应退还甲方支付的合同款，同时应承担该货物的直接费用（运输、保险、检验、货款利息及银行手续费等）。</w:t>
      </w:r>
    </w:p>
    <w:p w14:paraId="4668D771">
      <w:pPr>
        <w:numPr>
          <w:ilvl w:val="0"/>
          <w:numId w:val="0"/>
        </w:numPr>
        <w:spacing w:line="360" w:lineRule="auto"/>
        <w:ind w:left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七、</w:t>
      </w:r>
      <w:r>
        <w:rPr>
          <w:rFonts w:hint="eastAsia" w:ascii="仿宋" w:hAnsi="仿宋" w:eastAsia="仿宋" w:cs="仿宋"/>
          <w:b/>
          <w:color w:val="auto"/>
          <w:sz w:val="24"/>
          <w:szCs w:val="24"/>
          <w:highlight w:val="none"/>
        </w:rPr>
        <w:t>售后服务</w:t>
      </w:r>
    </w:p>
    <w:p w14:paraId="62B18C71">
      <w:pPr>
        <w:numPr>
          <w:ilvl w:val="0"/>
          <w:numId w:val="4"/>
        </w:numPr>
        <w:spacing w:line="360" w:lineRule="auto"/>
        <w:ind w:left="180" w:leftChars="0" w:firstLine="24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未特别注明免费保修期的设备，均要求提供</w:t>
      </w:r>
      <w:r>
        <w:rPr>
          <w:rFonts w:hint="eastAsia" w:ascii="仿宋" w:hAnsi="仿宋" w:eastAsia="仿宋" w:cs="仿宋"/>
          <w:color w:val="auto"/>
          <w:sz w:val="24"/>
          <w:szCs w:val="24"/>
          <w:highlight w:val="none"/>
          <w:u w:val="none"/>
          <w:lang w:val="en-US" w:eastAsia="zh-CN"/>
        </w:rPr>
        <w:t>一</w:t>
      </w:r>
      <w:r>
        <w:rPr>
          <w:rFonts w:hint="eastAsia" w:ascii="仿宋" w:hAnsi="仿宋" w:eastAsia="仿宋" w:cs="仿宋"/>
          <w:color w:val="auto"/>
          <w:sz w:val="24"/>
          <w:szCs w:val="24"/>
          <w:highlight w:val="none"/>
          <w:lang w:val="en-US" w:eastAsia="zh-CN"/>
        </w:rPr>
        <w:t>年的原厂免费保修服务</w:t>
      </w:r>
      <w:r>
        <w:rPr>
          <w:rFonts w:hint="eastAsia" w:ascii="仿宋" w:hAnsi="仿宋" w:eastAsia="仿宋" w:cs="仿宋"/>
          <w:color w:val="auto"/>
          <w:sz w:val="24"/>
          <w:szCs w:val="24"/>
          <w:highlight w:val="none"/>
        </w:rPr>
        <w:t>；在质保期外，乙方有义务对所售设备进行终身维修，协商收取维修费用。</w:t>
      </w:r>
    </w:p>
    <w:p w14:paraId="66A1C13B">
      <w:pPr>
        <w:numPr>
          <w:ilvl w:val="0"/>
          <w:numId w:val="4"/>
        </w:numPr>
        <w:spacing w:line="360" w:lineRule="auto"/>
        <w:ind w:left="180" w:leftChars="0" w:firstLine="24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质保期：</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年的质保期既保修期(以项目最终验收合格之日起算)，质保期内免费上门维修、维护或更换。</w:t>
      </w:r>
    </w:p>
    <w:p w14:paraId="5AE3722A">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b/>
          <w:color w:val="auto"/>
          <w:sz w:val="22"/>
          <w:highlight w:val="none"/>
        </w:rPr>
      </w:pPr>
      <w:r>
        <w:rPr>
          <w:rFonts w:hint="eastAsia" w:ascii="仿宋" w:hAnsi="仿宋" w:eastAsia="仿宋" w:cs="仿宋"/>
          <w:color w:val="auto"/>
          <w:sz w:val="24"/>
          <w:szCs w:val="24"/>
          <w:highlight w:val="none"/>
          <w:lang w:val="en-US" w:eastAsia="zh-CN"/>
        </w:rPr>
        <w:t>（1）接到上门维修通知后，供应商应2小时内响应，24小时到达项目所在地进行维修。在质保期内，如乙方经甲方催促未能按承诺及时到达现场维修或多次未能修复的，采购人有权邀请第三方进行维护，费用由乙方承担。</w:t>
      </w:r>
    </w:p>
    <w:p w14:paraId="5303B94B">
      <w:pPr>
        <w:spacing w:line="360" w:lineRule="auto"/>
        <w:ind w:firstLine="456" w:firstLineChars="19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（2）质保期内因不能排除的故障而影响工作的情况每发生一次，其质保期相应延长30天，质保期内因货物本身缺陷造成各种故障应由中标人免费予以更换，否则将扣除履约保证金作为对采购人的补偿；</w:t>
      </w:r>
    </w:p>
    <w:p w14:paraId="043C2FD2">
      <w:pPr>
        <w:spacing w:line="360" w:lineRule="auto"/>
        <w:ind w:firstLine="456" w:firstLineChars="19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（3）非因采购人人为原因而出现设备质量问题的，由中标人负责包修、包换或包退并承担修理、调换或退货而产生的实际费用。如因采购人使用不当造成故障的，中标人应负责修理、调换，费用另行协商；</w:t>
      </w:r>
    </w:p>
    <w:p w14:paraId="1BEC09ED">
      <w:pPr>
        <w:spacing w:line="360" w:lineRule="auto"/>
        <w:ind w:firstLine="456" w:firstLineChars="190"/>
        <w:rPr>
          <w:rFonts w:hint="eastAsia"/>
          <w:color w:val="auto"/>
          <w:highlight w:val="none"/>
        </w:rPr>
      </w:pPr>
      <w:r>
        <w:rPr>
          <w:rFonts w:hint="eastAsia" w:ascii="仿宋" w:hAnsi="仿宋" w:eastAsia="仿宋" w:cs="仿宋"/>
          <w:color w:val="auto"/>
          <w:sz w:val="24"/>
          <w:szCs w:val="24"/>
          <w:highlight w:val="none"/>
          <w:lang w:val="en-US" w:eastAsia="zh-CN"/>
        </w:rPr>
        <w:t>（4）质保期内，中标人负责免费提供设备运行所需全部备件，并提供免费维修、保养服务。质保期满后，仅收取零配件成本费用，免人工费、差旅费，所涉及软件终身免费升级。</w:t>
      </w:r>
    </w:p>
    <w:p w14:paraId="49896E8B">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八、验收</w:t>
      </w:r>
    </w:p>
    <w:p w14:paraId="79C43F3D">
      <w:pPr>
        <w:spacing w:line="360" w:lineRule="auto"/>
        <w:ind w:firstLine="588" w:firstLineChars="2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交货前，乙方应对货物的质量、规格、性能、数量、重量等进行详细而全面的检验，并出具证明货物符合合同规定的书面证书，乙方检验的结果和细节应在证书中加以说明。该证书将作为申请付款单据的一部分，但有关质量、规格、性能、数量、重量的检验不应视为最终检验。</w:t>
      </w:r>
    </w:p>
    <w:p w14:paraId="19EE04E1">
      <w:pPr>
        <w:spacing w:line="360" w:lineRule="auto"/>
        <w:ind w:firstLine="588" w:firstLineChars="24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2、供应商配合采购人及采购人委托第三方机构的验收工作，根据招标文件、投标（响应）文件、采购合同、封存样品等约定的质量、数量、技术指标或者服务要求设置验收指标及其标准，制定验收指标及标准。</w:t>
      </w:r>
    </w:p>
    <w:p w14:paraId="0983AE9D">
      <w:pPr>
        <w:spacing w:line="360" w:lineRule="auto"/>
        <w:ind w:firstLine="588" w:firstLineChars="24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3、如验收不合格的，供应商应采取补救措施，及时处理。整改结束后，重新组织验收。</w:t>
      </w:r>
    </w:p>
    <w:p w14:paraId="30C61BB0">
      <w:pPr>
        <w:spacing w:line="360" w:lineRule="auto"/>
        <w:ind w:firstLine="588" w:firstLineChars="24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4、本项目由采购人委托第三方机构组织验收，费用由中标人支付。</w:t>
      </w:r>
    </w:p>
    <w:p w14:paraId="24BE349A">
      <w:pPr>
        <w:spacing w:line="360" w:lineRule="auto"/>
        <w:ind w:firstLine="588" w:firstLineChars="24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未尽事宜，按《中华人民共和国政府采购法》及其实施条例、《中华人民共和国合同法》、《财政部关于进一步加强政府采购需求和履约验收管理的指导意见》（财库〔2016〕205号）、《浙江省财政厅关于印发浙江省政府采购合同暂行办法的通知》（浙财采监〔2017〕11号）、《温州市政府采购履约验收办法》（温财采〔2020〕6号）等相关法律法规、规定执行。</w:t>
      </w:r>
    </w:p>
    <w:p w14:paraId="4C1878DB">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九、双方责任</w:t>
      </w:r>
    </w:p>
    <w:p w14:paraId="11363E4A">
      <w:pPr>
        <w:spacing w:line="360" w:lineRule="auto"/>
        <w:ind w:firstLine="588" w:firstLineChars="2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1、甲方</w:t>
      </w:r>
    </w:p>
    <w:p w14:paraId="3746F013">
      <w:pPr>
        <w:spacing w:line="360" w:lineRule="auto"/>
        <w:ind w:firstLine="588" w:firstLineChars="2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（1）按合同规定向乙方支付货款。</w:t>
      </w:r>
    </w:p>
    <w:p w14:paraId="26CA6DC1">
      <w:pPr>
        <w:spacing w:line="360" w:lineRule="auto"/>
        <w:ind w:firstLine="588" w:firstLineChars="2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（2）组织对货物的验收。</w:t>
      </w:r>
    </w:p>
    <w:p w14:paraId="50E5BFC9">
      <w:pPr>
        <w:spacing w:line="360" w:lineRule="auto"/>
        <w:ind w:firstLine="588" w:firstLineChars="2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w:t>
      </w:r>
    </w:p>
    <w:p w14:paraId="70566D79">
      <w:pPr>
        <w:spacing w:line="360" w:lineRule="auto"/>
        <w:ind w:firstLine="588" w:firstLineChars="2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（1）按合同要求提供货物和服务。</w:t>
      </w:r>
    </w:p>
    <w:p w14:paraId="3C62299E">
      <w:pPr>
        <w:spacing w:line="360" w:lineRule="auto"/>
        <w:ind w:firstLine="588" w:firstLineChars="245"/>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（2）对所提供的货物和服务质量问题无条件负责处理。</w:t>
      </w:r>
    </w:p>
    <w:p w14:paraId="26EB1264">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十、乙方履约延误</w:t>
      </w:r>
    </w:p>
    <w:p w14:paraId="271FB9DF">
      <w:pPr>
        <w:spacing w:line="360" w:lineRule="auto"/>
        <w:ind w:firstLine="588" w:firstLineChars="2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1、乙方应按照合同规定的时间交货和提供服务。</w:t>
      </w:r>
    </w:p>
    <w:p w14:paraId="2874A8D6">
      <w:pPr>
        <w:spacing w:line="360" w:lineRule="auto"/>
        <w:ind w:firstLine="588" w:firstLineChars="2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履行合同过程中，如果乙方遇到妨碍按时交货和提供服务的情况时，应及时以书面形式将延误的事实、可能拖延的时间和原因通知甲方。甲方在收到乙方通知后，应尽快对情况进行分析评价，并确定是否同意延长交货时间以及是否收取误期赔偿费。延期应通过 修改合同的方式由双方认可。</w:t>
      </w:r>
    </w:p>
    <w:p w14:paraId="4C1B9B49">
      <w:pPr>
        <w:spacing w:line="360" w:lineRule="auto"/>
        <w:ind w:firstLine="588" w:firstLineChars="2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3、除了合同条款中不可抗力的情况外，除非延误是取得甲方同意而不收取赔偿费，乙方延误交货或提供服务将按合同条款第十一条规定被收取误期赔偿费。</w:t>
      </w:r>
    </w:p>
    <w:p w14:paraId="6B712FE1">
      <w:pPr>
        <w:spacing w:line="360" w:lineRule="auto"/>
        <w:ind w:firstLine="588" w:firstLineChars="2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4、所有提供的货物及验收都应服从甲方的统一安排。</w:t>
      </w:r>
    </w:p>
    <w:p w14:paraId="5511A853">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十一、误期赔偿费</w:t>
      </w:r>
    </w:p>
    <w:p w14:paraId="5AC38A22">
      <w:pPr>
        <w:spacing w:line="360" w:lineRule="auto"/>
        <w:ind w:firstLine="588" w:firstLineChars="2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不可抗力外，如果乙方没有按照合同规定的时间交货和提供服务，甲方应在不影响合同项下的其他补救措施的情况下，从合同价款中扣除误期赔偿费。每延误一天的赔偿费按迟交货物交货价或未提供服务的服务费用的百分之零点二（0.2%）计收，直至交货或提供服务为止。误期赔偿费最高限额为合同价的百分之十（10%）。一旦延到误期赔偿费的最高限额，甲方可考虑终止合同。</w:t>
      </w:r>
    </w:p>
    <w:p w14:paraId="18612F65">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十二、不可抗力</w:t>
      </w:r>
    </w:p>
    <w:p w14:paraId="3BA78363">
      <w:pPr>
        <w:spacing w:line="360" w:lineRule="auto"/>
        <w:ind w:firstLine="588" w:firstLineChars="2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果双方中任何一方由于战争、严重火灾、水灾、破坏性台风和地震以及其它经双方同意属不可抗力的事故，致使合同履行受阻时，履行合同期限应予延长，延长时限应相当于事故所影响的时间，或双方协商解决。</w:t>
      </w:r>
    </w:p>
    <w:p w14:paraId="1F4D0E2B">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十三、税费</w:t>
      </w:r>
    </w:p>
    <w:p w14:paraId="55214DE3">
      <w:pPr>
        <w:spacing w:line="360" w:lineRule="auto"/>
        <w:ind w:firstLine="588" w:firstLineChars="2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1、根据国家现行税法对甲方征收的与本合同有关的一切费用由甲方承担。</w:t>
      </w:r>
    </w:p>
    <w:p w14:paraId="460B0408">
      <w:pPr>
        <w:spacing w:line="360" w:lineRule="auto"/>
        <w:ind w:firstLine="588" w:firstLineChars="2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2、根据现行税法对乙方征收的与本合同有关的一切税费均由乙方承担。</w:t>
      </w:r>
    </w:p>
    <w:p w14:paraId="308DE89C">
      <w:pPr>
        <w:spacing w:line="360" w:lineRule="auto"/>
        <w:ind w:firstLine="588" w:firstLineChars="2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3、在中国境外发生的与本合同执行有关的一切税费由乙方承担。</w:t>
      </w:r>
    </w:p>
    <w:p w14:paraId="3852E9D7">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十四、违约终止合同</w:t>
      </w:r>
    </w:p>
    <w:p w14:paraId="6ED0D1DE">
      <w:pPr>
        <w:spacing w:line="360" w:lineRule="auto"/>
        <w:ind w:firstLine="588" w:firstLineChars="2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1、甲方在乙方违约的情况下，如果发生下列情况之一，可考虑终止部分或全部合同：</w:t>
      </w:r>
    </w:p>
    <w:p w14:paraId="4BF9253C">
      <w:pPr>
        <w:spacing w:line="360" w:lineRule="auto"/>
        <w:ind w:firstLine="588" w:firstLineChars="2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（1）乙方未能在合同规定的期限内或甲方同意延长的期限内提供全部或部分货物；</w:t>
      </w:r>
    </w:p>
    <w:p w14:paraId="59E4D9CA">
      <w:pPr>
        <w:spacing w:line="360" w:lineRule="auto"/>
        <w:ind w:firstLine="588" w:firstLineChars="2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未能履行合同规定的其他任何义务。乙方在收到甲方发出的违约通知后30天内，或经甲方书面认可延长的时间内未能纠正其过失。甲方可向乙方发出书面通知，终止部分或全部合同，在这种情况下，并不影响甲方向乙方提出的索赔。</w:t>
      </w:r>
    </w:p>
    <w:p w14:paraId="52356DCF">
      <w:pPr>
        <w:spacing w:line="360" w:lineRule="auto"/>
        <w:ind w:firstLine="588" w:firstLineChars="2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如果甲方根据上述的规定，终止了全部或部分合同，甲方可以依其认为适当的条件和方法购买与未交货物类似的货物或服务，乙方应承担甲方因购买类似货物或服务而产生的额外支出。但是，乙方应继续执行合同中未终止的部分。</w:t>
      </w:r>
    </w:p>
    <w:p w14:paraId="0DB1964C">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十五、履约保证金的罚没</w:t>
      </w:r>
    </w:p>
    <w:p w14:paraId="4DFA0E16">
      <w:pPr>
        <w:spacing w:line="360" w:lineRule="auto"/>
        <w:ind w:firstLine="588" w:firstLineChars="2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1、如乙方未能履行合同规定的任何义务，甲方有权从履约保证金中得到补偿。</w:t>
      </w:r>
    </w:p>
    <w:p w14:paraId="235BFFD9">
      <w:pPr>
        <w:spacing w:line="360" w:lineRule="auto"/>
        <w:ind w:firstLine="588" w:firstLineChars="2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2、如果乙方毫无理由地拖延交货或拒绝履行合同规定的任何义务，履约保证金将被没收，并加收违约赔偿金。</w:t>
      </w:r>
    </w:p>
    <w:p w14:paraId="455AA607">
      <w:pPr>
        <w:spacing w:line="360" w:lineRule="auto"/>
        <w:ind w:firstLine="588" w:firstLineChars="2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3、乙方提供的货物须和报价文件中所承诺的货物规格、数量、型号等相符（合同中另有规定除外），如不符，除追究乙方责任外，其履约保证金将被没收。</w:t>
      </w:r>
    </w:p>
    <w:p w14:paraId="2F3D384F">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十六、争端的解决</w:t>
      </w:r>
    </w:p>
    <w:p w14:paraId="354EDDFD">
      <w:pPr>
        <w:spacing w:line="360" w:lineRule="auto"/>
        <w:ind w:firstLine="708" w:firstLineChars="29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合同实施或与合同有关的一切争端，甲乙双方应通过友好协商解决，如果协商仍得不到解决，可向甲方所在地人民法院起诉。</w:t>
      </w:r>
    </w:p>
    <w:p w14:paraId="526BC265">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十七、转让和分包及货物不可替代</w:t>
      </w:r>
    </w:p>
    <w:p w14:paraId="301F2E88">
      <w:pPr>
        <w:spacing w:line="360" w:lineRule="auto"/>
        <w:ind w:firstLine="588" w:firstLineChars="2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1、未经甲方事先书面同意，乙方不得部分转让或全部转让和分包其履行合同的义务。</w:t>
      </w:r>
    </w:p>
    <w:p w14:paraId="091B92C6">
      <w:pPr>
        <w:spacing w:line="360" w:lineRule="auto"/>
        <w:ind w:firstLine="588" w:firstLineChars="2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2、货物不可替代，乙方在没有取得甲方的书面授权的情况下，不得将合同货物的生产制造转交其他生产厂商或以其他厂商的货物替代。</w:t>
      </w:r>
    </w:p>
    <w:p w14:paraId="21CD38FC">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十八、适用法律</w:t>
      </w:r>
    </w:p>
    <w:p w14:paraId="730A72D6">
      <w:pPr>
        <w:spacing w:line="360" w:lineRule="auto"/>
        <w:ind w:firstLine="588" w:firstLineChars="2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本合同按照中华人民共和国的法律进行解释。</w:t>
      </w:r>
    </w:p>
    <w:p w14:paraId="65A2B96D">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十九、合同生效及其他</w:t>
      </w:r>
    </w:p>
    <w:p w14:paraId="5375A513">
      <w:pPr>
        <w:spacing w:line="360" w:lineRule="auto"/>
        <w:ind w:firstLine="588" w:firstLineChars="2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1、合同应在双方签字盖章并在甲方收到乙方提供的履约保证金后开始生效。</w:t>
      </w:r>
    </w:p>
    <w:p w14:paraId="20A1BBEB">
      <w:pPr>
        <w:spacing w:line="360" w:lineRule="auto"/>
        <w:ind w:firstLine="588" w:firstLineChars="2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2、如需修改或补充合同内容，经协商，双方应签署书面修改或补充协议，该协议将作为本合同的一个组成部分。</w:t>
      </w:r>
    </w:p>
    <w:p w14:paraId="60AC8F8B">
      <w:pPr>
        <w:spacing w:line="360" w:lineRule="auto"/>
        <w:ind w:firstLine="588" w:firstLineChars="2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b/>
          <w:bCs/>
          <w:color w:val="auto"/>
          <w:sz w:val="24"/>
          <w:szCs w:val="24"/>
          <w:highlight w:val="none"/>
        </w:rPr>
        <w:t>合同壹式陆份，甲方</w:t>
      </w:r>
      <w:r>
        <w:rPr>
          <w:rFonts w:hint="eastAsia" w:ascii="仿宋" w:hAnsi="仿宋" w:eastAsia="仿宋" w:cs="仿宋"/>
          <w:b/>
          <w:bCs/>
          <w:color w:val="auto"/>
          <w:sz w:val="24"/>
          <w:szCs w:val="24"/>
          <w:highlight w:val="none"/>
          <w:lang w:eastAsia="zh-CN"/>
        </w:rPr>
        <w:t>肆</w:t>
      </w:r>
      <w:r>
        <w:rPr>
          <w:rFonts w:hint="eastAsia" w:ascii="仿宋" w:hAnsi="仿宋" w:eastAsia="仿宋" w:cs="仿宋"/>
          <w:b/>
          <w:bCs/>
          <w:color w:val="auto"/>
          <w:sz w:val="24"/>
          <w:szCs w:val="24"/>
          <w:highlight w:val="none"/>
        </w:rPr>
        <w:t>份，乙方贰份。</w:t>
      </w:r>
    </w:p>
    <w:p w14:paraId="04C3761D">
      <w:pPr>
        <w:tabs>
          <w:tab w:val="left" w:pos="360"/>
        </w:tabs>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甲方：（印章）                       乙方：（印章）</w:t>
      </w:r>
    </w:p>
    <w:p w14:paraId="10EFAAD5">
      <w:pPr>
        <w:tabs>
          <w:tab w:val="left" w:pos="360"/>
        </w:tabs>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全权代表:（签字）                    全权代表:（签字）</w:t>
      </w:r>
    </w:p>
    <w:p w14:paraId="1A4EF36A">
      <w:pPr>
        <w:tabs>
          <w:tab w:val="left" w:pos="360"/>
        </w:tabs>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                               地址：</w:t>
      </w:r>
    </w:p>
    <w:p w14:paraId="4C465A09">
      <w:pPr>
        <w:tabs>
          <w:tab w:val="left" w:pos="360"/>
        </w:tabs>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                           邮政编码：</w:t>
      </w:r>
    </w:p>
    <w:p w14:paraId="4EE890FC">
      <w:pPr>
        <w:tabs>
          <w:tab w:val="left" w:pos="360"/>
        </w:tabs>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                               电话：</w:t>
      </w:r>
    </w:p>
    <w:p w14:paraId="693EE1A1">
      <w:pPr>
        <w:tabs>
          <w:tab w:val="left" w:pos="360"/>
        </w:tabs>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                               传真：</w:t>
      </w:r>
    </w:p>
    <w:p w14:paraId="1AD1EF27">
      <w:pPr>
        <w:tabs>
          <w:tab w:val="left" w:pos="360"/>
        </w:tabs>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                           开户银行：</w:t>
      </w:r>
    </w:p>
    <w:p w14:paraId="52A4CB9C">
      <w:pPr>
        <w:tabs>
          <w:tab w:val="left" w:pos="360"/>
        </w:tabs>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帐号：                               帐号：</w:t>
      </w:r>
    </w:p>
    <w:p w14:paraId="21203C61">
      <w:pPr>
        <w:spacing w:line="360" w:lineRule="auto"/>
        <w:ind w:firstLine="588" w:firstLineChars="245"/>
        <w:rPr>
          <w:rFonts w:hint="eastAsia" w:ascii="仿宋" w:hAnsi="仿宋" w:eastAsia="仿宋" w:cs="仿宋"/>
          <w:i/>
          <w:color w:val="auto"/>
          <w:sz w:val="24"/>
          <w:highlight w:val="none"/>
        </w:rPr>
      </w:pPr>
      <w:r>
        <w:rPr>
          <w:rFonts w:hint="eastAsia" w:ascii="仿宋" w:hAnsi="仿宋" w:eastAsia="仿宋" w:cs="仿宋"/>
          <w:color w:val="auto"/>
          <w:sz w:val="24"/>
          <w:szCs w:val="24"/>
          <w:highlight w:val="none"/>
        </w:rPr>
        <w:t>时间:                                时间</w:t>
      </w:r>
      <w:r>
        <w:rPr>
          <w:rFonts w:hint="eastAsia" w:ascii="仿宋" w:hAnsi="仿宋" w:eastAsia="仿宋" w:cs="仿宋"/>
          <w:color w:val="auto"/>
          <w:sz w:val="24"/>
          <w:szCs w:val="24"/>
          <w:highlight w:val="none"/>
          <w:lang w:eastAsia="zh-CN"/>
        </w:rPr>
        <w:t>：</w:t>
      </w:r>
      <w:r>
        <w:rPr>
          <w:rFonts w:hint="eastAsia" w:ascii="仿宋" w:hAnsi="仿宋" w:eastAsia="仿宋" w:cs="仿宋"/>
          <w:b/>
          <w:bCs/>
          <w:color w:val="auto"/>
          <w:sz w:val="24"/>
          <w:szCs w:val="24"/>
          <w:highlight w:val="none"/>
        </w:rPr>
        <w:br w:type="page"/>
      </w:r>
    </w:p>
    <w:p w14:paraId="27AC4D6F">
      <w:pPr>
        <w:spacing w:line="360" w:lineRule="auto"/>
        <w:ind w:left="720" w:firstLine="723" w:firstLineChars="200"/>
        <w:outlineLvl w:val="0"/>
        <w:rPr>
          <w:rFonts w:hint="eastAsia" w:ascii="仿宋" w:hAnsi="仿宋" w:eastAsia="仿宋" w:cs="仿宋"/>
          <w:b/>
          <w:color w:val="auto"/>
          <w:sz w:val="36"/>
          <w:szCs w:val="20"/>
          <w:highlight w:val="none"/>
        </w:rPr>
      </w:pPr>
      <w:bookmarkStart w:id="79" w:name="_Toc29853"/>
      <w:bookmarkStart w:id="80" w:name="_Toc221356961"/>
      <w:bookmarkStart w:id="81" w:name="_Toc221356898"/>
      <w:r>
        <w:rPr>
          <w:rFonts w:hint="eastAsia" w:ascii="仿宋" w:hAnsi="仿宋" w:eastAsia="仿宋" w:cs="仿宋"/>
          <w:b/>
          <w:color w:val="auto"/>
          <w:sz w:val="36"/>
          <w:szCs w:val="20"/>
          <w:highlight w:val="none"/>
        </w:rPr>
        <w:t>第五部分  应提交的有关格式范例</w:t>
      </w:r>
      <w:bookmarkEnd w:id="79"/>
    </w:p>
    <w:p w14:paraId="03EA4754">
      <w:pPr>
        <w:rPr>
          <w:rFonts w:hint="eastAsia" w:ascii="仿宋" w:hAnsi="仿宋" w:eastAsia="仿宋" w:cs="仿宋"/>
          <w:b/>
          <w:color w:val="auto"/>
          <w:kern w:val="0"/>
          <w:sz w:val="36"/>
          <w:szCs w:val="36"/>
          <w:highlight w:val="none"/>
        </w:rPr>
      </w:pPr>
    </w:p>
    <w:p w14:paraId="7FF10D90">
      <w:pPr>
        <w:jc w:val="center"/>
        <w:outlineLvl w:val="1"/>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73C2DAE2">
      <w:pPr>
        <w:jc w:val="center"/>
        <w:rPr>
          <w:rFonts w:hint="eastAsia" w:ascii="仿宋" w:hAnsi="仿宋" w:eastAsia="仿宋" w:cs="仿宋"/>
          <w:b/>
          <w:color w:val="auto"/>
          <w:kern w:val="0"/>
          <w:sz w:val="36"/>
          <w:szCs w:val="36"/>
          <w:highlight w:val="none"/>
        </w:rPr>
      </w:pPr>
    </w:p>
    <w:p w14:paraId="56D9436D">
      <w:pPr>
        <w:jc w:val="center"/>
        <w:rPr>
          <w:rFonts w:hint="eastAsia" w:ascii="仿宋" w:hAnsi="仿宋" w:eastAsia="仿宋" w:cs="仿宋"/>
          <w:b/>
          <w:color w:val="auto"/>
          <w:kern w:val="0"/>
          <w:sz w:val="36"/>
          <w:szCs w:val="36"/>
          <w:highlight w:val="none"/>
        </w:rPr>
      </w:pPr>
    </w:p>
    <w:p w14:paraId="72CF7D9E">
      <w:pPr>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5DB39F39">
      <w:pPr>
        <w:rPr>
          <w:rFonts w:hint="eastAsia" w:ascii="仿宋" w:hAnsi="仿宋" w:eastAsia="仿宋" w:cs="仿宋"/>
          <w:b/>
          <w:color w:val="auto"/>
          <w:kern w:val="0"/>
          <w:sz w:val="36"/>
          <w:szCs w:val="36"/>
          <w:highlight w:val="none"/>
        </w:rPr>
      </w:pPr>
    </w:p>
    <w:p w14:paraId="39B1417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1926CAF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（2）落实政府采购政策需满足的资格要求………………………………（页码）</w:t>
      </w:r>
    </w:p>
    <w:p w14:paraId="166FD1E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（3）本项目的特定资格要求………………………………………………（页码）</w:t>
      </w:r>
    </w:p>
    <w:p w14:paraId="1E054D20">
      <w:pPr>
        <w:snapToGrid w:val="0"/>
        <w:spacing w:line="360" w:lineRule="auto"/>
        <w:ind w:firstLine="480" w:firstLineChars="200"/>
        <w:rPr>
          <w:rFonts w:hint="eastAsia" w:ascii="仿宋" w:hAnsi="仿宋" w:eastAsia="仿宋" w:cs="仿宋"/>
          <w:color w:val="auto"/>
          <w:sz w:val="24"/>
          <w:highlight w:val="none"/>
        </w:rPr>
      </w:pPr>
    </w:p>
    <w:p w14:paraId="5C46B041">
      <w:pPr>
        <w:spacing w:line="360" w:lineRule="auto"/>
        <w:ind w:firstLine="480" w:firstLineChars="200"/>
        <w:rPr>
          <w:rFonts w:hint="eastAsia" w:ascii="仿宋" w:hAnsi="仿宋" w:eastAsia="仿宋" w:cs="仿宋"/>
          <w:color w:val="auto"/>
          <w:sz w:val="24"/>
          <w:highlight w:val="none"/>
        </w:rPr>
      </w:pPr>
    </w:p>
    <w:p w14:paraId="7F9EB964">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一、符合参加政府采购活动应当具备的一般条件的承诺函</w:t>
      </w:r>
    </w:p>
    <w:p w14:paraId="2C2BDB3D">
      <w:pPr>
        <w:snapToGrid w:val="0"/>
        <w:spacing w:line="360" w:lineRule="auto"/>
        <w:rPr>
          <w:rFonts w:hint="eastAsia" w:ascii="仿宋" w:hAnsi="仿宋" w:eastAsia="仿宋" w:cs="仿宋"/>
          <w:color w:val="auto"/>
          <w:sz w:val="24"/>
          <w:highlight w:val="none"/>
          <w:u w:val="single"/>
        </w:rPr>
      </w:pPr>
    </w:p>
    <w:p w14:paraId="699F8D7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（采购代理机构）</w:t>
      </w:r>
      <w:r>
        <w:rPr>
          <w:rFonts w:hint="eastAsia" w:ascii="仿宋" w:hAnsi="仿宋" w:eastAsia="仿宋" w:cs="仿宋"/>
          <w:color w:val="auto"/>
          <w:sz w:val="24"/>
          <w:highlight w:val="none"/>
        </w:rPr>
        <w:t>：</w:t>
      </w:r>
    </w:p>
    <w:p w14:paraId="784EA3C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lang w:val="en-US" w:eastAsia="zh-CN"/>
        </w:rPr>
        <w:t xml:space="preserve"> 江心屿西园垃圾中转站除臭设备采购项目 </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（采购编号）】政府采购活动，郑重承诺：</w:t>
      </w:r>
    </w:p>
    <w:p w14:paraId="411AAADF">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32D1B3F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6F17B61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04E92E4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4B9D3E0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20EB613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1915CCF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1AECBF0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1AC03A1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4CE8CD8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2048D38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75E502A7">
      <w:pPr>
        <w:snapToGrid w:val="0"/>
        <w:spacing w:line="360" w:lineRule="auto"/>
        <w:ind w:firstLine="4819" w:firstLineChars="2008"/>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2AE915A9">
      <w:pPr>
        <w:snapToGrid w:val="0"/>
        <w:spacing w:line="360" w:lineRule="auto"/>
        <w:ind w:firstLine="4819" w:firstLineChars="200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  日</w:t>
      </w:r>
    </w:p>
    <w:p w14:paraId="30A92E90">
      <w:pPr>
        <w:snapToGrid w:val="0"/>
        <w:spacing w:line="360" w:lineRule="auto"/>
        <w:ind w:right="480"/>
        <w:jc w:val="center"/>
        <w:rPr>
          <w:rFonts w:hint="eastAsia" w:ascii="仿宋" w:hAnsi="仿宋" w:eastAsia="仿宋" w:cs="仿宋"/>
          <w:b/>
          <w:color w:val="auto"/>
          <w:kern w:val="0"/>
          <w:sz w:val="32"/>
          <w:szCs w:val="32"/>
          <w:highlight w:val="none"/>
        </w:rPr>
      </w:pPr>
    </w:p>
    <w:p w14:paraId="0A0B8154">
      <w:pPr>
        <w:widowControl/>
        <w:adjustRightInd/>
        <w:jc w:val="lef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br w:type="page"/>
      </w:r>
    </w:p>
    <w:p w14:paraId="34DE30FA">
      <w:pPr>
        <w:snapToGrid w:val="0"/>
        <w:spacing w:line="360" w:lineRule="auto"/>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附：</w:t>
      </w:r>
    </w:p>
    <w:p w14:paraId="43A0EB20">
      <w:pPr>
        <w:snapToGrid w:val="0"/>
        <w:spacing w:line="360" w:lineRule="auto"/>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企业营业执照（或事业法人登记证书或其它工商等登记证明材料，自然人提供身份证)复制件（如为联合体，则联合体各方均应提供）；</w:t>
      </w:r>
    </w:p>
    <w:p w14:paraId="46FF856A">
      <w:pPr>
        <w:snapToGrid w:val="0"/>
        <w:spacing w:line="360" w:lineRule="auto"/>
        <w:jc w:val="left"/>
        <w:rPr>
          <w:rFonts w:hint="eastAsia" w:ascii="仿宋" w:hAnsi="仿宋" w:eastAsia="仿宋" w:cs="仿宋"/>
          <w:color w:val="auto"/>
          <w:szCs w:val="21"/>
          <w:highlight w:val="none"/>
        </w:rPr>
      </w:pPr>
    </w:p>
    <w:p w14:paraId="4A3DFCCD">
      <w:pPr>
        <w:snapToGrid w:val="0"/>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由单位负责人签署相关文件材料（合伙企业由全体合伙人签署相关材料，但合伙协议约定或者全体合伙人决定委托一名或数名合伙人执行合伙企业事务的，由执行合伙企业事务的全体合伙人签署相关文件材料），与其他法人单位法定代表人（负责人）签署的文件材料具有同等效力）。</w:t>
      </w:r>
    </w:p>
    <w:p w14:paraId="779DA5F7">
      <w:pPr>
        <w:snapToGrid w:val="0"/>
        <w:spacing w:line="360" w:lineRule="auto"/>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br w:type="page"/>
      </w:r>
    </w:p>
    <w:p w14:paraId="1D9F84C2">
      <w:pPr>
        <w:widowControl/>
        <w:adjustRightInd/>
        <w:jc w:val="left"/>
        <w:rPr>
          <w:rFonts w:hint="eastAsia" w:ascii="仿宋" w:hAnsi="仿宋" w:eastAsia="仿宋" w:cs="仿宋"/>
          <w:b/>
          <w:color w:val="auto"/>
          <w:kern w:val="0"/>
          <w:sz w:val="32"/>
          <w:szCs w:val="32"/>
          <w:highlight w:val="none"/>
        </w:rPr>
      </w:pPr>
    </w:p>
    <w:p w14:paraId="44187443">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二、落实政府采购政策需满足的资格要求</w:t>
      </w:r>
    </w:p>
    <w:p w14:paraId="5EC0C7F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29F4D3C2">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.专门面向中小企业，货物全部由符合政策要求的中小企业（或小微企业）制造或者服务全部由符合政策要求的中小企业（或小微企业）承接的，提供相应的中小企业声明函（附件1）。</w:t>
      </w:r>
    </w:p>
    <w:p w14:paraId="6A99E134">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体协议（附件2）和中小企业声明函（附件1），联合体协议中中小企业合同金额应当达到招标文件载明的比例；如果供应商本身提供所有标的均由中小企业制造或承接的，视同符合了资格条件，无需再与其他中小企业组成联合体参加政府采购活动，无需提供联合体协议。</w:t>
      </w:r>
    </w:p>
    <w:p w14:paraId="29DD92D1">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3）和中小企业声明函（附件1），分包意向协议中中小企业合同金额应当达到招标文件载明的比例；如果供应商本身提供所有标的均由中小企业制造或承接，视同符合了资格条件，无需再向中小企业分包，无需提供分包意向协议。</w:t>
      </w:r>
    </w:p>
    <w:p w14:paraId="5E18B9DC">
      <w:pPr>
        <w:widowControl/>
        <w:spacing w:line="360" w:lineRule="auto"/>
        <w:ind w:firstLine="470" w:firstLineChars="196"/>
        <w:jc w:val="left"/>
        <w:rPr>
          <w:rFonts w:hint="eastAsia" w:ascii="仿宋" w:hAnsi="仿宋" w:eastAsia="仿宋" w:cs="仿宋"/>
          <w:color w:val="auto"/>
          <w:sz w:val="24"/>
          <w:highlight w:val="none"/>
        </w:rPr>
      </w:pPr>
    </w:p>
    <w:p w14:paraId="1C2FA888">
      <w:pPr>
        <w:widowControl/>
        <w:adjustRightInd/>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1F9990E0">
      <w:pPr>
        <w:pStyle w:val="842"/>
        <w:keepNext w:val="0"/>
        <w:pageBreakBefore w:val="0"/>
        <w:tabs>
          <w:tab w:val="clear" w:pos="720"/>
        </w:tabs>
        <w:snapToGrid w:val="0"/>
        <w:spacing w:before="120" w:after="120"/>
        <w:jc w:val="both"/>
        <w:outlineLvl w:val="9"/>
        <w:rPr>
          <w:rFonts w:hint="eastAsia" w:ascii="仿宋" w:hAnsi="仿宋" w:eastAsia="仿宋" w:cs="仿宋"/>
          <w:color w:val="auto"/>
          <w:sz w:val="28"/>
          <w:szCs w:val="28"/>
          <w:highlight w:val="none"/>
        </w:rPr>
      </w:pPr>
      <w:bookmarkStart w:id="82" w:name="_Toc9002"/>
      <w:r>
        <w:rPr>
          <w:rFonts w:hint="eastAsia" w:ascii="仿宋" w:hAnsi="仿宋" w:eastAsia="仿宋" w:cs="仿宋"/>
          <w:color w:val="auto"/>
          <w:sz w:val="28"/>
          <w:szCs w:val="28"/>
          <w:highlight w:val="none"/>
        </w:rPr>
        <w:t>附件1</w:t>
      </w:r>
      <w:bookmarkEnd w:id="82"/>
    </w:p>
    <w:p w14:paraId="2DF4CADD">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（1）中小企业声明函（货物）</w:t>
      </w:r>
    </w:p>
    <w:p w14:paraId="322DE1B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w:t>
      </w:r>
      <w:r>
        <w:rPr>
          <w:rFonts w:hint="eastAsia" w:ascii="仿宋" w:hAnsi="仿宋" w:eastAsia="仿宋" w:cs="仿宋"/>
          <w:color w:val="auto"/>
          <w:sz w:val="24"/>
          <w:highlight w:val="none"/>
          <w:u w:val="single"/>
        </w:rPr>
        <w:t>（单位名称）</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lang w:eastAsia="zh-CN"/>
        </w:rPr>
        <w:t>江心屿西园垃圾中转站除臭设备采购项目</w:t>
      </w:r>
      <w:r>
        <w:rPr>
          <w:rFonts w:hint="eastAsia" w:ascii="仿宋" w:hAnsi="仿宋" w:eastAsia="仿宋" w:cs="仿宋"/>
          <w:color w:val="auto"/>
          <w:sz w:val="24"/>
          <w:highlight w:val="none"/>
        </w:rPr>
        <w:t>采购活动，提供的货物全部由符合政策要求的中小企业制造。相关企业（含联合体中的中小企业、签订分包意向协议的中小企业）的具体情况如下：</w:t>
      </w:r>
    </w:p>
    <w:p w14:paraId="7B703CF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（招标文件中明确的所属行业）</w:t>
      </w:r>
      <w:r>
        <w:rPr>
          <w:rFonts w:hint="eastAsia" w:ascii="仿宋" w:hAnsi="仿宋" w:eastAsia="仿宋" w:cs="仿宋"/>
          <w:color w:val="auto"/>
          <w:sz w:val="24"/>
          <w:highlight w:val="none"/>
        </w:rPr>
        <w:t>行业；制造商为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2C1B792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（招标文件中明确的所属行业）</w:t>
      </w:r>
      <w:r>
        <w:rPr>
          <w:rFonts w:hint="eastAsia" w:ascii="仿宋" w:hAnsi="仿宋" w:eastAsia="仿宋" w:cs="仿宋"/>
          <w:color w:val="auto"/>
          <w:sz w:val="24"/>
          <w:highlight w:val="none"/>
        </w:rPr>
        <w:t>行业；制造商为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1ACFE9F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3949807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1449420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4F14A6E2">
      <w:pPr>
        <w:snapToGrid w:val="0"/>
        <w:spacing w:line="360" w:lineRule="auto"/>
        <w:ind w:firstLine="5160" w:firstLineChars="2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44E5C544">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月日</w:t>
      </w:r>
    </w:p>
    <w:p w14:paraId="548FCBE9">
      <w:pPr>
        <w:spacing w:line="360" w:lineRule="auto"/>
        <w:jc w:val="left"/>
        <w:rPr>
          <w:rFonts w:hint="eastAsia" w:ascii="仿宋" w:hAnsi="仿宋" w:eastAsia="仿宋" w:cs="仿宋"/>
          <w:color w:val="auto"/>
          <w:sz w:val="18"/>
          <w:szCs w:val="18"/>
          <w:highlight w:val="none"/>
        </w:rPr>
      </w:pPr>
    </w:p>
    <w:p w14:paraId="09A145BD">
      <w:pPr>
        <w:spacing w:line="360"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注：1、从业人员、营业收入、资产总额填报上一年度数据，无上一年度数据的新成立企业可不填报。</w:t>
      </w:r>
    </w:p>
    <w:p w14:paraId="5F34A1AD">
      <w:pPr>
        <w:spacing w:line="360" w:lineRule="auto"/>
        <w:ind w:right="420" w:firstLine="360" w:firstLineChars="20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A217013">
      <w:pPr>
        <w:widowControl/>
        <w:adjustRightInd/>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78507C76">
      <w:pPr>
        <w:spacing w:line="360" w:lineRule="auto"/>
        <w:jc w:val="center"/>
        <w:rPr>
          <w:rFonts w:hint="eastAsia" w:ascii="仿宋" w:hAnsi="仿宋" w:eastAsia="仿宋" w:cs="仿宋"/>
          <w:b/>
          <w:color w:val="auto"/>
          <w:sz w:val="32"/>
          <w:szCs w:val="32"/>
          <w:highlight w:val="none"/>
        </w:rPr>
      </w:pPr>
    </w:p>
    <w:p w14:paraId="403EA317">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（2）中小企业声明函（工程、服务）</w:t>
      </w:r>
    </w:p>
    <w:p w14:paraId="3E8BD7A5">
      <w:pPr>
        <w:spacing w:line="360" w:lineRule="auto"/>
        <w:rPr>
          <w:rFonts w:hint="eastAsia" w:ascii="仿宋" w:hAnsi="仿宋" w:eastAsia="仿宋" w:cs="仿宋"/>
          <w:color w:val="auto"/>
          <w:highlight w:val="none"/>
        </w:rPr>
      </w:pPr>
    </w:p>
    <w:p w14:paraId="350A67CD">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w:t>
      </w:r>
      <w:r>
        <w:rPr>
          <w:rFonts w:hint="eastAsia" w:ascii="仿宋" w:hAnsi="仿宋" w:eastAsia="仿宋" w:cs="仿宋"/>
          <w:color w:val="auto"/>
          <w:sz w:val="24"/>
          <w:highlight w:val="none"/>
          <w:u w:val="single"/>
        </w:rPr>
        <w:t>（单位名称）</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lang w:eastAsia="zh-CN"/>
        </w:rPr>
        <w:t>江心屿西园垃圾中转站除臭设备采购项目</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F7D9C7D">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（招标文件中明确的所属行业）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4659E20F">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（招标文件中明确的所属行业）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44472790">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70135510">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2E0C8343">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393364FC">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7DE67E35">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p>
    <w:p w14:paraId="7D084603">
      <w:pPr>
        <w:spacing w:line="360" w:lineRule="auto"/>
        <w:jc w:val="left"/>
        <w:rPr>
          <w:rFonts w:hint="eastAsia" w:ascii="仿宋" w:hAnsi="仿宋" w:eastAsia="仿宋" w:cs="仿宋"/>
          <w:b/>
          <w:color w:val="auto"/>
          <w:szCs w:val="21"/>
          <w:highlight w:val="none"/>
        </w:rPr>
      </w:pPr>
    </w:p>
    <w:p w14:paraId="73A87477">
      <w:pPr>
        <w:spacing w:line="360"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注：1、从业人员、营业收入、资产总额填报上一年度数据，无上一年度数据的新成立企业可不填报。</w:t>
      </w:r>
    </w:p>
    <w:p w14:paraId="4B89EFB4">
      <w:pPr>
        <w:spacing w:line="360" w:lineRule="auto"/>
        <w:ind w:firstLine="360" w:firstLineChars="200"/>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8B8C697">
      <w:pPr>
        <w:spacing w:line="360" w:lineRule="auto"/>
        <w:jc w:val="center"/>
        <w:rPr>
          <w:rFonts w:hint="eastAsia" w:ascii="仿宋" w:hAnsi="仿宋" w:eastAsia="仿宋" w:cs="仿宋"/>
          <w:b/>
          <w:bCs/>
          <w:color w:val="auto"/>
          <w:sz w:val="24"/>
          <w:szCs w:val="22"/>
          <w:highlight w:val="none"/>
        </w:rPr>
      </w:pPr>
      <w:r>
        <w:rPr>
          <w:rFonts w:hint="eastAsia" w:ascii="仿宋" w:hAnsi="仿宋" w:eastAsia="仿宋" w:cs="仿宋"/>
          <w:b/>
          <w:bCs/>
          <w:color w:val="auto"/>
          <w:sz w:val="24"/>
          <w:szCs w:val="22"/>
          <w:highlight w:val="none"/>
        </w:rPr>
        <w:br w:type="page"/>
      </w:r>
    </w:p>
    <w:p w14:paraId="71D4D015">
      <w:pPr>
        <w:spacing w:line="360" w:lineRule="auto"/>
        <w:jc w:val="center"/>
        <w:rPr>
          <w:rFonts w:hint="eastAsia" w:ascii="仿宋" w:hAnsi="仿宋" w:eastAsia="仿宋" w:cs="仿宋"/>
          <w:b/>
          <w:bCs/>
          <w:color w:val="auto"/>
          <w:sz w:val="22"/>
          <w:szCs w:val="22"/>
          <w:highlight w:val="none"/>
        </w:rPr>
      </w:pPr>
    </w:p>
    <w:p w14:paraId="05608BE5">
      <w:pPr>
        <w:spacing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（3）残疾人福利性单位声明函</w:t>
      </w:r>
    </w:p>
    <w:p w14:paraId="6348B358">
      <w:pPr>
        <w:spacing w:line="360" w:lineRule="auto"/>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（如有）</w:t>
      </w:r>
    </w:p>
    <w:p w14:paraId="41275DEE">
      <w:pPr>
        <w:spacing w:line="588" w:lineRule="exact"/>
        <w:jc w:val="left"/>
        <w:rPr>
          <w:rFonts w:hint="eastAsia" w:ascii="仿宋" w:hAnsi="仿宋" w:eastAsia="仿宋" w:cs="仿宋"/>
          <w:b/>
          <w:color w:val="auto"/>
          <w:spacing w:val="6"/>
          <w:sz w:val="30"/>
          <w:szCs w:val="30"/>
          <w:highlight w:val="none"/>
        </w:rPr>
      </w:pPr>
    </w:p>
    <w:p w14:paraId="1B248B98">
      <w:pPr>
        <w:spacing w:line="480" w:lineRule="auto"/>
        <w:ind w:firstLine="504" w:firstLineChars="200"/>
        <w:jc w:val="left"/>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本单位郑重声明，根据《财政部 民政部 中国残疾人联合会关于促进残疾人就业政府采购政策的通知》（财库</w:t>
      </w:r>
      <w:r>
        <w:rPr>
          <w:rFonts w:hint="eastAsia" w:ascii="仿宋" w:hAnsi="仿宋" w:eastAsia="仿宋" w:cs="仿宋"/>
          <w:color w:val="auto"/>
          <w:sz w:val="24"/>
          <w:highlight w:val="none"/>
        </w:rPr>
        <w:t>〔2017〕 141</w:t>
      </w:r>
      <w:r>
        <w:rPr>
          <w:rFonts w:hint="eastAsia" w:ascii="仿宋" w:hAnsi="仿宋" w:eastAsia="仿宋" w:cs="仿宋"/>
          <w:color w:val="auto"/>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742FE0C">
      <w:pPr>
        <w:spacing w:line="480" w:lineRule="auto"/>
        <w:ind w:firstLine="504" w:firstLineChars="200"/>
        <w:jc w:val="left"/>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本单位对上述声明的真实性负责。如有虚假，将依法承担相应责任。</w:t>
      </w:r>
    </w:p>
    <w:p w14:paraId="0B03BAB1">
      <w:pPr>
        <w:spacing w:line="480" w:lineRule="auto"/>
        <w:ind w:firstLine="504" w:firstLineChars="200"/>
        <w:jc w:val="left"/>
        <w:rPr>
          <w:rFonts w:hint="eastAsia" w:ascii="仿宋" w:hAnsi="仿宋" w:eastAsia="仿宋" w:cs="仿宋"/>
          <w:color w:val="auto"/>
          <w:spacing w:val="6"/>
          <w:sz w:val="24"/>
          <w:highlight w:val="none"/>
        </w:rPr>
      </w:pPr>
    </w:p>
    <w:p w14:paraId="0C5E0957">
      <w:pPr>
        <w:tabs>
          <w:tab w:val="left" w:pos="4860"/>
        </w:tabs>
        <w:spacing w:line="480" w:lineRule="auto"/>
        <w:ind w:right="1191" w:firstLine="3828" w:firstLineChars="1595"/>
        <w:jc w:val="left"/>
        <w:rPr>
          <w:rFonts w:hint="eastAsia" w:ascii="仿宋" w:hAnsi="仿宋" w:eastAsia="仿宋" w:cs="仿宋"/>
          <w:color w:val="auto"/>
          <w:spacing w:val="6"/>
          <w:sz w:val="24"/>
          <w:highlight w:val="none"/>
        </w:rPr>
      </w:pPr>
      <w:r>
        <w:rPr>
          <w:rFonts w:hint="eastAsia" w:ascii="仿宋" w:hAnsi="仿宋" w:eastAsia="仿宋" w:cs="仿宋"/>
          <w:color w:val="auto"/>
          <w:sz w:val="24"/>
          <w:highlight w:val="none"/>
        </w:rPr>
        <w:t>投标人名称（电子签名）：</w:t>
      </w:r>
    </w:p>
    <w:p w14:paraId="45DFF4D7">
      <w:pPr>
        <w:tabs>
          <w:tab w:val="left" w:pos="4860"/>
        </w:tabs>
        <w:spacing w:line="480" w:lineRule="auto"/>
        <w:ind w:right="1560" w:firstLine="4019" w:firstLineChars="1595"/>
        <w:jc w:val="left"/>
        <w:rPr>
          <w:rFonts w:hint="eastAsia" w:ascii="仿宋" w:hAnsi="仿宋" w:eastAsia="仿宋" w:cs="仿宋"/>
          <w:color w:val="auto"/>
          <w:sz w:val="24"/>
          <w:highlight w:val="none"/>
        </w:rPr>
      </w:pPr>
      <w:r>
        <w:rPr>
          <w:rFonts w:hint="eastAsia" w:ascii="仿宋" w:hAnsi="仿宋" w:eastAsia="仿宋" w:cs="仿宋"/>
          <w:color w:val="auto"/>
          <w:spacing w:val="6"/>
          <w:sz w:val="24"/>
          <w:highlight w:val="none"/>
        </w:rPr>
        <w:t>日     期：</w:t>
      </w:r>
    </w:p>
    <w:p w14:paraId="35F2D964">
      <w:pPr>
        <w:spacing w:line="360" w:lineRule="auto"/>
        <w:jc w:val="left"/>
        <w:rPr>
          <w:rFonts w:hint="eastAsia" w:ascii="仿宋" w:hAnsi="仿宋" w:eastAsia="仿宋" w:cs="仿宋"/>
          <w:b/>
          <w:color w:val="auto"/>
          <w:sz w:val="24"/>
          <w:highlight w:val="none"/>
        </w:rPr>
      </w:pPr>
    </w:p>
    <w:p w14:paraId="31D82939">
      <w:pPr>
        <w:tabs>
          <w:tab w:val="left" w:pos="312"/>
        </w:tabs>
        <w:spacing w:line="400" w:lineRule="exact"/>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注：1、供应商如为符合条件的残疾人福利性单位，且响应产品为本企业的，投标文件中须出具《残疾人福利性单位声明函》。</w:t>
      </w:r>
    </w:p>
    <w:p w14:paraId="541DA1B1">
      <w:pPr>
        <w:tabs>
          <w:tab w:val="left" w:pos="312"/>
        </w:tabs>
        <w:spacing w:line="400" w:lineRule="exact"/>
        <w:ind w:firstLine="360" w:firstLineChars="200"/>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2、供应商如为残疾人福利性单位且响应产品为其他残疾人福利性单位制造的，所代理品牌制造商的《残疾人福利性单位声明函》也需提供。</w:t>
      </w:r>
    </w:p>
    <w:p w14:paraId="66565181">
      <w:pPr>
        <w:tabs>
          <w:tab w:val="left" w:pos="312"/>
        </w:tabs>
        <w:spacing w:line="400" w:lineRule="exact"/>
        <w:ind w:firstLine="360" w:firstLineChars="200"/>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成交供应商为残疾人福利性单位的，采购人或者其委托的采购代理机构应当随成交结果同时公告其《残疾人福利性单位声明函》，接受社会监督。供应商提供的《残疾人福利性单位声明函》与事实不符的，依照《政府采购法》第七十七条第一款的规定追究法律责任。</w:t>
      </w:r>
    </w:p>
    <w:p w14:paraId="4B4C12A6">
      <w:pPr>
        <w:tabs>
          <w:tab w:val="left" w:pos="312"/>
        </w:tabs>
        <w:spacing w:line="400" w:lineRule="exact"/>
        <w:ind w:firstLine="360" w:firstLineChars="200"/>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4、供应商不属于残疾人福利性单位的，无需提供此声明函，如提供所引起的后果由供应商承担。</w:t>
      </w:r>
    </w:p>
    <w:p w14:paraId="4AC13D18">
      <w:pPr>
        <w:widowControl/>
        <w:adjustRightInd/>
        <w:jc w:val="left"/>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6D04E59E">
      <w:pPr>
        <w:snapToGrid w:val="0"/>
        <w:spacing w:before="50" w:after="50" w:line="360" w:lineRule="auto"/>
        <w:rPr>
          <w:rFonts w:hint="eastAsia" w:ascii="仿宋" w:hAnsi="仿宋" w:eastAsia="仿宋" w:cs="仿宋"/>
          <w:b/>
          <w:color w:val="auto"/>
          <w:kern w:val="0"/>
          <w:sz w:val="28"/>
          <w:szCs w:val="28"/>
          <w:highlight w:val="none"/>
          <w:lang w:val="zh-CN"/>
        </w:rPr>
      </w:pPr>
      <w:r>
        <w:rPr>
          <w:rFonts w:hint="eastAsia" w:ascii="仿宋" w:hAnsi="仿宋" w:eastAsia="仿宋" w:cs="仿宋"/>
          <w:b/>
          <w:color w:val="auto"/>
          <w:kern w:val="0"/>
          <w:sz w:val="28"/>
          <w:szCs w:val="28"/>
          <w:highlight w:val="none"/>
          <w:lang w:val="zh-CN"/>
        </w:rPr>
        <w:t>附件2</w:t>
      </w:r>
    </w:p>
    <w:p w14:paraId="62AF0507">
      <w:pPr>
        <w:snapToGrid w:val="0"/>
        <w:spacing w:before="50" w:after="50"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联合体协议</w:t>
      </w:r>
    </w:p>
    <w:p w14:paraId="144A283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lang w:eastAsia="zh-CN"/>
        </w:rPr>
        <w:t>江心屿西园垃圾中转站除臭设备采购项目</w:t>
      </w:r>
      <w:r>
        <w:rPr>
          <w:rFonts w:hint="eastAsia" w:ascii="仿宋" w:hAnsi="仿宋" w:eastAsia="仿宋" w:cs="仿宋"/>
          <w:color w:val="auto"/>
          <w:sz w:val="24"/>
          <w:highlight w:val="none"/>
        </w:rPr>
        <w:t>【招标编号：（采购编号）】</w:t>
      </w:r>
      <w:r>
        <w:rPr>
          <w:rFonts w:hint="eastAsia" w:ascii="仿宋" w:hAnsi="仿宋" w:eastAsia="仿宋" w:cs="仿宋"/>
          <w:color w:val="auto"/>
          <w:kern w:val="0"/>
          <w:sz w:val="24"/>
          <w:highlight w:val="none"/>
          <w:lang w:val="zh-CN"/>
        </w:rPr>
        <w:t>投标。</w:t>
      </w:r>
    </w:p>
    <w:p w14:paraId="0263EC3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48156AF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授权代表根据招标文件规定及投标内容而对采购人、采购机构所作的任何合法承诺，包括书面澄清及相应等均对联合投标各方产生约束力。</w:t>
      </w:r>
    </w:p>
    <w:p w14:paraId="3B750E4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w:t>
      </w:r>
    </w:p>
    <w:p w14:paraId="0008798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p>
    <w:p w14:paraId="2F8B792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25F4985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54C35AD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6743061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3EFB856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3、本协议提交采购人、采购机构后，联合体各方不得以任何形式对上述内容进行修改或撤销。</w:t>
      </w:r>
    </w:p>
    <w:p w14:paraId="56A29E82">
      <w:pPr>
        <w:snapToGrid w:val="0"/>
        <w:spacing w:line="360" w:lineRule="auto"/>
        <w:ind w:firstLine="4536" w:firstLineChars="189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DC3FDF3">
      <w:pPr>
        <w:snapToGrid w:val="0"/>
        <w:spacing w:line="360" w:lineRule="auto"/>
        <w:ind w:firstLine="4536" w:firstLineChars="189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4F4B1080">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6CD2A62C">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7C220A33">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1D04AD61">
      <w:pPr>
        <w:snapToGrid w:val="0"/>
        <w:spacing w:line="360" w:lineRule="auto"/>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附件3</w:t>
      </w:r>
    </w:p>
    <w:p w14:paraId="2C0385EE">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分包意向协议</w:t>
      </w:r>
    </w:p>
    <w:p w14:paraId="69CF1305">
      <w:pPr>
        <w:widowControl/>
        <w:spacing w:line="360" w:lineRule="auto"/>
        <w:ind w:firstLine="105" w:firstLineChars="5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（中标后以分包方式履行合同的，提供分包意向协议；采购人不同意分包或者投标人中标后不以分包方式履行合同的，则不需要提供。）</w:t>
      </w:r>
    </w:p>
    <w:p w14:paraId="42AFE10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lang w:eastAsia="zh-CN"/>
        </w:rPr>
        <w:t>江心屿西园垃圾中转站除臭设备采购项目</w:t>
      </w:r>
      <w:r>
        <w:rPr>
          <w:rFonts w:hint="eastAsia" w:ascii="仿宋" w:hAnsi="仿宋" w:eastAsia="仿宋" w:cs="仿宋"/>
          <w:color w:val="auto"/>
          <w:sz w:val="24"/>
          <w:highlight w:val="none"/>
        </w:rPr>
        <w:t>【招标编号：（采购编号）】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w:t>
      </w:r>
    </w:p>
    <w:p w14:paraId="48F54EC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2638964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5602D3FC">
      <w:pPr>
        <w:rPr>
          <w:rFonts w:hint="eastAsia" w:ascii="仿宋" w:hAnsi="仿宋" w:eastAsia="仿宋" w:cs="仿宋"/>
          <w:color w:val="auto"/>
          <w:highlight w:val="none"/>
        </w:rPr>
      </w:pPr>
      <w:r>
        <w:rPr>
          <w:rFonts w:hint="eastAsia" w:ascii="仿宋" w:hAnsi="仿宋" w:eastAsia="仿宋" w:cs="仿宋"/>
          <w:color w:val="auto"/>
          <w:kern w:val="0"/>
          <w:sz w:val="24"/>
          <w:highlight w:val="none"/>
        </w:rPr>
        <w:t>……</w:t>
      </w:r>
    </w:p>
    <w:p w14:paraId="2445564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14:paraId="751BD100">
      <w:pPr>
        <w:snapToGrid w:val="0"/>
        <w:spacing w:line="360" w:lineRule="auto"/>
        <w:ind w:firstLine="576"/>
        <w:rPr>
          <w:rFonts w:hint="eastAsia" w:ascii="仿宋" w:hAnsi="仿宋" w:eastAsia="仿宋" w:cs="仿宋"/>
          <w:color w:val="auto"/>
          <w:highlight w:val="none"/>
          <w:u w:val="single"/>
        </w:rPr>
      </w:pPr>
    </w:p>
    <w:p w14:paraId="7C718FC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14:paraId="540C9961">
      <w:pPr>
        <w:snapToGrid w:val="0"/>
        <w:spacing w:line="360" w:lineRule="auto"/>
        <w:ind w:firstLine="576"/>
        <w:rPr>
          <w:rFonts w:hint="eastAsia" w:ascii="仿宋" w:hAnsi="仿宋" w:eastAsia="仿宋" w:cs="仿宋"/>
          <w:color w:val="auto"/>
          <w:kern w:val="0"/>
          <w:sz w:val="24"/>
          <w:highlight w:val="none"/>
          <w:lang w:val="zh-CN"/>
        </w:rPr>
      </w:pPr>
    </w:p>
    <w:p w14:paraId="2678140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14:paraId="08C0827B">
      <w:pPr>
        <w:snapToGrid w:val="0"/>
        <w:spacing w:line="360" w:lineRule="auto"/>
        <w:ind w:left="573" w:leftChars="273"/>
        <w:rPr>
          <w:rFonts w:hint="eastAsia" w:ascii="仿宋" w:hAnsi="仿宋" w:eastAsia="仿宋" w:cs="仿宋"/>
          <w:color w:val="auto"/>
          <w:kern w:val="0"/>
          <w:sz w:val="24"/>
          <w:highlight w:val="none"/>
          <w:lang w:val="zh-CN"/>
        </w:rPr>
      </w:pPr>
    </w:p>
    <w:p w14:paraId="4E769246">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14:paraId="480B77C7">
      <w:pPr>
        <w:snapToGrid w:val="0"/>
        <w:spacing w:line="360" w:lineRule="auto"/>
        <w:ind w:firstLine="576"/>
        <w:rPr>
          <w:rFonts w:hint="eastAsia" w:ascii="仿宋" w:hAnsi="仿宋" w:eastAsia="仿宋" w:cs="仿宋"/>
          <w:color w:val="auto"/>
          <w:kern w:val="0"/>
          <w:sz w:val="24"/>
          <w:highlight w:val="none"/>
          <w:lang w:val="zh-CN"/>
        </w:rPr>
      </w:pPr>
    </w:p>
    <w:p w14:paraId="37C91E3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14:paraId="1AF3A415">
      <w:pPr>
        <w:snapToGrid w:val="0"/>
        <w:spacing w:line="360" w:lineRule="auto"/>
        <w:ind w:firstLine="576"/>
        <w:rPr>
          <w:rFonts w:hint="eastAsia" w:ascii="仿宋" w:hAnsi="仿宋" w:eastAsia="仿宋" w:cs="仿宋"/>
          <w:color w:val="auto"/>
          <w:kern w:val="0"/>
          <w:sz w:val="24"/>
          <w:highlight w:val="none"/>
          <w:lang w:val="zh-CN"/>
        </w:rPr>
      </w:pPr>
    </w:p>
    <w:p w14:paraId="765E995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14:paraId="36DB3972">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中小企业合同金额达到%，小微企业合同金额达到%</w:t>
      </w:r>
      <w:r>
        <w:rPr>
          <w:rFonts w:hint="eastAsia" w:ascii="仿宋" w:hAnsi="仿宋" w:eastAsia="仿宋" w:cs="仿宋"/>
          <w:color w:val="auto"/>
          <w:kern w:val="0"/>
          <w:sz w:val="24"/>
          <w:highlight w:val="none"/>
          <w:lang w:val="zh-CN"/>
        </w:rPr>
        <w:t xml:space="preserve">  。</w:t>
      </w:r>
    </w:p>
    <w:p w14:paraId="7A4E98FA">
      <w:pPr>
        <w:wordWrap w:val="0"/>
        <w:snapToGrid w:val="0"/>
        <w:spacing w:line="360" w:lineRule="auto"/>
        <w:ind w:left="5758" w:leftChars="342" w:hanging="5040" w:hangingChars="210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投标人名称(电子签名)：</w:t>
      </w:r>
    </w:p>
    <w:p w14:paraId="6278D070">
      <w:pPr>
        <w:snapToGrid w:val="0"/>
        <w:spacing w:line="360" w:lineRule="auto"/>
        <w:ind w:firstLine="5640" w:firstLineChars="23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14:paraId="77CBE454">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56101026">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E1D16F0">
      <w:pPr>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47CBD36">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三、本项目的特定资格要求</w:t>
      </w:r>
    </w:p>
    <w:p w14:paraId="18996C1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（根据招标公告本项目的特定资格要求及评标办法前附表的要求提供相应的材料；未要求的，无需提供）</w:t>
      </w:r>
    </w:p>
    <w:p w14:paraId="4FA1B12F">
      <w:pPr>
        <w:rPr>
          <w:rFonts w:hint="eastAsia" w:ascii="仿宋" w:hAnsi="仿宋" w:eastAsia="仿宋" w:cs="仿宋"/>
          <w:color w:val="auto"/>
          <w:highlight w:val="none"/>
        </w:rPr>
      </w:pPr>
    </w:p>
    <w:p w14:paraId="54ED40A6">
      <w:pPr>
        <w:widowControl/>
        <w:adjustRightInd/>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06A2313A">
      <w:pPr>
        <w:spacing w:line="360" w:lineRule="auto"/>
        <w:ind w:right="420"/>
        <w:jc w:val="center"/>
        <w:rPr>
          <w:rFonts w:hint="eastAsia" w:ascii="仿宋" w:hAnsi="仿宋" w:eastAsia="仿宋" w:cs="仿宋"/>
          <w:b/>
          <w:color w:val="auto"/>
          <w:kern w:val="0"/>
          <w:sz w:val="36"/>
          <w:szCs w:val="36"/>
          <w:highlight w:val="none"/>
        </w:rPr>
      </w:pPr>
      <w:bookmarkStart w:id="83" w:name="_Hlk93169794"/>
      <w:r>
        <w:rPr>
          <w:rFonts w:hint="eastAsia" w:ascii="仿宋" w:hAnsi="仿宋" w:eastAsia="仿宋" w:cs="仿宋"/>
          <w:b/>
          <w:color w:val="auto"/>
          <w:kern w:val="0"/>
          <w:sz w:val="36"/>
          <w:szCs w:val="36"/>
          <w:highlight w:val="none"/>
        </w:rPr>
        <w:t>商务技术文件部分</w:t>
      </w:r>
      <w:bookmarkEnd w:id="83"/>
    </w:p>
    <w:p w14:paraId="3690C114">
      <w:pPr>
        <w:spacing w:line="360" w:lineRule="auto"/>
        <w:jc w:val="center"/>
        <w:outlineLvl w:val="9"/>
        <w:rPr>
          <w:rFonts w:hint="eastAsia" w:ascii="仿宋" w:hAnsi="仿宋" w:eastAsia="仿宋" w:cs="仿宋"/>
          <w:b/>
          <w:color w:val="auto"/>
          <w:kern w:val="0"/>
          <w:sz w:val="24"/>
          <w:highlight w:val="none"/>
        </w:rPr>
      </w:pPr>
    </w:p>
    <w:p w14:paraId="25204D84">
      <w:pPr>
        <w:spacing w:line="360" w:lineRule="auto"/>
        <w:jc w:val="center"/>
        <w:outlineLvl w:val="0"/>
        <w:rPr>
          <w:rFonts w:hint="eastAsia" w:ascii="仿宋" w:hAnsi="仿宋" w:eastAsia="仿宋" w:cs="仿宋"/>
          <w:b/>
          <w:color w:val="auto"/>
          <w:kern w:val="0"/>
          <w:sz w:val="28"/>
          <w:szCs w:val="28"/>
          <w:highlight w:val="none"/>
        </w:rPr>
      </w:pPr>
      <w:bookmarkStart w:id="84" w:name="_Toc9497"/>
      <w:r>
        <w:rPr>
          <w:rFonts w:hint="eastAsia" w:ascii="仿宋" w:hAnsi="仿宋" w:eastAsia="仿宋" w:cs="仿宋"/>
          <w:b/>
          <w:color w:val="auto"/>
          <w:kern w:val="0"/>
          <w:sz w:val="28"/>
          <w:szCs w:val="28"/>
          <w:highlight w:val="none"/>
        </w:rPr>
        <w:t>目录</w:t>
      </w:r>
      <w:bookmarkEnd w:id="84"/>
    </w:p>
    <w:p w14:paraId="00F17DB4">
      <w:pPr>
        <w:snapToGrid w:val="0"/>
        <w:spacing w:line="360" w:lineRule="auto"/>
        <w:jc w:val="distribute"/>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p>
    <w:p w14:paraId="74ED91AA">
      <w:pPr>
        <w:snapToGrid w:val="0"/>
        <w:spacing w:line="360" w:lineRule="auto"/>
        <w:jc w:val="distribute"/>
        <w:rPr>
          <w:rFonts w:hint="eastAsia" w:ascii="仿宋" w:hAnsi="仿宋" w:eastAsia="仿宋" w:cs="仿宋"/>
          <w:color w:val="auto"/>
          <w:highlight w:val="none"/>
        </w:rPr>
      </w:pP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1B87DCD4">
      <w:pPr>
        <w:snapToGrid w:val="0"/>
        <w:spacing w:line="360" w:lineRule="auto"/>
        <w:jc w:val="distribute"/>
        <w:rPr>
          <w:rFonts w:hint="eastAsia" w:ascii="仿宋" w:hAnsi="仿宋" w:eastAsia="仿宋" w:cs="仿宋"/>
          <w:color w:val="auto"/>
          <w:highlight w:val="none"/>
        </w:rPr>
      </w:pPr>
      <w:r>
        <w:rPr>
          <w:rFonts w:hint="eastAsia" w:ascii="仿宋" w:hAnsi="仿宋" w:eastAsia="仿宋" w:cs="仿宋"/>
          <w:color w:val="auto"/>
          <w:sz w:val="24"/>
          <w:highlight w:val="none"/>
        </w:rPr>
        <w:t>（3）符合性审查资料</w:t>
      </w:r>
      <w:r>
        <w:rPr>
          <w:rFonts w:hint="eastAsia" w:ascii="仿宋" w:hAnsi="仿宋" w:eastAsia="仿宋" w:cs="仿宋"/>
          <w:color w:val="auto"/>
          <w:highlight w:val="none"/>
        </w:rPr>
        <w:t>……………………………………………………………………（页码）</w:t>
      </w:r>
    </w:p>
    <w:p w14:paraId="091E4865">
      <w:pPr>
        <w:snapToGrid w:val="0"/>
        <w:spacing w:line="360" w:lineRule="auto"/>
        <w:jc w:val="distribute"/>
        <w:rPr>
          <w:rFonts w:hint="eastAsia" w:ascii="仿宋" w:hAnsi="仿宋" w:eastAsia="仿宋" w:cs="仿宋"/>
          <w:color w:val="auto"/>
          <w:highlight w:val="none"/>
        </w:rPr>
      </w:pPr>
      <w:r>
        <w:rPr>
          <w:rFonts w:hint="eastAsia" w:ascii="仿宋" w:hAnsi="仿宋" w:eastAsia="仿宋" w:cs="仿宋"/>
          <w:color w:val="auto"/>
          <w:sz w:val="24"/>
          <w:highlight w:val="none"/>
        </w:rPr>
        <w:t>（4）评标标准相应的商务技术资料</w:t>
      </w:r>
      <w:r>
        <w:rPr>
          <w:rFonts w:hint="eastAsia" w:ascii="仿宋" w:hAnsi="仿宋" w:eastAsia="仿宋" w:cs="仿宋"/>
          <w:color w:val="auto"/>
          <w:highlight w:val="none"/>
        </w:rPr>
        <w:t>…………………………………………………（页码）</w:t>
      </w:r>
    </w:p>
    <w:p w14:paraId="3AE976B0">
      <w:pPr>
        <w:snapToGrid w:val="0"/>
        <w:spacing w:line="360" w:lineRule="auto"/>
        <w:jc w:val="distribute"/>
        <w:rPr>
          <w:rFonts w:hint="eastAsia" w:ascii="仿宋" w:hAnsi="仿宋" w:eastAsia="仿宋" w:cs="仿宋"/>
          <w:color w:val="auto"/>
          <w:highlight w:val="none"/>
        </w:rPr>
      </w:pPr>
      <w:r>
        <w:rPr>
          <w:rFonts w:hint="eastAsia" w:ascii="仿宋" w:hAnsi="仿宋" w:eastAsia="仿宋" w:cs="仿宋"/>
          <w:color w:val="auto"/>
          <w:sz w:val="24"/>
          <w:highlight w:val="none"/>
        </w:rPr>
        <w:t>（5）商务技术偏离表</w:t>
      </w:r>
      <w:r>
        <w:rPr>
          <w:rFonts w:hint="eastAsia" w:ascii="仿宋" w:hAnsi="仿宋" w:eastAsia="仿宋" w:cs="仿宋"/>
          <w:color w:val="auto"/>
          <w:highlight w:val="none"/>
        </w:rPr>
        <w:t>……………………………………………………………………（页码）</w:t>
      </w:r>
    </w:p>
    <w:p w14:paraId="55396C00">
      <w:pPr>
        <w:snapToGrid w:val="0"/>
        <w:spacing w:line="360" w:lineRule="auto"/>
        <w:jc w:val="center"/>
        <w:outlineLvl w:val="9"/>
        <w:rPr>
          <w:rFonts w:hint="eastAsia" w:ascii="仿宋" w:hAnsi="仿宋" w:eastAsia="仿宋" w:cs="仿宋"/>
          <w:b/>
          <w:color w:val="auto"/>
          <w:kern w:val="0"/>
          <w:sz w:val="32"/>
          <w:szCs w:val="32"/>
          <w:highlight w:val="none"/>
        </w:rPr>
      </w:pPr>
    </w:p>
    <w:p w14:paraId="2901EA90">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2D0FA9B">
      <w:pPr>
        <w:snapToGrid w:val="0"/>
        <w:spacing w:line="360" w:lineRule="auto"/>
        <w:jc w:val="left"/>
        <w:outlineLvl w:val="0"/>
        <w:rPr>
          <w:rFonts w:hint="eastAsia" w:ascii="仿宋" w:hAnsi="仿宋" w:eastAsia="仿宋" w:cs="仿宋"/>
          <w:b/>
          <w:color w:val="auto"/>
          <w:kern w:val="0"/>
          <w:sz w:val="28"/>
          <w:szCs w:val="28"/>
          <w:highlight w:val="none"/>
        </w:rPr>
      </w:pPr>
      <w:bookmarkStart w:id="85" w:name="_Toc22136"/>
      <w:r>
        <w:rPr>
          <w:rFonts w:hint="eastAsia" w:ascii="仿宋" w:hAnsi="仿宋" w:eastAsia="仿宋" w:cs="仿宋"/>
          <w:b/>
          <w:color w:val="auto"/>
          <w:kern w:val="0"/>
          <w:sz w:val="28"/>
          <w:szCs w:val="28"/>
          <w:highlight w:val="none"/>
        </w:rPr>
        <w:t>附件4</w:t>
      </w:r>
      <w:bookmarkEnd w:id="85"/>
    </w:p>
    <w:p w14:paraId="40DC7253">
      <w:pPr>
        <w:snapToGrid w:val="0"/>
        <w:spacing w:line="360" w:lineRule="auto"/>
        <w:jc w:val="center"/>
        <w:outlineLvl w:val="0"/>
        <w:rPr>
          <w:rFonts w:hint="eastAsia" w:ascii="仿宋" w:hAnsi="仿宋" w:eastAsia="仿宋" w:cs="仿宋"/>
          <w:b/>
          <w:color w:val="auto"/>
          <w:sz w:val="32"/>
          <w:szCs w:val="32"/>
          <w:highlight w:val="none"/>
        </w:rPr>
      </w:pPr>
      <w:bookmarkStart w:id="86" w:name="_Toc15627"/>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bookmarkEnd w:id="86"/>
    </w:p>
    <w:p w14:paraId="6FDC55EB">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Cs w:val="21"/>
          <w:highlight w:val="none"/>
          <w:u w:val="single"/>
        </w:rPr>
        <w:t>（采购人）、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Cs w:val="21"/>
          <w:highlight w:val="none"/>
          <w:u w:val="single"/>
        </w:rPr>
        <w:t>（采购代理机构）</w:t>
      </w:r>
      <w:r>
        <w:rPr>
          <w:rFonts w:hint="eastAsia" w:ascii="仿宋" w:hAnsi="仿宋" w:eastAsia="仿宋" w:cs="仿宋"/>
          <w:color w:val="auto"/>
          <w:szCs w:val="21"/>
          <w:highlight w:val="none"/>
        </w:rPr>
        <w:t>：</w:t>
      </w:r>
    </w:p>
    <w:p w14:paraId="4F02B82D">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我方参加你方组织的</w:t>
      </w:r>
      <w:r>
        <w:rPr>
          <w:rFonts w:hint="eastAsia" w:ascii="仿宋" w:hAnsi="仿宋" w:eastAsia="仿宋" w:cs="仿宋"/>
          <w:color w:val="auto"/>
          <w:szCs w:val="21"/>
          <w:highlight w:val="none"/>
          <w:u w:val="single"/>
          <w:lang w:eastAsia="zh-CN"/>
        </w:rPr>
        <w:t>江心屿西园垃圾中转站除臭设备采购项目</w:t>
      </w:r>
      <w:r>
        <w:rPr>
          <w:rFonts w:hint="eastAsia" w:ascii="仿宋" w:hAnsi="仿宋" w:eastAsia="仿宋" w:cs="仿宋"/>
          <w:color w:val="auto"/>
          <w:szCs w:val="21"/>
          <w:highlight w:val="non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Cs w:val="21"/>
          <w:highlight w:val="none"/>
          <w:u w:val="single"/>
        </w:rPr>
        <w:t>采购编号</w:t>
      </w:r>
      <w:r>
        <w:rPr>
          <w:rFonts w:hint="eastAsia" w:ascii="仿宋" w:hAnsi="仿宋" w:eastAsia="仿宋" w:cs="仿宋"/>
          <w:color w:val="auto"/>
          <w:szCs w:val="21"/>
          <w:highlight w:val="none"/>
        </w:rPr>
        <w:t>】采购的有关活动，并对此项目进行投标。为此：</w:t>
      </w:r>
    </w:p>
    <w:p w14:paraId="68648565">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1、我方承诺投标有效期从提交投标文件的截止之日起天（不少于</w:t>
      </w:r>
      <w:r>
        <w:rPr>
          <w:rFonts w:hint="eastAsia" w:ascii="仿宋" w:hAnsi="仿宋" w:eastAsia="仿宋" w:cs="仿宋"/>
          <w:color w:val="auto"/>
          <w:szCs w:val="21"/>
          <w:highlight w:val="none"/>
          <w:u w:val="single"/>
        </w:rPr>
        <w:t>90</w:t>
      </w:r>
      <w:r>
        <w:rPr>
          <w:rFonts w:hint="eastAsia" w:ascii="仿宋" w:hAnsi="仿宋" w:eastAsia="仿宋" w:cs="仿宋"/>
          <w:color w:val="auto"/>
          <w:szCs w:val="21"/>
          <w:highlight w:val="none"/>
        </w:rPr>
        <w:t>天），本投标文件在投标有效期满之前均具有约束力。</w:t>
      </w:r>
    </w:p>
    <w:p w14:paraId="6A194D7D">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2、我方的投标文件包括以下内容：</w:t>
      </w:r>
    </w:p>
    <w:p w14:paraId="318E0557">
      <w:pPr>
        <w:snapToGrid w:val="0"/>
        <w:spacing w:line="360" w:lineRule="auto"/>
        <w:ind w:left="210" w:leftChars="10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2.1资格文件：</w:t>
      </w:r>
    </w:p>
    <w:p w14:paraId="2DF12AAF">
      <w:pPr>
        <w:snapToGrid w:val="0"/>
        <w:spacing w:line="360" w:lineRule="auto"/>
        <w:ind w:left="420" w:leftChars="20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2.1.1承诺函；</w:t>
      </w:r>
    </w:p>
    <w:p w14:paraId="000D7759">
      <w:pPr>
        <w:snapToGrid w:val="0"/>
        <w:spacing w:line="360" w:lineRule="auto"/>
        <w:ind w:left="420" w:leftChars="20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2.1.2落实政府采购政策需满足的资格要求（如果有）；</w:t>
      </w:r>
    </w:p>
    <w:p w14:paraId="6E6E59AB">
      <w:pPr>
        <w:snapToGrid w:val="0"/>
        <w:spacing w:line="360" w:lineRule="auto"/>
        <w:ind w:left="420" w:leftChars="20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2.1.3本项目的特定资格要求（如果有）。</w:t>
      </w:r>
    </w:p>
    <w:p w14:paraId="41F28597">
      <w:pPr>
        <w:snapToGrid w:val="0"/>
        <w:spacing w:line="360" w:lineRule="auto"/>
        <w:ind w:left="210" w:leftChars="100"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zh-CN"/>
        </w:rPr>
        <w:t>.</w:t>
      </w:r>
      <w:r>
        <w:rPr>
          <w:rFonts w:hint="eastAsia" w:ascii="仿宋" w:hAnsi="仿宋" w:eastAsia="仿宋" w:cs="仿宋"/>
          <w:color w:val="auto"/>
          <w:szCs w:val="21"/>
          <w:highlight w:val="none"/>
        </w:rPr>
        <w:t>2商务技术</w:t>
      </w:r>
      <w:r>
        <w:rPr>
          <w:rFonts w:hint="eastAsia" w:ascii="仿宋" w:hAnsi="仿宋" w:eastAsia="仿宋" w:cs="仿宋"/>
          <w:color w:val="auto"/>
          <w:szCs w:val="21"/>
          <w:highlight w:val="none"/>
          <w:lang w:val="zh-CN"/>
        </w:rPr>
        <w:t>文件：</w:t>
      </w:r>
    </w:p>
    <w:p w14:paraId="44E7FA7F">
      <w:pPr>
        <w:snapToGrid w:val="0"/>
        <w:spacing w:line="360" w:lineRule="auto"/>
        <w:ind w:left="420" w:leftChars="20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2.2.1投标函；</w:t>
      </w:r>
    </w:p>
    <w:p w14:paraId="51189A4D">
      <w:pPr>
        <w:snapToGrid w:val="0"/>
        <w:spacing w:line="360" w:lineRule="auto"/>
        <w:ind w:left="420" w:leftChars="20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2.2.2授权委托书或法定代表人（单位负责人）身份证明；</w:t>
      </w:r>
    </w:p>
    <w:p w14:paraId="2729E243">
      <w:pPr>
        <w:snapToGrid w:val="0"/>
        <w:spacing w:line="360" w:lineRule="auto"/>
        <w:ind w:left="420" w:leftChars="20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2.2.3符合性审查资料；</w:t>
      </w:r>
    </w:p>
    <w:p w14:paraId="6E768599">
      <w:pPr>
        <w:snapToGrid w:val="0"/>
        <w:spacing w:line="360" w:lineRule="auto"/>
        <w:ind w:left="420" w:leftChars="20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2.2.4评标标准相应的商务技术资料；</w:t>
      </w:r>
    </w:p>
    <w:p w14:paraId="232BE1D2">
      <w:pPr>
        <w:snapToGrid w:val="0"/>
        <w:spacing w:line="360" w:lineRule="auto"/>
        <w:ind w:left="420" w:leftChars="20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2.2.5商务技术偏离表；</w:t>
      </w:r>
    </w:p>
    <w:p w14:paraId="0F1B1539">
      <w:pPr>
        <w:snapToGrid w:val="0"/>
        <w:spacing w:line="360" w:lineRule="auto"/>
        <w:ind w:left="210" w:leftChars="10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zh-CN"/>
        </w:rPr>
        <w:t>.</w:t>
      </w:r>
      <w:r>
        <w:rPr>
          <w:rFonts w:hint="eastAsia" w:ascii="仿宋" w:hAnsi="仿宋" w:eastAsia="仿宋" w:cs="仿宋"/>
          <w:color w:val="auto"/>
          <w:szCs w:val="21"/>
          <w:highlight w:val="none"/>
        </w:rPr>
        <w:t>3报价文件</w:t>
      </w:r>
    </w:p>
    <w:p w14:paraId="19F3DAFF">
      <w:pPr>
        <w:snapToGrid w:val="0"/>
        <w:spacing w:line="360" w:lineRule="auto"/>
        <w:ind w:left="420" w:leftChars="200" w:firstLine="420" w:firstLineChars="200"/>
        <w:rPr>
          <w:rFonts w:hint="eastAsia" w:ascii="仿宋" w:hAnsi="仿宋" w:eastAsia="仿宋" w:cs="仿宋"/>
          <w:color w:val="auto"/>
          <w:szCs w:val="21"/>
          <w:highlight w:val="none"/>
        </w:rPr>
      </w:pPr>
      <w:bookmarkStart w:id="87" w:name="_Hlk93170136"/>
      <w:r>
        <w:rPr>
          <w:rFonts w:hint="eastAsia" w:ascii="仿宋" w:hAnsi="仿宋" w:eastAsia="仿宋" w:cs="仿宋"/>
          <w:color w:val="auto"/>
          <w:szCs w:val="21"/>
          <w:highlight w:val="none"/>
        </w:rPr>
        <w:t>2.3.1开标一览表（报价表）；</w:t>
      </w:r>
    </w:p>
    <w:p w14:paraId="730C2E4D">
      <w:pPr>
        <w:snapToGrid w:val="0"/>
        <w:spacing w:line="360" w:lineRule="auto"/>
        <w:ind w:left="420" w:leftChars="20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2.3.2价格组成表；</w:t>
      </w:r>
    </w:p>
    <w:p w14:paraId="7AD94415">
      <w:pPr>
        <w:snapToGrid w:val="0"/>
        <w:spacing w:line="360" w:lineRule="auto"/>
        <w:ind w:left="420" w:leftChars="20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2.3.3政府采购政策情况表。</w:t>
      </w:r>
      <w:bookmarkEnd w:id="87"/>
    </w:p>
    <w:p w14:paraId="5B56F967">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3、我方承诺除商务技术偏离表列出的偏离外，我方响应招标文件的全部要求。</w:t>
      </w:r>
    </w:p>
    <w:p w14:paraId="2F164466">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4、如我方中标，我方承诺：</w:t>
      </w:r>
    </w:p>
    <w:p w14:paraId="57396842">
      <w:pPr>
        <w:snapToGrid w:val="0"/>
        <w:spacing w:line="360" w:lineRule="auto"/>
        <w:ind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4.1在收到中标通知书后，在中标通知书规定的期限内与你方签订合同； </w:t>
      </w:r>
    </w:p>
    <w:p w14:paraId="4FD976BA">
      <w:pPr>
        <w:snapToGrid w:val="0"/>
        <w:spacing w:line="360" w:lineRule="auto"/>
        <w:ind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4.2在签订合同时不向你方提出附加条件； </w:t>
      </w:r>
    </w:p>
    <w:p w14:paraId="2104BB23">
      <w:pPr>
        <w:snapToGrid w:val="0"/>
        <w:spacing w:line="360" w:lineRule="auto"/>
        <w:ind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4.3按照招标文件要求提交履约保证金； </w:t>
      </w:r>
    </w:p>
    <w:p w14:paraId="32EBA153">
      <w:pPr>
        <w:snapToGrid w:val="0"/>
        <w:spacing w:line="360" w:lineRule="auto"/>
        <w:ind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4.4在合同约定的期限内完成合同规定的全部义务。 </w:t>
      </w:r>
    </w:p>
    <w:p w14:paraId="70F0A7BF">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5、其他补充说明:</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3C1807FC">
      <w:pPr>
        <w:spacing w:line="360" w:lineRule="auto"/>
        <w:ind w:firstLine="3150" w:firstLineChars="15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投标人名称（电子签名）：</w:t>
      </w:r>
    </w:p>
    <w:p w14:paraId="1EC74BE0">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日期：  年   月   日</w:t>
      </w:r>
    </w:p>
    <w:p w14:paraId="0669DED8">
      <w:pPr>
        <w:widowControl/>
        <w:adjustRightInd/>
        <w:jc w:val="left"/>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7E3B3E12">
      <w:pPr>
        <w:jc w:val="left"/>
        <w:rPr>
          <w:rFonts w:hint="eastAsia" w:ascii="仿宋" w:hAnsi="仿宋" w:eastAsia="仿宋" w:cs="仿宋"/>
          <w:b/>
          <w:color w:val="auto"/>
          <w:kern w:val="0"/>
          <w:sz w:val="28"/>
          <w:szCs w:val="28"/>
          <w:highlight w:val="none"/>
          <w:lang w:val="zh-CN"/>
        </w:rPr>
      </w:pPr>
      <w:r>
        <w:rPr>
          <w:rFonts w:hint="eastAsia" w:ascii="仿宋" w:hAnsi="仿宋" w:eastAsia="仿宋" w:cs="仿宋"/>
          <w:b/>
          <w:color w:val="auto"/>
          <w:kern w:val="0"/>
          <w:sz w:val="28"/>
          <w:szCs w:val="28"/>
          <w:highlight w:val="none"/>
          <w:lang w:val="zh-CN"/>
        </w:rPr>
        <w:t>附件5</w:t>
      </w:r>
    </w:p>
    <w:p w14:paraId="058E488D">
      <w:pPr>
        <w:jc w:val="center"/>
        <w:rPr>
          <w:rFonts w:hint="eastAsia" w:ascii="仿宋" w:hAnsi="仿宋" w:eastAsia="仿宋" w:cs="仿宋"/>
          <w:b/>
          <w:color w:val="auto"/>
          <w:kern w:val="0"/>
          <w:sz w:val="32"/>
          <w:szCs w:val="32"/>
          <w:highlight w:val="none"/>
          <w:lang w:val="zh-CN"/>
        </w:rPr>
      </w:pPr>
    </w:p>
    <w:p w14:paraId="7BBC99D0">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195B0EAB">
      <w:pPr>
        <w:snapToGrid w:val="0"/>
        <w:spacing w:line="360" w:lineRule="auto"/>
        <w:rPr>
          <w:rFonts w:hint="eastAsia" w:ascii="仿宋" w:hAnsi="仿宋" w:eastAsia="仿宋" w:cs="仿宋"/>
          <w:color w:val="auto"/>
          <w:sz w:val="24"/>
          <w:highlight w:val="none"/>
        </w:rPr>
      </w:pPr>
    </w:p>
    <w:p w14:paraId="7FC04FA1">
      <w:pPr>
        <w:snapToGrid w:val="0"/>
        <w:spacing w:line="360" w:lineRule="auto"/>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p>
    <w:p w14:paraId="30B2BCB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（采购代理机构）</w:t>
      </w:r>
      <w:r>
        <w:rPr>
          <w:rFonts w:hint="eastAsia" w:ascii="仿宋" w:hAnsi="仿宋" w:eastAsia="仿宋" w:cs="仿宋"/>
          <w:color w:val="auto"/>
          <w:kern w:val="0"/>
          <w:sz w:val="24"/>
          <w:highlight w:val="none"/>
          <w:lang w:val="zh-CN"/>
        </w:rPr>
        <w:t>：</w:t>
      </w:r>
    </w:p>
    <w:p w14:paraId="226FD59A">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（姓名）</w:t>
      </w:r>
      <w:r>
        <w:rPr>
          <w:rFonts w:hint="eastAsia" w:ascii="仿宋" w:hAnsi="仿宋" w:eastAsia="仿宋" w:cs="仿宋"/>
          <w:color w:val="auto"/>
          <w:kern w:val="0"/>
          <w:sz w:val="24"/>
          <w:highlight w:val="none"/>
          <w:lang w:val="zh-CN"/>
        </w:rPr>
        <w:t>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lang w:eastAsia="zh-CN"/>
        </w:rPr>
        <w:t>江心屿西园垃圾中转站除臭设备采购项目</w:t>
      </w:r>
      <w:r>
        <w:rPr>
          <w:rFonts w:hint="eastAsia" w:ascii="仿宋" w:hAnsi="仿宋" w:eastAsia="仿宋" w:cs="仿宋"/>
          <w:color w:val="auto"/>
          <w:sz w:val="24"/>
          <w:highlight w:val="none"/>
          <w:u w:val="single"/>
        </w:rPr>
        <w:t>【招标编号：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（采购编号）】</w:t>
      </w:r>
      <w:r>
        <w:rPr>
          <w:rFonts w:hint="eastAsia" w:ascii="仿宋" w:hAnsi="仿宋" w:eastAsia="仿宋" w:cs="仿宋"/>
          <w:color w:val="auto"/>
          <w:kern w:val="0"/>
          <w:sz w:val="24"/>
          <w:highlight w:val="none"/>
          <w:lang w:val="zh-CN"/>
        </w:rPr>
        <w:t>政府采购投标的一切事项，其法律后果由我方承担。</w:t>
      </w:r>
    </w:p>
    <w:p w14:paraId="3991941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1568A9C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14:paraId="293D643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57954DDD">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46CFBEC3">
      <w:pPr>
        <w:snapToGrid w:val="0"/>
        <w:spacing w:line="360" w:lineRule="auto"/>
        <w:rPr>
          <w:rFonts w:hint="eastAsia" w:ascii="仿宋" w:hAnsi="仿宋" w:eastAsia="仿宋" w:cs="仿宋"/>
          <w:color w:val="auto"/>
          <w:sz w:val="24"/>
          <w:highlight w:val="none"/>
        </w:rPr>
      </w:pPr>
    </w:p>
    <w:p w14:paraId="26501BCE">
      <w:pPr>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14:paraId="6ECF948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0B05A463">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（姓名）</w:t>
      </w:r>
      <w:r>
        <w:rPr>
          <w:rFonts w:hint="eastAsia" w:ascii="仿宋" w:hAnsi="仿宋" w:eastAsia="仿宋" w:cs="仿宋"/>
          <w:color w:val="auto"/>
          <w:kern w:val="0"/>
          <w:sz w:val="24"/>
          <w:highlight w:val="none"/>
          <w:lang w:val="zh-CN"/>
        </w:rPr>
        <w:t>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lang w:eastAsia="zh-CN"/>
        </w:rPr>
        <w:t>江心屿西园垃圾中转站除臭设备采购项目</w:t>
      </w:r>
      <w:r>
        <w:rPr>
          <w:rFonts w:hint="eastAsia" w:ascii="仿宋" w:hAnsi="仿宋" w:eastAsia="仿宋" w:cs="仿宋"/>
          <w:color w:val="auto"/>
          <w:sz w:val="24"/>
          <w:highlight w:val="none"/>
          <w:u w:val="single"/>
        </w:rPr>
        <w:t>【招标编号：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（采购编号）】</w:t>
      </w:r>
      <w:r>
        <w:rPr>
          <w:rFonts w:hint="eastAsia" w:ascii="仿宋" w:hAnsi="仿宋" w:eastAsia="仿宋" w:cs="仿宋"/>
          <w:color w:val="auto"/>
          <w:kern w:val="0"/>
          <w:sz w:val="24"/>
          <w:highlight w:val="none"/>
          <w:lang w:val="zh-CN"/>
        </w:rPr>
        <w:t>政府采购投标的一切事项，其法律后果由我方承担。</w:t>
      </w:r>
    </w:p>
    <w:p w14:paraId="4BF897F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305F9F5F">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14:paraId="42EF4FAA">
      <w:pPr>
        <w:rPr>
          <w:rFonts w:hint="eastAsia" w:ascii="仿宋" w:hAnsi="仿宋" w:eastAsia="仿宋" w:cs="仿宋"/>
          <w:color w:val="auto"/>
          <w:highlight w:val="none"/>
        </w:rPr>
      </w:pPr>
    </w:p>
    <w:p w14:paraId="2F7D44BA">
      <w:pPr>
        <w:snapToGrid w:val="0"/>
        <w:spacing w:line="360" w:lineRule="auto"/>
        <w:ind w:firstLine="4394" w:firstLineChars="1831"/>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8253974">
      <w:pPr>
        <w:snapToGrid w:val="0"/>
        <w:spacing w:line="360" w:lineRule="auto"/>
        <w:ind w:firstLine="4394" w:firstLineChars="1831"/>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EF8BF2C">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471A124A">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8F909F8">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01E641EB">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526EA9F1">
      <w:pP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584E40E0">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3C1049BC">
      <w:pPr>
        <w:pStyle w:val="257"/>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0B20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DBBD643">
            <w:pPr>
              <w:pStyle w:val="257"/>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正面：反面：</w:t>
            </w:r>
          </w:p>
          <w:p w14:paraId="1A78A989">
            <w:pPr>
              <w:pStyle w:val="257"/>
              <w:adjustRightInd w:val="0"/>
              <w:spacing w:line="360" w:lineRule="auto"/>
              <w:rPr>
                <w:rFonts w:hint="eastAsia" w:ascii="仿宋" w:hAnsi="仿宋" w:eastAsia="仿宋" w:cs="仿宋"/>
                <w:bCs/>
                <w:color w:val="auto"/>
                <w:sz w:val="24"/>
                <w:highlight w:val="none"/>
              </w:rPr>
            </w:pPr>
          </w:p>
        </w:tc>
      </w:tr>
    </w:tbl>
    <w:p w14:paraId="5C31AECF">
      <w:pPr>
        <w:snapToGrid w:val="0"/>
        <w:spacing w:line="360" w:lineRule="auto"/>
        <w:ind w:firstLine="576"/>
        <w:jc w:val="center"/>
        <w:rPr>
          <w:rFonts w:hint="eastAsia" w:ascii="仿宋" w:hAnsi="仿宋" w:eastAsia="仿宋" w:cs="仿宋"/>
          <w:color w:val="auto"/>
          <w:kern w:val="0"/>
          <w:sz w:val="24"/>
          <w:highlight w:val="none"/>
          <w:lang w:val="zh-CN"/>
        </w:rPr>
      </w:pPr>
    </w:p>
    <w:p w14:paraId="5FAD85A1">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7BD92FFA">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2FE9DCA1">
      <w:pPr>
        <w:jc w:val="center"/>
        <w:rPr>
          <w:rFonts w:hint="eastAsia" w:ascii="仿宋" w:hAnsi="仿宋" w:eastAsia="仿宋" w:cs="仿宋"/>
          <w:b/>
          <w:color w:val="auto"/>
          <w:kern w:val="0"/>
          <w:sz w:val="32"/>
          <w:szCs w:val="32"/>
          <w:highlight w:val="none"/>
        </w:rPr>
      </w:pPr>
    </w:p>
    <w:p w14:paraId="55C47F42">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026A047F">
      <w:pPr>
        <w:jc w:val="left"/>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附件6</w:t>
      </w:r>
    </w:p>
    <w:p w14:paraId="071A7A3F">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三、符合性审查资料</w:t>
      </w:r>
    </w:p>
    <w:p w14:paraId="7C70ECC2">
      <w:pPr>
        <w:jc w:val="center"/>
        <w:rPr>
          <w:rFonts w:hint="eastAsia" w:ascii="仿宋" w:hAnsi="仿宋" w:eastAsia="仿宋" w:cs="仿宋"/>
          <w:b/>
          <w:color w:val="auto"/>
          <w:kern w:val="0"/>
          <w:sz w:val="32"/>
          <w:szCs w:val="32"/>
          <w:highlight w:val="none"/>
        </w:rPr>
      </w:pPr>
    </w:p>
    <w:tbl>
      <w:tblPr>
        <w:tblStyle w:val="57"/>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4162"/>
        <w:gridCol w:w="2663"/>
        <w:gridCol w:w="1480"/>
      </w:tblGrid>
      <w:tr w14:paraId="021B7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674" w:type="dxa"/>
            <w:vAlign w:val="center"/>
          </w:tcPr>
          <w:p w14:paraId="344951B6">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162" w:type="dxa"/>
            <w:vAlign w:val="center"/>
          </w:tcPr>
          <w:p w14:paraId="76A70C12">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663" w:type="dxa"/>
            <w:vAlign w:val="center"/>
          </w:tcPr>
          <w:p w14:paraId="1691EE15">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响应情况</w:t>
            </w:r>
          </w:p>
        </w:tc>
        <w:tc>
          <w:tcPr>
            <w:tcW w:w="1480" w:type="dxa"/>
            <w:vAlign w:val="center"/>
          </w:tcPr>
          <w:p w14:paraId="2AF9152E">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0A6629E9">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0E342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674" w:type="dxa"/>
            <w:vAlign w:val="center"/>
          </w:tcPr>
          <w:p w14:paraId="41816CF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162" w:type="dxa"/>
            <w:vAlign w:val="center"/>
          </w:tcPr>
          <w:p w14:paraId="567107E7">
            <w:pPr>
              <w:spacing w:line="360" w:lineRule="auto"/>
              <w:jc w:val="center"/>
              <w:rPr>
                <w:rFonts w:hint="eastAsia" w:ascii="仿宋" w:hAnsi="仿宋" w:eastAsia="仿宋" w:cs="仿宋"/>
                <w:color w:val="auto"/>
                <w:sz w:val="24"/>
                <w:highlight w:val="none"/>
              </w:rPr>
            </w:pPr>
          </w:p>
        </w:tc>
        <w:tc>
          <w:tcPr>
            <w:tcW w:w="2663" w:type="dxa"/>
            <w:vAlign w:val="center"/>
          </w:tcPr>
          <w:p w14:paraId="4D74407C">
            <w:pPr>
              <w:jc w:val="center"/>
              <w:rPr>
                <w:rFonts w:hint="eastAsia" w:ascii="仿宋" w:hAnsi="仿宋" w:eastAsia="仿宋" w:cs="仿宋"/>
                <w:color w:val="auto"/>
                <w:sz w:val="24"/>
                <w:highlight w:val="none"/>
              </w:rPr>
            </w:pPr>
          </w:p>
        </w:tc>
        <w:tc>
          <w:tcPr>
            <w:tcW w:w="1480" w:type="dxa"/>
            <w:vAlign w:val="center"/>
          </w:tcPr>
          <w:p w14:paraId="0073A3D4">
            <w:pPr>
              <w:jc w:val="center"/>
              <w:rPr>
                <w:rFonts w:hint="eastAsia" w:ascii="仿宋" w:hAnsi="仿宋" w:eastAsia="仿宋" w:cs="仿宋"/>
                <w:color w:val="auto"/>
                <w:sz w:val="24"/>
                <w:highlight w:val="none"/>
              </w:rPr>
            </w:pPr>
          </w:p>
        </w:tc>
      </w:tr>
      <w:tr w14:paraId="57E1F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674" w:type="dxa"/>
            <w:vAlign w:val="center"/>
          </w:tcPr>
          <w:p w14:paraId="2863C2D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162" w:type="dxa"/>
            <w:vAlign w:val="center"/>
          </w:tcPr>
          <w:p w14:paraId="0B7FE850">
            <w:pPr>
              <w:spacing w:line="360" w:lineRule="auto"/>
              <w:jc w:val="center"/>
              <w:rPr>
                <w:rFonts w:hint="eastAsia" w:ascii="仿宋" w:hAnsi="仿宋" w:eastAsia="仿宋" w:cs="仿宋"/>
                <w:color w:val="auto"/>
                <w:sz w:val="24"/>
                <w:highlight w:val="none"/>
              </w:rPr>
            </w:pPr>
          </w:p>
        </w:tc>
        <w:tc>
          <w:tcPr>
            <w:tcW w:w="2663" w:type="dxa"/>
            <w:vAlign w:val="center"/>
          </w:tcPr>
          <w:p w14:paraId="023584DC">
            <w:pPr>
              <w:jc w:val="center"/>
              <w:rPr>
                <w:rFonts w:hint="eastAsia" w:ascii="仿宋" w:hAnsi="仿宋" w:eastAsia="仿宋" w:cs="仿宋"/>
                <w:color w:val="auto"/>
                <w:sz w:val="24"/>
                <w:highlight w:val="none"/>
              </w:rPr>
            </w:pPr>
          </w:p>
        </w:tc>
        <w:tc>
          <w:tcPr>
            <w:tcW w:w="1480" w:type="dxa"/>
            <w:vAlign w:val="center"/>
          </w:tcPr>
          <w:p w14:paraId="18A3B489">
            <w:pPr>
              <w:pStyle w:val="3"/>
              <w:jc w:val="center"/>
              <w:outlineLvl w:val="9"/>
              <w:rPr>
                <w:rFonts w:hint="eastAsia" w:ascii="仿宋" w:hAnsi="仿宋" w:eastAsia="仿宋" w:cs="仿宋"/>
                <w:color w:val="auto"/>
                <w:sz w:val="24"/>
                <w:szCs w:val="24"/>
                <w:highlight w:val="none"/>
              </w:rPr>
            </w:pPr>
          </w:p>
        </w:tc>
      </w:tr>
      <w:tr w14:paraId="36556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674" w:type="dxa"/>
            <w:vAlign w:val="center"/>
          </w:tcPr>
          <w:p w14:paraId="635B04F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162" w:type="dxa"/>
            <w:vAlign w:val="center"/>
          </w:tcPr>
          <w:p w14:paraId="6542D4AE">
            <w:pPr>
              <w:spacing w:line="360" w:lineRule="auto"/>
              <w:jc w:val="center"/>
              <w:rPr>
                <w:rFonts w:hint="eastAsia" w:ascii="仿宋" w:hAnsi="仿宋" w:eastAsia="仿宋" w:cs="仿宋"/>
                <w:color w:val="auto"/>
                <w:sz w:val="24"/>
                <w:highlight w:val="none"/>
              </w:rPr>
            </w:pPr>
          </w:p>
        </w:tc>
        <w:tc>
          <w:tcPr>
            <w:tcW w:w="2663" w:type="dxa"/>
            <w:vAlign w:val="center"/>
          </w:tcPr>
          <w:p w14:paraId="4F25CBA0">
            <w:pPr>
              <w:jc w:val="center"/>
              <w:rPr>
                <w:rFonts w:hint="eastAsia" w:ascii="仿宋" w:hAnsi="仿宋" w:eastAsia="仿宋" w:cs="仿宋"/>
                <w:color w:val="auto"/>
                <w:sz w:val="24"/>
                <w:highlight w:val="none"/>
              </w:rPr>
            </w:pPr>
          </w:p>
        </w:tc>
        <w:tc>
          <w:tcPr>
            <w:tcW w:w="1480" w:type="dxa"/>
            <w:vAlign w:val="center"/>
          </w:tcPr>
          <w:p w14:paraId="6A433814">
            <w:pPr>
              <w:jc w:val="center"/>
              <w:rPr>
                <w:rFonts w:hint="eastAsia" w:ascii="仿宋" w:hAnsi="仿宋" w:eastAsia="仿宋" w:cs="仿宋"/>
                <w:color w:val="auto"/>
                <w:sz w:val="24"/>
                <w:highlight w:val="none"/>
              </w:rPr>
            </w:pPr>
          </w:p>
        </w:tc>
      </w:tr>
      <w:tr w14:paraId="3F2A4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674" w:type="dxa"/>
            <w:vAlign w:val="center"/>
          </w:tcPr>
          <w:p w14:paraId="3C8F726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4162" w:type="dxa"/>
          </w:tcPr>
          <w:p w14:paraId="53EE367C">
            <w:pPr>
              <w:spacing w:line="360" w:lineRule="auto"/>
              <w:jc w:val="center"/>
              <w:rPr>
                <w:rFonts w:hint="eastAsia" w:ascii="仿宋" w:hAnsi="仿宋" w:eastAsia="仿宋" w:cs="仿宋"/>
                <w:color w:val="auto"/>
                <w:sz w:val="24"/>
                <w:highlight w:val="none"/>
              </w:rPr>
            </w:pPr>
          </w:p>
        </w:tc>
        <w:tc>
          <w:tcPr>
            <w:tcW w:w="2663" w:type="dxa"/>
            <w:vAlign w:val="center"/>
          </w:tcPr>
          <w:p w14:paraId="09588D13">
            <w:pPr>
              <w:jc w:val="center"/>
              <w:rPr>
                <w:rFonts w:hint="eastAsia" w:ascii="仿宋" w:hAnsi="仿宋" w:eastAsia="仿宋" w:cs="仿宋"/>
                <w:color w:val="auto"/>
                <w:sz w:val="24"/>
                <w:highlight w:val="none"/>
              </w:rPr>
            </w:pPr>
          </w:p>
        </w:tc>
        <w:tc>
          <w:tcPr>
            <w:tcW w:w="1480" w:type="dxa"/>
          </w:tcPr>
          <w:p w14:paraId="74505427">
            <w:pPr>
              <w:jc w:val="center"/>
              <w:rPr>
                <w:rFonts w:hint="eastAsia" w:ascii="仿宋" w:hAnsi="仿宋" w:eastAsia="仿宋" w:cs="仿宋"/>
                <w:color w:val="auto"/>
                <w:sz w:val="24"/>
                <w:highlight w:val="none"/>
              </w:rPr>
            </w:pPr>
          </w:p>
        </w:tc>
      </w:tr>
    </w:tbl>
    <w:p w14:paraId="2D7625D6">
      <w:pPr>
        <w:rPr>
          <w:rFonts w:hint="eastAsia" w:ascii="仿宋" w:hAnsi="仿宋" w:eastAsia="仿宋" w:cs="仿宋"/>
          <w:color w:val="auto"/>
          <w:kern w:val="0"/>
          <w:szCs w:val="21"/>
          <w:highlight w:val="none"/>
        </w:rPr>
      </w:pPr>
    </w:p>
    <w:p w14:paraId="5750249D">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注：根据招标文件第六部分“评标办法”第2.2款“符合性审查”的要求，逐条作出实质性响应。</w:t>
      </w:r>
    </w:p>
    <w:p w14:paraId="35525934">
      <w:pPr>
        <w:jc w:val="center"/>
        <w:rPr>
          <w:rFonts w:hint="eastAsia" w:ascii="仿宋" w:hAnsi="仿宋" w:eastAsia="仿宋" w:cs="仿宋"/>
          <w:b/>
          <w:color w:val="auto"/>
          <w:kern w:val="0"/>
          <w:sz w:val="32"/>
          <w:szCs w:val="32"/>
          <w:highlight w:val="none"/>
        </w:rPr>
      </w:pPr>
    </w:p>
    <w:p w14:paraId="22DF391D">
      <w:pPr>
        <w:jc w:val="center"/>
        <w:rPr>
          <w:rFonts w:hint="eastAsia" w:ascii="仿宋" w:hAnsi="仿宋" w:eastAsia="仿宋" w:cs="仿宋"/>
          <w:b/>
          <w:color w:val="auto"/>
          <w:kern w:val="0"/>
          <w:sz w:val="32"/>
          <w:szCs w:val="32"/>
          <w:highlight w:val="none"/>
        </w:rPr>
      </w:pPr>
    </w:p>
    <w:p w14:paraId="6AC3CEB9">
      <w:pPr>
        <w:jc w:val="center"/>
        <w:rPr>
          <w:rFonts w:hint="eastAsia" w:ascii="仿宋" w:hAnsi="仿宋" w:eastAsia="仿宋" w:cs="仿宋"/>
          <w:b/>
          <w:color w:val="auto"/>
          <w:kern w:val="0"/>
          <w:sz w:val="32"/>
          <w:szCs w:val="32"/>
          <w:highlight w:val="none"/>
        </w:rPr>
      </w:pPr>
    </w:p>
    <w:p w14:paraId="4E5BF367">
      <w:pPr>
        <w:jc w:val="center"/>
        <w:rPr>
          <w:rFonts w:hint="eastAsia" w:ascii="仿宋" w:hAnsi="仿宋" w:eastAsia="仿宋" w:cs="仿宋"/>
          <w:b/>
          <w:color w:val="auto"/>
          <w:kern w:val="0"/>
          <w:sz w:val="32"/>
          <w:szCs w:val="32"/>
          <w:highlight w:val="none"/>
        </w:rPr>
      </w:pPr>
    </w:p>
    <w:p w14:paraId="325DC7EA">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10D58700">
      <w:pPr>
        <w:jc w:val="left"/>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附件7</w:t>
      </w:r>
    </w:p>
    <w:p w14:paraId="0B318C8A">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四、评标标准相应的商务技术资料</w:t>
      </w:r>
    </w:p>
    <w:p w14:paraId="36D81075">
      <w:pPr>
        <w:snapToGrid w:val="0"/>
        <w:spacing w:line="360" w:lineRule="auto"/>
        <w:jc w:val="left"/>
        <w:rPr>
          <w:rFonts w:hint="eastAsia" w:ascii="仿宋" w:hAnsi="仿宋" w:eastAsia="仿宋" w:cs="仿宋"/>
          <w:b/>
          <w:color w:val="auto"/>
          <w:sz w:val="24"/>
          <w:highlight w:val="none"/>
        </w:rPr>
      </w:pPr>
    </w:p>
    <w:p w14:paraId="244327FA">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（按招标文件第六部分评标办法前附表中相应的商务技术评审因素提供资料）</w:t>
      </w:r>
    </w:p>
    <w:p w14:paraId="199129A3">
      <w:pPr>
        <w:jc w:val="center"/>
        <w:rPr>
          <w:rFonts w:hint="eastAsia" w:ascii="仿宋" w:hAnsi="仿宋" w:eastAsia="仿宋" w:cs="仿宋"/>
          <w:b/>
          <w:color w:val="auto"/>
          <w:kern w:val="0"/>
          <w:sz w:val="32"/>
          <w:szCs w:val="32"/>
          <w:highlight w:val="none"/>
        </w:rPr>
      </w:pPr>
    </w:p>
    <w:p w14:paraId="0D205142">
      <w:pPr>
        <w:jc w:val="center"/>
        <w:rPr>
          <w:rFonts w:hint="eastAsia" w:ascii="仿宋" w:hAnsi="仿宋" w:eastAsia="仿宋" w:cs="仿宋"/>
          <w:b/>
          <w:color w:val="auto"/>
          <w:kern w:val="0"/>
          <w:sz w:val="32"/>
          <w:szCs w:val="32"/>
          <w:highlight w:val="none"/>
        </w:rPr>
      </w:pPr>
    </w:p>
    <w:p w14:paraId="335AA954">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7DC81979">
      <w:pPr>
        <w:jc w:val="left"/>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附件8</w:t>
      </w:r>
    </w:p>
    <w:p w14:paraId="58532C6E">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五、商务技术偏离表</w:t>
      </w:r>
    </w:p>
    <w:tbl>
      <w:tblPr>
        <w:tblStyle w:val="57"/>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3655"/>
        <w:gridCol w:w="3502"/>
        <w:gridCol w:w="1371"/>
      </w:tblGrid>
      <w:tr w14:paraId="59469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030" w:type="dxa"/>
            <w:shd w:val="clear" w:color="auto" w:fill="auto"/>
          </w:tcPr>
          <w:p w14:paraId="6EFD3C36">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55" w:type="dxa"/>
            <w:shd w:val="clear" w:color="auto" w:fill="auto"/>
          </w:tcPr>
          <w:p w14:paraId="352D73C2">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02" w:type="dxa"/>
            <w:shd w:val="clear" w:color="auto" w:fill="auto"/>
          </w:tcPr>
          <w:p w14:paraId="520B28AA">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371" w:type="dxa"/>
            <w:shd w:val="clear" w:color="auto" w:fill="auto"/>
          </w:tcPr>
          <w:p w14:paraId="7F38F9E0">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307B5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030" w:type="dxa"/>
            <w:shd w:val="clear" w:color="auto" w:fill="auto"/>
          </w:tcPr>
          <w:p w14:paraId="1B437BD0">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55" w:type="dxa"/>
            <w:shd w:val="clear" w:color="auto" w:fill="auto"/>
          </w:tcPr>
          <w:p w14:paraId="0AC87CB9">
            <w:pPr>
              <w:jc w:val="center"/>
              <w:rPr>
                <w:rFonts w:hint="eastAsia" w:ascii="仿宋" w:hAnsi="仿宋" w:eastAsia="仿宋" w:cs="仿宋"/>
                <w:b/>
                <w:color w:val="auto"/>
                <w:kern w:val="0"/>
                <w:sz w:val="32"/>
                <w:szCs w:val="32"/>
                <w:highlight w:val="none"/>
              </w:rPr>
            </w:pPr>
          </w:p>
        </w:tc>
        <w:tc>
          <w:tcPr>
            <w:tcW w:w="3502" w:type="dxa"/>
            <w:shd w:val="clear" w:color="auto" w:fill="auto"/>
          </w:tcPr>
          <w:p w14:paraId="2006842B">
            <w:pPr>
              <w:jc w:val="center"/>
              <w:rPr>
                <w:rFonts w:hint="eastAsia" w:ascii="仿宋" w:hAnsi="仿宋" w:eastAsia="仿宋" w:cs="仿宋"/>
                <w:b/>
                <w:color w:val="auto"/>
                <w:kern w:val="0"/>
                <w:sz w:val="32"/>
                <w:szCs w:val="32"/>
                <w:highlight w:val="none"/>
              </w:rPr>
            </w:pPr>
          </w:p>
        </w:tc>
        <w:tc>
          <w:tcPr>
            <w:tcW w:w="1371" w:type="dxa"/>
            <w:shd w:val="clear" w:color="auto" w:fill="auto"/>
          </w:tcPr>
          <w:p w14:paraId="5D6656FC">
            <w:pPr>
              <w:jc w:val="center"/>
              <w:rPr>
                <w:rFonts w:hint="eastAsia" w:ascii="仿宋" w:hAnsi="仿宋" w:eastAsia="仿宋" w:cs="仿宋"/>
                <w:b/>
                <w:color w:val="auto"/>
                <w:kern w:val="0"/>
                <w:sz w:val="32"/>
                <w:szCs w:val="32"/>
                <w:highlight w:val="none"/>
              </w:rPr>
            </w:pPr>
          </w:p>
        </w:tc>
      </w:tr>
      <w:tr w14:paraId="2A011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030" w:type="dxa"/>
            <w:shd w:val="clear" w:color="auto" w:fill="auto"/>
          </w:tcPr>
          <w:p w14:paraId="7E28F204">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55" w:type="dxa"/>
            <w:shd w:val="clear" w:color="auto" w:fill="auto"/>
          </w:tcPr>
          <w:p w14:paraId="42AF6F64">
            <w:pPr>
              <w:jc w:val="center"/>
              <w:rPr>
                <w:rFonts w:hint="eastAsia" w:ascii="仿宋" w:hAnsi="仿宋" w:eastAsia="仿宋" w:cs="仿宋"/>
                <w:b/>
                <w:color w:val="auto"/>
                <w:kern w:val="0"/>
                <w:sz w:val="32"/>
                <w:szCs w:val="32"/>
                <w:highlight w:val="none"/>
              </w:rPr>
            </w:pPr>
          </w:p>
        </w:tc>
        <w:tc>
          <w:tcPr>
            <w:tcW w:w="3502" w:type="dxa"/>
            <w:shd w:val="clear" w:color="auto" w:fill="auto"/>
          </w:tcPr>
          <w:p w14:paraId="473AE9D6">
            <w:pPr>
              <w:jc w:val="center"/>
              <w:rPr>
                <w:rFonts w:hint="eastAsia" w:ascii="仿宋" w:hAnsi="仿宋" w:eastAsia="仿宋" w:cs="仿宋"/>
                <w:b/>
                <w:color w:val="auto"/>
                <w:kern w:val="0"/>
                <w:sz w:val="32"/>
                <w:szCs w:val="32"/>
                <w:highlight w:val="none"/>
              </w:rPr>
            </w:pPr>
          </w:p>
        </w:tc>
        <w:tc>
          <w:tcPr>
            <w:tcW w:w="1371" w:type="dxa"/>
            <w:shd w:val="clear" w:color="auto" w:fill="auto"/>
          </w:tcPr>
          <w:p w14:paraId="4463D610">
            <w:pPr>
              <w:jc w:val="center"/>
              <w:rPr>
                <w:rFonts w:hint="eastAsia" w:ascii="仿宋" w:hAnsi="仿宋" w:eastAsia="仿宋" w:cs="仿宋"/>
                <w:b/>
                <w:color w:val="auto"/>
                <w:kern w:val="0"/>
                <w:sz w:val="32"/>
                <w:szCs w:val="32"/>
                <w:highlight w:val="none"/>
              </w:rPr>
            </w:pPr>
          </w:p>
        </w:tc>
      </w:tr>
      <w:tr w14:paraId="3F1DD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1030" w:type="dxa"/>
            <w:shd w:val="clear" w:color="auto" w:fill="auto"/>
          </w:tcPr>
          <w:p w14:paraId="3AC0FF00">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55" w:type="dxa"/>
            <w:shd w:val="clear" w:color="auto" w:fill="auto"/>
          </w:tcPr>
          <w:p w14:paraId="1A971398">
            <w:pPr>
              <w:jc w:val="center"/>
              <w:rPr>
                <w:rFonts w:hint="eastAsia" w:ascii="仿宋" w:hAnsi="仿宋" w:eastAsia="仿宋" w:cs="仿宋"/>
                <w:b/>
                <w:color w:val="auto"/>
                <w:kern w:val="0"/>
                <w:sz w:val="32"/>
                <w:szCs w:val="32"/>
                <w:highlight w:val="none"/>
              </w:rPr>
            </w:pPr>
          </w:p>
        </w:tc>
        <w:tc>
          <w:tcPr>
            <w:tcW w:w="3502" w:type="dxa"/>
            <w:shd w:val="clear" w:color="auto" w:fill="auto"/>
          </w:tcPr>
          <w:p w14:paraId="5003ABFB">
            <w:pPr>
              <w:jc w:val="center"/>
              <w:rPr>
                <w:rFonts w:hint="eastAsia" w:ascii="仿宋" w:hAnsi="仿宋" w:eastAsia="仿宋" w:cs="仿宋"/>
                <w:b/>
                <w:color w:val="auto"/>
                <w:kern w:val="0"/>
                <w:sz w:val="32"/>
                <w:szCs w:val="32"/>
                <w:highlight w:val="none"/>
              </w:rPr>
            </w:pPr>
          </w:p>
        </w:tc>
        <w:tc>
          <w:tcPr>
            <w:tcW w:w="1371" w:type="dxa"/>
            <w:shd w:val="clear" w:color="auto" w:fill="auto"/>
          </w:tcPr>
          <w:p w14:paraId="6BEDFD39">
            <w:pPr>
              <w:jc w:val="center"/>
              <w:rPr>
                <w:rFonts w:hint="eastAsia" w:ascii="仿宋" w:hAnsi="仿宋" w:eastAsia="仿宋" w:cs="仿宋"/>
                <w:b/>
                <w:color w:val="auto"/>
                <w:kern w:val="0"/>
                <w:sz w:val="32"/>
                <w:szCs w:val="32"/>
                <w:highlight w:val="none"/>
              </w:rPr>
            </w:pPr>
          </w:p>
        </w:tc>
      </w:tr>
    </w:tbl>
    <w:p w14:paraId="4FD0A26B">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投标人保证：除商务技术偏离表列出的偏离外，投标人响应招标响应文件的全部要求</w:t>
      </w:r>
    </w:p>
    <w:p w14:paraId="1E002FF3">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4DC6528C">
      <w:pPr>
        <w:spacing w:line="360" w:lineRule="auto"/>
        <w:jc w:val="both"/>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附件</w:t>
      </w:r>
      <w:r>
        <w:rPr>
          <w:rFonts w:hint="eastAsia" w:ascii="仿宋" w:hAnsi="仿宋" w:eastAsia="仿宋" w:cs="仿宋"/>
          <w:b/>
          <w:color w:val="auto"/>
          <w:sz w:val="24"/>
          <w:highlight w:val="none"/>
          <w:lang w:val="en-US" w:eastAsia="zh-CN"/>
        </w:rPr>
        <w:t>9</w:t>
      </w:r>
    </w:p>
    <w:p w14:paraId="120C44B4">
      <w:pPr>
        <w:spacing w:line="360" w:lineRule="auto"/>
        <w:jc w:val="center"/>
        <w:rPr>
          <w:rFonts w:hint="eastAsia" w:ascii="仿宋" w:hAnsi="仿宋" w:eastAsia="仿宋" w:cs="仿宋"/>
          <w:bCs/>
          <w:color w:val="auto"/>
          <w:sz w:val="28"/>
          <w:szCs w:val="28"/>
          <w:highlight w:val="none"/>
        </w:rPr>
      </w:pPr>
      <w:r>
        <w:rPr>
          <w:rFonts w:hint="eastAsia" w:ascii="仿宋" w:hAnsi="仿宋" w:eastAsia="仿宋" w:cs="仿宋"/>
          <w:b/>
          <w:color w:val="auto"/>
          <w:sz w:val="28"/>
          <w:szCs w:val="28"/>
          <w:highlight w:val="none"/>
        </w:rPr>
        <w:t>节能环保产品证明材料（如有）</w:t>
      </w:r>
    </w:p>
    <w:p w14:paraId="28D18388">
      <w:pPr>
        <w:spacing w:line="360" w:lineRule="exact"/>
        <w:jc w:val="left"/>
        <w:rPr>
          <w:rFonts w:hint="eastAsia" w:ascii="仿宋" w:hAnsi="仿宋" w:eastAsia="仿宋" w:cs="仿宋"/>
          <w:b/>
          <w:color w:val="auto"/>
          <w:sz w:val="22"/>
          <w:highlight w:val="none"/>
        </w:rPr>
      </w:pPr>
      <w:r>
        <w:rPr>
          <w:rFonts w:hint="eastAsia" w:ascii="仿宋" w:hAnsi="仿宋" w:eastAsia="仿宋" w:cs="仿宋"/>
          <w:b/>
          <w:color w:val="auto"/>
          <w:sz w:val="22"/>
          <w:highlight w:val="none"/>
        </w:rPr>
        <w:t>说明：</w:t>
      </w:r>
    </w:p>
    <w:p w14:paraId="10ED44B3">
      <w:pPr>
        <w:spacing w:line="360" w:lineRule="exact"/>
        <w:jc w:val="left"/>
        <w:rPr>
          <w:rFonts w:hint="eastAsia" w:ascii="仿宋" w:hAnsi="仿宋" w:eastAsia="仿宋" w:cs="仿宋"/>
          <w:b/>
          <w:color w:val="auto"/>
          <w:sz w:val="22"/>
          <w:highlight w:val="none"/>
        </w:rPr>
      </w:pPr>
      <w:r>
        <w:rPr>
          <w:rFonts w:hint="eastAsia" w:ascii="仿宋" w:hAnsi="仿宋" w:eastAsia="仿宋" w:cs="仿宋"/>
          <w:b/>
          <w:color w:val="auto"/>
          <w:sz w:val="22"/>
          <w:highlight w:val="none"/>
        </w:rPr>
        <w:t>1、根据财政部发展改革委生态环境部市场监管总局关于调整优化节能产品、环境标志产品政府采购执行机制的通知财库〔2019〕9号文件要求，供应商所投产品如属于节能产品政府采购品目清单或环境标志产品政府采购品目清单内的（详见：</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"http://www.ccgp.gov.cn/zcfg/mof/201903/t20190330_11833800.htm" \t "http://www.ccgp.gov.cn/jnhb/jnhbqd/_blank" \o "关于印发环境标志产品政府采购品目清单的通知（财库〔2019〕18号）" </w:instrText>
      </w:r>
      <w:r>
        <w:rPr>
          <w:rFonts w:hint="eastAsia" w:ascii="仿宋" w:hAnsi="仿宋" w:eastAsia="仿宋" w:cs="仿宋"/>
          <w:color w:val="auto"/>
          <w:highlight w:val="none"/>
        </w:rPr>
        <w:fldChar w:fldCharType="separate"/>
      </w:r>
      <w:r>
        <w:rPr>
          <w:rFonts w:hint="eastAsia" w:ascii="仿宋" w:hAnsi="仿宋" w:eastAsia="仿宋" w:cs="仿宋"/>
          <w:b/>
          <w:color w:val="auto"/>
          <w:sz w:val="22"/>
          <w:highlight w:val="none"/>
        </w:rPr>
        <w:t>关于印发环境标志产品政府采购品目清单的通知（财库〔2019〕18号）</w:t>
      </w:r>
      <w:r>
        <w:rPr>
          <w:rFonts w:hint="eastAsia" w:ascii="仿宋" w:hAnsi="仿宋" w:eastAsia="仿宋" w:cs="仿宋"/>
          <w:b/>
          <w:color w:val="auto"/>
          <w:sz w:val="22"/>
          <w:highlight w:val="none"/>
        </w:rPr>
        <w:fldChar w:fldCharType="end"/>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"http://www.ccgp.gov.cn/zcfg/mof/201903/t20190330_11833800.htm" </w:instrText>
      </w:r>
      <w:r>
        <w:rPr>
          <w:rFonts w:hint="eastAsia" w:ascii="仿宋" w:hAnsi="仿宋" w:eastAsia="仿宋" w:cs="仿宋"/>
          <w:color w:val="auto"/>
          <w:highlight w:val="none"/>
        </w:rPr>
        <w:fldChar w:fldCharType="separate"/>
      </w:r>
      <w:r>
        <w:rPr>
          <w:rFonts w:hint="eastAsia" w:ascii="仿宋" w:hAnsi="仿宋" w:eastAsia="仿宋" w:cs="仿宋"/>
          <w:b/>
          <w:color w:val="auto"/>
          <w:sz w:val="22"/>
          <w:highlight w:val="none"/>
        </w:rPr>
        <w:t>http://www.ccgp.gov.cn/zcfg/mof/201903/t20190330_11833800.htm</w:t>
      </w:r>
      <w:r>
        <w:rPr>
          <w:rFonts w:hint="eastAsia" w:ascii="仿宋" w:hAnsi="仿宋" w:eastAsia="仿宋" w:cs="仿宋"/>
          <w:b/>
          <w:color w:val="auto"/>
          <w:sz w:val="22"/>
          <w:highlight w:val="none"/>
        </w:rPr>
        <w:fldChar w:fldCharType="end"/>
      </w:r>
      <w:r>
        <w:rPr>
          <w:rFonts w:hint="eastAsia" w:ascii="仿宋" w:hAnsi="仿宋" w:eastAsia="仿宋" w:cs="仿宋"/>
          <w:b/>
          <w:color w:val="auto"/>
          <w:sz w:val="22"/>
          <w:highlight w:val="none"/>
        </w:rPr>
        <w:t>和</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"http://www.ccgp.gov.cn/zcfg/mof/201904/t20190403_11849836.htm" \t "http://www.ccgp.gov.cn/jnhb/jnhbqd/_blank" \o "关于印发节能产品政府采购品目清单的通知（财库〔2019〕19号）" </w:instrText>
      </w:r>
      <w:r>
        <w:rPr>
          <w:rFonts w:hint="eastAsia" w:ascii="仿宋" w:hAnsi="仿宋" w:eastAsia="仿宋" w:cs="仿宋"/>
          <w:color w:val="auto"/>
          <w:highlight w:val="none"/>
        </w:rPr>
        <w:fldChar w:fldCharType="separate"/>
      </w:r>
      <w:r>
        <w:rPr>
          <w:rFonts w:hint="eastAsia" w:ascii="仿宋" w:hAnsi="仿宋" w:eastAsia="仿宋" w:cs="仿宋"/>
          <w:b/>
          <w:color w:val="auto"/>
          <w:sz w:val="22"/>
          <w:highlight w:val="none"/>
        </w:rPr>
        <w:t>关于印发节能产品政府采购品目清单的通知（财库〔2019〕19号）</w:t>
      </w:r>
      <w:r>
        <w:rPr>
          <w:rFonts w:hint="eastAsia" w:ascii="仿宋" w:hAnsi="仿宋" w:eastAsia="仿宋" w:cs="仿宋"/>
          <w:b/>
          <w:color w:val="auto"/>
          <w:sz w:val="22"/>
          <w:highlight w:val="none"/>
        </w:rPr>
        <w:fldChar w:fldCharType="end"/>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"http://www.ccgp.gov.cn/zcfg/mof/201904/t20190403_11849836.htm" </w:instrText>
      </w:r>
      <w:r>
        <w:rPr>
          <w:rFonts w:hint="eastAsia" w:ascii="仿宋" w:hAnsi="仿宋" w:eastAsia="仿宋" w:cs="仿宋"/>
          <w:color w:val="auto"/>
          <w:highlight w:val="none"/>
        </w:rPr>
        <w:fldChar w:fldCharType="separate"/>
      </w:r>
      <w:r>
        <w:rPr>
          <w:rFonts w:hint="eastAsia" w:ascii="仿宋" w:hAnsi="仿宋" w:eastAsia="仿宋" w:cs="仿宋"/>
          <w:b/>
          <w:color w:val="auto"/>
          <w:sz w:val="22"/>
          <w:highlight w:val="none"/>
        </w:rPr>
        <w:t>http://www.ccgp.gov.cn/zcfg/mof/201904/t20190403_11849836.htm</w:t>
      </w:r>
      <w:r>
        <w:rPr>
          <w:rFonts w:hint="eastAsia" w:ascii="仿宋" w:hAnsi="仿宋" w:eastAsia="仿宋" w:cs="仿宋"/>
          <w:b/>
          <w:color w:val="auto"/>
          <w:sz w:val="22"/>
          <w:highlight w:val="none"/>
        </w:rPr>
        <w:fldChar w:fldCharType="end"/>
      </w:r>
      <w:r>
        <w:rPr>
          <w:rFonts w:hint="eastAsia" w:ascii="仿宋" w:hAnsi="仿宋" w:eastAsia="仿宋" w:cs="仿宋"/>
          <w:b/>
          <w:color w:val="auto"/>
          <w:sz w:val="22"/>
          <w:highlight w:val="none"/>
        </w:rPr>
        <w:t>），供应商提供投标产品经国家确定的认证机构（市场监管总局关于发布参与实施政府采购节能产品、环境标志产品认证机构名录的公告（2019年第16号）http://www.ccgp.gov.cn/zcfg/bwfile/201904/t20190403_11853998.htm）出具的处于有效期之内的节能产品、环境标志产品认证证书；</w:t>
      </w:r>
    </w:p>
    <w:p w14:paraId="4A165181">
      <w:pPr>
        <w:spacing w:line="360" w:lineRule="exact"/>
        <w:jc w:val="left"/>
        <w:rPr>
          <w:rFonts w:hint="eastAsia" w:ascii="仿宋" w:hAnsi="仿宋" w:eastAsia="仿宋" w:cs="仿宋"/>
          <w:b/>
          <w:color w:val="auto"/>
          <w:sz w:val="22"/>
          <w:highlight w:val="none"/>
        </w:rPr>
      </w:pPr>
      <w:r>
        <w:rPr>
          <w:rFonts w:hint="eastAsia" w:ascii="仿宋" w:hAnsi="仿宋" w:eastAsia="仿宋" w:cs="仿宋"/>
          <w:b/>
          <w:color w:val="auto"/>
          <w:sz w:val="22"/>
          <w:highlight w:val="none"/>
        </w:rPr>
        <w:t>2、磋商小组成员审查此项只根据响应文件本身的内容，不再寻求其他的外部证据。</w:t>
      </w:r>
    </w:p>
    <w:p w14:paraId="4B204450">
      <w:pPr>
        <w:rPr>
          <w:rFonts w:hint="eastAsia" w:ascii="仿宋" w:hAnsi="仿宋" w:eastAsia="仿宋" w:cs="仿宋"/>
          <w:b/>
          <w:color w:val="auto"/>
          <w:sz w:val="22"/>
          <w:highlight w:val="none"/>
        </w:rPr>
      </w:pPr>
      <w:r>
        <w:rPr>
          <w:rFonts w:hint="eastAsia" w:ascii="仿宋" w:hAnsi="仿宋" w:eastAsia="仿宋" w:cs="仿宋"/>
          <w:b/>
          <w:color w:val="auto"/>
          <w:sz w:val="22"/>
          <w:highlight w:val="none"/>
        </w:rPr>
        <w:br w:type="page"/>
      </w:r>
    </w:p>
    <w:p w14:paraId="33D551FC">
      <w:pPr>
        <w:spacing w:line="400" w:lineRule="exact"/>
        <w:jc w:val="center"/>
        <w:rPr>
          <w:rFonts w:hint="eastAsia" w:ascii="仿宋" w:hAnsi="仿宋" w:eastAsia="仿宋" w:cs="仿宋"/>
          <w:b/>
          <w:color w:val="auto"/>
          <w:sz w:val="24"/>
          <w:highlight w:val="none"/>
        </w:rPr>
      </w:pPr>
      <w:r>
        <w:rPr>
          <w:rFonts w:hint="eastAsia" w:ascii="仿宋" w:hAnsi="仿宋" w:eastAsia="仿宋" w:cs="仿宋"/>
          <w:color w:val="auto"/>
          <w:sz w:val="24"/>
          <w:highlight w:val="none"/>
        </w:rPr>
        <w:t>《政府强制采购产品一览表》</w:t>
      </w:r>
    </w:p>
    <w:p w14:paraId="40D26900">
      <w:pPr>
        <w:rPr>
          <w:rFonts w:hint="eastAsia" w:ascii="仿宋" w:hAnsi="仿宋" w:eastAsia="仿宋" w:cs="仿宋"/>
          <w:color w:val="auto"/>
          <w:sz w:val="22"/>
          <w:highlight w:val="none"/>
        </w:rPr>
      </w:pPr>
      <w:r>
        <w:rPr>
          <w:rFonts w:hint="eastAsia" w:ascii="仿宋" w:hAnsi="仿宋" w:eastAsia="仿宋" w:cs="仿宋"/>
          <w:color w:val="auto"/>
          <w:sz w:val="22"/>
          <w:highlight w:val="none"/>
        </w:rPr>
        <w:t>（1）投标产品中节能产品明细清单</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741"/>
        <w:gridCol w:w="1342"/>
        <w:gridCol w:w="1342"/>
        <w:gridCol w:w="1342"/>
        <w:gridCol w:w="1920"/>
        <w:gridCol w:w="764"/>
        <w:gridCol w:w="764"/>
      </w:tblGrid>
      <w:tr w14:paraId="78DD9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31F84F5F">
            <w:pPr>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制造商</w:t>
            </w:r>
          </w:p>
        </w:tc>
        <w:tc>
          <w:tcPr>
            <w:tcW w:w="741" w:type="dxa"/>
            <w:tcBorders>
              <w:top w:val="single" w:color="auto" w:sz="4" w:space="0"/>
              <w:left w:val="single" w:color="auto" w:sz="4" w:space="0"/>
              <w:bottom w:val="single" w:color="auto" w:sz="4" w:space="0"/>
              <w:right w:val="single" w:color="auto" w:sz="4" w:space="0"/>
            </w:tcBorders>
            <w:noWrap w:val="0"/>
            <w:vAlign w:val="center"/>
          </w:tcPr>
          <w:p w14:paraId="275E9486">
            <w:pPr>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品牌</w:t>
            </w:r>
          </w:p>
        </w:tc>
        <w:tc>
          <w:tcPr>
            <w:tcW w:w="1342" w:type="dxa"/>
            <w:tcBorders>
              <w:top w:val="single" w:color="auto" w:sz="4" w:space="0"/>
              <w:left w:val="single" w:color="auto" w:sz="4" w:space="0"/>
              <w:bottom w:val="single" w:color="auto" w:sz="4" w:space="0"/>
              <w:right w:val="single" w:color="auto" w:sz="4" w:space="0"/>
            </w:tcBorders>
            <w:noWrap w:val="0"/>
            <w:vAlign w:val="center"/>
          </w:tcPr>
          <w:p w14:paraId="49989408">
            <w:pPr>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产品名称、规格型号</w:t>
            </w:r>
          </w:p>
        </w:tc>
        <w:tc>
          <w:tcPr>
            <w:tcW w:w="1342" w:type="dxa"/>
            <w:tcBorders>
              <w:top w:val="single" w:color="auto" w:sz="4" w:space="0"/>
              <w:left w:val="single" w:color="auto" w:sz="4" w:space="0"/>
              <w:bottom w:val="single" w:color="auto" w:sz="4" w:space="0"/>
              <w:right w:val="single" w:color="auto" w:sz="4" w:space="0"/>
            </w:tcBorders>
            <w:noWrap w:val="0"/>
            <w:vAlign w:val="center"/>
          </w:tcPr>
          <w:p w14:paraId="5D15DB95">
            <w:pPr>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节能产品认证证书编号</w:t>
            </w:r>
          </w:p>
        </w:tc>
        <w:tc>
          <w:tcPr>
            <w:tcW w:w="1342" w:type="dxa"/>
            <w:tcBorders>
              <w:top w:val="single" w:color="auto" w:sz="4" w:space="0"/>
              <w:left w:val="single" w:color="auto" w:sz="4" w:space="0"/>
              <w:bottom w:val="single" w:color="auto" w:sz="4" w:space="0"/>
              <w:right w:val="single" w:color="auto" w:sz="4" w:space="0"/>
            </w:tcBorders>
            <w:noWrap w:val="0"/>
            <w:vAlign w:val="center"/>
          </w:tcPr>
          <w:p w14:paraId="55E8DA58">
            <w:pPr>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节能产品认证证书有效截止日期</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1509724D">
            <w:pPr>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产品所在节能产品政府采购品目清单品目序号</w:t>
            </w:r>
          </w:p>
        </w:tc>
        <w:tc>
          <w:tcPr>
            <w:tcW w:w="764" w:type="dxa"/>
            <w:tcBorders>
              <w:top w:val="single" w:color="auto" w:sz="4" w:space="0"/>
              <w:left w:val="single" w:color="auto" w:sz="4" w:space="0"/>
              <w:bottom w:val="single" w:color="auto" w:sz="4" w:space="0"/>
              <w:right w:val="single" w:color="auto" w:sz="4" w:space="0"/>
            </w:tcBorders>
            <w:noWrap w:val="0"/>
            <w:vAlign w:val="center"/>
          </w:tcPr>
          <w:p w14:paraId="255B705B">
            <w:pPr>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认证机构</w:t>
            </w:r>
          </w:p>
        </w:tc>
        <w:tc>
          <w:tcPr>
            <w:tcW w:w="764" w:type="dxa"/>
            <w:tcBorders>
              <w:top w:val="single" w:color="auto" w:sz="4" w:space="0"/>
              <w:left w:val="single" w:color="auto" w:sz="4" w:space="0"/>
              <w:bottom w:val="single" w:color="auto" w:sz="4" w:space="0"/>
              <w:right w:val="single" w:color="auto" w:sz="4" w:space="0"/>
            </w:tcBorders>
            <w:noWrap w:val="0"/>
            <w:vAlign w:val="center"/>
          </w:tcPr>
          <w:p w14:paraId="22FB9B63">
            <w:pPr>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数量</w:t>
            </w:r>
          </w:p>
        </w:tc>
      </w:tr>
      <w:tr w14:paraId="6F3F2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33C96878">
            <w:pPr>
              <w:rPr>
                <w:rFonts w:hint="eastAsia" w:ascii="仿宋" w:hAnsi="仿宋" w:eastAsia="仿宋" w:cs="仿宋"/>
                <w:color w:val="auto"/>
                <w:sz w:val="22"/>
                <w:highlight w:val="none"/>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2F623577">
            <w:pPr>
              <w:rPr>
                <w:rFonts w:hint="eastAsia" w:ascii="仿宋" w:hAnsi="仿宋" w:eastAsia="仿宋" w:cs="仿宋"/>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14:paraId="053AC433">
            <w:pPr>
              <w:rPr>
                <w:rFonts w:hint="eastAsia" w:ascii="仿宋" w:hAnsi="仿宋" w:eastAsia="仿宋" w:cs="仿宋"/>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14:paraId="5FCE781C">
            <w:pPr>
              <w:rPr>
                <w:rFonts w:hint="eastAsia" w:ascii="仿宋" w:hAnsi="仿宋" w:eastAsia="仿宋" w:cs="仿宋"/>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14:paraId="4570FD52">
            <w:pPr>
              <w:rPr>
                <w:rFonts w:hint="eastAsia" w:ascii="仿宋" w:hAnsi="仿宋" w:eastAsia="仿宋" w:cs="仿宋"/>
                <w:color w:val="auto"/>
                <w:sz w:val="22"/>
                <w:highlight w:val="none"/>
              </w:rPr>
            </w:pPr>
          </w:p>
        </w:tc>
        <w:tc>
          <w:tcPr>
            <w:tcW w:w="1920" w:type="dxa"/>
            <w:tcBorders>
              <w:top w:val="single" w:color="auto" w:sz="4" w:space="0"/>
              <w:left w:val="single" w:color="auto" w:sz="4" w:space="0"/>
              <w:bottom w:val="single" w:color="auto" w:sz="4" w:space="0"/>
              <w:right w:val="single" w:color="auto" w:sz="4" w:space="0"/>
            </w:tcBorders>
            <w:noWrap w:val="0"/>
            <w:vAlign w:val="center"/>
          </w:tcPr>
          <w:p w14:paraId="1E7E4B68">
            <w:pPr>
              <w:jc w:val="center"/>
              <w:rPr>
                <w:rFonts w:hint="eastAsia" w:ascii="仿宋" w:hAnsi="仿宋" w:eastAsia="仿宋" w:cs="仿宋"/>
                <w:color w:val="auto"/>
                <w:sz w:val="22"/>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14:paraId="0B98BF26">
            <w:pPr>
              <w:rPr>
                <w:rFonts w:hint="eastAsia" w:ascii="仿宋" w:hAnsi="仿宋" w:eastAsia="仿宋" w:cs="仿宋"/>
                <w:color w:val="auto"/>
                <w:sz w:val="22"/>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14:paraId="5EB1AA3F">
            <w:pPr>
              <w:rPr>
                <w:rFonts w:hint="eastAsia" w:ascii="仿宋" w:hAnsi="仿宋" w:eastAsia="仿宋" w:cs="仿宋"/>
                <w:color w:val="auto"/>
                <w:sz w:val="22"/>
                <w:highlight w:val="none"/>
              </w:rPr>
            </w:pPr>
          </w:p>
        </w:tc>
      </w:tr>
      <w:tr w14:paraId="22C35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7F5BFF12">
            <w:pPr>
              <w:rPr>
                <w:rFonts w:hint="eastAsia" w:ascii="仿宋" w:hAnsi="仿宋" w:eastAsia="仿宋" w:cs="仿宋"/>
                <w:color w:val="auto"/>
                <w:sz w:val="22"/>
                <w:highlight w:val="none"/>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7C83B0A2">
            <w:pPr>
              <w:rPr>
                <w:rFonts w:hint="eastAsia" w:ascii="仿宋" w:hAnsi="仿宋" w:eastAsia="仿宋" w:cs="仿宋"/>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14:paraId="20AD8498">
            <w:pPr>
              <w:rPr>
                <w:rFonts w:hint="eastAsia" w:ascii="仿宋" w:hAnsi="仿宋" w:eastAsia="仿宋" w:cs="仿宋"/>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14:paraId="0316B3E4">
            <w:pPr>
              <w:rPr>
                <w:rFonts w:hint="eastAsia" w:ascii="仿宋" w:hAnsi="仿宋" w:eastAsia="仿宋" w:cs="仿宋"/>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14:paraId="4B770EBC">
            <w:pPr>
              <w:rPr>
                <w:rFonts w:hint="eastAsia" w:ascii="仿宋" w:hAnsi="仿宋" w:eastAsia="仿宋" w:cs="仿宋"/>
                <w:color w:val="auto"/>
                <w:sz w:val="22"/>
                <w:highlight w:val="none"/>
              </w:rPr>
            </w:pPr>
          </w:p>
        </w:tc>
        <w:tc>
          <w:tcPr>
            <w:tcW w:w="1920" w:type="dxa"/>
            <w:tcBorders>
              <w:top w:val="single" w:color="auto" w:sz="4" w:space="0"/>
              <w:left w:val="single" w:color="auto" w:sz="4" w:space="0"/>
              <w:bottom w:val="single" w:color="auto" w:sz="4" w:space="0"/>
              <w:right w:val="single" w:color="auto" w:sz="4" w:space="0"/>
            </w:tcBorders>
            <w:noWrap w:val="0"/>
            <w:vAlign w:val="center"/>
          </w:tcPr>
          <w:p w14:paraId="34EE167F">
            <w:pPr>
              <w:rPr>
                <w:rFonts w:hint="eastAsia" w:ascii="仿宋" w:hAnsi="仿宋" w:eastAsia="仿宋" w:cs="仿宋"/>
                <w:color w:val="auto"/>
                <w:sz w:val="22"/>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14:paraId="6C7CEE9B">
            <w:pPr>
              <w:rPr>
                <w:rFonts w:hint="eastAsia" w:ascii="仿宋" w:hAnsi="仿宋" w:eastAsia="仿宋" w:cs="仿宋"/>
                <w:color w:val="auto"/>
                <w:sz w:val="22"/>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14:paraId="2290690B">
            <w:pPr>
              <w:rPr>
                <w:rFonts w:hint="eastAsia" w:ascii="仿宋" w:hAnsi="仿宋" w:eastAsia="仿宋" w:cs="仿宋"/>
                <w:color w:val="auto"/>
                <w:sz w:val="22"/>
                <w:highlight w:val="none"/>
              </w:rPr>
            </w:pPr>
          </w:p>
        </w:tc>
      </w:tr>
    </w:tbl>
    <w:p w14:paraId="70F2C2C2">
      <w:pPr>
        <w:rPr>
          <w:rFonts w:hint="eastAsia" w:ascii="仿宋" w:hAnsi="仿宋" w:eastAsia="仿宋" w:cs="仿宋"/>
          <w:color w:val="auto"/>
          <w:sz w:val="22"/>
          <w:highlight w:val="none"/>
        </w:rPr>
      </w:pPr>
    </w:p>
    <w:p w14:paraId="2BECBA8B">
      <w:pPr>
        <w:rPr>
          <w:rFonts w:hint="eastAsia" w:ascii="仿宋" w:hAnsi="仿宋" w:eastAsia="仿宋" w:cs="仿宋"/>
          <w:color w:val="auto"/>
          <w:sz w:val="22"/>
          <w:highlight w:val="none"/>
        </w:rPr>
      </w:pPr>
      <w:r>
        <w:rPr>
          <w:rFonts w:hint="eastAsia" w:ascii="仿宋" w:hAnsi="仿宋" w:eastAsia="仿宋" w:cs="仿宋"/>
          <w:color w:val="auto"/>
          <w:sz w:val="22"/>
          <w:highlight w:val="none"/>
        </w:rPr>
        <w:t>备注：提供节能产品认证证书或承诺</w:t>
      </w:r>
    </w:p>
    <w:p w14:paraId="2E7A40BE">
      <w:pPr>
        <w:pStyle w:val="25"/>
        <w:rPr>
          <w:rFonts w:hint="eastAsia" w:ascii="仿宋" w:hAnsi="仿宋" w:eastAsia="仿宋" w:cs="仿宋"/>
          <w:color w:val="auto"/>
          <w:highlight w:val="none"/>
        </w:rPr>
      </w:pPr>
    </w:p>
    <w:p w14:paraId="14DC0540">
      <w:pPr>
        <w:rPr>
          <w:rFonts w:hint="eastAsia" w:ascii="仿宋" w:hAnsi="仿宋" w:eastAsia="仿宋" w:cs="仿宋"/>
          <w:color w:val="auto"/>
          <w:highlight w:val="none"/>
        </w:rPr>
      </w:pPr>
    </w:p>
    <w:p w14:paraId="5A77291E">
      <w:pPr>
        <w:pStyle w:val="25"/>
        <w:ind w:firstLine="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《政府优先采购产品一览表》</w:t>
      </w:r>
    </w:p>
    <w:p w14:paraId="76AFD1F3">
      <w:pPr>
        <w:rPr>
          <w:rFonts w:hint="eastAsia" w:ascii="仿宋" w:hAnsi="仿宋" w:eastAsia="仿宋" w:cs="仿宋"/>
          <w:color w:val="auto"/>
          <w:sz w:val="22"/>
          <w:highlight w:val="none"/>
        </w:rPr>
      </w:pPr>
      <w:r>
        <w:rPr>
          <w:rFonts w:hint="eastAsia" w:ascii="仿宋" w:hAnsi="仿宋" w:eastAsia="仿宋" w:cs="仿宋"/>
          <w:color w:val="auto"/>
          <w:sz w:val="22"/>
          <w:highlight w:val="none"/>
        </w:rPr>
        <w:t>（1）投标产品中节能产品明细清单</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741"/>
        <w:gridCol w:w="1342"/>
        <w:gridCol w:w="1342"/>
        <w:gridCol w:w="1342"/>
        <w:gridCol w:w="1920"/>
        <w:gridCol w:w="764"/>
        <w:gridCol w:w="764"/>
      </w:tblGrid>
      <w:tr w14:paraId="23694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541686A2">
            <w:pPr>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制造商</w:t>
            </w:r>
          </w:p>
        </w:tc>
        <w:tc>
          <w:tcPr>
            <w:tcW w:w="741" w:type="dxa"/>
            <w:tcBorders>
              <w:top w:val="single" w:color="auto" w:sz="4" w:space="0"/>
              <w:left w:val="single" w:color="auto" w:sz="4" w:space="0"/>
              <w:bottom w:val="single" w:color="auto" w:sz="4" w:space="0"/>
              <w:right w:val="single" w:color="auto" w:sz="4" w:space="0"/>
            </w:tcBorders>
            <w:noWrap w:val="0"/>
            <w:vAlign w:val="center"/>
          </w:tcPr>
          <w:p w14:paraId="5817724F">
            <w:pPr>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品牌</w:t>
            </w:r>
          </w:p>
        </w:tc>
        <w:tc>
          <w:tcPr>
            <w:tcW w:w="1342" w:type="dxa"/>
            <w:tcBorders>
              <w:top w:val="single" w:color="auto" w:sz="4" w:space="0"/>
              <w:left w:val="single" w:color="auto" w:sz="4" w:space="0"/>
              <w:bottom w:val="single" w:color="auto" w:sz="4" w:space="0"/>
              <w:right w:val="single" w:color="auto" w:sz="4" w:space="0"/>
            </w:tcBorders>
            <w:noWrap w:val="0"/>
            <w:vAlign w:val="center"/>
          </w:tcPr>
          <w:p w14:paraId="40955574">
            <w:pPr>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产品名称、规格型号</w:t>
            </w:r>
          </w:p>
        </w:tc>
        <w:tc>
          <w:tcPr>
            <w:tcW w:w="1342" w:type="dxa"/>
            <w:tcBorders>
              <w:top w:val="single" w:color="auto" w:sz="4" w:space="0"/>
              <w:left w:val="single" w:color="auto" w:sz="4" w:space="0"/>
              <w:bottom w:val="single" w:color="auto" w:sz="4" w:space="0"/>
              <w:right w:val="single" w:color="auto" w:sz="4" w:space="0"/>
            </w:tcBorders>
            <w:noWrap w:val="0"/>
            <w:vAlign w:val="center"/>
          </w:tcPr>
          <w:p w14:paraId="64907A1E">
            <w:pPr>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节能产品认证证书编号</w:t>
            </w:r>
          </w:p>
        </w:tc>
        <w:tc>
          <w:tcPr>
            <w:tcW w:w="1342" w:type="dxa"/>
            <w:tcBorders>
              <w:top w:val="single" w:color="auto" w:sz="4" w:space="0"/>
              <w:left w:val="single" w:color="auto" w:sz="4" w:space="0"/>
              <w:bottom w:val="single" w:color="auto" w:sz="4" w:space="0"/>
              <w:right w:val="single" w:color="auto" w:sz="4" w:space="0"/>
            </w:tcBorders>
            <w:noWrap w:val="0"/>
            <w:vAlign w:val="center"/>
          </w:tcPr>
          <w:p w14:paraId="098220D1">
            <w:pPr>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节能产品认证证书有效截止日期</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0305071F">
            <w:pPr>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产品所在节能产品政府采购品目清单品目序号</w:t>
            </w:r>
          </w:p>
        </w:tc>
        <w:tc>
          <w:tcPr>
            <w:tcW w:w="764" w:type="dxa"/>
            <w:tcBorders>
              <w:top w:val="single" w:color="auto" w:sz="4" w:space="0"/>
              <w:left w:val="single" w:color="auto" w:sz="4" w:space="0"/>
              <w:bottom w:val="single" w:color="auto" w:sz="4" w:space="0"/>
              <w:right w:val="single" w:color="auto" w:sz="4" w:space="0"/>
            </w:tcBorders>
            <w:noWrap w:val="0"/>
            <w:vAlign w:val="center"/>
          </w:tcPr>
          <w:p w14:paraId="730508A5">
            <w:pPr>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认证机构</w:t>
            </w:r>
          </w:p>
        </w:tc>
        <w:tc>
          <w:tcPr>
            <w:tcW w:w="764" w:type="dxa"/>
            <w:tcBorders>
              <w:top w:val="single" w:color="auto" w:sz="4" w:space="0"/>
              <w:left w:val="single" w:color="auto" w:sz="4" w:space="0"/>
              <w:bottom w:val="single" w:color="auto" w:sz="4" w:space="0"/>
              <w:right w:val="single" w:color="auto" w:sz="4" w:space="0"/>
            </w:tcBorders>
            <w:noWrap w:val="0"/>
            <w:vAlign w:val="center"/>
          </w:tcPr>
          <w:p w14:paraId="338C27AB">
            <w:pPr>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数量</w:t>
            </w:r>
          </w:p>
        </w:tc>
      </w:tr>
      <w:tr w14:paraId="62F9D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426BBAC6">
            <w:pPr>
              <w:rPr>
                <w:rFonts w:hint="eastAsia" w:ascii="仿宋" w:hAnsi="仿宋" w:eastAsia="仿宋" w:cs="仿宋"/>
                <w:color w:val="auto"/>
                <w:sz w:val="22"/>
                <w:highlight w:val="none"/>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2EDF08A1">
            <w:pPr>
              <w:rPr>
                <w:rFonts w:hint="eastAsia" w:ascii="仿宋" w:hAnsi="仿宋" w:eastAsia="仿宋" w:cs="仿宋"/>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14:paraId="3254F478">
            <w:pPr>
              <w:rPr>
                <w:rFonts w:hint="eastAsia" w:ascii="仿宋" w:hAnsi="仿宋" w:eastAsia="仿宋" w:cs="仿宋"/>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14:paraId="5AC7DF54">
            <w:pPr>
              <w:rPr>
                <w:rFonts w:hint="eastAsia" w:ascii="仿宋" w:hAnsi="仿宋" w:eastAsia="仿宋" w:cs="仿宋"/>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14:paraId="3BA265EF">
            <w:pPr>
              <w:rPr>
                <w:rFonts w:hint="eastAsia" w:ascii="仿宋" w:hAnsi="仿宋" w:eastAsia="仿宋" w:cs="仿宋"/>
                <w:color w:val="auto"/>
                <w:sz w:val="22"/>
                <w:highlight w:val="none"/>
              </w:rPr>
            </w:pPr>
          </w:p>
        </w:tc>
        <w:tc>
          <w:tcPr>
            <w:tcW w:w="1920" w:type="dxa"/>
            <w:tcBorders>
              <w:top w:val="single" w:color="auto" w:sz="4" w:space="0"/>
              <w:left w:val="single" w:color="auto" w:sz="4" w:space="0"/>
              <w:bottom w:val="single" w:color="auto" w:sz="4" w:space="0"/>
              <w:right w:val="single" w:color="auto" w:sz="4" w:space="0"/>
            </w:tcBorders>
            <w:noWrap w:val="0"/>
            <w:vAlign w:val="center"/>
          </w:tcPr>
          <w:p w14:paraId="7425B079">
            <w:pPr>
              <w:jc w:val="center"/>
              <w:rPr>
                <w:rFonts w:hint="eastAsia" w:ascii="仿宋" w:hAnsi="仿宋" w:eastAsia="仿宋" w:cs="仿宋"/>
                <w:color w:val="auto"/>
                <w:sz w:val="22"/>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14:paraId="443E7DCA">
            <w:pPr>
              <w:rPr>
                <w:rFonts w:hint="eastAsia" w:ascii="仿宋" w:hAnsi="仿宋" w:eastAsia="仿宋" w:cs="仿宋"/>
                <w:color w:val="auto"/>
                <w:sz w:val="22"/>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14:paraId="76007299">
            <w:pPr>
              <w:rPr>
                <w:rFonts w:hint="eastAsia" w:ascii="仿宋" w:hAnsi="仿宋" w:eastAsia="仿宋" w:cs="仿宋"/>
                <w:color w:val="auto"/>
                <w:sz w:val="22"/>
                <w:highlight w:val="none"/>
              </w:rPr>
            </w:pPr>
          </w:p>
        </w:tc>
      </w:tr>
      <w:tr w14:paraId="746AC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1F990F28">
            <w:pPr>
              <w:rPr>
                <w:rFonts w:hint="eastAsia" w:ascii="仿宋" w:hAnsi="仿宋" w:eastAsia="仿宋" w:cs="仿宋"/>
                <w:color w:val="auto"/>
                <w:sz w:val="22"/>
                <w:highlight w:val="none"/>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1BA74858">
            <w:pPr>
              <w:rPr>
                <w:rFonts w:hint="eastAsia" w:ascii="仿宋" w:hAnsi="仿宋" w:eastAsia="仿宋" w:cs="仿宋"/>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14:paraId="62C858F9">
            <w:pPr>
              <w:rPr>
                <w:rFonts w:hint="eastAsia" w:ascii="仿宋" w:hAnsi="仿宋" w:eastAsia="仿宋" w:cs="仿宋"/>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14:paraId="7034FDFD">
            <w:pPr>
              <w:rPr>
                <w:rFonts w:hint="eastAsia" w:ascii="仿宋" w:hAnsi="仿宋" w:eastAsia="仿宋" w:cs="仿宋"/>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14:paraId="48E64E78">
            <w:pPr>
              <w:rPr>
                <w:rFonts w:hint="eastAsia" w:ascii="仿宋" w:hAnsi="仿宋" w:eastAsia="仿宋" w:cs="仿宋"/>
                <w:color w:val="auto"/>
                <w:sz w:val="22"/>
                <w:highlight w:val="none"/>
              </w:rPr>
            </w:pPr>
          </w:p>
        </w:tc>
        <w:tc>
          <w:tcPr>
            <w:tcW w:w="1920" w:type="dxa"/>
            <w:tcBorders>
              <w:top w:val="single" w:color="auto" w:sz="4" w:space="0"/>
              <w:left w:val="single" w:color="auto" w:sz="4" w:space="0"/>
              <w:bottom w:val="single" w:color="auto" w:sz="4" w:space="0"/>
              <w:right w:val="single" w:color="auto" w:sz="4" w:space="0"/>
            </w:tcBorders>
            <w:noWrap w:val="0"/>
            <w:vAlign w:val="center"/>
          </w:tcPr>
          <w:p w14:paraId="1A3C8F7C">
            <w:pPr>
              <w:rPr>
                <w:rFonts w:hint="eastAsia" w:ascii="仿宋" w:hAnsi="仿宋" w:eastAsia="仿宋" w:cs="仿宋"/>
                <w:color w:val="auto"/>
                <w:sz w:val="22"/>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14:paraId="168A68E7">
            <w:pPr>
              <w:rPr>
                <w:rFonts w:hint="eastAsia" w:ascii="仿宋" w:hAnsi="仿宋" w:eastAsia="仿宋" w:cs="仿宋"/>
                <w:color w:val="auto"/>
                <w:sz w:val="22"/>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14:paraId="1A1253E6">
            <w:pPr>
              <w:rPr>
                <w:rFonts w:hint="eastAsia" w:ascii="仿宋" w:hAnsi="仿宋" w:eastAsia="仿宋" w:cs="仿宋"/>
                <w:color w:val="auto"/>
                <w:sz w:val="22"/>
                <w:highlight w:val="none"/>
              </w:rPr>
            </w:pPr>
          </w:p>
        </w:tc>
      </w:tr>
    </w:tbl>
    <w:p w14:paraId="64175244">
      <w:pPr>
        <w:rPr>
          <w:rFonts w:hint="eastAsia" w:ascii="仿宋" w:hAnsi="仿宋" w:eastAsia="仿宋" w:cs="仿宋"/>
          <w:color w:val="auto"/>
          <w:sz w:val="22"/>
          <w:highlight w:val="none"/>
        </w:rPr>
      </w:pPr>
    </w:p>
    <w:p w14:paraId="23A25CFA">
      <w:pPr>
        <w:rPr>
          <w:rFonts w:hint="eastAsia" w:ascii="仿宋" w:hAnsi="仿宋" w:eastAsia="仿宋" w:cs="仿宋"/>
          <w:color w:val="auto"/>
          <w:sz w:val="22"/>
          <w:highlight w:val="none"/>
        </w:rPr>
      </w:pPr>
      <w:r>
        <w:rPr>
          <w:rFonts w:hint="eastAsia" w:ascii="仿宋" w:hAnsi="仿宋" w:eastAsia="仿宋" w:cs="仿宋"/>
          <w:color w:val="auto"/>
          <w:sz w:val="22"/>
          <w:highlight w:val="none"/>
        </w:rPr>
        <w:t>（2）投标产品中环保产品明细清单</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916"/>
        <w:gridCol w:w="1222"/>
        <w:gridCol w:w="1362"/>
        <w:gridCol w:w="1550"/>
        <w:gridCol w:w="2000"/>
        <w:gridCol w:w="700"/>
        <w:gridCol w:w="700"/>
      </w:tblGrid>
      <w:tr w14:paraId="2544E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13" w:type="dxa"/>
            <w:tcBorders>
              <w:top w:val="single" w:color="auto" w:sz="4" w:space="0"/>
              <w:left w:val="single" w:color="auto" w:sz="4" w:space="0"/>
              <w:bottom w:val="single" w:color="auto" w:sz="4" w:space="0"/>
              <w:right w:val="single" w:color="auto" w:sz="4" w:space="0"/>
            </w:tcBorders>
            <w:noWrap w:val="0"/>
            <w:vAlign w:val="center"/>
          </w:tcPr>
          <w:p w14:paraId="042579D8">
            <w:pPr>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制造商</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75CFB933">
            <w:pPr>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品牌</w:t>
            </w:r>
          </w:p>
        </w:tc>
        <w:tc>
          <w:tcPr>
            <w:tcW w:w="1222" w:type="dxa"/>
            <w:tcBorders>
              <w:top w:val="single" w:color="auto" w:sz="4" w:space="0"/>
              <w:left w:val="single" w:color="auto" w:sz="4" w:space="0"/>
              <w:bottom w:val="single" w:color="auto" w:sz="4" w:space="0"/>
              <w:right w:val="single" w:color="auto" w:sz="4" w:space="0"/>
            </w:tcBorders>
            <w:noWrap w:val="0"/>
            <w:vAlign w:val="center"/>
          </w:tcPr>
          <w:p w14:paraId="0D1820FB">
            <w:pPr>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产品名称、规格型号</w:t>
            </w:r>
          </w:p>
        </w:tc>
        <w:tc>
          <w:tcPr>
            <w:tcW w:w="1362" w:type="dxa"/>
            <w:tcBorders>
              <w:top w:val="single" w:color="auto" w:sz="4" w:space="0"/>
              <w:left w:val="single" w:color="auto" w:sz="4" w:space="0"/>
              <w:bottom w:val="single" w:color="auto" w:sz="4" w:space="0"/>
              <w:right w:val="single" w:color="auto" w:sz="4" w:space="0"/>
            </w:tcBorders>
            <w:noWrap w:val="0"/>
            <w:vAlign w:val="center"/>
          </w:tcPr>
          <w:p w14:paraId="12FAD982">
            <w:pPr>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环境标志产品认证证书编号</w:t>
            </w:r>
          </w:p>
        </w:tc>
        <w:tc>
          <w:tcPr>
            <w:tcW w:w="1550" w:type="dxa"/>
            <w:tcBorders>
              <w:top w:val="single" w:color="auto" w:sz="4" w:space="0"/>
              <w:left w:val="single" w:color="auto" w:sz="4" w:space="0"/>
              <w:bottom w:val="single" w:color="auto" w:sz="4" w:space="0"/>
              <w:right w:val="single" w:color="auto" w:sz="4" w:space="0"/>
            </w:tcBorders>
            <w:noWrap w:val="0"/>
            <w:vAlign w:val="center"/>
          </w:tcPr>
          <w:p w14:paraId="6C3283A3">
            <w:pPr>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环境标志产品认证证书有效截止日期</w:t>
            </w:r>
          </w:p>
        </w:tc>
        <w:tc>
          <w:tcPr>
            <w:tcW w:w="2000" w:type="dxa"/>
            <w:tcBorders>
              <w:top w:val="single" w:color="auto" w:sz="4" w:space="0"/>
              <w:left w:val="single" w:color="auto" w:sz="4" w:space="0"/>
              <w:bottom w:val="single" w:color="auto" w:sz="4" w:space="0"/>
              <w:right w:val="single" w:color="auto" w:sz="4" w:space="0"/>
            </w:tcBorders>
            <w:noWrap w:val="0"/>
            <w:vAlign w:val="center"/>
          </w:tcPr>
          <w:p w14:paraId="32A2DCCF">
            <w:pPr>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产品所在环境标志产品政府采购品目清单品目序号</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565518BF">
            <w:pPr>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认证机构</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2D7B1E3A">
            <w:pPr>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数量</w:t>
            </w:r>
          </w:p>
        </w:tc>
      </w:tr>
      <w:tr w14:paraId="528D8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13" w:type="dxa"/>
            <w:tcBorders>
              <w:top w:val="single" w:color="auto" w:sz="4" w:space="0"/>
              <w:left w:val="single" w:color="auto" w:sz="4" w:space="0"/>
              <w:bottom w:val="single" w:color="auto" w:sz="4" w:space="0"/>
              <w:right w:val="single" w:color="auto" w:sz="4" w:space="0"/>
            </w:tcBorders>
            <w:noWrap w:val="0"/>
            <w:vAlign w:val="center"/>
          </w:tcPr>
          <w:p w14:paraId="00AE51A5">
            <w:pPr>
              <w:rPr>
                <w:rFonts w:hint="eastAsia" w:ascii="仿宋" w:hAnsi="仿宋" w:eastAsia="仿宋" w:cs="仿宋"/>
                <w:color w:val="auto"/>
                <w:sz w:val="22"/>
                <w:highlight w:val="none"/>
              </w:rPr>
            </w:pPr>
          </w:p>
        </w:tc>
        <w:tc>
          <w:tcPr>
            <w:tcW w:w="916" w:type="dxa"/>
            <w:tcBorders>
              <w:top w:val="single" w:color="auto" w:sz="4" w:space="0"/>
              <w:left w:val="single" w:color="auto" w:sz="4" w:space="0"/>
              <w:bottom w:val="single" w:color="auto" w:sz="4" w:space="0"/>
              <w:right w:val="single" w:color="auto" w:sz="4" w:space="0"/>
            </w:tcBorders>
            <w:noWrap w:val="0"/>
            <w:vAlign w:val="center"/>
          </w:tcPr>
          <w:p w14:paraId="7FBF73BE">
            <w:pPr>
              <w:rPr>
                <w:rFonts w:hint="eastAsia" w:ascii="仿宋" w:hAnsi="仿宋" w:eastAsia="仿宋" w:cs="仿宋"/>
                <w:color w:val="auto"/>
                <w:sz w:val="22"/>
                <w:highlight w:val="none"/>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4C068797">
            <w:pPr>
              <w:rPr>
                <w:rFonts w:hint="eastAsia" w:ascii="仿宋" w:hAnsi="仿宋" w:eastAsia="仿宋" w:cs="仿宋"/>
                <w:color w:val="auto"/>
                <w:sz w:val="22"/>
                <w:highlight w:val="none"/>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14:paraId="43AFB6BF">
            <w:pPr>
              <w:rPr>
                <w:rFonts w:hint="eastAsia" w:ascii="仿宋" w:hAnsi="仿宋" w:eastAsia="仿宋" w:cs="仿宋"/>
                <w:color w:val="auto"/>
                <w:sz w:val="22"/>
                <w:highlight w:val="none"/>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14:paraId="69BE4332">
            <w:pPr>
              <w:rPr>
                <w:rFonts w:hint="eastAsia" w:ascii="仿宋" w:hAnsi="仿宋" w:eastAsia="仿宋" w:cs="仿宋"/>
                <w:color w:val="auto"/>
                <w:sz w:val="22"/>
                <w:highlight w:val="none"/>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14:paraId="1202282B">
            <w:pPr>
              <w:jc w:val="center"/>
              <w:rPr>
                <w:rFonts w:hint="eastAsia" w:ascii="仿宋" w:hAnsi="仿宋" w:eastAsia="仿宋" w:cs="仿宋"/>
                <w:color w:val="auto"/>
                <w:sz w:val="22"/>
                <w:highlight w:val="none"/>
              </w:rPr>
            </w:pPr>
          </w:p>
        </w:tc>
        <w:tc>
          <w:tcPr>
            <w:tcW w:w="700" w:type="dxa"/>
            <w:tcBorders>
              <w:top w:val="single" w:color="auto" w:sz="4" w:space="0"/>
              <w:left w:val="single" w:color="auto" w:sz="4" w:space="0"/>
              <w:bottom w:val="single" w:color="auto" w:sz="4" w:space="0"/>
              <w:right w:val="single" w:color="auto" w:sz="4" w:space="0"/>
            </w:tcBorders>
            <w:noWrap w:val="0"/>
            <w:vAlign w:val="center"/>
          </w:tcPr>
          <w:p w14:paraId="6DA3A7A5">
            <w:pPr>
              <w:rPr>
                <w:rFonts w:hint="eastAsia" w:ascii="仿宋" w:hAnsi="仿宋" w:eastAsia="仿宋" w:cs="仿宋"/>
                <w:color w:val="auto"/>
                <w:sz w:val="22"/>
                <w:highlight w:val="none"/>
              </w:rPr>
            </w:pPr>
          </w:p>
        </w:tc>
        <w:tc>
          <w:tcPr>
            <w:tcW w:w="700" w:type="dxa"/>
            <w:tcBorders>
              <w:top w:val="single" w:color="auto" w:sz="4" w:space="0"/>
              <w:left w:val="single" w:color="auto" w:sz="4" w:space="0"/>
              <w:bottom w:val="single" w:color="auto" w:sz="4" w:space="0"/>
              <w:right w:val="single" w:color="auto" w:sz="4" w:space="0"/>
            </w:tcBorders>
            <w:noWrap w:val="0"/>
            <w:vAlign w:val="center"/>
          </w:tcPr>
          <w:p w14:paraId="45E6D47F">
            <w:pPr>
              <w:rPr>
                <w:rFonts w:hint="eastAsia" w:ascii="仿宋" w:hAnsi="仿宋" w:eastAsia="仿宋" w:cs="仿宋"/>
                <w:color w:val="auto"/>
                <w:sz w:val="22"/>
                <w:highlight w:val="none"/>
              </w:rPr>
            </w:pPr>
          </w:p>
        </w:tc>
      </w:tr>
      <w:tr w14:paraId="4344E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13" w:type="dxa"/>
            <w:tcBorders>
              <w:top w:val="single" w:color="auto" w:sz="4" w:space="0"/>
              <w:left w:val="single" w:color="auto" w:sz="4" w:space="0"/>
              <w:bottom w:val="single" w:color="auto" w:sz="4" w:space="0"/>
              <w:right w:val="single" w:color="auto" w:sz="4" w:space="0"/>
            </w:tcBorders>
            <w:noWrap w:val="0"/>
            <w:vAlign w:val="center"/>
          </w:tcPr>
          <w:p w14:paraId="417393C0">
            <w:pPr>
              <w:rPr>
                <w:rFonts w:hint="eastAsia" w:ascii="仿宋" w:hAnsi="仿宋" w:eastAsia="仿宋" w:cs="仿宋"/>
                <w:color w:val="auto"/>
                <w:sz w:val="22"/>
                <w:highlight w:val="none"/>
              </w:rPr>
            </w:pPr>
          </w:p>
        </w:tc>
        <w:tc>
          <w:tcPr>
            <w:tcW w:w="916" w:type="dxa"/>
            <w:tcBorders>
              <w:top w:val="single" w:color="auto" w:sz="4" w:space="0"/>
              <w:left w:val="single" w:color="auto" w:sz="4" w:space="0"/>
              <w:bottom w:val="single" w:color="auto" w:sz="4" w:space="0"/>
              <w:right w:val="single" w:color="auto" w:sz="4" w:space="0"/>
            </w:tcBorders>
            <w:noWrap w:val="0"/>
            <w:vAlign w:val="center"/>
          </w:tcPr>
          <w:p w14:paraId="623CFC9F">
            <w:pPr>
              <w:rPr>
                <w:rFonts w:hint="eastAsia" w:ascii="仿宋" w:hAnsi="仿宋" w:eastAsia="仿宋" w:cs="仿宋"/>
                <w:color w:val="auto"/>
                <w:sz w:val="22"/>
                <w:highlight w:val="none"/>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67620999">
            <w:pPr>
              <w:rPr>
                <w:rFonts w:hint="eastAsia" w:ascii="仿宋" w:hAnsi="仿宋" w:eastAsia="仿宋" w:cs="仿宋"/>
                <w:color w:val="auto"/>
                <w:sz w:val="22"/>
                <w:highlight w:val="none"/>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14:paraId="62357A84">
            <w:pPr>
              <w:rPr>
                <w:rFonts w:hint="eastAsia" w:ascii="仿宋" w:hAnsi="仿宋" w:eastAsia="仿宋" w:cs="仿宋"/>
                <w:color w:val="auto"/>
                <w:sz w:val="22"/>
                <w:highlight w:val="none"/>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14:paraId="445A57B3">
            <w:pPr>
              <w:jc w:val="center"/>
              <w:rPr>
                <w:rFonts w:hint="eastAsia" w:ascii="仿宋" w:hAnsi="仿宋" w:eastAsia="仿宋" w:cs="仿宋"/>
                <w:color w:val="auto"/>
                <w:sz w:val="22"/>
                <w:highlight w:val="none"/>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14:paraId="00DB1446">
            <w:pPr>
              <w:rPr>
                <w:rFonts w:hint="eastAsia" w:ascii="仿宋" w:hAnsi="仿宋" w:eastAsia="仿宋" w:cs="仿宋"/>
                <w:color w:val="auto"/>
                <w:sz w:val="22"/>
                <w:highlight w:val="none"/>
              </w:rPr>
            </w:pPr>
          </w:p>
        </w:tc>
        <w:tc>
          <w:tcPr>
            <w:tcW w:w="700" w:type="dxa"/>
            <w:tcBorders>
              <w:top w:val="single" w:color="auto" w:sz="4" w:space="0"/>
              <w:left w:val="single" w:color="auto" w:sz="4" w:space="0"/>
              <w:bottom w:val="single" w:color="auto" w:sz="4" w:space="0"/>
              <w:right w:val="single" w:color="auto" w:sz="4" w:space="0"/>
            </w:tcBorders>
            <w:noWrap w:val="0"/>
            <w:vAlign w:val="center"/>
          </w:tcPr>
          <w:p w14:paraId="44310A44">
            <w:pPr>
              <w:rPr>
                <w:rFonts w:hint="eastAsia" w:ascii="仿宋" w:hAnsi="仿宋" w:eastAsia="仿宋" w:cs="仿宋"/>
                <w:color w:val="auto"/>
                <w:sz w:val="22"/>
                <w:highlight w:val="none"/>
              </w:rPr>
            </w:pPr>
          </w:p>
        </w:tc>
        <w:tc>
          <w:tcPr>
            <w:tcW w:w="700" w:type="dxa"/>
            <w:tcBorders>
              <w:top w:val="single" w:color="auto" w:sz="4" w:space="0"/>
              <w:left w:val="single" w:color="auto" w:sz="4" w:space="0"/>
              <w:bottom w:val="single" w:color="auto" w:sz="4" w:space="0"/>
              <w:right w:val="single" w:color="auto" w:sz="4" w:space="0"/>
            </w:tcBorders>
            <w:noWrap w:val="0"/>
            <w:vAlign w:val="center"/>
          </w:tcPr>
          <w:p w14:paraId="0FDA8DAB">
            <w:pPr>
              <w:rPr>
                <w:rFonts w:hint="eastAsia" w:ascii="仿宋" w:hAnsi="仿宋" w:eastAsia="仿宋" w:cs="仿宋"/>
                <w:color w:val="auto"/>
                <w:sz w:val="22"/>
                <w:highlight w:val="none"/>
              </w:rPr>
            </w:pPr>
          </w:p>
        </w:tc>
      </w:tr>
    </w:tbl>
    <w:p w14:paraId="729651C3">
      <w:pPr>
        <w:rPr>
          <w:rFonts w:hint="eastAsia" w:ascii="仿宋" w:hAnsi="仿宋" w:eastAsia="仿宋" w:cs="仿宋"/>
          <w:color w:val="auto"/>
          <w:sz w:val="22"/>
          <w:highlight w:val="none"/>
        </w:rPr>
      </w:pPr>
    </w:p>
    <w:p w14:paraId="3CDEBBB3">
      <w:pPr>
        <w:rPr>
          <w:rFonts w:hint="eastAsia" w:ascii="仿宋" w:hAnsi="仿宋" w:eastAsia="仿宋" w:cs="仿宋"/>
          <w:color w:val="auto"/>
          <w:sz w:val="22"/>
          <w:highlight w:val="none"/>
        </w:rPr>
      </w:pPr>
      <w:r>
        <w:rPr>
          <w:rFonts w:hint="eastAsia" w:ascii="仿宋" w:hAnsi="仿宋" w:eastAsia="仿宋" w:cs="仿宋"/>
          <w:color w:val="auto"/>
          <w:sz w:val="22"/>
          <w:highlight w:val="none"/>
        </w:rPr>
        <w:t>备注：节能产品、环境标志产品认证证书附后</w:t>
      </w:r>
    </w:p>
    <w:p w14:paraId="768E80BF">
      <w:pPr>
        <w:pStyle w:val="25"/>
        <w:rPr>
          <w:rFonts w:hint="eastAsia" w:ascii="仿宋" w:hAnsi="仿宋" w:eastAsia="仿宋" w:cs="仿宋"/>
          <w:color w:val="auto"/>
          <w:szCs w:val="24"/>
          <w:highlight w:val="none"/>
        </w:rPr>
      </w:pPr>
    </w:p>
    <w:p w14:paraId="50D5FD49">
      <w:pPr>
        <w:widowControl/>
        <w:adjustRightInd/>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27C39B71">
      <w:pPr>
        <w:rPr>
          <w:rFonts w:hint="default" w:ascii="仿宋" w:hAnsi="仿宋" w:eastAsia="仿宋" w:cs="仿宋"/>
          <w:b/>
          <w:color w:val="auto"/>
          <w:sz w:val="30"/>
          <w:szCs w:val="30"/>
          <w:highlight w:val="none"/>
          <w:lang w:val="en-US" w:eastAsia="zh-CN"/>
        </w:rPr>
      </w:pPr>
      <w:r>
        <w:rPr>
          <w:rFonts w:hint="eastAsia" w:ascii="仿宋" w:hAnsi="仿宋" w:eastAsia="仿宋" w:cs="仿宋"/>
          <w:b/>
          <w:color w:val="auto"/>
          <w:sz w:val="24"/>
          <w:highlight w:val="none"/>
        </w:rPr>
        <w:t>附件</w:t>
      </w:r>
      <w:r>
        <w:rPr>
          <w:rFonts w:hint="eastAsia" w:ascii="仿宋" w:hAnsi="仿宋" w:eastAsia="仿宋" w:cs="仿宋"/>
          <w:b/>
          <w:color w:val="auto"/>
          <w:sz w:val="24"/>
          <w:highlight w:val="none"/>
          <w:lang w:val="en-US" w:eastAsia="zh-CN"/>
        </w:rPr>
        <w:t>10</w:t>
      </w:r>
    </w:p>
    <w:p w14:paraId="4E98892B">
      <w:pPr>
        <w:pStyle w:val="32"/>
        <w:snapToGrid w:val="0"/>
        <w:spacing w:line="400" w:lineRule="exact"/>
        <w:jc w:val="center"/>
        <w:rPr>
          <w:rFonts w:hint="eastAsia" w:ascii="仿宋" w:hAnsi="仿宋" w:eastAsia="仿宋" w:cs="仿宋"/>
          <w:b/>
          <w:color w:val="auto"/>
          <w:kern w:val="0"/>
          <w:sz w:val="32"/>
          <w:szCs w:val="32"/>
          <w:highlight w:val="none"/>
          <w:lang w:val="en-US" w:eastAsia="zh-CN" w:bidi="ar-SA"/>
        </w:rPr>
      </w:pPr>
      <w:r>
        <w:rPr>
          <w:rFonts w:hint="eastAsia" w:ascii="仿宋" w:hAnsi="仿宋" w:eastAsia="仿宋" w:cs="仿宋"/>
          <w:b/>
          <w:color w:val="auto"/>
          <w:kern w:val="0"/>
          <w:sz w:val="32"/>
          <w:szCs w:val="32"/>
          <w:highlight w:val="none"/>
          <w:lang w:val="en-US" w:eastAsia="zh-CN" w:bidi="ar-SA"/>
        </w:rPr>
        <w:t>承诺书</w:t>
      </w:r>
    </w:p>
    <w:p w14:paraId="115F9907">
      <w:pPr>
        <w:pStyle w:val="32"/>
        <w:snapToGrid w:val="0"/>
        <w:spacing w:line="400" w:lineRule="exact"/>
        <w:jc w:val="center"/>
        <w:rPr>
          <w:rFonts w:hint="eastAsia" w:ascii="仿宋" w:hAnsi="仿宋" w:eastAsia="仿宋" w:cs="仿宋"/>
          <w:b/>
          <w:color w:val="auto"/>
          <w:szCs w:val="24"/>
          <w:highlight w:val="none"/>
        </w:rPr>
      </w:pPr>
    </w:p>
    <w:p w14:paraId="7273DF2E">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（采购人名称）</w:t>
      </w:r>
      <w:r>
        <w:rPr>
          <w:rFonts w:hint="eastAsia" w:ascii="仿宋" w:hAnsi="仿宋" w:eastAsia="仿宋" w:cs="仿宋"/>
          <w:color w:val="auto"/>
          <w:sz w:val="24"/>
          <w:highlight w:val="none"/>
        </w:rPr>
        <w:t>：</w:t>
      </w:r>
    </w:p>
    <w:p w14:paraId="239C5998">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我单位就</w:t>
      </w:r>
      <w:r>
        <w:rPr>
          <w:rFonts w:hint="eastAsia" w:ascii="仿宋" w:hAnsi="仿宋" w:eastAsia="仿宋" w:cs="仿宋"/>
          <w:color w:val="auto"/>
          <w:sz w:val="24"/>
          <w:highlight w:val="none"/>
          <w:u w:val="single"/>
        </w:rPr>
        <w:t xml:space="preserve">                   （项目名称）（项目编号：           ）</w:t>
      </w:r>
      <w:r>
        <w:rPr>
          <w:rFonts w:hint="eastAsia" w:ascii="仿宋" w:hAnsi="仿宋" w:eastAsia="仿宋" w:cs="仿宋"/>
          <w:color w:val="auto"/>
          <w:sz w:val="24"/>
          <w:highlight w:val="none"/>
        </w:rPr>
        <w:t>项目承诺如下：</w:t>
      </w:r>
    </w:p>
    <w:p w14:paraId="4B9E0817">
      <w:pPr>
        <w:spacing w:line="50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我公司相应的投标产品涉及强制采购节能产品材料（设备）的，按照通知的要求使用强制采购节能产品的材料（设备），且相应的投标产品已获得国家确定的认证机构出具的、处于有效期之内的节能产品认证证书。</w:t>
      </w:r>
    </w:p>
    <w:p w14:paraId="0B01D5B6">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若不能落实到位，我单位无条件接受采购人的任何处理决定，我单位对此无任何异议。</w:t>
      </w:r>
    </w:p>
    <w:p w14:paraId="58FB8D21">
      <w:pPr>
        <w:spacing w:line="4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特此承诺！</w:t>
      </w:r>
    </w:p>
    <w:p w14:paraId="68D38BCA">
      <w:pPr>
        <w:pStyle w:val="2"/>
        <w:jc w:val="left"/>
        <w:rPr>
          <w:rFonts w:hint="eastAsia" w:ascii="仿宋" w:hAnsi="仿宋" w:eastAsia="仿宋" w:cs="仿宋"/>
          <w:b w:val="0"/>
          <w:bCs w:val="0"/>
          <w:color w:val="auto"/>
          <w:sz w:val="24"/>
          <w:highlight w:val="none"/>
        </w:rPr>
      </w:pPr>
    </w:p>
    <w:p w14:paraId="23E2F26B">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供应商名称(电子签名)：                              </w:t>
      </w:r>
    </w:p>
    <w:p w14:paraId="12398016">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75A317F5">
      <w:pPr>
        <w:spacing w:line="360" w:lineRule="exact"/>
        <w:jc w:val="left"/>
        <w:rPr>
          <w:rFonts w:hint="eastAsia" w:ascii="仿宋" w:hAnsi="仿宋" w:eastAsia="仿宋" w:cs="仿宋"/>
          <w:b/>
          <w:color w:val="auto"/>
          <w:sz w:val="22"/>
          <w:highlight w:val="none"/>
        </w:rPr>
      </w:pPr>
    </w:p>
    <w:p w14:paraId="13AA03E4">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19B3C5F9">
      <w:pPr>
        <w:spacing w:line="360" w:lineRule="auto"/>
        <w:jc w:val="center"/>
        <w:outlineLvl w:val="9"/>
        <w:rPr>
          <w:rFonts w:hint="eastAsia" w:ascii="仿宋" w:hAnsi="仿宋" w:eastAsia="仿宋" w:cs="仿宋"/>
          <w:b/>
          <w:color w:val="auto"/>
          <w:kern w:val="0"/>
          <w:sz w:val="36"/>
          <w:szCs w:val="36"/>
          <w:highlight w:val="none"/>
        </w:rPr>
      </w:pPr>
    </w:p>
    <w:p w14:paraId="4C332A47">
      <w:pPr>
        <w:spacing w:line="360" w:lineRule="auto"/>
        <w:jc w:val="center"/>
        <w:outlineLvl w:val="0"/>
        <w:rPr>
          <w:rFonts w:hint="eastAsia" w:ascii="仿宋" w:hAnsi="仿宋" w:eastAsia="仿宋" w:cs="仿宋"/>
          <w:b/>
          <w:color w:val="auto"/>
          <w:kern w:val="0"/>
          <w:sz w:val="36"/>
          <w:szCs w:val="36"/>
          <w:highlight w:val="none"/>
        </w:rPr>
      </w:pPr>
      <w:bookmarkStart w:id="88" w:name="_Toc30895"/>
      <w:r>
        <w:rPr>
          <w:rFonts w:hint="eastAsia" w:ascii="仿宋" w:hAnsi="仿宋" w:eastAsia="仿宋" w:cs="仿宋"/>
          <w:b/>
          <w:color w:val="auto"/>
          <w:kern w:val="0"/>
          <w:sz w:val="36"/>
          <w:szCs w:val="36"/>
          <w:highlight w:val="none"/>
        </w:rPr>
        <w:t>报价文件部分</w:t>
      </w:r>
      <w:bookmarkEnd w:id="88"/>
    </w:p>
    <w:p w14:paraId="0997FC49">
      <w:pPr>
        <w:spacing w:line="360" w:lineRule="auto"/>
        <w:jc w:val="center"/>
        <w:outlineLvl w:val="0"/>
        <w:rPr>
          <w:rFonts w:hint="eastAsia" w:ascii="仿宋" w:hAnsi="仿宋" w:eastAsia="仿宋" w:cs="仿宋"/>
          <w:b/>
          <w:color w:val="auto"/>
          <w:kern w:val="0"/>
          <w:sz w:val="36"/>
          <w:szCs w:val="36"/>
          <w:highlight w:val="none"/>
        </w:rPr>
      </w:pPr>
      <w:bookmarkStart w:id="89" w:name="_Toc6493"/>
      <w:r>
        <w:rPr>
          <w:rFonts w:hint="eastAsia" w:ascii="仿宋" w:hAnsi="仿宋" w:eastAsia="仿宋" w:cs="仿宋"/>
          <w:b/>
          <w:color w:val="auto"/>
          <w:kern w:val="0"/>
          <w:sz w:val="36"/>
          <w:szCs w:val="36"/>
          <w:highlight w:val="none"/>
        </w:rPr>
        <w:t>目录</w:t>
      </w:r>
      <w:bookmarkEnd w:id="89"/>
    </w:p>
    <w:p w14:paraId="370B6710">
      <w:pPr>
        <w:spacing w:line="360" w:lineRule="auto"/>
        <w:jc w:val="center"/>
        <w:outlineLvl w:val="9"/>
        <w:rPr>
          <w:rFonts w:hint="eastAsia" w:ascii="仿宋" w:hAnsi="仿宋" w:eastAsia="仿宋" w:cs="仿宋"/>
          <w:b/>
          <w:color w:val="auto"/>
          <w:kern w:val="0"/>
          <w:sz w:val="36"/>
          <w:szCs w:val="36"/>
          <w:highlight w:val="none"/>
        </w:rPr>
      </w:pPr>
    </w:p>
    <w:p w14:paraId="2F41708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75EEB8A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（2）价格组成表……………………………………………………………（页码）</w:t>
      </w:r>
    </w:p>
    <w:p w14:paraId="7382FDC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（3）政府采购政策情况表…………………………………………………（页码）</w:t>
      </w:r>
    </w:p>
    <w:p w14:paraId="35E3EC81">
      <w:pPr>
        <w:snapToGrid w:val="0"/>
        <w:spacing w:line="360" w:lineRule="auto"/>
        <w:ind w:right="480"/>
        <w:jc w:val="center"/>
        <w:rPr>
          <w:rFonts w:hint="eastAsia" w:ascii="仿宋" w:hAnsi="仿宋" w:eastAsia="仿宋" w:cs="仿宋"/>
          <w:b/>
          <w:color w:val="auto"/>
          <w:kern w:val="0"/>
          <w:sz w:val="32"/>
          <w:szCs w:val="32"/>
          <w:highlight w:val="none"/>
        </w:rPr>
      </w:pPr>
    </w:p>
    <w:p w14:paraId="178B5ACB">
      <w:pPr>
        <w:snapToGrid w:val="0"/>
        <w:spacing w:line="360" w:lineRule="auto"/>
        <w:ind w:right="480"/>
        <w:jc w:val="center"/>
        <w:rPr>
          <w:rFonts w:hint="eastAsia" w:ascii="仿宋" w:hAnsi="仿宋" w:eastAsia="仿宋" w:cs="仿宋"/>
          <w:b/>
          <w:color w:val="auto"/>
          <w:kern w:val="0"/>
          <w:sz w:val="32"/>
          <w:szCs w:val="32"/>
          <w:highlight w:val="none"/>
        </w:rPr>
      </w:pPr>
    </w:p>
    <w:p w14:paraId="05D26F0D">
      <w:pPr>
        <w:snapToGrid w:val="0"/>
        <w:spacing w:line="360" w:lineRule="auto"/>
        <w:ind w:right="480"/>
        <w:jc w:val="center"/>
        <w:rPr>
          <w:rFonts w:hint="eastAsia" w:ascii="仿宋" w:hAnsi="仿宋" w:eastAsia="仿宋" w:cs="仿宋"/>
          <w:b/>
          <w:color w:val="auto"/>
          <w:kern w:val="0"/>
          <w:sz w:val="32"/>
          <w:szCs w:val="32"/>
          <w:highlight w:val="none"/>
        </w:rPr>
      </w:pPr>
    </w:p>
    <w:p w14:paraId="32E10FB1">
      <w:pPr>
        <w:snapToGrid w:val="0"/>
        <w:spacing w:line="360" w:lineRule="auto"/>
        <w:ind w:right="480"/>
        <w:jc w:val="center"/>
        <w:rPr>
          <w:rFonts w:hint="eastAsia" w:ascii="仿宋" w:hAnsi="仿宋" w:eastAsia="仿宋" w:cs="仿宋"/>
          <w:b/>
          <w:color w:val="auto"/>
          <w:kern w:val="0"/>
          <w:sz w:val="32"/>
          <w:szCs w:val="32"/>
          <w:highlight w:val="none"/>
        </w:rPr>
      </w:pPr>
    </w:p>
    <w:p w14:paraId="36C1F35D">
      <w:pPr>
        <w:snapToGrid w:val="0"/>
        <w:spacing w:line="360" w:lineRule="auto"/>
        <w:ind w:right="480"/>
        <w:jc w:val="center"/>
        <w:rPr>
          <w:rFonts w:hint="eastAsia" w:ascii="仿宋" w:hAnsi="仿宋" w:eastAsia="仿宋" w:cs="仿宋"/>
          <w:b/>
          <w:color w:val="auto"/>
          <w:kern w:val="0"/>
          <w:sz w:val="32"/>
          <w:szCs w:val="32"/>
          <w:highlight w:val="none"/>
        </w:rPr>
      </w:pPr>
    </w:p>
    <w:p w14:paraId="0689F3E5">
      <w:pPr>
        <w:snapToGrid w:val="0"/>
        <w:spacing w:line="360" w:lineRule="auto"/>
        <w:ind w:right="480"/>
        <w:jc w:val="center"/>
        <w:rPr>
          <w:rFonts w:hint="eastAsia" w:ascii="仿宋" w:hAnsi="仿宋" w:eastAsia="仿宋" w:cs="仿宋"/>
          <w:b/>
          <w:color w:val="auto"/>
          <w:kern w:val="0"/>
          <w:sz w:val="32"/>
          <w:szCs w:val="32"/>
          <w:highlight w:val="none"/>
        </w:rPr>
      </w:pPr>
    </w:p>
    <w:p w14:paraId="2D52671C">
      <w:pPr>
        <w:snapToGrid w:val="0"/>
        <w:spacing w:line="360" w:lineRule="auto"/>
        <w:ind w:right="480"/>
        <w:jc w:val="center"/>
        <w:rPr>
          <w:rFonts w:hint="eastAsia" w:ascii="仿宋" w:hAnsi="仿宋" w:eastAsia="仿宋" w:cs="仿宋"/>
          <w:b/>
          <w:color w:val="auto"/>
          <w:kern w:val="0"/>
          <w:sz w:val="32"/>
          <w:szCs w:val="32"/>
          <w:highlight w:val="none"/>
        </w:rPr>
      </w:pPr>
    </w:p>
    <w:p w14:paraId="135D1041">
      <w:pPr>
        <w:snapToGrid w:val="0"/>
        <w:spacing w:line="360" w:lineRule="auto"/>
        <w:ind w:right="480"/>
        <w:jc w:val="center"/>
        <w:rPr>
          <w:rFonts w:hint="eastAsia" w:ascii="仿宋" w:hAnsi="仿宋" w:eastAsia="仿宋" w:cs="仿宋"/>
          <w:b/>
          <w:color w:val="auto"/>
          <w:kern w:val="0"/>
          <w:sz w:val="32"/>
          <w:szCs w:val="32"/>
          <w:highlight w:val="none"/>
        </w:rPr>
      </w:pPr>
    </w:p>
    <w:p w14:paraId="3A3E7CF7">
      <w:pPr>
        <w:widowControl/>
        <w:adjustRightInd/>
        <w:jc w:val="left"/>
        <w:rPr>
          <w:rFonts w:hint="eastAsia" w:ascii="仿宋" w:hAnsi="仿宋" w:eastAsia="仿宋" w:cs="仿宋"/>
          <w:b/>
          <w:bCs/>
          <w:color w:val="auto"/>
          <w:kern w:val="0"/>
          <w:sz w:val="22"/>
          <w:szCs w:val="22"/>
          <w:highlight w:val="none"/>
          <w:lang w:val="zh-CN"/>
        </w:rPr>
      </w:pPr>
      <w:bookmarkStart w:id="90" w:name="_Toc25942242"/>
      <w:bookmarkStart w:id="91" w:name="_Toc14812100"/>
      <w:r>
        <w:rPr>
          <w:rFonts w:hint="eastAsia" w:ascii="仿宋" w:hAnsi="仿宋" w:eastAsia="仿宋" w:cs="仿宋"/>
          <w:b/>
          <w:bCs/>
          <w:color w:val="auto"/>
          <w:kern w:val="0"/>
          <w:sz w:val="22"/>
          <w:szCs w:val="22"/>
          <w:highlight w:val="none"/>
          <w:lang w:val="zh-CN"/>
        </w:rPr>
        <w:br w:type="page"/>
      </w:r>
    </w:p>
    <w:p w14:paraId="0C369DB0">
      <w:pPr>
        <w:autoSpaceDE w:val="0"/>
        <w:autoSpaceDN w:val="0"/>
        <w:spacing w:line="460" w:lineRule="atLeast"/>
        <w:jc w:val="left"/>
        <w:rPr>
          <w:rFonts w:hint="default" w:ascii="仿宋" w:hAnsi="仿宋" w:eastAsia="仿宋" w:cs="仿宋"/>
          <w:b/>
          <w:color w:val="auto"/>
          <w:kern w:val="0"/>
          <w:sz w:val="28"/>
          <w:szCs w:val="28"/>
          <w:highlight w:val="none"/>
          <w:lang w:val="en-US" w:eastAsia="zh-CN"/>
        </w:rPr>
      </w:pPr>
      <w:bookmarkStart w:id="92" w:name="_Hlk93170250"/>
      <w:r>
        <w:rPr>
          <w:rFonts w:hint="eastAsia" w:ascii="仿宋" w:hAnsi="仿宋" w:eastAsia="仿宋" w:cs="仿宋"/>
          <w:b/>
          <w:color w:val="auto"/>
          <w:kern w:val="0"/>
          <w:sz w:val="28"/>
          <w:szCs w:val="28"/>
          <w:highlight w:val="none"/>
        </w:rPr>
        <w:t>附件</w:t>
      </w:r>
      <w:r>
        <w:rPr>
          <w:rFonts w:hint="eastAsia" w:ascii="仿宋" w:hAnsi="仿宋" w:eastAsia="仿宋" w:cs="仿宋"/>
          <w:b/>
          <w:color w:val="auto"/>
          <w:kern w:val="0"/>
          <w:sz w:val="28"/>
          <w:szCs w:val="28"/>
          <w:highlight w:val="none"/>
          <w:lang w:val="en-US" w:eastAsia="zh-CN"/>
        </w:rPr>
        <w:t>11</w:t>
      </w:r>
    </w:p>
    <w:p w14:paraId="1E30B5FF">
      <w:pPr>
        <w:autoSpaceDE w:val="0"/>
        <w:autoSpaceDN w:val="0"/>
        <w:spacing w:line="460" w:lineRule="atLeast"/>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一、开标一览表</w:t>
      </w:r>
    </w:p>
    <w:p w14:paraId="4F9870DD">
      <w:pPr>
        <w:pStyle w:val="25"/>
        <w:ind w:left="-420" w:leftChars="-200" w:firstLine="0" w:firstLineChars="0"/>
        <w:rPr>
          <w:rFonts w:hint="eastAsia" w:ascii="仿宋" w:hAnsi="仿宋" w:eastAsia="仿宋" w:cs="仿宋"/>
          <w:color w:val="auto"/>
          <w:highlight w:val="none"/>
          <w:lang w:val="zh-CN"/>
        </w:rPr>
      </w:pPr>
    </w:p>
    <w:p w14:paraId="572E5E78">
      <w:pPr>
        <w:spacing w:line="380" w:lineRule="exact"/>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项目名称：                                       项目编号：</w:t>
      </w:r>
    </w:p>
    <w:p w14:paraId="62046823">
      <w:pPr>
        <w:spacing w:line="380" w:lineRule="exact"/>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价格单位：人民币（元）</w:t>
      </w:r>
    </w:p>
    <w:tbl>
      <w:tblPr>
        <w:tblStyle w:val="57"/>
        <w:tblW w:w="9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9"/>
        <w:gridCol w:w="2077"/>
        <w:gridCol w:w="2132"/>
        <w:gridCol w:w="1944"/>
      </w:tblGrid>
      <w:tr w14:paraId="7575A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3679" w:type="dxa"/>
            <w:vAlign w:val="center"/>
          </w:tcPr>
          <w:p w14:paraId="2EC2573A">
            <w:pPr>
              <w:pStyle w:val="32"/>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名称</w:t>
            </w:r>
          </w:p>
        </w:tc>
        <w:tc>
          <w:tcPr>
            <w:tcW w:w="2077" w:type="dxa"/>
            <w:vAlign w:val="center"/>
          </w:tcPr>
          <w:p w14:paraId="5ADDF835">
            <w:pPr>
              <w:pStyle w:val="32"/>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数量</w:t>
            </w:r>
            <w:r>
              <w:rPr>
                <w:rFonts w:hint="eastAsia" w:ascii="仿宋" w:hAnsi="仿宋" w:eastAsia="仿宋" w:cs="仿宋"/>
                <w:color w:val="auto"/>
                <w:sz w:val="22"/>
                <w:szCs w:val="22"/>
                <w:highlight w:val="none"/>
                <w:lang w:val="en-US" w:eastAsia="zh-CN"/>
              </w:rPr>
              <w:t>（项）</w:t>
            </w:r>
          </w:p>
        </w:tc>
        <w:tc>
          <w:tcPr>
            <w:tcW w:w="2132" w:type="dxa"/>
            <w:vAlign w:val="center"/>
          </w:tcPr>
          <w:p w14:paraId="3FFCD150">
            <w:pPr>
              <w:pStyle w:val="32"/>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质保期</w:t>
            </w:r>
          </w:p>
        </w:tc>
        <w:tc>
          <w:tcPr>
            <w:tcW w:w="1944" w:type="dxa"/>
            <w:vAlign w:val="center"/>
          </w:tcPr>
          <w:p w14:paraId="65EEFB6D">
            <w:pPr>
              <w:pStyle w:val="32"/>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服务期</w:t>
            </w:r>
          </w:p>
        </w:tc>
      </w:tr>
      <w:tr w14:paraId="72689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3679" w:type="dxa"/>
            <w:vAlign w:val="center"/>
          </w:tcPr>
          <w:p w14:paraId="477C777B">
            <w:pPr>
              <w:pStyle w:val="32"/>
              <w:jc w:val="center"/>
              <w:rPr>
                <w:rFonts w:hint="eastAsia" w:ascii="仿宋" w:hAnsi="仿宋" w:eastAsia="仿宋" w:cs="仿宋"/>
                <w:color w:val="auto"/>
                <w:sz w:val="22"/>
                <w:szCs w:val="22"/>
                <w:highlight w:val="none"/>
              </w:rPr>
            </w:pPr>
          </w:p>
        </w:tc>
        <w:tc>
          <w:tcPr>
            <w:tcW w:w="2077" w:type="dxa"/>
            <w:vAlign w:val="center"/>
          </w:tcPr>
          <w:p w14:paraId="48A0998F">
            <w:pPr>
              <w:pStyle w:val="32"/>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1（项）</w:t>
            </w:r>
          </w:p>
        </w:tc>
        <w:tc>
          <w:tcPr>
            <w:tcW w:w="2132" w:type="dxa"/>
            <w:vAlign w:val="center"/>
          </w:tcPr>
          <w:p w14:paraId="20A5928B">
            <w:pPr>
              <w:pStyle w:val="32"/>
              <w:jc w:val="center"/>
              <w:rPr>
                <w:rFonts w:hint="eastAsia" w:ascii="仿宋" w:hAnsi="仿宋" w:eastAsia="仿宋" w:cs="仿宋"/>
                <w:color w:val="auto"/>
                <w:sz w:val="22"/>
                <w:szCs w:val="22"/>
                <w:highlight w:val="none"/>
              </w:rPr>
            </w:pPr>
          </w:p>
        </w:tc>
        <w:tc>
          <w:tcPr>
            <w:tcW w:w="1944" w:type="dxa"/>
            <w:vAlign w:val="center"/>
          </w:tcPr>
          <w:p w14:paraId="4B703682">
            <w:pPr>
              <w:pStyle w:val="32"/>
              <w:jc w:val="center"/>
              <w:rPr>
                <w:rFonts w:hint="eastAsia" w:ascii="仿宋" w:hAnsi="仿宋" w:eastAsia="仿宋" w:cs="仿宋"/>
                <w:color w:val="auto"/>
                <w:sz w:val="22"/>
                <w:szCs w:val="22"/>
                <w:highlight w:val="none"/>
              </w:rPr>
            </w:pPr>
          </w:p>
        </w:tc>
      </w:tr>
      <w:tr w14:paraId="2B143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3679" w:type="dxa"/>
            <w:vAlign w:val="center"/>
          </w:tcPr>
          <w:p w14:paraId="1C5664F7">
            <w:pPr>
              <w:pStyle w:val="32"/>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投标报价（人民币元）</w:t>
            </w:r>
          </w:p>
        </w:tc>
        <w:tc>
          <w:tcPr>
            <w:tcW w:w="6153" w:type="dxa"/>
            <w:gridSpan w:val="3"/>
            <w:vAlign w:val="center"/>
          </w:tcPr>
          <w:p w14:paraId="37EBF9C0">
            <w:pPr>
              <w:pStyle w:val="32"/>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（大写）</w:t>
            </w:r>
          </w:p>
          <w:p w14:paraId="22135FBC">
            <w:pPr>
              <w:pStyle w:val="32"/>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（小写）</w:t>
            </w:r>
          </w:p>
        </w:tc>
      </w:tr>
    </w:tbl>
    <w:p w14:paraId="5680E1AE">
      <w:pPr>
        <w:spacing w:line="380" w:lineRule="exact"/>
        <w:ind w:left="529" w:leftChars="-66" w:hanging="668" w:hangingChars="304"/>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说明：</w:t>
      </w:r>
    </w:p>
    <w:p w14:paraId="1A634C03">
      <w:pPr>
        <w:spacing w:line="380" w:lineRule="exact"/>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1.</w:t>
      </w:r>
      <w:r>
        <w:rPr>
          <w:rFonts w:hint="eastAsia" w:ascii="仿宋" w:hAnsi="仿宋" w:eastAsia="仿宋" w:cs="仿宋"/>
          <w:color w:val="auto"/>
          <w:sz w:val="22"/>
          <w:szCs w:val="22"/>
          <w:highlight w:val="none"/>
          <w:u w:val="single"/>
        </w:rPr>
        <w:t>▲本表中的投标报价须与附件1</w:t>
      </w:r>
      <w:r>
        <w:rPr>
          <w:rFonts w:hint="eastAsia" w:ascii="仿宋" w:hAnsi="仿宋" w:eastAsia="仿宋" w:cs="仿宋"/>
          <w:color w:val="auto"/>
          <w:sz w:val="22"/>
          <w:szCs w:val="22"/>
          <w:highlight w:val="none"/>
          <w:u w:val="single"/>
          <w:lang w:val="en-US" w:eastAsia="zh-CN"/>
        </w:rPr>
        <w:t>2</w:t>
      </w:r>
      <w:r>
        <w:rPr>
          <w:rFonts w:hint="eastAsia" w:ascii="仿宋" w:hAnsi="仿宋" w:eastAsia="仿宋" w:cs="仿宋"/>
          <w:color w:val="auto"/>
          <w:sz w:val="22"/>
          <w:szCs w:val="22"/>
          <w:highlight w:val="none"/>
          <w:u w:val="single"/>
        </w:rPr>
        <w:t>《价格组成表》中总价一致。</w:t>
      </w:r>
    </w:p>
    <w:p w14:paraId="12574AD6">
      <w:pPr>
        <w:spacing w:line="380" w:lineRule="exact"/>
        <w:rPr>
          <w:rFonts w:hint="eastAsia" w:ascii="仿宋" w:hAnsi="仿宋" w:eastAsia="仿宋" w:cs="仿宋"/>
          <w:color w:val="auto"/>
          <w:sz w:val="22"/>
          <w:szCs w:val="22"/>
          <w:highlight w:val="none"/>
        </w:rPr>
      </w:pPr>
      <w:r>
        <w:rPr>
          <w:rFonts w:hint="eastAsia" w:ascii="仿宋" w:hAnsi="仿宋" w:eastAsia="仿宋" w:cs="仿宋"/>
          <w:bCs/>
          <w:color w:val="auto"/>
          <w:sz w:val="22"/>
          <w:szCs w:val="22"/>
          <w:highlight w:val="none"/>
        </w:rPr>
        <w:t>2.</w:t>
      </w:r>
      <w:r>
        <w:rPr>
          <w:rFonts w:hint="eastAsia" w:ascii="仿宋" w:hAnsi="仿宋" w:eastAsia="仿宋" w:cs="仿宋"/>
          <w:color w:val="auto"/>
          <w:sz w:val="22"/>
          <w:szCs w:val="22"/>
          <w:highlight w:val="none"/>
          <w:u w:val="single"/>
        </w:rPr>
        <w:t>▲未提供开标一览表的投标文件将被视为未实质性响应招标文件要求，投标无效。</w:t>
      </w:r>
    </w:p>
    <w:p w14:paraId="75E65CDC">
      <w:pPr>
        <w:autoSpaceDE w:val="0"/>
        <w:autoSpaceDN w:val="0"/>
        <w:spacing w:line="380" w:lineRule="atLeast"/>
        <w:ind w:left="36"/>
        <w:rPr>
          <w:rFonts w:hint="eastAsia" w:ascii="仿宋" w:hAnsi="仿宋" w:eastAsia="仿宋" w:cs="仿宋"/>
          <w:color w:val="auto"/>
          <w:kern w:val="0"/>
          <w:sz w:val="22"/>
          <w:szCs w:val="22"/>
          <w:highlight w:val="none"/>
          <w:lang w:val="zh-CN"/>
        </w:rPr>
      </w:pPr>
    </w:p>
    <w:p w14:paraId="41D7D7FC">
      <w:pPr>
        <w:autoSpaceDE w:val="0"/>
        <w:autoSpaceDN w:val="0"/>
        <w:spacing w:line="380" w:lineRule="atLeast"/>
        <w:ind w:firstLine="660"/>
        <w:rPr>
          <w:rFonts w:hint="eastAsia" w:ascii="仿宋" w:hAnsi="仿宋" w:eastAsia="仿宋" w:cs="仿宋"/>
          <w:color w:val="auto"/>
          <w:kern w:val="0"/>
          <w:sz w:val="22"/>
          <w:szCs w:val="22"/>
          <w:highlight w:val="none"/>
          <w:lang w:val="zh-CN"/>
        </w:rPr>
      </w:pPr>
    </w:p>
    <w:p w14:paraId="4F98B15F">
      <w:pPr>
        <w:autoSpaceDE w:val="0"/>
        <w:autoSpaceDN w:val="0"/>
        <w:spacing w:line="380" w:lineRule="atLeast"/>
        <w:ind w:firstLine="660"/>
        <w:rPr>
          <w:rFonts w:hint="eastAsia" w:ascii="仿宋" w:hAnsi="仿宋" w:eastAsia="仿宋" w:cs="仿宋"/>
          <w:color w:val="auto"/>
          <w:kern w:val="0"/>
          <w:sz w:val="22"/>
          <w:szCs w:val="22"/>
          <w:highlight w:val="none"/>
          <w:lang w:val="zh-CN"/>
        </w:rPr>
      </w:pPr>
    </w:p>
    <w:p w14:paraId="3FBE1888">
      <w:pPr>
        <w:autoSpaceDE w:val="0"/>
        <w:autoSpaceDN w:val="0"/>
        <w:spacing w:line="380" w:lineRule="atLeast"/>
        <w:ind w:firstLine="660"/>
        <w:rPr>
          <w:rFonts w:hint="eastAsia" w:ascii="仿宋" w:hAnsi="仿宋" w:eastAsia="仿宋" w:cs="仿宋"/>
          <w:color w:val="auto"/>
          <w:kern w:val="0"/>
          <w:sz w:val="22"/>
          <w:szCs w:val="22"/>
          <w:highlight w:val="none"/>
          <w:lang w:val="zh-CN"/>
        </w:rPr>
      </w:pPr>
    </w:p>
    <w:p w14:paraId="752E10B9">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投标人名称(电子签名)：                              </w:t>
      </w:r>
    </w:p>
    <w:p w14:paraId="3C87C612">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bookmarkEnd w:id="92"/>
    </w:p>
    <w:p w14:paraId="402F9DAE">
      <w:pPr>
        <w:widowControl/>
        <w:adjustRightInd/>
        <w:jc w:val="left"/>
        <w:rPr>
          <w:rFonts w:hint="eastAsia" w:ascii="仿宋" w:hAnsi="仿宋" w:eastAsia="仿宋" w:cs="仿宋"/>
          <w:color w:val="auto"/>
          <w:sz w:val="28"/>
          <w:szCs w:val="36"/>
          <w:highlight w:val="none"/>
        </w:rPr>
      </w:pPr>
      <w:r>
        <w:rPr>
          <w:rFonts w:hint="eastAsia" w:ascii="仿宋" w:hAnsi="仿宋" w:eastAsia="仿宋" w:cs="仿宋"/>
          <w:color w:val="auto"/>
          <w:sz w:val="28"/>
          <w:szCs w:val="36"/>
          <w:highlight w:val="none"/>
        </w:rPr>
        <w:br w:type="page"/>
      </w:r>
    </w:p>
    <w:p w14:paraId="67C3EC82">
      <w:pPr>
        <w:widowControl/>
        <w:adjustRightInd/>
        <w:jc w:val="left"/>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rPr>
        <w:t>附件1</w:t>
      </w:r>
      <w:r>
        <w:rPr>
          <w:rFonts w:hint="eastAsia" w:ascii="仿宋" w:hAnsi="仿宋" w:eastAsia="仿宋" w:cs="仿宋"/>
          <w:b/>
          <w:bCs/>
          <w:color w:val="auto"/>
          <w:sz w:val="28"/>
          <w:szCs w:val="28"/>
          <w:highlight w:val="none"/>
          <w:lang w:val="en-US" w:eastAsia="zh-CN"/>
        </w:rPr>
        <w:t>2</w:t>
      </w:r>
    </w:p>
    <w:p w14:paraId="4E13D4ED">
      <w:pPr>
        <w:widowControl/>
        <w:adjustRightInd/>
        <w:jc w:val="center"/>
        <w:rPr>
          <w:rFonts w:hint="eastAsia" w:ascii="仿宋" w:hAnsi="仿宋" w:eastAsia="仿宋" w:cs="仿宋"/>
          <w:b/>
          <w:bCs/>
          <w:color w:val="auto"/>
          <w:kern w:val="36"/>
          <w:sz w:val="28"/>
          <w:szCs w:val="36"/>
          <w:highlight w:val="none"/>
        </w:rPr>
      </w:pPr>
      <w:r>
        <w:rPr>
          <w:rFonts w:hint="eastAsia" w:ascii="仿宋" w:hAnsi="仿宋" w:eastAsia="仿宋" w:cs="仿宋"/>
          <w:b/>
          <w:bCs/>
          <w:color w:val="auto"/>
          <w:kern w:val="36"/>
          <w:sz w:val="28"/>
          <w:szCs w:val="36"/>
          <w:highlight w:val="none"/>
        </w:rPr>
        <w:t>二、价格组成表</w:t>
      </w:r>
    </w:p>
    <w:p w14:paraId="541BD77B">
      <w:pPr>
        <w:widowControl/>
        <w:adjustRightInd/>
        <w:jc w:val="center"/>
        <w:rPr>
          <w:rFonts w:hint="eastAsia" w:ascii="仿宋" w:hAnsi="仿宋" w:eastAsia="仿宋" w:cs="仿宋"/>
          <w:color w:val="auto"/>
          <w:sz w:val="24"/>
          <w:highlight w:val="none"/>
        </w:rPr>
      </w:pPr>
    </w:p>
    <w:p w14:paraId="007D1C1D">
      <w:pPr>
        <w:spacing w:line="380" w:lineRule="exact"/>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项目名称：                                       项目编号：</w:t>
      </w:r>
    </w:p>
    <w:p w14:paraId="5DC564E2">
      <w:pPr>
        <w:spacing w:line="380" w:lineRule="exact"/>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价格单位：人民币（元）</w:t>
      </w:r>
    </w:p>
    <w:tbl>
      <w:tblPr>
        <w:tblStyle w:val="57"/>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3321"/>
        <w:gridCol w:w="950"/>
        <w:gridCol w:w="950"/>
        <w:gridCol w:w="950"/>
        <w:gridCol w:w="950"/>
        <w:gridCol w:w="950"/>
        <w:gridCol w:w="952"/>
      </w:tblGrid>
      <w:tr w14:paraId="409F1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697" w:type="dxa"/>
            <w:vAlign w:val="center"/>
          </w:tcPr>
          <w:p w14:paraId="75A41BCF">
            <w:pPr>
              <w:pStyle w:val="32"/>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3321" w:type="dxa"/>
            <w:vAlign w:val="center"/>
          </w:tcPr>
          <w:p w14:paraId="1EB4F259">
            <w:pPr>
              <w:pStyle w:val="32"/>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费用名称</w:t>
            </w:r>
          </w:p>
        </w:tc>
        <w:tc>
          <w:tcPr>
            <w:tcW w:w="950" w:type="dxa"/>
            <w:vAlign w:val="center"/>
          </w:tcPr>
          <w:p w14:paraId="5B94D067">
            <w:pPr>
              <w:pStyle w:val="32"/>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GB"/>
              </w:rPr>
              <w:t>品牌</w:t>
            </w:r>
          </w:p>
        </w:tc>
        <w:tc>
          <w:tcPr>
            <w:tcW w:w="950" w:type="dxa"/>
            <w:vAlign w:val="center"/>
          </w:tcPr>
          <w:p w14:paraId="68EB8E2A">
            <w:pPr>
              <w:pStyle w:val="32"/>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型号、规格</w:t>
            </w:r>
          </w:p>
        </w:tc>
        <w:tc>
          <w:tcPr>
            <w:tcW w:w="950" w:type="dxa"/>
            <w:vAlign w:val="center"/>
          </w:tcPr>
          <w:p w14:paraId="669A87C7">
            <w:pPr>
              <w:pStyle w:val="32"/>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GB"/>
              </w:rPr>
              <w:t>制造商</w:t>
            </w:r>
          </w:p>
        </w:tc>
        <w:tc>
          <w:tcPr>
            <w:tcW w:w="950" w:type="dxa"/>
            <w:vAlign w:val="center"/>
          </w:tcPr>
          <w:p w14:paraId="1F0134A2">
            <w:pPr>
              <w:pStyle w:val="32"/>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投标单价</w:t>
            </w:r>
          </w:p>
        </w:tc>
        <w:tc>
          <w:tcPr>
            <w:tcW w:w="950" w:type="dxa"/>
            <w:vAlign w:val="center"/>
          </w:tcPr>
          <w:p w14:paraId="3BC01900">
            <w:pPr>
              <w:pStyle w:val="32"/>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数量</w:t>
            </w:r>
          </w:p>
        </w:tc>
        <w:tc>
          <w:tcPr>
            <w:tcW w:w="952" w:type="dxa"/>
            <w:vAlign w:val="center"/>
          </w:tcPr>
          <w:p w14:paraId="09299E71">
            <w:pPr>
              <w:pStyle w:val="32"/>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合计</w:t>
            </w:r>
          </w:p>
        </w:tc>
      </w:tr>
      <w:tr w14:paraId="411C3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697" w:type="dxa"/>
            <w:vAlign w:val="center"/>
          </w:tcPr>
          <w:p w14:paraId="2940B1F5">
            <w:pPr>
              <w:pStyle w:val="32"/>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3321" w:type="dxa"/>
            <w:vAlign w:val="center"/>
          </w:tcPr>
          <w:p w14:paraId="282D2112">
            <w:pPr>
              <w:pStyle w:val="32"/>
              <w:jc w:val="center"/>
              <w:rPr>
                <w:rFonts w:hint="eastAsia" w:ascii="仿宋" w:hAnsi="仿宋" w:eastAsia="仿宋" w:cs="仿宋"/>
                <w:color w:val="auto"/>
                <w:sz w:val="21"/>
                <w:szCs w:val="21"/>
                <w:highlight w:val="none"/>
              </w:rPr>
            </w:pPr>
          </w:p>
        </w:tc>
        <w:tc>
          <w:tcPr>
            <w:tcW w:w="950" w:type="dxa"/>
            <w:vAlign w:val="center"/>
          </w:tcPr>
          <w:p w14:paraId="5F886828">
            <w:pPr>
              <w:pStyle w:val="32"/>
              <w:jc w:val="center"/>
              <w:rPr>
                <w:rFonts w:hint="eastAsia" w:ascii="仿宋" w:hAnsi="仿宋" w:eastAsia="仿宋" w:cs="仿宋"/>
                <w:color w:val="auto"/>
                <w:sz w:val="21"/>
                <w:szCs w:val="21"/>
                <w:highlight w:val="none"/>
              </w:rPr>
            </w:pPr>
          </w:p>
        </w:tc>
        <w:tc>
          <w:tcPr>
            <w:tcW w:w="950" w:type="dxa"/>
            <w:vAlign w:val="center"/>
          </w:tcPr>
          <w:p w14:paraId="36F7E51B">
            <w:pPr>
              <w:pStyle w:val="32"/>
              <w:jc w:val="center"/>
              <w:rPr>
                <w:rFonts w:hint="eastAsia" w:ascii="仿宋" w:hAnsi="仿宋" w:eastAsia="仿宋" w:cs="仿宋"/>
                <w:color w:val="auto"/>
                <w:sz w:val="21"/>
                <w:szCs w:val="21"/>
                <w:highlight w:val="none"/>
              </w:rPr>
            </w:pPr>
          </w:p>
        </w:tc>
        <w:tc>
          <w:tcPr>
            <w:tcW w:w="950" w:type="dxa"/>
            <w:vAlign w:val="center"/>
          </w:tcPr>
          <w:p w14:paraId="08C6D609">
            <w:pPr>
              <w:pStyle w:val="32"/>
              <w:jc w:val="center"/>
              <w:rPr>
                <w:rFonts w:hint="eastAsia" w:ascii="仿宋" w:hAnsi="仿宋" w:eastAsia="仿宋" w:cs="仿宋"/>
                <w:color w:val="auto"/>
                <w:sz w:val="21"/>
                <w:szCs w:val="21"/>
                <w:highlight w:val="none"/>
              </w:rPr>
            </w:pPr>
          </w:p>
        </w:tc>
        <w:tc>
          <w:tcPr>
            <w:tcW w:w="950" w:type="dxa"/>
            <w:vAlign w:val="center"/>
          </w:tcPr>
          <w:p w14:paraId="39C01B97">
            <w:pPr>
              <w:pStyle w:val="32"/>
              <w:jc w:val="center"/>
              <w:rPr>
                <w:rFonts w:hint="eastAsia" w:ascii="仿宋" w:hAnsi="仿宋" w:eastAsia="仿宋" w:cs="仿宋"/>
                <w:color w:val="auto"/>
                <w:sz w:val="21"/>
                <w:szCs w:val="21"/>
                <w:highlight w:val="none"/>
              </w:rPr>
            </w:pPr>
          </w:p>
        </w:tc>
        <w:tc>
          <w:tcPr>
            <w:tcW w:w="950" w:type="dxa"/>
            <w:vAlign w:val="center"/>
          </w:tcPr>
          <w:p w14:paraId="28DBF679">
            <w:pPr>
              <w:pStyle w:val="32"/>
              <w:jc w:val="center"/>
              <w:rPr>
                <w:rFonts w:hint="eastAsia" w:ascii="仿宋" w:hAnsi="仿宋" w:eastAsia="仿宋" w:cs="仿宋"/>
                <w:color w:val="auto"/>
                <w:sz w:val="21"/>
                <w:szCs w:val="21"/>
                <w:highlight w:val="none"/>
              </w:rPr>
            </w:pPr>
          </w:p>
        </w:tc>
        <w:tc>
          <w:tcPr>
            <w:tcW w:w="952" w:type="dxa"/>
            <w:vAlign w:val="center"/>
          </w:tcPr>
          <w:p w14:paraId="25B64738">
            <w:pPr>
              <w:pStyle w:val="32"/>
              <w:jc w:val="center"/>
              <w:rPr>
                <w:rFonts w:hint="eastAsia" w:ascii="仿宋" w:hAnsi="仿宋" w:eastAsia="仿宋" w:cs="仿宋"/>
                <w:color w:val="auto"/>
                <w:sz w:val="21"/>
                <w:szCs w:val="21"/>
                <w:highlight w:val="none"/>
              </w:rPr>
            </w:pPr>
          </w:p>
        </w:tc>
      </w:tr>
      <w:tr w14:paraId="52E82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697" w:type="dxa"/>
            <w:vAlign w:val="center"/>
          </w:tcPr>
          <w:p w14:paraId="171C13A5">
            <w:pPr>
              <w:pStyle w:val="32"/>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3321" w:type="dxa"/>
            <w:vAlign w:val="center"/>
          </w:tcPr>
          <w:p w14:paraId="3C07524D">
            <w:pPr>
              <w:pStyle w:val="32"/>
              <w:jc w:val="center"/>
              <w:rPr>
                <w:rFonts w:hint="eastAsia" w:ascii="仿宋" w:hAnsi="仿宋" w:eastAsia="仿宋" w:cs="仿宋"/>
                <w:color w:val="auto"/>
                <w:sz w:val="21"/>
                <w:szCs w:val="21"/>
                <w:highlight w:val="none"/>
              </w:rPr>
            </w:pPr>
          </w:p>
        </w:tc>
        <w:tc>
          <w:tcPr>
            <w:tcW w:w="950" w:type="dxa"/>
            <w:vAlign w:val="center"/>
          </w:tcPr>
          <w:p w14:paraId="6C9F8586">
            <w:pPr>
              <w:pStyle w:val="32"/>
              <w:jc w:val="center"/>
              <w:rPr>
                <w:rFonts w:hint="eastAsia" w:ascii="仿宋" w:hAnsi="仿宋" w:eastAsia="仿宋" w:cs="仿宋"/>
                <w:color w:val="auto"/>
                <w:sz w:val="21"/>
                <w:szCs w:val="21"/>
                <w:highlight w:val="none"/>
              </w:rPr>
            </w:pPr>
          </w:p>
        </w:tc>
        <w:tc>
          <w:tcPr>
            <w:tcW w:w="950" w:type="dxa"/>
            <w:vAlign w:val="center"/>
          </w:tcPr>
          <w:p w14:paraId="2EF371C9">
            <w:pPr>
              <w:pStyle w:val="32"/>
              <w:jc w:val="center"/>
              <w:rPr>
                <w:rFonts w:hint="eastAsia" w:ascii="仿宋" w:hAnsi="仿宋" w:eastAsia="仿宋" w:cs="仿宋"/>
                <w:color w:val="auto"/>
                <w:sz w:val="21"/>
                <w:szCs w:val="21"/>
                <w:highlight w:val="none"/>
              </w:rPr>
            </w:pPr>
          </w:p>
        </w:tc>
        <w:tc>
          <w:tcPr>
            <w:tcW w:w="950" w:type="dxa"/>
            <w:vAlign w:val="center"/>
          </w:tcPr>
          <w:p w14:paraId="0F62DD84">
            <w:pPr>
              <w:pStyle w:val="32"/>
              <w:jc w:val="center"/>
              <w:rPr>
                <w:rFonts w:hint="eastAsia" w:ascii="仿宋" w:hAnsi="仿宋" w:eastAsia="仿宋" w:cs="仿宋"/>
                <w:color w:val="auto"/>
                <w:sz w:val="21"/>
                <w:szCs w:val="21"/>
                <w:highlight w:val="none"/>
              </w:rPr>
            </w:pPr>
          </w:p>
        </w:tc>
        <w:tc>
          <w:tcPr>
            <w:tcW w:w="950" w:type="dxa"/>
            <w:vAlign w:val="center"/>
          </w:tcPr>
          <w:p w14:paraId="13E7675D">
            <w:pPr>
              <w:pStyle w:val="32"/>
              <w:jc w:val="center"/>
              <w:rPr>
                <w:rFonts w:hint="eastAsia" w:ascii="仿宋" w:hAnsi="仿宋" w:eastAsia="仿宋" w:cs="仿宋"/>
                <w:color w:val="auto"/>
                <w:sz w:val="21"/>
                <w:szCs w:val="21"/>
                <w:highlight w:val="none"/>
              </w:rPr>
            </w:pPr>
          </w:p>
        </w:tc>
        <w:tc>
          <w:tcPr>
            <w:tcW w:w="950" w:type="dxa"/>
            <w:vAlign w:val="center"/>
          </w:tcPr>
          <w:p w14:paraId="29E1326D">
            <w:pPr>
              <w:pStyle w:val="32"/>
              <w:jc w:val="center"/>
              <w:rPr>
                <w:rFonts w:hint="eastAsia" w:ascii="仿宋" w:hAnsi="仿宋" w:eastAsia="仿宋" w:cs="仿宋"/>
                <w:color w:val="auto"/>
                <w:sz w:val="21"/>
                <w:szCs w:val="21"/>
                <w:highlight w:val="none"/>
              </w:rPr>
            </w:pPr>
          </w:p>
        </w:tc>
        <w:tc>
          <w:tcPr>
            <w:tcW w:w="952" w:type="dxa"/>
            <w:vAlign w:val="center"/>
          </w:tcPr>
          <w:p w14:paraId="24B30454">
            <w:pPr>
              <w:pStyle w:val="32"/>
              <w:jc w:val="center"/>
              <w:rPr>
                <w:rFonts w:hint="eastAsia" w:ascii="仿宋" w:hAnsi="仿宋" w:eastAsia="仿宋" w:cs="仿宋"/>
                <w:color w:val="auto"/>
                <w:sz w:val="21"/>
                <w:szCs w:val="21"/>
                <w:highlight w:val="none"/>
              </w:rPr>
            </w:pPr>
          </w:p>
        </w:tc>
      </w:tr>
      <w:tr w14:paraId="6AE17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697" w:type="dxa"/>
            <w:vAlign w:val="center"/>
          </w:tcPr>
          <w:p w14:paraId="262D049E">
            <w:pPr>
              <w:pStyle w:val="32"/>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3321" w:type="dxa"/>
            <w:vAlign w:val="center"/>
          </w:tcPr>
          <w:p w14:paraId="6F6AD5E8">
            <w:pPr>
              <w:pStyle w:val="32"/>
              <w:jc w:val="center"/>
              <w:rPr>
                <w:rFonts w:hint="eastAsia" w:ascii="仿宋" w:hAnsi="仿宋" w:eastAsia="仿宋" w:cs="仿宋"/>
                <w:color w:val="auto"/>
                <w:sz w:val="21"/>
                <w:szCs w:val="21"/>
                <w:highlight w:val="none"/>
              </w:rPr>
            </w:pPr>
          </w:p>
        </w:tc>
        <w:tc>
          <w:tcPr>
            <w:tcW w:w="950" w:type="dxa"/>
            <w:vAlign w:val="center"/>
          </w:tcPr>
          <w:p w14:paraId="6554015E">
            <w:pPr>
              <w:pStyle w:val="32"/>
              <w:jc w:val="center"/>
              <w:rPr>
                <w:rFonts w:hint="eastAsia" w:ascii="仿宋" w:hAnsi="仿宋" w:eastAsia="仿宋" w:cs="仿宋"/>
                <w:color w:val="auto"/>
                <w:sz w:val="21"/>
                <w:szCs w:val="21"/>
                <w:highlight w:val="none"/>
              </w:rPr>
            </w:pPr>
          </w:p>
        </w:tc>
        <w:tc>
          <w:tcPr>
            <w:tcW w:w="950" w:type="dxa"/>
            <w:vAlign w:val="center"/>
          </w:tcPr>
          <w:p w14:paraId="67AABB07">
            <w:pPr>
              <w:pStyle w:val="32"/>
              <w:jc w:val="center"/>
              <w:rPr>
                <w:rFonts w:hint="eastAsia" w:ascii="仿宋" w:hAnsi="仿宋" w:eastAsia="仿宋" w:cs="仿宋"/>
                <w:color w:val="auto"/>
                <w:sz w:val="21"/>
                <w:szCs w:val="21"/>
                <w:highlight w:val="none"/>
              </w:rPr>
            </w:pPr>
          </w:p>
        </w:tc>
        <w:tc>
          <w:tcPr>
            <w:tcW w:w="950" w:type="dxa"/>
            <w:vAlign w:val="center"/>
          </w:tcPr>
          <w:p w14:paraId="0D912DE8">
            <w:pPr>
              <w:pStyle w:val="32"/>
              <w:jc w:val="center"/>
              <w:rPr>
                <w:rFonts w:hint="eastAsia" w:ascii="仿宋" w:hAnsi="仿宋" w:eastAsia="仿宋" w:cs="仿宋"/>
                <w:color w:val="auto"/>
                <w:sz w:val="21"/>
                <w:szCs w:val="21"/>
                <w:highlight w:val="none"/>
              </w:rPr>
            </w:pPr>
          </w:p>
        </w:tc>
        <w:tc>
          <w:tcPr>
            <w:tcW w:w="950" w:type="dxa"/>
            <w:vAlign w:val="center"/>
          </w:tcPr>
          <w:p w14:paraId="17315682">
            <w:pPr>
              <w:pStyle w:val="32"/>
              <w:jc w:val="center"/>
              <w:rPr>
                <w:rFonts w:hint="default" w:ascii="仿宋" w:hAnsi="仿宋" w:eastAsia="仿宋" w:cs="仿宋"/>
                <w:color w:val="auto"/>
                <w:sz w:val="21"/>
                <w:szCs w:val="21"/>
                <w:highlight w:val="none"/>
                <w:lang w:val="en-US" w:eastAsia="zh-CN"/>
              </w:rPr>
            </w:pPr>
          </w:p>
        </w:tc>
        <w:tc>
          <w:tcPr>
            <w:tcW w:w="950" w:type="dxa"/>
            <w:vAlign w:val="center"/>
          </w:tcPr>
          <w:p w14:paraId="0E51AEB3">
            <w:pPr>
              <w:pStyle w:val="32"/>
              <w:jc w:val="center"/>
              <w:rPr>
                <w:rFonts w:hint="default" w:ascii="仿宋" w:hAnsi="仿宋" w:eastAsia="仿宋" w:cs="仿宋"/>
                <w:color w:val="auto"/>
                <w:sz w:val="21"/>
                <w:szCs w:val="21"/>
                <w:highlight w:val="none"/>
                <w:lang w:val="en-US" w:eastAsia="zh-CN"/>
              </w:rPr>
            </w:pPr>
          </w:p>
        </w:tc>
        <w:tc>
          <w:tcPr>
            <w:tcW w:w="952" w:type="dxa"/>
            <w:vAlign w:val="center"/>
          </w:tcPr>
          <w:p w14:paraId="3C9243D1">
            <w:pPr>
              <w:pStyle w:val="32"/>
              <w:jc w:val="center"/>
              <w:rPr>
                <w:rFonts w:hint="eastAsia" w:ascii="仿宋" w:hAnsi="仿宋" w:eastAsia="仿宋" w:cs="仿宋"/>
                <w:color w:val="auto"/>
                <w:sz w:val="21"/>
                <w:szCs w:val="21"/>
                <w:highlight w:val="none"/>
              </w:rPr>
            </w:pPr>
          </w:p>
        </w:tc>
      </w:tr>
      <w:tr w14:paraId="4F01E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697" w:type="dxa"/>
            <w:vAlign w:val="center"/>
          </w:tcPr>
          <w:p w14:paraId="2242AA0A">
            <w:pPr>
              <w:pStyle w:val="32"/>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3321" w:type="dxa"/>
            <w:vAlign w:val="center"/>
          </w:tcPr>
          <w:p w14:paraId="585E7237">
            <w:pPr>
              <w:pStyle w:val="32"/>
              <w:jc w:val="center"/>
              <w:rPr>
                <w:rFonts w:hint="eastAsia" w:ascii="仿宋" w:hAnsi="仿宋" w:eastAsia="仿宋" w:cs="仿宋"/>
                <w:color w:val="auto"/>
                <w:sz w:val="21"/>
                <w:szCs w:val="21"/>
                <w:highlight w:val="none"/>
              </w:rPr>
            </w:pPr>
          </w:p>
        </w:tc>
        <w:tc>
          <w:tcPr>
            <w:tcW w:w="950" w:type="dxa"/>
            <w:vAlign w:val="center"/>
          </w:tcPr>
          <w:p w14:paraId="1E7148F9">
            <w:pPr>
              <w:pStyle w:val="32"/>
              <w:jc w:val="center"/>
              <w:rPr>
                <w:rFonts w:hint="eastAsia" w:ascii="仿宋" w:hAnsi="仿宋" w:eastAsia="仿宋" w:cs="仿宋"/>
                <w:color w:val="auto"/>
                <w:sz w:val="21"/>
                <w:szCs w:val="21"/>
                <w:highlight w:val="none"/>
              </w:rPr>
            </w:pPr>
          </w:p>
        </w:tc>
        <w:tc>
          <w:tcPr>
            <w:tcW w:w="950" w:type="dxa"/>
            <w:vAlign w:val="center"/>
          </w:tcPr>
          <w:p w14:paraId="6B39A0F0">
            <w:pPr>
              <w:pStyle w:val="32"/>
              <w:jc w:val="center"/>
              <w:rPr>
                <w:rFonts w:hint="eastAsia" w:ascii="仿宋" w:hAnsi="仿宋" w:eastAsia="仿宋" w:cs="仿宋"/>
                <w:color w:val="auto"/>
                <w:sz w:val="21"/>
                <w:szCs w:val="21"/>
                <w:highlight w:val="none"/>
              </w:rPr>
            </w:pPr>
          </w:p>
        </w:tc>
        <w:tc>
          <w:tcPr>
            <w:tcW w:w="950" w:type="dxa"/>
            <w:vAlign w:val="center"/>
          </w:tcPr>
          <w:p w14:paraId="3551CAAE">
            <w:pPr>
              <w:pStyle w:val="32"/>
              <w:jc w:val="center"/>
              <w:rPr>
                <w:rFonts w:hint="eastAsia" w:ascii="仿宋" w:hAnsi="仿宋" w:eastAsia="仿宋" w:cs="仿宋"/>
                <w:color w:val="auto"/>
                <w:sz w:val="21"/>
                <w:szCs w:val="21"/>
                <w:highlight w:val="none"/>
              </w:rPr>
            </w:pPr>
          </w:p>
        </w:tc>
        <w:tc>
          <w:tcPr>
            <w:tcW w:w="950" w:type="dxa"/>
            <w:vAlign w:val="center"/>
          </w:tcPr>
          <w:p w14:paraId="167951C8">
            <w:pPr>
              <w:pStyle w:val="32"/>
              <w:jc w:val="center"/>
              <w:rPr>
                <w:rFonts w:hint="default" w:ascii="仿宋" w:hAnsi="仿宋" w:eastAsia="仿宋" w:cs="仿宋"/>
                <w:color w:val="auto"/>
                <w:sz w:val="21"/>
                <w:szCs w:val="21"/>
                <w:highlight w:val="none"/>
                <w:lang w:val="en-US" w:eastAsia="zh-CN"/>
              </w:rPr>
            </w:pPr>
          </w:p>
        </w:tc>
        <w:tc>
          <w:tcPr>
            <w:tcW w:w="950" w:type="dxa"/>
            <w:vAlign w:val="center"/>
          </w:tcPr>
          <w:p w14:paraId="0518B2A0">
            <w:pPr>
              <w:pStyle w:val="32"/>
              <w:jc w:val="center"/>
              <w:rPr>
                <w:rFonts w:hint="default" w:ascii="仿宋" w:hAnsi="仿宋" w:eastAsia="仿宋" w:cs="仿宋"/>
                <w:color w:val="auto"/>
                <w:sz w:val="21"/>
                <w:szCs w:val="21"/>
                <w:highlight w:val="none"/>
                <w:lang w:val="en-US" w:eastAsia="zh-CN"/>
              </w:rPr>
            </w:pPr>
          </w:p>
        </w:tc>
        <w:tc>
          <w:tcPr>
            <w:tcW w:w="952" w:type="dxa"/>
            <w:vAlign w:val="center"/>
          </w:tcPr>
          <w:p w14:paraId="419F7716">
            <w:pPr>
              <w:pStyle w:val="32"/>
              <w:jc w:val="center"/>
              <w:rPr>
                <w:rFonts w:hint="eastAsia" w:ascii="仿宋" w:hAnsi="仿宋" w:eastAsia="仿宋" w:cs="仿宋"/>
                <w:color w:val="auto"/>
                <w:sz w:val="21"/>
                <w:szCs w:val="21"/>
                <w:highlight w:val="none"/>
              </w:rPr>
            </w:pPr>
          </w:p>
        </w:tc>
      </w:tr>
      <w:tr w14:paraId="6ADCD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697" w:type="dxa"/>
            <w:vAlign w:val="center"/>
          </w:tcPr>
          <w:p w14:paraId="0EFB9F15">
            <w:pPr>
              <w:pStyle w:val="32"/>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3321" w:type="dxa"/>
            <w:vAlign w:val="center"/>
          </w:tcPr>
          <w:p w14:paraId="382E3462">
            <w:pPr>
              <w:pStyle w:val="32"/>
              <w:jc w:val="center"/>
              <w:rPr>
                <w:rFonts w:hint="eastAsia" w:ascii="仿宋" w:hAnsi="仿宋" w:eastAsia="仿宋" w:cs="仿宋"/>
                <w:color w:val="auto"/>
                <w:sz w:val="21"/>
                <w:szCs w:val="21"/>
                <w:highlight w:val="none"/>
              </w:rPr>
            </w:pPr>
          </w:p>
        </w:tc>
        <w:tc>
          <w:tcPr>
            <w:tcW w:w="950" w:type="dxa"/>
            <w:vAlign w:val="center"/>
          </w:tcPr>
          <w:p w14:paraId="36893BEB">
            <w:pPr>
              <w:pStyle w:val="32"/>
              <w:jc w:val="center"/>
              <w:rPr>
                <w:rFonts w:hint="eastAsia" w:ascii="仿宋" w:hAnsi="仿宋" w:eastAsia="仿宋" w:cs="仿宋"/>
                <w:color w:val="auto"/>
                <w:sz w:val="21"/>
                <w:szCs w:val="21"/>
                <w:highlight w:val="none"/>
              </w:rPr>
            </w:pPr>
          </w:p>
        </w:tc>
        <w:tc>
          <w:tcPr>
            <w:tcW w:w="950" w:type="dxa"/>
            <w:vAlign w:val="center"/>
          </w:tcPr>
          <w:p w14:paraId="1B74A9C6">
            <w:pPr>
              <w:pStyle w:val="32"/>
              <w:jc w:val="center"/>
              <w:rPr>
                <w:rFonts w:hint="eastAsia" w:ascii="仿宋" w:hAnsi="仿宋" w:eastAsia="仿宋" w:cs="仿宋"/>
                <w:color w:val="auto"/>
                <w:sz w:val="21"/>
                <w:szCs w:val="21"/>
                <w:highlight w:val="none"/>
              </w:rPr>
            </w:pPr>
          </w:p>
        </w:tc>
        <w:tc>
          <w:tcPr>
            <w:tcW w:w="950" w:type="dxa"/>
            <w:vAlign w:val="center"/>
          </w:tcPr>
          <w:p w14:paraId="1DBD2AC1">
            <w:pPr>
              <w:pStyle w:val="32"/>
              <w:jc w:val="center"/>
              <w:rPr>
                <w:rFonts w:hint="eastAsia" w:ascii="仿宋" w:hAnsi="仿宋" w:eastAsia="仿宋" w:cs="仿宋"/>
                <w:color w:val="auto"/>
                <w:sz w:val="21"/>
                <w:szCs w:val="21"/>
                <w:highlight w:val="none"/>
              </w:rPr>
            </w:pPr>
          </w:p>
        </w:tc>
        <w:tc>
          <w:tcPr>
            <w:tcW w:w="950" w:type="dxa"/>
            <w:vAlign w:val="center"/>
          </w:tcPr>
          <w:p w14:paraId="77CE0570">
            <w:pPr>
              <w:pStyle w:val="32"/>
              <w:jc w:val="center"/>
              <w:rPr>
                <w:rFonts w:hint="default" w:ascii="仿宋" w:hAnsi="仿宋" w:eastAsia="仿宋" w:cs="仿宋"/>
                <w:color w:val="auto"/>
                <w:sz w:val="21"/>
                <w:szCs w:val="21"/>
                <w:highlight w:val="none"/>
                <w:lang w:val="en-US" w:eastAsia="zh-CN"/>
              </w:rPr>
            </w:pPr>
          </w:p>
        </w:tc>
        <w:tc>
          <w:tcPr>
            <w:tcW w:w="950" w:type="dxa"/>
            <w:vAlign w:val="center"/>
          </w:tcPr>
          <w:p w14:paraId="3C278661">
            <w:pPr>
              <w:pStyle w:val="32"/>
              <w:jc w:val="center"/>
              <w:rPr>
                <w:rFonts w:hint="default" w:ascii="仿宋" w:hAnsi="仿宋" w:eastAsia="仿宋" w:cs="仿宋"/>
                <w:color w:val="auto"/>
                <w:sz w:val="21"/>
                <w:szCs w:val="21"/>
                <w:highlight w:val="none"/>
                <w:lang w:val="en-US" w:eastAsia="zh-CN"/>
              </w:rPr>
            </w:pPr>
          </w:p>
        </w:tc>
        <w:tc>
          <w:tcPr>
            <w:tcW w:w="952" w:type="dxa"/>
            <w:vAlign w:val="center"/>
          </w:tcPr>
          <w:p w14:paraId="12DDA66F">
            <w:pPr>
              <w:pStyle w:val="32"/>
              <w:jc w:val="center"/>
              <w:rPr>
                <w:rFonts w:hint="eastAsia" w:ascii="仿宋" w:hAnsi="仿宋" w:eastAsia="仿宋" w:cs="仿宋"/>
                <w:color w:val="auto"/>
                <w:sz w:val="21"/>
                <w:szCs w:val="21"/>
                <w:highlight w:val="none"/>
              </w:rPr>
            </w:pPr>
          </w:p>
        </w:tc>
      </w:tr>
      <w:tr w14:paraId="6BAB5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697" w:type="dxa"/>
            <w:vAlign w:val="center"/>
          </w:tcPr>
          <w:p w14:paraId="2B89A98D">
            <w:pPr>
              <w:pStyle w:val="32"/>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p>
        </w:tc>
        <w:tc>
          <w:tcPr>
            <w:tcW w:w="3321" w:type="dxa"/>
            <w:vAlign w:val="center"/>
          </w:tcPr>
          <w:p w14:paraId="686204C3">
            <w:pPr>
              <w:pStyle w:val="32"/>
              <w:jc w:val="center"/>
              <w:rPr>
                <w:rFonts w:hint="eastAsia" w:ascii="仿宋" w:hAnsi="仿宋" w:eastAsia="仿宋" w:cs="仿宋"/>
                <w:color w:val="auto"/>
                <w:sz w:val="21"/>
                <w:szCs w:val="21"/>
                <w:highlight w:val="none"/>
              </w:rPr>
            </w:pPr>
          </w:p>
        </w:tc>
        <w:tc>
          <w:tcPr>
            <w:tcW w:w="950" w:type="dxa"/>
            <w:vAlign w:val="center"/>
          </w:tcPr>
          <w:p w14:paraId="2E9849C6">
            <w:pPr>
              <w:pStyle w:val="32"/>
              <w:jc w:val="center"/>
              <w:rPr>
                <w:rFonts w:hint="eastAsia" w:ascii="仿宋" w:hAnsi="仿宋" w:eastAsia="仿宋" w:cs="仿宋"/>
                <w:color w:val="auto"/>
                <w:sz w:val="21"/>
                <w:szCs w:val="21"/>
                <w:highlight w:val="none"/>
              </w:rPr>
            </w:pPr>
          </w:p>
        </w:tc>
        <w:tc>
          <w:tcPr>
            <w:tcW w:w="950" w:type="dxa"/>
            <w:vAlign w:val="center"/>
          </w:tcPr>
          <w:p w14:paraId="3627586B">
            <w:pPr>
              <w:pStyle w:val="32"/>
              <w:jc w:val="center"/>
              <w:rPr>
                <w:rFonts w:hint="eastAsia" w:ascii="仿宋" w:hAnsi="仿宋" w:eastAsia="仿宋" w:cs="仿宋"/>
                <w:color w:val="auto"/>
                <w:sz w:val="21"/>
                <w:szCs w:val="21"/>
                <w:highlight w:val="none"/>
              </w:rPr>
            </w:pPr>
          </w:p>
        </w:tc>
        <w:tc>
          <w:tcPr>
            <w:tcW w:w="950" w:type="dxa"/>
            <w:vAlign w:val="center"/>
          </w:tcPr>
          <w:p w14:paraId="1C24B422">
            <w:pPr>
              <w:pStyle w:val="32"/>
              <w:jc w:val="center"/>
              <w:rPr>
                <w:rFonts w:hint="eastAsia" w:ascii="仿宋" w:hAnsi="仿宋" w:eastAsia="仿宋" w:cs="仿宋"/>
                <w:color w:val="auto"/>
                <w:sz w:val="21"/>
                <w:szCs w:val="21"/>
                <w:highlight w:val="none"/>
              </w:rPr>
            </w:pPr>
          </w:p>
        </w:tc>
        <w:tc>
          <w:tcPr>
            <w:tcW w:w="950" w:type="dxa"/>
            <w:vAlign w:val="center"/>
          </w:tcPr>
          <w:p w14:paraId="1C428221">
            <w:pPr>
              <w:pStyle w:val="32"/>
              <w:jc w:val="center"/>
              <w:rPr>
                <w:rFonts w:hint="default" w:ascii="仿宋" w:hAnsi="仿宋" w:eastAsia="仿宋" w:cs="仿宋"/>
                <w:color w:val="auto"/>
                <w:sz w:val="21"/>
                <w:szCs w:val="21"/>
                <w:highlight w:val="none"/>
                <w:lang w:val="en-US" w:eastAsia="zh-CN"/>
              </w:rPr>
            </w:pPr>
          </w:p>
        </w:tc>
        <w:tc>
          <w:tcPr>
            <w:tcW w:w="950" w:type="dxa"/>
            <w:vAlign w:val="center"/>
          </w:tcPr>
          <w:p w14:paraId="7B833FE6">
            <w:pPr>
              <w:pStyle w:val="32"/>
              <w:jc w:val="center"/>
              <w:rPr>
                <w:rFonts w:hint="default" w:ascii="仿宋" w:hAnsi="仿宋" w:eastAsia="仿宋" w:cs="仿宋"/>
                <w:color w:val="auto"/>
                <w:sz w:val="21"/>
                <w:szCs w:val="21"/>
                <w:highlight w:val="none"/>
                <w:lang w:val="en-US" w:eastAsia="zh-CN"/>
              </w:rPr>
            </w:pPr>
          </w:p>
        </w:tc>
        <w:tc>
          <w:tcPr>
            <w:tcW w:w="952" w:type="dxa"/>
            <w:vAlign w:val="center"/>
          </w:tcPr>
          <w:p w14:paraId="341DE4EA">
            <w:pPr>
              <w:pStyle w:val="32"/>
              <w:jc w:val="center"/>
              <w:rPr>
                <w:rFonts w:hint="eastAsia" w:ascii="仿宋" w:hAnsi="仿宋" w:eastAsia="仿宋" w:cs="仿宋"/>
                <w:color w:val="auto"/>
                <w:sz w:val="21"/>
                <w:szCs w:val="21"/>
                <w:highlight w:val="none"/>
              </w:rPr>
            </w:pPr>
          </w:p>
        </w:tc>
      </w:tr>
      <w:tr w14:paraId="6D17E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697" w:type="dxa"/>
            <w:vAlign w:val="center"/>
          </w:tcPr>
          <w:p w14:paraId="43855DB7">
            <w:pPr>
              <w:pStyle w:val="32"/>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p>
        </w:tc>
        <w:tc>
          <w:tcPr>
            <w:tcW w:w="3321" w:type="dxa"/>
            <w:vAlign w:val="center"/>
          </w:tcPr>
          <w:p w14:paraId="255FCB6D">
            <w:pPr>
              <w:pStyle w:val="32"/>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检测、试验、至最终目的地的运费和保险费、装卸、现场仓储、税金以及安装、调试、测试、验收、技术服务、培训、售后服务、质保期保障、代理服务费等完成合同所需的一切本身和不可或缺的所有工作开支、政策性文件规定及合同包含的所有风险、责任等全部费用</w:t>
            </w:r>
          </w:p>
        </w:tc>
        <w:tc>
          <w:tcPr>
            <w:tcW w:w="5702" w:type="dxa"/>
            <w:gridSpan w:val="6"/>
            <w:vAlign w:val="center"/>
          </w:tcPr>
          <w:p w14:paraId="5EFDBE52">
            <w:pPr>
              <w:pStyle w:val="32"/>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含</w:t>
            </w:r>
          </w:p>
        </w:tc>
      </w:tr>
      <w:tr w14:paraId="4A850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697" w:type="dxa"/>
            <w:vAlign w:val="center"/>
          </w:tcPr>
          <w:p w14:paraId="641338AB">
            <w:pPr>
              <w:pStyle w:val="32"/>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p>
        </w:tc>
        <w:tc>
          <w:tcPr>
            <w:tcW w:w="3321" w:type="dxa"/>
            <w:vAlign w:val="center"/>
          </w:tcPr>
          <w:p w14:paraId="5A56BCF6">
            <w:pPr>
              <w:pStyle w:val="32"/>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p>
        </w:tc>
        <w:tc>
          <w:tcPr>
            <w:tcW w:w="5702" w:type="dxa"/>
            <w:gridSpan w:val="6"/>
            <w:vAlign w:val="center"/>
          </w:tcPr>
          <w:p w14:paraId="2642DF92">
            <w:pPr>
              <w:pStyle w:val="32"/>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p>
        </w:tc>
      </w:tr>
      <w:tr w14:paraId="5B54D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3" w:hRule="atLeast"/>
          <w:jc w:val="center"/>
        </w:trPr>
        <w:tc>
          <w:tcPr>
            <w:tcW w:w="4018" w:type="dxa"/>
            <w:gridSpan w:val="2"/>
            <w:vAlign w:val="center"/>
          </w:tcPr>
          <w:p w14:paraId="01442B3C">
            <w:pPr>
              <w:pStyle w:val="32"/>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。。。）汇总</w:t>
            </w:r>
          </w:p>
        </w:tc>
        <w:tc>
          <w:tcPr>
            <w:tcW w:w="5702" w:type="dxa"/>
            <w:gridSpan w:val="6"/>
            <w:vAlign w:val="center"/>
          </w:tcPr>
          <w:p w14:paraId="03588890">
            <w:pPr>
              <w:pStyle w:val="32"/>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大写：    元 </w:t>
            </w:r>
          </w:p>
          <w:p w14:paraId="6D6461EC">
            <w:pPr>
              <w:pStyle w:val="32"/>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小写：    元 </w:t>
            </w:r>
          </w:p>
        </w:tc>
      </w:tr>
    </w:tbl>
    <w:p w14:paraId="5A4B20C0">
      <w:pPr>
        <w:spacing w:line="380" w:lineRule="exact"/>
        <w:rPr>
          <w:rFonts w:ascii="仿宋" w:hAnsi="仿宋" w:eastAsia="仿宋" w:cs="新宋体"/>
          <w:color w:val="auto"/>
          <w:sz w:val="22"/>
          <w:szCs w:val="22"/>
          <w:highlight w:val="none"/>
          <w:u w:val="single"/>
        </w:rPr>
      </w:pPr>
      <w:r>
        <w:rPr>
          <w:rFonts w:hint="eastAsia" w:ascii="仿宋" w:hAnsi="仿宋" w:eastAsia="仿宋" w:cs="新宋体"/>
          <w:color w:val="auto"/>
          <w:sz w:val="22"/>
          <w:szCs w:val="22"/>
          <w:highlight w:val="none"/>
          <w:u w:val="single"/>
        </w:rPr>
        <w:t>1、根据采购需求中的清单逐项报价。</w:t>
      </w:r>
    </w:p>
    <w:p w14:paraId="3F177E04">
      <w:pPr>
        <w:spacing w:line="380" w:lineRule="exact"/>
        <w:rPr>
          <w:rFonts w:ascii="仿宋" w:hAnsi="仿宋" w:eastAsia="仿宋" w:cs="新宋体"/>
          <w:color w:val="auto"/>
          <w:sz w:val="22"/>
          <w:szCs w:val="22"/>
          <w:highlight w:val="none"/>
          <w:u w:val="single"/>
        </w:rPr>
      </w:pPr>
      <w:r>
        <w:rPr>
          <w:rFonts w:hint="eastAsia" w:ascii="仿宋" w:hAnsi="仿宋" w:eastAsia="仿宋" w:cs="新宋体"/>
          <w:color w:val="auto"/>
          <w:sz w:val="22"/>
          <w:szCs w:val="22"/>
          <w:highlight w:val="none"/>
          <w:u w:val="single"/>
        </w:rPr>
        <w:t>2、价格组成表的汇总金额必须与开标一览表的填报投标报价金额一致。</w:t>
      </w:r>
    </w:p>
    <w:p w14:paraId="754B0468">
      <w:pPr>
        <w:autoSpaceDE w:val="0"/>
        <w:autoSpaceDN w:val="0"/>
        <w:spacing w:line="380" w:lineRule="atLeast"/>
        <w:ind w:firstLine="660"/>
        <w:rPr>
          <w:rFonts w:ascii="仿宋" w:hAnsi="仿宋" w:eastAsia="仿宋" w:cs="新宋体"/>
          <w:color w:val="auto"/>
          <w:kern w:val="0"/>
          <w:sz w:val="22"/>
          <w:szCs w:val="22"/>
          <w:highlight w:val="none"/>
          <w:lang w:val="zh-CN"/>
        </w:rPr>
      </w:pPr>
    </w:p>
    <w:p w14:paraId="1DF695E9">
      <w:pPr>
        <w:pStyle w:val="54"/>
        <w:rPr>
          <w:rFonts w:ascii="仿宋" w:hAnsi="仿宋" w:eastAsia="仿宋" w:cs="新宋体"/>
          <w:color w:val="auto"/>
          <w:kern w:val="0"/>
          <w:sz w:val="22"/>
          <w:highlight w:val="none"/>
          <w:lang w:val="zh-CN"/>
        </w:rPr>
      </w:pPr>
    </w:p>
    <w:p w14:paraId="69F98344">
      <w:pPr>
        <w:rPr>
          <w:rFonts w:ascii="仿宋" w:hAnsi="仿宋" w:eastAsia="仿宋" w:cs="新宋体"/>
          <w:color w:val="auto"/>
          <w:kern w:val="0"/>
          <w:sz w:val="22"/>
          <w:szCs w:val="22"/>
          <w:highlight w:val="none"/>
          <w:lang w:val="zh-CN"/>
        </w:rPr>
      </w:pPr>
    </w:p>
    <w:p w14:paraId="7B95402C">
      <w:pPr>
        <w:pStyle w:val="54"/>
        <w:rPr>
          <w:color w:val="auto"/>
          <w:highlight w:val="none"/>
          <w:lang w:val="zh-CN"/>
        </w:rPr>
      </w:pPr>
    </w:p>
    <w:p w14:paraId="4A02939B">
      <w:pPr>
        <w:snapToGrid w:val="0"/>
        <w:spacing w:line="360" w:lineRule="auto"/>
        <w:ind w:firstLine="576"/>
        <w:jc w:val="center"/>
        <w:rPr>
          <w:rFonts w:ascii="仿宋" w:hAnsi="仿宋" w:eastAsia="仿宋" w:cs="仿宋_GB2312"/>
          <w:color w:val="auto"/>
          <w:kern w:val="0"/>
          <w:sz w:val="24"/>
          <w:highlight w:val="none"/>
          <w:lang w:val="zh-CN"/>
        </w:rPr>
      </w:pPr>
      <w:r>
        <w:rPr>
          <w:rFonts w:hint="eastAsia" w:ascii="仿宋" w:hAnsi="仿宋" w:eastAsia="仿宋" w:cs="仿宋"/>
          <w:color w:val="auto"/>
          <w:kern w:val="0"/>
          <w:sz w:val="24"/>
          <w:highlight w:val="none"/>
          <w:lang w:val="zh-CN"/>
        </w:rPr>
        <w:t>投标人名称(电子签名)</w:t>
      </w:r>
      <w:r>
        <w:rPr>
          <w:rFonts w:ascii="仿宋" w:hAnsi="仿宋" w:eastAsia="仿宋" w:cs="仿宋_GB2312"/>
          <w:color w:val="auto"/>
          <w:kern w:val="0"/>
          <w:sz w:val="24"/>
          <w:highlight w:val="none"/>
          <w:lang w:val="zh-CN"/>
        </w:rPr>
        <w:t xml:space="preserve">：                              </w:t>
      </w:r>
    </w:p>
    <w:p w14:paraId="4837B5E7">
      <w:pPr>
        <w:spacing w:line="360" w:lineRule="auto"/>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日期：  年  月  日</w:t>
      </w:r>
    </w:p>
    <w:p w14:paraId="042BC045">
      <w:pPr>
        <w:widowControl/>
        <w:adjustRightInd/>
        <w:jc w:val="left"/>
        <w:rPr>
          <w:rStyle w:val="77"/>
          <w:rFonts w:hint="eastAsia" w:ascii="仿宋" w:hAnsi="仿宋" w:eastAsia="仿宋" w:cs="仿宋"/>
          <w:color w:val="auto"/>
          <w:sz w:val="28"/>
          <w:szCs w:val="28"/>
          <w:highlight w:val="none"/>
        </w:rPr>
      </w:pPr>
      <w:r>
        <w:rPr>
          <w:rStyle w:val="77"/>
          <w:rFonts w:hint="eastAsia" w:ascii="仿宋" w:hAnsi="仿宋" w:eastAsia="仿宋" w:cs="仿宋"/>
          <w:color w:val="auto"/>
          <w:sz w:val="28"/>
          <w:szCs w:val="28"/>
          <w:highlight w:val="none"/>
        </w:rPr>
        <w:br w:type="page"/>
      </w:r>
    </w:p>
    <w:p w14:paraId="25C4E879">
      <w:pPr>
        <w:rPr>
          <w:rFonts w:hint="eastAsia" w:ascii="仿宋" w:hAnsi="仿宋" w:eastAsia="仿宋" w:cs="仿宋"/>
          <w:b/>
          <w:color w:val="auto"/>
          <w:sz w:val="28"/>
          <w:szCs w:val="36"/>
          <w:highlight w:val="none"/>
          <w:lang w:eastAsia="zh-CN"/>
        </w:rPr>
      </w:pPr>
      <w:r>
        <w:rPr>
          <w:rFonts w:hint="eastAsia" w:ascii="仿宋" w:hAnsi="仿宋" w:eastAsia="仿宋" w:cs="仿宋"/>
          <w:b/>
          <w:color w:val="auto"/>
          <w:sz w:val="28"/>
          <w:szCs w:val="36"/>
          <w:highlight w:val="none"/>
        </w:rPr>
        <w:t>附件1</w:t>
      </w:r>
      <w:r>
        <w:rPr>
          <w:rFonts w:hint="eastAsia" w:ascii="仿宋" w:hAnsi="仿宋" w:eastAsia="仿宋" w:cs="仿宋"/>
          <w:b/>
          <w:color w:val="auto"/>
          <w:sz w:val="28"/>
          <w:szCs w:val="36"/>
          <w:highlight w:val="none"/>
          <w:lang w:val="en-US" w:eastAsia="zh-CN"/>
        </w:rPr>
        <w:t>3</w:t>
      </w:r>
    </w:p>
    <w:p w14:paraId="4D57FEF9">
      <w:pPr>
        <w:jc w:val="center"/>
        <w:rPr>
          <w:rFonts w:hint="eastAsia" w:ascii="仿宋" w:hAnsi="仿宋" w:eastAsia="仿宋" w:cs="仿宋"/>
          <w:b/>
          <w:bCs/>
          <w:color w:val="auto"/>
          <w:sz w:val="28"/>
          <w:szCs w:val="36"/>
          <w:highlight w:val="none"/>
        </w:rPr>
      </w:pPr>
      <w:r>
        <w:rPr>
          <w:rFonts w:hint="eastAsia" w:ascii="仿宋" w:hAnsi="仿宋" w:eastAsia="仿宋" w:cs="仿宋"/>
          <w:b/>
          <w:bCs/>
          <w:color w:val="auto"/>
          <w:sz w:val="28"/>
          <w:szCs w:val="36"/>
          <w:highlight w:val="none"/>
        </w:rPr>
        <w:t>三、政府采购政策情况表</w:t>
      </w:r>
      <w:bookmarkEnd w:id="90"/>
      <w:bookmarkEnd w:id="91"/>
    </w:p>
    <w:p w14:paraId="6390CEA9">
      <w:pPr>
        <w:pStyle w:val="32"/>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kern w:val="0"/>
          <w:highlight w:val="none"/>
        </w:rPr>
        <w:t>项目编号：</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1146"/>
        <w:gridCol w:w="1425"/>
        <w:gridCol w:w="1487"/>
        <w:gridCol w:w="1537"/>
        <w:gridCol w:w="1477"/>
        <w:gridCol w:w="1628"/>
      </w:tblGrid>
      <w:tr w14:paraId="06B24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9" w:type="dxa"/>
            <w:vMerge w:val="restart"/>
            <w:vAlign w:val="center"/>
          </w:tcPr>
          <w:p w14:paraId="5FEFFFB4">
            <w:pPr>
              <w:pStyle w:val="988"/>
              <w:tabs>
                <w:tab w:val="left" w:pos="1260"/>
              </w:tabs>
              <w:snapToGrid w:val="0"/>
              <w:spacing w:line="360" w:lineRule="auto"/>
              <w:jc w:val="left"/>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lang w:val="en-GB"/>
              </w:rPr>
              <w:t>中小企业、监狱企业及残疾人福利性单位扶持政策</w:t>
            </w:r>
          </w:p>
        </w:tc>
        <w:tc>
          <w:tcPr>
            <w:tcW w:w="8700" w:type="dxa"/>
            <w:gridSpan w:val="6"/>
            <w:vAlign w:val="center"/>
          </w:tcPr>
          <w:p w14:paraId="5E9190DF">
            <w:pPr>
              <w:pStyle w:val="988"/>
              <w:tabs>
                <w:tab w:val="left" w:pos="1260"/>
              </w:tabs>
              <w:snapToGrid w:val="0"/>
              <w:spacing w:line="360" w:lineRule="auto"/>
              <w:jc w:val="left"/>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lang w:val="en-GB"/>
              </w:rPr>
              <w:t>如属所列情形的，请在括号内打“√”，并</w:t>
            </w:r>
            <w:r>
              <w:rPr>
                <w:rFonts w:hint="eastAsia" w:ascii="仿宋" w:hAnsi="仿宋" w:eastAsia="仿宋" w:cs="仿宋"/>
                <w:color w:val="auto"/>
                <w:szCs w:val="21"/>
                <w:highlight w:val="none"/>
              </w:rPr>
              <w:t>请填写下表内容：</w:t>
            </w:r>
            <w:r>
              <w:rPr>
                <w:rFonts w:hint="eastAsia" w:ascii="仿宋" w:hAnsi="仿宋" w:eastAsia="仿宋" w:cs="仿宋"/>
                <w:color w:val="auto"/>
                <w:szCs w:val="21"/>
                <w:highlight w:val="none"/>
                <w:lang w:val="en-GB"/>
              </w:rPr>
              <w:t>：</w:t>
            </w:r>
          </w:p>
          <w:p w14:paraId="7E3731FD">
            <w:pPr>
              <w:pStyle w:val="988"/>
              <w:tabs>
                <w:tab w:val="left" w:pos="1260"/>
              </w:tabs>
              <w:snapToGrid w:val="0"/>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（）小型、微型企业投标且提供本企业制造的产品。</w:t>
            </w:r>
          </w:p>
          <w:p w14:paraId="66EC0B52">
            <w:pPr>
              <w:pStyle w:val="988"/>
              <w:tabs>
                <w:tab w:val="left" w:pos="1260"/>
              </w:tabs>
              <w:snapToGrid w:val="0"/>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（）监狱企业投标且提供本企业制造的产品。</w:t>
            </w:r>
          </w:p>
          <w:p w14:paraId="1E548B44">
            <w:pPr>
              <w:pStyle w:val="988"/>
              <w:tabs>
                <w:tab w:val="left" w:pos="1260"/>
              </w:tabs>
              <w:snapToGrid w:val="0"/>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（）小微企业投标且提供其它小型、微型企业产品。</w:t>
            </w:r>
          </w:p>
          <w:p w14:paraId="310624BD">
            <w:pPr>
              <w:pStyle w:val="988"/>
              <w:tabs>
                <w:tab w:val="left" w:pos="1260"/>
              </w:tabs>
              <w:snapToGrid w:val="0"/>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0"/>
                <w:highlight w:val="none"/>
              </w:rPr>
              <w:t>残疾人福利性单位投标</w:t>
            </w:r>
            <w:r>
              <w:rPr>
                <w:rFonts w:hint="eastAsia" w:ascii="仿宋" w:hAnsi="仿宋" w:eastAsia="仿宋" w:cs="仿宋"/>
                <w:color w:val="auto"/>
                <w:szCs w:val="21"/>
                <w:highlight w:val="none"/>
              </w:rPr>
              <w:t>且提供本企业制造的产品。</w:t>
            </w:r>
          </w:p>
          <w:p w14:paraId="43C3DDCB">
            <w:pPr>
              <w:pStyle w:val="988"/>
              <w:tabs>
                <w:tab w:val="left" w:pos="1260"/>
              </w:tabs>
              <w:snapToGrid w:val="0"/>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0"/>
                <w:highlight w:val="none"/>
              </w:rPr>
              <w:t>残疾人福利性单位投标</w:t>
            </w:r>
            <w:r>
              <w:rPr>
                <w:rFonts w:hint="eastAsia" w:ascii="仿宋" w:hAnsi="仿宋" w:eastAsia="仿宋" w:cs="仿宋"/>
                <w:color w:val="auto"/>
                <w:szCs w:val="21"/>
                <w:highlight w:val="none"/>
              </w:rPr>
              <w:t>且提供其它</w:t>
            </w:r>
            <w:r>
              <w:rPr>
                <w:rFonts w:hint="eastAsia" w:ascii="仿宋" w:hAnsi="仿宋" w:eastAsia="仿宋" w:cs="仿宋"/>
                <w:color w:val="auto"/>
                <w:szCs w:val="20"/>
                <w:highlight w:val="none"/>
              </w:rPr>
              <w:t>残疾人福利性单位制造的</w:t>
            </w:r>
            <w:r>
              <w:rPr>
                <w:rFonts w:hint="eastAsia" w:ascii="仿宋" w:hAnsi="仿宋" w:eastAsia="仿宋" w:cs="仿宋"/>
                <w:color w:val="auto"/>
                <w:szCs w:val="21"/>
                <w:highlight w:val="none"/>
              </w:rPr>
              <w:t>货物</w:t>
            </w:r>
            <w:r>
              <w:rPr>
                <w:rFonts w:hint="eastAsia" w:ascii="仿宋" w:hAnsi="仿宋" w:eastAsia="仿宋" w:cs="仿宋"/>
                <w:color w:val="auto"/>
                <w:szCs w:val="20"/>
                <w:highlight w:val="none"/>
              </w:rPr>
              <w:t>（不包括使用非残疾人福利性单位注册商标的货物）</w:t>
            </w:r>
          </w:p>
        </w:tc>
      </w:tr>
      <w:tr w14:paraId="3989C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1019" w:type="dxa"/>
            <w:vMerge w:val="continue"/>
            <w:vAlign w:val="center"/>
          </w:tcPr>
          <w:p w14:paraId="7096737D">
            <w:pPr>
              <w:pStyle w:val="988"/>
              <w:tabs>
                <w:tab w:val="left" w:pos="1260"/>
              </w:tabs>
              <w:snapToGrid w:val="0"/>
              <w:spacing w:line="360" w:lineRule="auto"/>
              <w:jc w:val="left"/>
              <w:rPr>
                <w:rFonts w:hint="eastAsia" w:ascii="仿宋" w:hAnsi="仿宋" w:eastAsia="仿宋" w:cs="仿宋"/>
                <w:color w:val="auto"/>
                <w:szCs w:val="21"/>
                <w:highlight w:val="none"/>
                <w:lang w:val="en-GB"/>
              </w:rPr>
            </w:pPr>
          </w:p>
        </w:tc>
        <w:tc>
          <w:tcPr>
            <w:tcW w:w="1146" w:type="dxa"/>
            <w:vAlign w:val="center"/>
          </w:tcPr>
          <w:p w14:paraId="2D5988BF">
            <w:pPr>
              <w:pStyle w:val="988"/>
              <w:tabs>
                <w:tab w:val="left" w:pos="1260"/>
              </w:tabs>
              <w:snapToGrid w:val="0"/>
              <w:spacing w:line="360" w:lineRule="auto"/>
              <w:jc w:val="center"/>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lang w:val="en-GB"/>
              </w:rPr>
              <w:t>产品名称</w:t>
            </w:r>
          </w:p>
        </w:tc>
        <w:tc>
          <w:tcPr>
            <w:tcW w:w="1425" w:type="dxa"/>
            <w:vAlign w:val="center"/>
          </w:tcPr>
          <w:p w14:paraId="79B4F13F">
            <w:pPr>
              <w:pStyle w:val="988"/>
              <w:tabs>
                <w:tab w:val="left" w:pos="1260"/>
              </w:tabs>
              <w:snapToGrid w:val="0"/>
              <w:spacing w:line="360" w:lineRule="auto"/>
              <w:jc w:val="center"/>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lang w:val="en-GB"/>
              </w:rPr>
              <w:t>品牌</w:t>
            </w:r>
          </w:p>
        </w:tc>
        <w:tc>
          <w:tcPr>
            <w:tcW w:w="1487" w:type="dxa"/>
            <w:vAlign w:val="center"/>
          </w:tcPr>
          <w:p w14:paraId="3359B02D">
            <w:pPr>
              <w:pStyle w:val="988"/>
              <w:tabs>
                <w:tab w:val="left" w:pos="1260"/>
              </w:tabs>
              <w:snapToGrid w:val="0"/>
              <w:spacing w:line="360" w:lineRule="auto"/>
              <w:jc w:val="center"/>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rPr>
              <w:t>型号、规格</w:t>
            </w:r>
          </w:p>
        </w:tc>
        <w:tc>
          <w:tcPr>
            <w:tcW w:w="1537" w:type="dxa"/>
            <w:vAlign w:val="center"/>
          </w:tcPr>
          <w:p w14:paraId="30F21AFE">
            <w:pPr>
              <w:pStyle w:val="988"/>
              <w:tabs>
                <w:tab w:val="left" w:pos="1260"/>
              </w:tabs>
              <w:snapToGrid w:val="0"/>
              <w:spacing w:line="360" w:lineRule="auto"/>
              <w:jc w:val="center"/>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lang w:val="en-GB"/>
              </w:rPr>
              <w:t>制造商</w:t>
            </w:r>
          </w:p>
        </w:tc>
        <w:tc>
          <w:tcPr>
            <w:tcW w:w="1477" w:type="dxa"/>
            <w:vAlign w:val="center"/>
          </w:tcPr>
          <w:p w14:paraId="2797C9EC">
            <w:pPr>
              <w:pStyle w:val="988"/>
              <w:tabs>
                <w:tab w:val="left" w:pos="1260"/>
              </w:tabs>
              <w:snapToGrid w:val="0"/>
              <w:spacing w:line="360" w:lineRule="auto"/>
              <w:jc w:val="center"/>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lang w:val="en-GB"/>
              </w:rPr>
              <w:t>制造商</w:t>
            </w:r>
          </w:p>
          <w:p w14:paraId="1D0EA3B6">
            <w:pPr>
              <w:pStyle w:val="988"/>
              <w:tabs>
                <w:tab w:val="left" w:pos="1260"/>
              </w:tabs>
              <w:snapToGrid w:val="0"/>
              <w:spacing w:line="360" w:lineRule="auto"/>
              <w:jc w:val="center"/>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lang w:val="en-GB"/>
              </w:rPr>
              <w:t>企业类型</w:t>
            </w:r>
          </w:p>
        </w:tc>
        <w:tc>
          <w:tcPr>
            <w:tcW w:w="1628" w:type="dxa"/>
            <w:vAlign w:val="center"/>
          </w:tcPr>
          <w:p w14:paraId="1F45EFD3">
            <w:pPr>
              <w:pStyle w:val="988"/>
              <w:tabs>
                <w:tab w:val="left" w:pos="1260"/>
              </w:tabs>
              <w:snapToGrid w:val="0"/>
              <w:spacing w:line="360" w:lineRule="auto"/>
              <w:jc w:val="center"/>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lang w:val="en-GB"/>
              </w:rPr>
              <w:t>金额</w:t>
            </w:r>
          </w:p>
        </w:tc>
      </w:tr>
      <w:tr w14:paraId="2E3F5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9" w:type="dxa"/>
            <w:vMerge w:val="continue"/>
            <w:vAlign w:val="center"/>
          </w:tcPr>
          <w:p w14:paraId="37F03126">
            <w:pPr>
              <w:pStyle w:val="988"/>
              <w:tabs>
                <w:tab w:val="left" w:pos="1260"/>
              </w:tabs>
              <w:snapToGrid w:val="0"/>
              <w:spacing w:line="360" w:lineRule="auto"/>
              <w:jc w:val="left"/>
              <w:rPr>
                <w:rFonts w:hint="eastAsia" w:ascii="仿宋" w:hAnsi="仿宋" w:eastAsia="仿宋" w:cs="仿宋"/>
                <w:color w:val="auto"/>
                <w:szCs w:val="21"/>
                <w:highlight w:val="none"/>
                <w:lang w:val="en-GB"/>
              </w:rPr>
            </w:pPr>
          </w:p>
        </w:tc>
        <w:tc>
          <w:tcPr>
            <w:tcW w:w="1146" w:type="dxa"/>
            <w:vAlign w:val="center"/>
          </w:tcPr>
          <w:p w14:paraId="74AC5456">
            <w:pPr>
              <w:pStyle w:val="988"/>
              <w:tabs>
                <w:tab w:val="left" w:pos="1260"/>
              </w:tabs>
              <w:snapToGrid w:val="0"/>
              <w:spacing w:line="360" w:lineRule="auto"/>
              <w:jc w:val="left"/>
              <w:rPr>
                <w:rFonts w:hint="eastAsia" w:ascii="仿宋" w:hAnsi="仿宋" w:eastAsia="仿宋" w:cs="仿宋"/>
                <w:color w:val="auto"/>
                <w:szCs w:val="21"/>
                <w:highlight w:val="none"/>
                <w:lang w:val="en-GB"/>
              </w:rPr>
            </w:pPr>
          </w:p>
        </w:tc>
        <w:tc>
          <w:tcPr>
            <w:tcW w:w="1425" w:type="dxa"/>
            <w:vAlign w:val="center"/>
          </w:tcPr>
          <w:p w14:paraId="659E8B6F">
            <w:pPr>
              <w:pStyle w:val="988"/>
              <w:tabs>
                <w:tab w:val="left" w:pos="1260"/>
              </w:tabs>
              <w:snapToGrid w:val="0"/>
              <w:spacing w:line="360" w:lineRule="auto"/>
              <w:jc w:val="left"/>
              <w:rPr>
                <w:rFonts w:hint="eastAsia" w:ascii="仿宋" w:hAnsi="仿宋" w:eastAsia="仿宋" w:cs="仿宋"/>
                <w:color w:val="auto"/>
                <w:szCs w:val="21"/>
                <w:highlight w:val="none"/>
                <w:lang w:val="en-GB"/>
              </w:rPr>
            </w:pPr>
          </w:p>
        </w:tc>
        <w:tc>
          <w:tcPr>
            <w:tcW w:w="1487" w:type="dxa"/>
            <w:vAlign w:val="center"/>
          </w:tcPr>
          <w:p w14:paraId="0C638936">
            <w:pPr>
              <w:pStyle w:val="988"/>
              <w:tabs>
                <w:tab w:val="left" w:pos="1260"/>
              </w:tabs>
              <w:snapToGrid w:val="0"/>
              <w:spacing w:line="360" w:lineRule="auto"/>
              <w:jc w:val="left"/>
              <w:rPr>
                <w:rFonts w:hint="eastAsia" w:ascii="仿宋" w:hAnsi="仿宋" w:eastAsia="仿宋" w:cs="仿宋"/>
                <w:color w:val="auto"/>
                <w:szCs w:val="21"/>
                <w:highlight w:val="none"/>
                <w:lang w:val="en-GB"/>
              </w:rPr>
            </w:pPr>
          </w:p>
        </w:tc>
        <w:tc>
          <w:tcPr>
            <w:tcW w:w="1537" w:type="dxa"/>
            <w:vAlign w:val="center"/>
          </w:tcPr>
          <w:p w14:paraId="290FAFB1">
            <w:pPr>
              <w:pStyle w:val="988"/>
              <w:tabs>
                <w:tab w:val="left" w:pos="1260"/>
              </w:tabs>
              <w:snapToGrid w:val="0"/>
              <w:spacing w:line="360" w:lineRule="auto"/>
              <w:jc w:val="left"/>
              <w:rPr>
                <w:rFonts w:hint="eastAsia" w:ascii="仿宋" w:hAnsi="仿宋" w:eastAsia="仿宋" w:cs="仿宋"/>
                <w:color w:val="auto"/>
                <w:szCs w:val="21"/>
                <w:highlight w:val="none"/>
                <w:lang w:val="en-GB"/>
              </w:rPr>
            </w:pPr>
          </w:p>
        </w:tc>
        <w:tc>
          <w:tcPr>
            <w:tcW w:w="1477" w:type="dxa"/>
            <w:vAlign w:val="center"/>
          </w:tcPr>
          <w:p w14:paraId="018C74AB">
            <w:pPr>
              <w:pStyle w:val="988"/>
              <w:tabs>
                <w:tab w:val="left" w:pos="1260"/>
              </w:tabs>
              <w:snapToGrid w:val="0"/>
              <w:spacing w:line="360" w:lineRule="auto"/>
              <w:jc w:val="left"/>
              <w:rPr>
                <w:rFonts w:hint="eastAsia" w:ascii="仿宋" w:hAnsi="仿宋" w:eastAsia="仿宋" w:cs="仿宋"/>
                <w:color w:val="auto"/>
                <w:szCs w:val="21"/>
                <w:highlight w:val="none"/>
                <w:lang w:val="en-GB"/>
              </w:rPr>
            </w:pPr>
          </w:p>
        </w:tc>
        <w:tc>
          <w:tcPr>
            <w:tcW w:w="1628" w:type="dxa"/>
            <w:vAlign w:val="center"/>
          </w:tcPr>
          <w:p w14:paraId="1A4F5261">
            <w:pPr>
              <w:pStyle w:val="988"/>
              <w:tabs>
                <w:tab w:val="left" w:pos="1260"/>
              </w:tabs>
              <w:snapToGrid w:val="0"/>
              <w:spacing w:line="360" w:lineRule="auto"/>
              <w:jc w:val="left"/>
              <w:rPr>
                <w:rFonts w:hint="eastAsia" w:ascii="仿宋" w:hAnsi="仿宋" w:eastAsia="仿宋" w:cs="仿宋"/>
                <w:color w:val="auto"/>
                <w:szCs w:val="21"/>
                <w:highlight w:val="none"/>
                <w:lang w:val="en-GB"/>
              </w:rPr>
            </w:pPr>
          </w:p>
        </w:tc>
      </w:tr>
      <w:tr w14:paraId="5E419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019" w:type="dxa"/>
            <w:vMerge w:val="continue"/>
            <w:vAlign w:val="center"/>
          </w:tcPr>
          <w:p w14:paraId="402ED802">
            <w:pPr>
              <w:pStyle w:val="988"/>
              <w:tabs>
                <w:tab w:val="left" w:pos="1260"/>
              </w:tabs>
              <w:snapToGrid w:val="0"/>
              <w:spacing w:line="360" w:lineRule="auto"/>
              <w:jc w:val="left"/>
              <w:rPr>
                <w:rFonts w:hint="eastAsia" w:ascii="仿宋" w:hAnsi="仿宋" w:eastAsia="仿宋" w:cs="仿宋"/>
                <w:color w:val="auto"/>
                <w:szCs w:val="21"/>
                <w:highlight w:val="none"/>
                <w:lang w:val="en-GB"/>
              </w:rPr>
            </w:pPr>
          </w:p>
        </w:tc>
        <w:tc>
          <w:tcPr>
            <w:tcW w:w="1146" w:type="dxa"/>
            <w:vAlign w:val="center"/>
          </w:tcPr>
          <w:p w14:paraId="63FB66B4">
            <w:pPr>
              <w:pStyle w:val="988"/>
              <w:tabs>
                <w:tab w:val="left" w:pos="1260"/>
              </w:tabs>
              <w:snapToGrid w:val="0"/>
              <w:spacing w:line="360" w:lineRule="auto"/>
              <w:jc w:val="left"/>
              <w:rPr>
                <w:rFonts w:hint="eastAsia" w:ascii="仿宋" w:hAnsi="仿宋" w:eastAsia="仿宋" w:cs="仿宋"/>
                <w:color w:val="auto"/>
                <w:szCs w:val="21"/>
                <w:highlight w:val="none"/>
                <w:lang w:val="en-GB"/>
              </w:rPr>
            </w:pPr>
          </w:p>
        </w:tc>
        <w:tc>
          <w:tcPr>
            <w:tcW w:w="1425" w:type="dxa"/>
            <w:vAlign w:val="center"/>
          </w:tcPr>
          <w:p w14:paraId="53FDBDBE">
            <w:pPr>
              <w:pStyle w:val="988"/>
              <w:tabs>
                <w:tab w:val="left" w:pos="1260"/>
              </w:tabs>
              <w:snapToGrid w:val="0"/>
              <w:spacing w:line="360" w:lineRule="auto"/>
              <w:jc w:val="left"/>
              <w:rPr>
                <w:rFonts w:hint="eastAsia" w:ascii="仿宋" w:hAnsi="仿宋" w:eastAsia="仿宋" w:cs="仿宋"/>
                <w:color w:val="auto"/>
                <w:szCs w:val="21"/>
                <w:highlight w:val="none"/>
                <w:lang w:val="en-GB"/>
              </w:rPr>
            </w:pPr>
          </w:p>
        </w:tc>
        <w:tc>
          <w:tcPr>
            <w:tcW w:w="1487" w:type="dxa"/>
            <w:vAlign w:val="center"/>
          </w:tcPr>
          <w:p w14:paraId="18EBFE75">
            <w:pPr>
              <w:pStyle w:val="988"/>
              <w:tabs>
                <w:tab w:val="left" w:pos="1260"/>
              </w:tabs>
              <w:snapToGrid w:val="0"/>
              <w:spacing w:line="360" w:lineRule="auto"/>
              <w:jc w:val="left"/>
              <w:rPr>
                <w:rFonts w:hint="eastAsia" w:ascii="仿宋" w:hAnsi="仿宋" w:eastAsia="仿宋" w:cs="仿宋"/>
                <w:color w:val="auto"/>
                <w:szCs w:val="21"/>
                <w:highlight w:val="none"/>
                <w:lang w:val="en-GB"/>
              </w:rPr>
            </w:pPr>
          </w:p>
        </w:tc>
        <w:tc>
          <w:tcPr>
            <w:tcW w:w="1537" w:type="dxa"/>
            <w:vAlign w:val="center"/>
          </w:tcPr>
          <w:p w14:paraId="32540FF1">
            <w:pPr>
              <w:pStyle w:val="988"/>
              <w:tabs>
                <w:tab w:val="left" w:pos="1260"/>
              </w:tabs>
              <w:snapToGrid w:val="0"/>
              <w:spacing w:line="360" w:lineRule="auto"/>
              <w:jc w:val="left"/>
              <w:rPr>
                <w:rFonts w:hint="eastAsia" w:ascii="仿宋" w:hAnsi="仿宋" w:eastAsia="仿宋" w:cs="仿宋"/>
                <w:color w:val="auto"/>
                <w:szCs w:val="21"/>
                <w:highlight w:val="none"/>
                <w:lang w:val="en-GB"/>
              </w:rPr>
            </w:pPr>
          </w:p>
        </w:tc>
        <w:tc>
          <w:tcPr>
            <w:tcW w:w="1477" w:type="dxa"/>
            <w:vAlign w:val="center"/>
          </w:tcPr>
          <w:p w14:paraId="5B7865F7">
            <w:pPr>
              <w:pStyle w:val="988"/>
              <w:tabs>
                <w:tab w:val="left" w:pos="1260"/>
              </w:tabs>
              <w:snapToGrid w:val="0"/>
              <w:spacing w:line="360" w:lineRule="auto"/>
              <w:jc w:val="left"/>
              <w:rPr>
                <w:rFonts w:hint="eastAsia" w:ascii="仿宋" w:hAnsi="仿宋" w:eastAsia="仿宋" w:cs="仿宋"/>
                <w:color w:val="auto"/>
                <w:szCs w:val="21"/>
                <w:highlight w:val="none"/>
                <w:lang w:val="en-GB"/>
              </w:rPr>
            </w:pPr>
          </w:p>
        </w:tc>
        <w:tc>
          <w:tcPr>
            <w:tcW w:w="1628" w:type="dxa"/>
            <w:vAlign w:val="center"/>
          </w:tcPr>
          <w:p w14:paraId="45805F88">
            <w:pPr>
              <w:pStyle w:val="988"/>
              <w:tabs>
                <w:tab w:val="left" w:pos="1260"/>
              </w:tabs>
              <w:snapToGrid w:val="0"/>
              <w:spacing w:line="360" w:lineRule="auto"/>
              <w:jc w:val="left"/>
              <w:rPr>
                <w:rFonts w:hint="eastAsia" w:ascii="仿宋" w:hAnsi="仿宋" w:eastAsia="仿宋" w:cs="仿宋"/>
                <w:color w:val="auto"/>
                <w:szCs w:val="21"/>
                <w:highlight w:val="none"/>
                <w:lang w:val="en-GB"/>
              </w:rPr>
            </w:pPr>
          </w:p>
        </w:tc>
      </w:tr>
      <w:tr w14:paraId="458E5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19" w:type="dxa"/>
            <w:vMerge w:val="continue"/>
            <w:vAlign w:val="center"/>
          </w:tcPr>
          <w:p w14:paraId="108D2580">
            <w:pPr>
              <w:pStyle w:val="988"/>
              <w:tabs>
                <w:tab w:val="left" w:pos="1260"/>
              </w:tabs>
              <w:snapToGrid w:val="0"/>
              <w:spacing w:line="360" w:lineRule="auto"/>
              <w:jc w:val="left"/>
              <w:rPr>
                <w:rFonts w:hint="eastAsia" w:ascii="仿宋" w:hAnsi="仿宋" w:eastAsia="仿宋" w:cs="仿宋"/>
                <w:color w:val="auto"/>
                <w:szCs w:val="21"/>
                <w:highlight w:val="none"/>
                <w:lang w:val="en-GB"/>
              </w:rPr>
            </w:pPr>
          </w:p>
        </w:tc>
        <w:tc>
          <w:tcPr>
            <w:tcW w:w="1146" w:type="dxa"/>
            <w:vAlign w:val="center"/>
          </w:tcPr>
          <w:p w14:paraId="3932A08D">
            <w:pPr>
              <w:pStyle w:val="988"/>
              <w:tabs>
                <w:tab w:val="left" w:pos="1260"/>
              </w:tabs>
              <w:snapToGrid w:val="0"/>
              <w:spacing w:line="360" w:lineRule="auto"/>
              <w:jc w:val="left"/>
              <w:rPr>
                <w:rFonts w:hint="eastAsia" w:ascii="仿宋" w:hAnsi="仿宋" w:eastAsia="仿宋" w:cs="仿宋"/>
                <w:color w:val="auto"/>
                <w:szCs w:val="21"/>
                <w:highlight w:val="none"/>
                <w:lang w:val="en-GB"/>
              </w:rPr>
            </w:pPr>
          </w:p>
        </w:tc>
        <w:tc>
          <w:tcPr>
            <w:tcW w:w="1425" w:type="dxa"/>
            <w:vAlign w:val="center"/>
          </w:tcPr>
          <w:p w14:paraId="5E9EE476">
            <w:pPr>
              <w:pStyle w:val="988"/>
              <w:tabs>
                <w:tab w:val="left" w:pos="1260"/>
              </w:tabs>
              <w:snapToGrid w:val="0"/>
              <w:spacing w:line="360" w:lineRule="auto"/>
              <w:jc w:val="left"/>
              <w:rPr>
                <w:rFonts w:hint="eastAsia" w:ascii="仿宋" w:hAnsi="仿宋" w:eastAsia="仿宋" w:cs="仿宋"/>
                <w:color w:val="auto"/>
                <w:szCs w:val="21"/>
                <w:highlight w:val="none"/>
                <w:lang w:val="en-GB"/>
              </w:rPr>
            </w:pPr>
          </w:p>
        </w:tc>
        <w:tc>
          <w:tcPr>
            <w:tcW w:w="1487" w:type="dxa"/>
            <w:vAlign w:val="center"/>
          </w:tcPr>
          <w:p w14:paraId="52FCF1C5">
            <w:pPr>
              <w:pStyle w:val="988"/>
              <w:tabs>
                <w:tab w:val="left" w:pos="1260"/>
              </w:tabs>
              <w:snapToGrid w:val="0"/>
              <w:spacing w:line="360" w:lineRule="auto"/>
              <w:jc w:val="left"/>
              <w:rPr>
                <w:rFonts w:hint="eastAsia" w:ascii="仿宋" w:hAnsi="仿宋" w:eastAsia="仿宋" w:cs="仿宋"/>
                <w:color w:val="auto"/>
                <w:szCs w:val="21"/>
                <w:highlight w:val="none"/>
                <w:lang w:val="en-GB"/>
              </w:rPr>
            </w:pPr>
          </w:p>
        </w:tc>
        <w:tc>
          <w:tcPr>
            <w:tcW w:w="1537" w:type="dxa"/>
            <w:vAlign w:val="center"/>
          </w:tcPr>
          <w:p w14:paraId="25AA7F7C">
            <w:pPr>
              <w:pStyle w:val="988"/>
              <w:tabs>
                <w:tab w:val="left" w:pos="1260"/>
              </w:tabs>
              <w:snapToGrid w:val="0"/>
              <w:spacing w:line="360" w:lineRule="auto"/>
              <w:jc w:val="left"/>
              <w:rPr>
                <w:rFonts w:hint="eastAsia" w:ascii="仿宋" w:hAnsi="仿宋" w:eastAsia="仿宋" w:cs="仿宋"/>
                <w:color w:val="auto"/>
                <w:szCs w:val="21"/>
                <w:highlight w:val="none"/>
                <w:lang w:val="en-GB"/>
              </w:rPr>
            </w:pPr>
          </w:p>
        </w:tc>
        <w:tc>
          <w:tcPr>
            <w:tcW w:w="1477" w:type="dxa"/>
            <w:vAlign w:val="center"/>
          </w:tcPr>
          <w:p w14:paraId="2D8B8634">
            <w:pPr>
              <w:pStyle w:val="988"/>
              <w:tabs>
                <w:tab w:val="left" w:pos="1260"/>
              </w:tabs>
              <w:snapToGrid w:val="0"/>
              <w:spacing w:line="360" w:lineRule="auto"/>
              <w:jc w:val="left"/>
              <w:rPr>
                <w:rFonts w:hint="eastAsia" w:ascii="仿宋" w:hAnsi="仿宋" w:eastAsia="仿宋" w:cs="仿宋"/>
                <w:color w:val="auto"/>
                <w:szCs w:val="21"/>
                <w:highlight w:val="none"/>
                <w:lang w:val="en-GB"/>
              </w:rPr>
            </w:pPr>
          </w:p>
        </w:tc>
        <w:tc>
          <w:tcPr>
            <w:tcW w:w="1628" w:type="dxa"/>
            <w:vAlign w:val="center"/>
          </w:tcPr>
          <w:p w14:paraId="01750E5F">
            <w:pPr>
              <w:pStyle w:val="988"/>
              <w:tabs>
                <w:tab w:val="left" w:pos="1260"/>
              </w:tabs>
              <w:snapToGrid w:val="0"/>
              <w:spacing w:line="360" w:lineRule="auto"/>
              <w:jc w:val="left"/>
              <w:rPr>
                <w:rFonts w:hint="eastAsia" w:ascii="仿宋" w:hAnsi="仿宋" w:eastAsia="仿宋" w:cs="仿宋"/>
                <w:color w:val="auto"/>
                <w:szCs w:val="21"/>
                <w:highlight w:val="none"/>
                <w:lang w:val="en-GB"/>
              </w:rPr>
            </w:pPr>
          </w:p>
        </w:tc>
      </w:tr>
      <w:tr w14:paraId="6B1AB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jc w:val="center"/>
        </w:trPr>
        <w:tc>
          <w:tcPr>
            <w:tcW w:w="1019" w:type="dxa"/>
            <w:vMerge w:val="continue"/>
            <w:vAlign w:val="center"/>
          </w:tcPr>
          <w:p w14:paraId="5EA64737">
            <w:pPr>
              <w:pStyle w:val="988"/>
              <w:tabs>
                <w:tab w:val="left" w:pos="1260"/>
              </w:tabs>
              <w:snapToGrid w:val="0"/>
              <w:spacing w:line="360" w:lineRule="auto"/>
              <w:jc w:val="left"/>
              <w:rPr>
                <w:rFonts w:hint="eastAsia" w:ascii="仿宋" w:hAnsi="仿宋" w:eastAsia="仿宋" w:cs="仿宋"/>
                <w:color w:val="auto"/>
                <w:szCs w:val="21"/>
                <w:highlight w:val="none"/>
                <w:lang w:val="en-GB"/>
              </w:rPr>
            </w:pPr>
          </w:p>
        </w:tc>
        <w:tc>
          <w:tcPr>
            <w:tcW w:w="1146" w:type="dxa"/>
            <w:vAlign w:val="center"/>
          </w:tcPr>
          <w:p w14:paraId="327E335C">
            <w:pPr>
              <w:pStyle w:val="988"/>
              <w:tabs>
                <w:tab w:val="left" w:pos="1260"/>
              </w:tabs>
              <w:snapToGrid w:val="0"/>
              <w:spacing w:line="360" w:lineRule="auto"/>
              <w:jc w:val="left"/>
              <w:rPr>
                <w:rFonts w:hint="eastAsia" w:ascii="仿宋" w:hAnsi="仿宋" w:eastAsia="仿宋" w:cs="仿宋"/>
                <w:color w:val="auto"/>
                <w:szCs w:val="21"/>
                <w:highlight w:val="none"/>
                <w:lang w:val="en-GB"/>
              </w:rPr>
            </w:pPr>
          </w:p>
        </w:tc>
        <w:tc>
          <w:tcPr>
            <w:tcW w:w="1425" w:type="dxa"/>
            <w:vAlign w:val="center"/>
          </w:tcPr>
          <w:p w14:paraId="50C8E720">
            <w:pPr>
              <w:pStyle w:val="988"/>
              <w:tabs>
                <w:tab w:val="left" w:pos="1260"/>
              </w:tabs>
              <w:snapToGrid w:val="0"/>
              <w:spacing w:line="360" w:lineRule="auto"/>
              <w:jc w:val="left"/>
              <w:rPr>
                <w:rFonts w:hint="eastAsia" w:ascii="仿宋" w:hAnsi="仿宋" w:eastAsia="仿宋" w:cs="仿宋"/>
                <w:color w:val="auto"/>
                <w:szCs w:val="21"/>
                <w:highlight w:val="none"/>
                <w:lang w:val="en-GB"/>
              </w:rPr>
            </w:pPr>
          </w:p>
        </w:tc>
        <w:tc>
          <w:tcPr>
            <w:tcW w:w="1487" w:type="dxa"/>
            <w:vAlign w:val="center"/>
          </w:tcPr>
          <w:p w14:paraId="57C6B36D">
            <w:pPr>
              <w:pStyle w:val="988"/>
              <w:tabs>
                <w:tab w:val="left" w:pos="1260"/>
              </w:tabs>
              <w:snapToGrid w:val="0"/>
              <w:spacing w:line="360" w:lineRule="auto"/>
              <w:jc w:val="left"/>
              <w:rPr>
                <w:rFonts w:hint="eastAsia" w:ascii="仿宋" w:hAnsi="仿宋" w:eastAsia="仿宋" w:cs="仿宋"/>
                <w:color w:val="auto"/>
                <w:szCs w:val="21"/>
                <w:highlight w:val="none"/>
                <w:lang w:val="en-GB"/>
              </w:rPr>
            </w:pPr>
          </w:p>
        </w:tc>
        <w:tc>
          <w:tcPr>
            <w:tcW w:w="1537" w:type="dxa"/>
            <w:vAlign w:val="center"/>
          </w:tcPr>
          <w:p w14:paraId="557DC059">
            <w:pPr>
              <w:pStyle w:val="988"/>
              <w:tabs>
                <w:tab w:val="left" w:pos="1260"/>
              </w:tabs>
              <w:snapToGrid w:val="0"/>
              <w:spacing w:line="360" w:lineRule="auto"/>
              <w:jc w:val="left"/>
              <w:rPr>
                <w:rFonts w:hint="eastAsia" w:ascii="仿宋" w:hAnsi="仿宋" w:eastAsia="仿宋" w:cs="仿宋"/>
                <w:color w:val="auto"/>
                <w:szCs w:val="21"/>
                <w:highlight w:val="none"/>
                <w:lang w:val="en-GB"/>
              </w:rPr>
            </w:pPr>
          </w:p>
        </w:tc>
        <w:tc>
          <w:tcPr>
            <w:tcW w:w="1477" w:type="dxa"/>
            <w:vAlign w:val="center"/>
          </w:tcPr>
          <w:p w14:paraId="590CCE6D">
            <w:pPr>
              <w:pStyle w:val="988"/>
              <w:tabs>
                <w:tab w:val="left" w:pos="1260"/>
              </w:tabs>
              <w:snapToGrid w:val="0"/>
              <w:spacing w:line="360" w:lineRule="auto"/>
              <w:jc w:val="left"/>
              <w:rPr>
                <w:rFonts w:hint="eastAsia" w:ascii="仿宋" w:hAnsi="仿宋" w:eastAsia="仿宋" w:cs="仿宋"/>
                <w:color w:val="auto"/>
                <w:szCs w:val="21"/>
                <w:highlight w:val="none"/>
                <w:lang w:val="en-GB"/>
              </w:rPr>
            </w:pPr>
          </w:p>
        </w:tc>
        <w:tc>
          <w:tcPr>
            <w:tcW w:w="1628" w:type="dxa"/>
            <w:vAlign w:val="center"/>
          </w:tcPr>
          <w:p w14:paraId="12DCF568">
            <w:pPr>
              <w:pStyle w:val="988"/>
              <w:tabs>
                <w:tab w:val="left" w:pos="1260"/>
              </w:tabs>
              <w:snapToGrid w:val="0"/>
              <w:spacing w:line="360" w:lineRule="auto"/>
              <w:jc w:val="left"/>
              <w:rPr>
                <w:rFonts w:hint="eastAsia" w:ascii="仿宋" w:hAnsi="仿宋" w:eastAsia="仿宋" w:cs="仿宋"/>
                <w:color w:val="auto"/>
                <w:szCs w:val="21"/>
                <w:highlight w:val="none"/>
                <w:lang w:val="en-GB"/>
              </w:rPr>
            </w:pPr>
          </w:p>
        </w:tc>
      </w:tr>
      <w:tr w14:paraId="176DA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019" w:type="dxa"/>
            <w:vMerge w:val="continue"/>
            <w:vAlign w:val="center"/>
          </w:tcPr>
          <w:p w14:paraId="3303956F">
            <w:pPr>
              <w:pStyle w:val="988"/>
              <w:tabs>
                <w:tab w:val="left" w:pos="1260"/>
              </w:tabs>
              <w:snapToGrid w:val="0"/>
              <w:spacing w:line="360" w:lineRule="auto"/>
              <w:jc w:val="left"/>
              <w:rPr>
                <w:rFonts w:hint="eastAsia" w:ascii="仿宋" w:hAnsi="仿宋" w:eastAsia="仿宋" w:cs="仿宋"/>
                <w:color w:val="auto"/>
                <w:szCs w:val="21"/>
                <w:highlight w:val="none"/>
                <w:lang w:val="en-GB"/>
              </w:rPr>
            </w:pPr>
          </w:p>
        </w:tc>
        <w:tc>
          <w:tcPr>
            <w:tcW w:w="7072" w:type="dxa"/>
            <w:gridSpan w:val="5"/>
            <w:vAlign w:val="center"/>
          </w:tcPr>
          <w:p w14:paraId="7BE3F4BA">
            <w:pPr>
              <w:pStyle w:val="988"/>
              <w:tabs>
                <w:tab w:val="left" w:pos="1260"/>
              </w:tabs>
              <w:snapToGrid w:val="0"/>
              <w:spacing w:line="360" w:lineRule="auto"/>
              <w:jc w:val="left"/>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rPr>
              <w:t>小型、微型企业产品</w:t>
            </w:r>
            <w:r>
              <w:rPr>
                <w:rFonts w:hint="eastAsia" w:ascii="仿宋" w:hAnsi="仿宋" w:eastAsia="仿宋" w:cs="仿宋"/>
                <w:color w:val="auto"/>
                <w:szCs w:val="21"/>
                <w:highlight w:val="none"/>
                <w:lang w:val="en-GB"/>
              </w:rPr>
              <w:t>金额合计</w:t>
            </w:r>
          </w:p>
        </w:tc>
        <w:tc>
          <w:tcPr>
            <w:tcW w:w="1628" w:type="dxa"/>
            <w:vAlign w:val="center"/>
          </w:tcPr>
          <w:p w14:paraId="11DF58B3">
            <w:pPr>
              <w:pStyle w:val="988"/>
              <w:tabs>
                <w:tab w:val="left" w:pos="1260"/>
              </w:tabs>
              <w:snapToGrid w:val="0"/>
              <w:spacing w:line="360" w:lineRule="auto"/>
              <w:jc w:val="left"/>
              <w:rPr>
                <w:rFonts w:hint="eastAsia" w:ascii="仿宋" w:hAnsi="仿宋" w:eastAsia="仿宋" w:cs="仿宋"/>
                <w:color w:val="auto"/>
                <w:szCs w:val="21"/>
                <w:highlight w:val="none"/>
                <w:lang w:val="en-GB"/>
              </w:rPr>
            </w:pPr>
          </w:p>
        </w:tc>
      </w:tr>
    </w:tbl>
    <w:p w14:paraId="2D3EF13B">
      <w:pPr>
        <w:pStyle w:val="32"/>
        <w:spacing w:line="360" w:lineRule="auto"/>
        <w:rPr>
          <w:rFonts w:hint="eastAsia" w:ascii="仿宋" w:hAnsi="仿宋" w:eastAsia="仿宋" w:cs="仿宋"/>
          <w:b/>
          <w:color w:val="auto"/>
          <w:highlight w:val="none"/>
        </w:rPr>
      </w:pPr>
    </w:p>
    <w:p w14:paraId="7AA458DD">
      <w:pPr>
        <w:spacing w:line="360" w:lineRule="auto"/>
        <w:ind w:firstLine="420" w:firstLineChars="200"/>
        <w:jc w:val="left"/>
        <w:rPr>
          <w:rFonts w:hint="eastAsia" w:ascii="仿宋" w:hAnsi="仿宋" w:eastAsia="仿宋" w:cs="仿宋"/>
          <w:color w:val="auto"/>
          <w:szCs w:val="21"/>
          <w:highlight w:val="none"/>
        </w:rPr>
      </w:pPr>
      <w:bookmarkStart w:id="93" w:name="_Toc515011017"/>
      <w:bookmarkStart w:id="94" w:name="_Toc508709359"/>
      <w:bookmarkStart w:id="95" w:name="_Toc514337540"/>
      <w:bookmarkStart w:id="96" w:name="_Toc518546798"/>
      <w:bookmarkStart w:id="97" w:name="_Toc509218976"/>
      <w:bookmarkStart w:id="98" w:name="_Toc514420711"/>
      <w:bookmarkStart w:id="99" w:name="_Toc513560346"/>
      <w:bookmarkStart w:id="100" w:name="_Toc515011118"/>
      <w:r>
        <w:rPr>
          <w:rFonts w:hint="eastAsia" w:ascii="仿宋" w:hAnsi="仿宋" w:eastAsia="仿宋" w:cs="仿宋"/>
          <w:color w:val="auto"/>
          <w:szCs w:val="21"/>
          <w:highlight w:val="none"/>
        </w:rPr>
        <w:t>填报要求：</w:t>
      </w:r>
      <w:bookmarkEnd w:id="93"/>
      <w:bookmarkEnd w:id="94"/>
      <w:bookmarkEnd w:id="95"/>
      <w:bookmarkEnd w:id="96"/>
      <w:bookmarkEnd w:id="97"/>
      <w:bookmarkEnd w:id="98"/>
      <w:bookmarkEnd w:id="99"/>
      <w:bookmarkEnd w:id="100"/>
    </w:p>
    <w:p w14:paraId="6CE42EBE">
      <w:pPr>
        <w:spacing w:line="360" w:lineRule="auto"/>
        <w:ind w:firstLine="420" w:firstLineChars="200"/>
        <w:jc w:val="left"/>
        <w:rPr>
          <w:rFonts w:hint="eastAsia" w:ascii="仿宋" w:hAnsi="仿宋" w:eastAsia="仿宋" w:cs="仿宋"/>
          <w:color w:val="auto"/>
          <w:szCs w:val="21"/>
          <w:highlight w:val="none"/>
        </w:rPr>
      </w:pPr>
      <w:bookmarkStart w:id="101" w:name="_Toc509218977"/>
      <w:bookmarkStart w:id="102" w:name="_Toc513560347"/>
      <w:bookmarkStart w:id="103" w:name="_Toc515011018"/>
      <w:bookmarkStart w:id="104" w:name="_Toc518546799"/>
      <w:bookmarkStart w:id="105" w:name="_Toc514337541"/>
      <w:bookmarkStart w:id="106" w:name="_Toc514420712"/>
      <w:bookmarkStart w:id="107" w:name="_Toc508709360"/>
      <w:bookmarkStart w:id="108" w:name="_Toc515011119"/>
      <w:r>
        <w:rPr>
          <w:rFonts w:hint="eastAsia" w:ascii="仿宋" w:hAnsi="仿宋" w:eastAsia="仿宋" w:cs="仿宋"/>
          <w:color w:val="auto"/>
          <w:szCs w:val="21"/>
          <w:highlight w:val="none"/>
        </w:rPr>
        <w:t>1. 本表的“产品名称”、“品牌”、“型号、规格”、金额应与《价格组成表》的“设备名称”、“品牌、产地”、“规格、型号”、“出厂单价（含税）”一致。</w:t>
      </w:r>
      <w:bookmarkEnd w:id="101"/>
      <w:bookmarkEnd w:id="102"/>
      <w:bookmarkEnd w:id="103"/>
      <w:bookmarkEnd w:id="104"/>
      <w:bookmarkEnd w:id="105"/>
      <w:bookmarkEnd w:id="106"/>
      <w:bookmarkEnd w:id="107"/>
      <w:bookmarkEnd w:id="108"/>
    </w:p>
    <w:p w14:paraId="0CF30859">
      <w:pPr>
        <w:spacing w:line="360" w:lineRule="auto"/>
        <w:ind w:firstLine="420" w:firstLineChars="200"/>
        <w:jc w:val="left"/>
        <w:rPr>
          <w:rFonts w:hint="eastAsia" w:ascii="仿宋" w:hAnsi="仿宋" w:eastAsia="仿宋" w:cs="仿宋"/>
          <w:color w:val="auto"/>
          <w:szCs w:val="21"/>
          <w:highlight w:val="none"/>
        </w:rPr>
      </w:pPr>
      <w:bookmarkStart w:id="109" w:name="_Toc518546800"/>
      <w:bookmarkStart w:id="110" w:name="_Toc514420713"/>
      <w:bookmarkStart w:id="111" w:name="_Toc509218978"/>
      <w:bookmarkStart w:id="112" w:name="_Toc508709361"/>
      <w:bookmarkStart w:id="113" w:name="_Toc515011019"/>
      <w:bookmarkStart w:id="114" w:name="_Toc515011120"/>
      <w:bookmarkStart w:id="115" w:name="_Toc514337542"/>
      <w:bookmarkStart w:id="116" w:name="_Toc513560348"/>
      <w:r>
        <w:rPr>
          <w:rFonts w:hint="eastAsia" w:ascii="仿宋" w:hAnsi="仿宋" w:eastAsia="仿宋" w:cs="仿宋"/>
          <w:color w:val="auto"/>
          <w:szCs w:val="21"/>
          <w:highlight w:val="none"/>
        </w:rPr>
        <w:t>2. “制造商企业类型”栏填写内容应为“小型”、“微型”、“监狱企业”或“</w:t>
      </w:r>
      <w:r>
        <w:rPr>
          <w:rFonts w:hint="eastAsia" w:ascii="仿宋" w:hAnsi="仿宋" w:eastAsia="仿宋" w:cs="仿宋"/>
          <w:color w:val="auto"/>
          <w:highlight w:val="none"/>
        </w:rPr>
        <w:t>残疾人福利性单位</w:t>
      </w:r>
      <w:r>
        <w:rPr>
          <w:rFonts w:hint="eastAsia" w:ascii="仿宋" w:hAnsi="仿宋" w:eastAsia="仿宋" w:cs="仿宋"/>
          <w:color w:val="auto"/>
          <w:szCs w:val="21"/>
          <w:highlight w:val="none"/>
        </w:rPr>
        <w:t>”。</w:t>
      </w:r>
      <w:bookmarkEnd w:id="109"/>
      <w:bookmarkEnd w:id="110"/>
      <w:bookmarkEnd w:id="111"/>
      <w:bookmarkEnd w:id="112"/>
      <w:bookmarkEnd w:id="113"/>
      <w:bookmarkEnd w:id="114"/>
      <w:bookmarkEnd w:id="115"/>
      <w:bookmarkEnd w:id="116"/>
    </w:p>
    <w:p w14:paraId="2C10BD39">
      <w:pPr>
        <w:spacing w:line="360" w:lineRule="auto"/>
        <w:ind w:firstLine="420" w:firstLineChars="200"/>
        <w:jc w:val="left"/>
        <w:rPr>
          <w:rFonts w:hint="eastAsia" w:ascii="仿宋" w:hAnsi="仿宋" w:eastAsia="仿宋" w:cs="仿宋"/>
          <w:color w:val="auto"/>
          <w:highlight w:val="none"/>
        </w:rPr>
      </w:pPr>
      <w:bookmarkStart w:id="117" w:name="_Toc508709362"/>
      <w:bookmarkStart w:id="118" w:name="_Toc509218979"/>
      <w:bookmarkStart w:id="119" w:name="_Toc514420714"/>
      <w:bookmarkStart w:id="120" w:name="_Toc518546801"/>
      <w:bookmarkStart w:id="121" w:name="_Toc514337543"/>
      <w:bookmarkStart w:id="122" w:name="_Toc515011020"/>
      <w:bookmarkStart w:id="123" w:name="_Toc515011121"/>
      <w:bookmarkStart w:id="124" w:name="_Toc513560349"/>
      <w:r>
        <w:rPr>
          <w:rFonts w:hint="eastAsia" w:ascii="仿宋" w:hAnsi="仿宋" w:eastAsia="仿宋" w:cs="仿宋"/>
          <w:color w:val="auto"/>
          <w:highlight w:val="none"/>
        </w:rPr>
        <w:t>3. 请投标人正确填写本表，所填内容将作为报价的评分依据。如果填写不完整或有误，不再享受上述政策优惠。</w:t>
      </w:r>
      <w:bookmarkEnd w:id="117"/>
      <w:bookmarkEnd w:id="118"/>
      <w:bookmarkEnd w:id="119"/>
      <w:bookmarkEnd w:id="120"/>
      <w:bookmarkEnd w:id="121"/>
      <w:bookmarkEnd w:id="122"/>
      <w:bookmarkEnd w:id="123"/>
      <w:bookmarkEnd w:id="124"/>
    </w:p>
    <w:p w14:paraId="401CAF0D">
      <w:pPr>
        <w:spacing w:line="360" w:lineRule="auto"/>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4. 如本项目未专门面向中小企业，投标人也未在资格文件部分/落实政府采购政策需满足的资格要求中提供《中小企业声明函》。</w:t>
      </w:r>
    </w:p>
    <w:p w14:paraId="624BC0AD">
      <w:pPr>
        <w:widowControl/>
        <w:adjustRightInd/>
        <w:jc w:val="left"/>
        <w:rPr>
          <w:rStyle w:val="77"/>
          <w:rFonts w:hint="eastAsia" w:ascii="仿宋" w:hAnsi="仿宋" w:eastAsia="仿宋" w:cs="仿宋"/>
          <w:color w:val="auto"/>
          <w:sz w:val="28"/>
          <w:szCs w:val="28"/>
          <w:highlight w:val="none"/>
        </w:rPr>
      </w:pPr>
      <w:r>
        <w:rPr>
          <w:rStyle w:val="77"/>
          <w:rFonts w:hint="eastAsia" w:ascii="仿宋" w:hAnsi="仿宋" w:eastAsia="仿宋" w:cs="仿宋"/>
          <w:color w:val="auto"/>
          <w:sz w:val="28"/>
          <w:szCs w:val="28"/>
          <w:highlight w:val="none"/>
        </w:rPr>
        <w:br w:type="page"/>
      </w:r>
    </w:p>
    <w:p w14:paraId="2BBFA850">
      <w:pPr>
        <w:pStyle w:val="22"/>
        <w:overflowPunct w:val="0"/>
        <w:spacing w:after="0" w:line="460" w:lineRule="exact"/>
        <w:jc w:val="center"/>
        <w:outlineLvl w:val="0"/>
        <w:rPr>
          <w:rFonts w:hint="eastAsia" w:ascii="仿宋" w:hAnsi="仿宋" w:eastAsia="仿宋" w:cs="仿宋"/>
          <w:b/>
          <w:color w:val="auto"/>
          <w:sz w:val="36"/>
          <w:szCs w:val="36"/>
          <w:highlight w:val="none"/>
        </w:rPr>
      </w:pPr>
      <w:bookmarkStart w:id="125" w:name="_Toc6003"/>
      <w:r>
        <w:rPr>
          <w:rStyle w:val="77"/>
          <w:rFonts w:hint="eastAsia" w:ascii="仿宋" w:hAnsi="仿宋" w:eastAsia="仿宋" w:cs="仿宋"/>
          <w:color w:val="auto"/>
          <w:sz w:val="36"/>
          <w:szCs w:val="36"/>
          <w:highlight w:val="none"/>
        </w:rPr>
        <w:t>第六部分  评标办法</w:t>
      </w:r>
      <w:bookmarkEnd w:id="125"/>
    </w:p>
    <w:p w14:paraId="55AB3485">
      <w:pPr>
        <w:pStyle w:val="22"/>
        <w:overflowPunct w:val="0"/>
        <w:spacing w:after="0" w:line="460" w:lineRule="exact"/>
        <w:rPr>
          <w:rFonts w:hint="eastAsia" w:ascii="仿宋" w:hAnsi="仿宋" w:eastAsia="仿宋" w:cs="仿宋"/>
          <w:b/>
          <w:color w:val="auto"/>
          <w:highlight w:val="none"/>
        </w:rPr>
      </w:pPr>
    </w:p>
    <w:p w14:paraId="110EED47">
      <w:pPr>
        <w:snapToGrid w:val="0"/>
        <w:spacing w:line="360" w:lineRule="auto"/>
        <w:jc w:val="center"/>
        <w:rPr>
          <w:rFonts w:hint="eastAsia" w:ascii="仿宋" w:hAnsi="仿宋" w:eastAsia="仿宋" w:cs="仿宋"/>
          <w:b/>
          <w:color w:val="auto"/>
          <w:sz w:val="28"/>
          <w:szCs w:val="28"/>
          <w:highlight w:val="none"/>
        </w:rPr>
      </w:pPr>
      <w:bookmarkStart w:id="126" w:name="_Hlk93170489"/>
      <w:r>
        <w:rPr>
          <w:rFonts w:hint="eastAsia" w:ascii="仿宋" w:hAnsi="仿宋" w:eastAsia="仿宋" w:cs="仿宋"/>
          <w:b/>
          <w:color w:val="auto"/>
          <w:sz w:val="28"/>
          <w:szCs w:val="28"/>
          <w:highlight w:val="none"/>
        </w:rPr>
        <w:t>评标办法前附表</w:t>
      </w:r>
    </w:p>
    <w:tbl>
      <w:tblPr>
        <w:tblStyle w:val="57"/>
        <w:tblW w:w="97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4"/>
        <w:gridCol w:w="17"/>
        <w:gridCol w:w="1125"/>
        <w:gridCol w:w="1976"/>
        <w:gridCol w:w="5047"/>
        <w:gridCol w:w="639"/>
      </w:tblGrid>
      <w:tr w14:paraId="3FE7BA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blHeader/>
        </w:trPr>
        <w:tc>
          <w:tcPr>
            <w:tcW w:w="2056" w:type="dxa"/>
            <w:gridSpan w:val="3"/>
            <w:tcBorders>
              <w:top w:val="single" w:color="auto" w:sz="4" w:space="0"/>
              <w:bottom w:val="single" w:color="auto" w:sz="4" w:space="0"/>
              <w:right w:val="single" w:color="auto" w:sz="4" w:space="0"/>
            </w:tcBorders>
            <w:vAlign w:val="center"/>
          </w:tcPr>
          <w:p w14:paraId="0CED2CA2">
            <w:pPr>
              <w:spacing w:line="240" w:lineRule="auto"/>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条款号</w:t>
            </w:r>
          </w:p>
        </w:tc>
        <w:tc>
          <w:tcPr>
            <w:tcW w:w="1976" w:type="dxa"/>
            <w:tcBorders>
              <w:top w:val="single" w:color="auto" w:sz="4" w:space="0"/>
              <w:left w:val="single" w:color="auto" w:sz="4" w:space="0"/>
              <w:bottom w:val="single" w:color="auto" w:sz="4" w:space="0"/>
              <w:right w:val="single" w:color="auto" w:sz="4" w:space="0"/>
            </w:tcBorders>
            <w:vAlign w:val="center"/>
          </w:tcPr>
          <w:p w14:paraId="2674F395">
            <w:pPr>
              <w:spacing w:line="240" w:lineRule="auto"/>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评审因素</w:t>
            </w:r>
          </w:p>
        </w:tc>
        <w:tc>
          <w:tcPr>
            <w:tcW w:w="5686" w:type="dxa"/>
            <w:gridSpan w:val="2"/>
            <w:tcBorders>
              <w:top w:val="single" w:color="auto" w:sz="4" w:space="0"/>
              <w:left w:val="single" w:color="auto" w:sz="4" w:space="0"/>
              <w:bottom w:val="single" w:color="auto" w:sz="4" w:space="0"/>
            </w:tcBorders>
            <w:vAlign w:val="center"/>
          </w:tcPr>
          <w:p w14:paraId="14EA6929">
            <w:pPr>
              <w:spacing w:line="240" w:lineRule="auto"/>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评审标准</w:t>
            </w:r>
          </w:p>
        </w:tc>
      </w:tr>
      <w:tr w14:paraId="3CD40F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14" w:type="dxa"/>
            <w:vMerge w:val="restart"/>
            <w:tcBorders>
              <w:top w:val="single" w:color="auto" w:sz="4" w:space="0"/>
              <w:right w:val="single" w:color="auto" w:sz="4" w:space="0"/>
            </w:tcBorders>
            <w:vAlign w:val="center"/>
          </w:tcPr>
          <w:p w14:paraId="24615F28">
            <w:pPr>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142" w:type="dxa"/>
            <w:gridSpan w:val="2"/>
            <w:vMerge w:val="restart"/>
            <w:tcBorders>
              <w:top w:val="single" w:color="auto" w:sz="4" w:space="0"/>
              <w:left w:val="single" w:color="auto" w:sz="4" w:space="0"/>
              <w:right w:val="single" w:color="auto" w:sz="4" w:space="0"/>
            </w:tcBorders>
            <w:vAlign w:val="center"/>
          </w:tcPr>
          <w:p w14:paraId="0E5F5D6F">
            <w:pPr>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评标方法</w:t>
            </w:r>
          </w:p>
        </w:tc>
        <w:tc>
          <w:tcPr>
            <w:tcW w:w="1976" w:type="dxa"/>
            <w:tcBorders>
              <w:top w:val="single" w:color="auto" w:sz="4" w:space="0"/>
              <w:left w:val="single" w:color="auto" w:sz="4" w:space="0"/>
              <w:bottom w:val="single" w:color="auto" w:sz="4" w:space="0"/>
              <w:right w:val="single" w:color="auto" w:sz="4" w:space="0"/>
            </w:tcBorders>
            <w:vAlign w:val="center"/>
          </w:tcPr>
          <w:p w14:paraId="0B53F768">
            <w:pPr>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评标办法</w:t>
            </w:r>
          </w:p>
        </w:tc>
        <w:tc>
          <w:tcPr>
            <w:tcW w:w="5686" w:type="dxa"/>
            <w:gridSpan w:val="2"/>
            <w:tcBorders>
              <w:top w:val="single" w:color="auto" w:sz="4" w:space="0"/>
              <w:left w:val="single" w:color="auto" w:sz="4" w:space="0"/>
              <w:bottom w:val="single" w:color="auto" w:sz="4" w:space="0"/>
            </w:tcBorders>
            <w:vAlign w:val="center"/>
          </w:tcPr>
          <w:p w14:paraId="51961F80">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综合评分法</w:t>
            </w:r>
          </w:p>
        </w:tc>
      </w:tr>
      <w:tr w14:paraId="6FB4AD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14" w:type="dxa"/>
            <w:vMerge w:val="continue"/>
            <w:tcBorders>
              <w:top w:val="single" w:color="auto" w:sz="4" w:space="0"/>
              <w:right w:val="single" w:color="auto" w:sz="4" w:space="0"/>
            </w:tcBorders>
            <w:vAlign w:val="center"/>
          </w:tcPr>
          <w:p w14:paraId="0BBDCEE1">
            <w:pPr>
              <w:spacing w:line="240" w:lineRule="auto"/>
              <w:jc w:val="center"/>
              <w:rPr>
                <w:rFonts w:hint="eastAsia" w:ascii="仿宋" w:hAnsi="仿宋" w:eastAsia="仿宋" w:cs="仿宋"/>
                <w:color w:val="auto"/>
                <w:szCs w:val="21"/>
                <w:highlight w:val="none"/>
              </w:rPr>
            </w:pPr>
          </w:p>
        </w:tc>
        <w:tc>
          <w:tcPr>
            <w:tcW w:w="1142" w:type="dxa"/>
            <w:gridSpan w:val="2"/>
            <w:vMerge w:val="continue"/>
            <w:tcBorders>
              <w:top w:val="single" w:color="auto" w:sz="4" w:space="0"/>
              <w:left w:val="single" w:color="auto" w:sz="4" w:space="0"/>
              <w:right w:val="single" w:color="auto" w:sz="4" w:space="0"/>
            </w:tcBorders>
            <w:vAlign w:val="center"/>
          </w:tcPr>
          <w:p w14:paraId="3F6D3274">
            <w:pPr>
              <w:spacing w:line="240" w:lineRule="auto"/>
              <w:jc w:val="center"/>
              <w:rPr>
                <w:rFonts w:hint="eastAsia" w:ascii="仿宋" w:hAnsi="仿宋" w:eastAsia="仿宋" w:cs="仿宋"/>
                <w:color w:val="auto"/>
                <w:szCs w:val="21"/>
                <w:highlight w:val="none"/>
              </w:rPr>
            </w:pPr>
          </w:p>
        </w:tc>
        <w:tc>
          <w:tcPr>
            <w:tcW w:w="1976" w:type="dxa"/>
            <w:tcBorders>
              <w:top w:val="single" w:color="auto" w:sz="4" w:space="0"/>
              <w:left w:val="single" w:color="auto" w:sz="4" w:space="0"/>
              <w:bottom w:val="single" w:color="auto" w:sz="4" w:space="0"/>
              <w:right w:val="single" w:color="auto" w:sz="4" w:space="0"/>
            </w:tcBorders>
            <w:vAlign w:val="center"/>
          </w:tcPr>
          <w:p w14:paraId="74559B42">
            <w:pPr>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推荐中标候选人的数量</w:t>
            </w:r>
          </w:p>
        </w:tc>
        <w:tc>
          <w:tcPr>
            <w:tcW w:w="5686" w:type="dxa"/>
            <w:gridSpan w:val="2"/>
            <w:tcBorders>
              <w:top w:val="single" w:color="auto" w:sz="4" w:space="0"/>
              <w:left w:val="single" w:color="auto" w:sz="4" w:space="0"/>
              <w:bottom w:val="single" w:color="auto" w:sz="4" w:space="0"/>
            </w:tcBorders>
            <w:vAlign w:val="center"/>
          </w:tcPr>
          <w:p w14:paraId="01CB6A53">
            <w:pPr>
              <w:spacing w:line="240" w:lineRule="auto"/>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w:t>
            </w:r>
          </w:p>
        </w:tc>
      </w:tr>
      <w:tr w14:paraId="7D66DC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14" w:type="dxa"/>
            <w:vMerge w:val="continue"/>
            <w:tcBorders>
              <w:top w:val="single" w:color="auto" w:sz="4" w:space="0"/>
              <w:right w:val="single" w:color="auto" w:sz="4" w:space="0"/>
            </w:tcBorders>
            <w:vAlign w:val="center"/>
          </w:tcPr>
          <w:p w14:paraId="7B38C4FE">
            <w:pPr>
              <w:spacing w:line="240" w:lineRule="auto"/>
              <w:jc w:val="center"/>
              <w:rPr>
                <w:rFonts w:hint="eastAsia" w:ascii="仿宋" w:hAnsi="仿宋" w:eastAsia="仿宋" w:cs="仿宋"/>
                <w:color w:val="auto"/>
                <w:szCs w:val="21"/>
                <w:highlight w:val="none"/>
              </w:rPr>
            </w:pPr>
          </w:p>
        </w:tc>
        <w:tc>
          <w:tcPr>
            <w:tcW w:w="1142" w:type="dxa"/>
            <w:gridSpan w:val="2"/>
            <w:vMerge w:val="continue"/>
            <w:tcBorders>
              <w:top w:val="single" w:color="auto" w:sz="4" w:space="0"/>
              <w:left w:val="single" w:color="auto" w:sz="4" w:space="0"/>
              <w:right w:val="single" w:color="auto" w:sz="4" w:space="0"/>
            </w:tcBorders>
            <w:vAlign w:val="center"/>
          </w:tcPr>
          <w:p w14:paraId="190A1995">
            <w:pPr>
              <w:spacing w:line="240" w:lineRule="auto"/>
              <w:jc w:val="center"/>
              <w:rPr>
                <w:rFonts w:hint="eastAsia" w:ascii="仿宋" w:hAnsi="仿宋" w:eastAsia="仿宋" w:cs="仿宋"/>
                <w:color w:val="auto"/>
                <w:szCs w:val="21"/>
                <w:highlight w:val="none"/>
              </w:rPr>
            </w:pPr>
          </w:p>
        </w:tc>
        <w:tc>
          <w:tcPr>
            <w:tcW w:w="1976" w:type="dxa"/>
            <w:tcBorders>
              <w:top w:val="single" w:color="auto" w:sz="4" w:space="0"/>
              <w:left w:val="single" w:color="auto" w:sz="4" w:space="0"/>
              <w:bottom w:val="single" w:color="auto" w:sz="4" w:space="0"/>
              <w:right w:val="single" w:color="auto" w:sz="4" w:space="0"/>
            </w:tcBorders>
            <w:vAlign w:val="center"/>
          </w:tcPr>
          <w:p w14:paraId="5E8905D5">
            <w:pPr>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综合评分、投标报价均相等时确定中标候选人排序的方式</w:t>
            </w:r>
          </w:p>
        </w:tc>
        <w:tc>
          <w:tcPr>
            <w:tcW w:w="5686" w:type="dxa"/>
            <w:gridSpan w:val="2"/>
            <w:tcBorders>
              <w:top w:val="single" w:color="auto" w:sz="4" w:space="0"/>
              <w:left w:val="single" w:color="auto" w:sz="4" w:space="0"/>
              <w:bottom w:val="single" w:color="auto" w:sz="4" w:space="0"/>
            </w:tcBorders>
            <w:vAlign w:val="center"/>
          </w:tcPr>
          <w:p w14:paraId="15FF304C">
            <w:pPr>
              <w:spacing w:line="240" w:lineRule="auto"/>
              <w:rPr>
                <w:rFonts w:hint="eastAsia" w:ascii="仿宋" w:hAnsi="仿宋" w:eastAsia="仿宋" w:cs="仿宋"/>
                <w:color w:val="auto"/>
                <w:kern w:val="0"/>
                <w:szCs w:val="21"/>
                <w:highlight w:val="none"/>
                <w:lang w:eastAsia="zh-CN"/>
              </w:rPr>
            </w:pPr>
            <w:r>
              <w:rPr>
                <w:rFonts w:hint="eastAsia" w:ascii="仿宋" w:hAnsi="仿宋" w:eastAsia="仿宋" w:cs="仿宋"/>
                <w:color w:val="auto"/>
                <w:szCs w:val="21"/>
                <w:highlight w:val="none"/>
                <w:lang w:eastAsia="zh-CN"/>
              </w:rPr>
              <w:t>采购人</w:t>
            </w:r>
            <w:r>
              <w:rPr>
                <w:rFonts w:hint="eastAsia" w:ascii="仿宋" w:hAnsi="仿宋" w:eastAsia="仿宋" w:cs="仿宋"/>
                <w:color w:val="auto"/>
                <w:szCs w:val="21"/>
                <w:highlight w:val="none"/>
              </w:rPr>
              <w:t>抽签</w:t>
            </w:r>
            <w:r>
              <w:rPr>
                <w:rFonts w:hint="eastAsia" w:ascii="仿宋" w:hAnsi="仿宋" w:eastAsia="仿宋" w:cs="仿宋"/>
                <w:color w:val="auto"/>
                <w:szCs w:val="21"/>
                <w:highlight w:val="none"/>
                <w:lang w:eastAsia="zh-CN"/>
              </w:rPr>
              <w:t>确定</w:t>
            </w:r>
          </w:p>
        </w:tc>
      </w:tr>
      <w:tr w14:paraId="1AE92D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914" w:type="dxa"/>
            <w:tcBorders>
              <w:top w:val="single" w:color="auto" w:sz="4" w:space="0"/>
              <w:bottom w:val="single" w:color="auto" w:sz="4" w:space="0"/>
              <w:right w:val="single" w:color="auto" w:sz="4" w:space="0"/>
            </w:tcBorders>
            <w:vAlign w:val="center"/>
          </w:tcPr>
          <w:p w14:paraId="158BDF15">
            <w:pPr>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2.1.2</w:t>
            </w:r>
          </w:p>
        </w:tc>
        <w:tc>
          <w:tcPr>
            <w:tcW w:w="1142" w:type="dxa"/>
            <w:gridSpan w:val="2"/>
            <w:vMerge w:val="restart"/>
            <w:tcBorders>
              <w:top w:val="single" w:color="auto" w:sz="4" w:space="0"/>
              <w:left w:val="single" w:color="auto" w:sz="4" w:space="0"/>
              <w:right w:val="single" w:color="auto" w:sz="4" w:space="0"/>
            </w:tcBorders>
            <w:vAlign w:val="center"/>
          </w:tcPr>
          <w:p w14:paraId="512AAAE8">
            <w:pPr>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资格审查</w:t>
            </w:r>
          </w:p>
        </w:tc>
        <w:tc>
          <w:tcPr>
            <w:tcW w:w="1976" w:type="dxa"/>
            <w:tcBorders>
              <w:top w:val="single" w:color="auto" w:sz="4" w:space="0"/>
              <w:left w:val="single" w:color="auto" w:sz="4" w:space="0"/>
              <w:bottom w:val="single" w:color="auto" w:sz="4" w:space="0"/>
              <w:right w:val="single" w:color="auto" w:sz="4" w:space="0"/>
            </w:tcBorders>
            <w:vAlign w:val="center"/>
          </w:tcPr>
          <w:p w14:paraId="15002432">
            <w:pPr>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落实政府采购政策需满足的资格要求</w:t>
            </w:r>
          </w:p>
        </w:tc>
        <w:tc>
          <w:tcPr>
            <w:tcW w:w="5686" w:type="dxa"/>
            <w:gridSpan w:val="2"/>
            <w:tcBorders>
              <w:top w:val="single" w:color="auto" w:sz="4" w:space="0"/>
              <w:left w:val="single" w:color="auto" w:sz="4" w:space="0"/>
              <w:bottom w:val="single" w:color="auto" w:sz="4" w:space="0"/>
            </w:tcBorders>
            <w:vAlign w:val="center"/>
          </w:tcPr>
          <w:p w14:paraId="11DC5D08">
            <w:pPr>
              <w:spacing w:line="240" w:lineRule="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w:t>
            </w:r>
          </w:p>
        </w:tc>
      </w:tr>
      <w:tr w14:paraId="6AAA66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914" w:type="dxa"/>
            <w:tcBorders>
              <w:top w:val="single" w:color="auto" w:sz="4" w:space="0"/>
              <w:bottom w:val="single" w:color="auto" w:sz="4" w:space="0"/>
              <w:right w:val="single" w:color="auto" w:sz="4" w:space="0"/>
            </w:tcBorders>
            <w:vAlign w:val="center"/>
          </w:tcPr>
          <w:p w14:paraId="0EDE90BD">
            <w:pPr>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2.1.3</w:t>
            </w:r>
          </w:p>
        </w:tc>
        <w:tc>
          <w:tcPr>
            <w:tcW w:w="1142" w:type="dxa"/>
            <w:gridSpan w:val="2"/>
            <w:vMerge w:val="continue"/>
            <w:tcBorders>
              <w:left w:val="single" w:color="auto" w:sz="4" w:space="0"/>
              <w:bottom w:val="single" w:color="auto" w:sz="4" w:space="0"/>
              <w:right w:val="single" w:color="auto" w:sz="4" w:space="0"/>
            </w:tcBorders>
            <w:vAlign w:val="center"/>
          </w:tcPr>
          <w:p w14:paraId="20836433">
            <w:pPr>
              <w:spacing w:line="240" w:lineRule="auto"/>
              <w:jc w:val="center"/>
              <w:rPr>
                <w:rFonts w:hint="eastAsia" w:ascii="仿宋" w:hAnsi="仿宋" w:eastAsia="仿宋" w:cs="仿宋"/>
                <w:color w:val="auto"/>
                <w:szCs w:val="21"/>
                <w:highlight w:val="none"/>
              </w:rPr>
            </w:pPr>
          </w:p>
        </w:tc>
        <w:tc>
          <w:tcPr>
            <w:tcW w:w="1976" w:type="dxa"/>
            <w:tcBorders>
              <w:top w:val="single" w:color="auto" w:sz="4" w:space="0"/>
              <w:left w:val="single" w:color="auto" w:sz="4" w:space="0"/>
              <w:bottom w:val="single" w:color="auto" w:sz="4" w:space="0"/>
              <w:right w:val="single" w:color="auto" w:sz="4" w:space="0"/>
            </w:tcBorders>
            <w:vAlign w:val="center"/>
          </w:tcPr>
          <w:p w14:paraId="00894191">
            <w:pPr>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特定资格条件要求</w:t>
            </w:r>
          </w:p>
        </w:tc>
        <w:tc>
          <w:tcPr>
            <w:tcW w:w="5686" w:type="dxa"/>
            <w:gridSpan w:val="2"/>
            <w:tcBorders>
              <w:top w:val="single" w:color="auto" w:sz="4" w:space="0"/>
              <w:left w:val="single" w:color="auto" w:sz="4" w:space="0"/>
              <w:bottom w:val="single" w:color="auto" w:sz="4" w:space="0"/>
            </w:tcBorders>
            <w:vAlign w:val="center"/>
          </w:tcPr>
          <w:p w14:paraId="7C3B8FED">
            <w:pPr>
              <w:spacing w:line="240" w:lineRule="auto"/>
              <w:rPr>
                <w:rFonts w:hint="eastAsia" w:ascii="仿宋" w:hAnsi="仿宋" w:eastAsia="仿宋" w:cs="仿宋"/>
                <w:color w:val="auto"/>
                <w:szCs w:val="21"/>
                <w:highlight w:val="none"/>
                <w:u w:val="single"/>
                <w:lang w:val="en-US" w:eastAsia="zh-CN"/>
              </w:rPr>
            </w:pPr>
            <w:r>
              <w:rPr>
                <w:rFonts w:hint="eastAsia" w:ascii="仿宋" w:hAnsi="仿宋" w:eastAsia="仿宋" w:cs="仿宋"/>
                <w:color w:val="auto"/>
                <w:szCs w:val="21"/>
                <w:highlight w:val="none"/>
                <w:u w:val="none"/>
                <w:lang w:val="en-US" w:eastAsia="zh-CN"/>
              </w:rPr>
              <w:t>/</w:t>
            </w:r>
          </w:p>
        </w:tc>
      </w:tr>
      <w:tr w14:paraId="7AF786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914" w:type="dxa"/>
            <w:tcBorders>
              <w:top w:val="single" w:color="auto" w:sz="4" w:space="0"/>
              <w:bottom w:val="single" w:color="auto" w:sz="4" w:space="0"/>
              <w:right w:val="single" w:color="auto" w:sz="4" w:space="0"/>
            </w:tcBorders>
            <w:vAlign w:val="center"/>
          </w:tcPr>
          <w:p w14:paraId="1C4921F4">
            <w:pPr>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2.2</w:t>
            </w:r>
          </w:p>
        </w:tc>
        <w:tc>
          <w:tcPr>
            <w:tcW w:w="1142" w:type="dxa"/>
            <w:gridSpan w:val="2"/>
            <w:tcBorders>
              <w:top w:val="single" w:color="auto" w:sz="4" w:space="0"/>
              <w:left w:val="single" w:color="auto" w:sz="4" w:space="0"/>
              <w:bottom w:val="single" w:color="auto" w:sz="4" w:space="0"/>
              <w:right w:val="single" w:color="auto" w:sz="4" w:space="0"/>
            </w:tcBorders>
            <w:vAlign w:val="center"/>
          </w:tcPr>
          <w:p w14:paraId="785A68D6">
            <w:pPr>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符合性审查</w:t>
            </w:r>
          </w:p>
        </w:tc>
        <w:tc>
          <w:tcPr>
            <w:tcW w:w="1976" w:type="dxa"/>
            <w:tcBorders>
              <w:top w:val="single" w:color="auto" w:sz="4" w:space="0"/>
              <w:left w:val="single" w:color="auto" w:sz="4" w:space="0"/>
              <w:bottom w:val="single" w:color="auto" w:sz="4" w:space="0"/>
              <w:right w:val="single" w:color="auto" w:sz="4" w:space="0"/>
            </w:tcBorders>
            <w:vAlign w:val="center"/>
          </w:tcPr>
          <w:p w14:paraId="74EF6ABB">
            <w:pPr>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符合性审查其他要求</w:t>
            </w:r>
          </w:p>
        </w:tc>
        <w:tc>
          <w:tcPr>
            <w:tcW w:w="5686" w:type="dxa"/>
            <w:gridSpan w:val="2"/>
            <w:tcBorders>
              <w:top w:val="single" w:color="auto" w:sz="4" w:space="0"/>
              <w:left w:val="single" w:color="auto" w:sz="4" w:space="0"/>
              <w:bottom w:val="single" w:color="auto" w:sz="4" w:space="0"/>
            </w:tcBorders>
            <w:vAlign w:val="center"/>
          </w:tcPr>
          <w:p w14:paraId="0AD13BB6">
            <w:pPr>
              <w:spacing w:line="24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w:t>
            </w:r>
          </w:p>
        </w:tc>
      </w:tr>
      <w:tr w14:paraId="0A6DCF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56" w:type="dxa"/>
            <w:gridSpan w:val="3"/>
            <w:tcBorders>
              <w:top w:val="single" w:color="auto" w:sz="4" w:space="0"/>
              <w:bottom w:val="single" w:color="auto" w:sz="4" w:space="0"/>
              <w:right w:val="single" w:color="auto" w:sz="4" w:space="0"/>
            </w:tcBorders>
            <w:vAlign w:val="center"/>
          </w:tcPr>
          <w:p w14:paraId="1AB90E1E">
            <w:pPr>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2.3.1</w:t>
            </w:r>
          </w:p>
        </w:tc>
        <w:tc>
          <w:tcPr>
            <w:tcW w:w="1976" w:type="dxa"/>
            <w:tcBorders>
              <w:top w:val="single" w:color="auto" w:sz="4" w:space="0"/>
              <w:left w:val="single" w:color="auto" w:sz="4" w:space="0"/>
              <w:bottom w:val="single" w:color="auto" w:sz="4" w:space="0"/>
              <w:right w:val="single" w:color="auto" w:sz="4" w:space="0"/>
            </w:tcBorders>
            <w:vAlign w:val="center"/>
          </w:tcPr>
          <w:p w14:paraId="3A13838B">
            <w:pPr>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分值权重构成</w:t>
            </w:r>
          </w:p>
        </w:tc>
        <w:tc>
          <w:tcPr>
            <w:tcW w:w="5686" w:type="dxa"/>
            <w:gridSpan w:val="2"/>
            <w:tcBorders>
              <w:top w:val="single" w:color="auto" w:sz="4" w:space="0"/>
              <w:left w:val="single" w:color="auto" w:sz="4" w:space="0"/>
              <w:bottom w:val="single" w:color="auto" w:sz="4" w:space="0"/>
            </w:tcBorders>
            <w:vAlign w:val="center"/>
          </w:tcPr>
          <w:p w14:paraId="33B605FE">
            <w:pPr>
              <w:snapToGrid w:val="0"/>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商务技术权重：</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70</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60878D27">
            <w:pPr>
              <w:snapToGrid w:val="0"/>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报价权重：</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30</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tc>
      </w:tr>
      <w:tr w14:paraId="762CFA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trPr>
        <w:tc>
          <w:tcPr>
            <w:tcW w:w="931" w:type="dxa"/>
            <w:gridSpan w:val="2"/>
            <w:vMerge w:val="restart"/>
            <w:tcBorders>
              <w:top w:val="single" w:color="auto" w:sz="4" w:space="0"/>
              <w:right w:val="single" w:color="auto" w:sz="4" w:space="0"/>
            </w:tcBorders>
            <w:vAlign w:val="center"/>
          </w:tcPr>
          <w:p w14:paraId="6D6471BF">
            <w:pPr>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2.3.2</w:t>
            </w:r>
          </w:p>
        </w:tc>
        <w:tc>
          <w:tcPr>
            <w:tcW w:w="1125" w:type="dxa"/>
            <w:vMerge w:val="restart"/>
            <w:tcBorders>
              <w:top w:val="single" w:color="auto" w:sz="4" w:space="0"/>
              <w:right w:val="single" w:color="auto" w:sz="4" w:space="0"/>
            </w:tcBorders>
            <w:vAlign w:val="center"/>
          </w:tcPr>
          <w:p w14:paraId="7A8B3019">
            <w:pPr>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商务技术评分标准</w:t>
            </w:r>
          </w:p>
        </w:tc>
        <w:tc>
          <w:tcPr>
            <w:tcW w:w="1976" w:type="dxa"/>
            <w:tcBorders>
              <w:top w:val="single" w:color="auto" w:sz="4" w:space="0"/>
              <w:left w:val="single" w:color="auto" w:sz="4" w:space="0"/>
              <w:bottom w:val="single" w:color="auto" w:sz="4" w:space="0"/>
            </w:tcBorders>
            <w:vAlign w:val="center"/>
          </w:tcPr>
          <w:p w14:paraId="128F9BA7">
            <w:pPr>
              <w:tabs>
                <w:tab w:val="left" w:pos="0"/>
              </w:tabs>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评审因素</w:t>
            </w:r>
          </w:p>
        </w:tc>
        <w:tc>
          <w:tcPr>
            <w:tcW w:w="5047" w:type="dxa"/>
            <w:tcBorders>
              <w:top w:val="single" w:color="auto" w:sz="4" w:space="0"/>
              <w:left w:val="single" w:color="auto" w:sz="4" w:space="0"/>
              <w:bottom w:val="single" w:color="auto" w:sz="4" w:space="0"/>
              <w:right w:val="single" w:color="auto" w:sz="4" w:space="0"/>
            </w:tcBorders>
            <w:vAlign w:val="center"/>
          </w:tcPr>
          <w:p w14:paraId="0C89C28B">
            <w:pPr>
              <w:tabs>
                <w:tab w:val="left" w:pos="0"/>
              </w:tabs>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评审标准</w:t>
            </w:r>
          </w:p>
        </w:tc>
        <w:tc>
          <w:tcPr>
            <w:tcW w:w="639" w:type="dxa"/>
            <w:tcBorders>
              <w:top w:val="single" w:color="auto" w:sz="4" w:space="0"/>
              <w:left w:val="single" w:color="auto" w:sz="4" w:space="0"/>
              <w:bottom w:val="single" w:color="auto" w:sz="4" w:space="0"/>
            </w:tcBorders>
            <w:vAlign w:val="center"/>
          </w:tcPr>
          <w:p w14:paraId="1DA0B4A5">
            <w:pPr>
              <w:tabs>
                <w:tab w:val="left" w:pos="0"/>
              </w:tabs>
              <w:spacing w:line="240" w:lineRule="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分值</w:t>
            </w:r>
          </w:p>
        </w:tc>
      </w:tr>
      <w:tr w14:paraId="042A96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2" w:hRule="atLeast"/>
        </w:trPr>
        <w:tc>
          <w:tcPr>
            <w:tcW w:w="931" w:type="dxa"/>
            <w:gridSpan w:val="2"/>
            <w:vMerge w:val="continue"/>
            <w:tcBorders>
              <w:right w:val="single" w:color="auto" w:sz="4" w:space="0"/>
            </w:tcBorders>
            <w:vAlign w:val="center"/>
          </w:tcPr>
          <w:p w14:paraId="16942758">
            <w:pPr>
              <w:spacing w:line="240" w:lineRule="auto"/>
              <w:jc w:val="center"/>
              <w:rPr>
                <w:rFonts w:hint="eastAsia" w:ascii="仿宋" w:hAnsi="仿宋" w:eastAsia="仿宋" w:cs="仿宋"/>
                <w:color w:val="auto"/>
                <w:szCs w:val="21"/>
                <w:highlight w:val="none"/>
              </w:rPr>
            </w:pPr>
          </w:p>
        </w:tc>
        <w:tc>
          <w:tcPr>
            <w:tcW w:w="1125" w:type="dxa"/>
            <w:vMerge w:val="continue"/>
            <w:tcBorders>
              <w:right w:val="single" w:color="auto" w:sz="4" w:space="0"/>
            </w:tcBorders>
            <w:vAlign w:val="center"/>
          </w:tcPr>
          <w:p w14:paraId="47362576">
            <w:pPr>
              <w:spacing w:line="240" w:lineRule="auto"/>
              <w:jc w:val="center"/>
              <w:rPr>
                <w:rFonts w:hint="eastAsia" w:ascii="仿宋" w:hAnsi="仿宋" w:eastAsia="仿宋" w:cs="仿宋"/>
                <w:color w:val="auto"/>
                <w:szCs w:val="21"/>
                <w:highlight w:val="none"/>
              </w:rPr>
            </w:pPr>
          </w:p>
        </w:tc>
        <w:tc>
          <w:tcPr>
            <w:tcW w:w="1976" w:type="dxa"/>
            <w:tcBorders>
              <w:top w:val="single" w:color="auto" w:sz="4" w:space="0"/>
              <w:left w:val="single" w:color="auto" w:sz="4" w:space="0"/>
            </w:tcBorders>
            <w:vAlign w:val="center"/>
          </w:tcPr>
          <w:p w14:paraId="598E1389">
            <w:pPr>
              <w:tabs>
                <w:tab w:val="left" w:pos="0"/>
              </w:tabs>
              <w:spacing w:line="24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投标人实力</w:t>
            </w:r>
          </w:p>
        </w:tc>
        <w:tc>
          <w:tcPr>
            <w:tcW w:w="5047" w:type="dxa"/>
            <w:tcBorders>
              <w:top w:val="single" w:color="auto" w:sz="4" w:space="0"/>
              <w:left w:val="single" w:color="auto" w:sz="4" w:space="0"/>
              <w:right w:val="single" w:color="auto" w:sz="4" w:space="0"/>
            </w:tcBorders>
            <w:vAlign w:val="center"/>
          </w:tcPr>
          <w:p w14:paraId="1B1093B0">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投标人具有有效的环境管理体系认证、职业健康安全管理体系认证、质量管理体系认证证书的，每个得1分，共计</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分。</w:t>
            </w:r>
          </w:p>
          <w:p w14:paraId="5671ED11">
            <w:pPr>
              <w:spacing w:line="24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注：有效性认定：须提供以上有效证书清晰扫描件，并于开标当天在全国认证认可信息公共服务平台(http://cx.cnca.cn/CertECloud/result/skipResultList）查询到有效的相关证书信息，否则不得分。如因系统故障无法查询，则以供应商提供的证明材料为准。</w:t>
            </w:r>
          </w:p>
        </w:tc>
        <w:tc>
          <w:tcPr>
            <w:tcW w:w="639" w:type="dxa"/>
            <w:tcBorders>
              <w:top w:val="single" w:color="auto" w:sz="4" w:space="0"/>
              <w:left w:val="single" w:color="auto" w:sz="4" w:space="0"/>
              <w:bottom w:val="single" w:color="auto" w:sz="4" w:space="0"/>
            </w:tcBorders>
            <w:vAlign w:val="center"/>
          </w:tcPr>
          <w:p w14:paraId="0038D054">
            <w:pPr>
              <w:tabs>
                <w:tab w:val="left" w:pos="0"/>
              </w:tabs>
              <w:spacing w:line="240"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w:t>
            </w:r>
          </w:p>
        </w:tc>
      </w:tr>
      <w:tr w14:paraId="0D93A6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trPr>
        <w:tc>
          <w:tcPr>
            <w:tcW w:w="931" w:type="dxa"/>
            <w:gridSpan w:val="2"/>
            <w:vMerge w:val="continue"/>
            <w:tcBorders>
              <w:right w:val="single" w:color="auto" w:sz="4" w:space="0"/>
            </w:tcBorders>
            <w:vAlign w:val="center"/>
          </w:tcPr>
          <w:p w14:paraId="4AFC7381">
            <w:pPr>
              <w:spacing w:line="240" w:lineRule="auto"/>
              <w:jc w:val="center"/>
              <w:rPr>
                <w:rFonts w:hint="eastAsia" w:ascii="仿宋" w:hAnsi="仿宋" w:eastAsia="仿宋" w:cs="仿宋"/>
                <w:color w:val="auto"/>
                <w:szCs w:val="21"/>
                <w:highlight w:val="none"/>
              </w:rPr>
            </w:pPr>
          </w:p>
        </w:tc>
        <w:tc>
          <w:tcPr>
            <w:tcW w:w="1125" w:type="dxa"/>
            <w:vMerge w:val="continue"/>
            <w:tcBorders>
              <w:right w:val="single" w:color="auto" w:sz="4" w:space="0"/>
            </w:tcBorders>
            <w:vAlign w:val="center"/>
          </w:tcPr>
          <w:p w14:paraId="69BBD3F7">
            <w:pPr>
              <w:spacing w:line="240" w:lineRule="auto"/>
              <w:jc w:val="center"/>
              <w:rPr>
                <w:rFonts w:hint="eastAsia" w:ascii="仿宋" w:hAnsi="仿宋" w:eastAsia="仿宋" w:cs="仿宋"/>
                <w:color w:val="auto"/>
                <w:szCs w:val="21"/>
                <w:highlight w:val="none"/>
              </w:rPr>
            </w:pPr>
          </w:p>
        </w:tc>
        <w:tc>
          <w:tcPr>
            <w:tcW w:w="1976" w:type="dxa"/>
            <w:tcBorders>
              <w:top w:val="single" w:color="auto" w:sz="4" w:space="0"/>
              <w:left w:val="single" w:color="auto" w:sz="4" w:space="0"/>
              <w:bottom w:val="single" w:color="auto" w:sz="4" w:space="0"/>
            </w:tcBorders>
            <w:vAlign w:val="center"/>
          </w:tcPr>
          <w:p w14:paraId="0805FC4A">
            <w:pPr>
              <w:tabs>
                <w:tab w:val="left" w:pos="0"/>
              </w:tabs>
              <w:spacing w:line="24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所投产品与采购要求的符合性</w:t>
            </w:r>
          </w:p>
        </w:tc>
        <w:tc>
          <w:tcPr>
            <w:tcW w:w="5047" w:type="dxa"/>
            <w:tcBorders>
              <w:top w:val="single" w:color="auto" w:sz="4" w:space="0"/>
              <w:left w:val="single" w:color="auto" w:sz="4" w:space="0"/>
              <w:bottom w:val="single" w:color="auto" w:sz="4" w:space="0"/>
              <w:right w:val="single" w:color="auto" w:sz="4" w:space="0"/>
            </w:tcBorders>
            <w:vAlign w:val="center"/>
          </w:tcPr>
          <w:p w14:paraId="2D4A3DC3">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标“★”项为产品核心技术指标，负偏离一项扣</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分（注：</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产品核心技术指标需提供各类证书或检测报告等相关证明材料，未提供或提供的证明材料不符合要求或不能辨识不得分）；其他的性能指标及技术参数属负偏离或缺漏项的</w:t>
            </w:r>
            <w:r>
              <w:rPr>
                <w:rFonts w:hint="eastAsia" w:ascii="仿宋" w:hAnsi="仿宋" w:eastAsia="仿宋" w:cs="仿宋"/>
                <w:color w:val="auto"/>
                <w:szCs w:val="21"/>
                <w:highlight w:val="none"/>
                <w:lang w:eastAsia="zh-CN"/>
              </w:rPr>
              <w:t>一项扣</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 xml:space="preserve">分。 </w:t>
            </w:r>
          </w:p>
          <w:p w14:paraId="42DFF619">
            <w:pPr>
              <w:spacing w:line="24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2、供应商提供设备的技术参数对应招标文件要求如有偏离的，须在《偏离表》中列出。</w:t>
            </w:r>
          </w:p>
        </w:tc>
        <w:tc>
          <w:tcPr>
            <w:tcW w:w="639" w:type="dxa"/>
            <w:tcBorders>
              <w:top w:val="single" w:color="auto" w:sz="4" w:space="0"/>
              <w:left w:val="single" w:color="auto" w:sz="4" w:space="0"/>
              <w:bottom w:val="single" w:color="auto" w:sz="4" w:space="0"/>
            </w:tcBorders>
            <w:vAlign w:val="center"/>
          </w:tcPr>
          <w:p w14:paraId="0741E9E6">
            <w:pPr>
              <w:tabs>
                <w:tab w:val="left" w:pos="0"/>
              </w:tabs>
              <w:spacing w:line="240"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25</w:t>
            </w:r>
          </w:p>
        </w:tc>
      </w:tr>
      <w:tr w14:paraId="6F4344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99" w:hRule="atLeast"/>
        </w:trPr>
        <w:tc>
          <w:tcPr>
            <w:tcW w:w="931" w:type="dxa"/>
            <w:gridSpan w:val="2"/>
            <w:vMerge w:val="continue"/>
            <w:tcBorders>
              <w:right w:val="single" w:color="auto" w:sz="4" w:space="0"/>
            </w:tcBorders>
            <w:vAlign w:val="center"/>
          </w:tcPr>
          <w:p w14:paraId="76004AE8">
            <w:pPr>
              <w:spacing w:line="240" w:lineRule="auto"/>
              <w:jc w:val="center"/>
              <w:rPr>
                <w:rFonts w:hint="eastAsia" w:ascii="仿宋" w:hAnsi="仿宋" w:eastAsia="仿宋" w:cs="仿宋"/>
                <w:color w:val="auto"/>
                <w:szCs w:val="21"/>
                <w:highlight w:val="none"/>
              </w:rPr>
            </w:pPr>
          </w:p>
        </w:tc>
        <w:tc>
          <w:tcPr>
            <w:tcW w:w="1125" w:type="dxa"/>
            <w:vMerge w:val="continue"/>
            <w:tcBorders>
              <w:right w:val="single" w:color="auto" w:sz="4" w:space="0"/>
            </w:tcBorders>
            <w:vAlign w:val="center"/>
          </w:tcPr>
          <w:p w14:paraId="0F965CF3">
            <w:pPr>
              <w:spacing w:line="240" w:lineRule="auto"/>
              <w:jc w:val="center"/>
              <w:rPr>
                <w:rFonts w:hint="eastAsia" w:ascii="仿宋" w:hAnsi="仿宋" w:eastAsia="仿宋" w:cs="仿宋"/>
                <w:color w:val="auto"/>
                <w:szCs w:val="21"/>
                <w:highlight w:val="none"/>
              </w:rPr>
            </w:pPr>
          </w:p>
        </w:tc>
        <w:tc>
          <w:tcPr>
            <w:tcW w:w="1976" w:type="dxa"/>
            <w:tcBorders>
              <w:top w:val="single" w:color="auto" w:sz="4" w:space="0"/>
              <w:left w:val="single" w:color="auto" w:sz="4" w:space="0"/>
            </w:tcBorders>
            <w:vAlign w:val="center"/>
          </w:tcPr>
          <w:p w14:paraId="2C6F62D1">
            <w:pPr>
              <w:tabs>
                <w:tab w:val="left" w:pos="0"/>
              </w:tabs>
              <w:spacing w:line="24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业绩案例</w:t>
            </w:r>
          </w:p>
        </w:tc>
        <w:tc>
          <w:tcPr>
            <w:tcW w:w="5047" w:type="dxa"/>
            <w:tcBorders>
              <w:top w:val="single" w:color="auto" w:sz="4" w:space="0"/>
              <w:left w:val="single" w:color="auto" w:sz="4" w:space="0"/>
              <w:right w:val="single" w:color="auto" w:sz="4" w:space="0"/>
            </w:tcBorders>
            <w:vAlign w:val="center"/>
          </w:tcPr>
          <w:p w14:paraId="7BA86477">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投标人自202</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年1月1日以来</w:t>
            </w:r>
            <w:r>
              <w:rPr>
                <w:rFonts w:hint="eastAsia" w:ascii="仿宋" w:hAnsi="仿宋" w:eastAsia="仿宋" w:cs="仿宋"/>
                <w:color w:val="auto"/>
                <w:szCs w:val="21"/>
                <w:highlight w:val="none"/>
                <w:lang w:eastAsia="zh-CN"/>
              </w:rPr>
              <w:t>同类项目业绩</w:t>
            </w:r>
            <w:r>
              <w:rPr>
                <w:rFonts w:hint="eastAsia" w:ascii="仿宋" w:hAnsi="仿宋" w:eastAsia="仿宋" w:cs="仿宋"/>
                <w:color w:val="auto"/>
                <w:szCs w:val="21"/>
                <w:highlight w:val="none"/>
              </w:rPr>
              <w:t>，每个得1分，最高得3分。</w:t>
            </w:r>
          </w:p>
          <w:p w14:paraId="1425E2EB">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注：</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时间以合同签订时间为准，</w:t>
            </w:r>
            <w:r>
              <w:rPr>
                <w:rFonts w:hint="eastAsia" w:ascii="仿宋" w:hAnsi="仿宋" w:eastAsia="仿宋" w:cs="仿宋"/>
                <w:color w:val="auto"/>
                <w:szCs w:val="21"/>
                <w:highlight w:val="none"/>
              </w:rPr>
              <w:t>证明材料提供合同</w:t>
            </w:r>
            <w:r>
              <w:rPr>
                <w:rFonts w:hint="eastAsia" w:ascii="仿宋" w:hAnsi="仿宋" w:eastAsia="仿宋" w:cs="仿宋"/>
                <w:color w:val="auto"/>
                <w:szCs w:val="21"/>
                <w:highlight w:val="none"/>
                <w:lang w:eastAsia="zh-CN"/>
              </w:rPr>
              <w:t>清晰扫描件加盖公章</w:t>
            </w:r>
            <w:r>
              <w:rPr>
                <w:rFonts w:hint="eastAsia" w:ascii="仿宋" w:hAnsi="仿宋" w:eastAsia="仿宋" w:cs="仿宋"/>
                <w:color w:val="auto"/>
                <w:szCs w:val="21"/>
                <w:highlight w:val="none"/>
              </w:rPr>
              <w:t>，否则不得分。</w:t>
            </w:r>
          </w:p>
          <w:p w14:paraId="73F8D5F4">
            <w:pPr>
              <w:spacing w:line="240" w:lineRule="auto"/>
              <w:rPr>
                <w:rFonts w:hint="eastAsia" w:ascii="仿宋" w:hAnsi="仿宋" w:eastAsia="仿宋" w:cs="仿宋"/>
                <w:color w:val="auto"/>
                <w:szCs w:val="21"/>
                <w:highlight w:val="none"/>
                <w:lang w:val="en-US" w:eastAsia="zh-CN"/>
              </w:rPr>
            </w:pPr>
            <w:r>
              <w:rPr>
                <w:rFonts w:hint="eastAsia" w:ascii="仿宋" w:hAnsi="仿宋" w:eastAsia="仿宋" w:cs="仿宋"/>
                <w:i w:val="0"/>
                <w:iCs w:val="0"/>
                <w:caps w:val="0"/>
                <w:color w:val="auto"/>
                <w:spacing w:val="0"/>
                <w:kern w:val="0"/>
                <w:sz w:val="21"/>
                <w:szCs w:val="21"/>
                <w:highlight w:val="none"/>
                <w:lang w:val="en-US" w:eastAsia="zh-CN" w:bidi="ar"/>
              </w:rPr>
              <w:t>2、对省级以上主管部门认定的首台套产品，自纳入《省推广应用指导目录》起三年内参加政府采购活动，视同已具备相应销售业绩，业绩分为满分，提供相关证明材料，未提供证明材料或不能清楚辨析的不得分。</w:t>
            </w:r>
          </w:p>
        </w:tc>
        <w:tc>
          <w:tcPr>
            <w:tcW w:w="639" w:type="dxa"/>
            <w:tcBorders>
              <w:top w:val="single" w:color="auto" w:sz="4" w:space="0"/>
              <w:left w:val="single" w:color="auto" w:sz="4" w:space="0"/>
              <w:bottom w:val="single" w:color="auto" w:sz="4" w:space="0"/>
            </w:tcBorders>
            <w:vAlign w:val="center"/>
          </w:tcPr>
          <w:p w14:paraId="127F0F76">
            <w:pPr>
              <w:tabs>
                <w:tab w:val="left" w:pos="0"/>
              </w:tabs>
              <w:spacing w:line="240"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w:t>
            </w:r>
          </w:p>
        </w:tc>
      </w:tr>
      <w:tr w14:paraId="68238C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trPr>
        <w:tc>
          <w:tcPr>
            <w:tcW w:w="931" w:type="dxa"/>
            <w:gridSpan w:val="2"/>
            <w:vMerge w:val="continue"/>
            <w:tcBorders>
              <w:right w:val="single" w:color="auto" w:sz="4" w:space="0"/>
            </w:tcBorders>
            <w:vAlign w:val="center"/>
          </w:tcPr>
          <w:p w14:paraId="2123385E">
            <w:pPr>
              <w:spacing w:line="240" w:lineRule="auto"/>
              <w:jc w:val="center"/>
              <w:rPr>
                <w:rFonts w:hint="eastAsia" w:ascii="仿宋" w:hAnsi="仿宋" w:eastAsia="仿宋" w:cs="仿宋"/>
                <w:color w:val="auto"/>
                <w:szCs w:val="21"/>
                <w:highlight w:val="none"/>
              </w:rPr>
            </w:pPr>
          </w:p>
        </w:tc>
        <w:tc>
          <w:tcPr>
            <w:tcW w:w="1125" w:type="dxa"/>
            <w:vMerge w:val="continue"/>
            <w:tcBorders>
              <w:right w:val="single" w:color="auto" w:sz="4" w:space="0"/>
            </w:tcBorders>
            <w:vAlign w:val="center"/>
          </w:tcPr>
          <w:p w14:paraId="4DAAC0F5">
            <w:pPr>
              <w:spacing w:line="240" w:lineRule="auto"/>
              <w:jc w:val="center"/>
              <w:rPr>
                <w:rFonts w:hint="eastAsia" w:ascii="仿宋" w:hAnsi="仿宋" w:eastAsia="仿宋" w:cs="仿宋"/>
                <w:color w:val="auto"/>
                <w:szCs w:val="21"/>
                <w:highlight w:val="none"/>
              </w:rPr>
            </w:pPr>
          </w:p>
        </w:tc>
        <w:tc>
          <w:tcPr>
            <w:tcW w:w="1976" w:type="dxa"/>
            <w:tcBorders>
              <w:top w:val="single" w:color="auto" w:sz="4" w:space="0"/>
              <w:left w:val="single" w:color="auto" w:sz="4" w:space="0"/>
              <w:bottom w:val="single" w:color="auto" w:sz="4" w:space="0"/>
            </w:tcBorders>
            <w:vAlign w:val="center"/>
          </w:tcPr>
          <w:p w14:paraId="585BC403">
            <w:pPr>
              <w:tabs>
                <w:tab w:val="left" w:pos="0"/>
              </w:tabs>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 w:val="21"/>
                <w:szCs w:val="21"/>
                <w:highlight w:val="none"/>
                <w:lang w:val="en-US" w:eastAsia="zh-CN"/>
              </w:rPr>
              <w:t>实施方案</w:t>
            </w:r>
          </w:p>
        </w:tc>
        <w:tc>
          <w:tcPr>
            <w:tcW w:w="5047" w:type="dxa"/>
            <w:tcBorders>
              <w:top w:val="single" w:color="auto" w:sz="4" w:space="0"/>
              <w:left w:val="single" w:color="auto" w:sz="4" w:space="0"/>
              <w:bottom w:val="single" w:color="auto" w:sz="4" w:space="0"/>
              <w:right w:val="single" w:color="auto" w:sz="4" w:space="0"/>
            </w:tcBorders>
            <w:vAlign w:val="center"/>
          </w:tcPr>
          <w:p w14:paraId="7AE27220">
            <w:pPr>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根据投标人提供的实施方案及重点问题解析进行评分。</w:t>
            </w:r>
          </w:p>
          <w:p w14:paraId="207E2FCA">
            <w:pPr>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(1)能完全贴合采购人需求，合理可行、针对性强的得6分；</w:t>
            </w:r>
          </w:p>
          <w:p w14:paraId="494D752A">
            <w:pPr>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(2)能比较贴合采购人需求，较合理可行、针对性较强的得4分；</w:t>
            </w:r>
          </w:p>
          <w:p w14:paraId="430DAA93">
            <w:pPr>
              <w:spacing w:line="240" w:lineRule="auto"/>
              <w:rPr>
                <w:rFonts w:hint="eastAsia" w:ascii="仿宋" w:hAnsi="仿宋" w:eastAsia="仿宋" w:cs="仿宋"/>
                <w:color w:val="auto"/>
                <w:szCs w:val="21"/>
                <w:highlight w:val="none"/>
              </w:rPr>
            </w:pPr>
            <w:r>
              <w:rPr>
                <w:rFonts w:hint="eastAsia" w:ascii="仿宋" w:hAnsi="仿宋" w:eastAsia="仿宋" w:cs="仿宋"/>
                <w:color w:val="auto"/>
                <w:sz w:val="21"/>
                <w:szCs w:val="21"/>
                <w:highlight w:val="none"/>
                <w:lang w:val="en-US" w:eastAsia="zh-CN"/>
              </w:rPr>
              <w:t>(3)能基本贴合采购人需求，合理性、可行性、针对性一般的得3分。</w:t>
            </w:r>
          </w:p>
        </w:tc>
        <w:tc>
          <w:tcPr>
            <w:tcW w:w="639" w:type="dxa"/>
            <w:tcBorders>
              <w:top w:val="single" w:color="auto" w:sz="4" w:space="0"/>
              <w:left w:val="single" w:color="auto" w:sz="4" w:space="0"/>
              <w:bottom w:val="single" w:color="auto" w:sz="4" w:space="0"/>
            </w:tcBorders>
            <w:vAlign w:val="center"/>
          </w:tcPr>
          <w:p w14:paraId="5BBDBE0E">
            <w:pPr>
              <w:tabs>
                <w:tab w:val="left" w:pos="0"/>
              </w:tabs>
              <w:spacing w:line="240"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r>
      <w:tr w14:paraId="4A3E9F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65" w:hRule="atLeast"/>
        </w:trPr>
        <w:tc>
          <w:tcPr>
            <w:tcW w:w="931" w:type="dxa"/>
            <w:gridSpan w:val="2"/>
            <w:vMerge w:val="continue"/>
            <w:tcBorders>
              <w:right w:val="single" w:color="auto" w:sz="4" w:space="0"/>
            </w:tcBorders>
            <w:vAlign w:val="center"/>
          </w:tcPr>
          <w:p w14:paraId="287EF846">
            <w:pPr>
              <w:spacing w:line="240" w:lineRule="auto"/>
              <w:jc w:val="center"/>
              <w:rPr>
                <w:rFonts w:hint="eastAsia" w:ascii="仿宋" w:hAnsi="仿宋" w:eastAsia="仿宋" w:cs="仿宋"/>
                <w:color w:val="auto"/>
                <w:szCs w:val="21"/>
                <w:highlight w:val="none"/>
              </w:rPr>
            </w:pPr>
          </w:p>
        </w:tc>
        <w:tc>
          <w:tcPr>
            <w:tcW w:w="1125" w:type="dxa"/>
            <w:vMerge w:val="continue"/>
            <w:tcBorders>
              <w:right w:val="single" w:color="auto" w:sz="4" w:space="0"/>
            </w:tcBorders>
            <w:vAlign w:val="center"/>
          </w:tcPr>
          <w:p w14:paraId="597B6CF9">
            <w:pPr>
              <w:spacing w:line="240" w:lineRule="auto"/>
              <w:jc w:val="center"/>
              <w:rPr>
                <w:rFonts w:hint="eastAsia" w:ascii="仿宋" w:hAnsi="仿宋" w:eastAsia="仿宋" w:cs="仿宋"/>
                <w:color w:val="auto"/>
                <w:szCs w:val="21"/>
                <w:highlight w:val="none"/>
              </w:rPr>
            </w:pPr>
          </w:p>
        </w:tc>
        <w:tc>
          <w:tcPr>
            <w:tcW w:w="1976" w:type="dxa"/>
            <w:tcBorders>
              <w:top w:val="single" w:color="auto" w:sz="4" w:space="0"/>
              <w:left w:val="single" w:color="auto" w:sz="4" w:space="0"/>
              <w:bottom w:val="single" w:color="auto" w:sz="4" w:space="0"/>
            </w:tcBorders>
            <w:vAlign w:val="center"/>
          </w:tcPr>
          <w:p w14:paraId="61ADC306">
            <w:pPr>
              <w:pStyle w:val="32"/>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设计方案</w:t>
            </w:r>
          </w:p>
        </w:tc>
        <w:tc>
          <w:tcPr>
            <w:tcW w:w="5047" w:type="dxa"/>
            <w:tcBorders>
              <w:top w:val="single" w:color="auto" w:sz="4" w:space="0"/>
              <w:left w:val="single" w:color="auto" w:sz="4" w:space="0"/>
              <w:bottom w:val="single" w:color="auto" w:sz="4" w:space="0"/>
              <w:right w:val="single" w:color="auto" w:sz="4" w:space="0"/>
            </w:tcBorders>
            <w:vAlign w:val="center"/>
          </w:tcPr>
          <w:p w14:paraId="0493EB7C">
            <w:pPr>
              <w:pStyle w:val="32"/>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投标人可以根据需要自行踏勘现场，根据现场条件，合理优化设备布局，并提供设计图纸以及相关说明（10分）。</w:t>
            </w:r>
          </w:p>
          <w:p w14:paraId="1809F18F">
            <w:pPr>
              <w:pStyle w:val="32"/>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设计方案符合采购需求，设计布局</w:t>
            </w:r>
            <w:r>
              <w:rPr>
                <w:rFonts w:hint="eastAsia" w:ascii="仿宋" w:hAnsi="仿宋" w:eastAsia="仿宋" w:cs="仿宋"/>
                <w:color w:val="auto"/>
                <w:sz w:val="21"/>
                <w:szCs w:val="21"/>
                <w:highlight w:val="none"/>
                <w:lang w:val="en-US" w:eastAsia="zh-CN"/>
              </w:rPr>
              <w:t>合理可行、针对性强的</w:t>
            </w:r>
            <w:r>
              <w:rPr>
                <w:rFonts w:hint="eastAsia" w:ascii="仿宋" w:hAnsi="仿宋" w:eastAsia="仿宋" w:cs="仿宋"/>
                <w:color w:val="auto"/>
                <w:kern w:val="2"/>
                <w:sz w:val="21"/>
                <w:szCs w:val="21"/>
                <w:highlight w:val="none"/>
                <w:lang w:val="en-US" w:eastAsia="zh-CN" w:bidi="ar-SA"/>
              </w:rPr>
              <w:t>得10分；</w:t>
            </w:r>
          </w:p>
          <w:p w14:paraId="33B12CA1">
            <w:pPr>
              <w:pStyle w:val="32"/>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设计方案较符合采购需求，</w:t>
            </w:r>
            <w:r>
              <w:rPr>
                <w:rFonts w:hint="eastAsia" w:ascii="仿宋" w:hAnsi="仿宋" w:eastAsia="仿宋" w:cs="仿宋"/>
                <w:color w:val="auto"/>
                <w:sz w:val="21"/>
                <w:szCs w:val="21"/>
                <w:highlight w:val="none"/>
                <w:lang w:val="en-US" w:eastAsia="zh-CN"/>
              </w:rPr>
              <w:t>较合理可行、针对性较强</w:t>
            </w:r>
            <w:r>
              <w:rPr>
                <w:rFonts w:hint="eastAsia" w:ascii="仿宋" w:hAnsi="仿宋" w:eastAsia="仿宋" w:cs="仿宋"/>
                <w:color w:val="auto"/>
                <w:kern w:val="2"/>
                <w:sz w:val="21"/>
                <w:szCs w:val="21"/>
                <w:highlight w:val="none"/>
                <w:lang w:val="en-US" w:eastAsia="zh-CN" w:bidi="ar-SA"/>
              </w:rPr>
              <w:t>的得7分；</w:t>
            </w:r>
          </w:p>
          <w:p w14:paraId="6F63FBEA">
            <w:pPr>
              <w:pStyle w:val="32"/>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设计方案基本符合采购需求，设计布局欠合理的得4分。</w:t>
            </w:r>
          </w:p>
        </w:tc>
        <w:tc>
          <w:tcPr>
            <w:tcW w:w="639" w:type="dxa"/>
            <w:tcBorders>
              <w:top w:val="single" w:color="auto" w:sz="4" w:space="0"/>
              <w:left w:val="single" w:color="auto" w:sz="4" w:space="0"/>
              <w:bottom w:val="single" w:color="auto" w:sz="4" w:space="0"/>
            </w:tcBorders>
            <w:vAlign w:val="center"/>
          </w:tcPr>
          <w:p w14:paraId="241495FE">
            <w:pPr>
              <w:tabs>
                <w:tab w:val="left" w:pos="0"/>
              </w:tabs>
              <w:spacing w:line="240"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r>
      <w:tr w14:paraId="673693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trPr>
        <w:tc>
          <w:tcPr>
            <w:tcW w:w="931" w:type="dxa"/>
            <w:gridSpan w:val="2"/>
            <w:vMerge w:val="continue"/>
            <w:tcBorders>
              <w:right w:val="single" w:color="auto" w:sz="4" w:space="0"/>
            </w:tcBorders>
            <w:vAlign w:val="center"/>
          </w:tcPr>
          <w:p w14:paraId="6D5E0C64">
            <w:pPr>
              <w:spacing w:line="240" w:lineRule="auto"/>
              <w:jc w:val="center"/>
              <w:rPr>
                <w:rFonts w:hint="eastAsia" w:ascii="仿宋" w:hAnsi="仿宋" w:eastAsia="仿宋" w:cs="仿宋"/>
                <w:color w:val="auto"/>
                <w:szCs w:val="21"/>
                <w:highlight w:val="none"/>
              </w:rPr>
            </w:pPr>
          </w:p>
        </w:tc>
        <w:tc>
          <w:tcPr>
            <w:tcW w:w="1125" w:type="dxa"/>
            <w:vMerge w:val="continue"/>
            <w:tcBorders>
              <w:right w:val="single" w:color="auto" w:sz="4" w:space="0"/>
            </w:tcBorders>
            <w:vAlign w:val="center"/>
          </w:tcPr>
          <w:p w14:paraId="75828BDE">
            <w:pPr>
              <w:spacing w:line="240" w:lineRule="auto"/>
              <w:jc w:val="center"/>
              <w:rPr>
                <w:rFonts w:hint="eastAsia" w:ascii="仿宋" w:hAnsi="仿宋" w:eastAsia="仿宋" w:cs="仿宋"/>
                <w:color w:val="auto"/>
                <w:szCs w:val="21"/>
                <w:highlight w:val="none"/>
              </w:rPr>
            </w:pPr>
          </w:p>
        </w:tc>
        <w:tc>
          <w:tcPr>
            <w:tcW w:w="1976" w:type="dxa"/>
            <w:tcBorders>
              <w:top w:val="single" w:color="auto" w:sz="4" w:space="0"/>
              <w:left w:val="single" w:color="auto" w:sz="4" w:space="0"/>
              <w:bottom w:val="single" w:color="auto" w:sz="4" w:space="0"/>
            </w:tcBorders>
            <w:shd w:val="clear" w:color="auto" w:fill="FFFFFF"/>
            <w:vAlign w:val="center"/>
          </w:tcPr>
          <w:p w14:paraId="61C05951">
            <w:pPr>
              <w:spacing w:line="360" w:lineRule="exact"/>
              <w:ind w:left="-51" w:leftChars="0"/>
              <w:jc w:val="center"/>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质量保证</w:t>
            </w:r>
          </w:p>
        </w:tc>
        <w:tc>
          <w:tcPr>
            <w:tcW w:w="5047" w:type="dxa"/>
            <w:tcBorders>
              <w:top w:val="single" w:color="auto" w:sz="4" w:space="0"/>
              <w:left w:val="single" w:color="auto" w:sz="4" w:space="0"/>
              <w:bottom w:val="single" w:color="auto" w:sz="4" w:space="0"/>
              <w:right w:val="single" w:color="auto" w:sz="4" w:space="0"/>
            </w:tcBorders>
            <w:shd w:val="clear" w:color="auto" w:fill="FFFFFF"/>
            <w:vAlign w:val="center"/>
          </w:tcPr>
          <w:p w14:paraId="316612AD">
            <w:pPr>
              <w:pStyle w:val="32"/>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根据投标人为保证本项目实施过程中的质量保证措施以及能达到臭气排放标准的合理性、科学性、全面性等由评委打分，（6分）。</w:t>
            </w:r>
          </w:p>
          <w:p w14:paraId="444AEB96">
            <w:pPr>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(1)能完全贴合采购人需求，合理可行、针对性强的得6分；</w:t>
            </w:r>
          </w:p>
          <w:p w14:paraId="5DE1F7F3">
            <w:pPr>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(2)能比较贴合采购人需求，较合理可行、针对性较强的得4分；</w:t>
            </w:r>
          </w:p>
          <w:p w14:paraId="3853AF78">
            <w:pPr>
              <w:pStyle w:val="32"/>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z w:val="21"/>
                <w:szCs w:val="21"/>
                <w:highlight w:val="none"/>
                <w:lang w:val="en-US" w:eastAsia="zh-CN"/>
              </w:rPr>
              <w:t>(3)能基本贴合采购人需求，合理性、可行性、针对性一般的得3分。</w:t>
            </w:r>
          </w:p>
        </w:tc>
        <w:tc>
          <w:tcPr>
            <w:tcW w:w="639" w:type="dxa"/>
            <w:tcBorders>
              <w:top w:val="single" w:color="auto" w:sz="4" w:space="0"/>
              <w:left w:val="single" w:color="auto" w:sz="4" w:space="0"/>
              <w:bottom w:val="single" w:color="auto" w:sz="4" w:space="0"/>
            </w:tcBorders>
            <w:vAlign w:val="center"/>
          </w:tcPr>
          <w:p w14:paraId="3FFBA897">
            <w:pPr>
              <w:tabs>
                <w:tab w:val="left" w:pos="0"/>
              </w:tabs>
              <w:spacing w:line="240"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r>
      <w:tr w14:paraId="76F873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trPr>
        <w:tc>
          <w:tcPr>
            <w:tcW w:w="931" w:type="dxa"/>
            <w:gridSpan w:val="2"/>
            <w:vMerge w:val="continue"/>
            <w:tcBorders>
              <w:right w:val="single" w:color="auto" w:sz="4" w:space="0"/>
            </w:tcBorders>
            <w:vAlign w:val="center"/>
          </w:tcPr>
          <w:p w14:paraId="5873D94F">
            <w:pPr>
              <w:spacing w:line="240" w:lineRule="auto"/>
              <w:jc w:val="center"/>
              <w:rPr>
                <w:rFonts w:hint="eastAsia" w:ascii="仿宋" w:hAnsi="仿宋" w:eastAsia="仿宋" w:cs="仿宋"/>
                <w:color w:val="auto"/>
                <w:szCs w:val="21"/>
                <w:highlight w:val="none"/>
              </w:rPr>
            </w:pPr>
          </w:p>
        </w:tc>
        <w:tc>
          <w:tcPr>
            <w:tcW w:w="1125" w:type="dxa"/>
            <w:vMerge w:val="continue"/>
            <w:tcBorders>
              <w:right w:val="single" w:color="auto" w:sz="4" w:space="0"/>
            </w:tcBorders>
            <w:vAlign w:val="center"/>
          </w:tcPr>
          <w:p w14:paraId="2FEA5D02">
            <w:pPr>
              <w:spacing w:line="240" w:lineRule="auto"/>
              <w:jc w:val="center"/>
              <w:rPr>
                <w:rFonts w:hint="eastAsia" w:ascii="仿宋" w:hAnsi="仿宋" w:eastAsia="仿宋" w:cs="仿宋"/>
                <w:color w:val="auto"/>
                <w:szCs w:val="21"/>
                <w:highlight w:val="none"/>
              </w:rPr>
            </w:pPr>
          </w:p>
        </w:tc>
        <w:tc>
          <w:tcPr>
            <w:tcW w:w="1976" w:type="dxa"/>
            <w:tcBorders>
              <w:top w:val="single" w:color="auto" w:sz="4" w:space="0"/>
              <w:left w:val="single" w:color="auto" w:sz="4" w:space="0"/>
              <w:bottom w:val="single" w:color="auto" w:sz="4" w:space="0"/>
            </w:tcBorders>
            <w:shd w:val="clear" w:color="auto" w:fill="FFFFFF"/>
            <w:vAlign w:val="center"/>
          </w:tcPr>
          <w:p w14:paraId="4F3BC30F">
            <w:pPr>
              <w:spacing w:line="360" w:lineRule="exact"/>
              <w:ind w:left="-51" w:lef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质保期</w:t>
            </w:r>
          </w:p>
        </w:tc>
        <w:tc>
          <w:tcPr>
            <w:tcW w:w="5047" w:type="dxa"/>
            <w:tcBorders>
              <w:top w:val="single" w:color="auto" w:sz="4" w:space="0"/>
              <w:left w:val="single" w:color="auto" w:sz="4" w:space="0"/>
              <w:bottom w:val="single" w:color="auto" w:sz="4" w:space="0"/>
              <w:right w:val="single" w:color="auto" w:sz="4" w:space="0"/>
            </w:tcBorders>
            <w:shd w:val="clear" w:color="auto" w:fill="FFFFFF"/>
            <w:vAlign w:val="center"/>
          </w:tcPr>
          <w:p w14:paraId="0EFEF79F">
            <w:pPr>
              <w:spacing w:line="240" w:lineRule="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z w:val="21"/>
                <w:szCs w:val="21"/>
                <w:highlight w:val="none"/>
                <w:lang w:val="en-US" w:eastAsia="zh-CN"/>
              </w:rPr>
              <w:t>投标人对质保期的承诺在1年基础上每增加半年加0.5分，最多得1分。（提供相关承诺函，不提供不得分）</w:t>
            </w:r>
          </w:p>
        </w:tc>
        <w:tc>
          <w:tcPr>
            <w:tcW w:w="639" w:type="dxa"/>
            <w:tcBorders>
              <w:top w:val="single" w:color="auto" w:sz="4" w:space="0"/>
              <w:left w:val="single" w:color="auto" w:sz="4" w:space="0"/>
              <w:bottom w:val="single" w:color="auto" w:sz="4" w:space="0"/>
            </w:tcBorders>
            <w:vAlign w:val="center"/>
          </w:tcPr>
          <w:p w14:paraId="52A817F4">
            <w:pPr>
              <w:tabs>
                <w:tab w:val="left" w:pos="0"/>
              </w:tabs>
              <w:spacing w:line="240"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p>
        </w:tc>
      </w:tr>
      <w:tr w14:paraId="1CC202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trPr>
        <w:tc>
          <w:tcPr>
            <w:tcW w:w="931" w:type="dxa"/>
            <w:gridSpan w:val="2"/>
            <w:vMerge w:val="continue"/>
            <w:tcBorders>
              <w:right w:val="single" w:color="auto" w:sz="4" w:space="0"/>
            </w:tcBorders>
            <w:vAlign w:val="center"/>
          </w:tcPr>
          <w:p w14:paraId="18DD0D7C">
            <w:pPr>
              <w:spacing w:line="240" w:lineRule="auto"/>
              <w:jc w:val="center"/>
              <w:rPr>
                <w:rFonts w:hint="eastAsia" w:ascii="仿宋" w:hAnsi="仿宋" w:eastAsia="仿宋" w:cs="仿宋"/>
                <w:color w:val="auto"/>
                <w:szCs w:val="21"/>
                <w:highlight w:val="none"/>
              </w:rPr>
            </w:pPr>
          </w:p>
        </w:tc>
        <w:tc>
          <w:tcPr>
            <w:tcW w:w="1125" w:type="dxa"/>
            <w:vMerge w:val="continue"/>
            <w:tcBorders>
              <w:right w:val="single" w:color="auto" w:sz="4" w:space="0"/>
            </w:tcBorders>
            <w:vAlign w:val="center"/>
          </w:tcPr>
          <w:p w14:paraId="458B0ED2">
            <w:pPr>
              <w:spacing w:line="240" w:lineRule="auto"/>
              <w:jc w:val="center"/>
              <w:rPr>
                <w:rFonts w:hint="eastAsia" w:ascii="仿宋" w:hAnsi="仿宋" w:eastAsia="仿宋" w:cs="仿宋"/>
                <w:color w:val="auto"/>
                <w:szCs w:val="21"/>
                <w:highlight w:val="none"/>
              </w:rPr>
            </w:pPr>
          </w:p>
        </w:tc>
        <w:tc>
          <w:tcPr>
            <w:tcW w:w="1976" w:type="dxa"/>
            <w:tcBorders>
              <w:top w:val="single" w:color="auto" w:sz="4" w:space="0"/>
              <w:left w:val="single" w:color="auto" w:sz="4" w:space="0"/>
              <w:bottom w:val="single" w:color="auto" w:sz="4" w:space="0"/>
            </w:tcBorders>
            <w:vAlign w:val="center"/>
          </w:tcPr>
          <w:p w14:paraId="5B7BF981">
            <w:pPr>
              <w:spacing w:line="360" w:lineRule="exact"/>
              <w:ind w:left="-51" w:leftChars="0"/>
              <w:jc w:val="center"/>
              <w:rPr>
                <w:rFonts w:hint="eastAsia" w:ascii="仿宋" w:hAnsi="仿宋" w:eastAsia="仿宋" w:cs="仿宋"/>
                <w:color w:val="auto"/>
                <w:sz w:val="21"/>
                <w:szCs w:val="21"/>
                <w:highlight w:val="none"/>
              </w:rPr>
            </w:pPr>
            <w:r>
              <w:rPr>
                <w:rFonts w:hint="eastAsia" w:ascii="仿宋" w:hAnsi="仿宋" w:eastAsia="仿宋" w:cs="仿宋"/>
                <w:b w:val="0"/>
                <w:bCs/>
                <w:color w:val="auto"/>
                <w:sz w:val="21"/>
                <w:szCs w:val="21"/>
                <w:highlight w:val="none"/>
                <w:lang w:val="en-US" w:eastAsia="zh-CN"/>
              </w:rPr>
              <w:t>备品备件</w:t>
            </w:r>
          </w:p>
        </w:tc>
        <w:tc>
          <w:tcPr>
            <w:tcW w:w="5047" w:type="dxa"/>
            <w:tcBorders>
              <w:top w:val="single" w:color="auto" w:sz="4" w:space="0"/>
              <w:left w:val="single" w:color="auto" w:sz="4" w:space="0"/>
              <w:bottom w:val="single" w:color="auto" w:sz="4" w:space="0"/>
              <w:right w:val="single" w:color="auto" w:sz="4" w:space="0"/>
            </w:tcBorders>
            <w:vAlign w:val="center"/>
          </w:tcPr>
          <w:p w14:paraId="0F74AACB">
            <w:pPr>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根据投标人对质保期外3年内提供配件的优惠承诺进行打分。（提供相关优惠承诺函）</w:t>
            </w:r>
          </w:p>
        </w:tc>
        <w:tc>
          <w:tcPr>
            <w:tcW w:w="639" w:type="dxa"/>
            <w:tcBorders>
              <w:top w:val="single" w:color="auto" w:sz="4" w:space="0"/>
              <w:left w:val="single" w:color="auto" w:sz="4" w:space="0"/>
              <w:bottom w:val="single" w:color="auto" w:sz="4" w:space="0"/>
            </w:tcBorders>
            <w:vAlign w:val="center"/>
          </w:tcPr>
          <w:p w14:paraId="2846B84C">
            <w:pPr>
              <w:tabs>
                <w:tab w:val="left" w:pos="0"/>
              </w:tabs>
              <w:spacing w:line="240"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w:t>
            </w:r>
          </w:p>
        </w:tc>
      </w:tr>
      <w:tr w14:paraId="17BCF5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trPr>
        <w:tc>
          <w:tcPr>
            <w:tcW w:w="931" w:type="dxa"/>
            <w:gridSpan w:val="2"/>
            <w:vMerge w:val="continue"/>
            <w:tcBorders>
              <w:right w:val="single" w:color="auto" w:sz="4" w:space="0"/>
            </w:tcBorders>
            <w:vAlign w:val="center"/>
          </w:tcPr>
          <w:p w14:paraId="6200D8D7">
            <w:pPr>
              <w:spacing w:line="240" w:lineRule="auto"/>
              <w:jc w:val="center"/>
              <w:rPr>
                <w:rFonts w:hint="eastAsia" w:ascii="仿宋" w:hAnsi="仿宋" w:eastAsia="仿宋" w:cs="仿宋"/>
                <w:color w:val="auto"/>
                <w:szCs w:val="21"/>
                <w:highlight w:val="none"/>
              </w:rPr>
            </w:pPr>
          </w:p>
        </w:tc>
        <w:tc>
          <w:tcPr>
            <w:tcW w:w="1125" w:type="dxa"/>
            <w:vMerge w:val="continue"/>
            <w:tcBorders>
              <w:right w:val="single" w:color="auto" w:sz="4" w:space="0"/>
            </w:tcBorders>
            <w:vAlign w:val="center"/>
          </w:tcPr>
          <w:p w14:paraId="7B19526B">
            <w:pPr>
              <w:spacing w:line="240" w:lineRule="auto"/>
              <w:jc w:val="center"/>
              <w:rPr>
                <w:rFonts w:hint="eastAsia" w:ascii="仿宋" w:hAnsi="仿宋" w:eastAsia="仿宋" w:cs="仿宋"/>
                <w:color w:val="auto"/>
                <w:szCs w:val="21"/>
                <w:highlight w:val="none"/>
              </w:rPr>
            </w:pPr>
          </w:p>
        </w:tc>
        <w:tc>
          <w:tcPr>
            <w:tcW w:w="1976" w:type="dxa"/>
            <w:vMerge w:val="restart"/>
            <w:tcBorders>
              <w:top w:val="single" w:color="auto" w:sz="4" w:space="0"/>
              <w:left w:val="single" w:color="auto" w:sz="4" w:space="0"/>
            </w:tcBorders>
            <w:vAlign w:val="center"/>
          </w:tcPr>
          <w:p w14:paraId="0699C22D">
            <w:pPr>
              <w:tabs>
                <w:tab w:val="left" w:pos="0"/>
              </w:tabs>
              <w:spacing w:line="240" w:lineRule="auto"/>
              <w:jc w:val="center"/>
              <w:rPr>
                <w:rFonts w:hint="eastAsia" w:ascii="仿宋" w:hAnsi="仿宋" w:eastAsia="仿宋" w:cs="仿宋"/>
                <w:b w:val="0"/>
                <w:bCs/>
                <w:color w:val="auto"/>
                <w:sz w:val="21"/>
                <w:szCs w:val="21"/>
                <w:highlight w:val="none"/>
              </w:rPr>
            </w:pPr>
            <w:r>
              <w:rPr>
                <w:rFonts w:hint="eastAsia" w:ascii="仿宋" w:hAnsi="仿宋" w:eastAsia="仿宋" w:cs="仿宋"/>
                <w:color w:val="auto"/>
                <w:sz w:val="21"/>
                <w:szCs w:val="21"/>
                <w:highlight w:val="none"/>
              </w:rPr>
              <w:t>售后服务方案</w:t>
            </w:r>
          </w:p>
        </w:tc>
        <w:tc>
          <w:tcPr>
            <w:tcW w:w="5047" w:type="dxa"/>
            <w:tcBorders>
              <w:top w:val="single" w:color="auto" w:sz="4" w:space="0"/>
              <w:left w:val="single" w:color="auto" w:sz="4" w:space="0"/>
              <w:bottom w:val="single" w:color="auto" w:sz="4" w:space="0"/>
              <w:right w:val="single" w:color="auto" w:sz="4" w:space="0"/>
            </w:tcBorders>
            <w:vAlign w:val="center"/>
          </w:tcPr>
          <w:p w14:paraId="4B4C186D">
            <w:pPr>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针对本项目的售后服务内容、售后服务响应体系和就近服务点介绍等</w:t>
            </w:r>
            <w:r>
              <w:rPr>
                <w:rFonts w:hint="eastAsia" w:ascii="仿宋" w:hAnsi="仿宋" w:eastAsia="仿宋" w:cs="仿宋"/>
                <w:color w:val="auto"/>
                <w:sz w:val="21"/>
                <w:szCs w:val="21"/>
                <w:highlight w:val="none"/>
                <w:lang w:eastAsia="zh-CN"/>
              </w:rPr>
              <w:t>内容</w:t>
            </w:r>
            <w:r>
              <w:rPr>
                <w:rFonts w:hint="eastAsia" w:ascii="仿宋" w:hAnsi="仿宋" w:eastAsia="仿宋" w:cs="仿宋"/>
                <w:color w:val="auto"/>
                <w:sz w:val="21"/>
                <w:szCs w:val="21"/>
                <w:highlight w:val="none"/>
              </w:rPr>
              <w:t>打分；</w:t>
            </w:r>
          </w:p>
          <w:p w14:paraId="1DBD0232">
            <w:pPr>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(1)能完全贴合采购人需求，合理可行、针对性强的得3分；</w:t>
            </w:r>
          </w:p>
          <w:p w14:paraId="56361131">
            <w:pPr>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(2)能比较贴合采购人需求，较合理可行、针对性较强的得2分；</w:t>
            </w:r>
          </w:p>
          <w:p w14:paraId="0DA45768">
            <w:pPr>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(3)能基本贴合采购人需求，合理性、可行性、针对性一般的得1分。</w:t>
            </w:r>
          </w:p>
        </w:tc>
        <w:tc>
          <w:tcPr>
            <w:tcW w:w="639" w:type="dxa"/>
            <w:tcBorders>
              <w:top w:val="single" w:color="auto" w:sz="4" w:space="0"/>
              <w:left w:val="single" w:color="auto" w:sz="4" w:space="0"/>
              <w:bottom w:val="single" w:color="auto" w:sz="4" w:space="0"/>
            </w:tcBorders>
            <w:vAlign w:val="center"/>
          </w:tcPr>
          <w:p w14:paraId="0374A951">
            <w:pPr>
              <w:tabs>
                <w:tab w:val="left" w:pos="0"/>
              </w:tabs>
              <w:spacing w:line="240"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w:t>
            </w:r>
          </w:p>
        </w:tc>
      </w:tr>
      <w:tr w14:paraId="714D4A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trPr>
        <w:tc>
          <w:tcPr>
            <w:tcW w:w="931" w:type="dxa"/>
            <w:gridSpan w:val="2"/>
            <w:vMerge w:val="continue"/>
            <w:tcBorders>
              <w:right w:val="single" w:color="auto" w:sz="4" w:space="0"/>
            </w:tcBorders>
            <w:vAlign w:val="center"/>
          </w:tcPr>
          <w:p w14:paraId="7DC0CA49">
            <w:pPr>
              <w:spacing w:line="240" w:lineRule="auto"/>
              <w:jc w:val="center"/>
              <w:rPr>
                <w:rFonts w:hint="eastAsia" w:ascii="仿宋" w:hAnsi="仿宋" w:eastAsia="仿宋" w:cs="仿宋"/>
                <w:color w:val="auto"/>
                <w:szCs w:val="21"/>
                <w:highlight w:val="none"/>
              </w:rPr>
            </w:pPr>
          </w:p>
        </w:tc>
        <w:tc>
          <w:tcPr>
            <w:tcW w:w="1125" w:type="dxa"/>
            <w:vMerge w:val="continue"/>
            <w:tcBorders>
              <w:right w:val="single" w:color="auto" w:sz="4" w:space="0"/>
            </w:tcBorders>
            <w:vAlign w:val="center"/>
          </w:tcPr>
          <w:p w14:paraId="2CA2632E">
            <w:pPr>
              <w:spacing w:line="240" w:lineRule="auto"/>
              <w:jc w:val="center"/>
              <w:rPr>
                <w:rFonts w:hint="eastAsia" w:ascii="仿宋" w:hAnsi="仿宋" w:eastAsia="仿宋" w:cs="仿宋"/>
                <w:color w:val="auto"/>
                <w:szCs w:val="21"/>
                <w:highlight w:val="none"/>
              </w:rPr>
            </w:pPr>
          </w:p>
        </w:tc>
        <w:tc>
          <w:tcPr>
            <w:tcW w:w="1976" w:type="dxa"/>
            <w:vMerge w:val="continue"/>
            <w:tcBorders>
              <w:left w:val="single" w:color="auto" w:sz="4" w:space="0"/>
              <w:bottom w:val="single" w:color="auto" w:sz="4" w:space="0"/>
            </w:tcBorders>
            <w:vAlign w:val="center"/>
          </w:tcPr>
          <w:p w14:paraId="24190C27">
            <w:pPr>
              <w:tabs>
                <w:tab w:val="left" w:pos="0"/>
              </w:tabs>
              <w:spacing w:line="240" w:lineRule="auto"/>
              <w:jc w:val="center"/>
              <w:rPr>
                <w:rFonts w:hint="eastAsia" w:ascii="仿宋" w:hAnsi="仿宋" w:eastAsia="仿宋" w:cs="仿宋"/>
                <w:b w:val="0"/>
                <w:bCs/>
                <w:color w:val="auto"/>
                <w:sz w:val="21"/>
                <w:szCs w:val="21"/>
                <w:highlight w:val="none"/>
              </w:rPr>
            </w:pPr>
          </w:p>
        </w:tc>
        <w:tc>
          <w:tcPr>
            <w:tcW w:w="5047" w:type="dxa"/>
            <w:tcBorders>
              <w:top w:val="single" w:color="auto" w:sz="4" w:space="0"/>
              <w:left w:val="single" w:color="auto" w:sz="4" w:space="0"/>
              <w:bottom w:val="single" w:color="auto" w:sz="4" w:space="0"/>
              <w:right w:val="single" w:color="auto" w:sz="4" w:space="0"/>
            </w:tcBorders>
            <w:vAlign w:val="center"/>
          </w:tcPr>
          <w:p w14:paraId="5E02609E">
            <w:pPr>
              <w:spacing w:line="240"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售后服务应该包括</w:t>
            </w:r>
            <w:r>
              <w:rPr>
                <w:rFonts w:hint="eastAsia" w:ascii="仿宋" w:hAnsi="仿宋" w:eastAsia="仿宋" w:cs="仿宋"/>
                <w:color w:val="auto"/>
                <w:sz w:val="21"/>
                <w:szCs w:val="21"/>
                <w:highlight w:val="none"/>
                <w:lang w:eastAsia="zh-CN"/>
              </w:rPr>
              <w:t>设备维护</w:t>
            </w:r>
            <w:r>
              <w:rPr>
                <w:rFonts w:hint="eastAsia" w:ascii="仿宋" w:hAnsi="仿宋" w:eastAsia="仿宋" w:cs="仿宋"/>
                <w:color w:val="auto"/>
                <w:sz w:val="21"/>
                <w:szCs w:val="21"/>
                <w:highlight w:val="none"/>
              </w:rPr>
              <w:t>培训方案，包括培训内容、人次、培训形式以及后续相关技术支持服务</w:t>
            </w:r>
            <w:r>
              <w:rPr>
                <w:rFonts w:hint="eastAsia" w:ascii="仿宋" w:hAnsi="仿宋" w:eastAsia="仿宋" w:cs="仿宋"/>
                <w:color w:val="auto"/>
                <w:sz w:val="21"/>
                <w:szCs w:val="21"/>
                <w:highlight w:val="none"/>
                <w:lang w:eastAsia="zh-CN"/>
              </w:rPr>
              <w:t>等内容打分；</w:t>
            </w:r>
          </w:p>
          <w:p w14:paraId="36D39B15">
            <w:pPr>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(1)能完全贴合采购人需求，合理可行、针对性强的得3分；</w:t>
            </w:r>
          </w:p>
          <w:p w14:paraId="614C2F00">
            <w:pPr>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(2)能比较贴合采购人需求，较合理可行、针对性较强的得2分；</w:t>
            </w:r>
          </w:p>
          <w:p w14:paraId="4E03272F">
            <w:pPr>
              <w:pStyle w:val="38"/>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(3)能基本贴合采购人需求，合理性、可行性、针对性一般的得1分。</w:t>
            </w:r>
          </w:p>
        </w:tc>
        <w:tc>
          <w:tcPr>
            <w:tcW w:w="639" w:type="dxa"/>
            <w:tcBorders>
              <w:top w:val="single" w:color="auto" w:sz="4" w:space="0"/>
              <w:left w:val="single" w:color="auto" w:sz="4" w:space="0"/>
              <w:bottom w:val="single" w:color="auto" w:sz="4" w:space="0"/>
            </w:tcBorders>
            <w:vAlign w:val="center"/>
          </w:tcPr>
          <w:p w14:paraId="77B5768C">
            <w:pPr>
              <w:tabs>
                <w:tab w:val="left" w:pos="0"/>
              </w:tabs>
              <w:spacing w:line="240"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w:t>
            </w:r>
          </w:p>
        </w:tc>
      </w:tr>
      <w:tr w14:paraId="7915AF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trPr>
        <w:tc>
          <w:tcPr>
            <w:tcW w:w="931" w:type="dxa"/>
            <w:gridSpan w:val="2"/>
            <w:vMerge w:val="continue"/>
            <w:tcBorders>
              <w:right w:val="single" w:color="auto" w:sz="4" w:space="0"/>
            </w:tcBorders>
            <w:vAlign w:val="center"/>
          </w:tcPr>
          <w:p w14:paraId="0C8F2B99">
            <w:pPr>
              <w:spacing w:line="240" w:lineRule="auto"/>
              <w:jc w:val="center"/>
              <w:rPr>
                <w:rFonts w:hint="eastAsia" w:ascii="仿宋" w:hAnsi="仿宋" w:eastAsia="仿宋" w:cs="仿宋"/>
                <w:color w:val="auto"/>
                <w:szCs w:val="21"/>
                <w:highlight w:val="none"/>
              </w:rPr>
            </w:pPr>
          </w:p>
        </w:tc>
        <w:tc>
          <w:tcPr>
            <w:tcW w:w="1125" w:type="dxa"/>
            <w:vMerge w:val="continue"/>
            <w:tcBorders>
              <w:right w:val="single" w:color="auto" w:sz="4" w:space="0"/>
            </w:tcBorders>
            <w:vAlign w:val="center"/>
          </w:tcPr>
          <w:p w14:paraId="0F066153">
            <w:pPr>
              <w:spacing w:line="240" w:lineRule="auto"/>
              <w:jc w:val="center"/>
              <w:rPr>
                <w:rFonts w:hint="eastAsia" w:ascii="仿宋" w:hAnsi="仿宋" w:eastAsia="仿宋" w:cs="仿宋"/>
                <w:color w:val="auto"/>
                <w:szCs w:val="21"/>
                <w:highlight w:val="none"/>
              </w:rPr>
            </w:pPr>
          </w:p>
        </w:tc>
        <w:tc>
          <w:tcPr>
            <w:tcW w:w="1976" w:type="dxa"/>
            <w:tcBorders>
              <w:top w:val="single" w:color="auto" w:sz="4" w:space="0"/>
              <w:left w:val="single" w:color="auto" w:sz="4" w:space="0"/>
              <w:bottom w:val="single" w:color="auto" w:sz="4" w:space="0"/>
            </w:tcBorders>
            <w:vAlign w:val="center"/>
          </w:tcPr>
          <w:p w14:paraId="48AE425F">
            <w:pPr>
              <w:tabs>
                <w:tab w:val="left" w:pos="0"/>
              </w:tabs>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人员</w:t>
            </w:r>
            <w:r>
              <w:rPr>
                <w:rFonts w:hint="eastAsia" w:ascii="仿宋" w:hAnsi="仿宋" w:eastAsia="仿宋" w:cs="仿宋"/>
                <w:color w:val="auto"/>
                <w:sz w:val="21"/>
                <w:szCs w:val="21"/>
                <w:highlight w:val="none"/>
              </w:rPr>
              <w:t>培训方案</w:t>
            </w:r>
          </w:p>
        </w:tc>
        <w:tc>
          <w:tcPr>
            <w:tcW w:w="5047" w:type="dxa"/>
            <w:tcBorders>
              <w:top w:val="single" w:color="auto" w:sz="4" w:space="0"/>
              <w:left w:val="single" w:color="auto" w:sz="4" w:space="0"/>
              <w:bottom w:val="single" w:color="auto" w:sz="4" w:space="0"/>
              <w:right w:val="single" w:color="auto" w:sz="4" w:space="0"/>
            </w:tcBorders>
            <w:vAlign w:val="center"/>
          </w:tcPr>
          <w:p w14:paraId="3CBFAD00">
            <w:pPr>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根据</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提出的培训计划内容完整性、安排科学合理针对性进行由</w:t>
            </w:r>
            <w:r>
              <w:rPr>
                <w:rFonts w:hint="eastAsia" w:ascii="仿宋" w:hAnsi="仿宋" w:eastAsia="仿宋" w:cs="仿宋"/>
                <w:color w:val="auto"/>
                <w:sz w:val="21"/>
                <w:szCs w:val="21"/>
                <w:highlight w:val="none"/>
                <w:lang w:val="en-US" w:eastAsia="zh-CN"/>
              </w:rPr>
              <w:t>评委打分</w:t>
            </w:r>
            <w:r>
              <w:rPr>
                <w:rFonts w:hint="eastAsia" w:ascii="仿宋" w:hAnsi="仿宋" w:eastAsia="仿宋" w:cs="仿宋"/>
                <w:color w:val="auto"/>
                <w:sz w:val="21"/>
                <w:szCs w:val="21"/>
                <w:highlight w:val="none"/>
              </w:rPr>
              <w:t>。</w:t>
            </w:r>
          </w:p>
          <w:p w14:paraId="657E85AC">
            <w:pPr>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(1)能完全贴合采购人需求，合理可行、针对性强的得3分；</w:t>
            </w:r>
          </w:p>
          <w:p w14:paraId="38AE452D">
            <w:pPr>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(2)能比较贴合采购人需求，较合理可行、针对性较强的得2分；</w:t>
            </w:r>
          </w:p>
          <w:p w14:paraId="5435D551">
            <w:pPr>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(3)能基本贴合采购人需求，合理性、可行性、针对性一般的得1分。</w:t>
            </w:r>
          </w:p>
        </w:tc>
        <w:tc>
          <w:tcPr>
            <w:tcW w:w="639" w:type="dxa"/>
            <w:tcBorders>
              <w:top w:val="single" w:color="auto" w:sz="4" w:space="0"/>
              <w:left w:val="single" w:color="auto" w:sz="4" w:space="0"/>
              <w:bottom w:val="single" w:color="auto" w:sz="4" w:space="0"/>
            </w:tcBorders>
            <w:vAlign w:val="center"/>
          </w:tcPr>
          <w:p w14:paraId="79348813">
            <w:pPr>
              <w:tabs>
                <w:tab w:val="left" w:pos="0"/>
              </w:tabs>
              <w:spacing w:line="240"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w:t>
            </w:r>
          </w:p>
        </w:tc>
      </w:tr>
      <w:tr w14:paraId="64E8FD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trPr>
        <w:tc>
          <w:tcPr>
            <w:tcW w:w="931" w:type="dxa"/>
            <w:gridSpan w:val="2"/>
            <w:vMerge w:val="continue"/>
            <w:tcBorders>
              <w:right w:val="single" w:color="auto" w:sz="4" w:space="0"/>
            </w:tcBorders>
            <w:vAlign w:val="center"/>
          </w:tcPr>
          <w:p w14:paraId="2DFDB431">
            <w:pPr>
              <w:spacing w:line="240" w:lineRule="auto"/>
              <w:jc w:val="center"/>
              <w:rPr>
                <w:rFonts w:hint="eastAsia" w:ascii="仿宋" w:hAnsi="仿宋" w:eastAsia="仿宋" w:cs="仿宋"/>
                <w:color w:val="auto"/>
                <w:szCs w:val="21"/>
                <w:highlight w:val="none"/>
              </w:rPr>
            </w:pPr>
          </w:p>
        </w:tc>
        <w:tc>
          <w:tcPr>
            <w:tcW w:w="1125" w:type="dxa"/>
            <w:vMerge w:val="continue"/>
            <w:tcBorders>
              <w:right w:val="single" w:color="auto" w:sz="4" w:space="0"/>
            </w:tcBorders>
            <w:vAlign w:val="center"/>
          </w:tcPr>
          <w:p w14:paraId="28D8ED9B">
            <w:pPr>
              <w:spacing w:line="240" w:lineRule="auto"/>
              <w:jc w:val="center"/>
              <w:rPr>
                <w:rFonts w:hint="eastAsia" w:ascii="仿宋" w:hAnsi="仿宋" w:eastAsia="仿宋" w:cs="仿宋"/>
                <w:color w:val="auto"/>
                <w:szCs w:val="21"/>
                <w:highlight w:val="none"/>
              </w:rPr>
            </w:pPr>
          </w:p>
        </w:tc>
        <w:tc>
          <w:tcPr>
            <w:tcW w:w="1976" w:type="dxa"/>
            <w:tcBorders>
              <w:top w:val="single" w:color="auto" w:sz="4" w:space="0"/>
              <w:left w:val="single" w:color="auto" w:sz="4" w:space="0"/>
              <w:bottom w:val="single" w:color="auto" w:sz="4" w:space="0"/>
            </w:tcBorders>
            <w:vAlign w:val="center"/>
          </w:tcPr>
          <w:p w14:paraId="1686E9B5">
            <w:pPr>
              <w:tabs>
                <w:tab w:val="left" w:pos="0"/>
              </w:tabs>
              <w:spacing w:line="24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突发事件应急预案</w:t>
            </w:r>
          </w:p>
        </w:tc>
        <w:tc>
          <w:tcPr>
            <w:tcW w:w="5047" w:type="dxa"/>
            <w:tcBorders>
              <w:top w:val="single" w:color="auto" w:sz="4" w:space="0"/>
              <w:left w:val="single" w:color="auto" w:sz="4" w:space="0"/>
              <w:bottom w:val="single" w:color="auto" w:sz="4" w:space="0"/>
              <w:right w:val="single" w:color="auto" w:sz="4" w:space="0"/>
            </w:tcBorders>
            <w:vAlign w:val="center"/>
          </w:tcPr>
          <w:p w14:paraId="473A8035">
            <w:pPr>
              <w:tabs>
                <w:tab w:val="left" w:pos="0"/>
              </w:tabs>
              <w:spacing w:line="24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根据投标人提供的应急预案，突击保障、突发问题解决、故障的响应速度以及处理方案等是否具有可靠性和周密性等由评委打分。</w:t>
            </w:r>
          </w:p>
          <w:p w14:paraId="67AE3DD0">
            <w:pPr>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(1)方案合理可行、针对性强的得3分；</w:t>
            </w:r>
          </w:p>
          <w:p w14:paraId="06218E09">
            <w:pPr>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(2)方案较合理可行、针对性较强的得2分；</w:t>
            </w:r>
          </w:p>
          <w:p w14:paraId="704808ED">
            <w:pPr>
              <w:tabs>
                <w:tab w:val="left" w:pos="0"/>
              </w:tabs>
              <w:spacing w:line="24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(3)方案合理性、可行性、针对性一般的得1分。</w:t>
            </w:r>
          </w:p>
        </w:tc>
        <w:tc>
          <w:tcPr>
            <w:tcW w:w="639" w:type="dxa"/>
            <w:tcBorders>
              <w:top w:val="single" w:color="auto" w:sz="4" w:space="0"/>
              <w:left w:val="single" w:color="auto" w:sz="4" w:space="0"/>
              <w:bottom w:val="single" w:color="auto" w:sz="4" w:space="0"/>
            </w:tcBorders>
            <w:vAlign w:val="center"/>
          </w:tcPr>
          <w:p w14:paraId="09A3048A">
            <w:pPr>
              <w:tabs>
                <w:tab w:val="left" w:pos="0"/>
              </w:tabs>
              <w:spacing w:line="240"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w:t>
            </w:r>
          </w:p>
        </w:tc>
      </w:tr>
      <w:tr w14:paraId="7A5791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trPr>
        <w:tc>
          <w:tcPr>
            <w:tcW w:w="931" w:type="dxa"/>
            <w:gridSpan w:val="2"/>
            <w:vMerge w:val="continue"/>
            <w:tcBorders>
              <w:right w:val="single" w:color="auto" w:sz="4" w:space="0"/>
            </w:tcBorders>
            <w:vAlign w:val="center"/>
          </w:tcPr>
          <w:p w14:paraId="5CEC254C">
            <w:pPr>
              <w:spacing w:line="240" w:lineRule="auto"/>
              <w:jc w:val="center"/>
              <w:rPr>
                <w:rFonts w:hint="eastAsia" w:ascii="仿宋" w:hAnsi="仿宋" w:eastAsia="仿宋" w:cs="仿宋"/>
                <w:color w:val="auto"/>
                <w:szCs w:val="21"/>
                <w:highlight w:val="none"/>
              </w:rPr>
            </w:pPr>
          </w:p>
        </w:tc>
        <w:tc>
          <w:tcPr>
            <w:tcW w:w="1125" w:type="dxa"/>
            <w:vMerge w:val="continue"/>
            <w:tcBorders>
              <w:right w:val="single" w:color="auto" w:sz="4" w:space="0"/>
            </w:tcBorders>
            <w:vAlign w:val="center"/>
          </w:tcPr>
          <w:p w14:paraId="40448F4A">
            <w:pPr>
              <w:spacing w:line="240" w:lineRule="auto"/>
              <w:jc w:val="center"/>
              <w:rPr>
                <w:rFonts w:hint="eastAsia" w:ascii="仿宋" w:hAnsi="仿宋" w:eastAsia="仿宋" w:cs="仿宋"/>
                <w:color w:val="auto"/>
                <w:szCs w:val="21"/>
                <w:highlight w:val="none"/>
              </w:rPr>
            </w:pPr>
          </w:p>
        </w:tc>
        <w:tc>
          <w:tcPr>
            <w:tcW w:w="1976" w:type="dxa"/>
            <w:tcBorders>
              <w:top w:val="single" w:color="auto" w:sz="4" w:space="0"/>
              <w:left w:val="single" w:color="auto" w:sz="4" w:space="0"/>
              <w:bottom w:val="single" w:color="auto" w:sz="4" w:space="0"/>
            </w:tcBorders>
            <w:vAlign w:val="center"/>
          </w:tcPr>
          <w:p w14:paraId="6DCD48D0">
            <w:pPr>
              <w:tabs>
                <w:tab w:val="left" w:pos="0"/>
              </w:tabs>
              <w:spacing w:line="24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环境标志产品、节能产品</w:t>
            </w:r>
          </w:p>
        </w:tc>
        <w:tc>
          <w:tcPr>
            <w:tcW w:w="5047" w:type="dxa"/>
            <w:tcBorders>
              <w:top w:val="single" w:color="auto" w:sz="4" w:space="0"/>
              <w:left w:val="single" w:color="auto" w:sz="4" w:space="0"/>
              <w:bottom w:val="single" w:color="auto" w:sz="4" w:space="0"/>
              <w:right w:val="single" w:color="auto" w:sz="4" w:space="0"/>
            </w:tcBorders>
            <w:vAlign w:val="center"/>
          </w:tcPr>
          <w:p w14:paraId="7B309A21">
            <w:pPr>
              <w:spacing w:line="24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投标产品取得有效的节能产品认证证书的，得0.5分（列入强制采购节能产品清单目录的产品不计分）。投标产品取得有效的环境标志产品认证证书的，得0.5分。</w:t>
            </w:r>
          </w:p>
        </w:tc>
        <w:tc>
          <w:tcPr>
            <w:tcW w:w="639" w:type="dxa"/>
            <w:tcBorders>
              <w:top w:val="single" w:color="auto" w:sz="4" w:space="0"/>
              <w:left w:val="single" w:color="auto" w:sz="4" w:space="0"/>
              <w:bottom w:val="single" w:color="auto" w:sz="4" w:space="0"/>
            </w:tcBorders>
            <w:vAlign w:val="center"/>
          </w:tcPr>
          <w:p w14:paraId="45F17D8B">
            <w:pPr>
              <w:tabs>
                <w:tab w:val="left" w:pos="0"/>
              </w:tabs>
              <w:spacing w:line="240"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p>
        </w:tc>
      </w:tr>
      <w:tr w14:paraId="5B624E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trPr>
        <w:tc>
          <w:tcPr>
            <w:tcW w:w="931" w:type="dxa"/>
            <w:gridSpan w:val="2"/>
            <w:vMerge w:val="continue"/>
            <w:tcBorders>
              <w:right w:val="single" w:color="auto" w:sz="4" w:space="0"/>
            </w:tcBorders>
            <w:vAlign w:val="center"/>
          </w:tcPr>
          <w:p w14:paraId="57DECD75">
            <w:pPr>
              <w:spacing w:line="240" w:lineRule="auto"/>
              <w:jc w:val="center"/>
              <w:rPr>
                <w:rFonts w:hint="eastAsia" w:ascii="仿宋" w:hAnsi="仿宋" w:eastAsia="仿宋" w:cs="仿宋"/>
                <w:color w:val="auto"/>
                <w:szCs w:val="21"/>
                <w:highlight w:val="none"/>
              </w:rPr>
            </w:pPr>
          </w:p>
        </w:tc>
        <w:tc>
          <w:tcPr>
            <w:tcW w:w="1125" w:type="dxa"/>
            <w:vMerge w:val="continue"/>
            <w:tcBorders>
              <w:right w:val="single" w:color="auto" w:sz="4" w:space="0"/>
            </w:tcBorders>
            <w:vAlign w:val="center"/>
          </w:tcPr>
          <w:p w14:paraId="34557420">
            <w:pPr>
              <w:spacing w:line="240" w:lineRule="auto"/>
              <w:jc w:val="center"/>
              <w:rPr>
                <w:rFonts w:hint="eastAsia" w:ascii="仿宋" w:hAnsi="仿宋" w:eastAsia="仿宋" w:cs="仿宋"/>
                <w:color w:val="auto"/>
                <w:szCs w:val="21"/>
                <w:highlight w:val="none"/>
              </w:rPr>
            </w:pPr>
          </w:p>
        </w:tc>
        <w:tc>
          <w:tcPr>
            <w:tcW w:w="7662" w:type="dxa"/>
            <w:gridSpan w:val="3"/>
            <w:tcBorders>
              <w:top w:val="single" w:color="auto" w:sz="4" w:space="0"/>
              <w:left w:val="single" w:color="auto" w:sz="4" w:space="0"/>
              <w:bottom w:val="single" w:color="auto" w:sz="4" w:space="0"/>
            </w:tcBorders>
            <w:vAlign w:val="center"/>
          </w:tcPr>
          <w:p w14:paraId="672FD18B">
            <w:pPr>
              <w:tabs>
                <w:tab w:val="left" w:pos="0"/>
              </w:tabs>
              <w:spacing w:line="240" w:lineRule="auto"/>
              <w:jc w:val="left"/>
              <w:rPr>
                <w:rFonts w:hint="eastAsia" w:ascii="仿宋" w:hAnsi="仿宋" w:eastAsia="仿宋" w:cs="仿宋"/>
                <w:color w:val="auto"/>
                <w:spacing w:val="0"/>
                <w:kern w:val="2"/>
                <w:sz w:val="21"/>
                <w:szCs w:val="21"/>
                <w:highlight w:val="none"/>
                <w:lang w:val="en-US" w:eastAsia="zh-CN" w:bidi="ar-SA"/>
              </w:rPr>
            </w:pPr>
            <w:r>
              <w:rPr>
                <w:rFonts w:hint="eastAsia" w:ascii="仿宋" w:hAnsi="仿宋" w:eastAsia="仿宋"/>
                <w:color w:val="auto"/>
                <w:szCs w:val="21"/>
                <w:highlight w:val="none"/>
              </w:rPr>
              <w:t>说明：</w:t>
            </w:r>
            <w:r>
              <w:rPr>
                <w:rFonts w:hint="eastAsia" w:ascii="仿宋" w:hAnsi="仿宋" w:eastAsia="仿宋" w:cs="仿宋"/>
                <w:color w:val="auto"/>
                <w:szCs w:val="21"/>
                <w:highlight w:val="none"/>
              </w:rPr>
              <w:t>每个评委根据上述评分内容和分值独立打分，然后将各评委汇总分的算术平均值作为该投标供应商的商务技术部分最后有效得分</w:t>
            </w:r>
          </w:p>
        </w:tc>
      </w:tr>
      <w:tr w14:paraId="0823F2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5" w:hRule="atLeast"/>
        </w:trPr>
        <w:tc>
          <w:tcPr>
            <w:tcW w:w="2056" w:type="dxa"/>
            <w:gridSpan w:val="3"/>
            <w:tcBorders>
              <w:top w:val="single" w:color="auto" w:sz="4" w:space="0"/>
              <w:bottom w:val="single" w:color="auto" w:sz="4" w:space="0"/>
              <w:right w:val="single" w:color="auto" w:sz="4" w:space="0"/>
            </w:tcBorders>
            <w:vAlign w:val="center"/>
          </w:tcPr>
          <w:p w14:paraId="1AFBBD7F">
            <w:pPr>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2.3.3</w:t>
            </w:r>
          </w:p>
        </w:tc>
        <w:tc>
          <w:tcPr>
            <w:tcW w:w="1976" w:type="dxa"/>
            <w:tcBorders>
              <w:top w:val="single" w:color="auto" w:sz="4" w:space="0"/>
              <w:left w:val="single" w:color="auto" w:sz="4" w:space="0"/>
              <w:bottom w:val="single" w:color="auto" w:sz="4" w:space="0"/>
              <w:right w:val="single" w:color="auto" w:sz="4" w:space="0"/>
            </w:tcBorders>
            <w:vAlign w:val="center"/>
          </w:tcPr>
          <w:p w14:paraId="68BE95AA">
            <w:pPr>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报价评分办法</w:t>
            </w:r>
          </w:p>
        </w:tc>
        <w:tc>
          <w:tcPr>
            <w:tcW w:w="5686" w:type="dxa"/>
            <w:gridSpan w:val="2"/>
            <w:tcBorders>
              <w:top w:val="single" w:color="auto" w:sz="4" w:space="0"/>
              <w:left w:val="single" w:color="auto" w:sz="4" w:space="0"/>
              <w:bottom w:val="single" w:color="auto" w:sz="4" w:space="0"/>
            </w:tcBorders>
            <w:vAlign w:val="center"/>
          </w:tcPr>
          <w:p w14:paraId="32E9ED12">
            <w:pPr>
              <w:snapToGrid w:val="0"/>
              <w:spacing w:line="240" w:lineRule="auto"/>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是否采用低价优先法：</w:t>
            </w:r>
          </w:p>
          <w:p w14:paraId="14D7F78E">
            <w:pPr>
              <w:snapToGrid w:val="0"/>
              <w:spacing w:line="240" w:lineRule="auto"/>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sym w:font="Wingdings" w:char="F0FE"/>
            </w:r>
            <w:r>
              <w:rPr>
                <w:rFonts w:hint="eastAsia" w:ascii="仿宋" w:hAnsi="仿宋" w:eastAsia="仿宋" w:cs="仿宋"/>
                <w:color w:val="auto"/>
                <w:szCs w:val="21"/>
                <w:highlight w:val="none"/>
              </w:rPr>
              <w:t>是</w:t>
            </w:r>
          </w:p>
        </w:tc>
      </w:tr>
      <w:tr w14:paraId="365084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056" w:type="dxa"/>
            <w:gridSpan w:val="3"/>
            <w:tcBorders>
              <w:top w:val="single" w:color="auto" w:sz="4" w:space="0"/>
              <w:bottom w:val="single" w:color="auto" w:sz="4" w:space="0"/>
              <w:right w:val="single" w:color="auto" w:sz="4" w:space="0"/>
            </w:tcBorders>
            <w:vAlign w:val="center"/>
          </w:tcPr>
          <w:p w14:paraId="54801E03">
            <w:pPr>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2.3.3</w:t>
            </w:r>
          </w:p>
        </w:tc>
        <w:tc>
          <w:tcPr>
            <w:tcW w:w="1976" w:type="dxa"/>
            <w:tcBorders>
              <w:top w:val="single" w:color="auto" w:sz="4" w:space="0"/>
              <w:left w:val="single" w:color="auto" w:sz="4" w:space="0"/>
              <w:bottom w:val="single" w:color="auto" w:sz="4" w:space="0"/>
              <w:right w:val="single" w:color="auto" w:sz="4" w:space="0"/>
            </w:tcBorders>
            <w:vAlign w:val="center"/>
          </w:tcPr>
          <w:p w14:paraId="42DCE109">
            <w:pPr>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报价评分标准（低价优先法）</w:t>
            </w:r>
          </w:p>
        </w:tc>
        <w:tc>
          <w:tcPr>
            <w:tcW w:w="5686" w:type="dxa"/>
            <w:gridSpan w:val="2"/>
            <w:tcBorders>
              <w:top w:val="single" w:color="auto" w:sz="4" w:space="0"/>
              <w:left w:val="single" w:color="auto" w:sz="4" w:space="0"/>
              <w:bottom w:val="single" w:color="auto" w:sz="4" w:space="0"/>
            </w:tcBorders>
            <w:vAlign w:val="center"/>
          </w:tcPr>
          <w:p w14:paraId="2E5F5D49">
            <w:pPr>
              <w:snapToGrid w:val="0"/>
              <w:spacing w:line="240" w:lineRule="auto"/>
              <w:outlineLvl w:val="0"/>
              <w:rPr>
                <w:rFonts w:hint="eastAsia" w:ascii="仿宋" w:hAnsi="仿宋" w:eastAsia="仿宋" w:cs="仿宋"/>
                <w:color w:val="auto"/>
                <w:szCs w:val="21"/>
                <w:highlight w:val="none"/>
              </w:rPr>
            </w:pPr>
            <w:bookmarkStart w:id="127" w:name="_Toc11259"/>
            <w:r>
              <w:rPr>
                <w:rFonts w:hint="eastAsia" w:ascii="仿宋" w:hAnsi="仿宋" w:eastAsia="仿宋" w:cs="仿宋"/>
                <w:color w:val="auto"/>
                <w:szCs w:val="21"/>
                <w:highlight w:val="none"/>
              </w:rPr>
              <w:t>报价得分=（评标基准价/评标价）×报价权重×100</w:t>
            </w:r>
            <w:bookmarkEnd w:id="127"/>
          </w:p>
          <w:p w14:paraId="100E5BE5">
            <w:pPr>
              <w:pStyle w:val="23"/>
              <w:snapToGrid w:val="0"/>
              <w:spacing w:after="0" w:line="240" w:lineRule="auto"/>
              <w:ind w:firstLine="0"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（1）报价评分以投标人投标报价按政府采购政策扣除后的</w:t>
            </w:r>
            <w:r>
              <w:rPr>
                <w:rFonts w:hint="eastAsia" w:ascii="仿宋" w:hAnsi="仿宋" w:eastAsia="仿宋" w:cs="仿宋"/>
                <w:b/>
                <w:color w:val="auto"/>
                <w:szCs w:val="21"/>
                <w:highlight w:val="none"/>
              </w:rPr>
              <w:t>评标价</w:t>
            </w:r>
            <w:r>
              <w:rPr>
                <w:rFonts w:hint="eastAsia" w:ascii="仿宋" w:hAnsi="仿宋" w:eastAsia="仿宋" w:cs="仿宋"/>
                <w:color w:val="auto"/>
                <w:szCs w:val="21"/>
                <w:highlight w:val="none"/>
              </w:rPr>
              <w:t>为准进行评审。</w:t>
            </w:r>
          </w:p>
          <w:p w14:paraId="2FE631BE">
            <w:pPr>
              <w:pStyle w:val="23"/>
              <w:snapToGrid w:val="0"/>
              <w:spacing w:after="0" w:line="240" w:lineRule="auto"/>
              <w:ind w:firstLine="0"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（2）满足</w:t>
            </w:r>
            <w:r>
              <w:rPr>
                <w:rFonts w:hint="eastAsia" w:ascii="仿宋" w:hAnsi="仿宋" w:eastAsia="仿宋" w:cs="仿宋"/>
                <w:color w:val="auto"/>
                <w:szCs w:val="21"/>
                <w:highlight w:val="none"/>
                <w:lang w:eastAsia="zh-CN"/>
              </w:rPr>
              <w:t>招标文件</w:t>
            </w:r>
            <w:r>
              <w:rPr>
                <w:rFonts w:hint="eastAsia" w:ascii="仿宋" w:hAnsi="仿宋" w:eastAsia="仿宋" w:cs="仿宋"/>
                <w:color w:val="auto"/>
                <w:szCs w:val="21"/>
                <w:highlight w:val="none"/>
              </w:rPr>
              <w:t>要求且最低的评标价为评标基准价。</w:t>
            </w:r>
          </w:p>
        </w:tc>
      </w:tr>
      <w:tr w14:paraId="1E7F82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056" w:type="dxa"/>
            <w:gridSpan w:val="3"/>
            <w:tcBorders>
              <w:top w:val="single" w:color="auto" w:sz="4" w:space="0"/>
              <w:bottom w:val="single" w:color="auto" w:sz="4" w:space="0"/>
              <w:right w:val="single" w:color="auto" w:sz="4" w:space="0"/>
            </w:tcBorders>
            <w:vAlign w:val="center"/>
          </w:tcPr>
          <w:p w14:paraId="77BE046E">
            <w:pPr>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2.3.3</w:t>
            </w:r>
          </w:p>
        </w:tc>
        <w:tc>
          <w:tcPr>
            <w:tcW w:w="1976" w:type="dxa"/>
            <w:tcBorders>
              <w:top w:val="single" w:color="auto" w:sz="4" w:space="0"/>
              <w:left w:val="single" w:color="auto" w:sz="4" w:space="0"/>
              <w:bottom w:val="single" w:color="auto" w:sz="4" w:space="0"/>
              <w:right w:val="single" w:color="auto" w:sz="4" w:space="0"/>
            </w:tcBorders>
            <w:vAlign w:val="center"/>
          </w:tcPr>
          <w:p w14:paraId="54877A2D">
            <w:pPr>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落实政府采购政策需进行的价格扣除</w:t>
            </w:r>
          </w:p>
        </w:tc>
        <w:tc>
          <w:tcPr>
            <w:tcW w:w="5686" w:type="dxa"/>
            <w:gridSpan w:val="2"/>
            <w:tcBorders>
              <w:top w:val="single" w:color="auto" w:sz="4" w:space="0"/>
              <w:left w:val="single" w:color="auto" w:sz="4" w:space="0"/>
              <w:bottom w:val="single" w:color="auto" w:sz="4" w:space="0"/>
            </w:tcBorders>
            <w:vAlign w:val="center"/>
          </w:tcPr>
          <w:p w14:paraId="0F9EC198">
            <w:pPr>
              <w:snapToGrid w:val="0"/>
              <w:spacing w:line="240" w:lineRule="auto"/>
              <w:outlineLvl w:val="0"/>
              <w:rPr>
                <w:rFonts w:hint="eastAsia"/>
                <w:color w:val="auto"/>
                <w:highlight w:val="none"/>
                <w:lang w:val="en-US" w:eastAsia="zh-CN"/>
              </w:rPr>
            </w:pPr>
            <w:r>
              <w:rPr>
                <w:rFonts w:hint="eastAsia" w:ascii="仿宋" w:hAnsi="仿宋" w:eastAsia="仿宋" w:cs="仿宋"/>
                <w:color w:val="auto"/>
                <w:szCs w:val="21"/>
                <w:highlight w:val="none"/>
                <w:lang w:val="en-US" w:eastAsia="zh-CN"/>
              </w:rPr>
              <w:t>本项目专门面向中小企业，不进行价格扣除</w:t>
            </w:r>
          </w:p>
        </w:tc>
      </w:tr>
    </w:tbl>
    <w:p w14:paraId="4A47C2E7">
      <w:pPr>
        <w:pStyle w:val="3"/>
        <w:snapToGrid w:val="0"/>
        <w:spacing w:before="0" w:after="0" w:line="360" w:lineRule="auto"/>
        <w:rPr>
          <w:rFonts w:hint="eastAsia" w:ascii="仿宋" w:hAnsi="仿宋" w:eastAsia="仿宋" w:cs="仿宋"/>
          <w:color w:val="auto"/>
          <w:sz w:val="24"/>
          <w:szCs w:val="24"/>
          <w:highlight w:val="none"/>
        </w:rPr>
      </w:pPr>
      <w:bookmarkStart w:id="128" w:name="_Toc55302373"/>
      <w:bookmarkStart w:id="129" w:name="_Toc63189375"/>
      <w:r>
        <w:rPr>
          <w:rFonts w:hint="eastAsia" w:ascii="仿宋" w:hAnsi="仿宋" w:eastAsia="仿宋" w:cs="仿宋"/>
          <w:color w:val="auto"/>
          <w:sz w:val="24"/>
          <w:szCs w:val="24"/>
          <w:highlight w:val="none"/>
        </w:rPr>
        <w:t>1.评标方法</w:t>
      </w:r>
      <w:bookmarkEnd w:id="128"/>
      <w:bookmarkEnd w:id="129"/>
    </w:p>
    <w:p w14:paraId="617C434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本次采用的评标办法及推荐中标候选人的人数见评标办法前附表。</w:t>
      </w:r>
    </w:p>
    <w:p w14:paraId="2CEB7AC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最低评标价法，是指投标文件满足</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全部实质性要求，且投标报价最低的投标人为中标候选人的评标方法。技术、服务等标准统一的货物服务项目，应当采用最低评标价法。采用最低评标价法评标时，除了算术修正和落实政府采购政策需进行的价格扣除外，不能对投标人的投标价格进行任何调整。投标报价相等时，由评标委员会通过评标办法前附表约定的方式确定中标候选人的排序。</w:t>
      </w:r>
    </w:p>
    <w:p w14:paraId="1DB9844E">
      <w:pP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综合评分法，是指投标文件满足</w:t>
      </w:r>
      <w:r>
        <w:rPr>
          <w:rFonts w:hint="eastAsia" w:ascii="仿宋" w:hAnsi="仿宋" w:eastAsia="仿宋" w:cs="仿宋"/>
          <w:color w:val="auto"/>
          <w:kern w:val="0"/>
          <w:sz w:val="24"/>
          <w:highlight w:val="none"/>
          <w:lang w:eastAsia="zh-CN"/>
        </w:rPr>
        <w:t>招标文件</w:t>
      </w:r>
      <w:r>
        <w:rPr>
          <w:rFonts w:hint="eastAsia" w:ascii="仿宋" w:hAnsi="仿宋" w:eastAsia="仿宋" w:cs="仿宋"/>
          <w:color w:val="auto"/>
          <w:kern w:val="0"/>
          <w:sz w:val="24"/>
          <w:highlight w:val="none"/>
        </w:rPr>
        <w:t>全部实质性要求，且按照评审因素的量化指标评审得分最高的投标人为中标候选人的评标方法。综合评分相等时，以投标报价低者优先；投标报价也相等的，由评标委员会通过</w:t>
      </w:r>
      <w:r>
        <w:rPr>
          <w:rFonts w:hint="eastAsia" w:ascii="仿宋" w:hAnsi="仿宋" w:eastAsia="仿宋" w:cs="仿宋"/>
          <w:color w:val="auto"/>
          <w:sz w:val="24"/>
          <w:highlight w:val="none"/>
        </w:rPr>
        <w:t>评标办法前附表约定的方式</w:t>
      </w:r>
      <w:r>
        <w:rPr>
          <w:rFonts w:hint="eastAsia" w:ascii="仿宋" w:hAnsi="仿宋" w:eastAsia="仿宋" w:cs="仿宋"/>
          <w:color w:val="auto"/>
          <w:kern w:val="0"/>
          <w:sz w:val="24"/>
          <w:highlight w:val="none"/>
        </w:rPr>
        <w:t>确定中标候选人的排序。</w:t>
      </w:r>
    </w:p>
    <w:p w14:paraId="2876D156">
      <w:pPr>
        <w:pStyle w:val="3"/>
        <w:snapToGrid w:val="0"/>
        <w:spacing w:before="0" w:after="0" w:line="360" w:lineRule="auto"/>
        <w:rPr>
          <w:rFonts w:hint="eastAsia" w:ascii="仿宋" w:hAnsi="仿宋" w:eastAsia="仿宋" w:cs="仿宋"/>
          <w:color w:val="auto"/>
          <w:sz w:val="24"/>
          <w:szCs w:val="24"/>
          <w:highlight w:val="none"/>
        </w:rPr>
      </w:pPr>
      <w:bookmarkStart w:id="130" w:name="_Toc63189376"/>
      <w:bookmarkStart w:id="131" w:name="_Toc55302374"/>
      <w:r>
        <w:rPr>
          <w:rFonts w:hint="eastAsia" w:ascii="仿宋" w:hAnsi="仿宋" w:eastAsia="仿宋" w:cs="仿宋"/>
          <w:color w:val="auto"/>
          <w:sz w:val="24"/>
          <w:szCs w:val="24"/>
          <w:highlight w:val="none"/>
        </w:rPr>
        <w:t>2.评标程序</w:t>
      </w:r>
      <w:bookmarkEnd w:id="130"/>
      <w:bookmarkEnd w:id="131"/>
      <w:r>
        <w:rPr>
          <w:rFonts w:hint="eastAsia" w:ascii="仿宋" w:hAnsi="仿宋" w:eastAsia="仿宋" w:cs="仿宋"/>
          <w:color w:val="auto"/>
          <w:sz w:val="24"/>
          <w:szCs w:val="24"/>
          <w:highlight w:val="none"/>
        </w:rPr>
        <w:t>及标准</w:t>
      </w:r>
    </w:p>
    <w:p w14:paraId="2338884F">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2.1资格审查</w:t>
      </w:r>
    </w:p>
    <w:p w14:paraId="2C1589DC">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开标后，采购人或采购代理机构对各投标人进行资格审查，有一项不符合以下评审标准的，投标无效：</w:t>
      </w:r>
    </w:p>
    <w:p w14:paraId="0E4BCEDC">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2.1.1</w:t>
      </w:r>
      <w:r>
        <w:rPr>
          <w:rFonts w:hint="eastAsia" w:ascii="仿宋" w:hAnsi="仿宋" w:eastAsia="仿宋" w:cs="仿宋"/>
          <w:b/>
          <w:color w:val="auto"/>
          <w:sz w:val="24"/>
          <w:highlight w:val="none"/>
          <w:u w:val="single"/>
        </w:rPr>
        <w:t>▲提供符合参加政府采购活动应当具备的一般条件的承诺函</w:t>
      </w:r>
      <w:r>
        <w:rPr>
          <w:rFonts w:hint="eastAsia" w:ascii="仿宋" w:hAnsi="仿宋" w:eastAsia="仿宋" w:cs="仿宋"/>
          <w:color w:val="auto"/>
          <w:sz w:val="24"/>
          <w:highlight w:val="none"/>
          <w:u w:val="single"/>
        </w:rPr>
        <w:t>及有效的</w:t>
      </w:r>
      <w:r>
        <w:rPr>
          <w:rFonts w:hint="eastAsia" w:ascii="仿宋" w:hAnsi="仿宋" w:eastAsia="仿宋" w:cs="仿宋"/>
          <w:b/>
          <w:color w:val="auto"/>
          <w:sz w:val="24"/>
          <w:highlight w:val="none"/>
          <w:u w:val="single"/>
        </w:rPr>
        <w:t>企业营业执照</w:t>
      </w:r>
      <w:r>
        <w:rPr>
          <w:rFonts w:hint="eastAsia" w:ascii="仿宋" w:hAnsi="仿宋" w:eastAsia="仿宋" w:cs="仿宋"/>
          <w:color w:val="auto"/>
          <w:sz w:val="24"/>
          <w:highlight w:val="none"/>
          <w:u w:val="single"/>
        </w:rPr>
        <w:t>（或事业法人登记证书或其它工商等登记证明材料，自然人提供身份证)复制件（如为联合体，则联合体各方均应提供）</w:t>
      </w:r>
      <w:r>
        <w:rPr>
          <w:rFonts w:hint="eastAsia" w:ascii="仿宋" w:hAnsi="仿宋" w:eastAsia="仿宋" w:cs="仿宋"/>
          <w:color w:val="auto"/>
          <w:sz w:val="24"/>
          <w:highlight w:val="none"/>
        </w:rPr>
        <w:t>；</w:t>
      </w:r>
    </w:p>
    <w:p w14:paraId="04C39D5A">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由单位负责人签署相关文件材料（合伙企业由全体合伙人签署相关材料，但合伙协议约定或者全体合伙人决定委托一名或数名合伙人执行合伙企业事务的，由执行合伙企业事务的全体合伙人签署相关文件材料），与其他法人单位法定代表人（负责人）签署的文件材料具有同等效力）。</w:t>
      </w:r>
    </w:p>
    <w:p w14:paraId="5CF4F55E">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2.1.2落实政府采购政策需满足的资格要求：</w:t>
      </w:r>
      <w:r>
        <w:rPr>
          <w:rFonts w:hint="eastAsia" w:ascii="仿宋" w:hAnsi="仿宋" w:eastAsia="仿宋" w:cs="仿宋"/>
          <w:b/>
          <w:color w:val="auto"/>
          <w:sz w:val="24"/>
          <w:highlight w:val="none"/>
        </w:rPr>
        <w:t>见评标办法前附表</w:t>
      </w:r>
      <w:r>
        <w:rPr>
          <w:rFonts w:hint="eastAsia" w:ascii="仿宋" w:hAnsi="仿宋" w:eastAsia="仿宋" w:cs="仿宋"/>
          <w:color w:val="auto"/>
          <w:sz w:val="24"/>
          <w:highlight w:val="none"/>
        </w:rPr>
        <w:t>。</w:t>
      </w:r>
    </w:p>
    <w:p w14:paraId="2BDE176F">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2.1.3本项目的特定资格要求：</w:t>
      </w:r>
      <w:r>
        <w:rPr>
          <w:rFonts w:hint="eastAsia" w:ascii="仿宋" w:hAnsi="仿宋" w:eastAsia="仿宋" w:cs="仿宋"/>
          <w:b/>
          <w:color w:val="auto"/>
          <w:sz w:val="24"/>
          <w:highlight w:val="none"/>
        </w:rPr>
        <w:t>见评标办法前附表</w:t>
      </w:r>
      <w:r>
        <w:rPr>
          <w:rFonts w:hint="eastAsia" w:ascii="仿宋" w:hAnsi="仿宋" w:eastAsia="仿宋" w:cs="仿宋"/>
          <w:color w:val="auto"/>
          <w:sz w:val="24"/>
          <w:highlight w:val="none"/>
        </w:rPr>
        <w:t>。</w:t>
      </w:r>
    </w:p>
    <w:p w14:paraId="33D87085">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2.2符合性审查</w:t>
      </w:r>
    </w:p>
    <w:p w14:paraId="7704793B">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评标委员会对资格审查合格的投标人进行符合性审查：</w:t>
      </w:r>
    </w:p>
    <w:p w14:paraId="16CEBC4C">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2.2.1</w:t>
      </w:r>
      <w:r>
        <w:rPr>
          <w:rFonts w:hint="eastAsia" w:ascii="仿宋" w:hAnsi="仿宋" w:eastAsia="仿宋" w:cs="仿宋"/>
          <w:b/>
          <w:color w:val="auto"/>
          <w:sz w:val="24"/>
          <w:highlight w:val="none"/>
          <w:u w:val="single"/>
        </w:rPr>
        <w:t>▲投标人存在下列情况之一的，投标无效</w:t>
      </w:r>
      <w:r>
        <w:rPr>
          <w:rFonts w:hint="eastAsia" w:ascii="仿宋" w:hAnsi="仿宋" w:eastAsia="仿宋" w:cs="仿宋"/>
          <w:b/>
          <w:color w:val="auto"/>
          <w:sz w:val="24"/>
          <w:highlight w:val="none"/>
        </w:rPr>
        <w:t>:</w:t>
      </w:r>
    </w:p>
    <w:p w14:paraId="103B8D87">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（1）仅提交“备份投标文件”的；</w:t>
      </w:r>
    </w:p>
    <w:p w14:paraId="43BE6F42">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（2）不具备</w:t>
      </w:r>
      <w:r>
        <w:rPr>
          <w:rFonts w:hint="eastAsia" w:ascii="仿宋" w:hAnsi="仿宋" w:eastAsia="仿宋" w:cs="仿宋"/>
          <w:b/>
          <w:color w:val="auto"/>
          <w:sz w:val="24"/>
          <w:highlight w:val="none"/>
          <w:lang w:eastAsia="zh-CN"/>
        </w:rPr>
        <w:t>招标文件</w:t>
      </w:r>
      <w:r>
        <w:rPr>
          <w:rFonts w:hint="eastAsia" w:ascii="仿宋" w:hAnsi="仿宋" w:eastAsia="仿宋" w:cs="仿宋"/>
          <w:b/>
          <w:color w:val="auto"/>
          <w:sz w:val="24"/>
          <w:highlight w:val="none"/>
        </w:rPr>
        <w:t>中规定的资格要求的；</w:t>
      </w:r>
    </w:p>
    <w:p w14:paraId="6ECCCC7A">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（3）投标文件未按</w:t>
      </w:r>
      <w:r>
        <w:rPr>
          <w:rFonts w:hint="eastAsia" w:ascii="仿宋" w:hAnsi="仿宋" w:eastAsia="仿宋" w:cs="仿宋"/>
          <w:b/>
          <w:color w:val="auto"/>
          <w:sz w:val="24"/>
          <w:highlight w:val="none"/>
          <w:lang w:eastAsia="zh-CN"/>
        </w:rPr>
        <w:t>招标文件</w:t>
      </w:r>
      <w:r>
        <w:rPr>
          <w:rFonts w:hint="eastAsia" w:ascii="仿宋" w:hAnsi="仿宋" w:eastAsia="仿宋" w:cs="仿宋"/>
          <w:b/>
          <w:color w:val="auto"/>
          <w:sz w:val="24"/>
          <w:highlight w:val="none"/>
        </w:rPr>
        <w:t>要求签署、盖章的；</w:t>
      </w:r>
    </w:p>
    <w:p w14:paraId="2D6B97D1">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（4）明显不符合</w:t>
      </w:r>
      <w:r>
        <w:rPr>
          <w:rFonts w:hint="eastAsia" w:ascii="仿宋" w:hAnsi="仿宋" w:eastAsia="仿宋" w:cs="仿宋"/>
          <w:b/>
          <w:color w:val="auto"/>
          <w:sz w:val="24"/>
          <w:highlight w:val="none"/>
          <w:lang w:eastAsia="zh-CN"/>
        </w:rPr>
        <w:t>招标文件</w:t>
      </w:r>
      <w:r>
        <w:rPr>
          <w:rFonts w:hint="eastAsia" w:ascii="仿宋" w:hAnsi="仿宋" w:eastAsia="仿宋" w:cs="仿宋"/>
          <w:b/>
          <w:color w:val="auto"/>
          <w:sz w:val="24"/>
          <w:highlight w:val="none"/>
        </w:rPr>
        <w:t>中标注“▲”且加下划线的实质性要求和条件（主要技术规格、商务技术标准或服务要求）的；</w:t>
      </w:r>
    </w:p>
    <w:p w14:paraId="69D5B560">
      <w:pPr>
        <w:snapToGrid w:val="0"/>
        <w:spacing w:line="360" w:lineRule="auto"/>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（5）采购人拟采购的产品属于政府强制采购的节能产品品目清单范围的，投标人未按</w:t>
      </w:r>
      <w:r>
        <w:rPr>
          <w:rFonts w:hint="eastAsia" w:ascii="仿宋" w:hAnsi="仿宋" w:eastAsia="仿宋" w:cs="仿宋"/>
          <w:b/>
          <w:color w:val="auto"/>
          <w:kern w:val="0"/>
          <w:sz w:val="24"/>
          <w:highlight w:val="none"/>
          <w:lang w:eastAsia="zh-CN"/>
        </w:rPr>
        <w:t>招标文件</w:t>
      </w:r>
      <w:r>
        <w:rPr>
          <w:rFonts w:hint="eastAsia" w:ascii="仿宋" w:hAnsi="仿宋" w:eastAsia="仿宋" w:cs="仿宋"/>
          <w:b/>
          <w:color w:val="auto"/>
          <w:kern w:val="0"/>
          <w:sz w:val="24"/>
          <w:highlight w:val="none"/>
        </w:rPr>
        <w:t>要求提供国家确定的认证机构出具的、处于有效期之内的节能产品认证证书的；</w:t>
      </w:r>
    </w:p>
    <w:p w14:paraId="3DC4B3EF">
      <w:pPr>
        <w:snapToGrid w:val="0"/>
        <w:spacing w:line="360" w:lineRule="auto"/>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（6）投标文件中承诺的投标有效期少于</w:t>
      </w:r>
      <w:r>
        <w:rPr>
          <w:rFonts w:hint="eastAsia" w:ascii="仿宋" w:hAnsi="仿宋" w:eastAsia="仿宋" w:cs="仿宋"/>
          <w:b/>
          <w:color w:val="auto"/>
          <w:kern w:val="0"/>
          <w:sz w:val="24"/>
          <w:highlight w:val="none"/>
          <w:lang w:eastAsia="zh-CN"/>
        </w:rPr>
        <w:t>招标文件</w:t>
      </w:r>
      <w:r>
        <w:rPr>
          <w:rFonts w:hint="eastAsia" w:ascii="仿宋" w:hAnsi="仿宋" w:eastAsia="仿宋" w:cs="仿宋"/>
          <w:b/>
          <w:color w:val="auto"/>
          <w:kern w:val="0"/>
          <w:sz w:val="24"/>
          <w:highlight w:val="none"/>
        </w:rPr>
        <w:t>中载明的投标有效期的；</w:t>
      </w:r>
    </w:p>
    <w:p w14:paraId="588C4AB9">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（7）投标文件实质性内容不全或关键字迹模糊无法辨认的；</w:t>
      </w:r>
    </w:p>
    <w:p w14:paraId="357AC129">
      <w:pPr>
        <w:snapToGrid w:val="0"/>
        <w:spacing w:line="360" w:lineRule="auto"/>
        <w:ind w:firstLine="482" w:firstLineChars="200"/>
        <w:jc w:val="left"/>
        <w:rPr>
          <w:rFonts w:hint="eastAsia" w:ascii="仿宋" w:hAnsi="仿宋" w:eastAsia="仿宋" w:cs="仿宋"/>
          <w:b/>
          <w:color w:val="auto"/>
          <w:kern w:val="0"/>
          <w:sz w:val="24"/>
          <w:highlight w:val="none"/>
        </w:rPr>
      </w:pPr>
      <w:r>
        <w:rPr>
          <w:rFonts w:hint="eastAsia" w:ascii="仿宋" w:hAnsi="仿宋" w:eastAsia="仿宋" w:cs="仿宋"/>
          <w:b/>
          <w:color w:val="auto"/>
          <w:sz w:val="24"/>
          <w:highlight w:val="none"/>
        </w:rPr>
        <w:t>（8）投标报价超过采购预算或最高限价；</w:t>
      </w:r>
    </w:p>
    <w:p w14:paraId="0ADD1ECB">
      <w:pPr>
        <w:snapToGrid w:val="0"/>
        <w:spacing w:line="360" w:lineRule="auto"/>
        <w:ind w:firstLine="482" w:firstLineChars="200"/>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（9）投标文件出现不是唯一的、有选择性投标报价的；</w:t>
      </w:r>
    </w:p>
    <w:p w14:paraId="6C870C6F">
      <w:pPr>
        <w:snapToGrid w:val="0"/>
        <w:spacing w:line="360" w:lineRule="auto"/>
        <w:ind w:firstLine="482" w:firstLineChars="200"/>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（10）投标人对根据修正原则修正后的报价不确认的；</w:t>
      </w:r>
    </w:p>
    <w:p w14:paraId="1C73B663">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（11）投标文件有采购人不能接受的附加条件的；</w:t>
      </w:r>
    </w:p>
    <w:p w14:paraId="1C899687">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（12）投标人提供虚假材料投标的；</w:t>
      </w:r>
    </w:p>
    <w:p w14:paraId="6A142FE7">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（13）法律、法规和</w:t>
      </w:r>
      <w:r>
        <w:rPr>
          <w:rFonts w:hint="eastAsia" w:ascii="仿宋" w:hAnsi="仿宋" w:eastAsia="仿宋" w:cs="仿宋"/>
          <w:b/>
          <w:color w:val="auto"/>
          <w:sz w:val="24"/>
          <w:highlight w:val="none"/>
          <w:lang w:eastAsia="zh-CN"/>
        </w:rPr>
        <w:t>招标文件</w:t>
      </w:r>
      <w:r>
        <w:rPr>
          <w:rFonts w:hint="eastAsia" w:ascii="仿宋" w:hAnsi="仿宋" w:eastAsia="仿宋" w:cs="仿宋"/>
          <w:b/>
          <w:color w:val="auto"/>
          <w:sz w:val="24"/>
          <w:highlight w:val="none"/>
        </w:rPr>
        <w:t>规定的其他无效情形。</w:t>
      </w:r>
    </w:p>
    <w:p w14:paraId="7AA3E801">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2.2.2</w:t>
      </w:r>
      <w:r>
        <w:rPr>
          <w:rFonts w:hint="eastAsia" w:ascii="仿宋" w:hAnsi="仿宋" w:eastAsia="仿宋" w:cs="仿宋"/>
          <w:b/>
          <w:color w:val="auto"/>
          <w:sz w:val="24"/>
          <w:highlight w:val="none"/>
          <w:u w:val="single"/>
        </w:rPr>
        <w:t>▲有下列情形之一的，属于恶意串通，对投标人依照政府采购法第七十七条第一款的规定追究法律责任，对采购人、采购代理机构及其工作人员依照政府采购法第七十二条的规定追究法律责任</w:t>
      </w:r>
      <w:r>
        <w:rPr>
          <w:rFonts w:hint="eastAsia" w:ascii="仿宋" w:hAnsi="仿宋" w:eastAsia="仿宋" w:cs="仿宋"/>
          <w:b/>
          <w:color w:val="auto"/>
          <w:sz w:val="24"/>
          <w:highlight w:val="none"/>
        </w:rPr>
        <w:t>：</w:t>
      </w:r>
    </w:p>
    <w:p w14:paraId="11B8140A">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（1）投标人直接或者间接从采购人或者采购代理机构处获得其他投标人的相关情况并修改其投标文件的；</w:t>
      </w:r>
    </w:p>
    <w:p w14:paraId="7F6C5BE2">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（2）投标人按照采购人或者采购代理机构的授意撤换、修改投标文件的；</w:t>
      </w:r>
    </w:p>
    <w:p w14:paraId="36AD8A51">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（3）投标人之间协商报价、技术方案等投标文件或者响应文件的实质性内容；</w:t>
      </w:r>
    </w:p>
    <w:p w14:paraId="1B6FCDDA">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（4）属于同一集团、协会、商会等组织成员的投标人按照该组织要求协同参加政府采购活动；</w:t>
      </w:r>
    </w:p>
    <w:p w14:paraId="796AE285">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（5）投标人之间事先约定由某一特定投标人中标、成交；</w:t>
      </w:r>
    </w:p>
    <w:p w14:paraId="18AE60F6">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（6）投标人之间商定部分投标人放弃参加政府采购活动或者放弃中标、成交；</w:t>
      </w:r>
    </w:p>
    <w:p w14:paraId="589B0B98">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（7）投标人与采购人或者采购代理机构之间、投标人相互之间，为谋求特定投标人中标、成交或者排斥其他投标人的其他串通行为。</w:t>
      </w:r>
    </w:p>
    <w:p w14:paraId="2D16F63D">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2.2.3</w:t>
      </w:r>
      <w:r>
        <w:rPr>
          <w:rFonts w:hint="eastAsia" w:ascii="仿宋" w:hAnsi="仿宋" w:eastAsia="仿宋" w:cs="仿宋"/>
          <w:b/>
          <w:color w:val="auto"/>
          <w:sz w:val="24"/>
          <w:highlight w:val="none"/>
          <w:u w:val="single"/>
        </w:rPr>
        <w:t>▲有下列情形之一的，视为投标人串通投标，其投标无效</w:t>
      </w:r>
      <w:r>
        <w:rPr>
          <w:rFonts w:hint="eastAsia" w:ascii="仿宋" w:hAnsi="仿宋" w:eastAsia="仿宋" w:cs="仿宋"/>
          <w:b/>
          <w:color w:val="auto"/>
          <w:sz w:val="24"/>
          <w:highlight w:val="none"/>
        </w:rPr>
        <w:t>：</w:t>
      </w:r>
    </w:p>
    <w:p w14:paraId="7C0D8FB9">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（1）不同投标人的投标文件由同一单位或者个人编制；</w:t>
      </w:r>
    </w:p>
    <w:p w14:paraId="39A3A278">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（2）不同投标人委托同一单位或者个人办理投标事宜；</w:t>
      </w:r>
    </w:p>
    <w:p w14:paraId="40CAEB79">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（3）不同投标人的投标文件载明的项目管理成员或者联系人员为同一人；</w:t>
      </w:r>
    </w:p>
    <w:p w14:paraId="1F952040">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（4）不同投标人的投标文件异常一致或者投标报价呈规律性差异；</w:t>
      </w:r>
    </w:p>
    <w:p w14:paraId="0AE484BC">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（5）不同投标人的投标文件相互混装；</w:t>
      </w:r>
    </w:p>
    <w:p w14:paraId="5379B0D4">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2.2.4符合性审查其他要求见评标办法前附表。</w:t>
      </w:r>
    </w:p>
    <w:p w14:paraId="13CA7DB1">
      <w:pPr>
        <w:snapToGrid w:val="0"/>
        <w:spacing w:line="360" w:lineRule="auto"/>
        <w:ind w:firstLine="482" w:firstLineChars="200"/>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2.2.5实质上没有响应</w:t>
      </w:r>
      <w:r>
        <w:rPr>
          <w:rFonts w:hint="eastAsia" w:ascii="仿宋" w:hAnsi="仿宋" w:eastAsia="仿宋" w:cs="仿宋"/>
          <w:b/>
          <w:color w:val="auto"/>
          <w:sz w:val="24"/>
          <w:highlight w:val="none"/>
          <w:lang w:eastAsia="zh-CN"/>
        </w:rPr>
        <w:t>招标文件</w:t>
      </w:r>
      <w:r>
        <w:rPr>
          <w:rFonts w:hint="eastAsia" w:ascii="仿宋" w:hAnsi="仿宋" w:eastAsia="仿宋" w:cs="仿宋"/>
          <w:b/>
          <w:color w:val="auto"/>
          <w:sz w:val="24"/>
          <w:highlight w:val="none"/>
        </w:rPr>
        <w:t>要求的投标将被否决，投标人不得通过修正或撤消不合要求的偏离或保留从而使其投标成为实质上响应的投标。</w:t>
      </w:r>
    </w:p>
    <w:p w14:paraId="5D62D076">
      <w:pPr>
        <w:pStyle w:val="4"/>
        <w:widowControl/>
        <w:snapToGrid w:val="0"/>
        <w:spacing w:before="0" w:after="0" w:line="360" w:lineRule="auto"/>
        <w:ind w:firstLine="482" w:firstLineChars="200"/>
        <w:jc w:val="left"/>
        <w:rPr>
          <w:rFonts w:hint="eastAsia" w:ascii="仿宋" w:hAnsi="仿宋" w:eastAsia="仿宋" w:cs="仿宋"/>
          <w:color w:val="auto"/>
          <w:sz w:val="24"/>
          <w:szCs w:val="24"/>
          <w:highlight w:val="none"/>
        </w:rPr>
      </w:pPr>
      <w:bookmarkStart w:id="132" w:name="_Toc5724"/>
      <w:bookmarkStart w:id="133" w:name="_Toc63189379"/>
      <w:bookmarkStart w:id="134" w:name="_Toc55302377"/>
      <w:bookmarkStart w:id="135" w:name="_Toc55375024"/>
      <w:r>
        <w:rPr>
          <w:rFonts w:hint="eastAsia" w:ascii="仿宋" w:hAnsi="仿宋" w:eastAsia="仿宋" w:cs="仿宋"/>
          <w:color w:val="auto"/>
          <w:sz w:val="24"/>
          <w:szCs w:val="24"/>
          <w:highlight w:val="none"/>
        </w:rPr>
        <w:t>2.3比较与评价（适用于综合评分法）</w:t>
      </w:r>
    </w:p>
    <w:bookmarkEnd w:id="132"/>
    <w:bookmarkEnd w:id="133"/>
    <w:bookmarkEnd w:id="134"/>
    <w:bookmarkEnd w:id="135"/>
    <w:p w14:paraId="31913DAE">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2.3.1分值权重构成，见评标办法前附表。</w:t>
      </w:r>
    </w:p>
    <w:p w14:paraId="091844A3">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2.3.2商务技术评分标准，见评标办法前附表。</w:t>
      </w:r>
    </w:p>
    <w:p w14:paraId="647299E6">
      <w:pPr>
        <w:pStyle w:val="23"/>
        <w:snapToGrid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2.3.3报价评分标准，见评标办法前附表。</w:t>
      </w:r>
    </w:p>
    <w:p w14:paraId="197CBCC6">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2.3.4评分分值计算保留小数点后两位，小数点后第三位“四舍五入”。</w:t>
      </w:r>
    </w:p>
    <w:p w14:paraId="4D40DB71">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2.3.5投标人综合得分=商务技术得分+报价得分。</w:t>
      </w:r>
    </w:p>
    <w:p w14:paraId="55ED9D02">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2.3.6</w:t>
      </w:r>
      <w:r>
        <w:rPr>
          <w:rFonts w:hint="eastAsia" w:ascii="仿宋" w:hAnsi="仿宋" w:eastAsia="仿宋" w:cs="仿宋"/>
          <w:b/>
          <w:color w:val="auto"/>
          <w:sz w:val="24"/>
          <w:highlight w:val="none"/>
          <w:u w:val="single"/>
        </w:rPr>
        <w:t>▲评标委员会发现投标投标人的报价明显低于其他投标报价，使得其投标报价可能低于其个别成本的，应当要求该投标人作出书面说明并提供相应的证明材料。投标投标人不能合理说明或者不能提供相应证明材料的，评标委员会应当认定该投标人以低于成本报价竞标，并否决其投标</w:t>
      </w:r>
      <w:r>
        <w:rPr>
          <w:rFonts w:hint="eastAsia" w:ascii="仿宋" w:hAnsi="仿宋" w:eastAsia="仿宋" w:cs="仿宋"/>
          <w:color w:val="auto"/>
          <w:sz w:val="24"/>
          <w:highlight w:val="none"/>
        </w:rPr>
        <w:t>。</w:t>
      </w:r>
    </w:p>
    <w:p w14:paraId="2D5ABE66">
      <w:pPr>
        <w:pStyle w:val="4"/>
        <w:widowControl/>
        <w:snapToGrid w:val="0"/>
        <w:spacing w:before="0" w:after="0" w:line="360" w:lineRule="auto"/>
        <w:ind w:firstLine="480" w:firstLineChars="200"/>
        <w:jc w:val="left"/>
        <w:rPr>
          <w:rFonts w:hint="eastAsia" w:ascii="仿宋" w:hAnsi="仿宋" w:eastAsia="仿宋" w:cs="仿宋"/>
          <w:b w:val="0"/>
          <w:color w:val="auto"/>
          <w:sz w:val="24"/>
          <w:szCs w:val="24"/>
          <w:highlight w:val="none"/>
        </w:rPr>
      </w:pPr>
      <w:bookmarkStart w:id="136" w:name="_Toc55302378"/>
      <w:bookmarkStart w:id="137" w:name="_Toc55375025"/>
      <w:bookmarkStart w:id="138" w:name="_Toc11195"/>
      <w:bookmarkStart w:id="139" w:name="_Toc63189380"/>
      <w:r>
        <w:rPr>
          <w:rFonts w:hint="eastAsia" w:ascii="仿宋" w:hAnsi="仿宋" w:eastAsia="仿宋" w:cs="仿宋"/>
          <w:b w:val="0"/>
          <w:color w:val="auto"/>
          <w:sz w:val="24"/>
          <w:szCs w:val="24"/>
          <w:highlight w:val="none"/>
        </w:rPr>
        <w:t>2.4投标文件的澄清</w:t>
      </w:r>
      <w:bookmarkEnd w:id="136"/>
      <w:bookmarkEnd w:id="137"/>
      <w:bookmarkEnd w:id="138"/>
      <w:bookmarkEnd w:id="139"/>
    </w:p>
    <w:p w14:paraId="2A8A01A2">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2.4.1为有助于投标文件的审查、评价和比较，评标委员会可以在“政采云平台”在线询标或其他有效形式要求投标人对同一份投标文件含义不明确或同类问题表述不一致的内容（</w:t>
      </w:r>
      <w:r>
        <w:rPr>
          <w:rFonts w:hint="eastAsia" w:ascii="仿宋" w:hAnsi="仿宋" w:eastAsia="仿宋" w:cs="仿宋"/>
          <w:bCs/>
          <w:color w:val="auto"/>
          <w:sz w:val="24"/>
          <w:highlight w:val="none"/>
          <w:lang w:eastAsia="zh-CN"/>
        </w:rPr>
        <w:t>招标文件</w:t>
      </w:r>
      <w:r>
        <w:rPr>
          <w:rFonts w:hint="eastAsia" w:ascii="仿宋" w:hAnsi="仿宋" w:eastAsia="仿宋" w:cs="仿宋"/>
          <w:bCs/>
          <w:color w:val="auto"/>
          <w:sz w:val="24"/>
          <w:highlight w:val="none"/>
        </w:rPr>
        <w:t>另有规定处理方法的除外）作必要的澄清或说明，投标人应采用在线回复或其他有效形式在询标规定时间内进行澄清或说明（需盖电子签章或实体公章）。</w:t>
      </w:r>
    </w:p>
    <w:p w14:paraId="729784B7">
      <w:pPr>
        <w:pStyle w:val="89"/>
        <w:snapToGrid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2.4.2投标文件报价出现前后不一致的，按照下列规定修正：</w:t>
      </w:r>
    </w:p>
    <w:p w14:paraId="32909364">
      <w:pPr>
        <w:pStyle w:val="89"/>
        <w:snapToGrid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（1）投标文件中开标一览表(报价表)内容与投标文件中相应内容不一致的，以开标一览表(报价表)为准;</w:t>
      </w:r>
    </w:p>
    <w:p w14:paraId="3335FECC">
      <w:pPr>
        <w:pStyle w:val="89"/>
        <w:snapToGrid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（2）大写金额和小写金额不一致的，以大写金额为准;</w:t>
      </w:r>
    </w:p>
    <w:p w14:paraId="3C0D2B31">
      <w:pPr>
        <w:pStyle w:val="89"/>
        <w:snapToGrid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（3）单价金额小数点或者百分比有明显错位的，以开标一览表的总价为准，并修改单价;</w:t>
      </w:r>
    </w:p>
    <w:p w14:paraId="69103993">
      <w:pPr>
        <w:pStyle w:val="89"/>
        <w:snapToGrid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（4）总价金额与按单价汇总金额不一致的，以单价金额计算结果为准。</w:t>
      </w:r>
    </w:p>
    <w:p w14:paraId="791D3E31">
      <w:pPr>
        <w:pStyle w:val="89"/>
        <w:snapToGrid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（5）同时出现两种以上不一致的，按照上述规定的顺序修正。修正后的报价经投标人确认后产生约束力。</w:t>
      </w:r>
    </w:p>
    <w:p w14:paraId="756CCB24">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2.4.3澄清、说明或补正不得超出投标文件的范围且不得改变投标文件的实质性内容，并构成投标文件的组成部分。</w:t>
      </w:r>
    </w:p>
    <w:p w14:paraId="542442F8">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2.4.4评标委员会对投标人提交的澄清、说明或补正有疑问的，可以要求投标人进一步澄清、说明或补正，直至满足评标委员会的要求。</w:t>
      </w:r>
    </w:p>
    <w:p w14:paraId="42E00479">
      <w:pPr>
        <w:pStyle w:val="3"/>
        <w:snapToGrid w:val="0"/>
        <w:spacing w:before="0" w:after="0" w:line="360" w:lineRule="auto"/>
        <w:rPr>
          <w:rFonts w:hint="eastAsia" w:ascii="仿宋" w:hAnsi="仿宋" w:eastAsia="仿宋" w:cs="仿宋"/>
          <w:color w:val="auto"/>
          <w:sz w:val="24"/>
          <w:szCs w:val="24"/>
          <w:highlight w:val="none"/>
        </w:rPr>
      </w:pPr>
      <w:bookmarkStart w:id="140" w:name="_Toc11850"/>
      <w:bookmarkStart w:id="141" w:name="_Toc55302379"/>
      <w:bookmarkStart w:id="142" w:name="_Toc63189381"/>
      <w:r>
        <w:rPr>
          <w:rFonts w:hint="eastAsia" w:ascii="仿宋" w:hAnsi="仿宋" w:eastAsia="仿宋" w:cs="仿宋"/>
          <w:color w:val="auto"/>
          <w:sz w:val="24"/>
          <w:szCs w:val="24"/>
          <w:highlight w:val="none"/>
        </w:rPr>
        <w:t>3.评标结果</w:t>
      </w:r>
      <w:bookmarkEnd w:id="140"/>
      <w:bookmarkEnd w:id="141"/>
      <w:bookmarkEnd w:id="142"/>
    </w:p>
    <w:p w14:paraId="74E89112">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3.1采用最低评标价法的，评标委员会按评标价（投标报价）从低到高的排序推荐中标候选人。</w:t>
      </w:r>
    </w:p>
    <w:p w14:paraId="0731AB80">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采用综合评分法的，评标委员会按照投标人综合得分由高到低的顺序推荐中标候选人。</w:t>
      </w:r>
    </w:p>
    <w:p w14:paraId="137EE974">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50065BC">
      <w:pPr>
        <w:snapToGrid w:val="0"/>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sz w:val="24"/>
          <w:highlight w:val="none"/>
        </w:rPr>
        <w:t>3.2 评标委员会完成评标后，应当向采购人提交书面评标报告和中标候选人名单。</w:t>
      </w:r>
    </w:p>
    <w:p w14:paraId="7B8FC468">
      <w:pP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C59E566">
      <w:pPr>
        <w:widowControl/>
        <w:shd w:val="clear" w:color="auto" w:fill="FFFFFF"/>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4.其他</w:t>
      </w:r>
    </w:p>
    <w:p w14:paraId="5084464F">
      <w:pPr>
        <w:widowControl/>
        <w:shd w:val="clear" w:color="auto" w:fill="FFFFFF"/>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4.1废标</w:t>
      </w:r>
    </w:p>
    <w:p w14:paraId="7F0AC9E1">
      <w:pPr>
        <w:widowControl/>
        <w:shd w:val="clear" w:color="auto" w:fill="FFFFFF"/>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根据《中华人民共和国政府采购法》第三十六条之规定，在采购中，出现下列情形之一的，应予废标：</w:t>
      </w:r>
    </w:p>
    <w:p w14:paraId="5FEB7EC5">
      <w:pPr>
        <w:pStyle w:val="25"/>
        <w:adjustRightInd w:val="0"/>
        <w:snapToGrid w:val="0"/>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（1）符合专业条件的投标人或者对</w:t>
      </w:r>
      <w:r>
        <w:rPr>
          <w:rFonts w:hint="eastAsia" w:ascii="仿宋" w:hAnsi="仿宋" w:eastAsia="仿宋" w:cs="仿宋"/>
          <w:color w:val="auto"/>
          <w:highlight w:val="none"/>
          <w:lang w:eastAsia="zh-CN"/>
        </w:rPr>
        <w:t>招标文件</w:t>
      </w:r>
      <w:r>
        <w:rPr>
          <w:rFonts w:hint="eastAsia" w:ascii="仿宋" w:hAnsi="仿宋" w:eastAsia="仿宋" w:cs="仿宋"/>
          <w:color w:val="auto"/>
          <w:highlight w:val="none"/>
        </w:rPr>
        <w:t>作实质响应的投标人不足3家的；</w:t>
      </w:r>
    </w:p>
    <w:p w14:paraId="3DE11557">
      <w:pPr>
        <w:pStyle w:val="25"/>
        <w:adjustRightInd w:val="0"/>
        <w:snapToGrid w:val="0"/>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（2）出现影响采购公正的违法、违规行为的；</w:t>
      </w:r>
    </w:p>
    <w:p w14:paraId="54320299">
      <w:pPr>
        <w:pStyle w:val="25"/>
        <w:adjustRightInd w:val="0"/>
        <w:snapToGrid w:val="0"/>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（3）投标人的报价均超过了采购预算，采购人不能支付的；</w:t>
      </w:r>
    </w:p>
    <w:p w14:paraId="365F5161">
      <w:pPr>
        <w:pStyle w:val="25"/>
        <w:adjustRightInd w:val="0"/>
        <w:snapToGrid w:val="0"/>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（4）因重大变故，采购任务取消的。</w:t>
      </w:r>
    </w:p>
    <w:p w14:paraId="608C5E5B">
      <w:pPr>
        <w:pStyle w:val="25"/>
        <w:adjustRightInd w:val="0"/>
        <w:snapToGrid w:val="0"/>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废标后，采购机构应当将废标理由通知所有投标人。</w:t>
      </w:r>
    </w:p>
    <w:p w14:paraId="556E6A91">
      <w:pPr>
        <w:pStyle w:val="25"/>
        <w:adjustRightInd w:val="0"/>
        <w:snapToGrid w:val="0"/>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4.2修改招标文件，重新组织采购活动。</w:t>
      </w:r>
    </w:p>
    <w:p w14:paraId="2453A02C">
      <w:pPr>
        <w:pStyle w:val="25"/>
        <w:adjustRightInd w:val="0"/>
        <w:snapToGrid w:val="0"/>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bookmarkEnd w:id="126"/>
    </w:p>
    <w:bookmarkEnd w:id="80"/>
    <w:bookmarkEnd w:id="81"/>
    <w:p w14:paraId="06EFCF53">
      <w:pPr>
        <w:widowControl/>
        <w:adjustRightInd/>
        <w:jc w:val="left"/>
        <w:rPr>
          <w:rFonts w:hint="eastAsia" w:ascii="仿宋" w:hAnsi="仿宋" w:eastAsia="仿宋" w:cs="仿宋"/>
          <w:color w:val="auto"/>
          <w:sz w:val="24"/>
          <w:highlight w:val="none"/>
        </w:rPr>
      </w:pPr>
    </w:p>
    <w:sectPr>
      <w:footerReference r:id="rId4" w:type="first"/>
      <w:footerReference r:id="rId3" w:type="default"/>
      <w:pgSz w:w="11907" w:h="16840"/>
      <w:pgMar w:top="1134" w:right="1134" w:bottom="1134" w:left="1134" w:header="851" w:footer="850"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Century Gothic">
    <w:panose1 w:val="020B0502020202020204"/>
    <w:charset w:val="00"/>
    <w:family w:val="swiss"/>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Bk">
    <w:altName w:val="Segoe Print"/>
    <w:panose1 w:val="00000000000000000000"/>
    <w:charset w:val="00"/>
    <w:family w:val="auto"/>
    <w:pitch w:val="default"/>
    <w:sig w:usb0="00000000" w:usb1="00000000" w:usb2="00000000" w:usb3="00000000" w:csb0="00000011" w:csb1="0000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decorative"/>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Lucida Sans Unicode">
    <w:panose1 w:val="020B0602030504020204"/>
    <w:charset w:val="00"/>
    <w:family w:val="swiss"/>
    <w:pitch w:val="default"/>
    <w:sig w:usb0="80001AFF" w:usb1="0000396B" w:usb2="00000000" w:usb3="00000000" w:csb0="200000BF" w:csb1="D7F70000"/>
  </w:font>
  <w:font w:name="Helvetica">
    <w:altName w:val="Arial"/>
    <w:panose1 w:val="020B0604020202020204"/>
    <w:charset w:val="00"/>
    <w:family w:val="swiss"/>
    <w:pitch w:val="default"/>
    <w:sig w:usb0="00000000" w:usb1="00000000" w:usb2="00000000" w:usb3="00000000" w:csb0="00000001" w:csb1="00000000"/>
  </w:font>
  <w:font w:name="FHLHE E+ Futura Bk">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Futura Hv">
    <w:altName w:val="Lucida Sans Unicode"/>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Arial (W1)">
    <w:altName w:val="Arial"/>
    <w:panose1 w:val="00000000000000000000"/>
    <w:charset w:val="00"/>
    <w:family w:val="auto"/>
    <w:pitch w:val="default"/>
    <w:sig w:usb0="00000000" w:usb1="00000000" w:usb2="00000008" w:usb3="00000000" w:csb0="000001F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0DADF">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5C35CE7C">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E23E3">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14:paraId="34392453">
    <w:pPr>
      <w:rPr>
        <w:rFonts w:ascii="仿宋_GB2312" w:eastAsia="仿宋_GB231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1A1F49"/>
    <w:multiLevelType w:val="singleLevel"/>
    <w:tmpl w:val="8C1A1F49"/>
    <w:lvl w:ilvl="0" w:tentative="0">
      <w:start w:val="2"/>
      <w:numFmt w:val="decimal"/>
      <w:suff w:val="nothing"/>
      <w:lvlText w:val="%1、"/>
      <w:lvlJc w:val="left"/>
    </w:lvl>
  </w:abstractNum>
  <w:abstractNum w:abstractNumId="1">
    <w:nsid w:val="BBD3C36E"/>
    <w:multiLevelType w:val="singleLevel"/>
    <w:tmpl w:val="BBD3C36E"/>
    <w:lvl w:ilvl="0" w:tentative="0">
      <w:start w:val="1"/>
      <w:numFmt w:val="chineseCounting"/>
      <w:suff w:val="nothing"/>
      <w:lvlText w:val="%1、"/>
      <w:lvlJc w:val="left"/>
      <w:rPr>
        <w:rFonts w:hint="eastAsia"/>
      </w:rPr>
    </w:lvl>
  </w:abstractNum>
  <w:abstractNum w:abstractNumId="2">
    <w:nsid w:val="DDD4EF04"/>
    <w:multiLevelType w:val="singleLevel"/>
    <w:tmpl w:val="DDD4EF04"/>
    <w:lvl w:ilvl="0" w:tentative="0">
      <w:start w:val="1"/>
      <w:numFmt w:val="decimal"/>
      <w:suff w:val="nothing"/>
      <w:lvlText w:val="（%1）"/>
      <w:lvlJc w:val="left"/>
    </w:lvl>
  </w:abstractNum>
  <w:abstractNum w:abstractNumId="3">
    <w:nsid w:val="522F9296"/>
    <w:multiLevelType w:val="singleLevel"/>
    <w:tmpl w:val="522F9296"/>
    <w:lvl w:ilvl="0" w:tentative="0">
      <w:start w:val="1"/>
      <w:numFmt w:val="decimal"/>
      <w:suff w:val="nothing"/>
      <w:lvlText w:val="%1、"/>
      <w:lvlJc w:val="left"/>
      <w:pPr>
        <w:ind w:left="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yNTY2ZWU3MjkzMTFmNWQ3YmIwMjU0MTkyMTliZjkifQ=="/>
  </w:docVars>
  <w:rsids>
    <w:rsidRoot w:val="0041735B"/>
    <w:rsid w:val="000244C4"/>
    <w:rsid w:val="00025D6D"/>
    <w:rsid w:val="00025DA2"/>
    <w:rsid w:val="00032149"/>
    <w:rsid w:val="000818CE"/>
    <w:rsid w:val="00090E12"/>
    <w:rsid w:val="0009758B"/>
    <w:rsid w:val="000B2C0B"/>
    <w:rsid w:val="000B7CFE"/>
    <w:rsid w:val="000C479D"/>
    <w:rsid w:val="000C7A71"/>
    <w:rsid w:val="000D00CA"/>
    <w:rsid w:val="000D1D4E"/>
    <w:rsid w:val="000D74EC"/>
    <w:rsid w:val="00101C27"/>
    <w:rsid w:val="00113C55"/>
    <w:rsid w:val="001217E5"/>
    <w:rsid w:val="00122D24"/>
    <w:rsid w:val="00123D3F"/>
    <w:rsid w:val="0015627F"/>
    <w:rsid w:val="00174731"/>
    <w:rsid w:val="001906B5"/>
    <w:rsid w:val="00195681"/>
    <w:rsid w:val="0019582A"/>
    <w:rsid w:val="001A1625"/>
    <w:rsid w:val="001A298E"/>
    <w:rsid w:val="001A68F3"/>
    <w:rsid w:val="001B10DF"/>
    <w:rsid w:val="001B1C79"/>
    <w:rsid w:val="001C7B93"/>
    <w:rsid w:val="001D4B73"/>
    <w:rsid w:val="001E4B23"/>
    <w:rsid w:val="001E5514"/>
    <w:rsid w:val="001F0E62"/>
    <w:rsid w:val="00203E43"/>
    <w:rsid w:val="002044EE"/>
    <w:rsid w:val="00207766"/>
    <w:rsid w:val="002214CE"/>
    <w:rsid w:val="00231569"/>
    <w:rsid w:val="00250176"/>
    <w:rsid w:val="0025635A"/>
    <w:rsid w:val="00257DAF"/>
    <w:rsid w:val="00266140"/>
    <w:rsid w:val="00285EC2"/>
    <w:rsid w:val="00287C80"/>
    <w:rsid w:val="002B4D64"/>
    <w:rsid w:val="002B4D77"/>
    <w:rsid w:val="002C2FE6"/>
    <w:rsid w:val="002C3761"/>
    <w:rsid w:val="002D02FC"/>
    <w:rsid w:val="002D4A93"/>
    <w:rsid w:val="002F67B8"/>
    <w:rsid w:val="00316D20"/>
    <w:rsid w:val="003339F1"/>
    <w:rsid w:val="003432A4"/>
    <w:rsid w:val="003540EF"/>
    <w:rsid w:val="00355843"/>
    <w:rsid w:val="00371B76"/>
    <w:rsid w:val="00375DF1"/>
    <w:rsid w:val="00376087"/>
    <w:rsid w:val="00382163"/>
    <w:rsid w:val="00383012"/>
    <w:rsid w:val="003A0810"/>
    <w:rsid w:val="003B461A"/>
    <w:rsid w:val="003C0581"/>
    <w:rsid w:val="003C0FFA"/>
    <w:rsid w:val="003E0630"/>
    <w:rsid w:val="0041735B"/>
    <w:rsid w:val="00437A41"/>
    <w:rsid w:val="00446C5C"/>
    <w:rsid w:val="00467DFD"/>
    <w:rsid w:val="004716A1"/>
    <w:rsid w:val="0047423B"/>
    <w:rsid w:val="00491632"/>
    <w:rsid w:val="00494D26"/>
    <w:rsid w:val="00495236"/>
    <w:rsid w:val="004B3955"/>
    <w:rsid w:val="004C467A"/>
    <w:rsid w:val="004F3EC1"/>
    <w:rsid w:val="004F6B30"/>
    <w:rsid w:val="00500E62"/>
    <w:rsid w:val="00512644"/>
    <w:rsid w:val="00513CAC"/>
    <w:rsid w:val="00513E86"/>
    <w:rsid w:val="00534CD6"/>
    <w:rsid w:val="00554397"/>
    <w:rsid w:val="0055629E"/>
    <w:rsid w:val="00560B89"/>
    <w:rsid w:val="00586122"/>
    <w:rsid w:val="00590386"/>
    <w:rsid w:val="0059704A"/>
    <w:rsid w:val="005F41F6"/>
    <w:rsid w:val="0060157C"/>
    <w:rsid w:val="0061168B"/>
    <w:rsid w:val="00611A2A"/>
    <w:rsid w:val="006121FD"/>
    <w:rsid w:val="0061313E"/>
    <w:rsid w:val="0062060D"/>
    <w:rsid w:val="006218DB"/>
    <w:rsid w:val="00621B89"/>
    <w:rsid w:val="00634267"/>
    <w:rsid w:val="00634B88"/>
    <w:rsid w:val="0066481D"/>
    <w:rsid w:val="00665E99"/>
    <w:rsid w:val="00682B0A"/>
    <w:rsid w:val="006B564C"/>
    <w:rsid w:val="006C2093"/>
    <w:rsid w:val="006D160F"/>
    <w:rsid w:val="006D5744"/>
    <w:rsid w:val="006D6BAC"/>
    <w:rsid w:val="006F3CE9"/>
    <w:rsid w:val="006F5944"/>
    <w:rsid w:val="007127E0"/>
    <w:rsid w:val="00725CC7"/>
    <w:rsid w:val="00734C75"/>
    <w:rsid w:val="00735F75"/>
    <w:rsid w:val="00744343"/>
    <w:rsid w:val="007540F0"/>
    <w:rsid w:val="00764D5B"/>
    <w:rsid w:val="00785ECA"/>
    <w:rsid w:val="007939B2"/>
    <w:rsid w:val="007B1ED6"/>
    <w:rsid w:val="007B5199"/>
    <w:rsid w:val="007C4979"/>
    <w:rsid w:val="007D190F"/>
    <w:rsid w:val="007D2D5A"/>
    <w:rsid w:val="007E3B2C"/>
    <w:rsid w:val="007F1DB8"/>
    <w:rsid w:val="007F358C"/>
    <w:rsid w:val="00801285"/>
    <w:rsid w:val="008136E8"/>
    <w:rsid w:val="00824286"/>
    <w:rsid w:val="00824BFB"/>
    <w:rsid w:val="00841A70"/>
    <w:rsid w:val="008502F0"/>
    <w:rsid w:val="00850425"/>
    <w:rsid w:val="008642F2"/>
    <w:rsid w:val="00864E4E"/>
    <w:rsid w:val="00871C8F"/>
    <w:rsid w:val="00873462"/>
    <w:rsid w:val="00881EE7"/>
    <w:rsid w:val="008A322D"/>
    <w:rsid w:val="008B21B6"/>
    <w:rsid w:val="008B7012"/>
    <w:rsid w:val="008D0C6E"/>
    <w:rsid w:val="008D1288"/>
    <w:rsid w:val="008D448F"/>
    <w:rsid w:val="008D69DE"/>
    <w:rsid w:val="008F00E4"/>
    <w:rsid w:val="008F08DB"/>
    <w:rsid w:val="008F51F6"/>
    <w:rsid w:val="008F6025"/>
    <w:rsid w:val="008F7E15"/>
    <w:rsid w:val="00905C8A"/>
    <w:rsid w:val="00914DF0"/>
    <w:rsid w:val="00960A07"/>
    <w:rsid w:val="0097012C"/>
    <w:rsid w:val="00993480"/>
    <w:rsid w:val="009A282C"/>
    <w:rsid w:val="009A4983"/>
    <w:rsid w:val="009A791B"/>
    <w:rsid w:val="009B1EB6"/>
    <w:rsid w:val="009B7CF2"/>
    <w:rsid w:val="009D2C82"/>
    <w:rsid w:val="009D391F"/>
    <w:rsid w:val="009E7EB1"/>
    <w:rsid w:val="00A2264F"/>
    <w:rsid w:val="00A77A15"/>
    <w:rsid w:val="00A81A07"/>
    <w:rsid w:val="00A834D3"/>
    <w:rsid w:val="00A9254C"/>
    <w:rsid w:val="00AA01F8"/>
    <w:rsid w:val="00AA6140"/>
    <w:rsid w:val="00AC102E"/>
    <w:rsid w:val="00AC44A0"/>
    <w:rsid w:val="00AC6FF0"/>
    <w:rsid w:val="00AE1239"/>
    <w:rsid w:val="00AF4436"/>
    <w:rsid w:val="00AF65E6"/>
    <w:rsid w:val="00B018C8"/>
    <w:rsid w:val="00B040D3"/>
    <w:rsid w:val="00B12504"/>
    <w:rsid w:val="00B13870"/>
    <w:rsid w:val="00B138DB"/>
    <w:rsid w:val="00B30312"/>
    <w:rsid w:val="00B306AA"/>
    <w:rsid w:val="00B32C0F"/>
    <w:rsid w:val="00B3311A"/>
    <w:rsid w:val="00B3603C"/>
    <w:rsid w:val="00B456F8"/>
    <w:rsid w:val="00B52227"/>
    <w:rsid w:val="00B63BC5"/>
    <w:rsid w:val="00B73F11"/>
    <w:rsid w:val="00B77CE3"/>
    <w:rsid w:val="00B8072E"/>
    <w:rsid w:val="00B857C7"/>
    <w:rsid w:val="00BA07FF"/>
    <w:rsid w:val="00BA2808"/>
    <w:rsid w:val="00BA4E07"/>
    <w:rsid w:val="00BB3011"/>
    <w:rsid w:val="00BD1A89"/>
    <w:rsid w:val="00BD57A8"/>
    <w:rsid w:val="00BD6CAD"/>
    <w:rsid w:val="00BE55D5"/>
    <w:rsid w:val="00BF2EC0"/>
    <w:rsid w:val="00C421AE"/>
    <w:rsid w:val="00C54211"/>
    <w:rsid w:val="00C554C6"/>
    <w:rsid w:val="00C56E32"/>
    <w:rsid w:val="00C75286"/>
    <w:rsid w:val="00C755AC"/>
    <w:rsid w:val="00C75D28"/>
    <w:rsid w:val="00C80189"/>
    <w:rsid w:val="00C978FB"/>
    <w:rsid w:val="00CB6FE7"/>
    <w:rsid w:val="00CC598D"/>
    <w:rsid w:val="00CD0A97"/>
    <w:rsid w:val="00CD4CFA"/>
    <w:rsid w:val="00CD7399"/>
    <w:rsid w:val="00CE00D6"/>
    <w:rsid w:val="00D075A9"/>
    <w:rsid w:val="00D077F9"/>
    <w:rsid w:val="00D123AE"/>
    <w:rsid w:val="00D156F7"/>
    <w:rsid w:val="00D2085D"/>
    <w:rsid w:val="00D264AD"/>
    <w:rsid w:val="00D40289"/>
    <w:rsid w:val="00D437CD"/>
    <w:rsid w:val="00D43DF0"/>
    <w:rsid w:val="00D55A52"/>
    <w:rsid w:val="00D61BF6"/>
    <w:rsid w:val="00D7141D"/>
    <w:rsid w:val="00D73CEB"/>
    <w:rsid w:val="00D75CE2"/>
    <w:rsid w:val="00D8433A"/>
    <w:rsid w:val="00DB27A6"/>
    <w:rsid w:val="00DC016B"/>
    <w:rsid w:val="00DC2AE0"/>
    <w:rsid w:val="00DD0529"/>
    <w:rsid w:val="00DD6C8A"/>
    <w:rsid w:val="00E07025"/>
    <w:rsid w:val="00E13D42"/>
    <w:rsid w:val="00E14E48"/>
    <w:rsid w:val="00E16B1E"/>
    <w:rsid w:val="00E228DE"/>
    <w:rsid w:val="00E3251F"/>
    <w:rsid w:val="00EA0D73"/>
    <w:rsid w:val="00EE23B3"/>
    <w:rsid w:val="00EE601A"/>
    <w:rsid w:val="00EE62FC"/>
    <w:rsid w:val="00EF12A5"/>
    <w:rsid w:val="00EF1DE3"/>
    <w:rsid w:val="00EF6408"/>
    <w:rsid w:val="00EF7632"/>
    <w:rsid w:val="00EF788A"/>
    <w:rsid w:val="00F25DD9"/>
    <w:rsid w:val="00F264A2"/>
    <w:rsid w:val="00F46AC9"/>
    <w:rsid w:val="00F65871"/>
    <w:rsid w:val="00FC3129"/>
    <w:rsid w:val="00FE150A"/>
    <w:rsid w:val="00FF01A3"/>
    <w:rsid w:val="00FF49D3"/>
    <w:rsid w:val="00FF52D0"/>
    <w:rsid w:val="00FF675A"/>
    <w:rsid w:val="023B7FF0"/>
    <w:rsid w:val="02794B06"/>
    <w:rsid w:val="02E62FD5"/>
    <w:rsid w:val="03AF1619"/>
    <w:rsid w:val="04AD3DAA"/>
    <w:rsid w:val="04C37E3B"/>
    <w:rsid w:val="05B6002A"/>
    <w:rsid w:val="05E74E64"/>
    <w:rsid w:val="062B4BB1"/>
    <w:rsid w:val="08646E76"/>
    <w:rsid w:val="086E55FF"/>
    <w:rsid w:val="0A14508D"/>
    <w:rsid w:val="0CA43CE5"/>
    <w:rsid w:val="0D3C46A7"/>
    <w:rsid w:val="0E176739"/>
    <w:rsid w:val="0EA63619"/>
    <w:rsid w:val="0EDB1514"/>
    <w:rsid w:val="0FEB4389"/>
    <w:rsid w:val="0FFE4719"/>
    <w:rsid w:val="11336B57"/>
    <w:rsid w:val="11861B94"/>
    <w:rsid w:val="169C50E6"/>
    <w:rsid w:val="1EA062D6"/>
    <w:rsid w:val="22AB1FD2"/>
    <w:rsid w:val="237C4C1C"/>
    <w:rsid w:val="27FF3A1C"/>
    <w:rsid w:val="29B17460"/>
    <w:rsid w:val="2A277466"/>
    <w:rsid w:val="2BAA61CA"/>
    <w:rsid w:val="2D306A77"/>
    <w:rsid w:val="2D7A7914"/>
    <w:rsid w:val="2F0E760F"/>
    <w:rsid w:val="321D3A6E"/>
    <w:rsid w:val="34E575E6"/>
    <w:rsid w:val="358B6F41"/>
    <w:rsid w:val="363E528A"/>
    <w:rsid w:val="397E2754"/>
    <w:rsid w:val="3C3E2FA6"/>
    <w:rsid w:val="3E48263F"/>
    <w:rsid w:val="3E9956CC"/>
    <w:rsid w:val="41C406A8"/>
    <w:rsid w:val="436E6C9E"/>
    <w:rsid w:val="452A69A5"/>
    <w:rsid w:val="476407C5"/>
    <w:rsid w:val="4B4F70BB"/>
    <w:rsid w:val="4C5C727E"/>
    <w:rsid w:val="4CE64A3F"/>
    <w:rsid w:val="4EFC25E0"/>
    <w:rsid w:val="51062F0A"/>
    <w:rsid w:val="529105EE"/>
    <w:rsid w:val="56E7098D"/>
    <w:rsid w:val="5CDA6A56"/>
    <w:rsid w:val="5D0D4D06"/>
    <w:rsid w:val="5D2D2508"/>
    <w:rsid w:val="64DF67AE"/>
    <w:rsid w:val="65FF776B"/>
    <w:rsid w:val="66190016"/>
    <w:rsid w:val="6C4A3F9B"/>
    <w:rsid w:val="6CFE3F8C"/>
    <w:rsid w:val="6E614B56"/>
    <w:rsid w:val="6EF42168"/>
    <w:rsid w:val="6F8D391A"/>
    <w:rsid w:val="71315017"/>
    <w:rsid w:val="71D331C4"/>
    <w:rsid w:val="71F75779"/>
    <w:rsid w:val="73E76ABA"/>
    <w:rsid w:val="77AF64E3"/>
    <w:rsid w:val="78505D4C"/>
    <w:rsid w:val="7C412019"/>
    <w:rsid w:val="7DA525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iPriority="0" w:semiHidden="0" w:name="Date"/>
    <w:lsdException w:qFormat="1" w:uiPriority="99" w:semiHidden="0" w:name="Body Text First Indent"/>
    <w:lsdException w:qFormat="1" w:uiPriority="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qFormat="1" w:uiPriority="99" w:semiHidden="0"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7"/>
    <w:qFormat/>
    <w:uiPriority w:val="9"/>
    <w:pPr>
      <w:widowControl/>
      <w:adjustRightInd/>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8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96"/>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409"/>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160"/>
    <w:qFormat/>
    <w:uiPriority w:val="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25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167"/>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42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28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4">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2">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3">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4">
    <w:name w:val="Normal Indent"/>
    <w:basedOn w:val="1"/>
    <w:link w:val="299"/>
    <w:qFormat/>
    <w:uiPriority w:val="0"/>
    <w:pPr>
      <w:widowControl/>
      <w:snapToGrid w:val="0"/>
      <w:spacing w:line="480" w:lineRule="exact"/>
      <w:ind w:firstLine="567"/>
    </w:pPr>
    <w:rPr>
      <w:rFonts w:ascii="宋体" w:hAnsiTheme="minorHAnsi" w:cstheme="minorBidi"/>
      <w:snapToGrid w:val="0"/>
      <w:color w:val="000000"/>
      <w:kern w:val="28"/>
      <w:sz w:val="28"/>
      <w:szCs w:val="22"/>
    </w:rPr>
  </w:style>
  <w:style w:type="paragraph" w:styleId="15">
    <w:name w:val="caption"/>
    <w:basedOn w:val="1"/>
    <w:next w:val="1"/>
    <w:link w:val="332"/>
    <w:qFormat/>
    <w:uiPriority w:val="0"/>
    <w:rPr>
      <w:rFonts w:asciiTheme="minorHAnsi" w:hAnsiTheme="minorHAnsi" w:eastAsiaTheme="minorEastAsia" w:cstheme="minorBidi"/>
      <w:b/>
      <w:sz w:val="28"/>
      <w:szCs w:val="22"/>
    </w:rPr>
  </w:style>
  <w:style w:type="paragraph" w:styleId="16">
    <w:name w:val="index 5"/>
    <w:basedOn w:val="1"/>
    <w:next w:val="1"/>
    <w:qFormat/>
    <w:uiPriority w:val="0"/>
    <w:pPr>
      <w:adjustRightInd/>
      <w:ind w:left="800" w:leftChars="800" w:firstLine="200" w:firstLineChars="200"/>
    </w:pPr>
  </w:style>
  <w:style w:type="paragraph" w:styleId="17">
    <w:name w:val="Document Map"/>
    <w:basedOn w:val="1"/>
    <w:link w:val="307"/>
    <w:qFormat/>
    <w:uiPriority w:val="0"/>
    <w:pPr>
      <w:shd w:val="clear" w:color="auto" w:fill="000080"/>
    </w:pPr>
    <w:rPr>
      <w:rFonts w:asciiTheme="minorHAnsi" w:hAnsiTheme="minorHAnsi" w:eastAsiaTheme="minorEastAsia" w:cstheme="minorBidi"/>
    </w:rPr>
  </w:style>
  <w:style w:type="paragraph" w:styleId="18">
    <w:name w:val="annotation text"/>
    <w:basedOn w:val="1"/>
    <w:link w:val="97"/>
    <w:qFormat/>
    <w:uiPriority w:val="0"/>
    <w:pPr>
      <w:adjustRightInd/>
      <w:jc w:val="left"/>
    </w:pPr>
    <w:rPr>
      <w:szCs w:val="21"/>
    </w:rPr>
  </w:style>
  <w:style w:type="paragraph" w:styleId="19">
    <w:name w:val="Salutation"/>
    <w:basedOn w:val="1"/>
    <w:next w:val="1"/>
    <w:link w:val="395"/>
    <w:qFormat/>
    <w:uiPriority w:val="0"/>
    <w:rPr>
      <w:rFonts w:ascii="仿宋_GB2312" w:eastAsia="仿宋_GB2312" w:hAnsiTheme="minorHAnsi" w:cstheme="minorBidi"/>
      <w:sz w:val="28"/>
      <w:szCs w:val="22"/>
    </w:rPr>
  </w:style>
  <w:style w:type="paragraph" w:styleId="20">
    <w:name w:val="Body Text 3"/>
    <w:basedOn w:val="1"/>
    <w:link w:val="410"/>
    <w:qFormat/>
    <w:uiPriority w:val="0"/>
    <w:pPr>
      <w:jc w:val="center"/>
    </w:pPr>
    <w:rPr>
      <w:rFonts w:asciiTheme="minorHAnsi" w:hAnsiTheme="minorHAnsi" w:eastAsiaTheme="minorEastAsia" w:cstheme="minorBidi"/>
      <w:szCs w:val="22"/>
    </w:rPr>
  </w:style>
  <w:style w:type="paragraph" w:styleId="21">
    <w:name w:val="List Bullet 3"/>
    <w:basedOn w:val="1"/>
    <w:unhideWhenUsed/>
    <w:qFormat/>
    <w:uiPriority w:val="0"/>
    <w:pPr>
      <w:snapToGrid w:val="0"/>
      <w:spacing w:line="360" w:lineRule="auto"/>
      <w:ind w:left="360" w:right="238" w:hanging="360"/>
      <w:contextualSpacing/>
    </w:pPr>
    <w:rPr>
      <w:sz w:val="24"/>
    </w:rPr>
  </w:style>
  <w:style w:type="paragraph" w:styleId="22">
    <w:name w:val="Body Text"/>
    <w:basedOn w:val="1"/>
    <w:next w:val="23"/>
    <w:link w:val="93"/>
    <w:unhideWhenUsed/>
    <w:qFormat/>
    <w:uiPriority w:val="0"/>
    <w:pPr>
      <w:spacing w:after="120"/>
    </w:pPr>
  </w:style>
  <w:style w:type="paragraph" w:styleId="23">
    <w:name w:val="Body Text First Indent"/>
    <w:basedOn w:val="22"/>
    <w:next w:val="24"/>
    <w:link w:val="94"/>
    <w:unhideWhenUsed/>
    <w:qFormat/>
    <w:uiPriority w:val="99"/>
    <w:pPr>
      <w:ind w:firstLine="420" w:firstLineChars="100"/>
    </w:pPr>
  </w:style>
  <w:style w:type="paragraph" w:styleId="24">
    <w:name w:val="toc 6"/>
    <w:basedOn w:val="1"/>
    <w:next w:val="1"/>
    <w:qFormat/>
    <w:uiPriority w:val="0"/>
    <w:pPr>
      <w:ind w:left="840"/>
      <w:jc w:val="left"/>
    </w:pPr>
    <w:rPr>
      <w:rFonts w:ascii="Times New Roman" w:hAnsi="Times New Roman" w:eastAsia="宋体" w:cs="Times New Roman"/>
      <w:sz w:val="20"/>
      <w:szCs w:val="20"/>
    </w:rPr>
  </w:style>
  <w:style w:type="paragraph" w:styleId="25">
    <w:name w:val="Body Text Indent"/>
    <w:basedOn w:val="1"/>
    <w:link w:val="83"/>
    <w:qFormat/>
    <w:uiPriority w:val="0"/>
    <w:pPr>
      <w:adjustRightInd/>
      <w:ind w:left="480" w:hanging="480" w:hangingChars="200"/>
    </w:pPr>
    <w:rPr>
      <w:rFonts w:eastAsia="Cambria" w:asciiTheme="minorHAnsi" w:hAnsiTheme="minorHAnsi" w:cstheme="minorBidi"/>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322"/>
    <w:qFormat/>
    <w:uiPriority w:val="0"/>
    <w:pPr>
      <w:widowControl/>
      <w:adjustRightInd/>
      <w:ind w:firstLine="200" w:firstLineChars="200"/>
      <w:jc w:val="left"/>
    </w:pPr>
    <w:rPr>
      <w:rFonts w:ascii="宋体" w:hAnsi="宋体" w:eastAsiaTheme="minorEastAsia" w:cstheme="minorBidi"/>
      <w:i/>
      <w:iCs/>
      <w:sz w:val="24"/>
    </w:rPr>
  </w:style>
  <w:style w:type="paragraph" w:styleId="31">
    <w:name w:val="toc 3"/>
    <w:basedOn w:val="1"/>
    <w:next w:val="1"/>
    <w:unhideWhenUsed/>
    <w:qFormat/>
    <w:uiPriority w:val="39"/>
    <w:pPr>
      <w:ind w:left="840" w:leftChars="400"/>
    </w:pPr>
  </w:style>
  <w:style w:type="paragraph" w:styleId="32">
    <w:name w:val="Plain Text"/>
    <w:basedOn w:val="1"/>
    <w:next w:val="1"/>
    <w:link w:val="82"/>
    <w:qFormat/>
    <w:uiPriority w:val="0"/>
    <w:pPr>
      <w:widowControl/>
      <w:overflowPunct w:val="0"/>
      <w:autoSpaceDE w:val="0"/>
      <w:autoSpaceDN w:val="0"/>
      <w:jc w:val="left"/>
      <w:textAlignment w:val="baseline"/>
    </w:pPr>
    <w:rPr>
      <w:rFonts w:ascii="Cambria" w:hAnsi="隶书" w:eastAsia="Cambria" w:cstheme="minorBidi"/>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Date"/>
    <w:basedOn w:val="1"/>
    <w:next w:val="1"/>
    <w:link w:val="99"/>
    <w:unhideWhenUsed/>
    <w:qFormat/>
    <w:uiPriority w:val="0"/>
    <w:pPr>
      <w:ind w:left="100" w:leftChars="2500"/>
    </w:pPr>
  </w:style>
  <w:style w:type="paragraph" w:styleId="35">
    <w:name w:val="Body Text Indent 2"/>
    <w:basedOn w:val="1"/>
    <w:link w:val="401"/>
    <w:qFormat/>
    <w:uiPriority w:val="0"/>
    <w:pPr>
      <w:spacing w:line="360" w:lineRule="auto"/>
      <w:ind w:firstLine="601"/>
      <w:textAlignment w:val="baseline"/>
    </w:pPr>
    <w:rPr>
      <w:rFonts w:ascii="宋体" w:hAnsiTheme="minorHAnsi" w:eastAsiaTheme="minorEastAsia" w:cstheme="minorBidi"/>
      <w:sz w:val="28"/>
      <w:szCs w:val="22"/>
    </w:rPr>
  </w:style>
  <w:style w:type="paragraph" w:styleId="36">
    <w:name w:val="endnote text"/>
    <w:basedOn w:val="1"/>
    <w:link w:val="459"/>
    <w:qFormat/>
    <w:uiPriority w:val="0"/>
    <w:rPr>
      <w:rFonts w:asciiTheme="minorHAnsi" w:hAnsiTheme="minorHAnsi" w:eastAsiaTheme="minorEastAsia" w:cstheme="minorBidi"/>
      <w:lang w:val="zh-CN"/>
    </w:rPr>
  </w:style>
  <w:style w:type="paragraph" w:styleId="37">
    <w:name w:val="Balloon Text"/>
    <w:basedOn w:val="1"/>
    <w:link w:val="98"/>
    <w:unhideWhenUsed/>
    <w:qFormat/>
    <w:uiPriority w:val="0"/>
    <w:rPr>
      <w:sz w:val="18"/>
      <w:szCs w:val="18"/>
    </w:rPr>
  </w:style>
  <w:style w:type="paragraph" w:styleId="38">
    <w:name w:val="footer"/>
    <w:basedOn w:val="1"/>
    <w:link w:val="76"/>
    <w:unhideWhenUsed/>
    <w:qFormat/>
    <w:uiPriority w:val="99"/>
    <w:pPr>
      <w:tabs>
        <w:tab w:val="center" w:pos="4153"/>
        <w:tab w:val="right" w:pos="8306"/>
      </w:tabs>
      <w:snapToGrid w:val="0"/>
      <w:jc w:val="left"/>
    </w:pPr>
    <w:rPr>
      <w:sz w:val="18"/>
      <w:szCs w:val="18"/>
    </w:rPr>
  </w:style>
  <w:style w:type="paragraph" w:styleId="39">
    <w:name w:val="header"/>
    <w:basedOn w:val="1"/>
    <w:link w:val="75"/>
    <w:unhideWhenUsed/>
    <w:qFormat/>
    <w:uiPriority w:val="99"/>
    <w:pPr>
      <w:pBdr>
        <w:bottom w:val="single" w:color="auto" w:sz="6" w:space="1"/>
      </w:pBdr>
      <w:tabs>
        <w:tab w:val="center" w:pos="4153"/>
        <w:tab w:val="right" w:pos="8306"/>
      </w:tabs>
      <w:snapToGrid w:val="0"/>
      <w:jc w:val="center"/>
    </w:pPr>
    <w:rPr>
      <w:sz w:val="18"/>
      <w:szCs w:val="18"/>
    </w:rPr>
  </w:style>
  <w:style w:type="paragraph" w:styleId="40">
    <w:name w:val="Signature"/>
    <w:basedOn w:val="1"/>
    <w:link w:val="192"/>
    <w:qFormat/>
    <w:uiPriority w:val="0"/>
    <w:pPr>
      <w:spacing w:after="600" w:line="312" w:lineRule="atLeast"/>
      <w:jc w:val="center"/>
      <w:textAlignment w:val="baseline"/>
    </w:pPr>
    <w:rPr>
      <w:rFonts w:eastAsia="仿宋_GB2312" w:asciiTheme="minorHAnsi" w:hAnsiTheme="minorHAnsi" w:cstheme="minorBidi"/>
      <w:sz w:val="24"/>
      <w:szCs w:val="22"/>
    </w:rPr>
  </w:style>
  <w:style w:type="paragraph" w:styleId="41">
    <w:name w:val="toc 1"/>
    <w:basedOn w:val="1"/>
    <w:next w:val="1"/>
    <w:unhideWhenUsed/>
    <w:qFormat/>
    <w:uiPriority w:val="39"/>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246"/>
    <w:qFormat/>
    <w:uiPriority w:val="0"/>
    <w:pPr>
      <w:adjustRightInd w:val="0"/>
      <w:snapToGrid w:val="0"/>
      <w:spacing w:before="240" w:after="480"/>
      <w:jc w:val="center"/>
    </w:pPr>
    <w:rPr>
      <w:rFonts w:ascii="Arial" w:hAnsi="Arial" w:eastAsia="隶书" w:cstheme="minorBidi"/>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14"/>
    <w:link w:val="402"/>
    <w:qFormat/>
    <w:uiPriority w:val="0"/>
    <w:pPr>
      <w:adjustRightInd/>
      <w:snapToGrid/>
      <w:spacing w:before="60" w:after="60" w:line="300" w:lineRule="exact"/>
      <w:ind w:firstLine="0"/>
    </w:pPr>
    <w:rPr>
      <w:rFonts w:asciiTheme="minorHAnsi" w:eastAsiaTheme="minorEastAsia"/>
      <w:snapToGrid/>
      <w:color w:val="0000FF"/>
      <w:kern w:val="2"/>
      <w:sz w:val="21"/>
    </w:rPr>
  </w:style>
  <w:style w:type="paragraph" w:styleId="48">
    <w:name w:val="List 5"/>
    <w:basedOn w:val="1"/>
    <w:qFormat/>
    <w:uiPriority w:val="0"/>
    <w:pPr>
      <w:adjustRightInd/>
      <w:ind w:left="100" w:leftChars="800" w:hanging="200" w:hangingChars="200"/>
    </w:pPr>
  </w:style>
  <w:style w:type="paragraph" w:styleId="49">
    <w:name w:val="Body Text Indent 3"/>
    <w:basedOn w:val="1"/>
    <w:link w:val="433"/>
    <w:qFormat/>
    <w:uiPriority w:val="0"/>
    <w:pPr>
      <w:spacing w:line="360" w:lineRule="auto"/>
      <w:ind w:firstLine="420"/>
    </w:pPr>
    <w:rPr>
      <w:rFonts w:asciiTheme="minorHAnsi" w:hAnsiTheme="minorHAnsi" w:eastAsiaTheme="minorEastAsia" w:cstheme="minorBidi"/>
      <w:sz w:val="24"/>
      <w:szCs w:val="22"/>
    </w:rPr>
  </w:style>
  <w:style w:type="paragraph" w:styleId="50">
    <w:name w:val="toc 2"/>
    <w:basedOn w:val="1"/>
    <w:next w:val="1"/>
    <w:unhideWhenUsed/>
    <w:qFormat/>
    <w:uiPriority w:val="39"/>
    <w:pPr>
      <w:ind w:left="420" w:leftChars="200"/>
    </w:pPr>
  </w:style>
  <w:style w:type="paragraph" w:styleId="51">
    <w:name w:val="Body Text 2"/>
    <w:basedOn w:val="1"/>
    <w:link w:val="397"/>
    <w:qFormat/>
    <w:uiPriority w:val="0"/>
    <w:pPr>
      <w:spacing w:after="120" w:line="480" w:lineRule="auto"/>
    </w:pPr>
    <w:rPr>
      <w:rFonts w:asciiTheme="minorHAnsi" w:hAnsiTheme="minorHAnsi" w:eastAsiaTheme="minorEastAsia" w:cstheme="minorBidi"/>
    </w:rPr>
  </w:style>
  <w:style w:type="paragraph" w:styleId="52">
    <w:name w:val="HTML Preformatted"/>
    <w:basedOn w:val="1"/>
    <w:link w:val="16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cstheme="minorBidi"/>
      <w:szCs w:val="22"/>
    </w:rPr>
  </w:style>
  <w:style w:type="paragraph" w:styleId="53">
    <w:name w:val="Normal (Web)"/>
    <w:basedOn w:val="1"/>
    <w:unhideWhenUsed/>
    <w:qFormat/>
    <w:uiPriority w:val="99"/>
    <w:pPr>
      <w:widowControl/>
      <w:adjustRightInd/>
      <w:spacing w:before="100" w:beforeAutospacing="1" w:after="100" w:afterAutospacing="1"/>
      <w:jc w:val="left"/>
    </w:pPr>
    <w:rPr>
      <w:rFonts w:ascii="宋体" w:hAnsi="宋体" w:cs="宋体"/>
      <w:kern w:val="0"/>
      <w:sz w:val="24"/>
    </w:rPr>
  </w:style>
  <w:style w:type="paragraph" w:styleId="54">
    <w:name w:val="Title"/>
    <w:basedOn w:val="1"/>
    <w:link w:val="388"/>
    <w:qFormat/>
    <w:uiPriority w:val="10"/>
    <w:pPr>
      <w:widowControl/>
      <w:overflowPunct w:val="0"/>
      <w:autoSpaceDE w:val="0"/>
      <w:autoSpaceDN w:val="0"/>
      <w:jc w:val="center"/>
      <w:textAlignment w:val="baseline"/>
    </w:pPr>
    <w:rPr>
      <w:rFonts w:asciiTheme="minorHAnsi" w:hAnsiTheme="minorHAnsi" w:eastAsiaTheme="minorEastAsia" w:cstheme="minorBidi"/>
      <w:b/>
      <w:sz w:val="24"/>
      <w:szCs w:val="22"/>
    </w:rPr>
  </w:style>
  <w:style w:type="paragraph" w:styleId="55">
    <w:name w:val="annotation subject"/>
    <w:basedOn w:val="18"/>
    <w:next w:val="18"/>
    <w:link w:val="124"/>
    <w:qFormat/>
    <w:uiPriority w:val="0"/>
    <w:pPr>
      <w:adjustRightInd w:val="0"/>
    </w:pPr>
    <w:rPr>
      <w:rFonts w:asciiTheme="minorHAnsi" w:hAnsiTheme="minorHAnsi" w:eastAsiaTheme="minorEastAsia" w:cstheme="minorBidi"/>
      <w:b/>
      <w:bCs/>
      <w:szCs w:val="24"/>
    </w:rPr>
  </w:style>
  <w:style w:type="paragraph" w:styleId="56">
    <w:name w:val="Body Text First Indent 2"/>
    <w:basedOn w:val="25"/>
    <w:link w:val="242"/>
    <w:semiHidden/>
    <w:unhideWhenUsed/>
    <w:qFormat/>
    <w:uiPriority w:val="0"/>
    <w:pPr>
      <w:adjustRightInd w:val="0"/>
      <w:spacing w:after="120"/>
      <w:ind w:left="420" w:leftChars="200" w:firstLine="420" w:firstLineChars="200"/>
    </w:pPr>
    <w:rPr>
      <w:rFonts w:ascii="宋体" w:hAnsi="宋体" w:eastAsiaTheme="minorEastAsia"/>
      <w:sz w:val="21"/>
    </w:rPr>
  </w:style>
  <w:style w:type="table" w:styleId="58">
    <w:name w:val="Table Grid"/>
    <w:basedOn w:val="5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59">
    <w:name w:val="Table Theme"/>
    <w:basedOn w:val="57"/>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0">
    <w:name w:val="Table Elegant"/>
    <w:basedOn w:val="57"/>
    <w:qFormat/>
    <w:uiPriority w:val="0"/>
    <w:pPr>
      <w:widowControl w:val="0"/>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1">
    <w:name w:val="Table Grid 5"/>
    <w:basedOn w:val="57"/>
    <w:qFormat/>
    <w:uiPriority w:val="0"/>
    <w:pPr>
      <w:widowControl w:val="0"/>
      <w:jc w:val="both"/>
    </w:pPr>
    <w:rPr>
      <w:rFonts w:ascii="Times New Roman" w:hAnsi="Times New Roman" w:eastAsia="宋体" w:cs="Times New Roman"/>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2">
    <w:name w:val="Table Grid 8"/>
    <w:basedOn w:val="57"/>
    <w:qFormat/>
    <w:uiPriority w:val="0"/>
    <w:pPr>
      <w:widowControl w:val="0"/>
      <w:jc w:val="both"/>
    </w:pPr>
    <w:rPr>
      <w:rFonts w:ascii="Times New Roman" w:hAnsi="Times New Roman" w:eastAsia="宋体" w:cs="Times New Roman"/>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3">
    <w:name w:val="Table Professional"/>
    <w:basedOn w:val="57"/>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65">
    <w:name w:val="Strong"/>
    <w:basedOn w:val="64"/>
    <w:qFormat/>
    <w:uiPriority w:val="22"/>
    <w:rPr>
      <w:b/>
      <w:bCs/>
    </w:rPr>
  </w:style>
  <w:style w:type="character" w:styleId="66">
    <w:name w:val="endnote reference"/>
    <w:qFormat/>
    <w:uiPriority w:val="0"/>
    <w:rPr>
      <w:vertAlign w:val="superscript"/>
    </w:rPr>
  </w:style>
  <w:style w:type="character" w:styleId="67">
    <w:name w:val="page number"/>
    <w:qFormat/>
    <w:uiPriority w:val="0"/>
  </w:style>
  <w:style w:type="character" w:styleId="68">
    <w:name w:val="FollowedHyperlink"/>
    <w:basedOn w:val="64"/>
    <w:semiHidden/>
    <w:unhideWhenUsed/>
    <w:qFormat/>
    <w:uiPriority w:val="99"/>
    <w:rPr>
      <w:color w:val="800080" w:themeColor="followedHyperlink"/>
      <w:u w:val="single"/>
      <w14:textFill>
        <w14:solidFill>
          <w14:schemeClr w14:val="folHlink"/>
        </w14:solidFill>
      </w14:textFill>
    </w:rPr>
  </w:style>
  <w:style w:type="character" w:styleId="69">
    <w:name w:val="Emphasis"/>
    <w:qFormat/>
    <w:uiPriority w:val="20"/>
    <w:rPr>
      <w:color w:val="CC0033"/>
    </w:rPr>
  </w:style>
  <w:style w:type="character" w:styleId="70">
    <w:name w:val="line number"/>
    <w:qFormat/>
    <w:uiPriority w:val="0"/>
    <w:rPr>
      <w:rFonts w:ascii="Arial" w:hAnsi="Arial" w:eastAsia="黑体" w:cs="Arial"/>
      <w:snapToGrid w:val="0"/>
      <w:kern w:val="0"/>
      <w:szCs w:val="21"/>
    </w:rPr>
  </w:style>
  <w:style w:type="character" w:styleId="71">
    <w:name w:val="Hyperlink"/>
    <w:basedOn w:val="64"/>
    <w:unhideWhenUsed/>
    <w:qFormat/>
    <w:uiPriority w:val="99"/>
    <w:rPr>
      <w:color w:val="0000FF" w:themeColor="hyperlink"/>
      <w:u w:val="single"/>
      <w14:textFill>
        <w14:solidFill>
          <w14:schemeClr w14:val="hlink"/>
        </w14:solidFill>
      </w14:textFill>
    </w:rPr>
  </w:style>
  <w:style w:type="character" w:styleId="72">
    <w:name w:val="HTML Code"/>
    <w:qFormat/>
    <w:uiPriority w:val="0"/>
    <w:rPr>
      <w:rFonts w:ascii="黑体" w:hAnsi="Courier New" w:eastAsia="黑体" w:cs="楷体_GB2312"/>
      <w:sz w:val="20"/>
      <w:szCs w:val="20"/>
    </w:rPr>
  </w:style>
  <w:style w:type="character" w:styleId="73">
    <w:name w:val="annotation reference"/>
    <w:qFormat/>
    <w:uiPriority w:val="99"/>
    <w:rPr>
      <w:sz w:val="21"/>
      <w:szCs w:val="21"/>
    </w:rPr>
  </w:style>
  <w:style w:type="character" w:styleId="74">
    <w:name w:val="HTML Sample"/>
    <w:basedOn w:val="64"/>
    <w:unhideWhenUsed/>
    <w:qFormat/>
    <w:uiPriority w:val="99"/>
    <w:rPr>
      <w:rFonts w:ascii="宋体" w:hAnsi="宋体" w:eastAsia="宋体" w:cs="宋体"/>
    </w:rPr>
  </w:style>
  <w:style w:type="character" w:customStyle="1" w:styleId="75">
    <w:name w:val="页眉 Char"/>
    <w:basedOn w:val="64"/>
    <w:link w:val="39"/>
    <w:qFormat/>
    <w:uiPriority w:val="0"/>
    <w:rPr>
      <w:sz w:val="18"/>
      <w:szCs w:val="18"/>
    </w:rPr>
  </w:style>
  <w:style w:type="character" w:customStyle="1" w:styleId="76">
    <w:name w:val="页脚 Char"/>
    <w:basedOn w:val="64"/>
    <w:link w:val="38"/>
    <w:qFormat/>
    <w:uiPriority w:val="0"/>
    <w:rPr>
      <w:sz w:val="18"/>
      <w:szCs w:val="18"/>
    </w:rPr>
  </w:style>
  <w:style w:type="character" w:customStyle="1" w:styleId="77">
    <w:name w:val="标题 1 Char"/>
    <w:basedOn w:val="64"/>
    <w:link w:val="2"/>
    <w:qFormat/>
    <w:uiPriority w:val="9"/>
    <w:rPr>
      <w:rFonts w:ascii="宋体" w:hAnsi="宋体" w:eastAsia="宋体" w:cs="宋体"/>
      <w:b/>
      <w:bCs/>
      <w:kern w:val="36"/>
      <w:sz w:val="48"/>
      <w:szCs w:val="48"/>
    </w:rPr>
  </w:style>
  <w:style w:type="character" w:customStyle="1" w:styleId="78">
    <w:name w:val="skancount"/>
    <w:basedOn w:val="64"/>
    <w:qFormat/>
    <w:uiPriority w:val="0"/>
  </w:style>
  <w:style w:type="character" w:customStyle="1" w:styleId="79">
    <w:name w:val="bookmark-item"/>
    <w:basedOn w:val="64"/>
    <w:qFormat/>
    <w:uiPriority w:val="0"/>
  </w:style>
  <w:style w:type="paragraph" w:customStyle="1" w:styleId="80">
    <w:name w:val="[Normal]"/>
    <w:qFormat/>
    <w:uiPriority w:val="0"/>
    <w:rPr>
      <w:rFonts w:ascii="宋体" w:hAnsi="宋体" w:eastAsia="宋体" w:cs="Times New Roman"/>
      <w:kern w:val="0"/>
      <w:sz w:val="24"/>
      <w:szCs w:val="22"/>
      <w:lang w:val="zh-CN" w:eastAsia="zh-CN" w:bidi="ar-SA"/>
    </w:rPr>
  </w:style>
  <w:style w:type="character" w:customStyle="1" w:styleId="81">
    <w:name w:val="标题 2 Char"/>
    <w:basedOn w:val="64"/>
    <w:link w:val="3"/>
    <w:qFormat/>
    <w:uiPriority w:val="0"/>
    <w:rPr>
      <w:rFonts w:asciiTheme="majorHAnsi" w:hAnsiTheme="majorHAnsi" w:eastAsiaTheme="majorEastAsia" w:cstheme="majorBidi"/>
      <w:b/>
      <w:bCs/>
      <w:sz w:val="32"/>
      <w:szCs w:val="32"/>
    </w:rPr>
  </w:style>
  <w:style w:type="character" w:customStyle="1" w:styleId="82">
    <w:name w:val="纯文本 Char"/>
    <w:link w:val="32"/>
    <w:qFormat/>
    <w:uiPriority w:val="0"/>
    <w:rPr>
      <w:rFonts w:ascii="Cambria" w:hAnsi="隶书" w:eastAsia="Cambria"/>
      <w:szCs w:val="21"/>
    </w:rPr>
  </w:style>
  <w:style w:type="character" w:customStyle="1" w:styleId="83">
    <w:name w:val="正文文本缩进 Char"/>
    <w:link w:val="25"/>
    <w:qFormat/>
    <w:uiPriority w:val="0"/>
    <w:rPr>
      <w:rFonts w:eastAsia="Cambria"/>
      <w:sz w:val="24"/>
      <w:szCs w:val="24"/>
    </w:rPr>
  </w:style>
  <w:style w:type="paragraph" w:customStyle="1" w:styleId="84">
    <w:name w:val="Default"/>
    <w:next w:val="38"/>
    <w:link w:val="337"/>
    <w:qFormat/>
    <w:uiPriority w:val="0"/>
    <w:pPr>
      <w:widowControl w:val="0"/>
      <w:autoSpaceDE w:val="0"/>
      <w:autoSpaceDN w:val="0"/>
      <w:adjustRightInd w:val="0"/>
    </w:pPr>
    <w:rPr>
      <w:rFonts w:ascii="Cambria" w:hAnsi="Times New Roman" w:eastAsia="宋体" w:cs="Cambria"/>
      <w:color w:val="000000"/>
      <w:kern w:val="0"/>
      <w:sz w:val="24"/>
      <w:szCs w:val="24"/>
      <w:lang w:val="en-US" w:eastAsia="zh-CN" w:bidi="ar-SA"/>
    </w:rPr>
  </w:style>
  <w:style w:type="character" w:customStyle="1" w:styleId="85">
    <w:name w:val="正文文本缩进 Char1"/>
    <w:basedOn w:val="64"/>
    <w:qFormat/>
    <w:uiPriority w:val="0"/>
    <w:rPr>
      <w:rFonts w:ascii="Times New Roman" w:hAnsi="Times New Roman" w:eastAsia="宋体" w:cs="Times New Roman"/>
      <w:szCs w:val="24"/>
    </w:rPr>
  </w:style>
  <w:style w:type="character" w:customStyle="1" w:styleId="86">
    <w:name w:val="纯文本 Char1"/>
    <w:basedOn w:val="64"/>
    <w:link w:val="87"/>
    <w:qFormat/>
    <w:uiPriority w:val="99"/>
    <w:rPr>
      <w:rFonts w:ascii="宋体" w:hAnsi="Courier New" w:eastAsia="宋体" w:cs="Courier New"/>
      <w:szCs w:val="21"/>
    </w:rPr>
  </w:style>
  <w:style w:type="paragraph" w:customStyle="1" w:styleId="87">
    <w:name w:val="纯文本1"/>
    <w:basedOn w:val="1"/>
    <w:link w:val="86"/>
    <w:qFormat/>
    <w:uiPriority w:val="0"/>
    <w:pPr>
      <w:adjustRightInd/>
    </w:pPr>
    <w:rPr>
      <w:rFonts w:ascii="宋体" w:hAnsi="Courier New" w:cs="Courier New"/>
      <w:szCs w:val="21"/>
    </w:rPr>
  </w:style>
  <w:style w:type="character" w:customStyle="1" w:styleId="88">
    <w:name w:val="正文2 Char Char"/>
    <w:link w:val="89"/>
    <w:qFormat/>
    <w:uiPriority w:val="0"/>
    <w:rPr>
      <w:rFonts w:eastAsia="宋体"/>
      <w:sz w:val="24"/>
    </w:rPr>
  </w:style>
  <w:style w:type="paragraph" w:customStyle="1" w:styleId="89">
    <w:name w:val="正文2"/>
    <w:basedOn w:val="1"/>
    <w:link w:val="88"/>
    <w:qFormat/>
    <w:uiPriority w:val="0"/>
    <w:pPr>
      <w:spacing w:before="156" w:line="360" w:lineRule="auto"/>
      <w:ind w:firstLine="510" w:firstLineChars="200"/>
    </w:pPr>
    <w:rPr>
      <w:rFonts w:asciiTheme="minorHAnsi" w:hAnsiTheme="minorHAnsi" w:cstheme="minorBidi"/>
      <w:sz w:val="24"/>
      <w:szCs w:val="22"/>
    </w:rPr>
  </w:style>
  <w:style w:type="character" w:customStyle="1" w:styleId="90">
    <w:name w:val="纯文本 字符1"/>
    <w:qFormat/>
    <w:uiPriority w:val="0"/>
    <w:rPr>
      <w:rFonts w:ascii="宋体" w:hAnsi="Courier New" w:eastAsia="宋体" w:cs="Arial"/>
      <w:snapToGrid w:val="0"/>
      <w:kern w:val="2"/>
      <w:sz w:val="21"/>
      <w:szCs w:val="21"/>
      <w:lang w:val="en-US" w:eastAsia="zh-CN" w:bidi="ar-SA"/>
    </w:rPr>
  </w:style>
  <w:style w:type="character" w:customStyle="1" w:styleId="91">
    <w:name w:val="样式5 Char"/>
    <w:qFormat/>
    <w:uiPriority w:val="0"/>
    <w:rPr>
      <w:rFonts w:ascii="仿宋_GB2312" w:hAnsi="仿宋" w:eastAsia="仿宋_GB2312"/>
      <w:kern w:val="2"/>
      <w:sz w:val="24"/>
      <w:szCs w:val="24"/>
    </w:rPr>
  </w:style>
  <w:style w:type="paragraph" w:customStyle="1" w:styleId="9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character" w:customStyle="1" w:styleId="93">
    <w:name w:val="正文文本 Char"/>
    <w:basedOn w:val="64"/>
    <w:link w:val="22"/>
    <w:qFormat/>
    <w:uiPriority w:val="0"/>
    <w:rPr>
      <w:rFonts w:ascii="Times New Roman" w:hAnsi="Times New Roman" w:eastAsia="宋体" w:cs="Times New Roman"/>
      <w:szCs w:val="24"/>
    </w:rPr>
  </w:style>
  <w:style w:type="character" w:customStyle="1" w:styleId="94">
    <w:name w:val="正文首行缩进 Char"/>
    <w:basedOn w:val="93"/>
    <w:link w:val="23"/>
    <w:qFormat/>
    <w:uiPriority w:val="99"/>
    <w:rPr>
      <w:rFonts w:ascii="Times New Roman" w:hAnsi="Times New Roman" w:eastAsia="宋体" w:cs="Times New Roman"/>
      <w:szCs w:val="24"/>
    </w:rPr>
  </w:style>
  <w:style w:type="character" w:customStyle="1" w:styleId="95">
    <w:name w:val="标题 Char1"/>
    <w:qFormat/>
    <w:uiPriority w:val="0"/>
    <w:rPr>
      <w:rFonts w:ascii="Cambria" w:hAnsi="Cambria" w:eastAsia="宋体" w:cs="Times New Roman"/>
      <w:b/>
      <w:bCs/>
      <w:sz w:val="32"/>
      <w:szCs w:val="32"/>
      <w:lang w:bidi="ar-SA"/>
    </w:rPr>
  </w:style>
  <w:style w:type="character" w:customStyle="1" w:styleId="96">
    <w:name w:val="标题 3 Char"/>
    <w:basedOn w:val="64"/>
    <w:link w:val="4"/>
    <w:semiHidden/>
    <w:qFormat/>
    <w:uiPriority w:val="9"/>
    <w:rPr>
      <w:rFonts w:ascii="Times New Roman" w:hAnsi="Times New Roman" w:eastAsia="宋体" w:cs="Times New Roman"/>
      <w:b/>
      <w:bCs/>
      <w:sz w:val="32"/>
      <w:szCs w:val="32"/>
    </w:rPr>
  </w:style>
  <w:style w:type="character" w:customStyle="1" w:styleId="97">
    <w:name w:val="批注文字 Char"/>
    <w:basedOn w:val="64"/>
    <w:link w:val="18"/>
    <w:qFormat/>
    <w:uiPriority w:val="99"/>
    <w:rPr>
      <w:rFonts w:ascii="Times New Roman" w:hAnsi="Times New Roman" w:eastAsia="宋体" w:cs="Times New Roman"/>
      <w:szCs w:val="21"/>
    </w:rPr>
  </w:style>
  <w:style w:type="character" w:customStyle="1" w:styleId="98">
    <w:name w:val="批注框文本 Char"/>
    <w:basedOn w:val="64"/>
    <w:link w:val="37"/>
    <w:semiHidden/>
    <w:qFormat/>
    <w:uiPriority w:val="99"/>
    <w:rPr>
      <w:rFonts w:ascii="Times New Roman" w:hAnsi="Times New Roman" w:eastAsia="宋体" w:cs="Times New Roman"/>
      <w:sz w:val="18"/>
      <w:szCs w:val="18"/>
    </w:rPr>
  </w:style>
  <w:style w:type="character" w:customStyle="1" w:styleId="99">
    <w:name w:val="日期 Char"/>
    <w:basedOn w:val="64"/>
    <w:link w:val="34"/>
    <w:semiHidden/>
    <w:qFormat/>
    <w:uiPriority w:val="99"/>
    <w:rPr>
      <w:rFonts w:ascii="Times New Roman" w:hAnsi="Times New Roman" w:eastAsia="宋体" w:cs="Times New Roman"/>
      <w:szCs w:val="24"/>
    </w:rPr>
  </w:style>
  <w:style w:type="paragraph" w:customStyle="1" w:styleId="100">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101">
    <w:name w:val="索引 11"/>
    <w:basedOn w:val="1"/>
    <w:next w:val="1"/>
    <w:qFormat/>
    <w:uiPriority w:val="99"/>
    <w:pPr>
      <w:adjustRightInd/>
      <w:spacing w:line="360" w:lineRule="auto"/>
    </w:pPr>
    <w:rPr>
      <w:rFonts w:ascii="仿宋_GB2312" w:eastAsia="仿宋_GB2312"/>
      <w:sz w:val="24"/>
      <w:szCs w:val="20"/>
    </w:rPr>
  </w:style>
  <w:style w:type="paragraph" w:customStyle="1" w:styleId="10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103">
    <w:name w:val="标题 4 Char"/>
    <w:basedOn w:val="64"/>
    <w:qFormat/>
    <w:uiPriority w:val="0"/>
    <w:rPr>
      <w:rFonts w:asciiTheme="majorHAnsi" w:hAnsiTheme="majorHAnsi" w:eastAsiaTheme="majorEastAsia" w:cstheme="majorBidi"/>
      <w:b/>
      <w:bCs/>
      <w:sz w:val="28"/>
      <w:szCs w:val="28"/>
    </w:rPr>
  </w:style>
  <w:style w:type="character" w:customStyle="1" w:styleId="104">
    <w:name w:val="标题 5 Char"/>
    <w:basedOn w:val="64"/>
    <w:semiHidden/>
    <w:qFormat/>
    <w:uiPriority w:val="9"/>
    <w:rPr>
      <w:rFonts w:ascii="Times New Roman" w:hAnsi="Times New Roman" w:eastAsia="宋体" w:cs="Times New Roman"/>
      <w:b/>
      <w:bCs/>
      <w:sz w:val="28"/>
      <w:szCs w:val="28"/>
    </w:rPr>
  </w:style>
  <w:style w:type="character" w:customStyle="1" w:styleId="105">
    <w:name w:val="标题 6 Char"/>
    <w:basedOn w:val="64"/>
    <w:semiHidden/>
    <w:qFormat/>
    <w:uiPriority w:val="9"/>
    <w:rPr>
      <w:rFonts w:asciiTheme="majorHAnsi" w:hAnsiTheme="majorHAnsi" w:eastAsiaTheme="majorEastAsia" w:cstheme="majorBidi"/>
      <w:b/>
      <w:bCs/>
      <w:sz w:val="24"/>
      <w:szCs w:val="24"/>
    </w:rPr>
  </w:style>
  <w:style w:type="character" w:customStyle="1" w:styleId="106">
    <w:name w:val="标题 7 Char"/>
    <w:basedOn w:val="64"/>
    <w:semiHidden/>
    <w:qFormat/>
    <w:uiPriority w:val="9"/>
    <w:rPr>
      <w:rFonts w:ascii="Times New Roman" w:hAnsi="Times New Roman" w:eastAsia="宋体" w:cs="Times New Roman"/>
      <w:b/>
      <w:bCs/>
      <w:sz w:val="24"/>
      <w:szCs w:val="24"/>
    </w:rPr>
  </w:style>
  <w:style w:type="character" w:customStyle="1" w:styleId="107">
    <w:name w:val="标题 8 Char"/>
    <w:basedOn w:val="64"/>
    <w:semiHidden/>
    <w:qFormat/>
    <w:uiPriority w:val="9"/>
    <w:rPr>
      <w:rFonts w:asciiTheme="majorHAnsi" w:hAnsiTheme="majorHAnsi" w:eastAsiaTheme="majorEastAsia" w:cstheme="majorBidi"/>
      <w:sz w:val="24"/>
      <w:szCs w:val="24"/>
    </w:rPr>
  </w:style>
  <w:style w:type="character" w:customStyle="1" w:styleId="108">
    <w:name w:val="标题 9 Char"/>
    <w:basedOn w:val="64"/>
    <w:semiHidden/>
    <w:qFormat/>
    <w:uiPriority w:val="9"/>
    <w:rPr>
      <w:rFonts w:asciiTheme="majorHAnsi" w:hAnsiTheme="majorHAnsi" w:eastAsiaTheme="majorEastAsia" w:cstheme="majorBidi"/>
      <w:szCs w:val="21"/>
    </w:rPr>
  </w:style>
  <w:style w:type="character" w:customStyle="1" w:styleId="109">
    <w:name w:val="large1"/>
    <w:qFormat/>
    <w:uiPriority w:val="0"/>
    <w:rPr>
      <w:rFonts w:hint="eastAsia" w:ascii="宋体" w:hAnsi="宋体" w:eastAsia="宋体"/>
      <w:sz w:val="21"/>
      <w:szCs w:val="21"/>
    </w:rPr>
  </w:style>
  <w:style w:type="character" w:customStyle="1" w:styleId="11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111">
    <w:name w:val="bulletintext1"/>
    <w:qFormat/>
    <w:uiPriority w:val="0"/>
    <w:rPr>
      <w:color w:val="000000"/>
      <w:sz w:val="18"/>
    </w:rPr>
  </w:style>
  <w:style w:type="character" w:customStyle="1" w:styleId="112">
    <w:name w:val="solutionfonts"/>
    <w:qFormat/>
    <w:uiPriority w:val="0"/>
  </w:style>
  <w:style w:type="character" w:customStyle="1" w:styleId="113">
    <w:name w:val="标题 Char"/>
    <w:qFormat/>
    <w:uiPriority w:val="0"/>
    <w:rPr>
      <w:rFonts w:eastAsia="宋体"/>
      <w:b/>
      <w:sz w:val="24"/>
      <w:lang w:val="en-US" w:eastAsia="zh-CN" w:bidi="ar-SA"/>
    </w:rPr>
  </w:style>
  <w:style w:type="character" w:customStyle="1" w:styleId="114">
    <w:name w:val="apple-converted-space"/>
    <w:qFormat/>
    <w:uiPriority w:val="0"/>
  </w:style>
  <w:style w:type="character" w:customStyle="1" w:styleId="115">
    <w:name w:val="正文说明 Char"/>
    <w:link w:val="116"/>
    <w:qFormat/>
    <w:uiPriority w:val="0"/>
    <w:rPr>
      <w:sz w:val="24"/>
      <w:szCs w:val="24"/>
    </w:rPr>
  </w:style>
  <w:style w:type="paragraph" w:customStyle="1" w:styleId="116">
    <w:name w:val="正文说明"/>
    <w:basedOn w:val="1"/>
    <w:link w:val="115"/>
    <w:qFormat/>
    <w:uiPriority w:val="0"/>
    <w:pPr>
      <w:adjustRightInd/>
      <w:spacing w:line="360" w:lineRule="auto"/>
    </w:pPr>
    <w:rPr>
      <w:rFonts w:asciiTheme="minorHAnsi" w:hAnsiTheme="minorHAnsi" w:eastAsiaTheme="minorEastAsia" w:cstheme="minorBidi"/>
      <w:sz w:val="24"/>
    </w:rPr>
  </w:style>
  <w:style w:type="character" w:customStyle="1" w:styleId="117">
    <w:name w:val="edui-clickable2"/>
    <w:qFormat/>
    <w:uiPriority w:val="0"/>
    <w:rPr>
      <w:color w:val="0000FF"/>
      <w:u w:val="single"/>
    </w:rPr>
  </w:style>
  <w:style w:type="character" w:customStyle="1" w:styleId="118">
    <w:name w:val="段落 Char Char"/>
    <w:link w:val="119"/>
    <w:qFormat/>
    <w:uiPriority w:val="0"/>
    <w:rPr>
      <w:rFonts w:ascii="宋体" w:hAnsi="宋体"/>
      <w:sz w:val="24"/>
    </w:rPr>
  </w:style>
  <w:style w:type="paragraph" w:customStyle="1" w:styleId="119">
    <w:name w:val="段落"/>
    <w:basedOn w:val="1"/>
    <w:link w:val="118"/>
    <w:qFormat/>
    <w:uiPriority w:val="0"/>
    <w:pPr>
      <w:adjustRightInd/>
      <w:spacing w:line="360" w:lineRule="auto"/>
      <w:ind w:firstLine="480" w:firstLineChars="200"/>
    </w:pPr>
    <w:rPr>
      <w:rFonts w:ascii="宋体" w:hAnsi="宋体" w:eastAsiaTheme="minorEastAsia" w:cstheme="minorBidi"/>
      <w:sz w:val="24"/>
      <w:szCs w:val="22"/>
    </w:rPr>
  </w:style>
  <w:style w:type="character" w:customStyle="1" w:styleId="120">
    <w:name w:val="dandyren_title1"/>
    <w:qFormat/>
    <w:uiPriority w:val="0"/>
    <w:rPr>
      <w:b/>
      <w:bCs/>
      <w:color w:val="FF6633"/>
      <w:sz w:val="18"/>
      <w:szCs w:val="18"/>
    </w:rPr>
  </w:style>
  <w:style w:type="character" w:customStyle="1" w:styleId="121">
    <w:name w:val="正文段 Char"/>
    <w:link w:val="122"/>
    <w:qFormat/>
    <w:uiPriority w:val="0"/>
    <w:rPr>
      <w:sz w:val="24"/>
    </w:rPr>
  </w:style>
  <w:style w:type="paragraph" w:customStyle="1" w:styleId="122">
    <w:name w:val="正文段"/>
    <w:basedOn w:val="1"/>
    <w:link w:val="121"/>
    <w:qFormat/>
    <w:uiPriority w:val="0"/>
    <w:pPr>
      <w:widowControl/>
      <w:snapToGrid w:val="0"/>
      <w:spacing w:afterLines="50"/>
      <w:ind w:firstLine="200" w:firstLineChars="200"/>
    </w:pPr>
    <w:rPr>
      <w:rFonts w:asciiTheme="minorHAnsi" w:hAnsiTheme="minorHAnsi" w:eastAsiaTheme="minorEastAsia" w:cstheme="minorBidi"/>
      <w:sz w:val="24"/>
      <w:szCs w:val="22"/>
    </w:rPr>
  </w:style>
  <w:style w:type="character" w:customStyle="1" w:styleId="12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4">
    <w:name w:val="批注主题 Char2"/>
    <w:link w:val="55"/>
    <w:qFormat/>
    <w:uiPriority w:val="0"/>
    <w:rPr>
      <w:b/>
      <w:bCs/>
      <w:szCs w:val="24"/>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txt"/>
    <w:qFormat/>
    <w:uiPriority w:val="0"/>
    <w:rPr>
      <w:rFonts w:ascii="仿宋_GB2312" w:eastAsia="微软雅黑"/>
      <w:b/>
      <w:kern w:val="2"/>
      <w:sz w:val="32"/>
      <w:szCs w:val="32"/>
      <w:lang w:val="en-US" w:eastAsia="zh-CN" w:bidi="ar-SA"/>
    </w:rPr>
  </w:style>
  <w:style w:type="character" w:customStyle="1" w:styleId="128">
    <w:name w:val="二级标题 Char Char"/>
    <w:qFormat/>
    <w:uiPriority w:val="0"/>
    <w:rPr>
      <w:rFonts w:ascii="宋体" w:hAnsi="宋体" w:eastAsia="宋体"/>
      <w:b/>
      <w:snapToGrid w:val="0"/>
      <w:kern w:val="2"/>
      <w:sz w:val="24"/>
      <w:szCs w:val="24"/>
      <w:lang w:val="en-US" w:eastAsia="zh-CN" w:bidi="ar-SA"/>
    </w:rPr>
  </w:style>
  <w:style w:type="character" w:customStyle="1" w:styleId="129">
    <w:name w:val="h4 Char"/>
    <w:qFormat/>
    <w:uiPriority w:val="0"/>
    <w:rPr>
      <w:rFonts w:ascii="Arial" w:hAnsi="Arial" w:eastAsia="黑体"/>
      <w:b/>
      <w:bCs/>
      <w:kern w:val="2"/>
      <w:sz w:val="28"/>
      <w:szCs w:val="28"/>
      <w:lang w:val="zh-CN" w:eastAsia="zh-CN" w:bidi="ar-SA"/>
    </w:rPr>
  </w:style>
  <w:style w:type="character" w:customStyle="1" w:styleId="130">
    <w:name w:val="h3 Char1"/>
    <w:qFormat/>
    <w:uiPriority w:val="0"/>
    <w:rPr>
      <w:rFonts w:eastAsia="宋体"/>
      <w:b/>
      <w:bCs/>
      <w:kern w:val="2"/>
      <w:sz w:val="32"/>
      <w:szCs w:val="32"/>
      <w:lang w:bidi="ar-SA"/>
    </w:rPr>
  </w:style>
  <w:style w:type="character" w:customStyle="1" w:styleId="131">
    <w:name w:val="普通文字 Char Char1"/>
    <w:qFormat/>
    <w:uiPriority w:val="0"/>
    <w:rPr>
      <w:rFonts w:ascii="宋体" w:hAnsi="Courier New"/>
      <w:kern w:val="2"/>
      <w:sz w:val="21"/>
    </w:rPr>
  </w:style>
  <w:style w:type="character" w:customStyle="1" w:styleId="132">
    <w:name w:val="正文缩进 Char"/>
    <w:qFormat/>
    <w:uiPriority w:val="0"/>
    <w:rPr>
      <w:rFonts w:eastAsia="宋体"/>
      <w:kern w:val="2"/>
      <w:sz w:val="21"/>
      <w:lang w:val="en-US" w:eastAsia="zh-CN"/>
    </w:rPr>
  </w:style>
  <w:style w:type="character" w:customStyle="1" w:styleId="133">
    <w:name w:val="样式4 Char"/>
    <w:qFormat/>
    <w:uiPriority w:val="0"/>
    <w:rPr>
      <w:rFonts w:ascii="仿宋_GB2312" w:hAnsi="仿宋" w:eastAsia="仿宋_GB2312"/>
      <w:b/>
      <w:kern w:val="2"/>
      <w:sz w:val="32"/>
      <w:szCs w:val="32"/>
      <w:lang w:bidi="ar-SA"/>
    </w:rPr>
  </w:style>
  <w:style w:type="character" w:customStyle="1" w:styleId="134">
    <w:name w:val="哈哈正文 Char"/>
    <w:link w:val="135"/>
    <w:qFormat/>
    <w:uiPriority w:val="0"/>
    <w:rPr>
      <w:rFonts w:ascii="宋体" w:hAnsi="宋体" w:eastAsia="宋体"/>
      <w:sz w:val="24"/>
    </w:rPr>
  </w:style>
  <w:style w:type="paragraph" w:customStyle="1" w:styleId="135">
    <w:name w:val="哈哈正文"/>
    <w:basedOn w:val="1"/>
    <w:link w:val="134"/>
    <w:qFormat/>
    <w:uiPriority w:val="0"/>
    <w:pPr>
      <w:adjustRightInd/>
      <w:spacing w:line="360" w:lineRule="auto"/>
      <w:ind w:firstLine="200" w:firstLineChars="200"/>
    </w:pPr>
    <w:rPr>
      <w:rFonts w:ascii="宋体" w:hAnsi="宋体" w:cstheme="minorBidi"/>
      <w:sz w:val="24"/>
      <w:szCs w:val="22"/>
    </w:rPr>
  </w:style>
  <w:style w:type="character" w:customStyle="1" w:styleId="136">
    <w:name w:val="Footer Char"/>
    <w:qFormat/>
    <w:locked/>
    <w:uiPriority w:val="0"/>
    <w:rPr>
      <w:rFonts w:eastAsia="宋体"/>
      <w:kern w:val="2"/>
      <w:sz w:val="18"/>
      <w:lang w:val="en-US" w:eastAsia="zh-CN" w:bidi="ar-SA"/>
    </w:rPr>
  </w:style>
  <w:style w:type="character" w:customStyle="1" w:styleId="137">
    <w:name w:val="Char Char32"/>
    <w:qFormat/>
    <w:uiPriority w:val="6"/>
    <w:rPr>
      <w:b/>
      <w:kern w:val="1"/>
      <w:sz w:val="24"/>
      <w:szCs w:val="24"/>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首行缩进 Char1"/>
    <w:qFormat/>
    <w:uiPriority w:val="0"/>
    <w:rPr>
      <w:rFonts w:ascii="宋体" w:hAnsi="Times New Roman" w:eastAsia="宋体" w:cs="Times New Roman"/>
      <w:snapToGrid w:val="0"/>
      <w:kern w:val="2"/>
      <w:sz w:val="24"/>
      <w:szCs w:val="21"/>
      <w:lang w:val="zh-CN"/>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插图说明 Char"/>
    <w:qFormat/>
    <w:uiPriority w:val="0"/>
    <w:rPr>
      <w:rFonts w:eastAsia="黑体"/>
      <w:sz w:val="24"/>
      <w:lang w:val="en-US" w:eastAsia="zh-CN"/>
    </w:rPr>
  </w:style>
  <w:style w:type="character" w:customStyle="1" w:styleId="142">
    <w:name w:val="Char Char6"/>
    <w:qFormat/>
    <w:uiPriority w:val="0"/>
    <w:rPr>
      <w:rFonts w:eastAsia="宋体"/>
      <w:kern w:val="2"/>
      <w:sz w:val="21"/>
      <w:szCs w:val="24"/>
      <w:lang w:val="en-US" w:eastAsia="zh-CN" w:bidi="ar-SA"/>
    </w:rPr>
  </w:style>
  <w:style w:type="character" w:customStyle="1" w:styleId="143">
    <w:name w:val="tw4winTerm"/>
    <w:qFormat/>
    <w:uiPriority w:val="0"/>
    <w:rPr>
      <w:color w:val="0000FF"/>
    </w:rPr>
  </w:style>
  <w:style w:type="character" w:customStyle="1" w:styleId="144">
    <w:name w:val="Char Char71"/>
    <w:semiHidden/>
    <w:qFormat/>
    <w:uiPriority w:val="0"/>
    <w:rPr>
      <w:rFonts w:eastAsia="宋体"/>
      <w:kern w:val="2"/>
      <w:sz w:val="21"/>
      <w:szCs w:val="24"/>
      <w:lang w:val="en-US" w:eastAsia="zh-CN" w:bidi="ar-SA"/>
    </w:rPr>
  </w:style>
  <w:style w:type="character" w:customStyle="1" w:styleId="145">
    <w:name w:val="链接"/>
    <w:qFormat/>
    <w:uiPriority w:val="0"/>
    <w:rPr>
      <w:color w:val="0000FF"/>
      <w:sz w:val="21"/>
      <w:szCs w:val="21"/>
      <w:u w:val="single"/>
    </w:rPr>
  </w:style>
  <w:style w:type="paragraph" w:customStyle="1" w:styleId="146">
    <w:name w:val="_Style 96"/>
    <w:basedOn w:val="1"/>
    <w:next w:val="1"/>
    <w:link w:val="147"/>
    <w:qFormat/>
    <w:uiPriority w:val="0"/>
    <w:pPr>
      <w:ind w:left="1260" w:leftChars="600"/>
    </w:pPr>
    <w:rPr>
      <w:rFonts w:ascii="宋体" w:hAnsiTheme="minorHAnsi" w:eastAsiaTheme="minorEastAsia" w:cstheme="minorBidi"/>
      <w:sz w:val="24"/>
      <w:szCs w:val="22"/>
      <w:lang w:val="zh-CN"/>
    </w:rPr>
  </w:style>
  <w:style w:type="character" w:customStyle="1" w:styleId="147">
    <w:name w:val="正文文本首行缩进 字符"/>
    <w:link w:val="146"/>
    <w:qFormat/>
    <w:uiPriority w:val="0"/>
    <w:rPr>
      <w:rFonts w:ascii="宋体"/>
      <w:sz w:val="24"/>
      <w:lang w:val="zh-CN"/>
    </w:rPr>
  </w:style>
  <w:style w:type="character" w:customStyle="1" w:styleId="148">
    <w:name w:val="正文文本 字符"/>
    <w:qFormat/>
    <w:uiPriority w:val="0"/>
    <w:rPr>
      <w:rFonts w:ascii="宋体" w:hAnsi="Arial" w:eastAsia="宋体" w:cs="Arial"/>
      <w:snapToGrid w:val="0"/>
      <w:kern w:val="2"/>
      <w:sz w:val="24"/>
      <w:szCs w:val="21"/>
      <w:lang w:val="zh-CN" w:eastAsia="zh-CN" w:bidi="ar-SA"/>
    </w:rPr>
  </w:style>
  <w:style w:type="character" w:customStyle="1" w:styleId="149">
    <w:name w:val="Char Char212"/>
    <w:qFormat/>
    <w:uiPriority w:val="0"/>
    <w:rPr>
      <w:rFonts w:eastAsia="宋体"/>
      <w:b/>
      <w:bCs/>
      <w:kern w:val="2"/>
      <w:sz w:val="21"/>
      <w:szCs w:val="24"/>
      <w:lang w:val="en-US" w:eastAsia="zh-CN" w:bidi="ar-SA"/>
    </w:rPr>
  </w:style>
  <w:style w:type="character" w:customStyle="1" w:styleId="150">
    <w:name w:val="正文缩进 字符"/>
    <w:qFormat/>
    <w:uiPriority w:val="0"/>
    <w:rPr>
      <w:rFonts w:ascii="宋体" w:eastAsia="宋体"/>
      <w:snapToGrid w:val="0"/>
      <w:color w:val="000000"/>
      <w:kern w:val="28"/>
      <w:sz w:val="28"/>
      <w:lang w:val="en-US" w:eastAsia="zh-CN" w:bidi="ar-SA"/>
    </w:rPr>
  </w:style>
  <w:style w:type="character" w:customStyle="1" w:styleId="151">
    <w:name w:val="样式8 Char"/>
    <w:qFormat/>
    <w:uiPriority w:val="0"/>
    <w:rPr>
      <w:rFonts w:ascii="仿宋_GB2312" w:hAnsi="宋体" w:eastAsia="仿宋_GB2312"/>
      <w:b/>
      <w:bCs/>
      <w:kern w:val="2"/>
      <w:sz w:val="24"/>
      <w:szCs w:val="24"/>
    </w:rPr>
  </w:style>
  <w:style w:type="character" w:customStyle="1" w:styleId="152">
    <w:name w:val="页脚 字符"/>
    <w:qFormat/>
    <w:uiPriority w:val="99"/>
    <w:rPr>
      <w:kern w:val="2"/>
      <w:sz w:val="18"/>
      <w:szCs w:val="18"/>
    </w:rPr>
  </w:style>
  <w:style w:type="character" w:customStyle="1" w:styleId="153">
    <w:name w:val="f141"/>
    <w:qFormat/>
    <w:uiPriority w:val="0"/>
    <w:rPr>
      <w:rFonts w:ascii="Tahoma" w:hAnsi="Tahoma" w:eastAsia="宋体"/>
      <w:b/>
      <w:kern w:val="2"/>
      <w:sz w:val="21"/>
      <w:szCs w:val="21"/>
      <w:lang w:val="en-US" w:eastAsia="zh-CN" w:bidi="ar-SA"/>
    </w:rPr>
  </w:style>
  <w:style w:type="character" w:customStyle="1" w:styleId="154">
    <w:name w:val="h3 Char"/>
    <w:qFormat/>
    <w:uiPriority w:val="0"/>
    <w:rPr>
      <w:rFonts w:eastAsia="宋体"/>
      <w:b/>
      <w:kern w:val="2"/>
      <w:sz w:val="32"/>
      <w:lang w:val="en-US" w:eastAsia="zh-CN" w:bidi="ar-SA"/>
    </w:rPr>
  </w:style>
  <w:style w:type="character" w:customStyle="1" w:styleId="155">
    <w:name w:val="style1"/>
    <w:qFormat/>
    <w:uiPriority w:val="0"/>
    <w:rPr>
      <w:rFonts w:ascii="Arial" w:hAnsi="Arial" w:eastAsia="黑体" w:cs="Arial"/>
      <w:snapToGrid w:val="0"/>
      <w:kern w:val="0"/>
      <w:szCs w:val="21"/>
    </w:rPr>
  </w:style>
  <w:style w:type="character" w:customStyle="1" w:styleId="156">
    <w:name w:val="日期 Char1"/>
    <w:semiHidden/>
    <w:qFormat/>
    <w:uiPriority w:val="99"/>
    <w:rPr>
      <w:rFonts w:ascii="Times New Roman" w:hAnsi="Times New Roman" w:eastAsia="宋体" w:cs="Times New Roman"/>
      <w:szCs w:val="24"/>
    </w:rPr>
  </w:style>
  <w:style w:type="character" w:customStyle="1" w:styleId="157">
    <w:name w:val="标书1 Char1"/>
    <w:qFormat/>
    <w:uiPriority w:val="0"/>
    <w:rPr>
      <w:rFonts w:eastAsia="宋体"/>
      <w:b/>
      <w:bCs/>
      <w:kern w:val="44"/>
      <w:sz w:val="44"/>
      <w:szCs w:val="44"/>
      <w:lang w:val="en-US" w:eastAsia="zh-CN" w:bidi="ar-SA"/>
    </w:rPr>
  </w:style>
  <w:style w:type="character" w:customStyle="1" w:styleId="158">
    <w:name w:val="tw4winError"/>
    <w:qFormat/>
    <w:uiPriority w:val="0"/>
    <w:rPr>
      <w:rFonts w:ascii="Courier New" w:hAnsi="Courier New" w:cs="Courier New"/>
      <w:color w:val="00FF00"/>
      <w:sz w:val="40"/>
      <w:szCs w:val="40"/>
    </w:rPr>
  </w:style>
  <w:style w:type="character" w:customStyle="1" w:styleId="159">
    <w:name w:val="正文文本 字符1"/>
    <w:qFormat/>
    <w:uiPriority w:val="0"/>
    <w:rPr>
      <w:rFonts w:ascii="Calibri" w:hAnsi="Calibri" w:eastAsia="黑体" w:cs="Arial"/>
      <w:snapToGrid w:val="0"/>
      <w:kern w:val="2"/>
      <w:sz w:val="28"/>
      <w:szCs w:val="21"/>
    </w:rPr>
  </w:style>
  <w:style w:type="character" w:customStyle="1" w:styleId="160">
    <w:name w:val="标题 5 Char1"/>
    <w:link w:val="6"/>
    <w:qFormat/>
    <w:uiPriority w:val="9"/>
    <w:rPr>
      <w:rFonts w:ascii="Times New Roman" w:hAnsi="Times New Roman" w:eastAsia="宋体" w:cs="Times New Roman"/>
      <w:b/>
      <w:bCs/>
      <w:sz w:val="28"/>
      <w:szCs w:val="28"/>
    </w:rPr>
  </w:style>
  <w:style w:type="character" w:customStyle="1" w:styleId="161">
    <w:name w:val="带编号样式 Char"/>
    <w:qFormat/>
    <w:uiPriority w:val="0"/>
    <w:rPr>
      <w:rFonts w:ascii="仿宋_GB2312" w:eastAsia="仿宋_GB2312"/>
      <w:color w:val="000000"/>
      <w:sz w:val="24"/>
      <w:lang w:bidi="ar-SA"/>
    </w:rPr>
  </w:style>
  <w:style w:type="character" w:customStyle="1" w:styleId="162">
    <w:name w:val="hui"/>
    <w:qFormat/>
    <w:uiPriority w:val="0"/>
    <w:rPr>
      <w:rFonts w:ascii="Arial" w:hAnsi="Arial" w:eastAsia="黑体" w:cs="Arial"/>
      <w:snapToGrid w:val="0"/>
      <w:kern w:val="0"/>
      <w:szCs w:val="21"/>
    </w:rPr>
  </w:style>
  <w:style w:type="character" w:customStyle="1" w:styleId="163">
    <w:name w:val="tw4winPopup"/>
    <w:qFormat/>
    <w:uiPriority w:val="0"/>
    <w:rPr>
      <w:rFonts w:ascii="Courier New" w:hAnsi="Courier New" w:cs="Courier New"/>
      <w:color w:val="008000"/>
      <w:lang w:val="en-US" w:eastAsia="zh-CN"/>
    </w:rPr>
  </w:style>
  <w:style w:type="character" w:customStyle="1" w:styleId="164">
    <w:name w:val="unnamed31"/>
    <w:qFormat/>
    <w:uiPriority w:val="0"/>
    <w:rPr>
      <w:rFonts w:ascii="Tahoma" w:hAnsi="Tahoma" w:eastAsia="宋体"/>
      <w:b/>
      <w:kern w:val="2"/>
      <w:sz w:val="24"/>
      <w:szCs w:val="32"/>
      <w:u w:val="none"/>
      <w:lang w:val="en-US" w:eastAsia="zh-CN" w:bidi="ar-SA"/>
    </w:rPr>
  </w:style>
  <w:style w:type="character" w:customStyle="1" w:styleId="165">
    <w:name w:val="文档结构图 Char"/>
    <w:qFormat/>
    <w:uiPriority w:val="0"/>
    <w:rPr>
      <w:rFonts w:eastAsia="宋体"/>
      <w:kern w:val="2"/>
      <w:sz w:val="21"/>
      <w:szCs w:val="24"/>
      <w:lang w:val="en-US" w:eastAsia="zh-CN" w:bidi="ar-SA"/>
    </w:rPr>
  </w:style>
  <w:style w:type="character" w:customStyle="1" w:styleId="166">
    <w:name w:val="HTML 预设格式 Char2"/>
    <w:link w:val="52"/>
    <w:qFormat/>
    <w:uiPriority w:val="0"/>
    <w:rPr>
      <w:rFonts w:ascii="黑体" w:hAnsi="Courier New" w:eastAsia="黑体"/>
    </w:rPr>
  </w:style>
  <w:style w:type="character" w:customStyle="1" w:styleId="167">
    <w:name w:val="标题 7 Char1"/>
    <w:link w:val="8"/>
    <w:qFormat/>
    <w:uiPriority w:val="0"/>
    <w:rPr>
      <w:rFonts w:ascii="Times New Roman" w:hAnsi="Times New Roman" w:eastAsia="宋体" w:cs="Times New Roman"/>
      <w:b/>
      <w:bCs/>
      <w:sz w:val="24"/>
      <w:szCs w:val="24"/>
    </w:rPr>
  </w:style>
  <w:style w:type="character" w:customStyle="1" w:styleId="168">
    <w:name w:val="Char Char5"/>
    <w:qFormat/>
    <w:uiPriority w:val="0"/>
    <w:rPr>
      <w:rFonts w:ascii="宋体" w:hAnsi="Courier New" w:eastAsia="宋体"/>
      <w:kern w:val="2"/>
      <w:sz w:val="21"/>
      <w:lang w:val="en-US" w:eastAsia="zh-CN"/>
    </w:rPr>
  </w:style>
  <w:style w:type="character" w:customStyle="1" w:styleId="169">
    <w:name w:val="页眉 字符1"/>
    <w:qFormat/>
    <w:uiPriority w:val="99"/>
    <w:rPr>
      <w:kern w:val="2"/>
      <w:sz w:val="18"/>
      <w:szCs w:val="18"/>
    </w:rPr>
  </w:style>
  <w:style w:type="character" w:customStyle="1" w:styleId="170">
    <w:name w:val="正文非缩进 Char"/>
    <w:qFormat/>
    <w:uiPriority w:val="0"/>
    <w:rPr>
      <w:rFonts w:ascii="宋体" w:eastAsia="宋体"/>
      <w:snapToGrid w:val="0"/>
      <w:color w:val="000000"/>
      <w:kern w:val="28"/>
      <w:sz w:val="28"/>
      <w:lang w:val="en-US" w:eastAsia="zh-CN" w:bidi="ar-SA"/>
    </w:rPr>
  </w:style>
  <w:style w:type="character" w:customStyle="1" w:styleId="171">
    <w:name w:val="apple-style-span"/>
    <w:qFormat/>
    <w:uiPriority w:val="0"/>
    <w:rPr>
      <w:rFonts w:ascii="Arial" w:hAnsi="Arial" w:eastAsia="黑体" w:cs="Arial"/>
      <w:snapToGrid w:val="0"/>
      <w:kern w:val="0"/>
      <w:szCs w:val="21"/>
    </w:rPr>
  </w:style>
  <w:style w:type="character" w:customStyle="1" w:styleId="172">
    <w:name w:val="Char Char33"/>
    <w:qFormat/>
    <w:uiPriority w:val="6"/>
    <w:rPr>
      <w:rFonts w:ascii="Arial" w:hAnsi="Arial" w:eastAsia="黑体"/>
      <w:b/>
      <w:kern w:val="1"/>
      <w:sz w:val="24"/>
      <w:szCs w:val="24"/>
    </w:rPr>
  </w:style>
  <w:style w:type="character" w:customStyle="1" w:styleId="173">
    <w:name w:val="font21"/>
    <w:qFormat/>
    <w:uiPriority w:val="0"/>
    <w:rPr>
      <w:rFonts w:hint="eastAsia" w:ascii="宋体" w:hAnsi="宋体" w:eastAsia="宋体"/>
      <w:kern w:val="2"/>
      <w:sz w:val="28"/>
      <w:szCs w:val="28"/>
      <w:lang w:val="en-US" w:eastAsia="zh-CN" w:bidi="ar-SA"/>
    </w:rPr>
  </w:style>
  <w:style w:type="character" w:customStyle="1" w:styleId="174">
    <w:name w:val="Char Char121"/>
    <w:qFormat/>
    <w:uiPriority w:val="6"/>
    <w:rPr>
      <w:rFonts w:ascii="仿宋_GB2312" w:eastAsia="仿宋_GB2312"/>
      <w:b/>
      <w:bCs/>
      <w:kern w:val="2"/>
      <w:sz w:val="24"/>
      <w:szCs w:val="24"/>
      <w:lang w:val="zh-CN" w:eastAsia="zh-CN" w:bidi="ar-SA"/>
    </w:rPr>
  </w:style>
  <w:style w:type="character" w:customStyle="1" w:styleId="175">
    <w:name w:val="Char Char26"/>
    <w:qFormat/>
    <w:uiPriority w:val="6"/>
    <w:rPr>
      <w:kern w:val="1"/>
      <w:sz w:val="21"/>
      <w:szCs w:val="24"/>
    </w:rPr>
  </w:style>
  <w:style w:type="character" w:customStyle="1" w:styleId="176">
    <w:name w:val="edui-unclickable"/>
    <w:qFormat/>
    <w:uiPriority w:val="0"/>
    <w:rPr>
      <w:color w:val="808080"/>
    </w:rPr>
  </w:style>
  <w:style w:type="character" w:customStyle="1" w:styleId="177">
    <w:name w:val="页脚 字符2"/>
    <w:qFormat/>
    <w:locked/>
    <w:uiPriority w:val="99"/>
    <w:rPr>
      <w:kern w:val="2"/>
      <w:sz w:val="18"/>
      <w:szCs w:val="18"/>
    </w:rPr>
  </w:style>
  <w:style w:type="character" w:customStyle="1" w:styleId="178">
    <w:name w:val="Item List Char"/>
    <w:link w:val="179"/>
    <w:qFormat/>
    <w:uiPriority w:val="0"/>
    <w:rPr>
      <w:rFonts w:ascii="Arial"/>
      <w:bCs/>
      <w:szCs w:val="21"/>
    </w:rPr>
  </w:style>
  <w:style w:type="paragraph" w:customStyle="1" w:styleId="179">
    <w:name w:val="Item List"/>
    <w:link w:val="178"/>
    <w:qFormat/>
    <w:uiPriority w:val="0"/>
    <w:pPr>
      <w:spacing w:after="156" w:line="360" w:lineRule="auto"/>
      <w:ind w:firstLine="424" w:firstLineChars="202"/>
      <w:jc w:val="both"/>
    </w:pPr>
    <w:rPr>
      <w:rFonts w:ascii="Arial" w:hAnsiTheme="minorHAnsi" w:eastAsiaTheme="minorEastAsia" w:cstheme="minorBidi"/>
      <w:bCs/>
      <w:kern w:val="2"/>
      <w:sz w:val="21"/>
      <w:szCs w:val="21"/>
      <w:lang w:val="en-US" w:eastAsia="zh-CN" w:bidi="ar-SA"/>
    </w:rPr>
  </w:style>
  <w:style w:type="character" w:customStyle="1" w:styleId="180">
    <w:name w:val="ksfind_class_select1"/>
    <w:qFormat/>
    <w:uiPriority w:val="0"/>
    <w:rPr>
      <w:color w:val="000000"/>
      <w:shd w:val="clear" w:color="auto" w:fill="EFD200"/>
    </w:rPr>
  </w:style>
  <w:style w:type="character" w:customStyle="1" w:styleId="181">
    <w:name w:val="Char Char41"/>
    <w:qFormat/>
    <w:uiPriority w:val="0"/>
    <w:rPr>
      <w:rFonts w:eastAsia="宋体"/>
      <w:b/>
      <w:sz w:val="24"/>
      <w:lang w:val="en-US" w:eastAsia="zh-CN" w:bidi="ar-SA"/>
    </w:rPr>
  </w:style>
  <w:style w:type="character" w:customStyle="1" w:styleId="182">
    <w:name w:val="Char Char52"/>
    <w:qFormat/>
    <w:uiPriority w:val="0"/>
    <w:rPr>
      <w:rFonts w:ascii="宋体" w:hAnsi="Courier New" w:eastAsia="宋体"/>
      <w:kern w:val="2"/>
      <w:sz w:val="21"/>
      <w:lang w:val="en-US" w:eastAsia="zh-CN"/>
    </w:rPr>
  </w:style>
  <w:style w:type="character" w:customStyle="1" w:styleId="183">
    <w:name w:val="冯广丽 Char"/>
    <w:link w:val="184"/>
    <w:qFormat/>
    <w:uiPriority w:val="0"/>
    <w:rPr>
      <w:rFonts w:ascii="宋体" w:hAnsi="宋体"/>
      <w:sz w:val="24"/>
    </w:rPr>
  </w:style>
  <w:style w:type="paragraph" w:customStyle="1" w:styleId="184">
    <w:name w:val="冯广丽"/>
    <w:basedOn w:val="1"/>
    <w:link w:val="183"/>
    <w:qFormat/>
    <w:uiPriority w:val="0"/>
    <w:pPr>
      <w:adjustRightInd/>
      <w:spacing w:line="360" w:lineRule="auto"/>
      <w:ind w:firstLine="480" w:firstLineChars="200"/>
    </w:pPr>
    <w:rPr>
      <w:rFonts w:ascii="宋体" w:hAnsi="宋体" w:eastAsiaTheme="minorEastAsia" w:cstheme="minorBidi"/>
      <w:sz w:val="24"/>
      <w:szCs w:val="22"/>
    </w:rPr>
  </w:style>
  <w:style w:type="character" w:customStyle="1" w:styleId="185">
    <w:name w:val="Char Char1211"/>
    <w:qFormat/>
    <w:uiPriority w:val="0"/>
    <w:rPr>
      <w:rFonts w:ascii="仿宋_GB2312" w:eastAsia="仿宋_GB2312"/>
      <w:b/>
      <w:bCs/>
      <w:kern w:val="2"/>
      <w:sz w:val="24"/>
      <w:szCs w:val="24"/>
      <w:lang w:val="zh-CN" w:eastAsia="zh-CN" w:bidi="ar-SA"/>
    </w:rPr>
  </w:style>
  <w:style w:type="character" w:customStyle="1" w:styleId="186">
    <w:name w:val="Table Text Char"/>
    <w:link w:val="187"/>
    <w:qFormat/>
    <w:uiPriority w:val="0"/>
    <w:rPr>
      <w:sz w:val="24"/>
      <w:szCs w:val="24"/>
    </w:rPr>
  </w:style>
  <w:style w:type="paragraph" w:customStyle="1" w:styleId="187">
    <w:name w:val="Table Text"/>
    <w:basedOn w:val="1"/>
    <w:link w:val="186"/>
    <w:qFormat/>
    <w:uiPriority w:val="0"/>
    <w:pPr>
      <w:widowControl/>
      <w:spacing w:before="60" w:after="60"/>
      <w:jc w:val="left"/>
    </w:pPr>
    <w:rPr>
      <w:rFonts w:asciiTheme="minorHAnsi" w:hAnsiTheme="minorHAnsi" w:eastAsiaTheme="minorEastAsia" w:cstheme="minorBidi"/>
      <w:sz w:val="24"/>
    </w:rPr>
  </w:style>
  <w:style w:type="character" w:customStyle="1" w:styleId="188">
    <w:name w:val="Used by Word for text of Help footnotes Char Char"/>
    <w:qFormat/>
    <w:uiPriority w:val="0"/>
    <w:rPr>
      <w:rFonts w:ascii="Times New Roman" w:hAnsi="Times New Roman" w:eastAsia="宋体" w:cs="Times New Roman"/>
      <w:sz w:val="20"/>
      <w:szCs w:val="20"/>
    </w:rPr>
  </w:style>
  <w:style w:type="character" w:customStyle="1" w:styleId="189">
    <w:name w:val="Bold"/>
    <w:qFormat/>
    <w:uiPriority w:val="0"/>
    <w:rPr>
      <w:rFonts w:ascii="Arial" w:hAnsi="Arial" w:eastAsia="黑体" w:cs="Times New Roman"/>
      <w:b/>
      <w:kern w:val="2"/>
      <w:sz w:val="32"/>
      <w:szCs w:val="32"/>
      <w:lang w:val="en-US" w:eastAsia="zh-CN" w:bidi="ar-SA"/>
    </w:rPr>
  </w:style>
  <w:style w:type="character" w:customStyle="1" w:styleId="190">
    <w:name w:val="批注文字 字符1"/>
    <w:qFormat/>
    <w:uiPriority w:val="0"/>
    <w:rPr>
      <w:kern w:val="2"/>
      <w:sz w:val="21"/>
      <w:szCs w:val="24"/>
    </w:rPr>
  </w:style>
  <w:style w:type="character" w:customStyle="1" w:styleId="191">
    <w:name w:val="标题 2 Char Char"/>
    <w:qFormat/>
    <w:uiPriority w:val="0"/>
    <w:rPr>
      <w:rFonts w:ascii="楷体_GB2312" w:hAnsi="Arial" w:eastAsia="楷体_GB2312"/>
      <w:b/>
      <w:bCs/>
      <w:kern w:val="2"/>
      <w:sz w:val="24"/>
      <w:szCs w:val="32"/>
      <w:lang w:val="en-US" w:eastAsia="zh-CN" w:bidi="ar-SA"/>
    </w:rPr>
  </w:style>
  <w:style w:type="character" w:customStyle="1" w:styleId="192">
    <w:name w:val="签名 Char2"/>
    <w:link w:val="40"/>
    <w:qFormat/>
    <w:uiPriority w:val="0"/>
    <w:rPr>
      <w:rFonts w:eastAsia="仿宋_GB2312"/>
      <w:sz w:val="24"/>
    </w:rPr>
  </w:style>
  <w:style w:type="character" w:customStyle="1" w:styleId="193">
    <w:name w:val="Char Char37"/>
    <w:qFormat/>
    <w:uiPriority w:val="6"/>
    <w:rPr>
      <w:b/>
      <w:kern w:val="1"/>
      <w:sz w:val="44"/>
      <w:szCs w:val="44"/>
    </w:rPr>
  </w:style>
  <w:style w:type="character" w:customStyle="1" w:styleId="194">
    <w:name w:val="正文文本缩进 3 Char1"/>
    <w:semiHidden/>
    <w:qFormat/>
    <w:uiPriority w:val="99"/>
    <w:rPr>
      <w:rFonts w:ascii="Times New Roman" w:hAnsi="Times New Roman" w:eastAsia="宋体" w:cs="Times New Roman"/>
      <w:sz w:val="16"/>
      <w:szCs w:val="16"/>
    </w:rPr>
  </w:style>
  <w:style w:type="character" w:customStyle="1" w:styleId="195">
    <w:name w:val="列出段落 Char"/>
    <w:qFormat/>
    <w:uiPriority w:val="0"/>
    <w:rPr>
      <w:rFonts w:eastAsia="楷体_GB2312" w:cs="Lucida Sans"/>
      <w:kern w:val="2"/>
      <w:sz w:val="24"/>
      <w:szCs w:val="24"/>
      <w:lang w:val="en-US" w:eastAsia="zh-CN" w:bidi="ar-SA"/>
    </w:rPr>
  </w:style>
  <w:style w:type="character" w:customStyle="1" w:styleId="196">
    <w:name w:val="标题 1 字符"/>
    <w:qFormat/>
    <w:uiPriority w:val="9"/>
    <w:rPr>
      <w:rFonts w:ascii="Arial" w:hAnsi="Arial" w:eastAsia="黑体" w:cs="Arial"/>
      <w:b/>
      <w:bCs/>
      <w:snapToGrid w:val="0"/>
      <w:kern w:val="44"/>
      <w:sz w:val="44"/>
      <w:szCs w:val="44"/>
    </w:rPr>
  </w:style>
  <w:style w:type="character" w:customStyle="1" w:styleId="197">
    <w:name w:val="标题 1 Char Char"/>
    <w:qFormat/>
    <w:uiPriority w:val="0"/>
    <w:rPr>
      <w:rFonts w:hint="eastAsia" w:ascii="宋体" w:hAnsi="宋体" w:eastAsia="宋体"/>
      <w:b/>
      <w:spacing w:val="-2"/>
      <w:sz w:val="24"/>
      <w:lang w:val="en-US" w:eastAsia="zh-CN" w:bidi="ar-SA"/>
    </w:rPr>
  </w:style>
  <w:style w:type="character" w:customStyle="1" w:styleId="198">
    <w:name w:val="正文（缩进2汉字） Char"/>
    <w:link w:val="199"/>
    <w:qFormat/>
    <w:uiPriority w:val="0"/>
    <w:rPr>
      <w:rFonts w:ascii="宋体"/>
    </w:rPr>
  </w:style>
  <w:style w:type="paragraph" w:customStyle="1" w:styleId="199">
    <w:name w:val="正文（缩进2汉字）"/>
    <w:basedOn w:val="1"/>
    <w:link w:val="198"/>
    <w:qFormat/>
    <w:uiPriority w:val="0"/>
    <w:pPr>
      <w:tabs>
        <w:tab w:val="left" w:pos="525"/>
      </w:tabs>
      <w:adjustRightInd/>
      <w:spacing w:before="100" w:beforeAutospacing="1" w:after="100" w:afterAutospacing="1"/>
      <w:ind w:left="120" w:leftChars="50" w:firstLine="494" w:firstLineChars="206"/>
    </w:pPr>
    <w:rPr>
      <w:rFonts w:ascii="宋体" w:hAnsiTheme="minorHAnsi" w:eastAsiaTheme="minorEastAsia" w:cstheme="minorBidi"/>
      <w:szCs w:val="22"/>
    </w:rPr>
  </w:style>
  <w:style w:type="character" w:customStyle="1" w:styleId="200">
    <w:name w:val="哈哈正文 Char Char"/>
    <w:qFormat/>
    <w:uiPriority w:val="0"/>
    <w:rPr>
      <w:rFonts w:ascii="宋体" w:hAnsi="宋体" w:eastAsia="宋体" w:cs="宋体"/>
      <w:kern w:val="2"/>
      <w:sz w:val="24"/>
      <w:lang w:val="en-US" w:eastAsia="zh-CN" w:bidi="ar-SA"/>
    </w:rPr>
  </w:style>
  <w:style w:type="character" w:customStyle="1" w:styleId="201">
    <w:name w:val="content"/>
    <w:qFormat/>
    <w:uiPriority w:val="0"/>
  </w:style>
  <w:style w:type="character" w:customStyle="1" w:styleId="202">
    <w:name w:val="font51"/>
    <w:qFormat/>
    <w:uiPriority w:val="0"/>
    <w:rPr>
      <w:rFonts w:hint="eastAsia" w:ascii="仿宋" w:hAnsi="仿宋" w:eastAsia="仿宋" w:cs="仿宋"/>
      <w:color w:val="000000"/>
      <w:sz w:val="20"/>
      <w:szCs w:val="20"/>
      <w:u w:val="none"/>
    </w:rPr>
  </w:style>
  <w:style w:type="character" w:customStyle="1" w:styleId="203">
    <w:name w:val="批注文字 字符"/>
    <w:qFormat/>
    <w:uiPriority w:val="0"/>
    <w:rPr>
      <w:rFonts w:ascii="Arial" w:hAnsi="Arial" w:eastAsia="黑体" w:cs="Arial"/>
      <w:snapToGrid w:val="0"/>
      <w:kern w:val="0"/>
      <w:szCs w:val="21"/>
    </w:rPr>
  </w:style>
  <w:style w:type="character" w:customStyle="1" w:styleId="204">
    <w:name w:val="编号，小四 Char"/>
    <w:link w:val="205"/>
    <w:qFormat/>
    <w:uiPriority w:val="0"/>
    <w:rPr>
      <w:rFonts w:ascii="Arial" w:hAnsi="Arial"/>
      <w:sz w:val="24"/>
    </w:rPr>
  </w:style>
  <w:style w:type="paragraph" w:customStyle="1" w:styleId="205">
    <w:name w:val="编号，小四"/>
    <w:basedOn w:val="1"/>
    <w:link w:val="204"/>
    <w:qFormat/>
    <w:uiPriority w:val="0"/>
    <w:pPr>
      <w:tabs>
        <w:tab w:val="left" w:pos="432"/>
      </w:tabs>
      <w:adjustRightInd/>
      <w:spacing w:line="360" w:lineRule="auto"/>
      <w:ind w:left="432" w:hanging="432"/>
    </w:pPr>
    <w:rPr>
      <w:rFonts w:ascii="Arial" w:hAnsi="Arial" w:eastAsiaTheme="minorEastAsia" w:cstheme="minorBidi"/>
      <w:sz w:val="24"/>
      <w:szCs w:val="22"/>
    </w:rPr>
  </w:style>
  <w:style w:type="character" w:customStyle="1" w:styleId="206">
    <w:name w:val="Font Style82"/>
    <w:qFormat/>
    <w:uiPriority w:val="99"/>
    <w:rPr>
      <w:rFonts w:ascii="宋体" w:eastAsia="宋体" w:cs="宋体"/>
      <w:color w:val="000000"/>
      <w:sz w:val="14"/>
      <w:szCs w:val="14"/>
    </w:rPr>
  </w:style>
  <w:style w:type="character" w:customStyle="1" w:styleId="207">
    <w:name w:val="正文首行缩进 Char Char Char Char Char Char"/>
    <w:qFormat/>
    <w:uiPriority w:val="0"/>
    <w:rPr>
      <w:rFonts w:ascii="宋体" w:eastAsia="宋体"/>
      <w:kern w:val="2"/>
      <w:sz w:val="24"/>
      <w:lang w:val="zh-CN" w:bidi="ar-SA"/>
    </w:rPr>
  </w:style>
  <w:style w:type="character" w:customStyle="1" w:styleId="208">
    <w:name w:val="DO_NOT_TRANSLATE"/>
    <w:qFormat/>
    <w:uiPriority w:val="0"/>
    <w:rPr>
      <w:rFonts w:ascii="Courier New" w:hAnsi="Courier New" w:cs="Courier New"/>
      <w:color w:val="800000"/>
      <w:lang w:val="en-US" w:eastAsia="zh-CN"/>
    </w:rPr>
  </w:style>
  <w:style w:type="character" w:customStyle="1" w:styleId="209">
    <w:name w:val="gray6"/>
    <w:qFormat/>
    <w:uiPriority w:val="0"/>
    <w:rPr>
      <w:rFonts w:ascii="Arial" w:hAnsi="Arial" w:eastAsia="黑体" w:cs="Arial"/>
      <w:snapToGrid w:val="0"/>
      <w:kern w:val="0"/>
      <w:szCs w:val="21"/>
    </w:rPr>
  </w:style>
  <w:style w:type="character" w:customStyle="1" w:styleId="210">
    <w:name w:val="正文文本缩进 字符"/>
    <w:qFormat/>
    <w:uiPriority w:val="0"/>
    <w:rPr>
      <w:rFonts w:ascii="Century Gothic" w:hAnsi="Century Gothic" w:eastAsia="Century Gothic"/>
      <w:kern w:val="2"/>
      <w:sz w:val="24"/>
      <w:lang w:val="en-US" w:eastAsia="zh-CN" w:bidi="ar-SA"/>
    </w:rPr>
  </w:style>
  <w:style w:type="character" w:customStyle="1" w:styleId="211">
    <w:name w:val="Char Char36"/>
    <w:qFormat/>
    <w:uiPriority w:val="6"/>
    <w:rPr>
      <w:rFonts w:ascii="仿宋_GB2312" w:hAnsi="仿宋_GB2312" w:eastAsia="仿宋_GB2312" w:cs="Arial"/>
      <w:b/>
      <w:kern w:val="1"/>
      <w:sz w:val="32"/>
      <w:szCs w:val="32"/>
      <w:lang w:val="zh-CN" w:eastAsia="zh-CN" w:bidi="ar-SA"/>
    </w:rPr>
  </w:style>
  <w:style w:type="character" w:customStyle="1" w:styleId="212">
    <w:name w:val="15"/>
    <w:qFormat/>
    <w:uiPriority w:val="0"/>
    <w:rPr>
      <w:rFonts w:hint="default" w:ascii="Calibri" w:hAnsi="Calibri"/>
      <w:color w:val="0000FF"/>
      <w:u w:val="single"/>
    </w:rPr>
  </w:style>
  <w:style w:type="character" w:customStyle="1" w:styleId="21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214">
    <w:name w:val="交叉引用"/>
    <w:qFormat/>
    <w:uiPriority w:val="1"/>
    <w:rPr>
      <w:rFonts w:ascii="Arial" w:hAnsi="Arial" w:eastAsia="黑体"/>
      <w:snapToGrid w:val="0"/>
      <w:color w:val="0000FF"/>
      <w:kern w:val="0"/>
      <w:sz w:val="20"/>
      <w:szCs w:val="21"/>
      <w:u w:val="single"/>
      <w:lang w:val="en-US" w:eastAsia="zh-CN"/>
    </w:rPr>
  </w:style>
  <w:style w:type="character" w:customStyle="1" w:styleId="215">
    <w:name w:val="页脚 字符1"/>
    <w:qFormat/>
    <w:locked/>
    <w:uiPriority w:val="99"/>
    <w:rPr>
      <w:kern w:val="2"/>
      <w:sz w:val="18"/>
      <w:szCs w:val="18"/>
    </w:rPr>
  </w:style>
  <w:style w:type="character" w:customStyle="1" w:styleId="216">
    <w:name w:val="首行缩进 Char"/>
    <w:qFormat/>
    <w:uiPriority w:val="0"/>
    <w:rPr>
      <w:rFonts w:ascii="宋体" w:eastAsia="宋体"/>
      <w:kern w:val="2"/>
      <w:sz w:val="24"/>
      <w:lang w:val="en-US" w:eastAsia="zh-CN" w:bidi="ar-SA"/>
    </w:rPr>
  </w:style>
  <w:style w:type="character" w:customStyle="1" w:styleId="217">
    <w:name w:val="U_正文 Char"/>
    <w:link w:val="218"/>
    <w:qFormat/>
    <w:uiPriority w:val="0"/>
    <w:rPr>
      <w:sz w:val="24"/>
      <w:szCs w:val="24"/>
    </w:rPr>
  </w:style>
  <w:style w:type="paragraph" w:customStyle="1" w:styleId="218">
    <w:name w:val="U_正文"/>
    <w:basedOn w:val="1"/>
    <w:link w:val="217"/>
    <w:qFormat/>
    <w:uiPriority w:val="0"/>
    <w:pPr>
      <w:adjustRightInd/>
      <w:spacing w:beforeLines="20" w:afterLines="20" w:line="300" w:lineRule="auto"/>
      <w:ind w:firstLine="200" w:firstLineChars="200"/>
    </w:pPr>
    <w:rPr>
      <w:rFonts w:asciiTheme="minorHAnsi" w:hAnsiTheme="minorHAnsi" w:eastAsiaTheme="minorEastAsia" w:cstheme="minorBidi"/>
      <w:sz w:val="24"/>
    </w:rPr>
  </w:style>
  <w:style w:type="character" w:customStyle="1" w:styleId="219">
    <w:name w:val="b11_01b Char"/>
    <w:link w:val="220"/>
    <w:qFormat/>
    <w:uiPriority w:val="0"/>
    <w:rPr>
      <w:rFonts w:ascii="Verdana" w:hAnsi="Verdana"/>
      <w:b/>
      <w:bCs/>
      <w:color w:val="4A82CA"/>
      <w:sz w:val="17"/>
      <w:szCs w:val="17"/>
    </w:rPr>
  </w:style>
  <w:style w:type="paragraph" w:customStyle="1" w:styleId="220">
    <w:name w:val="b11_01b"/>
    <w:basedOn w:val="1"/>
    <w:next w:val="1"/>
    <w:link w:val="219"/>
    <w:qFormat/>
    <w:uiPriority w:val="0"/>
    <w:pPr>
      <w:widowControl/>
      <w:adjustRightInd/>
      <w:spacing w:before="100" w:beforeAutospacing="1" w:after="100" w:afterAutospacing="1" w:line="384" w:lineRule="auto"/>
      <w:jc w:val="left"/>
    </w:pPr>
    <w:rPr>
      <w:rFonts w:ascii="Verdana" w:hAnsi="Verdana" w:eastAsiaTheme="minorEastAsia" w:cstheme="minorBidi"/>
      <w:b/>
      <w:bCs/>
      <w:color w:val="4A82CA"/>
      <w:sz w:val="17"/>
      <w:szCs w:val="17"/>
    </w:rPr>
  </w:style>
  <w:style w:type="character" w:customStyle="1" w:styleId="221">
    <w:name w:val="Char Char161"/>
    <w:qFormat/>
    <w:uiPriority w:val="0"/>
    <w:rPr>
      <w:rFonts w:eastAsia="宋体"/>
      <w:b/>
      <w:kern w:val="2"/>
      <w:sz w:val="32"/>
      <w:lang w:val="en-US" w:eastAsia="zh-CN"/>
    </w:rPr>
  </w:style>
  <w:style w:type="character" w:customStyle="1" w:styleId="222">
    <w:name w:val="表格非标题文字 Char"/>
    <w:link w:val="223"/>
    <w:qFormat/>
    <w:uiPriority w:val="0"/>
    <w:rPr>
      <w:rFonts w:ascii="Futura Bk" w:hAnsi="Futura Bk"/>
      <w:sz w:val="18"/>
      <w:szCs w:val="21"/>
    </w:rPr>
  </w:style>
  <w:style w:type="paragraph" w:customStyle="1" w:styleId="223">
    <w:name w:val="表格非标题文字"/>
    <w:link w:val="222"/>
    <w:qFormat/>
    <w:uiPriority w:val="0"/>
    <w:pPr>
      <w:snapToGrid w:val="0"/>
      <w:spacing w:before="80" w:after="40"/>
    </w:pPr>
    <w:rPr>
      <w:rFonts w:ascii="Futura Bk" w:hAnsi="Futura Bk" w:eastAsiaTheme="minorEastAsia" w:cstheme="minorBidi"/>
      <w:kern w:val="2"/>
      <w:sz w:val="18"/>
      <w:szCs w:val="21"/>
      <w:lang w:val="en-US" w:eastAsia="zh-CN" w:bidi="ar-SA"/>
    </w:rPr>
  </w:style>
  <w:style w:type="character" w:customStyle="1" w:styleId="224">
    <w:name w:val="*正文 Char"/>
    <w:link w:val="225"/>
    <w:qFormat/>
    <w:locked/>
    <w:uiPriority w:val="0"/>
    <w:rPr>
      <w:rFonts w:ascii="宋体" w:hAnsi="宋体"/>
      <w:sz w:val="24"/>
    </w:rPr>
  </w:style>
  <w:style w:type="paragraph" w:customStyle="1" w:styleId="225">
    <w:name w:val="*正文"/>
    <w:basedOn w:val="1"/>
    <w:link w:val="224"/>
    <w:qFormat/>
    <w:uiPriority w:val="0"/>
    <w:pPr>
      <w:snapToGrid w:val="0"/>
      <w:spacing w:line="360" w:lineRule="auto"/>
      <w:ind w:firstLine="482"/>
      <w:jc w:val="left"/>
    </w:pPr>
    <w:rPr>
      <w:rFonts w:ascii="宋体" w:hAnsi="宋体" w:eastAsiaTheme="minorEastAsia" w:cstheme="minorBidi"/>
      <w:sz w:val="24"/>
      <w:szCs w:val="22"/>
    </w:rPr>
  </w:style>
  <w:style w:type="character" w:customStyle="1" w:styleId="226">
    <w:name w:val="Char Char28"/>
    <w:qFormat/>
    <w:uiPriority w:val="6"/>
    <w:rPr>
      <w:rFonts w:ascii="仿宋_GB2312" w:hAnsi="仿宋_GB2312" w:eastAsia="仿宋_GB2312"/>
      <w:kern w:val="1"/>
      <w:sz w:val="28"/>
    </w:rPr>
  </w:style>
  <w:style w:type="character" w:customStyle="1" w:styleId="227">
    <w:name w:val="Heading 1 Char"/>
    <w:qFormat/>
    <w:uiPriority w:val="6"/>
    <w:rPr>
      <w:rFonts w:ascii="Times New Roman" w:hAnsi="Times New Roman" w:eastAsia="黑体" w:cs="Times New Roman"/>
      <w:b/>
      <w:kern w:val="0"/>
      <w:sz w:val="24"/>
      <w:szCs w:val="24"/>
    </w:rPr>
  </w:style>
  <w:style w:type="character" w:customStyle="1" w:styleId="228">
    <w:name w:val="HTML 地址 Char1"/>
    <w:qFormat/>
    <w:uiPriority w:val="0"/>
    <w:rPr>
      <w:rFonts w:ascii="Times New Roman" w:hAnsi="Times New Roman" w:eastAsia="宋体" w:cs="Times New Roman"/>
      <w:i/>
      <w:iCs/>
      <w:szCs w:val="24"/>
    </w:rPr>
  </w:style>
  <w:style w:type="character" w:customStyle="1" w:styleId="229">
    <w:name w:val="Char Char51"/>
    <w:qFormat/>
    <w:uiPriority w:val="0"/>
    <w:rPr>
      <w:rFonts w:ascii="宋体" w:hAnsi="Courier New" w:eastAsia="宋体"/>
      <w:kern w:val="2"/>
      <w:sz w:val="21"/>
      <w:lang w:val="en-US" w:eastAsia="zh-CN"/>
    </w:rPr>
  </w:style>
  <w:style w:type="character" w:customStyle="1" w:styleId="230">
    <w:name w:val="表正文 Char"/>
    <w:qFormat/>
    <w:uiPriority w:val="0"/>
    <w:rPr>
      <w:rFonts w:ascii="宋体" w:eastAsia="宋体"/>
      <w:snapToGrid w:val="0"/>
      <w:color w:val="000000"/>
      <w:kern w:val="28"/>
      <w:sz w:val="28"/>
      <w:lang w:val="en-US" w:eastAsia="zh-CN" w:bidi="ar-SA"/>
    </w:rPr>
  </w:style>
  <w:style w:type="character" w:customStyle="1" w:styleId="231">
    <w:name w:val="Char Char34"/>
    <w:qFormat/>
    <w:uiPriority w:val="6"/>
    <w:rPr>
      <w:b/>
      <w:kern w:val="1"/>
      <w:sz w:val="28"/>
      <w:szCs w:val="28"/>
    </w:rPr>
  </w:style>
  <w:style w:type="character" w:customStyle="1" w:styleId="23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233">
    <w:name w:val="未处理的提及1"/>
    <w:qFormat/>
    <w:uiPriority w:val="0"/>
    <w:rPr>
      <w:color w:val="808080"/>
      <w:shd w:val="clear" w:color="auto" w:fill="E6E6E6"/>
    </w:rPr>
  </w:style>
  <w:style w:type="character" w:customStyle="1" w:styleId="234">
    <w:name w:val="PI Char1"/>
    <w:qFormat/>
    <w:uiPriority w:val="0"/>
    <w:rPr>
      <w:rFonts w:ascii="宋体" w:hAnsi="宋体"/>
      <w:kern w:val="2"/>
      <w:sz w:val="24"/>
      <w:szCs w:val="24"/>
    </w:rPr>
  </w:style>
  <w:style w:type="character" w:customStyle="1" w:styleId="235">
    <w:name w:val="Char Char101"/>
    <w:qFormat/>
    <w:uiPriority w:val="6"/>
    <w:rPr>
      <w:rFonts w:ascii="宋体" w:hAnsi="宋体"/>
      <w:kern w:val="2"/>
      <w:sz w:val="21"/>
      <w:szCs w:val="24"/>
      <w:lang w:val="en-US" w:eastAsia="zh-CN"/>
    </w:rPr>
  </w:style>
  <w:style w:type="character" w:customStyle="1" w:styleId="236">
    <w:name w:val="5正文 Char"/>
    <w:link w:val="237"/>
    <w:qFormat/>
    <w:uiPriority w:val="0"/>
    <w:rPr>
      <w:rFonts w:ascii="仿宋_GB2312" w:hAnsi="微软雅黑" w:eastAsia="仿宋_GB2312"/>
      <w:sz w:val="28"/>
      <w:szCs w:val="21"/>
    </w:rPr>
  </w:style>
  <w:style w:type="paragraph" w:customStyle="1" w:styleId="237">
    <w:name w:val="5正文"/>
    <w:basedOn w:val="1"/>
    <w:link w:val="236"/>
    <w:qFormat/>
    <w:uiPriority w:val="0"/>
    <w:pPr>
      <w:adjustRightInd/>
      <w:spacing w:line="360" w:lineRule="auto"/>
      <w:ind w:firstLine="566" w:firstLineChars="202"/>
      <w:jc w:val="left"/>
    </w:pPr>
    <w:rPr>
      <w:rFonts w:ascii="仿宋_GB2312" w:hAnsi="微软雅黑" w:eastAsia="仿宋_GB2312" w:cstheme="minorBidi"/>
      <w:sz w:val="28"/>
      <w:szCs w:val="21"/>
    </w:rPr>
  </w:style>
  <w:style w:type="character" w:customStyle="1" w:styleId="238">
    <w:name w:val="标题 3 字符"/>
    <w:qFormat/>
    <w:uiPriority w:val="9"/>
    <w:rPr>
      <w:b/>
      <w:bCs/>
      <w:kern w:val="2"/>
      <w:sz w:val="32"/>
      <w:szCs w:val="32"/>
    </w:rPr>
  </w:style>
  <w:style w:type="character" w:customStyle="1" w:styleId="239">
    <w:name w:val="样式6 Char"/>
    <w:qFormat/>
    <w:uiPriority w:val="0"/>
    <w:rPr>
      <w:rFonts w:ascii="仿宋_GB2312" w:hAnsi="宋体" w:eastAsia="仿宋_GB2312"/>
      <w:b/>
      <w:bCs/>
      <w:kern w:val="2"/>
      <w:sz w:val="24"/>
      <w:szCs w:val="24"/>
      <w:lang w:val="en-US" w:eastAsia="zh-CN" w:bidi="ar-SA"/>
    </w:rPr>
  </w:style>
  <w:style w:type="character" w:customStyle="1" w:styleId="240">
    <w:name w:val="Char Char14"/>
    <w:qFormat/>
    <w:uiPriority w:val="6"/>
    <w:rPr>
      <w:rFonts w:ascii="黑体" w:hAnsi="黑体" w:eastAsia="黑体"/>
    </w:rPr>
  </w:style>
  <w:style w:type="character" w:customStyle="1" w:styleId="241">
    <w:name w:val="Heading 2 Hidden Char"/>
    <w:qFormat/>
    <w:uiPriority w:val="0"/>
    <w:rPr>
      <w:rFonts w:ascii="仿宋_GB2312" w:eastAsia="仿宋_GB2312"/>
      <w:b/>
      <w:bCs/>
      <w:kern w:val="2"/>
      <w:sz w:val="24"/>
      <w:szCs w:val="24"/>
      <w:lang w:val="zh-CN" w:eastAsia="zh-CN" w:bidi="ar-SA"/>
    </w:rPr>
  </w:style>
  <w:style w:type="character" w:customStyle="1" w:styleId="242">
    <w:name w:val="正文首行缩进 2 Char2"/>
    <w:link w:val="56"/>
    <w:qFormat/>
    <w:uiPriority w:val="0"/>
    <w:rPr>
      <w:rFonts w:ascii="宋体" w:hAnsi="宋体"/>
      <w:kern w:val="2"/>
      <w:sz w:val="21"/>
      <w:szCs w:val="24"/>
    </w:rPr>
  </w:style>
  <w:style w:type="character" w:customStyle="1" w:styleId="243">
    <w:name w:val="font11"/>
    <w:qFormat/>
    <w:uiPriority w:val="0"/>
    <w:rPr>
      <w:rFonts w:hint="default" w:ascii="Times New Roman" w:hAnsi="Times New Roman" w:cs="Times New Roman"/>
      <w:color w:val="000000"/>
      <w:sz w:val="22"/>
      <w:szCs w:val="22"/>
      <w:u w:val="none"/>
    </w:rPr>
  </w:style>
  <w:style w:type="character" w:customStyle="1" w:styleId="244">
    <w:name w:val="blue1"/>
    <w:qFormat/>
    <w:uiPriority w:val="0"/>
    <w:rPr>
      <w:rFonts w:ascii="Arial" w:hAnsi="Arial" w:eastAsia="黑体" w:cs="Arial"/>
      <w:snapToGrid w:val="0"/>
      <w:kern w:val="0"/>
      <w:szCs w:val="21"/>
    </w:rPr>
  </w:style>
  <w:style w:type="character" w:customStyle="1" w:styleId="245">
    <w:name w:val="Char Char24"/>
    <w:qFormat/>
    <w:uiPriority w:val="6"/>
    <w:rPr>
      <w:kern w:val="1"/>
      <w:sz w:val="21"/>
    </w:rPr>
  </w:style>
  <w:style w:type="character" w:customStyle="1" w:styleId="246">
    <w:name w:val="副标题 Char3"/>
    <w:link w:val="44"/>
    <w:qFormat/>
    <w:uiPriority w:val="0"/>
    <w:rPr>
      <w:rFonts w:ascii="Arial" w:hAnsi="Arial" w:eastAsia="隶书"/>
      <w:b/>
      <w:bCs/>
      <w:kern w:val="28"/>
      <w:sz w:val="44"/>
      <w:szCs w:val="32"/>
    </w:rPr>
  </w:style>
  <w:style w:type="character" w:customStyle="1" w:styleId="247">
    <w:name w:val="普通文字 Char1 Char"/>
    <w:qFormat/>
    <w:uiPriority w:val="0"/>
    <w:rPr>
      <w:rFonts w:ascii="宋体" w:hAnsi="Courier New" w:eastAsia="宋体"/>
      <w:kern w:val="2"/>
      <w:sz w:val="21"/>
      <w:szCs w:val="24"/>
      <w:lang w:val="en-US" w:eastAsia="zh-CN" w:bidi="ar-SA"/>
    </w:rPr>
  </w:style>
  <w:style w:type="character" w:customStyle="1" w:styleId="248">
    <w:name w:val="No Spacing Char"/>
    <w:link w:val="249"/>
    <w:qFormat/>
    <w:uiPriority w:val="1"/>
    <w:rPr>
      <w:sz w:val="22"/>
    </w:rPr>
  </w:style>
  <w:style w:type="paragraph" w:customStyle="1" w:styleId="249">
    <w:name w:val="无间隔1"/>
    <w:link w:val="248"/>
    <w:qFormat/>
    <w:uiPriority w:val="1"/>
    <w:rPr>
      <w:rFonts w:asciiTheme="minorHAnsi" w:hAnsiTheme="minorHAnsi" w:eastAsiaTheme="minorEastAsia" w:cstheme="minorBidi"/>
      <w:kern w:val="2"/>
      <w:sz w:val="22"/>
      <w:szCs w:val="22"/>
      <w:lang w:val="en-US" w:eastAsia="zh-CN" w:bidi="ar-SA"/>
    </w:rPr>
  </w:style>
  <w:style w:type="character" w:customStyle="1" w:styleId="250">
    <w:name w:val="font12gray1"/>
    <w:qFormat/>
    <w:uiPriority w:val="0"/>
    <w:rPr>
      <w:rFonts w:ascii="仿宋_GB2312" w:eastAsia="微软雅黑"/>
      <w:b/>
      <w:spacing w:val="300"/>
      <w:kern w:val="2"/>
      <w:sz w:val="18"/>
      <w:szCs w:val="18"/>
      <w:lang w:val="en-US" w:eastAsia="zh-CN" w:bidi="ar-SA"/>
    </w:rPr>
  </w:style>
  <w:style w:type="character" w:customStyle="1" w:styleId="251">
    <w:name w:val="Char Char7"/>
    <w:semiHidden/>
    <w:qFormat/>
    <w:uiPriority w:val="0"/>
    <w:rPr>
      <w:rFonts w:eastAsia="宋体"/>
      <w:kern w:val="2"/>
      <w:sz w:val="21"/>
      <w:szCs w:val="24"/>
      <w:lang w:val="en-US" w:eastAsia="zh-CN" w:bidi="ar-SA"/>
    </w:rPr>
  </w:style>
  <w:style w:type="character" w:customStyle="1" w:styleId="252">
    <w:name w:val="表名 Char"/>
    <w:qFormat/>
    <w:uiPriority w:val="0"/>
    <w:rPr>
      <w:rFonts w:eastAsia="宋体"/>
      <w:b/>
      <w:bCs/>
      <w:kern w:val="2"/>
      <w:sz w:val="24"/>
      <w:szCs w:val="24"/>
      <w:lang w:val="en-US" w:eastAsia="zh-CN" w:bidi="ar-SA"/>
    </w:rPr>
  </w:style>
  <w:style w:type="character" w:customStyle="1" w:styleId="253">
    <w:name w:val="Document Map Char"/>
    <w:qFormat/>
    <w:locked/>
    <w:uiPriority w:val="0"/>
    <w:rPr>
      <w:rFonts w:eastAsia="宋体"/>
      <w:kern w:val="2"/>
      <w:sz w:val="21"/>
      <w:szCs w:val="24"/>
      <w:lang w:val="en-US" w:eastAsia="zh-CN" w:bidi="ar-SA"/>
    </w:rPr>
  </w:style>
  <w:style w:type="character" w:customStyle="1" w:styleId="254">
    <w:name w:val="font41"/>
    <w:qFormat/>
    <w:uiPriority w:val="0"/>
    <w:rPr>
      <w:rFonts w:hint="eastAsia" w:ascii="仿宋_GB2312" w:eastAsia="仿宋_GB2312" w:cs="仿宋_GB2312"/>
      <w:color w:val="000000"/>
      <w:sz w:val="22"/>
      <w:szCs w:val="22"/>
      <w:u w:val="none"/>
    </w:rPr>
  </w:style>
  <w:style w:type="character" w:customStyle="1" w:styleId="255">
    <w:name w:val="标题 6 Char2"/>
    <w:link w:val="7"/>
    <w:qFormat/>
    <w:uiPriority w:val="0"/>
    <w:rPr>
      <w:rFonts w:ascii="Arial" w:hAnsi="Arial" w:eastAsia="黑体" w:cs="Times New Roman"/>
      <w:b/>
      <w:bCs/>
      <w:sz w:val="24"/>
      <w:szCs w:val="24"/>
    </w:rPr>
  </w:style>
  <w:style w:type="character" w:customStyle="1" w:styleId="256">
    <w:name w:val="纯文本 Char_0"/>
    <w:link w:val="257"/>
    <w:qFormat/>
    <w:uiPriority w:val="0"/>
    <w:rPr>
      <w:rFonts w:ascii="宋体" w:hAnsi="Courier New"/>
      <w:szCs w:val="21"/>
    </w:rPr>
  </w:style>
  <w:style w:type="paragraph" w:customStyle="1" w:styleId="257">
    <w:name w:val="纯文本_0_0"/>
    <w:basedOn w:val="258"/>
    <w:link w:val="256"/>
    <w:qFormat/>
    <w:uiPriority w:val="0"/>
    <w:rPr>
      <w:rFonts w:ascii="宋体" w:hAnsi="Courier New" w:eastAsiaTheme="minorEastAsia" w:cstheme="minorBidi"/>
      <w:szCs w:val="21"/>
    </w:rPr>
  </w:style>
  <w:style w:type="paragraph" w:customStyle="1" w:styleId="25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59">
    <w:name w:val="Balloon Text Char"/>
    <w:qFormat/>
    <w:locked/>
    <w:uiPriority w:val="0"/>
    <w:rPr>
      <w:rFonts w:eastAsia="宋体"/>
      <w:kern w:val="2"/>
      <w:sz w:val="18"/>
      <w:szCs w:val="18"/>
      <w:lang w:val="en-US" w:eastAsia="zh-CN" w:bidi="ar-SA"/>
    </w:rPr>
  </w:style>
  <w:style w:type="character" w:customStyle="1" w:styleId="260">
    <w:name w:val="正文 项目2 Char"/>
    <w:qFormat/>
    <w:uiPriority w:val="0"/>
    <w:rPr>
      <w:rFonts w:ascii="仿宋_GB2312" w:hAnsi="仿宋_GB2312" w:eastAsia="仿宋_GB2312"/>
      <w:kern w:val="2"/>
      <w:sz w:val="24"/>
      <w:lang w:bidi="ar-SA"/>
    </w:rPr>
  </w:style>
  <w:style w:type="character" w:customStyle="1" w:styleId="261">
    <w:name w:val="正文 项目 Char"/>
    <w:qFormat/>
    <w:uiPriority w:val="0"/>
    <w:rPr>
      <w:rFonts w:ascii="仿宋_GB2312" w:hAnsi="仿宋_GB2312" w:eastAsia="仿宋_GB2312"/>
      <w:kern w:val="2"/>
      <w:sz w:val="24"/>
      <w:lang w:bidi="ar-SA"/>
    </w:rPr>
  </w:style>
  <w:style w:type="character" w:customStyle="1" w:styleId="262">
    <w:name w:val="h Char Char1"/>
    <w:qFormat/>
    <w:uiPriority w:val="0"/>
    <w:rPr>
      <w:rFonts w:eastAsia="宋体"/>
      <w:kern w:val="2"/>
      <w:sz w:val="18"/>
      <w:szCs w:val="18"/>
      <w:lang w:val="en-US" w:eastAsia="zh-CN" w:bidi="ar-SA"/>
    </w:rPr>
  </w:style>
  <w:style w:type="character" w:customStyle="1" w:styleId="263">
    <w:name w:val="Char Char27"/>
    <w:qFormat/>
    <w:uiPriority w:val="6"/>
    <w:rPr>
      <w:rFonts w:ascii="宋体" w:hAnsi="宋体" w:eastAsia="宋体"/>
      <w:color w:val="000000"/>
      <w:kern w:val="1"/>
      <w:sz w:val="28"/>
      <w:lang w:val="en-US" w:eastAsia="zh-CN" w:bidi="ar-SA"/>
    </w:rPr>
  </w:style>
  <w:style w:type="character" w:customStyle="1" w:styleId="264">
    <w:name w:val="px14"/>
    <w:qFormat/>
    <w:uiPriority w:val="0"/>
    <w:rPr>
      <w:rFonts w:ascii="仿宋_GB2312" w:eastAsia="微软雅黑" w:cs="Times New Roman"/>
      <w:b/>
      <w:kern w:val="2"/>
      <w:sz w:val="32"/>
      <w:szCs w:val="32"/>
      <w:lang w:val="en-US" w:eastAsia="zh-CN" w:bidi="ar-SA"/>
    </w:rPr>
  </w:style>
  <w:style w:type="character" w:customStyle="1" w:styleId="265">
    <w:name w:val="HTML 预设格式 Char1"/>
    <w:qFormat/>
    <w:uiPriority w:val="0"/>
    <w:rPr>
      <w:rFonts w:ascii="Courier New" w:hAnsi="Courier New" w:eastAsia="宋体" w:cs="Courier New"/>
      <w:sz w:val="20"/>
      <w:szCs w:val="20"/>
    </w:rPr>
  </w:style>
  <w:style w:type="character" w:customStyle="1" w:styleId="266">
    <w:name w:val="普通文字 Char1"/>
    <w:qFormat/>
    <w:uiPriority w:val="0"/>
    <w:rPr>
      <w:rFonts w:ascii="宋体" w:hAnsi="Courier New" w:eastAsia="宋体"/>
      <w:kern w:val="2"/>
      <w:sz w:val="21"/>
      <w:lang w:val="en-US" w:eastAsia="zh-CN"/>
    </w:rPr>
  </w:style>
  <w:style w:type="character" w:customStyle="1" w:styleId="267">
    <w:name w:val="hei16b1"/>
    <w:qFormat/>
    <w:uiPriority w:val="0"/>
    <w:rPr>
      <w:rFonts w:hint="default" w:ascii="Arial" w:hAnsi="Arial" w:cs="Arial"/>
      <w:b/>
      <w:bCs/>
      <w:color w:val="000000"/>
      <w:sz w:val="24"/>
      <w:szCs w:val="24"/>
    </w:rPr>
  </w:style>
  <w:style w:type="character" w:customStyle="1" w:styleId="268">
    <w:name w:val="正文（绿盟科技） Char"/>
    <w:link w:val="269"/>
    <w:qFormat/>
    <w:uiPriority w:val="0"/>
    <w:rPr>
      <w:rFonts w:ascii="Arial" w:hAnsi="Arial"/>
      <w:szCs w:val="21"/>
    </w:rPr>
  </w:style>
  <w:style w:type="paragraph" w:customStyle="1" w:styleId="269">
    <w:name w:val="正文（绿盟科技）"/>
    <w:link w:val="268"/>
    <w:qFormat/>
    <w:uiPriority w:val="0"/>
    <w:pPr>
      <w:spacing w:line="300" w:lineRule="auto"/>
    </w:pPr>
    <w:rPr>
      <w:rFonts w:ascii="Arial" w:hAnsi="Arial" w:eastAsiaTheme="minorEastAsia" w:cstheme="minorBidi"/>
      <w:kern w:val="2"/>
      <w:sz w:val="21"/>
      <w:szCs w:val="21"/>
      <w:lang w:val="en-US" w:eastAsia="zh-CN" w:bidi="ar-SA"/>
    </w:rPr>
  </w:style>
  <w:style w:type="character" w:customStyle="1" w:styleId="270">
    <w:name w:val="Char Char19"/>
    <w:qFormat/>
    <w:uiPriority w:val="6"/>
    <w:rPr>
      <w:rFonts w:ascii="宋体" w:hAnsi="宋体"/>
      <w:i/>
      <w:sz w:val="24"/>
      <w:szCs w:val="24"/>
    </w:rPr>
  </w:style>
  <w:style w:type="character" w:customStyle="1" w:styleId="271">
    <w:name w:val="批注主题 Char"/>
    <w:qFormat/>
    <w:uiPriority w:val="0"/>
    <w:rPr>
      <w:rFonts w:eastAsia="宋体"/>
      <w:b/>
      <w:bCs/>
      <w:kern w:val="2"/>
      <w:sz w:val="21"/>
      <w:szCs w:val="24"/>
      <w:lang w:val="en-US" w:eastAsia="zh-CN" w:bidi="ar-SA"/>
    </w:rPr>
  </w:style>
  <w:style w:type="character" w:customStyle="1" w:styleId="272">
    <w:name w:val="Comment Text Char"/>
    <w:qFormat/>
    <w:locked/>
    <w:uiPriority w:val="0"/>
    <w:rPr>
      <w:rFonts w:ascii="宋体" w:hAnsi="宋体" w:eastAsia="宋体"/>
      <w:kern w:val="2"/>
      <w:sz w:val="24"/>
      <w:lang w:val="en-US" w:eastAsia="zh-CN" w:bidi="ar-SA"/>
    </w:rPr>
  </w:style>
  <w:style w:type="character" w:customStyle="1" w:styleId="273">
    <w:name w:val="标题 2 字符"/>
    <w:qFormat/>
    <w:uiPriority w:val="1"/>
    <w:rPr>
      <w:rFonts w:ascii="仿宋_GB2312" w:hAnsi="Times New Roman" w:eastAsia="仿宋_GB2312" w:cs="Times New Roman"/>
      <w:b/>
      <w:kern w:val="2"/>
      <w:sz w:val="24"/>
      <w:lang w:val="zh-CN"/>
    </w:rPr>
  </w:style>
  <w:style w:type="character" w:customStyle="1" w:styleId="274">
    <w:name w:val="Char Char72"/>
    <w:qFormat/>
    <w:uiPriority w:val="0"/>
    <w:rPr>
      <w:rFonts w:eastAsia="宋体"/>
      <w:kern w:val="2"/>
      <w:sz w:val="21"/>
      <w:szCs w:val="24"/>
      <w:lang w:val="en-US" w:eastAsia="zh-CN" w:bidi="ar-SA"/>
    </w:rPr>
  </w:style>
  <w:style w:type="character" w:customStyle="1" w:styleId="275">
    <w:name w:val="正文文本缩进 Char2"/>
    <w:qFormat/>
    <w:uiPriority w:val="0"/>
    <w:rPr>
      <w:rFonts w:ascii="Times New Roman" w:hAnsi="Times New Roman" w:eastAsia="宋体" w:cs="Times New Roman"/>
      <w:snapToGrid w:val="0"/>
      <w:kern w:val="0"/>
      <w:szCs w:val="24"/>
    </w:rPr>
  </w:style>
  <w:style w:type="character" w:customStyle="1" w:styleId="276">
    <w:name w:val="样式2 Char"/>
    <w:qFormat/>
    <w:uiPriority w:val="0"/>
    <w:rPr>
      <w:rFonts w:ascii="仿宋_GB2312" w:hAnsi="仿宋" w:eastAsia="仿宋_GB2312" w:cs="仿宋_GB2312"/>
      <w:b/>
      <w:bCs/>
      <w:sz w:val="32"/>
      <w:szCs w:val="30"/>
      <w:lang w:val="zh-CN"/>
    </w:rPr>
  </w:style>
  <w:style w:type="character" w:customStyle="1" w:styleId="277">
    <w:name w:val="表格名称[858D7CFB-ED40-4347-BF05-701D383B685F]"/>
    <w:link w:val="278"/>
    <w:qFormat/>
    <w:uiPriority w:val="0"/>
    <w:rPr>
      <w:sz w:val="32"/>
    </w:rPr>
  </w:style>
  <w:style w:type="paragraph" w:customStyle="1" w:styleId="278">
    <w:name w:val="表格名称"/>
    <w:basedOn w:val="3"/>
    <w:link w:val="277"/>
    <w:qFormat/>
    <w:uiPriority w:val="0"/>
    <w:pPr>
      <w:tabs>
        <w:tab w:val="left" w:pos="432"/>
      </w:tabs>
      <w:adjustRightInd/>
      <w:snapToGrid w:val="0"/>
      <w:spacing w:before="240" w:after="240" w:line="240" w:lineRule="auto"/>
      <w:jc w:val="center"/>
    </w:pPr>
    <w:rPr>
      <w:rFonts w:asciiTheme="minorHAnsi" w:hAnsiTheme="minorHAnsi" w:eastAsiaTheme="minorEastAsia" w:cstheme="minorBidi"/>
      <w:b w:val="0"/>
      <w:bCs w:val="0"/>
      <w:szCs w:val="22"/>
    </w:rPr>
  </w:style>
  <w:style w:type="character" w:customStyle="1" w:styleId="279">
    <w:name w:val="Char Char4"/>
    <w:qFormat/>
    <w:uiPriority w:val="0"/>
    <w:rPr>
      <w:rFonts w:eastAsia="宋体"/>
      <w:b/>
      <w:sz w:val="24"/>
      <w:lang w:val="en-US" w:eastAsia="zh-CN" w:bidi="ar-SA"/>
    </w:rPr>
  </w:style>
  <w:style w:type="character" w:customStyle="1" w:styleId="280">
    <w:name w:val="c7 style3"/>
    <w:qFormat/>
    <w:uiPriority w:val="0"/>
  </w:style>
  <w:style w:type="character" w:customStyle="1" w:styleId="281">
    <w:name w:val="正文文本 3 Char1"/>
    <w:semiHidden/>
    <w:qFormat/>
    <w:uiPriority w:val="99"/>
    <w:rPr>
      <w:rFonts w:ascii="Times New Roman" w:hAnsi="Times New Roman" w:eastAsia="宋体" w:cs="Times New Roman"/>
      <w:sz w:val="16"/>
      <w:szCs w:val="16"/>
    </w:rPr>
  </w:style>
  <w:style w:type="character" w:customStyle="1" w:styleId="282">
    <w:name w:val="tw4winInternal"/>
    <w:qFormat/>
    <w:uiPriority w:val="0"/>
    <w:rPr>
      <w:rFonts w:ascii="Courier New" w:hAnsi="Courier New" w:cs="Courier New"/>
      <w:color w:val="FF0000"/>
      <w:lang w:val="en-US" w:eastAsia="zh-CN"/>
    </w:rPr>
  </w:style>
  <w:style w:type="character" w:customStyle="1" w:styleId="283">
    <w:name w:val="Char Char10"/>
    <w:semiHidden/>
    <w:qFormat/>
    <w:uiPriority w:val="0"/>
    <w:rPr>
      <w:rFonts w:ascii="宋体" w:hAnsi="宋体"/>
      <w:kern w:val="2"/>
      <w:sz w:val="21"/>
      <w:szCs w:val="24"/>
      <w:lang w:val="en-US" w:eastAsia="zh-CN"/>
    </w:rPr>
  </w:style>
  <w:style w:type="character" w:customStyle="1" w:styleId="284">
    <w:name w:val="shadow11"/>
    <w:qFormat/>
    <w:uiPriority w:val="0"/>
    <w:rPr>
      <w:color w:val="000000"/>
      <w:sz w:val="21"/>
    </w:rPr>
  </w:style>
  <w:style w:type="character" w:customStyle="1" w:styleId="285">
    <w:name w:val="正文非缩进 Char3"/>
    <w:qFormat/>
    <w:uiPriority w:val="0"/>
    <w:rPr>
      <w:rFonts w:ascii="宋体" w:eastAsia="宋体"/>
      <w:snapToGrid w:val="0"/>
      <w:color w:val="000000"/>
      <w:kern w:val="28"/>
      <w:sz w:val="28"/>
      <w:lang w:val="en-US" w:eastAsia="zh-CN" w:bidi="ar-SA"/>
    </w:rPr>
  </w:style>
  <w:style w:type="character" w:customStyle="1" w:styleId="286">
    <w:name w:val="Char Char"/>
    <w:qFormat/>
    <w:uiPriority w:val="0"/>
    <w:rPr>
      <w:rFonts w:ascii="宋体" w:hAnsi="Courier New" w:eastAsia="宋体"/>
      <w:kern w:val="2"/>
      <w:sz w:val="21"/>
      <w:lang w:val="en-US" w:eastAsia="zh-CN" w:bidi="ar-SA"/>
    </w:rPr>
  </w:style>
  <w:style w:type="character" w:customStyle="1" w:styleId="287">
    <w:name w:val="签名 Char1"/>
    <w:qFormat/>
    <w:uiPriority w:val="0"/>
    <w:rPr>
      <w:rFonts w:ascii="Times New Roman" w:hAnsi="Times New Roman" w:eastAsia="宋体" w:cs="Times New Roman"/>
      <w:szCs w:val="24"/>
    </w:rPr>
  </w:style>
  <w:style w:type="character" w:customStyle="1" w:styleId="288">
    <w:name w:val="日期 字符"/>
    <w:qFormat/>
    <w:uiPriority w:val="0"/>
    <w:rPr>
      <w:rFonts w:ascii="宋体"/>
      <w:kern w:val="2"/>
      <w:sz w:val="24"/>
      <w:szCs w:val="21"/>
      <w:lang w:val="zh-CN"/>
    </w:rPr>
  </w:style>
  <w:style w:type="character" w:customStyle="1" w:styleId="289">
    <w:name w:val="标题 9 Char1"/>
    <w:link w:val="10"/>
    <w:qFormat/>
    <w:uiPriority w:val="0"/>
    <w:rPr>
      <w:rFonts w:ascii="Arial" w:hAnsi="Arial" w:eastAsia="黑体" w:cs="Times New Roman"/>
      <w:szCs w:val="21"/>
    </w:rPr>
  </w:style>
  <w:style w:type="character" w:customStyle="1" w:styleId="290">
    <w:name w:val="Char Char18"/>
    <w:qFormat/>
    <w:uiPriority w:val="6"/>
    <w:rPr>
      <w:rFonts w:ascii="宋体" w:hAnsi="宋体"/>
      <w:sz w:val="28"/>
    </w:rPr>
  </w:style>
  <w:style w:type="character" w:customStyle="1" w:styleId="291">
    <w:name w:val="Char Char22"/>
    <w:qFormat/>
    <w:uiPriority w:val="6"/>
    <w:rPr>
      <w:rFonts w:ascii="宋体" w:hAnsi="宋体"/>
      <w:kern w:val="1"/>
      <w:sz w:val="24"/>
      <w:szCs w:val="24"/>
    </w:rPr>
  </w:style>
  <w:style w:type="character" w:customStyle="1" w:styleId="292">
    <w:name w:val="pt141"/>
    <w:qFormat/>
    <w:uiPriority w:val="0"/>
    <w:rPr>
      <w:color w:val="330066"/>
      <w:sz w:val="22"/>
      <w:szCs w:val="22"/>
    </w:rPr>
  </w:style>
  <w:style w:type="character" w:customStyle="1" w:styleId="293">
    <w:name w:val="正文文本缩进 2 Char1"/>
    <w:semiHidden/>
    <w:qFormat/>
    <w:uiPriority w:val="99"/>
    <w:rPr>
      <w:rFonts w:ascii="Times New Roman" w:hAnsi="Times New Roman" w:eastAsia="宋体" w:cs="Times New Roman"/>
      <w:szCs w:val="24"/>
    </w:rPr>
  </w:style>
  <w:style w:type="character" w:customStyle="1" w:styleId="294">
    <w:name w:val="批注框文本 字符1"/>
    <w:qFormat/>
    <w:uiPriority w:val="0"/>
    <w:rPr>
      <w:kern w:val="2"/>
      <w:sz w:val="18"/>
      <w:szCs w:val="18"/>
    </w:rPr>
  </w:style>
  <w:style w:type="character" w:customStyle="1" w:styleId="295">
    <w:name w:val="Char Char611"/>
    <w:qFormat/>
    <w:uiPriority w:val="0"/>
    <w:rPr>
      <w:rFonts w:eastAsia="宋体"/>
      <w:kern w:val="2"/>
      <w:sz w:val="21"/>
      <w:szCs w:val="24"/>
      <w:lang w:val="en-US" w:eastAsia="zh-CN" w:bidi="ar-SA"/>
    </w:rPr>
  </w:style>
  <w:style w:type="character" w:customStyle="1" w:styleId="296">
    <w:name w:val="highlight1"/>
    <w:qFormat/>
    <w:uiPriority w:val="0"/>
    <w:rPr>
      <w:rFonts w:ascii="仿宋_GB2312" w:eastAsia="微软雅黑"/>
      <w:b/>
      <w:kern w:val="2"/>
      <w:sz w:val="23"/>
      <w:szCs w:val="23"/>
      <w:lang w:val="en-US" w:eastAsia="zh-CN" w:bidi="ar-SA"/>
    </w:rPr>
  </w:style>
  <w:style w:type="character" w:customStyle="1" w:styleId="297">
    <w:name w:val="my正文 Char"/>
    <w:link w:val="298"/>
    <w:qFormat/>
    <w:locked/>
    <w:uiPriority w:val="0"/>
    <w:rPr>
      <w:rFonts w:ascii="Tahoma" w:hAnsi="Tahoma"/>
      <w:sz w:val="24"/>
      <w:szCs w:val="24"/>
    </w:rPr>
  </w:style>
  <w:style w:type="paragraph" w:customStyle="1" w:styleId="298">
    <w:name w:val="my正文"/>
    <w:basedOn w:val="1"/>
    <w:link w:val="297"/>
    <w:qFormat/>
    <w:uiPriority w:val="0"/>
    <w:pPr>
      <w:adjustRightInd/>
      <w:spacing w:line="360" w:lineRule="auto"/>
      <w:ind w:firstLine="480" w:firstLineChars="200"/>
    </w:pPr>
    <w:rPr>
      <w:rFonts w:ascii="Tahoma" w:hAnsi="Tahoma" w:eastAsiaTheme="minorEastAsia" w:cstheme="minorBidi"/>
      <w:sz w:val="24"/>
    </w:rPr>
  </w:style>
  <w:style w:type="character" w:customStyle="1" w:styleId="299">
    <w:name w:val="正文缩进 Char2"/>
    <w:link w:val="14"/>
    <w:qFormat/>
    <w:uiPriority w:val="0"/>
    <w:rPr>
      <w:rFonts w:ascii="宋体" w:eastAsia="宋体"/>
      <w:snapToGrid w:val="0"/>
      <w:color w:val="000000"/>
      <w:kern w:val="28"/>
      <w:sz w:val="28"/>
    </w:rPr>
  </w:style>
  <w:style w:type="character" w:customStyle="1" w:styleId="300">
    <w:name w:val="Used by Word for text of Help footnotes Char Char1"/>
    <w:qFormat/>
    <w:uiPriority w:val="0"/>
    <w:rPr>
      <w:color w:val="0000FF"/>
      <w:sz w:val="21"/>
    </w:rPr>
  </w:style>
  <w:style w:type="character" w:customStyle="1" w:styleId="301">
    <w:name w:val="FA正文 Char Char"/>
    <w:qFormat/>
    <w:uiPriority w:val="0"/>
    <w:rPr>
      <w:rFonts w:hAnsi="宋体"/>
      <w:kern w:val="2"/>
      <w:sz w:val="24"/>
      <w:lang w:bidi="ar-SA"/>
    </w:rPr>
  </w:style>
  <w:style w:type="character" w:customStyle="1" w:styleId="302">
    <w:name w:val="纯文本 字符"/>
    <w:qFormat/>
    <w:uiPriority w:val="0"/>
    <w:rPr>
      <w:rFonts w:ascii="宋体" w:hAnsi="Courier New" w:eastAsia="宋体" w:cs="Arial"/>
      <w:snapToGrid w:val="0"/>
      <w:kern w:val="2"/>
      <w:sz w:val="21"/>
      <w:szCs w:val="21"/>
      <w:lang w:val="en-US" w:eastAsia="zh-CN" w:bidi="ar-SA"/>
    </w:rPr>
  </w:style>
  <w:style w:type="character" w:customStyle="1" w:styleId="303">
    <w:name w:val="3级 Char"/>
    <w:link w:val="304"/>
    <w:qFormat/>
    <w:uiPriority w:val="0"/>
    <w:rPr>
      <w:rFonts w:ascii="宋体" w:hAnsi="宋体"/>
      <w:b/>
      <w:bCs/>
      <w:sz w:val="28"/>
    </w:rPr>
  </w:style>
  <w:style w:type="paragraph" w:customStyle="1" w:styleId="304">
    <w:name w:val="3级"/>
    <w:basedOn w:val="305"/>
    <w:link w:val="303"/>
    <w:qFormat/>
    <w:uiPriority w:val="0"/>
    <w:pPr>
      <w:ind w:left="0" w:right="466" w:firstLine="288"/>
    </w:pPr>
    <w:rPr>
      <w:rFonts w:hAnsi="宋体" w:eastAsiaTheme="minorEastAsia" w:cstheme="minorBidi"/>
      <w:snapToGrid/>
      <w:kern w:val="2"/>
      <w:szCs w:val="22"/>
    </w:rPr>
  </w:style>
  <w:style w:type="paragraph" w:customStyle="1" w:styleId="305">
    <w:name w:val="样式 标题 3h33rd level3BOD 0H3l3CTHeading 3 - oldLevel 3 He..."/>
    <w:basedOn w:val="4"/>
    <w:qFormat/>
    <w:uiPriority w:val="99"/>
    <w:pPr>
      <w:keepLines w:val="0"/>
      <w:widowControl/>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306">
    <w:name w:val="myp11"/>
    <w:qFormat/>
    <w:uiPriority w:val="0"/>
    <w:rPr>
      <w:rFonts w:ascii="仿宋_GB2312" w:eastAsia="微软雅黑"/>
      <w:b/>
      <w:kern w:val="2"/>
      <w:sz w:val="32"/>
      <w:szCs w:val="32"/>
      <w:lang w:val="en-US" w:eastAsia="zh-CN" w:bidi="ar-SA"/>
    </w:rPr>
  </w:style>
  <w:style w:type="character" w:customStyle="1" w:styleId="307">
    <w:name w:val="文档结构图 Char2"/>
    <w:link w:val="17"/>
    <w:qFormat/>
    <w:uiPriority w:val="0"/>
    <w:rPr>
      <w:szCs w:val="24"/>
      <w:shd w:val="clear" w:color="auto" w:fill="000080"/>
    </w:rPr>
  </w:style>
  <w:style w:type="character" w:customStyle="1" w:styleId="308">
    <w:name w:val="H6 Char"/>
    <w:qFormat/>
    <w:uiPriority w:val="0"/>
    <w:rPr>
      <w:rFonts w:ascii="Arial" w:hAnsi="Arial" w:eastAsia="黑体"/>
      <w:b/>
      <w:bCs/>
      <w:kern w:val="2"/>
      <w:sz w:val="24"/>
      <w:szCs w:val="24"/>
    </w:rPr>
  </w:style>
  <w:style w:type="character" w:customStyle="1" w:styleId="309">
    <w:name w:val="Char Char91"/>
    <w:qFormat/>
    <w:uiPriority w:val="0"/>
    <w:rPr>
      <w:rFonts w:eastAsia="宋体"/>
      <w:kern w:val="2"/>
      <w:sz w:val="18"/>
      <w:szCs w:val="18"/>
      <w:lang w:val="en-US" w:eastAsia="zh-CN" w:bidi="ar-SA"/>
    </w:rPr>
  </w:style>
  <w:style w:type="character" w:customStyle="1" w:styleId="310">
    <w:name w:val="副标题 Char1"/>
    <w:qFormat/>
    <w:uiPriority w:val="0"/>
    <w:rPr>
      <w:rFonts w:ascii="Cambria" w:hAnsi="Cambria" w:eastAsia="宋体" w:cs="Times New Roman"/>
      <w:b/>
      <w:bCs/>
      <w:snapToGrid w:val="0"/>
      <w:kern w:val="28"/>
      <w:sz w:val="32"/>
      <w:szCs w:val="32"/>
    </w:rPr>
  </w:style>
  <w:style w:type="character" w:customStyle="1" w:styleId="311">
    <w:name w:val="font61"/>
    <w:qFormat/>
    <w:uiPriority w:val="0"/>
    <w:rPr>
      <w:rFonts w:hint="eastAsia" w:ascii="仿宋" w:hAnsi="仿宋" w:eastAsia="仿宋" w:cs="仿宋"/>
      <w:color w:val="000000"/>
      <w:sz w:val="20"/>
      <w:szCs w:val="20"/>
      <w:u w:val="none"/>
    </w:rPr>
  </w:style>
  <w:style w:type="character" w:customStyle="1" w:styleId="31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313">
    <w:name w:val="Char Char211"/>
    <w:qFormat/>
    <w:uiPriority w:val="0"/>
    <w:rPr>
      <w:rFonts w:eastAsia="宋体"/>
      <w:b/>
      <w:bCs/>
      <w:kern w:val="2"/>
      <w:sz w:val="21"/>
      <w:szCs w:val="24"/>
      <w:lang w:val="en-US" w:eastAsia="zh-CN" w:bidi="ar-SA"/>
    </w:rPr>
  </w:style>
  <w:style w:type="character" w:customStyle="1" w:styleId="314">
    <w:name w:val="maywed421"/>
    <w:qFormat/>
    <w:uiPriority w:val="0"/>
    <w:rPr>
      <w:color w:val="366FB6"/>
      <w:u w:val="none"/>
    </w:rPr>
  </w:style>
  <w:style w:type="character" w:customStyle="1" w:styleId="315">
    <w:name w:val="Char Char102"/>
    <w:semiHidden/>
    <w:qFormat/>
    <w:uiPriority w:val="0"/>
    <w:rPr>
      <w:rFonts w:ascii="宋体" w:hAnsi="宋体"/>
      <w:kern w:val="2"/>
      <w:sz w:val="21"/>
      <w:szCs w:val="24"/>
      <w:lang w:val="en-US" w:eastAsia="zh-CN"/>
    </w:rPr>
  </w:style>
  <w:style w:type="character" w:customStyle="1" w:styleId="316">
    <w:name w:val="页眉 Char1"/>
    <w:qFormat/>
    <w:uiPriority w:val="0"/>
    <w:rPr>
      <w:rFonts w:eastAsia="宋体"/>
      <w:kern w:val="2"/>
      <w:sz w:val="18"/>
      <w:szCs w:val="18"/>
      <w:lang w:val="en-US" w:eastAsia="zh-CN" w:bidi="ar-SA"/>
    </w:rPr>
  </w:style>
  <w:style w:type="character" w:customStyle="1" w:styleId="317">
    <w:name w:val="md"/>
    <w:qFormat/>
    <w:uiPriority w:val="0"/>
    <w:rPr>
      <w:rFonts w:ascii="Arial" w:hAnsi="Arial" w:eastAsia="黑体" w:cs="Arial"/>
      <w:snapToGrid w:val="0"/>
      <w:kern w:val="0"/>
      <w:szCs w:val="21"/>
    </w:rPr>
  </w:style>
  <w:style w:type="character" w:customStyle="1" w:styleId="318">
    <w:name w:val="big1"/>
    <w:qFormat/>
    <w:uiPriority w:val="0"/>
    <w:rPr>
      <w:rFonts w:hint="eastAsia" w:ascii="宋体" w:hAnsi="宋体" w:eastAsia="宋体"/>
      <w:color w:val="333333"/>
      <w:sz w:val="22"/>
      <w:szCs w:val="22"/>
    </w:rPr>
  </w:style>
  <w:style w:type="character" w:customStyle="1" w:styleId="319">
    <w:name w:val="Char Char311"/>
    <w:qFormat/>
    <w:uiPriority w:val="0"/>
    <w:rPr>
      <w:rFonts w:eastAsia="宋体"/>
      <w:kern w:val="2"/>
      <w:sz w:val="21"/>
      <w:szCs w:val="24"/>
      <w:lang w:val="en-US" w:eastAsia="zh-CN" w:bidi="ar-SA"/>
    </w:rPr>
  </w:style>
  <w:style w:type="character" w:customStyle="1" w:styleId="320">
    <w:name w:val="Char Char81"/>
    <w:qFormat/>
    <w:uiPriority w:val="6"/>
    <w:rPr>
      <w:rFonts w:eastAsia="宋体"/>
      <w:b/>
      <w:sz w:val="24"/>
      <w:lang w:val="en-US" w:eastAsia="zh-CN"/>
    </w:rPr>
  </w:style>
  <w:style w:type="character" w:customStyle="1" w:styleId="321">
    <w:name w:val="样式3 Char"/>
    <w:qFormat/>
    <w:uiPriority w:val="0"/>
    <w:rPr>
      <w:rFonts w:ascii="仿宋_GB2312" w:hAnsi="仿宋" w:eastAsia="仿宋_GB2312" w:cs="仿宋_GB2312"/>
      <w:b/>
      <w:bCs/>
      <w:sz w:val="32"/>
      <w:szCs w:val="30"/>
      <w:lang w:val="zh-CN"/>
    </w:rPr>
  </w:style>
  <w:style w:type="character" w:customStyle="1" w:styleId="322">
    <w:name w:val="HTML 地址 Char2"/>
    <w:link w:val="30"/>
    <w:qFormat/>
    <w:uiPriority w:val="0"/>
    <w:rPr>
      <w:rFonts w:ascii="宋体" w:hAnsi="宋体"/>
      <w:i/>
      <w:iCs/>
      <w:sz w:val="24"/>
      <w:szCs w:val="24"/>
    </w:rPr>
  </w:style>
  <w:style w:type="character" w:customStyle="1" w:styleId="323">
    <w:name w:val="正文首行缩进 2 Char1"/>
    <w:qFormat/>
    <w:uiPriority w:val="0"/>
    <w:rPr>
      <w:rFonts w:ascii="Times New Roman" w:hAnsi="Times New Roman" w:eastAsia="宋体" w:cs="Times New Roman"/>
      <w:kern w:val="2"/>
      <w:sz w:val="24"/>
      <w:szCs w:val="24"/>
    </w:rPr>
  </w:style>
  <w:style w:type="character" w:customStyle="1" w:styleId="324">
    <w:name w:val="副标题 Char2"/>
    <w:qFormat/>
    <w:uiPriority w:val="0"/>
    <w:rPr>
      <w:rFonts w:ascii="Cambria" w:hAnsi="Cambria" w:eastAsia="宋体" w:cs="Times New Roman"/>
      <w:b/>
      <w:bCs/>
      <w:snapToGrid w:val="0"/>
      <w:kern w:val="28"/>
      <w:sz w:val="32"/>
      <w:szCs w:val="32"/>
    </w:rPr>
  </w:style>
  <w:style w:type="character" w:customStyle="1" w:styleId="325">
    <w:name w:val="标题4-dyf Char"/>
    <w:link w:val="326"/>
    <w:qFormat/>
    <w:uiPriority w:val="0"/>
    <w:rPr>
      <w:rFonts w:ascii="Cambria" w:hAnsi="Cambria"/>
      <w:b/>
      <w:bCs/>
      <w:color w:val="000000"/>
      <w:szCs w:val="21"/>
    </w:rPr>
  </w:style>
  <w:style w:type="paragraph" w:customStyle="1" w:styleId="326">
    <w:name w:val="标题4-dyf"/>
    <w:basedOn w:val="5"/>
    <w:link w:val="325"/>
    <w:qFormat/>
    <w:uiPriority w:val="0"/>
    <w:pPr>
      <w:tabs>
        <w:tab w:val="left" w:pos="851"/>
        <w:tab w:val="clear" w:pos="864"/>
      </w:tabs>
      <w:adjustRightInd/>
      <w:spacing w:line="376" w:lineRule="atLeast"/>
      <w:ind w:left="851" w:hanging="851"/>
    </w:pPr>
    <w:rPr>
      <w:rFonts w:ascii="Cambria" w:hAnsi="Cambria" w:eastAsiaTheme="minorEastAsia" w:cstheme="minorBidi"/>
      <w:color w:val="000000"/>
      <w:sz w:val="21"/>
      <w:szCs w:val="21"/>
      <w:lang w:val="en-US"/>
    </w:rPr>
  </w:style>
  <w:style w:type="character" w:customStyle="1" w:styleId="327">
    <w:name w:val="dectext1"/>
    <w:qFormat/>
    <w:uiPriority w:val="0"/>
    <w:rPr>
      <w:rFonts w:ascii="宋体" w:hAnsi="宋体" w:eastAsia="宋体"/>
      <w:color w:val="333333"/>
      <w:sz w:val="21"/>
      <w:szCs w:val="21"/>
      <w:u w:val="none"/>
    </w:rPr>
  </w:style>
  <w:style w:type="character" w:customStyle="1" w:styleId="328">
    <w:name w:val="冯 Char"/>
    <w:link w:val="329"/>
    <w:qFormat/>
    <w:uiPriority w:val="0"/>
    <w:rPr>
      <w:rFonts w:ascii="宋体" w:hAnsi="宋体"/>
      <w:color w:val="000000"/>
      <w:sz w:val="24"/>
      <w:szCs w:val="24"/>
    </w:rPr>
  </w:style>
  <w:style w:type="paragraph" w:customStyle="1" w:styleId="329">
    <w:name w:val="冯"/>
    <w:basedOn w:val="1"/>
    <w:link w:val="328"/>
    <w:qFormat/>
    <w:uiPriority w:val="0"/>
    <w:pPr>
      <w:widowControl/>
      <w:adjustRightInd/>
      <w:spacing w:line="360" w:lineRule="auto"/>
      <w:ind w:firstLine="480" w:firstLineChars="200"/>
    </w:pPr>
    <w:rPr>
      <w:rFonts w:ascii="宋体" w:hAnsi="宋体" w:eastAsiaTheme="minorEastAsia" w:cstheme="minorBidi"/>
      <w:color w:val="000000"/>
      <w:sz w:val="24"/>
    </w:rPr>
  </w:style>
  <w:style w:type="character" w:customStyle="1" w:styleId="330">
    <w:name w:val="Header Char"/>
    <w:qFormat/>
    <w:locked/>
    <w:uiPriority w:val="0"/>
    <w:rPr>
      <w:rFonts w:eastAsia="宋体"/>
      <w:kern w:val="2"/>
      <w:sz w:val="18"/>
      <w:szCs w:val="18"/>
      <w:lang w:val="en-US" w:eastAsia="zh-CN" w:bidi="ar-SA"/>
    </w:rPr>
  </w:style>
  <w:style w:type="character" w:customStyle="1" w:styleId="331">
    <w:name w:val="Char Char12"/>
    <w:qFormat/>
    <w:uiPriority w:val="0"/>
    <w:rPr>
      <w:rFonts w:ascii="仿宋_GB2312" w:eastAsia="仿宋_GB2312"/>
      <w:b/>
      <w:bCs/>
      <w:kern w:val="2"/>
      <w:sz w:val="24"/>
      <w:szCs w:val="24"/>
      <w:lang w:val="zh-CN" w:eastAsia="zh-CN" w:bidi="ar-SA"/>
    </w:rPr>
  </w:style>
  <w:style w:type="character" w:customStyle="1" w:styleId="332">
    <w:name w:val="题注 Char"/>
    <w:link w:val="15"/>
    <w:qFormat/>
    <w:uiPriority w:val="0"/>
    <w:rPr>
      <w:b/>
      <w:sz w:val="28"/>
    </w:rPr>
  </w:style>
  <w:style w:type="character" w:customStyle="1" w:styleId="333">
    <w:name w:val="普通文字 Char3"/>
    <w:qFormat/>
    <w:uiPriority w:val="0"/>
    <w:rPr>
      <w:rFonts w:ascii="宋体" w:hAnsi="Courier New" w:eastAsia="宋体"/>
      <w:kern w:val="2"/>
      <w:sz w:val="21"/>
      <w:lang w:val="en-US" w:eastAsia="zh-CN" w:bidi="ar-SA"/>
    </w:rPr>
  </w:style>
  <w:style w:type="character" w:customStyle="1" w:styleId="334">
    <w:name w:val="公文正文 Char"/>
    <w:qFormat/>
    <w:uiPriority w:val="0"/>
    <w:rPr>
      <w:rFonts w:ascii="仿宋_GB2312" w:eastAsia="仿宋_GB2312"/>
      <w:kern w:val="2"/>
      <w:sz w:val="24"/>
      <w:szCs w:val="24"/>
      <w:lang w:val="en-US" w:eastAsia="zh-CN" w:bidi="ar-SA"/>
    </w:rPr>
  </w:style>
  <w:style w:type="character" w:customStyle="1" w:styleId="335">
    <w:name w:val="正文首行缩进 Char Char Char Char Char"/>
    <w:qFormat/>
    <w:uiPriority w:val="0"/>
    <w:rPr>
      <w:rFonts w:ascii="宋体"/>
      <w:kern w:val="2"/>
      <w:sz w:val="24"/>
      <w:lang w:val="zh-CN"/>
    </w:rPr>
  </w:style>
  <w:style w:type="character" w:customStyle="1" w:styleId="336">
    <w:name w:val="PI Char"/>
    <w:qFormat/>
    <w:uiPriority w:val="0"/>
    <w:rPr>
      <w:rFonts w:ascii="宋体" w:hAnsi="宋体" w:eastAsia="宋体"/>
      <w:kern w:val="2"/>
      <w:sz w:val="24"/>
      <w:szCs w:val="24"/>
      <w:lang w:val="en-US" w:eastAsia="zh-CN" w:bidi="ar-SA"/>
    </w:rPr>
  </w:style>
  <w:style w:type="character" w:customStyle="1" w:styleId="337">
    <w:name w:val="Default Char"/>
    <w:link w:val="84"/>
    <w:qFormat/>
    <w:uiPriority w:val="0"/>
    <w:rPr>
      <w:rFonts w:ascii="Cambria" w:hAnsi="Times New Roman" w:eastAsia="宋体" w:cs="Cambria"/>
      <w:color w:val="000000"/>
      <w:kern w:val="0"/>
      <w:sz w:val="24"/>
      <w:szCs w:val="24"/>
    </w:rPr>
  </w:style>
  <w:style w:type="character" w:customStyle="1" w:styleId="338">
    <w:name w:val="style91"/>
    <w:qFormat/>
    <w:uiPriority w:val="0"/>
    <w:rPr>
      <w:color w:val="333333"/>
    </w:rPr>
  </w:style>
  <w:style w:type="character" w:customStyle="1" w:styleId="339">
    <w:name w:val="列出段落 Char2"/>
    <w:qFormat/>
    <w:uiPriority w:val="34"/>
    <w:rPr>
      <w:rFonts w:ascii="Calibri" w:hAnsi="Calibri"/>
      <w:kern w:val="2"/>
      <w:sz w:val="28"/>
    </w:rPr>
  </w:style>
  <w:style w:type="character" w:customStyle="1" w:styleId="340">
    <w:name w:val="mdeck"/>
    <w:qFormat/>
    <w:uiPriority w:val="0"/>
    <w:rPr>
      <w:rFonts w:ascii="仿宋_GB2312" w:eastAsia="微软雅黑"/>
      <w:b/>
      <w:kern w:val="2"/>
      <w:sz w:val="32"/>
      <w:szCs w:val="32"/>
      <w:lang w:val="en-US" w:eastAsia="zh-CN" w:bidi="ar-SA"/>
    </w:rPr>
  </w:style>
  <w:style w:type="character" w:customStyle="1" w:styleId="341">
    <w:name w:val="unnamed11"/>
    <w:qFormat/>
    <w:uiPriority w:val="0"/>
    <w:rPr>
      <w:sz w:val="20"/>
      <w:szCs w:val="20"/>
    </w:rPr>
  </w:style>
  <w:style w:type="character" w:customStyle="1" w:styleId="342">
    <w:name w:val="正文文本 Char2"/>
    <w:semiHidden/>
    <w:qFormat/>
    <w:uiPriority w:val="99"/>
    <w:rPr>
      <w:rFonts w:ascii="Times New Roman" w:hAnsi="Times New Roman" w:eastAsia="宋体" w:cs="Times New Roman"/>
      <w:snapToGrid w:val="0"/>
      <w:kern w:val="0"/>
      <w:szCs w:val="24"/>
    </w:rPr>
  </w:style>
  <w:style w:type="character" w:customStyle="1" w:styleId="343">
    <w:name w:val="标书正文格式 Char"/>
    <w:qFormat/>
    <w:uiPriority w:val="0"/>
    <w:rPr>
      <w:rFonts w:eastAsia="楷体_GB2312"/>
      <w:kern w:val="2"/>
      <w:sz w:val="24"/>
      <w:szCs w:val="24"/>
      <w:lang w:bidi="ar-SA"/>
    </w:rPr>
  </w:style>
  <w:style w:type="character" w:customStyle="1" w:styleId="344">
    <w:name w:val="Char Char11"/>
    <w:qFormat/>
    <w:locked/>
    <w:uiPriority w:val="0"/>
    <w:rPr>
      <w:rFonts w:ascii="宋体" w:hAnsi="宋体" w:eastAsia="宋体"/>
      <w:b/>
      <w:kern w:val="2"/>
      <w:sz w:val="24"/>
      <w:szCs w:val="24"/>
      <w:lang w:val="en-US" w:eastAsia="zh-CN" w:bidi="ar-SA"/>
    </w:rPr>
  </w:style>
  <w:style w:type="character" w:customStyle="1" w:styleId="345">
    <w:name w:val="ca-131"/>
    <w:qFormat/>
    <w:uiPriority w:val="0"/>
    <w:rPr>
      <w:rFonts w:hint="eastAsia" w:ascii="仿宋_GB2312" w:eastAsia="仿宋_GB2312"/>
      <w:b/>
      <w:bCs/>
      <w:color w:val="000000"/>
      <w:spacing w:val="-20"/>
      <w:sz w:val="24"/>
      <w:szCs w:val="24"/>
    </w:rPr>
  </w:style>
  <w:style w:type="character" w:customStyle="1" w:styleId="346">
    <w:name w:val="tw4winMark"/>
    <w:qFormat/>
    <w:uiPriority w:val="0"/>
    <w:rPr>
      <w:rFonts w:ascii="Courier New" w:hAnsi="Courier New" w:cs="Courier New"/>
      <w:vanish/>
      <w:color w:val="800080"/>
      <w:sz w:val="24"/>
      <w:szCs w:val="24"/>
      <w:vertAlign w:val="subscript"/>
    </w:rPr>
  </w:style>
  <w:style w:type="character" w:customStyle="1" w:styleId="347">
    <w:name w:val="正文样式 Char"/>
    <w:link w:val="348"/>
    <w:qFormat/>
    <w:uiPriority w:val="0"/>
    <w:rPr>
      <w:rFonts w:ascii="Calibri" w:hAnsi="Calibri"/>
      <w:sz w:val="24"/>
      <w:szCs w:val="24"/>
    </w:rPr>
  </w:style>
  <w:style w:type="paragraph" w:customStyle="1" w:styleId="348">
    <w:name w:val="正文样式"/>
    <w:basedOn w:val="1"/>
    <w:link w:val="347"/>
    <w:qFormat/>
    <w:uiPriority w:val="0"/>
    <w:pPr>
      <w:adjustRightInd/>
      <w:spacing w:line="360" w:lineRule="auto"/>
      <w:ind w:firstLine="480" w:firstLineChars="200"/>
    </w:pPr>
    <w:rPr>
      <w:rFonts w:ascii="Calibri" w:hAnsi="Calibri" w:eastAsiaTheme="minorEastAsia" w:cstheme="minorBidi"/>
      <w:sz w:val="24"/>
    </w:rPr>
  </w:style>
  <w:style w:type="character" w:customStyle="1" w:styleId="349">
    <w:name w:val="表正文 Char3"/>
    <w:qFormat/>
    <w:uiPriority w:val="0"/>
    <w:rPr>
      <w:rFonts w:eastAsia="宋体"/>
    </w:rPr>
  </w:style>
  <w:style w:type="character" w:customStyle="1" w:styleId="350">
    <w:name w:val="H5 Char"/>
    <w:qFormat/>
    <w:uiPriority w:val="0"/>
    <w:rPr>
      <w:b/>
      <w:bCs/>
      <w:kern w:val="2"/>
      <w:sz w:val="28"/>
      <w:szCs w:val="28"/>
    </w:rPr>
  </w:style>
  <w:style w:type="character" w:customStyle="1" w:styleId="351">
    <w:name w:val="Char Char3"/>
    <w:qFormat/>
    <w:uiPriority w:val="0"/>
    <w:rPr>
      <w:rFonts w:eastAsia="宋体"/>
      <w:kern w:val="2"/>
      <w:sz w:val="21"/>
      <w:szCs w:val="24"/>
      <w:lang w:val="en-US" w:eastAsia="zh-CN" w:bidi="ar-SA"/>
    </w:rPr>
  </w:style>
  <w:style w:type="character" w:customStyle="1" w:styleId="352">
    <w:name w:val="正文 编号 Char"/>
    <w:qFormat/>
    <w:uiPriority w:val="0"/>
    <w:rPr>
      <w:rFonts w:ascii="仿宋_GB2312" w:hAnsi="仿宋_GB2312" w:eastAsia="仿宋_GB2312"/>
      <w:kern w:val="2"/>
      <w:sz w:val="24"/>
      <w:lang w:bidi="ar-SA"/>
    </w:rPr>
  </w:style>
  <w:style w:type="character" w:customStyle="1" w:styleId="353">
    <w:name w:val="question-title2"/>
    <w:qFormat/>
    <w:uiPriority w:val="6"/>
    <w:rPr>
      <w:rFonts w:ascii="Arial" w:hAnsi="Arial" w:eastAsia="黑体" w:cs="Arial"/>
      <w:snapToGrid w:val="0"/>
      <w:kern w:val="0"/>
      <w:szCs w:val="21"/>
    </w:rPr>
  </w:style>
  <w:style w:type="character" w:customStyle="1" w:styleId="354">
    <w:name w:val="gf正文1 Char Char"/>
    <w:link w:val="355"/>
    <w:qFormat/>
    <w:uiPriority w:val="0"/>
    <w:rPr>
      <w:rFonts w:ascii="宋体" w:hAnsi="宋体" w:cs="宋体"/>
      <w:sz w:val="24"/>
      <w:szCs w:val="24"/>
    </w:rPr>
  </w:style>
  <w:style w:type="paragraph" w:customStyle="1" w:styleId="355">
    <w:name w:val="gf正文1"/>
    <w:basedOn w:val="1"/>
    <w:link w:val="354"/>
    <w:qFormat/>
    <w:uiPriority w:val="0"/>
    <w:pPr>
      <w:tabs>
        <w:tab w:val="left" w:pos="3240"/>
        <w:tab w:val="left" w:pos="3960"/>
      </w:tabs>
      <w:snapToGrid w:val="0"/>
      <w:spacing w:line="360" w:lineRule="auto"/>
      <w:ind w:firstLine="480" w:firstLineChars="200"/>
    </w:pPr>
    <w:rPr>
      <w:rFonts w:ascii="宋体" w:hAnsi="宋体" w:cs="宋体" w:eastAsiaTheme="minorEastAsia"/>
      <w:sz w:val="24"/>
    </w:rPr>
  </w:style>
  <w:style w:type="character" w:customStyle="1" w:styleId="356">
    <w:name w:val="Char Char15"/>
    <w:qFormat/>
    <w:uiPriority w:val="6"/>
    <w:rPr>
      <w:rFonts w:ascii="宋体" w:hAnsi="宋体"/>
      <w:kern w:val="1"/>
      <w:sz w:val="21"/>
    </w:rPr>
  </w:style>
  <w:style w:type="character" w:customStyle="1" w:styleId="357">
    <w:name w:val="正文缩进 Char3"/>
    <w:qFormat/>
    <w:uiPriority w:val="0"/>
    <w:rPr>
      <w:rFonts w:ascii="宋体" w:eastAsia="宋体"/>
      <w:snapToGrid w:val="0"/>
      <w:color w:val="000000"/>
      <w:kern w:val="28"/>
      <w:sz w:val="28"/>
      <w:lang w:val="en-US" w:eastAsia="zh-CN" w:bidi="ar-SA"/>
    </w:rPr>
  </w:style>
  <w:style w:type="character" w:customStyle="1" w:styleId="358">
    <w:name w:val="列出段落 Char1"/>
    <w:link w:val="359"/>
    <w:qFormat/>
    <w:uiPriority w:val="0"/>
    <w:rPr>
      <w:rFonts w:ascii="Calibri" w:hAnsi="Calibri"/>
      <w:sz w:val="24"/>
      <w:lang w:eastAsia="en-US"/>
    </w:rPr>
  </w:style>
  <w:style w:type="paragraph" w:customStyle="1" w:styleId="359">
    <w:name w:val="列表1"/>
    <w:basedOn w:val="1"/>
    <w:next w:val="360"/>
    <w:link w:val="358"/>
    <w:qFormat/>
    <w:uiPriority w:val="0"/>
    <w:pPr>
      <w:widowControl/>
      <w:adjustRightInd/>
      <w:spacing w:after="200" w:line="360" w:lineRule="auto"/>
      <w:ind w:left="720" w:firstLine="200" w:firstLineChars="200"/>
      <w:jc w:val="left"/>
    </w:pPr>
    <w:rPr>
      <w:rFonts w:ascii="Calibri" w:hAnsi="Calibri" w:eastAsiaTheme="minorEastAsia" w:cstheme="minorBidi"/>
      <w:sz w:val="24"/>
      <w:szCs w:val="22"/>
      <w:lang w:eastAsia="en-US"/>
    </w:rPr>
  </w:style>
  <w:style w:type="paragraph" w:customStyle="1" w:styleId="360">
    <w:name w:val="列出段落2"/>
    <w:basedOn w:val="1"/>
    <w:qFormat/>
    <w:uiPriority w:val="34"/>
    <w:pPr>
      <w:spacing w:line="360" w:lineRule="auto"/>
      <w:ind w:firstLine="200" w:firstLineChars="200"/>
    </w:pPr>
    <w:rPr>
      <w:rFonts w:eastAsia="楷体_GB2312" w:cs="Lucida Sans"/>
      <w:sz w:val="24"/>
    </w:rPr>
  </w:style>
  <w:style w:type="character" w:customStyle="1" w:styleId="361">
    <w:name w:val="Char Char8"/>
    <w:qFormat/>
    <w:uiPriority w:val="0"/>
    <w:rPr>
      <w:rFonts w:eastAsia="宋体"/>
      <w:b/>
      <w:sz w:val="24"/>
      <w:lang w:val="en-US" w:eastAsia="zh-CN"/>
    </w:rPr>
  </w:style>
  <w:style w:type="character" w:customStyle="1" w:styleId="362">
    <w:name w:val="Normal Indent Char Char"/>
    <w:qFormat/>
    <w:uiPriority w:val="0"/>
    <w:rPr>
      <w:rFonts w:eastAsia="宋体"/>
      <w:kern w:val="2"/>
      <w:sz w:val="21"/>
      <w:lang w:val="en-US" w:eastAsia="zh-CN" w:bidi="ar-SA"/>
    </w:rPr>
  </w:style>
  <w:style w:type="character" w:customStyle="1" w:styleId="363">
    <w:name w:val="列表段落 字符"/>
    <w:qFormat/>
    <w:uiPriority w:val="99"/>
  </w:style>
  <w:style w:type="character" w:customStyle="1" w:styleId="364">
    <w:name w:val="Ò³Ã¼ Char Char1"/>
    <w:qFormat/>
    <w:uiPriority w:val="0"/>
    <w:rPr>
      <w:rFonts w:eastAsia="宋体"/>
      <w:kern w:val="2"/>
      <w:sz w:val="18"/>
      <w:szCs w:val="18"/>
      <w:lang w:val="en-US" w:eastAsia="zh-CN" w:bidi="ar-SA"/>
    </w:rPr>
  </w:style>
  <w:style w:type="character" w:customStyle="1" w:styleId="365">
    <w:name w:val="方案正文 Char"/>
    <w:qFormat/>
    <w:uiPriority w:val="0"/>
    <w:rPr>
      <w:rFonts w:ascii="仿宋_GB2312" w:eastAsia="仿宋_GB2312"/>
      <w:b/>
      <w:color w:val="000000"/>
      <w:kern w:val="2"/>
      <w:sz w:val="24"/>
      <w:lang w:val="en-US" w:eastAsia="zh-CN" w:bidi="ar-SA"/>
    </w:rPr>
  </w:style>
  <w:style w:type="character" w:customStyle="1" w:styleId="366">
    <w:name w:val="Char Char30"/>
    <w:qFormat/>
    <w:uiPriority w:val="6"/>
    <w:rPr>
      <w:rFonts w:ascii="Arial" w:hAnsi="Arial" w:eastAsia="黑体"/>
      <w:kern w:val="1"/>
      <w:sz w:val="21"/>
      <w:szCs w:val="21"/>
    </w:rPr>
  </w:style>
  <w:style w:type="character" w:customStyle="1" w:styleId="367">
    <w:name w:val="正文文本缩进 字符1"/>
    <w:qFormat/>
    <w:uiPriority w:val="0"/>
    <w:rPr>
      <w:rFonts w:ascii="宋体" w:hAnsi="宋体"/>
      <w:kern w:val="2"/>
      <w:sz w:val="24"/>
      <w:szCs w:val="24"/>
    </w:rPr>
  </w:style>
  <w:style w:type="character" w:customStyle="1" w:styleId="368">
    <w:name w:val="font01"/>
    <w:qFormat/>
    <w:uiPriority w:val="0"/>
    <w:rPr>
      <w:rFonts w:hint="eastAsia" w:ascii="微软雅黑" w:hAnsi="微软雅黑" w:eastAsia="微软雅黑" w:cs="微软雅黑"/>
      <w:color w:val="000000"/>
      <w:sz w:val="20"/>
      <w:szCs w:val="20"/>
      <w:u w:val="none"/>
    </w:rPr>
  </w:style>
  <w:style w:type="character" w:customStyle="1" w:styleId="369">
    <w:name w:val="Char Char20"/>
    <w:qFormat/>
    <w:uiPriority w:val="6"/>
    <w:rPr>
      <w:kern w:val="1"/>
      <w:sz w:val="24"/>
    </w:rPr>
  </w:style>
  <w:style w:type="character" w:customStyle="1" w:styleId="370">
    <w:name w:val="tw4winExternal"/>
    <w:qFormat/>
    <w:uiPriority w:val="0"/>
    <w:rPr>
      <w:rFonts w:ascii="Courier New" w:hAnsi="Courier New" w:cs="Courier New"/>
      <w:color w:val="808080"/>
      <w:lang w:val="en-US" w:eastAsia="zh-CN"/>
    </w:rPr>
  </w:style>
  <w:style w:type="character" w:customStyle="1" w:styleId="371">
    <w:name w:val="标题 4 Char1"/>
    <w:qFormat/>
    <w:uiPriority w:val="9"/>
    <w:rPr>
      <w:rFonts w:ascii="Cambria" w:hAnsi="Cambria" w:eastAsia="宋体" w:cs="Times New Roman"/>
      <w:b/>
      <w:bCs/>
      <w:kern w:val="2"/>
      <w:sz w:val="28"/>
      <w:szCs w:val="28"/>
    </w:rPr>
  </w:style>
  <w:style w:type="character" w:customStyle="1" w:styleId="372">
    <w:name w:val="批注文字 Char2"/>
    <w:qFormat/>
    <w:uiPriority w:val="99"/>
    <w:rPr>
      <w:rFonts w:ascii="Times New Roman" w:hAnsi="Times New Roman" w:eastAsia="宋体" w:cs="Times New Roman"/>
      <w:snapToGrid w:val="0"/>
      <w:kern w:val="0"/>
      <w:szCs w:val="24"/>
    </w:rPr>
  </w:style>
  <w:style w:type="character" w:customStyle="1" w:styleId="373">
    <w:name w:val="正文文本 2 Char"/>
    <w:qFormat/>
    <w:uiPriority w:val="0"/>
    <w:rPr>
      <w:rFonts w:eastAsia="宋体"/>
      <w:kern w:val="2"/>
      <w:sz w:val="21"/>
      <w:szCs w:val="24"/>
      <w:lang w:val="en-US" w:eastAsia="zh-CN" w:bidi="ar-SA"/>
    </w:rPr>
  </w:style>
  <w:style w:type="character" w:customStyle="1" w:styleId="374">
    <w:name w:val="Ò³Ã¼ Char Char"/>
    <w:qFormat/>
    <w:uiPriority w:val="0"/>
    <w:rPr>
      <w:rFonts w:eastAsia="宋体"/>
      <w:kern w:val="2"/>
      <w:sz w:val="18"/>
      <w:lang w:val="en-US" w:eastAsia="zh-CN" w:bidi="ar-SA"/>
    </w:rPr>
  </w:style>
  <w:style w:type="character" w:customStyle="1" w:styleId="375">
    <w:name w:val="message1"/>
    <w:qFormat/>
    <w:uiPriority w:val="0"/>
    <w:rPr>
      <w:rFonts w:hint="default" w:ascii="Tahoma" w:hAnsi="Tahoma" w:cs="Tahoma"/>
      <w:sz w:val="18"/>
      <w:szCs w:val="18"/>
    </w:rPr>
  </w:style>
  <w:style w:type="character" w:customStyle="1" w:styleId="376">
    <w:name w:val="Char Char23"/>
    <w:qFormat/>
    <w:uiPriority w:val="6"/>
    <w:rPr>
      <w:color w:val="0000FF"/>
      <w:sz w:val="21"/>
    </w:rPr>
  </w:style>
  <w:style w:type="character" w:customStyle="1" w:styleId="377">
    <w:name w:val="批注框文本 字符"/>
    <w:qFormat/>
    <w:uiPriority w:val="0"/>
    <w:rPr>
      <w:rFonts w:ascii="Arial" w:hAnsi="Arial" w:eastAsia="黑体" w:cs="Arial"/>
      <w:snapToGrid w:val="0"/>
      <w:kern w:val="0"/>
      <w:sz w:val="18"/>
      <w:szCs w:val="18"/>
    </w:rPr>
  </w:style>
  <w:style w:type="character" w:customStyle="1" w:styleId="378">
    <w:name w:val="纯文本 Char2"/>
    <w:semiHidden/>
    <w:qFormat/>
    <w:uiPriority w:val="99"/>
    <w:rPr>
      <w:rFonts w:ascii="宋体" w:hAnsi="Courier New" w:eastAsia="宋体" w:cs="Courier New"/>
    </w:rPr>
  </w:style>
  <w:style w:type="character" w:customStyle="1" w:styleId="379">
    <w:name w:val="Char Char25"/>
    <w:qFormat/>
    <w:uiPriority w:val="6"/>
    <w:rPr>
      <w:rFonts w:ascii="宋体" w:hAnsi="宋体"/>
      <w:kern w:val="1"/>
      <w:sz w:val="24"/>
      <w:lang w:val="zh-CN"/>
    </w:rPr>
  </w:style>
  <w:style w:type="character" w:customStyle="1" w:styleId="380">
    <w:name w:val="Char Char411"/>
    <w:qFormat/>
    <w:uiPriority w:val="0"/>
    <w:rPr>
      <w:rFonts w:eastAsia="宋体"/>
      <w:b/>
      <w:sz w:val="24"/>
      <w:lang w:val="en-US" w:eastAsia="zh-CN" w:bidi="ar-SA"/>
    </w:rPr>
  </w:style>
  <w:style w:type="character" w:customStyle="1" w:styleId="381">
    <w:name w:val="Heading 7 Char"/>
    <w:qFormat/>
    <w:locked/>
    <w:uiPriority w:val="0"/>
    <w:rPr>
      <w:rFonts w:ascii="宋体" w:hAnsi="宋体" w:eastAsia="宋体"/>
      <w:b/>
      <w:bCs/>
      <w:kern w:val="2"/>
      <w:sz w:val="24"/>
      <w:szCs w:val="24"/>
      <w:lang w:val="en-US" w:eastAsia="zh-CN" w:bidi="ar-SA"/>
    </w:rPr>
  </w:style>
  <w:style w:type="character" w:customStyle="1" w:styleId="382">
    <w:name w:val="此正文 Char"/>
    <w:link w:val="383"/>
    <w:qFormat/>
    <w:uiPriority w:val="0"/>
    <w:rPr>
      <w:sz w:val="24"/>
      <w:szCs w:val="24"/>
    </w:rPr>
  </w:style>
  <w:style w:type="paragraph" w:customStyle="1" w:styleId="383">
    <w:name w:val="此正文"/>
    <w:basedOn w:val="1"/>
    <w:link w:val="382"/>
    <w:qFormat/>
    <w:uiPriority w:val="0"/>
    <w:pPr>
      <w:adjustRightInd/>
      <w:spacing w:line="360" w:lineRule="auto"/>
      <w:ind w:firstLine="200" w:firstLineChars="200"/>
    </w:pPr>
    <w:rPr>
      <w:rFonts w:asciiTheme="minorHAnsi" w:hAnsiTheme="minorHAnsi" w:eastAsiaTheme="minorEastAsia" w:cstheme="minorBidi"/>
      <w:sz w:val="24"/>
    </w:rPr>
  </w:style>
  <w:style w:type="character" w:customStyle="1" w:styleId="384">
    <w:name w:val="Char Char2"/>
    <w:qFormat/>
    <w:uiPriority w:val="0"/>
    <w:rPr>
      <w:rFonts w:eastAsia="宋体"/>
      <w:b/>
      <w:bCs/>
      <w:kern w:val="2"/>
      <w:sz w:val="21"/>
      <w:szCs w:val="24"/>
      <w:lang w:val="en-US" w:eastAsia="zh-CN" w:bidi="ar-SA"/>
    </w:rPr>
  </w:style>
  <w:style w:type="character" w:customStyle="1" w:styleId="385">
    <w:name w:val="标题 1 字符1"/>
    <w:qFormat/>
    <w:uiPriority w:val="9"/>
    <w:rPr>
      <w:b/>
      <w:bCs/>
      <w:kern w:val="44"/>
      <w:sz w:val="44"/>
      <w:szCs w:val="44"/>
    </w:rPr>
  </w:style>
  <w:style w:type="character" w:customStyle="1" w:styleId="386">
    <w:name w:val="Footer-Even Char1"/>
    <w:qFormat/>
    <w:uiPriority w:val="0"/>
    <w:rPr>
      <w:rFonts w:eastAsia="宋体"/>
      <w:kern w:val="2"/>
      <w:sz w:val="18"/>
      <w:szCs w:val="18"/>
      <w:lang w:val="en-US" w:eastAsia="zh-CN" w:bidi="ar-SA"/>
    </w:rPr>
  </w:style>
  <w:style w:type="character" w:customStyle="1" w:styleId="387">
    <w:name w:val="Char Char29"/>
    <w:qFormat/>
    <w:uiPriority w:val="6"/>
    <w:rPr>
      <w:rFonts w:ascii="Arial" w:hAnsi="Arial" w:eastAsia="微软雅黑"/>
      <w:b/>
      <w:kern w:val="1"/>
      <w:sz w:val="44"/>
      <w:szCs w:val="32"/>
      <w:lang w:val="en-US" w:eastAsia="zh-CN" w:bidi="ar-SA"/>
    </w:rPr>
  </w:style>
  <w:style w:type="character" w:customStyle="1" w:styleId="388">
    <w:name w:val="标题 Char3"/>
    <w:link w:val="54"/>
    <w:qFormat/>
    <w:uiPriority w:val="10"/>
    <w:rPr>
      <w:b/>
      <w:sz w:val="24"/>
      <w:lang w:val="en-US"/>
    </w:rPr>
  </w:style>
  <w:style w:type="character" w:customStyle="1" w:styleId="389">
    <w:name w:val="font81"/>
    <w:qFormat/>
    <w:uiPriority w:val="0"/>
    <w:rPr>
      <w:rFonts w:ascii="微软雅黑" w:hAnsi="微软雅黑" w:eastAsia="微软雅黑" w:cs="微软雅黑"/>
      <w:color w:val="000000"/>
      <w:sz w:val="20"/>
      <w:szCs w:val="20"/>
      <w:u w:val="none"/>
    </w:rPr>
  </w:style>
  <w:style w:type="character" w:customStyle="1" w:styleId="390">
    <w:name w:val="Char Char312"/>
    <w:qFormat/>
    <w:uiPriority w:val="0"/>
    <w:rPr>
      <w:rFonts w:ascii="Times New Roman" w:hAnsi="Times New Roman" w:eastAsia="宋体" w:cs="Times New Roman"/>
      <w:b/>
      <w:kern w:val="2"/>
      <w:sz w:val="32"/>
      <w:szCs w:val="24"/>
      <w:lang w:val="en-US" w:eastAsia="zh-CN" w:bidi="ar-SA"/>
    </w:rPr>
  </w:style>
  <w:style w:type="character" w:customStyle="1" w:styleId="391">
    <w:name w:val="t21"/>
    <w:qFormat/>
    <w:uiPriority w:val="0"/>
    <w:rPr>
      <w:rFonts w:ascii="仿宋_GB2312" w:eastAsia="微软雅黑"/>
      <w:b/>
      <w:kern w:val="2"/>
      <w:sz w:val="23"/>
      <w:szCs w:val="23"/>
      <w:lang w:val="en-US" w:eastAsia="zh-CN" w:bidi="ar-SA"/>
    </w:rPr>
  </w:style>
  <w:style w:type="character" w:customStyle="1" w:styleId="392">
    <w:name w:val="表格 Char Char"/>
    <w:qFormat/>
    <w:uiPriority w:val="0"/>
    <w:rPr>
      <w:rFonts w:ascii="宋体" w:hAnsi="宋体" w:eastAsia="宋体"/>
      <w:lang w:bidi="ar-SA"/>
    </w:rPr>
  </w:style>
  <w:style w:type="character" w:customStyle="1" w:styleId="393">
    <w:name w:val="标题 6 Char1"/>
    <w:qFormat/>
    <w:uiPriority w:val="0"/>
    <w:rPr>
      <w:rFonts w:ascii="Arial" w:hAnsi="Arial" w:eastAsia="黑体" w:cs="Times New Roman"/>
      <w:b/>
      <w:sz w:val="24"/>
      <w:szCs w:val="20"/>
      <w:lang w:bidi="ar-SA"/>
    </w:rPr>
  </w:style>
  <w:style w:type="character" w:customStyle="1" w:styleId="394">
    <w:name w:val="正文首行缩进 Char Char Char Char Char Char1"/>
    <w:qFormat/>
    <w:uiPriority w:val="0"/>
    <w:rPr>
      <w:rFonts w:ascii="宋体" w:eastAsia="宋体"/>
      <w:kern w:val="2"/>
      <w:sz w:val="24"/>
      <w:szCs w:val="24"/>
      <w:lang w:val="zh-CN" w:bidi="ar-SA"/>
    </w:rPr>
  </w:style>
  <w:style w:type="character" w:customStyle="1" w:styleId="395">
    <w:name w:val="称呼 Char2"/>
    <w:link w:val="19"/>
    <w:qFormat/>
    <w:uiPriority w:val="0"/>
    <w:rPr>
      <w:rFonts w:ascii="仿宋_GB2312" w:eastAsia="仿宋_GB2312"/>
      <w:sz w:val="28"/>
    </w:rPr>
  </w:style>
  <w:style w:type="character" w:customStyle="1" w:styleId="396">
    <w:name w:val="文本正文 Char Char"/>
    <w:qFormat/>
    <w:locked/>
    <w:uiPriority w:val="0"/>
    <w:rPr>
      <w:sz w:val="24"/>
      <w:lang w:bidi="ar-SA"/>
    </w:rPr>
  </w:style>
  <w:style w:type="character" w:customStyle="1" w:styleId="397">
    <w:name w:val="正文文本 2 Char2"/>
    <w:link w:val="51"/>
    <w:qFormat/>
    <w:uiPriority w:val="0"/>
    <w:rPr>
      <w:szCs w:val="24"/>
    </w:rPr>
  </w:style>
  <w:style w:type="character" w:customStyle="1" w:styleId="398">
    <w:name w:val="样式 样式 标题 4h4H4Fab-4T5Ref Heading 1rh1Heading sqlsect 1.2.3.... +... Char"/>
    <w:link w:val="399"/>
    <w:qFormat/>
    <w:uiPriority w:val="0"/>
    <w:rPr>
      <w:rFonts w:ascii="微软雅黑" w:hAnsi="微软雅黑" w:eastAsia="微软雅黑"/>
      <w:b/>
      <w:bCs/>
      <w:sz w:val="24"/>
      <w:szCs w:val="28"/>
    </w:rPr>
  </w:style>
  <w:style w:type="paragraph" w:customStyle="1" w:styleId="399">
    <w:name w:val="样式 样式 标题 4h4H4Fab-4T5Ref Heading 1rh1Heading sqlsect 1.2.3.... +..."/>
    <w:basedOn w:val="400"/>
    <w:link w:val="398"/>
    <w:qFormat/>
    <w:uiPriority w:val="0"/>
    <w:pPr>
      <w:tabs>
        <w:tab w:val="left" w:pos="2356"/>
      </w:tabs>
    </w:pPr>
  </w:style>
  <w:style w:type="paragraph" w:customStyle="1" w:styleId="400">
    <w:name w:val="样式 标题 4h4H4Fab-4T5Ref Heading 1rh1Heading sqlsect 1.2.3...."/>
    <w:basedOn w:val="5"/>
    <w:link w:val="446"/>
    <w:qFormat/>
    <w:uiPriority w:val="0"/>
    <w:pPr>
      <w:tabs>
        <w:tab w:val="left" w:pos="2356"/>
        <w:tab w:val="clear" w:pos="864"/>
      </w:tabs>
      <w:adjustRightInd/>
      <w:spacing w:line="360" w:lineRule="auto"/>
      <w:ind w:left="1984" w:leftChars="75" w:hanging="708" w:firstLineChars="200"/>
    </w:pPr>
    <w:rPr>
      <w:rFonts w:ascii="微软雅黑" w:hAnsi="微软雅黑" w:eastAsia="微软雅黑" w:cstheme="minorBidi"/>
      <w:sz w:val="24"/>
      <w:lang w:val="en-US"/>
    </w:rPr>
  </w:style>
  <w:style w:type="character" w:customStyle="1" w:styleId="401">
    <w:name w:val="正文文本缩进 2 Char2"/>
    <w:link w:val="35"/>
    <w:qFormat/>
    <w:uiPriority w:val="0"/>
    <w:rPr>
      <w:rFonts w:ascii="宋体"/>
      <w:sz w:val="28"/>
    </w:rPr>
  </w:style>
  <w:style w:type="character" w:customStyle="1" w:styleId="402">
    <w:name w:val="脚注文本 Char2"/>
    <w:link w:val="47"/>
    <w:qFormat/>
    <w:uiPriority w:val="0"/>
    <w:rPr>
      <w:color w:val="0000FF"/>
    </w:rPr>
  </w:style>
  <w:style w:type="character" w:customStyle="1" w:styleId="403">
    <w:name w:val="称呼 Char1"/>
    <w:qFormat/>
    <w:uiPriority w:val="0"/>
    <w:rPr>
      <w:rFonts w:ascii="Times New Roman" w:hAnsi="Times New Roman" w:eastAsia="宋体" w:cs="Times New Roman"/>
      <w:szCs w:val="24"/>
    </w:rPr>
  </w:style>
  <w:style w:type="character" w:customStyle="1" w:styleId="404">
    <w:name w:val="正文1 Char"/>
    <w:qFormat/>
    <w:uiPriority w:val="0"/>
    <w:rPr>
      <w:rFonts w:ascii="宋体" w:eastAsia="宋体"/>
      <w:snapToGrid w:val="0"/>
      <w:color w:val="000000"/>
      <w:kern w:val="28"/>
      <w:sz w:val="28"/>
      <w:lang w:val="en-US" w:eastAsia="zh-CN" w:bidi="ar-SA"/>
    </w:rPr>
  </w:style>
  <w:style w:type="character" w:customStyle="1" w:styleId="405">
    <w:name w:val="正文缩进 Char1"/>
    <w:qFormat/>
    <w:uiPriority w:val="0"/>
    <w:rPr>
      <w:rFonts w:ascii="宋体" w:eastAsia="宋体"/>
      <w:snapToGrid w:val="0"/>
      <w:color w:val="000000"/>
      <w:kern w:val="28"/>
      <w:sz w:val="28"/>
      <w:lang w:val="en-US" w:eastAsia="zh-CN" w:bidi="ar-SA"/>
    </w:rPr>
  </w:style>
  <w:style w:type="character" w:customStyle="1" w:styleId="406">
    <w:name w:val="批注框文本 Char1"/>
    <w:qFormat/>
    <w:uiPriority w:val="0"/>
    <w:rPr>
      <w:rFonts w:ascii="Times New Roman" w:hAnsi="Times New Roman" w:eastAsia="宋体" w:cs="Times New Roman"/>
      <w:sz w:val="18"/>
      <w:szCs w:val="18"/>
    </w:rPr>
  </w:style>
  <w:style w:type="character" w:customStyle="1" w:styleId="407">
    <w:name w:val="Char Char31"/>
    <w:qFormat/>
    <w:uiPriority w:val="6"/>
    <w:rPr>
      <w:rFonts w:ascii="Arial" w:hAnsi="Arial" w:eastAsia="黑体"/>
      <w:kern w:val="1"/>
      <w:sz w:val="24"/>
      <w:szCs w:val="24"/>
    </w:rPr>
  </w:style>
  <w:style w:type="character" w:customStyle="1" w:styleId="408">
    <w:name w:val="h Char1"/>
    <w:qFormat/>
    <w:uiPriority w:val="0"/>
    <w:rPr>
      <w:sz w:val="18"/>
      <w:szCs w:val="18"/>
    </w:rPr>
  </w:style>
  <w:style w:type="character" w:customStyle="1" w:styleId="409">
    <w:name w:val="标题 4 Char2"/>
    <w:link w:val="5"/>
    <w:qFormat/>
    <w:uiPriority w:val="9"/>
    <w:rPr>
      <w:rFonts w:ascii="Arial" w:hAnsi="Arial" w:eastAsia="黑体" w:cs="Times New Roman"/>
      <w:b/>
      <w:bCs/>
      <w:sz w:val="28"/>
      <w:szCs w:val="28"/>
      <w:lang w:val="zh-CN"/>
    </w:rPr>
  </w:style>
  <w:style w:type="character" w:customStyle="1" w:styleId="410">
    <w:name w:val="正文文本 3 Char2"/>
    <w:link w:val="20"/>
    <w:qFormat/>
    <w:uiPriority w:val="0"/>
  </w:style>
  <w:style w:type="character" w:customStyle="1" w:styleId="411">
    <w:name w:val="font31"/>
    <w:qFormat/>
    <w:uiPriority w:val="0"/>
    <w:rPr>
      <w:rFonts w:hint="eastAsia" w:ascii="仿宋" w:hAnsi="仿宋" w:eastAsia="仿宋" w:cs="仿宋"/>
      <w:color w:val="000000"/>
      <w:sz w:val="20"/>
      <w:szCs w:val="20"/>
      <w:u w:val="none"/>
    </w:rPr>
  </w:style>
  <w:style w:type="character" w:customStyle="1" w:styleId="412">
    <w:name w:val="脚注文本 Char1"/>
    <w:qFormat/>
    <w:uiPriority w:val="0"/>
    <w:rPr>
      <w:rFonts w:ascii="Times New Roman" w:hAnsi="Times New Roman" w:eastAsia="宋体" w:cs="Times New Roman"/>
      <w:sz w:val="18"/>
      <w:szCs w:val="18"/>
    </w:rPr>
  </w:style>
  <w:style w:type="character" w:customStyle="1" w:styleId="413">
    <w:name w:val="Char Char35"/>
    <w:qFormat/>
    <w:uiPriority w:val="6"/>
    <w:rPr>
      <w:rFonts w:ascii="Arial" w:hAnsi="Arial" w:eastAsia="黑体"/>
      <w:b/>
      <w:kern w:val="1"/>
      <w:sz w:val="28"/>
      <w:szCs w:val="28"/>
      <w:lang w:val="zh-CN"/>
    </w:rPr>
  </w:style>
  <w:style w:type="character" w:customStyle="1" w:styleId="414">
    <w:name w:val="纯文本 Char Char Char"/>
    <w:qFormat/>
    <w:uiPriority w:val="0"/>
    <w:rPr>
      <w:rFonts w:ascii="宋体" w:hAnsi="Courier New" w:eastAsia="宋体"/>
      <w:kern w:val="2"/>
      <w:sz w:val="21"/>
      <w:lang w:val="en-US" w:eastAsia="zh-CN" w:bidi="ar-SA"/>
    </w:rPr>
  </w:style>
  <w:style w:type="character" w:customStyle="1" w:styleId="415">
    <w:name w:val="正文1 Char1"/>
    <w:qFormat/>
    <w:uiPriority w:val="0"/>
    <w:rPr>
      <w:rFonts w:ascii="仿宋_GB2312" w:hAnsi="Courier New" w:eastAsia="仿宋_GB2312"/>
      <w:kern w:val="28"/>
      <w:sz w:val="24"/>
      <w:szCs w:val="24"/>
      <w:lang w:val="en-US" w:eastAsia="zh-CN"/>
    </w:rPr>
  </w:style>
  <w:style w:type="character" w:customStyle="1" w:styleId="416">
    <w:name w:val="页脚 Char1"/>
    <w:qFormat/>
    <w:uiPriority w:val="0"/>
    <w:rPr>
      <w:rFonts w:eastAsia="宋体"/>
      <w:kern w:val="2"/>
      <w:sz w:val="18"/>
      <w:szCs w:val="18"/>
      <w:lang w:val="en-US" w:eastAsia="zh-CN" w:bidi="ar-SA"/>
    </w:rPr>
  </w:style>
  <w:style w:type="character" w:customStyle="1" w:styleId="417">
    <w:name w:val="hui3"/>
    <w:qFormat/>
    <w:uiPriority w:val="0"/>
    <w:rPr>
      <w:color w:val="333333"/>
    </w:rPr>
  </w:style>
  <w:style w:type="character" w:customStyle="1" w:styleId="418">
    <w:name w:val="Char Char17"/>
    <w:qFormat/>
    <w:uiPriority w:val="6"/>
    <w:rPr>
      <w:rFonts w:eastAsia="仿宋_GB2312"/>
      <w:sz w:val="24"/>
    </w:rPr>
  </w:style>
  <w:style w:type="character" w:customStyle="1" w:styleId="419">
    <w:name w:val="标题 4 字符"/>
    <w:qFormat/>
    <w:uiPriority w:val="9"/>
    <w:rPr>
      <w:rFonts w:ascii="等线 Light" w:hAnsi="等线 Light" w:eastAsia="等线 Light" w:cs="Times New Roman"/>
      <w:b/>
      <w:bCs/>
      <w:snapToGrid w:val="0"/>
      <w:kern w:val="0"/>
      <w:sz w:val="28"/>
      <w:szCs w:val="28"/>
    </w:rPr>
  </w:style>
  <w:style w:type="character" w:customStyle="1" w:styleId="420">
    <w:name w:val="公文正文 Char Char"/>
    <w:link w:val="421"/>
    <w:qFormat/>
    <w:uiPriority w:val="0"/>
    <w:rPr>
      <w:rFonts w:ascii="仿宋_GB2312" w:eastAsia="仿宋_GB2312"/>
      <w:sz w:val="24"/>
      <w:szCs w:val="24"/>
    </w:rPr>
  </w:style>
  <w:style w:type="paragraph" w:customStyle="1" w:styleId="421">
    <w:name w:val="公文正文"/>
    <w:basedOn w:val="1"/>
    <w:link w:val="420"/>
    <w:qFormat/>
    <w:uiPriority w:val="0"/>
    <w:pPr>
      <w:adjustRightInd/>
      <w:spacing w:before="156" w:line="360" w:lineRule="auto"/>
      <w:ind w:firstLine="360" w:firstLineChars="200"/>
    </w:pPr>
    <w:rPr>
      <w:rFonts w:ascii="仿宋_GB2312" w:eastAsia="仿宋_GB2312" w:hAnsiTheme="minorHAnsi" w:cstheme="minorBidi"/>
      <w:sz w:val="24"/>
    </w:rPr>
  </w:style>
  <w:style w:type="character" w:customStyle="1" w:styleId="422">
    <w:name w:val="Table Text Char1"/>
    <w:qFormat/>
    <w:uiPriority w:val="0"/>
    <w:rPr>
      <w:rFonts w:eastAsia="宋体"/>
      <w:sz w:val="24"/>
      <w:szCs w:val="24"/>
      <w:lang w:val="en-US" w:eastAsia="zh-CN" w:bidi="ar-SA"/>
    </w:rPr>
  </w:style>
  <w:style w:type="character" w:customStyle="1" w:styleId="423">
    <w:name w:val="标题 8 Char1"/>
    <w:link w:val="9"/>
    <w:qFormat/>
    <w:uiPriority w:val="0"/>
    <w:rPr>
      <w:rFonts w:ascii="Arial" w:hAnsi="Arial" w:eastAsia="黑体" w:cs="Times New Roman"/>
      <w:sz w:val="24"/>
      <w:szCs w:val="24"/>
    </w:rPr>
  </w:style>
  <w:style w:type="character" w:customStyle="1" w:styleId="424">
    <w:name w:val="标书表格字体格式 Char"/>
    <w:qFormat/>
    <w:uiPriority w:val="0"/>
    <w:rPr>
      <w:kern w:val="2"/>
      <w:sz w:val="21"/>
      <w:szCs w:val="24"/>
      <w:lang w:bidi="ar-SA"/>
    </w:rPr>
  </w:style>
  <w:style w:type="character" w:customStyle="1" w:styleId="425">
    <w:name w:val="Body Text(ch) Char Char"/>
    <w:qFormat/>
    <w:uiPriority w:val="0"/>
    <w:rPr>
      <w:rFonts w:ascii="宋体"/>
      <w:kern w:val="2"/>
      <w:sz w:val="24"/>
      <w:szCs w:val="21"/>
      <w:lang w:val="zh-CN"/>
    </w:rPr>
  </w:style>
  <w:style w:type="character" w:customStyle="1" w:styleId="426">
    <w:name w:val="正文首行缩进两字 Char"/>
    <w:qFormat/>
    <w:uiPriority w:val="0"/>
    <w:rPr>
      <w:sz w:val="24"/>
      <w:szCs w:val="24"/>
      <w:lang w:val="en-US" w:eastAsia="zh-CN" w:bidi="ar-SA"/>
    </w:rPr>
  </w:style>
  <w:style w:type="character" w:customStyle="1" w:styleId="427">
    <w:name w:val="文档结构图 字符1"/>
    <w:qFormat/>
    <w:uiPriority w:val="0"/>
    <w:rPr>
      <w:rFonts w:ascii="宋体" w:hAnsi="Calibri" w:eastAsia="黑体" w:cs="Arial"/>
      <w:snapToGrid w:val="0"/>
      <w:kern w:val="2"/>
      <w:sz w:val="18"/>
      <w:szCs w:val="18"/>
    </w:rPr>
  </w:style>
  <w:style w:type="character" w:customStyle="1" w:styleId="428">
    <w:name w:val="param-name"/>
    <w:qFormat/>
    <w:uiPriority w:val="99"/>
    <w:rPr>
      <w:rFonts w:ascii="Arial" w:hAnsi="Arial" w:eastAsia="黑体" w:cs="Arial"/>
      <w:snapToGrid w:val="0"/>
      <w:kern w:val="0"/>
      <w:szCs w:val="21"/>
    </w:rPr>
  </w:style>
  <w:style w:type="character" w:customStyle="1" w:styleId="429">
    <w:name w:val="标准正文格式 Char"/>
    <w:qFormat/>
    <w:uiPriority w:val="0"/>
    <w:rPr>
      <w:rFonts w:ascii="宋体" w:eastAsia="仿宋_GB2312" w:cs="宋体"/>
      <w:color w:val="000000"/>
      <w:sz w:val="24"/>
      <w:lang w:val="en-US" w:eastAsia="zh-CN" w:bidi="ar-SA"/>
    </w:rPr>
  </w:style>
  <w:style w:type="character" w:customStyle="1" w:styleId="430">
    <w:name w:val="zbggmain style9"/>
    <w:qFormat/>
    <w:uiPriority w:val="0"/>
  </w:style>
  <w:style w:type="character" w:customStyle="1" w:styleId="431">
    <w:name w:val="Char Char16"/>
    <w:qFormat/>
    <w:uiPriority w:val="6"/>
    <w:rPr>
      <w:kern w:val="1"/>
      <w:sz w:val="18"/>
      <w:szCs w:val="18"/>
    </w:rPr>
  </w:style>
  <w:style w:type="character" w:customStyle="1" w:styleId="432">
    <w:name w:val="Char Char82"/>
    <w:qFormat/>
    <w:uiPriority w:val="0"/>
    <w:rPr>
      <w:rFonts w:eastAsia="宋体"/>
      <w:b/>
      <w:sz w:val="24"/>
      <w:lang w:val="en-US" w:eastAsia="zh-CN"/>
    </w:rPr>
  </w:style>
  <w:style w:type="character" w:customStyle="1" w:styleId="433">
    <w:name w:val="正文文本缩进 3 Char2"/>
    <w:link w:val="49"/>
    <w:qFormat/>
    <w:uiPriority w:val="0"/>
    <w:rPr>
      <w:sz w:val="24"/>
    </w:rPr>
  </w:style>
  <w:style w:type="character" w:customStyle="1" w:styleId="434">
    <w:name w:val="页眉 字符"/>
    <w:qFormat/>
    <w:uiPriority w:val="99"/>
    <w:rPr>
      <w:kern w:val="2"/>
      <w:sz w:val="18"/>
      <w:szCs w:val="18"/>
    </w:rPr>
  </w:style>
  <w:style w:type="character" w:customStyle="1" w:styleId="435">
    <w:name w:val="Footer-Even Char"/>
    <w:qFormat/>
    <w:uiPriority w:val="0"/>
    <w:rPr>
      <w:rFonts w:eastAsia="宋体"/>
      <w:kern w:val="2"/>
      <w:sz w:val="18"/>
      <w:lang w:val="en-US" w:eastAsia="zh-CN" w:bidi="ar-SA"/>
    </w:rPr>
  </w:style>
  <w:style w:type="character" w:customStyle="1" w:styleId="436">
    <w:name w:val="Char Char61"/>
    <w:qFormat/>
    <w:uiPriority w:val="6"/>
    <w:rPr>
      <w:rFonts w:eastAsia="宋体"/>
      <w:kern w:val="2"/>
      <w:sz w:val="21"/>
      <w:szCs w:val="24"/>
      <w:lang w:val="en-US" w:eastAsia="zh-CN" w:bidi="ar-SA"/>
    </w:rPr>
  </w:style>
  <w:style w:type="character" w:customStyle="1" w:styleId="437">
    <w:name w:val="正文文字缩进 2 Char Char"/>
    <w:qFormat/>
    <w:uiPriority w:val="0"/>
    <w:rPr>
      <w:rFonts w:ascii="宋体"/>
      <w:sz w:val="28"/>
    </w:rPr>
  </w:style>
  <w:style w:type="character" w:customStyle="1" w:styleId="438">
    <w:name w:val="标题 3 Char2"/>
    <w:qFormat/>
    <w:uiPriority w:val="0"/>
    <w:rPr>
      <w:rFonts w:eastAsia="宋体"/>
      <w:b/>
      <w:bCs/>
      <w:kern w:val="2"/>
      <w:sz w:val="32"/>
      <w:szCs w:val="32"/>
      <w:lang w:val="en-US" w:eastAsia="zh-CN" w:bidi="ar-SA"/>
    </w:rPr>
  </w:style>
  <w:style w:type="character" w:customStyle="1" w:styleId="439">
    <w:name w:val="页眉 字符2"/>
    <w:qFormat/>
    <w:uiPriority w:val="99"/>
    <w:rPr>
      <w:kern w:val="2"/>
      <w:sz w:val="18"/>
      <w:szCs w:val="18"/>
    </w:rPr>
  </w:style>
  <w:style w:type="character" w:customStyle="1" w:styleId="440">
    <w:name w:val="Char Char9"/>
    <w:qFormat/>
    <w:uiPriority w:val="0"/>
    <w:rPr>
      <w:rFonts w:eastAsia="宋体"/>
      <w:kern w:val="2"/>
      <w:sz w:val="18"/>
      <w:szCs w:val="18"/>
      <w:lang w:val="en-US" w:eastAsia="zh-CN" w:bidi="ar-SA"/>
    </w:rPr>
  </w:style>
  <w:style w:type="character" w:customStyle="1" w:styleId="441">
    <w:name w:val="Char Char13"/>
    <w:qFormat/>
    <w:uiPriority w:val="6"/>
    <w:rPr>
      <w:rFonts w:ascii="宋体" w:hAnsi="宋体"/>
      <w:kern w:val="1"/>
      <w:sz w:val="21"/>
      <w:szCs w:val="24"/>
    </w:rPr>
  </w:style>
  <w:style w:type="character" w:customStyle="1" w:styleId="442">
    <w:name w:val="javascript"/>
    <w:qFormat/>
    <w:uiPriority w:val="0"/>
  </w:style>
  <w:style w:type="character" w:customStyle="1" w:styleId="443">
    <w:name w:val="图名 Char"/>
    <w:qFormat/>
    <w:uiPriority w:val="0"/>
    <w:rPr>
      <w:rFonts w:ascii="Arial" w:hAnsi="Arial" w:eastAsia="黑体"/>
      <w:kern w:val="2"/>
      <w:sz w:val="24"/>
      <w:szCs w:val="24"/>
      <w:lang w:val="en-US" w:eastAsia="zh-CN" w:bidi="ar-SA"/>
    </w:rPr>
  </w:style>
  <w:style w:type="character" w:customStyle="1" w:styleId="444">
    <w:name w:val="未用 Char"/>
    <w:qFormat/>
    <w:uiPriority w:val="0"/>
    <w:rPr>
      <w:rFonts w:ascii="Arial" w:hAnsi="Arial" w:eastAsia="黑体"/>
      <w:kern w:val="2"/>
      <w:sz w:val="21"/>
      <w:szCs w:val="21"/>
      <w:lang w:val="en-US" w:eastAsia="zh-CN" w:bidi="ar-SA"/>
    </w:rPr>
  </w:style>
  <w:style w:type="character" w:customStyle="1" w:styleId="445">
    <w:name w:val="myp1111"/>
    <w:qFormat/>
    <w:uiPriority w:val="0"/>
    <w:rPr>
      <w:rFonts w:hint="default" w:ascii="ˎ̥" w:hAnsi="ˎ̥"/>
      <w:color w:val="000000"/>
      <w:sz w:val="20"/>
      <w:szCs w:val="20"/>
      <w:u w:val="none"/>
    </w:rPr>
  </w:style>
  <w:style w:type="character" w:customStyle="1" w:styleId="446">
    <w:name w:val="样式 标题 4h4H4Fab-4T5Ref Heading 1rh1Heading sqlsect 1.2.3.... Char"/>
    <w:link w:val="400"/>
    <w:qFormat/>
    <w:uiPriority w:val="0"/>
    <w:rPr>
      <w:rFonts w:ascii="微软雅黑" w:hAnsi="微软雅黑" w:eastAsia="微软雅黑"/>
      <w:b/>
      <w:bCs/>
      <w:sz w:val="24"/>
      <w:szCs w:val="28"/>
    </w:rPr>
  </w:style>
  <w:style w:type="character" w:customStyle="1" w:styleId="447">
    <w:name w:val="h Char Char"/>
    <w:qFormat/>
    <w:uiPriority w:val="0"/>
    <w:rPr>
      <w:rFonts w:eastAsia="宋体"/>
      <w:kern w:val="2"/>
      <w:sz w:val="18"/>
      <w:lang w:val="en-US" w:eastAsia="zh-CN" w:bidi="ar-SA"/>
    </w:rPr>
  </w:style>
  <w:style w:type="character" w:customStyle="1" w:styleId="448">
    <w:name w:val="仿宋正文 Char"/>
    <w:link w:val="449"/>
    <w:qFormat/>
    <w:uiPriority w:val="0"/>
    <w:rPr>
      <w:rFonts w:ascii="仿宋_GB2312" w:eastAsia="仿宋_GB2312"/>
      <w:sz w:val="24"/>
    </w:rPr>
  </w:style>
  <w:style w:type="paragraph" w:customStyle="1" w:styleId="449">
    <w:name w:val="仿宋正文"/>
    <w:basedOn w:val="1"/>
    <w:link w:val="448"/>
    <w:qFormat/>
    <w:uiPriority w:val="0"/>
    <w:pPr>
      <w:adjustRightInd/>
      <w:spacing w:line="360" w:lineRule="auto"/>
      <w:ind w:firstLine="480" w:firstLineChars="200"/>
    </w:pPr>
    <w:rPr>
      <w:rFonts w:ascii="仿宋_GB2312" w:eastAsia="仿宋_GB2312" w:hAnsiTheme="minorHAnsi" w:cstheme="minorBidi"/>
      <w:sz w:val="24"/>
      <w:szCs w:val="22"/>
    </w:rPr>
  </w:style>
  <w:style w:type="character" w:customStyle="1" w:styleId="450">
    <w:name w:val="样式 宋体"/>
    <w:qFormat/>
    <w:uiPriority w:val="0"/>
    <w:rPr>
      <w:rFonts w:ascii="宋体" w:hAnsi="宋体"/>
      <w:sz w:val="24"/>
    </w:rPr>
  </w:style>
  <w:style w:type="character" w:customStyle="1" w:styleId="451">
    <w:name w:val="tw4winJump"/>
    <w:qFormat/>
    <w:uiPriority w:val="0"/>
    <w:rPr>
      <w:rFonts w:ascii="Courier New" w:hAnsi="Courier New" w:cs="Courier New"/>
      <w:color w:val="008080"/>
      <w:lang w:val="en-US" w:eastAsia="zh-CN"/>
    </w:rPr>
  </w:style>
  <w:style w:type="character" w:customStyle="1" w:styleId="452">
    <w:name w:val="style36"/>
    <w:qFormat/>
    <w:uiPriority w:val="0"/>
    <w:rPr>
      <w:rFonts w:ascii="Arial" w:hAnsi="Arial" w:eastAsia="黑体" w:cs="Arial"/>
      <w:snapToGrid w:val="0"/>
      <w:kern w:val="0"/>
      <w:szCs w:val="21"/>
    </w:rPr>
  </w:style>
  <w:style w:type="character" w:customStyle="1" w:styleId="453">
    <w:name w:val="pt9"/>
    <w:qFormat/>
    <w:uiPriority w:val="0"/>
    <w:rPr>
      <w:rFonts w:ascii="仿宋_GB2312" w:eastAsia="微软雅黑"/>
      <w:b/>
      <w:kern w:val="2"/>
      <w:sz w:val="32"/>
      <w:szCs w:val="32"/>
      <w:lang w:val="en-US" w:eastAsia="zh-CN" w:bidi="ar-SA"/>
    </w:rPr>
  </w:style>
  <w:style w:type="character" w:customStyle="1" w:styleId="454">
    <w:name w:val="正文2 Char"/>
    <w:qFormat/>
    <w:uiPriority w:val="0"/>
    <w:rPr>
      <w:rFonts w:eastAsia="宋体"/>
      <w:kern w:val="2"/>
      <w:sz w:val="24"/>
      <w:lang w:val="en-US" w:eastAsia="zh-CN" w:bidi="ar-SA"/>
    </w:rPr>
  </w:style>
  <w:style w:type="character" w:customStyle="1" w:styleId="455">
    <w:name w:val="Char Char21"/>
    <w:qFormat/>
    <w:uiPriority w:val="6"/>
    <w:rPr>
      <w:rFonts w:ascii="宋体" w:hAnsi="宋体"/>
      <w:kern w:val="1"/>
      <w:sz w:val="24"/>
      <w:szCs w:val="21"/>
      <w:lang w:val="zh-CN"/>
    </w:rPr>
  </w:style>
  <w:style w:type="character" w:customStyle="1" w:styleId="456">
    <w:name w:val="样式 正文缩进 + 首行缩进:  2 字符 Char Char"/>
    <w:link w:val="457"/>
    <w:qFormat/>
    <w:uiPriority w:val="0"/>
    <w:rPr>
      <w:rFonts w:cs="宋体"/>
      <w:sz w:val="24"/>
    </w:rPr>
  </w:style>
  <w:style w:type="paragraph" w:customStyle="1" w:styleId="457">
    <w:name w:val="样式 正文缩进 + 首行缩进:  2 字符"/>
    <w:basedOn w:val="14"/>
    <w:link w:val="456"/>
    <w:qFormat/>
    <w:uiPriority w:val="0"/>
    <w:pPr>
      <w:widowControl w:val="0"/>
      <w:adjustRightInd/>
      <w:snapToGrid/>
      <w:spacing w:line="360" w:lineRule="auto"/>
      <w:ind w:firstLine="200" w:firstLineChars="200"/>
    </w:pPr>
    <w:rPr>
      <w:rFonts w:cs="宋体" w:asciiTheme="minorHAnsi" w:eastAsiaTheme="minorEastAsia"/>
      <w:snapToGrid/>
      <w:color w:val="auto"/>
      <w:kern w:val="2"/>
      <w:sz w:val="24"/>
    </w:rPr>
  </w:style>
  <w:style w:type="character" w:customStyle="1" w:styleId="458">
    <w:name w:val="正文缩进 字符1"/>
    <w:qFormat/>
    <w:uiPriority w:val="0"/>
    <w:rPr>
      <w:rFonts w:ascii="宋体" w:eastAsia="宋体"/>
      <w:snapToGrid w:val="0"/>
      <w:color w:val="000000"/>
      <w:kern w:val="28"/>
      <w:sz w:val="28"/>
      <w:lang w:val="en-US" w:eastAsia="zh-CN" w:bidi="ar-SA"/>
    </w:rPr>
  </w:style>
  <w:style w:type="character" w:customStyle="1" w:styleId="459">
    <w:name w:val="尾注文本 Char1"/>
    <w:link w:val="36"/>
    <w:qFormat/>
    <w:uiPriority w:val="0"/>
    <w:rPr>
      <w:szCs w:val="24"/>
      <w:lang w:val="zh-CN"/>
    </w:rPr>
  </w:style>
  <w:style w:type="character" w:customStyle="1" w:styleId="460">
    <w:name w:val="无间隔 Char"/>
    <w:link w:val="461"/>
    <w:qFormat/>
    <w:uiPriority w:val="99"/>
  </w:style>
  <w:style w:type="paragraph" w:customStyle="1" w:styleId="461">
    <w:name w:val="无间隔3"/>
    <w:basedOn w:val="1"/>
    <w:link w:val="460"/>
    <w:qFormat/>
    <w:uiPriority w:val="99"/>
    <w:rPr>
      <w:rFonts w:asciiTheme="minorHAnsi" w:hAnsiTheme="minorHAnsi" w:eastAsiaTheme="minorEastAsia" w:cstheme="minorBidi"/>
      <w:szCs w:val="22"/>
    </w:rPr>
  </w:style>
  <w:style w:type="character" w:customStyle="1" w:styleId="462">
    <w:name w:val="标准文本 Char Char"/>
    <w:link w:val="463"/>
    <w:qFormat/>
    <w:uiPriority w:val="0"/>
    <w:rPr>
      <w:rFonts w:cs="宋体"/>
      <w:sz w:val="24"/>
    </w:rPr>
  </w:style>
  <w:style w:type="paragraph" w:customStyle="1" w:styleId="463">
    <w:name w:val="标准文本"/>
    <w:basedOn w:val="1"/>
    <w:link w:val="462"/>
    <w:qFormat/>
    <w:uiPriority w:val="0"/>
    <w:pPr>
      <w:adjustRightInd/>
      <w:spacing w:line="360" w:lineRule="auto"/>
      <w:ind w:firstLine="480" w:firstLineChars="200"/>
    </w:pPr>
    <w:rPr>
      <w:rFonts w:cs="宋体" w:asciiTheme="minorHAnsi" w:hAnsiTheme="minorHAnsi" w:eastAsiaTheme="minorEastAsia"/>
      <w:sz w:val="24"/>
      <w:szCs w:val="22"/>
    </w:rPr>
  </w:style>
  <w:style w:type="character" w:customStyle="1" w:styleId="464">
    <w:name w:val="Char Char213"/>
    <w:qFormat/>
    <w:uiPriority w:val="0"/>
    <w:rPr>
      <w:rFonts w:eastAsia="Century Gothic"/>
      <w:b/>
      <w:bCs/>
      <w:kern w:val="44"/>
      <w:sz w:val="32"/>
      <w:szCs w:val="44"/>
      <w:lang w:val="en-US" w:eastAsia="zh-CN" w:bidi="ar-SA"/>
    </w:rPr>
  </w:style>
  <w:style w:type="character" w:customStyle="1" w:styleId="465">
    <w:name w:val="16"/>
    <w:qFormat/>
    <w:uiPriority w:val="0"/>
    <w:rPr>
      <w:rFonts w:hint="eastAsia" w:ascii="宋体" w:hAnsi="宋体" w:eastAsia="宋体"/>
      <w:color w:val="000000"/>
      <w:sz w:val="20"/>
      <w:szCs w:val="20"/>
    </w:rPr>
  </w:style>
  <w:style w:type="character" w:customStyle="1" w:styleId="466">
    <w:name w:val="tpc_content1"/>
    <w:qFormat/>
    <w:uiPriority w:val="0"/>
    <w:rPr>
      <w:sz w:val="20"/>
      <w:szCs w:val="20"/>
    </w:rPr>
  </w:style>
  <w:style w:type="character" w:customStyle="1" w:styleId="467">
    <w:name w:val="正文文本 2 字符"/>
    <w:qFormat/>
    <w:uiPriority w:val="0"/>
    <w:rPr>
      <w:rFonts w:ascii="Arial" w:hAnsi="Arial" w:eastAsia="宋体"/>
      <w:kern w:val="2"/>
      <w:sz w:val="24"/>
      <w:szCs w:val="24"/>
      <w:lang w:val="en-US" w:eastAsia="zh-CN" w:bidi="ar-SA"/>
    </w:rPr>
  </w:style>
  <w:style w:type="character" w:customStyle="1" w:styleId="468">
    <w:name w:val="zbggtop11 style5"/>
    <w:qFormat/>
    <w:uiPriority w:val="0"/>
    <w:rPr>
      <w:rFonts w:ascii="Arial" w:hAnsi="Arial" w:eastAsia="黑体" w:cs="Arial"/>
      <w:snapToGrid w:val="0"/>
      <w:kern w:val="0"/>
      <w:szCs w:val="21"/>
    </w:rPr>
  </w:style>
  <w:style w:type="character" w:customStyle="1" w:styleId="469">
    <w:name w:val="font71"/>
    <w:qFormat/>
    <w:uiPriority w:val="0"/>
    <w:rPr>
      <w:rFonts w:hint="eastAsia" w:ascii="宋体" w:hAnsi="宋体" w:eastAsia="宋体" w:cs="宋体"/>
      <w:color w:val="000000"/>
      <w:sz w:val="22"/>
      <w:szCs w:val="22"/>
      <w:u w:val="none"/>
    </w:rPr>
  </w:style>
  <w:style w:type="character" w:customStyle="1" w:styleId="470">
    <w:name w:val="font91"/>
    <w:qFormat/>
    <w:uiPriority w:val="0"/>
    <w:rPr>
      <w:rFonts w:hint="eastAsia" w:ascii="仿宋" w:hAnsi="仿宋" w:eastAsia="仿宋" w:cs="仿宋"/>
      <w:color w:val="000000"/>
      <w:sz w:val="22"/>
      <w:szCs w:val="22"/>
      <w:u w:val="none"/>
    </w:rPr>
  </w:style>
  <w:style w:type="paragraph" w:customStyle="1" w:styleId="471">
    <w:name w:val="4级标题"/>
    <w:basedOn w:val="3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73">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47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7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6">
    <w:name w:val="My正文"/>
    <w:basedOn w:val="1"/>
    <w:qFormat/>
    <w:uiPriority w:val="0"/>
    <w:pPr>
      <w:spacing w:before="120" w:line="360" w:lineRule="auto"/>
      <w:ind w:firstLine="567"/>
    </w:pPr>
    <w:rPr>
      <w:rFonts w:ascii="Arial" w:hAnsi="Arial"/>
      <w:sz w:val="20"/>
      <w:szCs w:val="20"/>
    </w:rPr>
  </w:style>
  <w:style w:type="paragraph" w:customStyle="1" w:styleId="477">
    <w:name w:val="正文1.25"/>
    <w:basedOn w:val="1"/>
    <w:qFormat/>
    <w:uiPriority w:val="0"/>
    <w:pPr>
      <w:adjustRightInd/>
      <w:spacing w:line="300" w:lineRule="auto"/>
      <w:ind w:firstLine="480" w:firstLineChars="200"/>
    </w:pPr>
    <w:rPr>
      <w:sz w:val="24"/>
      <w:szCs w:val="20"/>
    </w:rPr>
  </w:style>
  <w:style w:type="paragraph" w:customStyle="1" w:styleId="478">
    <w:name w:val="5级标题"/>
    <w:basedOn w:val="471"/>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80">
    <w:name w:val="MM Topic 5"/>
    <w:basedOn w:val="6"/>
    <w:qFormat/>
    <w:uiPriority w:val="0"/>
    <w:pPr>
      <w:tabs>
        <w:tab w:val="left" w:pos="2520"/>
        <w:tab w:val="clear" w:pos="1008"/>
      </w:tabs>
      <w:adjustRightInd/>
      <w:ind w:left="2520" w:hanging="420"/>
    </w:pPr>
  </w:style>
  <w:style w:type="paragraph" w:customStyle="1" w:styleId="481">
    <w:name w:val="默认段落样式"/>
    <w:basedOn w:val="89"/>
    <w:qFormat/>
    <w:uiPriority w:val="0"/>
    <w:pPr>
      <w:spacing w:before="0"/>
      <w:ind w:firstLine="480"/>
      <w:outlineLvl w:val="2"/>
    </w:pPr>
    <w:rPr>
      <w:rFonts w:ascii="仿宋_GB2312" w:hAnsi="宋体" w:eastAsia="仿宋_GB2312" w:cs="Times New Roman"/>
      <w:color w:val="000000"/>
      <w:szCs w:val="24"/>
    </w:rPr>
  </w:style>
  <w:style w:type="paragraph" w:customStyle="1" w:styleId="48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83">
    <w:name w:val="_Style 94"/>
    <w:basedOn w:val="1"/>
    <w:next w:val="360"/>
    <w:qFormat/>
    <w:uiPriority w:val="34"/>
    <w:pPr>
      <w:adjustRightInd/>
      <w:spacing w:line="360" w:lineRule="auto"/>
      <w:ind w:firstLine="200" w:firstLineChars="200"/>
    </w:pPr>
    <w:rPr>
      <w:rFonts w:ascii="Calibri" w:hAnsi="Calibri"/>
      <w:sz w:val="28"/>
      <w:szCs w:val="20"/>
    </w:rPr>
  </w:style>
  <w:style w:type="paragraph" w:customStyle="1" w:styleId="484">
    <w:name w:val="FA正文"/>
    <w:basedOn w:val="1"/>
    <w:qFormat/>
    <w:uiPriority w:val="0"/>
    <w:pPr>
      <w:spacing w:line="360" w:lineRule="auto"/>
      <w:ind w:firstLine="480" w:firstLineChars="200"/>
    </w:pPr>
    <w:rPr>
      <w:rFonts w:hAnsi="宋体"/>
      <w:sz w:val="24"/>
      <w:szCs w:val="20"/>
    </w:rPr>
  </w:style>
  <w:style w:type="paragraph" w:customStyle="1" w:styleId="48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86">
    <w:name w:val="正文 内标 序号标"/>
    <w:basedOn w:val="476"/>
    <w:qFormat/>
    <w:uiPriority w:val="0"/>
    <w:pPr>
      <w:tabs>
        <w:tab w:val="left" w:pos="0"/>
      </w:tabs>
      <w:adjustRightInd/>
      <w:spacing w:before="0"/>
      <w:ind w:firstLine="482"/>
    </w:pPr>
    <w:rPr>
      <w:rFonts w:ascii="微软雅黑" w:hAnsi="微软雅黑"/>
      <w:sz w:val="24"/>
      <w:szCs w:val="24"/>
    </w:rPr>
  </w:style>
  <w:style w:type="paragraph" w:customStyle="1" w:styleId="487">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488">
    <w:name w:val="修订1"/>
    <w:qFormat/>
    <w:uiPriority w:val="3"/>
    <w:rPr>
      <w:rFonts w:ascii="Times New Roman" w:hAnsi="Times New Roman" w:eastAsia="宋体" w:cs="Times New Roman"/>
      <w:color w:val="000000"/>
      <w:kern w:val="1"/>
      <w:sz w:val="21"/>
      <w:szCs w:val="20"/>
      <w:lang w:val="en-US" w:eastAsia="zh-CN" w:bidi="ar-SA"/>
    </w:rPr>
  </w:style>
  <w:style w:type="paragraph" w:customStyle="1" w:styleId="489">
    <w:name w:val="6级标题"/>
    <w:basedOn w:val="478"/>
    <w:qFormat/>
    <w:uiPriority w:val="0"/>
    <w:pPr>
      <w:keepNext/>
      <w:outlineLvl w:val="5"/>
    </w:pPr>
  </w:style>
  <w:style w:type="paragraph" w:customStyle="1" w:styleId="490">
    <w:name w:val="样式 样式2 + 左侧:  1 字符 右侧:  1 字符"/>
    <w:basedOn w:val="491"/>
    <w:qFormat/>
    <w:uiPriority w:val="0"/>
    <w:pPr>
      <w:tabs>
        <w:tab w:val="left" w:pos="2790"/>
        <w:tab w:val="left"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49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92">
    <w:name w:val="样式6"/>
    <w:basedOn w:val="32"/>
    <w:qFormat/>
    <w:uiPriority w:val="0"/>
    <w:pPr>
      <w:widowControl w:val="0"/>
      <w:overflowPunct/>
      <w:autoSpaceDE/>
      <w:autoSpaceDN/>
      <w:spacing w:line="460" w:lineRule="exact"/>
      <w:jc w:val="both"/>
      <w:textAlignment w:val="auto"/>
      <w:outlineLvl w:val="2"/>
    </w:pPr>
    <w:rPr>
      <w:rFonts w:ascii="仿宋_GB2312" w:hAnsi="宋体" w:eastAsia="仿宋_GB2312" w:cs="Arial"/>
      <w:b/>
      <w:bCs/>
      <w:snapToGrid w:val="0"/>
      <w:sz w:val="24"/>
      <w:szCs w:val="24"/>
    </w:rPr>
  </w:style>
  <w:style w:type="paragraph" w:customStyle="1" w:styleId="493">
    <w:name w:val="默认段落字体 Para Char"/>
    <w:basedOn w:val="1"/>
    <w:qFormat/>
    <w:uiPriority w:val="0"/>
    <w:rPr>
      <w:rFonts w:ascii="Tahoma" w:hAnsi="Tahoma"/>
      <w:sz w:val="24"/>
      <w:szCs w:val="20"/>
    </w:rPr>
  </w:style>
  <w:style w:type="character" w:customStyle="1" w:styleId="494">
    <w:name w:val="标题 Char2"/>
    <w:basedOn w:val="64"/>
    <w:qFormat/>
    <w:uiPriority w:val="10"/>
    <w:rPr>
      <w:rFonts w:eastAsia="宋体" w:asciiTheme="majorHAnsi" w:hAnsiTheme="majorHAnsi" w:cstheme="majorBidi"/>
      <w:b/>
      <w:bCs/>
      <w:sz w:val="32"/>
      <w:szCs w:val="32"/>
    </w:rPr>
  </w:style>
  <w:style w:type="paragraph" w:customStyle="1" w:styleId="49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7">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498">
    <w:name w:val="Char1 Char Char Char1"/>
    <w:basedOn w:val="1"/>
    <w:qFormat/>
    <w:uiPriority w:val="0"/>
    <w:pPr>
      <w:adjustRightInd/>
      <w:ind w:firstLine="200" w:firstLineChars="200"/>
    </w:pPr>
    <w:rPr>
      <w:rFonts w:ascii="Tahoma" w:hAnsi="Tahoma"/>
      <w:sz w:val="24"/>
      <w:szCs w:val="20"/>
    </w:rPr>
  </w:style>
  <w:style w:type="paragraph" w:customStyle="1" w:styleId="49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00">
    <w:name w:val="Char2 Char Char1"/>
    <w:basedOn w:val="1"/>
    <w:qFormat/>
    <w:uiPriority w:val="6"/>
    <w:pPr>
      <w:adjustRightInd/>
    </w:pPr>
    <w:rPr>
      <w:rFonts w:ascii="Tahoma" w:hAnsi="Tahoma"/>
      <w:sz w:val="24"/>
      <w:szCs w:val="20"/>
    </w:rPr>
  </w:style>
  <w:style w:type="paragraph" w:customStyle="1" w:styleId="50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02">
    <w:name w:val="正文主体"/>
    <w:basedOn w:val="503"/>
    <w:qFormat/>
    <w:uiPriority w:val="0"/>
  </w:style>
  <w:style w:type="paragraph" w:customStyle="1" w:styleId="50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504">
    <w:name w:val="Char Char Char Char Char Char Char Char2"/>
    <w:basedOn w:val="1"/>
    <w:qFormat/>
    <w:uiPriority w:val="0"/>
    <w:pPr>
      <w:tabs>
        <w:tab w:val="left" w:pos="360"/>
      </w:tabs>
    </w:pPr>
    <w:rPr>
      <w:sz w:val="24"/>
      <w:szCs w:val="20"/>
    </w:rPr>
  </w:style>
  <w:style w:type="paragraph" w:customStyle="1" w:styleId="50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50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507">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508">
    <w:name w:val="加粗正文"/>
    <w:basedOn w:val="1"/>
    <w:qFormat/>
    <w:uiPriority w:val="0"/>
    <w:pPr>
      <w:adjustRightInd/>
      <w:spacing w:beforeLines="50" w:afterLines="50" w:line="360" w:lineRule="auto"/>
      <w:ind w:firstLine="422" w:firstLineChars="200"/>
    </w:pPr>
    <w:rPr>
      <w:b/>
      <w:bCs/>
      <w:szCs w:val="21"/>
    </w:rPr>
  </w:style>
  <w:style w:type="paragraph" w:customStyle="1" w:styleId="50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51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511">
    <w:name w:val="正文标准"/>
    <w:basedOn w:val="1"/>
    <w:qFormat/>
    <w:uiPriority w:val="0"/>
    <w:pPr>
      <w:adjustRightInd/>
      <w:spacing w:line="360" w:lineRule="auto"/>
      <w:ind w:firstLine="200" w:firstLineChars="200"/>
    </w:pPr>
    <w:rPr>
      <w:rFonts w:ascii="宋体" w:hAnsi="Calibri"/>
      <w:sz w:val="24"/>
    </w:rPr>
  </w:style>
  <w:style w:type="paragraph" w:customStyle="1" w:styleId="512">
    <w:name w:val="标题3"/>
    <w:basedOn w:val="4"/>
    <w:next w:val="49"/>
    <w:qFormat/>
    <w:uiPriority w:val="0"/>
    <w:pPr>
      <w:spacing w:after="0" w:line="360" w:lineRule="auto"/>
      <w:ind w:left="900" w:hanging="720"/>
    </w:pPr>
    <w:rPr>
      <w:rFonts w:ascii="仿宋" w:hAnsi="仿宋" w:eastAsia="仿宋" w:cs="仿宋"/>
    </w:rPr>
  </w:style>
  <w:style w:type="paragraph" w:customStyle="1" w:styleId="513">
    <w:name w:val="样式 标题 3H3 + 两端对齐"/>
    <w:basedOn w:val="4"/>
    <w:qFormat/>
    <w:uiPriority w:val="0"/>
    <w:pPr>
      <w:keepLines w:val="0"/>
      <w:tabs>
        <w:tab w:val="left" w:pos="900"/>
      </w:tabs>
      <w:spacing w:before="0" w:after="0" w:line="240" w:lineRule="auto"/>
      <w:ind w:left="900" w:hanging="720"/>
      <w:jc w:val="left"/>
    </w:pPr>
    <w:rPr>
      <w:rFonts w:cs="宋体"/>
      <w:sz w:val="21"/>
      <w:szCs w:val="20"/>
    </w:rPr>
  </w:style>
  <w:style w:type="paragraph" w:customStyle="1" w:styleId="514">
    <w:name w:val="Char Char Char Char Char Char Char1"/>
    <w:basedOn w:val="1"/>
    <w:qFormat/>
    <w:uiPriority w:val="6"/>
    <w:rPr>
      <w:rFonts w:ascii="仿宋_GB2312" w:eastAsia="仿宋_GB2312"/>
      <w:b/>
      <w:sz w:val="32"/>
      <w:szCs w:val="32"/>
    </w:rPr>
  </w:style>
  <w:style w:type="paragraph" w:customStyle="1" w:styleId="51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16">
    <w:name w:val="Char Char Char 字元 字元"/>
    <w:basedOn w:val="1"/>
    <w:qFormat/>
    <w:uiPriority w:val="0"/>
    <w:pPr>
      <w:adjustRightInd/>
      <w:spacing w:line="360" w:lineRule="auto"/>
      <w:ind w:firstLine="200" w:firstLineChars="200"/>
    </w:pPr>
    <w:rPr>
      <w:szCs w:val="20"/>
    </w:rPr>
  </w:style>
  <w:style w:type="paragraph" w:customStyle="1" w:styleId="51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kern w:val="0"/>
      <w:sz w:val="32"/>
      <w:szCs w:val="20"/>
      <w:lang w:val="en-US" w:eastAsia="zh-CN" w:bidi="ar-SA"/>
    </w:rPr>
  </w:style>
  <w:style w:type="paragraph" w:customStyle="1" w:styleId="51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19">
    <w:name w:val="_Style 5"/>
    <w:basedOn w:val="1"/>
    <w:qFormat/>
    <w:uiPriority w:val="34"/>
    <w:pPr>
      <w:adjustRightInd/>
      <w:ind w:firstLine="420" w:firstLineChars="200"/>
    </w:pPr>
    <w:rPr>
      <w:rFonts w:eastAsia="仿宋_GB2312"/>
      <w:sz w:val="28"/>
    </w:rPr>
  </w:style>
  <w:style w:type="paragraph" w:customStyle="1" w:styleId="520">
    <w:name w:val="正文 项目2"/>
    <w:basedOn w:val="521"/>
    <w:qFormat/>
    <w:uiPriority w:val="0"/>
    <w:pPr>
      <w:tabs>
        <w:tab w:val="left" w:pos="840"/>
      </w:tabs>
      <w:spacing w:after="0"/>
      <w:ind w:left="900"/>
    </w:pPr>
  </w:style>
  <w:style w:type="paragraph" w:customStyle="1" w:styleId="52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522">
    <w:name w:val="样式 标题 2H2h2Underrubrik1prop2l2Chapter Titlesect 1.2DO NO..."/>
    <w:basedOn w:val="3"/>
    <w:qFormat/>
    <w:uiPriority w:val="0"/>
    <w:pPr>
      <w:tabs>
        <w:tab w:val="left" w:pos="432"/>
      </w:tabs>
      <w:adjustRightInd/>
      <w:spacing w:before="120" w:after="120" w:line="360" w:lineRule="auto"/>
      <w:ind w:left="425" w:hanging="425"/>
      <w:jc w:val="left"/>
    </w:pPr>
    <w:rPr>
      <w:rFonts w:ascii="微软雅黑" w:hAnsi="微软雅黑" w:eastAsia="微软雅黑" w:cs="宋体"/>
      <w:szCs w:val="20"/>
    </w:rPr>
  </w:style>
  <w:style w:type="paragraph" w:customStyle="1" w:styleId="523">
    <w:name w:val="_正文段落"/>
    <w:basedOn w:val="1"/>
    <w:qFormat/>
    <w:uiPriority w:val="0"/>
    <w:pPr>
      <w:adjustRightInd/>
      <w:ind w:firstLine="560"/>
    </w:pPr>
    <w:rPr>
      <w:rFonts w:ascii="仿宋_GB2312" w:hAnsi="仿宋" w:eastAsia="仿宋_GB2312"/>
      <w:kern w:val="0"/>
      <w:sz w:val="28"/>
      <w:szCs w:val="28"/>
    </w:rPr>
  </w:style>
  <w:style w:type="paragraph" w:customStyle="1" w:styleId="524">
    <w:name w:val="首行缩进"/>
    <w:basedOn w:val="1"/>
    <w:qFormat/>
    <w:uiPriority w:val="0"/>
    <w:pPr>
      <w:spacing w:line="360" w:lineRule="auto"/>
      <w:ind w:firstLine="480" w:firstLineChars="200"/>
    </w:pPr>
    <w:rPr>
      <w:rFonts w:ascii="宋体"/>
      <w:sz w:val="24"/>
      <w:szCs w:val="20"/>
    </w:rPr>
  </w:style>
  <w:style w:type="paragraph" w:customStyle="1" w:styleId="52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26">
    <w:name w:val="Body Text 2*"/>
    <w:basedOn w:val="1"/>
    <w:qFormat/>
    <w:uiPriority w:val="6"/>
    <w:pPr>
      <w:widowControl/>
      <w:adjustRightInd/>
      <w:ind w:left="720" w:hanging="720"/>
    </w:pPr>
    <w:rPr>
      <w:color w:val="000000"/>
      <w:kern w:val="0"/>
      <w:sz w:val="24"/>
      <w:szCs w:val="20"/>
    </w:rPr>
  </w:style>
  <w:style w:type="paragraph" w:customStyle="1" w:styleId="52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28">
    <w:name w:val="图中文字"/>
    <w:basedOn w:val="1"/>
    <w:qFormat/>
    <w:uiPriority w:val="0"/>
    <w:pPr>
      <w:snapToGrid w:val="0"/>
      <w:spacing w:line="0" w:lineRule="atLeast"/>
      <w:ind w:firstLine="200" w:firstLineChars="200"/>
      <w:jc w:val="center"/>
    </w:pPr>
    <w:rPr>
      <w:sz w:val="24"/>
      <w:szCs w:val="20"/>
    </w:rPr>
  </w:style>
  <w:style w:type="character" w:customStyle="1" w:styleId="529">
    <w:name w:val="HTML 地址 Char"/>
    <w:basedOn w:val="64"/>
    <w:semiHidden/>
    <w:qFormat/>
    <w:uiPriority w:val="99"/>
    <w:rPr>
      <w:rFonts w:ascii="Times New Roman" w:hAnsi="Times New Roman" w:eastAsia="宋体" w:cs="Times New Roman"/>
      <w:i/>
      <w:iCs/>
      <w:szCs w:val="24"/>
    </w:rPr>
  </w:style>
  <w:style w:type="paragraph" w:customStyle="1" w:styleId="530">
    <w:name w:val="Char Char Char Char Char Char Char Char1"/>
    <w:basedOn w:val="1"/>
    <w:qFormat/>
    <w:uiPriority w:val="0"/>
    <w:pPr>
      <w:tabs>
        <w:tab w:val="left" w:pos="360"/>
      </w:tabs>
    </w:pPr>
    <w:rPr>
      <w:sz w:val="24"/>
      <w:szCs w:val="20"/>
    </w:rPr>
  </w:style>
  <w:style w:type="paragraph" w:customStyle="1" w:styleId="53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32">
    <w:name w:val="Char"/>
    <w:basedOn w:val="1"/>
    <w:qFormat/>
    <w:uiPriority w:val="0"/>
    <w:rPr>
      <w:rFonts w:ascii="仿宋_GB2312" w:eastAsia="仿宋_GB2312"/>
      <w:b/>
      <w:sz w:val="32"/>
      <w:szCs w:val="32"/>
    </w:rPr>
  </w:style>
  <w:style w:type="paragraph" w:customStyle="1" w:styleId="53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3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3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536">
    <w:name w:val="表格题注"/>
    <w:next w:val="1"/>
    <w:qFormat/>
    <w:uiPriority w:val="0"/>
    <w:pPr>
      <w:keepLines/>
      <w:tabs>
        <w:tab w:val="left" w:pos="4200"/>
      </w:tabs>
      <w:spacing w:beforeLines="100"/>
      <w:ind w:left="1089" w:hanging="369"/>
      <w:jc w:val="center"/>
    </w:pPr>
    <w:rPr>
      <w:rFonts w:ascii="Arial" w:hAnsi="Arial" w:eastAsia="宋体" w:cs="Times New Roman"/>
      <w:kern w:val="0"/>
      <w:sz w:val="18"/>
      <w:szCs w:val="18"/>
      <w:lang w:val="en-US" w:eastAsia="zh-CN" w:bidi="ar-SA"/>
    </w:rPr>
  </w:style>
  <w:style w:type="paragraph" w:customStyle="1" w:styleId="53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538">
    <w:name w:val="trademark"/>
    <w:qFormat/>
    <w:uiPriority w:val="0"/>
    <w:pPr>
      <w:spacing w:after="60"/>
    </w:pPr>
    <w:rPr>
      <w:rFonts w:ascii="Futura Bk" w:hAnsi="Futura Bk" w:eastAsia="宋体" w:cs="Times New Roman"/>
      <w:kern w:val="0"/>
      <w:sz w:val="15"/>
      <w:szCs w:val="20"/>
      <w:lang w:val="en-US" w:eastAsia="en-US" w:bidi="ar-SA"/>
    </w:rPr>
  </w:style>
  <w:style w:type="paragraph" w:customStyle="1" w:styleId="539">
    <w:name w:val="MM Topic 3"/>
    <w:basedOn w:val="4"/>
    <w:qFormat/>
    <w:uiPriority w:val="0"/>
    <w:pPr>
      <w:tabs>
        <w:tab w:val="left" w:pos="1680"/>
      </w:tabs>
      <w:adjustRightInd/>
      <w:ind w:left="1680" w:hanging="420"/>
    </w:pPr>
  </w:style>
  <w:style w:type="paragraph" w:customStyle="1" w:styleId="540">
    <w:name w:val="默认段落字体 Para Char Char Char Char"/>
    <w:basedOn w:val="1"/>
    <w:qFormat/>
    <w:uiPriority w:val="0"/>
    <w:pPr>
      <w:spacing w:line="360" w:lineRule="auto"/>
    </w:pPr>
    <w:rPr>
      <w:szCs w:val="20"/>
    </w:rPr>
  </w:style>
  <w:style w:type="paragraph" w:customStyle="1" w:styleId="54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4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54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5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54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character" w:customStyle="1" w:styleId="546">
    <w:name w:val="脚注文本 Char"/>
    <w:basedOn w:val="64"/>
    <w:semiHidden/>
    <w:qFormat/>
    <w:uiPriority w:val="99"/>
    <w:rPr>
      <w:rFonts w:ascii="Times New Roman" w:hAnsi="Times New Roman" w:eastAsia="宋体" w:cs="Times New Roman"/>
      <w:sz w:val="18"/>
      <w:szCs w:val="18"/>
    </w:rPr>
  </w:style>
  <w:style w:type="character" w:customStyle="1" w:styleId="547">
    <w:name w:val="正文文本缩进 2 Char"/>
    <w:basedOn w:val="64"/>
    <w:semiHidden/>
    <w:qFormat/>
    <w:uiPriority w:val="99"/>
    <w:rPr>
      <w:rFonts w:ascii="Times New Roman" w:hAnsi="Times New Roman" w:eastAsia="宋体" w:cs="Times New Roman"/>
      <w:szCs w:val="24"/>
    </w:rPr>
  </w:style>
  <w:style w:type="paragraph" w:customStyle="1" w:styleId="54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4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550">
    <w:name w:val="一级条标题"/>
    <w:basedOn w:val="551"/>
    <w:next w:val="552"/>
    <w:qFormat/>
    <w:uiPriority w:val="0"/>
    <w:pPr>
      <w:tabs>
        <w:tab w:val="left" w:pos="1260"/>
        <w:tab w:val="left" w:pos="1680"/>
      </w:tabs>
      <w:spacing w:beforeLines="0" w:afterLines="0"/>
      <w:ind w:left="1680"/>
      <w:outlineLvl w:val="2"/>
    </w:pPr>
  </w:style>
  <w:style w:type="paragraph" w:customStyle="1" w:styleId="551">
    <w:name w:val="章标题"/>
    <w:next w:val="552"/>
    <w:qFormat/>
    <w:uiPriority w:val="0"/>
    <w:pPr>
      <w:tabs>
        <w:tab w:val="left" w:pos="1260"/>
      </w:tabs>
      <w:spacing w:beforeLines="50" w:afterLines="50"/>
      <w:ind w:left="1260" w:hanging="420"/>
      <w:jc w:val="both"/>
      <w:outlineLvl w:val="1"/>
    </w:pPr>
    <w:rPr>
      <w:rFonts w:ascii="黑体" w:hAnsi="Times New Roman" w:eastAsia="黑体" w:cs="Times New Roman"/>
      <w:kern w:val="0"/>
      <w:sz w:val="21"/>
      <w:szCs w:val="20"/>
      <w:lang w:val="en-US" w:eastAsia="zh-CN" w:bidi="ar-SA"/>
    </w:rPr>
  </w:style>
  <w:style w:type="paragraph" w:customStyle="1" w:styleId="552">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553">
    <w:name w:val="正文文本 3 Char"/>
    <w:basedOn w:val="64"/>
    <w:semiHidden/>
    <w:qFormat/>
    <w:uiPriority w:val="99"/>
    <w:rPr>
      <w:rFonts w:ascii="Times New Roman" w:hAnsi="Times New Roman" w:eastAsia="宋体" w:cs="Times New Roman"/>
      <w:sz w:val="16"/>
      <w:szCs w:val="16"/>
    </w:rPr>
  </w:style>
  <w:style w:type="paragraph" w:customStyle="1" w:styleId="554">
    <w:name w:val="Normal0"/>
    <w:qFormat/>
    <w:uiPriority w:val="0"/>
    <w:rPr>
      <w:rFonts w:ascii="Times New Roman" w:hAnsi="Times New Roman" w:eastAsia="宋体" w:cs="Times New Roman"/>
      <w:kern w:val="0"/>
      <w:sz w:val="20"/>
      <w:szCs w:val="20"/>
      <w:lang w:val="en-US" w:eastAsia="en-US" w:bidi="ar-SA"/>
    </w:rPr>
  </w:style>
  <w:style w:type="paragraph" w:customStyle="1" w:styleId="55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556">
    <w:name w:val="插图题注"/>
    <w:next w:val="1"/>
    <w:qFormat/>
    <w:uiPriority w:val="0"/>
    <w:pPr>
      <w:tabs>
        <w:tab w:val="left" w:pos="3780"/>
      </w:tabs>
      <w:spacing w:afterLines="100"/>
      <w:ind w:left="1089" w:hanging="369"/>
      <w:jc w:val="center"/>
    </w:pPr>
    <w:rPr>
      <w:rFonts w:ascii="Arial" w:hAnsi="Arial" w:eastAsia="宋体" w:cs="Times New Roman"/>
      <w:kern w:val="0"/>
      <w:sz w:val="18"/>
      <w:szCs w:val="18"/>
      <w:lang w:val="en-US" w:eastAsia="zh-CN" w:bidi="ar-SA"/>
    </w:rPr>
  </w:style>
  <w:style w:type="paragraph" w:customStyle="1" w:styleId="557">
    <w:name w:val="彩色列表 - 强调文字颜色 11"/>
    <w:basedOn w:val="1"/>
    <w:qFormat/>
    <w:uiPriority w:val="0"/>
    <w:pPr>
      <w:adjustRightInd/>
      <w:ind w:firstLine="420" w:firstLineChars="200"/>
    </w:pPr>
    <w:rPr>
      <w:rFonts w:ascii="Calibri" w:hAnsi="Calibri"/>
      <w:szCs w:val="22"/>
    </w:rPr>
  </w:style>
  <w:style w:type="paragraph" w:customStyle="1" w:styleId="558">
    <w:name w:val="样式 正1 + 首行缩进:  2 字符"/>
    <w:basedOn w:val="1"/>
    <w:qFormat/>
    <w:uiPriority w:val="0"/>
    <w:pPr>
      <w:adjustRightInd/>
      <w:spacing w:line="360" w:lineRule="auto"/>
      <w:ind w:firstLine="480" w:firstLineChars="200"/>
    </w:pPr>
    <w:rPr>
      <w:rFonts w:ascii="仿宋_GB2312" w:eastAsia="仿宋_GB2312"/>
      <w:sz w:val="24"/>
    </w:rPr>
  </w:style>
  <w:style w:type="character" w:customStyle="1" w:styleId="559">
    <w:name w:val="签名 Char"/>
    <w:basedOn w:val="64"/>
    <w:semiHidden/>
    <w:qFormat/>
    <w:uiPriority w:val="99"/>
    <w:rPr>
      <w:rFonts w:ascii="Times New Roman" w:hAnsi="Times New Roman" w:eastAsia="宋体" w:cs="Times New Roman"/>
      <w:szCs w:val="24"/>
    </w:rPr>
  </w:style>
  <w:style w:type="paragraph" w:customStyle="1" w:styleId="56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561">
    <w:name w:val="样式 标题 2标题2H2Heading 2 HiddenHeading 2 CCBSheading 22nd lev..."/>
    <w:basedOn w:val="3"/>
    <w:qFormat/>
    <w:uiPriority w:val="0"/>
    <w:pPr>
      <w:widowControl/>
      <w:tabs>
        <w:tab w:val="left" w:pos="432"/>
      </w:tabs>
      <w:adjustRightInd/>
      <w:jc w:val="left"/>
    </w:pPr>
    <w:rPr>
      <w:rFonts w:ascii="Arial" w:hAnsi="Arial" w:eastAsia="黑体" w:cs="Times New Roman"/>
      <w:sz w:val="30"/>
      <w:szCs w:val="21"/>
      <w:lang w:val="zh-CN"/>
    </w:rPr>
  </w:style>
  <w:style w:type="paragraph" w:customStyle="1" w:styleId="56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63">
    <w:name w:val="标书表格字体格式"/>
    <w:next w:val="535"/>
    <w:qFormat/>
    <w:uiPriority w:val="0"/>
    <w:rPr>
      <w:rFonts w:ascii="Times New Roman" w:hAnsi="Times New Roman" w:eastAsia="宋体" w:cs="Times New Roman"/>
      <w:kern w:val="2"/>
      <w:sz w:val="21"/>
      <w:szCs w:val="24"/>
      <w:lang w:val="en-US" w:eastAsia="zh-CN" w:bidi="ar-SA"/>
    </w:rPr>
  </w:style>
  <w:style w:type="paragraph" w:customStyle="1" w:styleId="56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65">
    <w:name w:val="Char Char1 Char Char Char2"/>
    <w:basedOn w:val="1"/>
    <w:qFormat/>
    <w:uiPriority w:val="0"/>
    <w:rPr>
      <w:rFonts w:ascii="仿宋_GB2312" w:eastAsia="仿宋_GB2312"/>
      <w:b/>
      <w:sz w:val="32"/>
      <w:szCs w:val="32"/>
    </w:rPr>
  </w:style>
  <w:style w:type="paragraph" w:customStyle="1" w:styleId="56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56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56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570">
    <w:name w:val="Char Char11 Char Char Char Char Char Char Char Char Char11"/>
    <w:basedOn w:val="1"/>
    <w:qFormat/>
    <w:uiPriority w:val="0"/>
    <w:pPr>
      <w:spacing w:line="360" w:lineRule="auto"/>
    </w:pPr>
    <w:rPr>
      <w:szCs w:val="20"/>
    </w:rPr>
  </w:style>
  <w:style w:type="paragraph" w:customStyle="1" w:styleId="57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57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76">
    <w:name w:val="p0"/>
    <w:basedOn w:val="1"/>
    <w:qFormat/>
    <w:uiPriority w:val="0"/>
    <w:pPr>
      <w:widowControl/>
      <w:adjustRightInd/>
    </w:pPr>
    <w:rPr>
      <w:kern w:val="0"/>
      <w:szCs w:val="21"/>
    </w:rPr>
  </w:style>
  <w:style w:type="character" w:customStyle="1" w:styleId="577">
    <w:name w:val="HTML 预设格式 Char"/>
    <w:basedOn w:val="64"/>
    <w:semiHidden/>
    <w:qFormat/>
    <w:uiPriority w:val="99"/>
    <w:rPr>
      <w:rFonts w:ascii="Courier New" w:hAnsi="Courier New" w:eastAsia="宋体" w:cs="Courier New"/>
      <w:sz w:val="20"/>
      <w:szCs w:val="20"/>
    </w:rPr>
  </w:style>
  <w:style w:type="paragraph" w:customStyle="1" w:styleId="57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57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580">
    <w:name w:val="CM14"/>
    <w:basedOn w:val="84"/>
    <w:next w:val="84"/>
    <w:qFormat/>
    <w:uiPriority w:val="0"/>
    <w:pPr>
      <w:spacing w:after="68"/>
    </w:pPr>
    <w:rPr>
      <w:rFonts w:ascii="FHLHE E+ Futura Bk" w:eastAsia="FHLHE E+ Futura Bk" w:cs="Times New Roman"/>
      <w:color w:val="auto"/>
    </w:rPr>
  </w:style>
  <w:style w:type="paragraph" w:customStyle="1" w:styleId="58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8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8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584">
    <w:name w:val="列出段落4"/>
    <w:basedOn w:val="1"/>
    <w:qFormat/>
    <w:uiPriority w:val="0"/>
    <w:pPr>
      <w:adjustRightInd/>
      <w:spacing w:line="360" w:lineRule="auto"/>
      <w:ind w:firstLine="420" w:firstLineChars="200"/>
    </w:pPr>
    <w:rPr>
      <w:rFonts w:ascii="Calibri" w:hAnsi="Calibri"/>
      <w:sz w:val="24"/>
      <w:szCs w:val="22"/>
    </w:rPr>
  </w:style>
  <w:style w:type="character" w:customStyle="1" w:styleId="585">
    <w:name w:val="正文文本 2 Char1"/>
    <w:basedOn w:val="64"/>
    <w:semiHidden/>
    <w:qFormat/>
    <w:uiPriority w:val="99"/>
    <w:rPr>
      <w:rFonts w:ascii="Times New Roman" w:hAnsi="Times New Roman" w:eastAsia="宋体" w:cs="Times New Roman"/>
      <w:szCs w:val="24"/>
    </w:rPr>
  </w:style>
  <w:style w:type="paragraph" w:customStyle="1" w:styleId="586">
    <w:name w:val="标准小四"/>
    <w:basedOn w:val="1"/>
    <w:qFormat/>
    <w:uiPriority w:val="0"/>
    <w:pPr>
      <w:spacing w:line="360" w:lineRule="auto"/>
      <w:ind w:firstLine="480" w:firstLineChars="200"/>
    </w:pPr>
    <w:rPr>
      <w:rFonts w:ascii="Arial" w:hAnsi="Arial"/>
      <w:sz w:val="24"/>
      <w:szCs w:val="21"/>
    </w:rPr>
  </w:style>
  <w:style w:type="paragraph" w:customStyle="1" w:styleId="58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8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589">
    <w:name w:val="_Style 27"/>
    <w:qFormat/>
    <w:uiPriority w:val="1"/>
    <w:pPr>
      <w:widowControl w:val="0"/>
      <w:tabs>
        <w:tab w:val="left" w:pos="480"/>
      </w:tabs>
      <w:autoSpaceDE w:val="0"/>
      <w:autoSpaceDN w:val="0"/>
      <w:adjustRightInd w:val="0"/>
      <w:snapToGrid w:val="0"/>
    </w:pPr>
    <w:rPr>
      <w:rFonts w:ascii="Calibri" w:hAnsi="Calibri" w:eastAsia="宋体" w:cs="Times New Roman"/>
      <w:kern w:val="0"/>
      <w:sz w:val="20"/>
      <w:szCs w:val="24"/>
      <w:lang w:val="en-US" w:eastAsia="zh-CN" w:bidi="ar-SA"/>
    </w:rPr>
  </w:style>
  <w:style w:type="paragraph" w:customStyle="1" w:styleId="59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59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9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9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59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59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character" w:customStyle="1" w:styleId="596">
    <w:name w:val="副标题 Char"/>
    <w:basedOn w:val="64"/>
    <w:qFormat/>
    <w:uiPriority w:val="11"/>
    <w:rPr>
      <w:rFonts w:eastAsia="宋体" w:asciiTheme="majorHAnsi" w:hAnsiTheme="majorHAnsi" w:cstheme="majorBidi"/>
      <w:b/>
      <w:bCs/>
      <w:kern w:val="28"/>
      <w:sz w:val="32"/>
      <w:szCs w:val="32"/>
    </w:rPr>
  </w:style>
  <w:style w:type="paragraph" w:customStyle="1" w:styleId="597">
    <w:name w:val="Char Char Char Char Char Char Char2"/>
    <w:basedOn w:val="1"/>
    <w:qFormat/>
    <w:uiPriority w:val="0"/>
    <w:rPr>
      <w:rFonts w:ascii="仿宋_GB2312" w:eastAsia="仿宋_GB2312"/>
      <w:b/>
      <w:sz w:val="32"/>
      <w:szCs w:val="32"/>
    </w:rPr>
  </w:style>
  <w:style w:type="paragraph" w:customStyle="1" w:styleId="59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99">
    <w:name w:val="Char Char Char Char Char Char Char Char Char Char Char1 Char"/>
    <w:basedOn w:val="1"/>
    <w:qFormat/>
    <w:uiPriority w:val="0"/>
    <w:pPr>
      <w:adjustRightInd/>
    </w:pPr>
    <w:rPr>
      <w:rFonts w:ascii="Tahoma" w:hAnsi="Tahoma"/>
      <w:sz w:val="24"/>
    </w:rPr>
  </w:style>
  <w:style w:type="paragraph" w:customStyle="1" w:styleId="60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601">
    <w:name w:val="P1"/>
    <w:basedOn w:val="1"/>
    <w:qFormat/>
    <w:uiPriority w:val="0"/>
    <w:pPr>
      <w:adjustRightInd/>
      <w:spacing w:line="288" w:lineRule="auto"/>
      <w:ind w:firstLine="425" w:firstLineChars="200"/>
    </w:pPr>
  </w:style>
  <w:style w:type="paragraph" w:customStyle="1" w:styleId="60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60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604">
    <w:name w:val="Char Char Char Char"/>
    <w:basedOn w:val="1"/>
    <w:qFormat/>
    <w:uiPriority w:val="0"/>
    <w:rPr>
      <w:rFonts w:ascii="Tahoma" w:hAnsi="Tahoma"/>
      <w:sz w:val="24"/>
      <w:szCs w:val="20"/>
    </w:rPr>
  </w:style>
  <w:style w:type="paragraph" w:customStyle="1" w:styleId="60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character" w:customStyle="1" w:styleId="606">
    <w:name w:val="尾注文本 Char"/>
    <w:basedOn w:val="64"/>
    <w:semiHidden/>
    <w:qFormat/>
    <w:uiPriority w:val="99"/>
    <w:rPr>
      <w:rFonts w:ascii="Times New Roman" w:hAnsi="Times New Roman" w:eastAsia="宋体" w:cs="Times New Roman"/>
      <w:szCs w:val="24"/>
    </w:rPr>
  </w:style>
  <w:style w:type="paragraph" w:customStyle="1" w:styleId="607">
    <w:name w:val="标准有序列表（L1）"/>
    <w:basedOn w:val="14"/>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60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609">
    <w:name w:val="表格内文"/>
    <w:basedOn w:val="1"/>
    <w:qFormat/>
    <w:uiPriority w:val="0"/>
    <w:pPr>
      <w:adjustRightInd/>
      <w:spacing w:line="360" w:lineRule="auto"/>
    </w:pPr>
    <w:rPr>
      <w:rFonts w:ascii="宋体" w:hAnsi="宋体" w:cs="宋体"/>
      <w:color w:val="000000"/>
      <w:szCs w:val="20"/>
    </w:rPr>
  </w:style>
  <w:style w:type="paragraph" w:customStyle="1" w:styleId="61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611">
    <w:name w:val="数字标题2"/>
    <w:basedOn w:val="3"/>
    <w:next w:val="1"/>
    <w:qFormat/>
    <w:uiPriority w:val="0"/>
    <w:pPr>
      <w:tabs>
        <w:tab w:val="left" w:pos="480"/>
      </w:tabs>
      <w:adjustRightInd/>
      <w:spacing w:before="0" w:after="0" w:line="360" w:lineRule="auto"/>
      <w:ind w:left="480" w:hanging="480"/>
      <w:jc w:val="left"/>
    </w:pPr>
    <w:rPr>
      <w:rFonts w:ascii="Times New Roman" w:hAnsi="仿宋" w:eastAsia="宋体" w:cs="Times New Roman"/>
      <w:i/>
      <w:sz w:val="36"/>
      <w:szCs w:val="36"/>
    </w:rPr>
  </w:style>
  <w:style w:type="paragraph" w:customStyle="1" w:styleId="612">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613">
    <w:name w:val="样式 标题 22h2L1 Heading 2H2sect 1.2H21sect 1.21H22sect 1.2..."/>
    <w:basedOn w:val="3"/>
    <w:next w:val="1"/>
    <w:qFormat/>
    <w:uiPriority w:val="0"/>
    <w:pPr>
      <w:tabs>
        <w:tab w:val="left" w:pos="425"/>
      </w:tabs>
      <w:adjustRightInd/>
      <w:spacing w:line="415" w:lineRule="auto"/>
      <w:ind w:left="425" w:hanging="425"/>
      <w:jc w:val="left"/>
    </w:pPr>
    <w:rPr>
      <w:rFonts w:ascii="微软雅黑" w:hAnsi="微软雅黑" w:eastAsia="微软雅黑" w:cs="Times New Roman"/>
    </w:rPr>
  </w:style>
  <w:style w:type="paragraph" w:customStyle="1" w:styleId="61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615">
    <w:name w:val="正文（首行缩进2字符）"/>
    <w:basedOn w:val="1"/>
    <w:qFormat/>
    <w:uiPriority w:val="0"/>
    <w:pPr>
      <w:adjustRightInd/>
      <w:spacing w:line="360" w:lineRule="auto"/>
      <w:ind w:firstLine="480" w:firstLineChars="200"/>
    </w:pPr>
    <w:rPr>
      <w:sz w:val="24"/>
      <w:szCs w:val="20"/>
    </w:rPr>
  </w:style>
  <w:style w:type="paragraph" w:customStyle="1" w:styleId="616">
    <w:name w:val="文档正文"/>
    <w:basedOn w:val="1"/>
    <w:qFormat/>
    <w:uiPriority w:val="0"/>
    <w:pPr>
      <w:spacing w:line="480" w:lineRule="atLeast"/>
      <w:ind w:firstLine="567"/>
      <w:textAlignment w:val="baseline"/>
    </w:pPr>
    <w:rPr>
      <w:kern w:val="0"/>
      <w:sz w:val="24"/>
      <w:szCs w:val="20"/>
    </w:rPr>
  </w:style>
  <w:style w:type="paragraph" w:customStyle="1" w:styleId="617">
    <w:name w:val="Char Char111"/>
    <w:basedOn w:val="1"/>
    <w:qFormat/>
    <w:uiPriority w:val="0"/>
    <w:pPr>
      <w:spacing w:line="360" w:lineRule="auto"/>
    </w:pPr>
    <w:rPr>
      <w:szCs w:val="20"/>
    </w:rPr>
  </w:style>
  <w:style w:type="paragraph" w:customStyle="1" w:styleId="618">
    <w:name w:val="四号　首行缩进"/>
    <w:basedOn w:val="1"/>
    <w:qFormat/>
    <w:uiPriority w:val="0"/>
    <w:pPr>
      <w:adjustRightInd/>
      <w:spacing w:line="360" w:lineRule="auto"/>
    </w:pPr>
    <w:rPr>
      <w:rFonts w:ascii="宋体" w:hAnsi="宋体"/>
      <w:szCs w:val="20"/>
    </w:rPr>
  </w:style>
  <w:style w:type="paragraph" w:customStyle="1" w:styleId="619">
    <w:name w:val="正文表标题"/>
    <w:next w:val="552"/>
    <w:qFormat/>
    <w:uiPriority w:val="0"/>
    <w:pPr>
      <w:tabs>
        <w:tab w:val="left" w:pos="840"/>
      </w:tabs>
      <w:ind w:left="840" w:hanging="420"/>
      <w:jc w:val="center"/>
    </w:pPr>
    <w:rPr>
      <w:rFonts w:ascii="黑体" w:hAnsi="Times New Roman" w:eastAsia="黑体" w:cs="Times New Roman"/>
      <w:kern w:val="0"/>
      <w:sz w:val="21"/>
      <w:szCs w:val="20"/>
      <w:lang w:val="en-US" w:eastAsia="zh-CN" w:bidi="ar-SA"/>
    </w:rPr>
  </w:style>
  <w:style w:type="paragraph" w:customStyle="1" w:styleId="62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621">
    <w:name w:val="批注主题 Char1"/>
    <w:basedOn w:val="97"/>
    <w:semiHidden/>
    <w:qFormat/>
    <w:uiPriority w:val="99"/>
    <w:rPr>
      <w:rFonts w:ascii="Times New Roman" w:hAnsi="Times New Roman" w:eastAsia="宋体" w:cs="Times New Roman"/>
      <w:b/>
      <w:bCs/>
      <w:szCs w:val="24"/>
    </w:rPr>
  </w:style>
  <w:style w:type="paragraph" w:customStyle="1" w:styleId="622">
    <w:name w:val="Char1 Char Char Char4"/>
    <w:basedOn w:val="1"/>
    <w:qFormat/>
    <w:uiPriority w:val="0"/>
    <w:pPr>
      <w:adjustRightInd/>
      <w:ind w:firstLine="200" w:firstLineChars="200"/>
    </w:pPr>
    <w:rPr>
      <w:rFonts w:ascii="Tahoma" w:hAnsi="Tahoma"/>
      <w:sz w:val="24"/>
      <w:szCs w:val="20"/>
    </w:rPr>
  </w:style>
  <w:style w:type="paragraph" w:customStyle="1" w:styleId="62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24">
    <w:name w:val="Char Char1 Char Char Char Char Char Char1"/>
    <w:basedOn w:val="1"/>
    <w:qFormat/>
    <w:uiPriority w:val="0"/>
    <w:rPr>
      <w:rFonts w:ascii="仿宋_GB2312" w:eastAsia="仿宋_GB2312"/>
      <w:b/>
      <w:sz w:val="32"/>
      <w:szCs w:val="20"/>
    </w:rPr>
  </w:style>
  <w:style w:type="paragraph" w:customStyle="1" w:styleId="62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character" w:customStyle="1" w:styleId="627">
    <w:name w:val="正文文本缩进 3 Char"/>
    <w:basedOn w:val="64"/>
    <w:semiHidden/>
    <w:qFormat/>
    <w:uiPriority w:val="99"/>
    <w:rPr>
      <w:rFonts w:ascii="Times New Roman" w:hAnsi="Times New Roman" w:eastAsia="宋体" w:cs="Times New Roman"/>
      <w:sz w:val="16"/>
      <w:szCs w:val="16"/>
    </w:rPr>
  </w:style>
  <w:style w:type="paragraph" w:customStyle="1" w:styleId="628">
    <w:name w:val="Char2 Char Char Char1"/>
    <w:basedOn w:val="1"/>
    <w:qFormat/>
    <w:uiPriority w:val="6"/>
    <w:rPr>
      <w:rFonts w:ascii="仿宋_GB2312" w:eastAsia="仿宋_GB2312"/>
      <w:b/>
      <w:sz w:val="32"/>
      <w:szCs w:val="32"/>
    </w:rPr>
  </w:style>
  <w:style w:type="paragraph" w:customStyle="1" w:styleId="629">
    <w:name w:val="正文文字缩进2字"/>
    <w:basedOn w:val="22"/>
    <w:qFormat/>
    <w:uiPriority w:val="0"/>
    <w:pPr>
      <w:adjustRightInd/>
      <w:spacing w:before="60" w:after="60" w:line="360" w:lineRule="auto"/>
      <w:ind w:firstLine="200" w:firstLineChars="200"/>
    </w:pPr>
    <w:rPr>
      <w:rFonts w:hAnsi="Arial" w:cs="Arial"/>
      <w:snapToGrid w:val="0"/>
      <w:sz w:val="24"/>
      <w:szCs w:val="20"/>
    </w:rPr>
  </w:style>
  <w:style w:type="paragraph" w:customStyle="1" w:styleId="630">
    <w:name w:val="样式 标题 1章节第一层h1H"/>
    <w:basedOn w:val="2"/>
    <w:qFormat/>
    <w:uiPriority w:val="0"/>
    <w:pPr>
      <w:widowControl w:val="0"/>
      <w:tabs>
        <w:tab w:val="left" w:pos="432"/>
      </w:tabs>
      <w:autoSpaceDE w:val="0"/>
      <w:autoSpaceDN w:val="0"/>
      <w:adjustRightInd w:val="0"/>
      <w:spacing w:before="0" w:beforeAutospacing="0" w:after="0" w:afterAutospacing="0"/>
      <w:outlineLvl w:val="9"/>
    </w:pPr>
    <w:rPr>
      <w:rFonts w:ascii="Times New Roman" w:hAnsi="Times New Roman" w:cs="Times New Roman"/>
      <w:kern w:val="0"/>
      <w:sz w:val="52"/>
      <w:szCs w:val="52"/>
      <w:lang w:val="zh-CN"/>
    </w:rPr>
  </w:style>
  <w:style w:type="paragraph" w:customStyle="1" w:styleId="63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3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34">
    <w:name w:val="Picture"/>
    <w:basedOn w:val="1"/>
    <w:next w:val="15"/>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35">
    <w:name w:val="!大节"/>
    <w:basedOn w:val="3"/>
    <w:qFormat/>
    <w:uiPriority w:val="0"/>
    <w:pPr>
      <w:tabs>
        <w:tab w:val="left" w:pos="432"/>
      </w:tabs>
      <w:adjustRightInd/>
      <w:spacing w:line="415" w:lineRule="auto"/>
      <w:ind w:left="420" w:hanging="420"/>
      <w:jc w:val="left"/>
    </w:pPr>
    <w:rPr>
      <w:rFonts w:ascii="Arial" w:hAnsi="Arial" w:eastAsia="微软雅黑" w:cs="Times New Roman"/>
    </w:rPr>
  </w:style>
  <w:style w:type="character" w:customStyle="1" w:styleId="636">
    <w:name w:val="称呼 Char"/>
    <w:basedOn w:val="64"/>
    <w:semiHidden/>
    <w:qFormat/>
    <w:uiPriority w:val="99"/>
    <w:rPr>
      <w:rFonts w:ascii="Times New Roman" w:hAnsi="Times New Roman" w:eastAsia="宋体" w:cs="Times New Roman"/>
      <w:szCs w:val="24"/>
    </w:rPr>
  </w:style>
  <w:style w:type="paragraph" w:customStyle="1" w:styleId="637">
    <w:name w:val="Char1 Char Char Char21"/>
    <w:basedOn w:val="1"/>
    <w:qFormat/>
    <w:uiPriority w:val="0"/>
    <w:rPr>
      <w:rFonts w:ascii="Tahoma" w:hAnsi="Tahoma"/>
      <w:sz w:val="24"/>
      <w:szCs w:val="20"/>
    </w:rPr>
  </w:style>
  <w:style w:type="paragraph" w:customStyle="1" w:styleId="63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character" w:customStyle="1" w:styleId="639">
    <w:name w:val="文档结构图 Char1"/>
    <w:basedOn w:val="64"/>
    <w:semiHidden/>
    <w:qFormat/>
    <w:uiPriority w:val="99"/>
    <w:rPr>
      <w:rFonts w:ascii="宋体" w:hAnsi="Times New Roman" w:eastAsia="宋体" w:cs="Times New Roman"/>
      <w:sz w:val="18"/>
      <w:szCs w:val="18"/>
    </w:rPr>
  </w:style>
  <w:style w:type="paragraph" w:customStyle="1" w:styleId="640">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4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2">
    <w:name w:val="表格"/>
    <w:basedOn w:val="1"/>
    <w:qFormat/>
    <w:uiPriority w:val="0"/>
    <w:pPr>
      <w:snapToGrid w:val="0"/>
      <w:ind w:firstLine="42" w:firstLineChars="21"/>
    </w:pPr>
    <w:rPr>
      <w:rFonts w:ascii="宋体" w:hAnsi="宋体"/>
      <w:kern w:val="0"/>
      <w:sz w:val="20"/>
      <w:szCs w:val="20"/>
    </w:rPr>
  </w:style>
  <w:style w:type="paragraph" w:customStyle="1" w:styleId="64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644">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64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46">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7">
    <w:name w:val="中文标题 3"/>
    <w:basedOn w:val="25"/>
    <w:qFormat/>
    <w:uiPriority w:val="0"/>
    <w:pPr>
      <w:spacing w:before="100" w:beforeAutospacing="1" w:after="100" w:afterAutospacing="1" w:line="360" w:lineRule="auto"/>
      <w:ind w:left="0" w:firstLine="482" w:firstLineChars="0"/>
    </w:pPr>
    <w:rPr>
      <w:rFonts w:ascii="Times New Roman" w:hAnsi="Times New Roman" w:eastAsia="楷体_GB2312" w:cs="Times New Roman"/>
      <w:kern w:val="28"/>
    </w:rPr>
  </w:style>
  <w:style w:type="paragraph" w:customStyle="1" w:styleId="64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4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0"/>
      <w:lang w:val="en-US" w:eastAsia="zh-CN" w:bidi="ar-SA"/>
    </w:rPr>
  </w:style>
  <w:style w:type="paragraph" w:customStyle="1" w:styleId="650">
    <w:name w:val="三级条标题"/>
    <w:basedOn w:val="651"/>
    <w:next w:val="552"/>
    <w:qFormat/>
    <w:uiPriority w:val="0"/>
    <w:pPr>
      <w:tabs>
        <w:tab w:val="left" w:pos="1260"/>
        <w:tab w:val="left" w:pos="2100"/>
        <w:tab w:val="left" w:pos="2520"/>
      </w:tabs>
      <w:ind w:left="2520"/>
      <w:outlineLvl w:val="4"/>
    </w:pPr>
  </w:style>
  <w:style w:type="paragraph" w:customStyle="1" w:styleId="651">
    <w:name w:val="二级条标题"/>
    <w:basedOn w:val="550"/>
    <w:next w:val="552"/>
    <w:qFormat/>
    <w:uiPriority w:val="0"/>
    <w:pPr>
      <w:tabs>
        <w:tab w:val="left" w:pos="2100"/>
        <w:tab w:val="clear" w:pos="1680"/>
      </w:tabs>
      <w:ind w:left="0"/>
      <w:outlineLvl w:val="3"/>
    </w:pPr>
  </w:style>
  <w:style w:type="paragraph" w:customStyle="1" w:styleId="652">
    <w:name w:val="正文文字表格居中"/>
    <w:basedOn w:val="1"/>
    <w:next w:val="51"/>
    <w:qFormat/>
    <w:uiPriority w:val="0"/>
    <w:pPr>
      <w:snapToGrid w:val="0"/>
      <w:spacing w:line="360" w:lineRule="auto"/>
    </w:pPr>
    <w:rPr>
      <w:rFonts w:ascii="宋体"/>
      <w:b/>
      <w:sz w:val="24"/>
      <w:szCs w:val="20"/>
    </w:rPr>
  </w:style>
  <w:style w:type="paragraph" w:customStyle="1" w:styleId="653">
    <w:name w:val="Item Step in Table"/>
    <w:qFormat/>
    <w:uiPriority w:val="0"/>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6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65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656">
    <w:name w:val="Char Char1101"/>
    <w:basedOn w:val="1"/>
    <w:qFormat/>
    <w:uiPriority w:val="0"/>
    <w:pPr>
      <w:spacing w:line="360" w:lineRule="auto"/>
    </w:pPr>
    <w:rPr>
      <w:rFonts w:ascii="Tahoma" w:hAnsi="Tahoma"/>
      <w:sz w:val="24"/>
      <w:szCs w:val="20"/>
    </w:rPr>
  </w:style>
  <w:style w:type="paragraph" w:customStyle="1" w:styleId="657">
    <w:name w:val="正文－恩普"/>
    <w:basedOn w:val="14"/>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65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65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6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61">
    <w:name w:val="样式 标题 1Level 1 HeadPIM 1Section Headh1l11Heading 0Datash..."/>
    <w:basedOn w:val="2"/>
    <w:qFormat/>
    <w:uiPriority w:val="0"/>
    <w:pPr>
      <w:tabs>
        <w:tab w:val="left" w:pos="432"/>
      </w:tabs>
      <w:overflowPunct w:val="0"/>
      <w:autoSpaceDE w:val="0"/>
      <w:autoSpaceDN w:val="0"/>
      <w:adjustRightInd w:val="0"/>
      <w:spacing w:before="0" w:beforeAutospacing="0" w:afterAutospacing="0" w:line="360" w:lineRule="auto"/>
      <w:textAlignment w:val="baseline"/>
    </w:pPr>
    <w:rPr>
      <w:rFonts w:cs="Times New Roman"/>
      <w:kern w:val="2"/>
      <w:sz w:val="24"/>
      <w:szCs w:val="20"/>
    </w:rPr>
  </w:style>
  <w:style w:type="paragraph" w:customStyle="1" w:styleId="662">
    <w:name w:val="TOC 标题111"/>
    <w:basedOn w:val="2"/>
    <w:next w:val="1"/>
    <w:unhideWhenUsed/>
    <w:qFormat/>
    <w:uiPriority w:val="0"/>
    <w:pPr>
      <w:keepNext/>
      <w:keepLines/>
      <w:tabs>
        <w:tab w:val="left" w:pos="432"/>
      </w:tab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66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664">
    <w:name w:val="Char3 Char Char Char1"/>
    <w:basedOn w:val="1"/>
    <w:qFormat/>
    <w:uiPriority w:val="6"/>
    <w:pPr>
      <w:widowControl/>
      <w:adjustRightInd/>
      <w:spacing w:after="160" w:line="240" w:lineRule="exact"/>
      <w:jc w:val="left"/>
    </w:pPr>
    <w:rPr>
      <w:szCs w:val="20"/>
    </w:rPr>
  </w:style>
  <w:style w:type="paragraph" w:customStyle="1" w:styleId="665">
    <w:name w:val="EB_表格"/>
    <w:basedOn w:val="1"/>
    <w:qFormat/>
    <w:uiPriority w:val="0"/>
    <w:pPr>
      <w:adjustRightInd/>
      <w:spacing w:line="300" w:lineRule="auto"/>
      <w:jc w:val="center"/>
    </w:pPr>
  </w:style>
  <w:style w:type="paragraph" w:customStyle="1" w:styleId="666">
    <w:name w:val="样式 标题 3标题 3 Char第二层条h33Bold Headbh章标题1小标题level_3PIM 3..."/>
    <w:basedOn w:val="4"/>
    <w:qFormat/>
    <w:uiPriority w:val="0"/>
    <w:pPr>
      <w:tabs>
        <w:tab w:val="left" w:pos="900"/>
      </w:tabs>
      <w:snapToGrid w:val="0"/>
      <w:spacing w:before="0" w:after="0" w:line="360" w:lineRule="auto"/>
      <w:ind w:left="900" w:hanging="720"/>
    </w:pPr>
    <w:rPr>
      <w:rFonts w:ascii="黑体" w:hAnsi="宋体" w:eastAsia="黑体" w:cs="宋体"/>
      <w:b w:val="0"/>
      <w:bCs w:val="0"/>
      <w:color w:val="000000"/>
      <w:kern w:val="0"/>
      <w:sz w:val="28"/>
      <w:szCs w:val="20"/>
    </w:rPr>
  </w:style>
  <w:style w:type="paragraph" w:customStyle="1" w:styleId="667">
    <w:name w:val="样式 标题 1 + 黑色 段前: 0.5 行 段后: 0.5 行1"/>
    <w:basedOn w:val="2"/>
    <w:qFormat/>
    <w:uiPriority w:val="0"/>
    <w:pPr>
      <w:keepNext/>
      <w:pageBreakBefore/>
      <w:widowControl w:val="0"/>
      <w:pBdr>
        <w:top w:val="single" w:color="auto" w:sz="4" w:space="1"/>
        <w:left w:val="single" w:color="auto" w:sz="4" w:space="4"/>
        <w:bottom w:val="single" w:color="auto" w:sz="4" w:space="1"/>
        <w:right w:val="single" w:color="auto" w:sz="4" w:space="4"/>
      </w:pBdr>
      <w:shd w:val="clear" w:color="auto" w:fill="333399"/>
      <w:tabs>
        <w:tab w:val="left" w:pos="432"/>
      </w:tabs>
      <w:spacing w:before="0" w:beforeAutospacing="0" w:after="0" w:afterAutospacing="0" w:line="640" w:lineRule="exact"/>
      <w:ind w:left="431" w:hanging="431"/>
      <w:jc w:val="center"/>
    </w:pPr>
    <w:rPr>
      <w:rFonts w:ascii="黑体" w:hAnsi="黑体" w:eastAsia="黑体" w:cs="Arial"/>
      <w:caps/>
      <w:color w:val="FFFFFF"/>
      <w:kern w:val="2"/>
      <w:sz w:val="30"/>
      <w:szCs w:val="20"/>
    </w:rPr>
  </w:style>
  <w:style w:type="paragraph" w:customStyle="1" w:styleId="668">
    <w:name w:val="正文首行缩进1"/>
    <w:basedOn w:val="22"/>
    <w:qFormat/>
    <w:uiPriority w:val="0"/>
    <w:pPr>
      <w:suppressAutoHyphens/>
      <w:adjustRightInd/>
      <w:ind w:firstLine="420"/>
      <w:jc w:val="left"/>
    </w:pPr>
    <w:rPr>
      <w:rFonts w:hAnsi="Arial" w:cs="Arial"/>
      <w:snapToGrid w:val="0"/>
      <w:kern w:val="1"/>
      <w:sz w:val="28"/>
      <w:lang w:eastAsia="ar-SA"/>
    </w:rPr>
  </w:style>
  <w:style w:type="paragraph" w:customStyle="1" w:styleId="66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7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7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672">
    <w:name w:val="Char Char1121"/>
    <w:basedOn w:val="1"/>
    <w:qFormat/>
    <w:uiPriority w:val="0"/>
    <w:pPr>
      <w:spacing w:line="360" w:lineRule="auto"/>
    </w:pPr>
    <w:rPr>
      <w:szCs w:val="20"/>
    </w:rPr>
  </w:style>
  <w:style w:type="paragraph" w:customStyle="1" w:styleId="67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674">
    <w:name w:val="正文1"/>
    <w:basedOn w:val="31"/>
    <w:qFormat/>
    <w:uiPriority w:val="0"/>
    <w:pPr>
      <w:tabs>
        <w:tab w:val="right" w:leader="dot" w:pos="8268"/>
      </w:tabs>
      <w:spacing w:line="460" w:lineRule="exact"/>
      <w:ind w:left="0" w:leftChars="0" w:firstLine="480" w:firstLineChars="200"/>
    </w:pPr>
    <w:rPr>
      <w:rFonts w:ascii="仿宋_GB2312" w:hAnsi="Courier New" w:eastAsia="仿宋_GB2312"/>
      <w:kern w:val="28"/>
      <w:sz w:val="24"/>
    </w:rPr>
  </w:style>
  <w:style w:type="paragraph" w:customStyle="1" w:styleId="675">
    <w:name w:val="_Style 12"/>
    <w:basedOn w:val="17"/>
    <w:qFormat/>
    <w:uiPriority w:val="0"/>
    <w:pPr>
      <w:snapToGrid w:val="0"/>
      <w:spacing w:line="360" w:lineRule="auto"/>
    </w:pPr>
  </w:style>
  <w:style w:type="paragraph" w:customStyle="1" w:styleId="676">
    <w:name w:val="模板普通正文"/>
    <w:basedOn w:val="25"/>
    <w:qFormat/>
    <w:uiPriority w:val="0"/>
    <w:pPr>
      <w:spacing w:beforeLines="50" w:after="10" w:line="360" w:lineRule="auto"/>
      <w:ind w:left="0" w:firstLine="175" w:firstLineChars="175"/>
      <w:jc w:val="left"/>
    </w:pPr>
    <w:rPr>
      <w:rFonts w:ascii="Times New Roman" w:hAnsi="Times New Roman" w:eastAsia="宋体" w:cs="Times New Roman"/>
    </w:rPr>
  </w:style>
  <w:style w:type="paragraph" w:customStyle="1" w:styleId="677">
    <w:name w:val="Char1 Char Char Char2"/>
    <w:basedOn w:val="1"/>
    <w:qFormat/>
    <w:uiPriority w:val="0"/>
    <w:pPr>
      <w:adjustRightInd/>
      <w:ind w:firstLine="200" w:firstLineChars="200"/>
    </w:pPr>
    <w:rPr>
      <w:rFonts w:ascii="Tahoma" w:hAnsi="Tahoma"/>
      <w:sz w:val="24"/>
      <w:szCs w:val="20"/>
    </w:rPr>
  </w:style>
  <w:style w:type="paragraph" w:customStyle="1" w:styleId="67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67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683">
    <w:name w:val="Char Char Char Char11"/>
    <w:basedOn w:val="1"/>
    <w:qFormat/>
    <w:uiPriority w:val="0"/>
    <w:rPr>
      <w:rFonts w:ascii="Tahoma" w:hAnsi="Tahoma"/>
      <w:sz w:val="24"/>
      <w:szCs w:val="20"/>
    </w:rPr>
  </w:style>
  <w:style w:type="paragraph" w:customStyle="1" w:styleId="684">
    <w:name w:val="有符号正文"/>
    <w:basedOn w:val="1"/>
    <w:qFormat/>
    <w:uiPriority w:val="0"/>
    <w:pPr>
      <w:adjustRightInd/>
      <w:spacing w:line="400" w:lineRule="exact"/>
      <w:ind w:firstLine="200" w:firstLineChars="200"/>
    </w:pPr>
    <w:rPr>
      <w:rFonts w:ascii="Arial" w:hAnsi="Arial"/>
    </w:rPr>
  </w:style>
  <w:style w:type="paragraph" w:customStyle="1" w:styleId="685">
    <w:name w:val="样式 标题 2 + 四号"/>
    <w:basedOn w:val="3"/>
    <w:qFormat/>
    <w:uiPriority w:val="0"/>
    <w:pPr>
      <w:tabs>
        <w:tab w:val="left" w:pos="432"/>
      </w:tabs>
      <w:adjustRightInd/>
      <w:spacing w:before="120" w:after="120" w:line="360" w:lineRule="auto"/>
    </w:pPr>
    <w:rPr>
      <w:rFonts w:ascii="宋体" w:hAnsi="Arial" w:eastAsia="宋体" w:cs="Times New Roman"/>
      <w:sz w:val="28"/>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样式 标题 4PIM 4H4h4bulletblbbH41H42H43H44H45H46H47H48...1"/>
    <w:basedOn w:val="5"/>
    <w:qFormat/>
    <w:uiPriority w:val="0"/>
    <w:pPr>
      <w:widowControl/>
      <w:jc w:val="left"/>
    </w:pPr>
    <w:rPr>
      <w:rFonts w:cs="宋体"/>
      <w:sz w:val="24"/>
      <w:szCs w:val="20"/>
    </w:rPr>
  </w:style>
  <w:style w:type="paragraph" w:customStyle="1" w:styleId="688">
    <w:name w:val="样式 正文文本缩进 + 左侧:  2 字符 首行缩进:  2 字符"/>
    <w:basedOn w:val="25"/>
    <w:qFormat/>
    <w:uiPriority w:val="0"/>
    <w:pPr>
      <w:tabs>
        <w:tab w:val="left" w:pos="360"/>
        <w:tab w:val="left" w:pos="540"/>
      </w:tabs>
      <w:spacing w:line="520" w:lineRule="exact"/>
      <w:ind w:left="200" w:firstLine="560" w:firstLineChars="200"/>
    </w:pPr>
    <w:rPr>
      <w:rFonts w:ascii="仿宋_GB2312" w:hAnsi="Times New Roman" w:eastAsia="仿宋_GB2312" w:cs="Times New Roman"/>
      <w:sz w:val="28"/>
      <w:szCs w:val="20"/>
    </w:rPr>
  </w:style>
  <w:style w:type="paragraph" w:customStyle="1" w:styleId="689">
    <w:name w:val="_Style 3"/>
    <w:basedOn w:val="1"/>
    <w:qFormat/>
    <w:uiPriority w:val="0"/>
    <w:pPr>
      <w:adjustRightInd/>
      <w:ind w:firstLine="420" w:firstLineChars="200"/>
    </w:pPr>
    <w:rPr>
      <w:rFonts w:eastAsia="仿宋_GB2312"/>
      <w:sz w:val="28"/>
    </w:rPr>
  </w:style>
  <w:style w:type="paragraph" w:customStyle="1" w:styleId="690">
    <w:name w:val="Char Char Char Char Char Char Char Char Char Char Char Char1 Char1"/>
    <w:basedOn w:val="1"/>
    <w:qFormat/>
    <w:uiPriority w:val="6"/>
    <w:rPr>
      <w:rFonts w:ascii="Tahoma" w:hAnsi="Tahoma" w:cs="仿宋_GB2312"/>
      <w:sz w:val="24"/>
      <w:szCs w:val="20"/>
    </w:rPr>
  </w:style>
  <w:style w:type="paragraph" w:customStyle="1" w:styleId="69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692">
    <w:name w:val="Char Char Char"/>
    <w:basedOn w:val="1"/>
    <w:qFormat/>
    <w:uiPriority w:val="0"/>
    <w:rPr>
      <w:rFonts w:ascii="Tahoma" w:hAnsi="Tahoma"/>
      <w:sz w:val="24"/>
      <w:szCs w:val="20"/>
    </w:rPr>
  </w:style>
  <w:style w:type="paragraph" w:customStyle="1" w:styleId="693">
    <w:name w:val="标题4_自定义"/>
    <w:basedOn w:val="5"/>
    <w:qFormat/>
    <w:uiPriority w:val="0"/>
    <w:pPr>
      <w:adjustRightInd/>
      <w:spacing w:before="0" w:after="0" w:line="360" w:lineRule="auto"/>
    </w:pPr>
    <w:rPr>
      <w:rFonts w:ascii="Verdana" w:eastAsia="Verdana"/>
      <w:sz w:val="21"/>
      <w:lang w:val="en-US"/>
    </w:rPr>
  </w:style>
  <w:style w:type="paragraph" w:customStyle="1" w:styleId="69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69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696">
    <w:name w:val="Char Char Char Char Char Char Char Char"/>
    <w:basedOn w:val="1"/>
    <w:qFormat/>
    <w:uiPriority w:val="0"/>
    <w:pPr>
      <w:tabs>
        <w:tab w:val="left" w:pos="360"/>
      </w:tabs>
    </w:pPr>
    <w:rPr>
      <w:sz w:val="24"/>
      <w:szCs w:val="20"/>
    </w:rPr>
  </w:style>
  <w:style w:type="paragraph" w:customStyle="1" w:styleId="697">
    <w:name w:val="Char Char11 Char Char Char Char Char Char Char Char Char"/>
    <w:basedOn w:val="1"/>
    <w:qFormat/>
    <w:uiPriority w:val="0"/>
    <w:pPr>
      <w:spacing w:line="360" w:lineRule="auto"/>
    </w:pPr>
    <w:rPr>
      <w:szCs w:val="20"/>
    </w:rPr>
  </w:style>
  <w:style w:type="paragraph" w:customStyle="1" w:styleId="69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699">
    <w:name w:val="左对齐表格文字"/>
    <w:basedOn w:val="1"/>
    <w:qFormat/>
    <w:uiPriority w:val="0"/>
    <w:pPr>
      <w:adjustRightInd/>
      <w:ind w:firstLine="200" w:firstLineChars="200"/>
      <w:jc w:val="right"/>
    </w:pPr>
  </w:style>
  <w:style w:type="paragraph" w:customStyle="1" w:styleId="700">
    <w:name w:val="MM Topic 2"/>
    <w:basedOn w:val="3"/>
    <w:qFormat/>
    <w:uiPriority w:val="0"/>
    <w:pPr>
      <w:tabs>
        <w:tab w:val="left" w:pos="1260"/>
      </w:tabs>
      <w:adjustRightInd/>
      <w:spacing w:before="0" w:after="0" w:line="360" w:lineRule="auto"/>
      <w:ind w:left="1260" w:hanging="420"/>
      <w:jc w:val="left"/>
    </w:pPr>
    <w:rPr>
      <w:rFonts w:ascii="Arial" w:hAnsi="Arial" w:eastAsia="黑体" w:cs="Times New Roman"/>
    </w:rPr>
  </w:style>
  <w:style w:type="paragraph" w:customStyle="1" w:styleId="70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702">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703">
    <w:name w:val="五级无标题条"/>
    <w:basedOn w:val="1"/>
    <w:qFormat/>
    <w:uiPriority w:val="0"/>
    <w:pPr>
      <w:adjustRightInd/>
    </w:pPr>
  </w:style>
  <w:style w:type="paragraph" w:customStyle="1" w:styleId="70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0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06">
    <w:name w:val="正文21"/>
    <w:basedOn w:val="1"/>
    <w:qFormat/>
    <w:uiPriority w:val="0"/>
    <w:pPr>
      <w:adjustRightInd/>
      <w:spacing w:before="156" w:line="360" w:lineRule="auto"/>
      <w:ind w:firstLine="510" w:firstLineChars="200"/>
    </w:pPr>
    <w:rPr>
      <w:sz w:val="24"/>
      <w:szCs w:val="20"/>
    </w:rPr>
  </w:style>
  <w:style w:type="paragraph" w:customStyle="1" w:styleId="70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70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709">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71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11">
    <w:name w:val="subhead"/>
    <w:qFormat/>
    <w:uiPriority w:val="0"/>
    <w:pPr>
      <w:spacing w:after="120" w:line="300" w:lineRule="exact"/>
    </w:pPr>
    <w:rPr>
      <w:rFonts w:ascii="Arial" w:hAnsi="Arial" w:eastAsia="宋体" w:cs="Times New Roman"/>
      <w:b/>
      <w:kern w:val="0"/>
      <w:sz w:val="26"/>
      <w:szCs w:val="20"/>
      <w:lang w:val="en-US" w:eastAsia="en-US" w:bidi="ar-SA"/>
    </w:rPr>
  </w:style>
  <w:style w:type="paragraph" w:customStyle="1" w:styleId="71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71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71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5">
    <w:name w:val="样式 正文文本缩进 + 段前: 2 字符"/>
    <w:basedOn w:val="1"/>
    <w:qFormat/>
    <w:uiPriority w:val="0"/>
    <w:pPr>
      <w:adjustRightInd/>
      <w:ind w:left="420" w:leftChars="200"/>
      <w:jc w:val="left"/>
    </w:pPr>
    <w:rPr>
      <w:sz w:val="28"/>
      <w:szCs w:val="20"/>
      <w:lang w:eastAsia="zh-TW"/>
    </w:rPr>
  </w:style>
  <w:style w:type="paragraph" w:customStyle="1" w:styleId="716">
    <w:name w:val="_Style 11"/>
    <w:basedOn w:val="1"/>
    <w:qFormat/>
    <w:uiPriority w:val="34"/>
    <w:pPr>
      <w:adjustRightInd/>
      <w:ind w:firstLine="420" w:firstLineChars="200"/>
    </w:pPr>
    <w:rPr>
      <w:rFonts w:eastAsia="仿宋_GB2312"/>
      <w:sz w:val="28"/>
    </w:rPr>
  </w:style>
  <w:style w:type="paragraph" w:customStyle="1" w:styleId="71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718">
    <w:name w:val="彩色列表 - 强调文字颜色 12"/>
    <w:basedOn w:val="1"/>
    <w:qFormat/>
    <w:uiPriority w:val="0"/>
    <w:pPr>
      <w:adjustRightInd/>
      <w:ind w:firstLine="420" w:firstLineChars="200"/>
    </w:pPr>
    <w:rPr>
      <w:rFonts w:ascii="Calibri" w:hAnsi="Calibri"/>
      <w:szCs w:val="22"/>
    </w:rPr>
  </w:style>
  <w:style w:type="paragraph" w:customStyle="1" w:styleId="719">
    <w:name w:val="Char1 Char Char Char5"/>
    <w:basedOn w:val="1"/>
    <w:qFormat/>
    <w:uiPriority w:val="0"/>
    <w:pPr>
      <w:adjustRightInd/>
      <w:ind w:firstLine="200" w:firstLineChars="200"/>
    </w:pPr>
    <w:rPr>
      <w:rFonts w:ascii="Tahoma" w:hAnsi="Tahoma"/>
      <w:sz w:val="24"/>
      <w:szCs w:val="20"/>
    </w:rPr>
  </w:style>
  <w:style w:type="paragraph" w:customStyle="1" w:styleId="72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en-US" w:bidi="ar-SA"/>
    </w:rPr>
  </w:style>
  <w:style w:type="paragraph" w:customStyle="1" w:styleId="72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72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72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724">
    <w:name w:val="Char Char11 Char Char Char"/>
    <w:basedOn w:val="1"/>
    <w:qFormat/>
    <w:uiPriority w:val="0"/>
    <w:pPr>
      <w:spacing w:line="360" w:lineRule="auto"/>
    </w:pPr>
    <w:rPr>
      <w:szCs w:val="20"/>
    </w:rPr>
  </w:style>
  <w:style w:type="paragraph" w:customStyle="1" w:styleId="72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726">
    <w:name w:val="修订2"/>
    <w:qFormat/>
    <w:uiPriority w:val="0"/>
    <w:rPr>
      <w:rFonts w:ascii="Times New Roman" w:hAnsi="Times New Roman" w:eastAsia="宋体" w:cs="Times New Roman"/>
      <w:kern w:val="2"/>
      <w:sz w:val="21"/>
      <w:szCs w:val="20"/>
      <w:lang w:val="en-US" w:eastAsia="zh-CN" w:bidi="ar-SA"/>
    </w:rPr>
  </w:style>
  <w:style w:type="paragraph" w:customStyle="1" w:styleId="727">
    <w:name w:val="Char2 Char Char"/>
    <w:basedOn w:val="1"/>
    <w:qFormat/>
    <w:uiPriority w:val="0"/>
    <w:pPr>
      <w:adjustRightInd/>
    </w:pPr>
    <w:rPr>
      <w:rFonts w:ascii="Tahoma" w:hAnsi="Tahoma"/>
      <w:sz w:val="24"/>
      <w:szCs w:val="20"/>
    </w:rPr>
  </w:style>
  <w:style w:type="paragraph" w:customStyle="1" w:styleId="72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2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30">
    <w:name w:val="文章标题"/>
    <w:next w:val="731"/>
    <w:qFormat/>
    <w:uiPriority w:val="0"/>
    <w:pPr>
      <w:spacing w:beforeLines="800" w:afterLines="100"/>
      <w:jc w:val="center"/>
    </w:pPr>
    <w:rPr>
      <w:rFonts w:ascii="Arial" w:hAnsi="Arial" w:eastAsia="黑体" w:cs="宋体"/>
      <w:bCs/>
      <w:kern w:val="2"/>
      <w:sz w:val="52"/>
      <w:szCs w:val="20"/>
      <w:lang w:val="en-US" w:eastAsia="zh-CN" w:bidi="ar-SA"/>
    </w:rPr>
  </w:style>
  <w:style w:type="paragraph" w:customStyle="1" w:styleId="731">
    <w:name w:val="封面公司名"/>
    <w:qFormat/>
    <w:uiPriority w:val="0"/>
    <w:pPr>
      <w:jc w:val="center"/>
    </w:pPr>
    <w:rPr>
      <w:rFonts w:ascii="Arial" w:hAnsi="Arial" w:eastAsia="楷体_GB2312" w:cs="宋体"/>
      <w:bCs/>
      <w:kern w:val="2"/>
      <w:sz w:val="28"/>
      <w:szCs w:val="20"/>
      <w:lang w:val="en-US" w:eastAsia="zh-CN" w:bidi="ar-SA"/>
    </w:rPr>
  </w:style>
  <w:style w:type="paragraph" w:customStyle="1" w:styleId="732">
    <w:name w:val="Table Cell"/>
    <w:qFormat/>
    <w:uiPriority w:val="0"/>
    <w:pPr>
      <w:adjustRightInd w:val="0"/>
      <w:snapToGrid w:val="0"/>
      <w:spacing w:before="20" w:after="20"/>
    </w:pPr>
    <w:rPr>
      <w:rFonts w:ascii="Courier New" w:hAnsi="Courier New" w:eastAsia="宋体" w:cs="Times New Roman"/>
      <w:kern w:val="0"/>
      <w:sz w:val="24"/>
      <w:szCs w:val="20"/>
      <w:lang w:val="en-US" w:eastAsia="zh-CN" w:bidi="ar-SA"/>
    </w:rPr>
  </w:style>
  <w:style w:type="paragraph" w:customStyle="1" w:styleId="73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734">
    <w:name w:val="样式3"/>
    <w:basedOn w:val="491"/>
    <w:qFormat/>
    <w:uiPriority w:val="0"/>
    <w:pPr>
      <w:spacing w:beforeLines="100"/>
      <w:jc w:val="left"/>
    </w:pPr>
  </w:style>
  <w:style w:type="paragraph" w:customStyle="1" w:styleId="73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736">
    <w:name w:val="Char Char1 Char Char1 Char Char1"/>
    <w:basedOn w:val="1"/>
    <w:qFormat/>
    <w:uiPriority w:val="0"/>
    <w:pPr>
      <w:tabs>
        <w:tab w:val="left" w:pos="840"/>
      </w:tabs>
      <w:ind w:left="840" w:hanging="420"/>
    </w:pPr>
    <w:rPr>
      <w:rFonts w:ascii="Tahoma" w:hAnsi="Tahoma"/>
      <w:sz w:val="24"/>
    </w:rPr>
  </w:style>
  <w:style w:type="paragraph" w:customStyle="1" w:styleId="737">
    <w:name w:val="Char1"/>
    <w:basedOn w:val="1"/>
    <w:qFormat/>
    <w:uiPriority w:val="0"/>
    <w:rPr>
      <w:rFonts w:ascii="仿宋_GB2312" w:eastAsia="仿宋_GB2312"/>
      <w:b/>
      <w:sz w:val="32"/>
      <w:szCs w:val="32"/>
    </w:rPr>
  </w:style>
  <w:style w:type="paragraph" w:customStyle="1" w:styleId="738">
    <w:name w:val="标书标题2"/>
    <w:basedOn w:val="3"/>
    <w:qFormat/>
    <w:uiPriority w:val="0"/>
    <w:pPr>
      <w:keepLines w:val="0"/>
      <w:widowControl/>
      <w:tabs>
        <w:tab w:val="left" w:pos="840"/>
      </w:tabs>
      <w:snapToGrid w:val="0"/>
      <w:spacing w:beforeLines="50" w:after="60" w:line="300" w:lineRule="auto"/>
      <w:ind w:left="840" w:hanging="420"/>
      <w:jc w:val="left"/>
    </w:pPr>
    <w:rPr>
      <w:rFonts w:ascii="Arial Narrow" w:hAnsi="Arial Narrow" w:eastAsia="仿宋_GB2312" w:cs="Times New Roman"/>
      <w:snapToGrid w:val="0"/>
      <w:kern w:val="0"/>
      <w:szCs w:val="20"/>
    </w:rPr>
  </w:style>
  <w:style w:type="paragraph" w:customStyle="1" w:styleId="73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40">
    <w:name w:val="Test2"/>
    <w:basedOn w:val="3"/>
    <w:qFormat/>
    <w:uiPriority w:val="0"/>
    <w:pPr>
      <w:widowControl/>
      <w:tabs>
        <w:tab w:val="left" w:pos="432"/>
      </w:tabs>
      <w:snapToGrid w:val="0"/>
      <w:spacing w:before="360" w:after="360" w:line="240" w:lineRule="atLeast"/>
      <w:ind w:left="432" w:hanging="432"/>
      <w:jc w:val="left"/>
    </w:pPr>
    <w:rPr>
      <w:rFonts w:ascii="宋体" w:hAnsi="Arial" w:eastAsia="宋体" w:cs="Times New Roman"/>
      <w:snapToGrid w:val="0"/>
      <w:kern w:val="0"/>
      <w:sz w:val="28"/>
    </w:rPr>
  </w:style>
  <w:style w:type="paragraph" w:customStyle="1" w:styleId="74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43">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744">
    <w:name w:val="数字标题3"/>
    <w:basedOn w:val="4"/>
    <w:next w:val="1"/>
    <w:qFormat/>
    <w:uiPriority w:val="0"/>
    <w:pPr>
      <w:tabs>
        <w:tab w:val="left" w:pos="900"/>
      </w:tabs>
      <w:spacing w:line="240" w:lineRule="auto"/>
      <w:ind w:left="900" w:hanging="720"/>
    </w:pPr>
    <w:rPr>
      <w:sz w:val="28"/>
      <w:szCs w:val="28"/>
    </w:rPr>
  </w:style>
  <w:style w:type="paragraph" w:customStyle="1" w:styleId="745">
    <w:name w:val="Char5"/>
    <w:basedOn w:val="1"/>
    <w:qFormat/>
    <w:uiPriority w:val="0"/>
    <w:rPr>
      <w:rFonts w:ascii="仿宋_GB2312" w:eastAsia="仿宋_GB2312"/>
      <w:b/>
      <w:sz w:val="32"/>
      <w:szCs w:val="32"/>
    </w:rPr>
  </w:style>
  <w:style w:type="paragraph" w:customStyle="1" w:styleId="746">
    <w:name w:val="Char2"/>
    <w:basedOn w:val="1"/>
    <w:qFormat/>
    <w:uiPriority w:val="0"/>
    <w:rPr>
      <w:rFonts w:ascii="仿宋_GB2312" w:eastAsia="仿宋_GB2312"/>
      <w:b/>
      <w:sz w:val="32"/>
      <w:szCs w:val="32"/>
    </w:rPr>
  </w:style>
  <w:style w:type="paragraph" w:customStyle="1" w:styleId="747">
    <w:name w:val="TOC 标题1"/>
    <w:basedOn w:val="2"/>
    <w:next w:val="1"/>
    <w:qFormat/>
    <w:uiPriority w:val="0"/>
    <w:pPr>
      <w:keepNext/>
      <w:keepLines/>
      <w:tabs>
        <w:tab w:val="left" w:pos="432"/>
      </w:tab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748">
    <w:name w:val="Char Char Char1 Char1"/>
    <w:basedOn w:val="1"/>
    <w:qFormat/>
    <w:uiPriority w:val="6"/>
    <w:rPr>
      <w:szCs w:val="20"/>
    </w:rPr>
  </w:style>
  <w:style w:type="paragraph" w:customStyle="1" w:styleId="749">
    <w:name w:val="Char Char Char Char Char Char Char Char Char Char1"/>
    <w:basedOn w:val="1"/>
    <w:qFormat/>
    <w:uiPriority w:val="0"/>
    <w:rPr>
      <w:rFonts w:ascii="仿宋_GB2312" w:eastAsia="仿宋_GB2312"/>
      <w:b/>
      <w:sz w:val="32"/>
      <w:szCs w:val="32"/>
    </w:rPr>
  </w:style>
  <w:style w:type="paragraph" w:customStyle="1" w:styleId="750">
    <w:name w:val="Char2 Char Char Char"/>
    <w:basedOn w:val="1"/>
    <w:qFormat/>
    <w:uiPriority w:val="0"/>
    <w:rPr>
      <w:rFonts w:ascii="仿宋_GB2312" w:eastAsia="仿宋_GB2312"/>
      <w:b/>
      <w:sz w:val="32"/>
      <w:szCs w:val="32"/>
    </w:rPr>
  </w:style>
  <w:style w:type="paragraph" w:customStyle="1" w:styleId="751">
    <w:name w:val="正文（首行缩进）"/>
    <w:basedOn w:val="25"/>
    <w:qFormat/>
    <w:uiPriority w:val="0"/>
    <w:pPr>
      <w:widowControl/>
      <w:tabs>
        <w:tab w:val="left" w:pos="840"/>
      </w:tabs>
      <w:overflowPunct w:val="0"/>
      <w:autoSpaceDE w:val="0"/>
      <w:autoSpaceDN w:val="0"/>
      <w:adjustRightInd w:val="0"/>
      <w:spacing w:beforeLines="50" w:after="120" w:line="400" w:lineRule="exact"/>
      <w:ind w:left="200" w:leftChars="200" w:firstLine="200" w:firstLineChars="200"/>
      <w:jc w:val="left"/>
      <w:textAlignment w:val="baseline"/>
    </w:pPr>
    <w:rPr>
      <w:rFonts w:ascii="Times New Roman" w:hAnsi="Times New Roman" w:eastAsia="宋体" w:cs="Times New Roman"/>
      <w:spacing w:val="10"/>
      <w:kern w:val="0"/>
      <w:szCs w:val="20"/>
    </w:rPr>
  </w:style>
  <w:style w:type="paragraph" w:customStyle="1" w:styleId="752">
    <w:name w:val="四级条标题"/>
    <w:basedOn w:val="650"/>
    <w:next w:val="552"/>
    <w:qFormat/>
    <w:uiPriority w:val="0"/>
    <w:pPr>
      <w:tabs>
        <w:tab w:val="left" w:pos="2940"/>
        <w:tab w:val="clear" w:pos="2520"/>
      </w:tabs>
      <w:ind w:left="2940"/>
      <w:outlineLvl w:val="5"/>
    </w:pPr>
  </w:style>
  <w:style w:type="paragraph" w:customStyle="1" w:styleId="753">
    <w:name w:val="正文 New New New New"/>
    <w:qFormat/>
    <w:uiPriority w:val="0"/>
    <w:pPr>
      <w:widowControl w:val="0"/>
      <w:jc w:val="both"/>
    </w:pPr>
    <w:rPr>
      <w:rFonts w:ascii="Times New Roman" w:hAnsi="Times New Roman" w:eastAsia="宋体" w:cs="Times New Roman"/>
      <w:color w:val="000000"/>
      <w:kern w:val="0"/>
      <w:sz w:val="20"/>
      <w:szCs w:val="24"/>
      <w:lang w:val="en-US" w:eastAsia="zh-CN" w:bidi="ar-SA"/>
    </w:rPr>
  </w:style>
  <w:style w:type="paragraph" w:customStyle="1" w:styleId="75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755">
    <w:name w:val="表格（小）"/>
    <w:basedOn w:val="1"/>
    <w:qFormat/>
    <w:uiPriority w:val="0"/>
    <w:pPr>
      <w:adjustRightInd/>
      <w:snapToGrid w:val="0"/>
      <w:spacing w:line="300" w:lineRule="auto"/>
    </w:pPr>
    <w:rPr>
      <w:rFonts w:eastAsia="仿宋"/>
      <w:szCs w:val="21"/>
    </w:rPr>
  </w:style>
  <w:style w:type="paragraph" w:customStyle="1" w:styleId="756">
    <w:name w:val="表文字"/>
    <w:qFormat/>
    <w:uiPriority w:val="0"/>
    <w:rPr>
      <w:rFonts w:ascii="宋体" w:hAnsi="Times New Roman" w:eastAsia="宋体" w:cs="Times New Roman"/>
      <w:kern w:val="2"/>
      <w:sz w:val="20"/>
      <w:szCs w:val="20"/>
      <w:lang w:val="en-US" w:eastAsia="zh-CN" w:bidi="ar-SA"/>
    </w:rPr>
  </w:style>
  <w:style w:type="paragraph" w:customStyle="1" w:styleId="75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75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59">
    <w:name w:val="WW-正文文字缩进 2"/>
    <w:basedOn w:val="1"/>
    <w:qFormat/>
    <w:uiPriority w:val="0"/>
    <w:pPr>
      <w:suppressAutoHyphens/>
      <w:adjustRightInd/>
      <w:ind w:firstLine="420"/>
    </w:pPr>
    <w:rPr>
      <w:kern w:val="1"/>
      <w:szCs w:val="20"/>
    </w:rPr>
  </w:style>
  <w:style w:type="paragraph" w:customStyle="1" w:styleId="76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761">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762">
    <w:name w:val="正文文字 2"/>
    <w:basedOn w:val="84"/>
    <w:next w:val="84"/>
    <w:qFormat/>
    <w:uiPriority w:val="0"/>
    <w:rPr>
      <w:rFonts w:ascii="宋体" w:cs="Times New Roman"/>
      <w:color w:val="auto"/>
    </w:rPr>
  </w:style>
  <w:style w:type="paragraph" w:customStyle="1" w:styleId="763">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4">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76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66">
    <w:name w:val="默认段落字体 Para Char Char Char Char Char Char Char"/>
    <w:basedOn w:val="1"/>
    <w:qFormat/>
    <w:uiPriority w:val="0"/>
    <w:rPr>
      <w:rFonts w:eastAsia="仿宋_GB2312"/>
      <w:sz w:val="28"/>
      <w:szCs w:val="20"/>
    </w:rPr>
  </w:style>
  <w:style w:type="paragraph" w:customStyle="1" w:styleId="767">
    <w:name w:val="列出段落5"/>
    <w:basedOn w:val="1"/>
    <w:qFormat/>
    <w:uiPriority w:val="0"/>
    <w:pPr>
      <w:spacing w:line="360" w:lineRule="auto"/>
      <w:ind w:firstLine="200" w:firstLineChars="200"/>
    </w:pPr>
    <w:rPr>
      <w:rFonts w:eastAsia="楷体_GB2312" w:cs="Lucida Sans"/>
      <w:sz w:val="24"/>
    </w:rPr>
  </w:style>
  <w:style w:type="paragraph" w:customStyle="1" w:styleId="76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6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770">
    <w:name w:val="标题2"/>
    <w:basedOn w:val="3"/>
    <w:next w:val="1"/>
    <w:qFormat/>
    <w:uiPriority w:val="0"/>
    <w:pPr>
      <w:tabs>
        <w:tab w:val="left" w:pos="578"/>
        <w:tab w:val="left" w:pos="900"/>
        <w:tab w:val="left" w:pos="1440"/>
      </w:tabs>
      <w:adjustRightInd/>
      <w:spacing w:before="0" w:after="0" w:line="360" w:lineRule="auto"/>
      <w:ind w:left="1440" w:hanging="360"/>
      <w:jc w:val="left"/>
    </w:pPr>
    <w:rPr>
      <w:rFonts w:ascii="仿宋" w:hAnsi="仿宋" w:eastAsia="仿宋" w:cs="宋体"/>
      <w:bCs w:val="0"/>
      <w:szCs w:val="28"/>
      <w:lang w:val="zh-CN"/>
    </w:rPr>
  </w:style>
  <w:style w:type="paragraph" w:customStyle="1" w:styleId="771">
    <w:name w:val="正文文字缩进项目"/>
    <w:basedOn w:val="25"/>
    <w:qFormat/>
    <w:uiPriority w:val="0"/>
    <w:pPr>
      <w:tabs>
        <w:tab w:val="left" w:pos="840"/>
      </w:tabs>
      <w:spacing w:after="120"/>
      <w:ind w:left="0" w:hanging="420" w:firstLineChars="0"/>
    </w:pPr>
    <w:rPr>
      <w:rFonts w:ascii="Tahoma" w:hAnsi="Tahoma" w:eastAsia="宋体" w:cs="Times New Roman"/>
      <w:sz w:val="22"/>
      <w:szCs w:val="20"/>
    </w:rPr>
  </w:style>
  <w:style w:type="paragraph" w:customStyle="1" w:styleId="77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7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77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775">
    <w:name w:val="标题五"/>
    <w:basedOn w:val="1"/>
    <w:qFormat/>
    <w:uiPriority w:val="0"/>
    <w:pPr>
      <w:adjustRightInd/>
      <w:spacing w:beforeLines="50" w:line="360" w:lineRule="auto"/>
    </w:pPr>
    <w:rPr>
      <w:b/>
      <w:sz w:val="24"/>
    </w:rPr>
  </w:style>
  <w:style w:type="paragraph" w:customStyle="1" w:styleId="77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77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779">
    <w:name w:val="默认段落字体 Para Char Char Char1 Char"/>
    <w:basedOn w:val="1"/>
    <w:qFormat/>
    <w:uiPriority w:val="0"/>
    <w:pPr>
      <w:spacing w:line="240" w:lineRule="atLeast"/>
      <w:ind w:left="420" w:firstLine="420"/>
    </w:pPr>
    <w:rPr>
      <w:sz w:val="24"/>
    </w:rPr>
  </w:style>
  <w:style w:type="paragraph" w:customStyle="1" w:styleId="780">
    <w:name w:val="样式7"/>
    <w:basedOn w:val="506"/>
    <w:next w:val="1"/>
    <w:qFormat/>
    <w:uiPriority w:val="0"/>
    <w:pPr>
      <w:spacing w:afterLines="50"/>
      <w:jc w:val="left"/>
      <w:outlineLvl w:val="3"/>
    </w:pPr>
    <w:rPr>
      <w:sz w:val="24"/>
      <w:szCs w:val="24"/>
    </w:rPr>
  </w:style>
  <w:style w:type="paragraph" w:customStyle="1" w:styleId="781">
    <w:name w:val="表格文字"/>
    <w:basedOn w:val="1"/>
    <w:next w:val="22"/>
    <w:qFormat/>
    <w:uiPriority w:val="0"/>
    <w:pPr>
      <w:adjustRightInd/>
      <w:ind w:firstLine="200" w:firstLineChars="200"/>
    </w:pPr>
    <w:rPr>
      <w:rFonts w:ascii="Arial" w:hAnsi="Arial"/>
      <w:spacing w:val="-5"/>
      <w:kern w:val="0"/>
      <w:sz w:val="24"/>
      <w:szCs w:val="20"/>
    </w:rPr>
  </w:style>
  <w:style w:type="paragraph" w:customStyle="1" w:styleId="782">
    <w:name w:val="Char Char1 Char Char Char"/>
    <w:basedOn w:val="1"/>
    <w:qFormat/>
    <w:uiPriority w:val="0"/>
    <w:rPr>
      <w:rFonts w:ascii="仿宋_GB2312" w:eastAsia="仿宋_GB2312"/>
      <w:b/>
      <w:sz w:val="32"/>
      <w:szCs w:val="20"/>
    </w:rPr>
  </w:style>
  <w:style w:type="paragraph" w:customStyle="1" w:styleId="78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84">
    <w:name w:val="封面"/>
    <w:basedOn w:val="1"/>
    <w:qFormat/>
    <w:uiPriority w:val="0"/>
    <w:pPr>
      <w:spacing w:line="360" w:lineRule="atLeast"/>
      <w:jc w:val="right"/>
      <w:textAlignment w:val="baseline"/>
    </w:pPr>
    <w:rPr>
      <w:rFonts w:ascii="Symbol" w:hAnsi="Symbol"/>
      <w:kern w:val="0"/>
      <w:szCs w:val="20"/>
    </w:rPr>
  </w:style>
  <w:style w:type="paragraph" w:customStyle="1" w:styleId="785">
    <w:name w:val="body text bold"/>
    <w:basedOn w:val="22"/>
    <w:qFormat/>
    <w:uiPriority w:val="0"/>
    <w:pPr>
      <w:widowControl/>
      <w:adjustRightInd/>
      <w:spacing w:after="0"/>
      <w:ind w:firstLine="200" w:firstLineChars="200"/>
      <w:jc w:val="left"/>
    </w:pPr>
    <w:rPr>
      <w:rFonts w:ascii="Futura Hv" w:hAnsi="Futura Hv" w:cs="Arial"/>
      <w:snapToGrid w:val="0"/>
      <w:kern w:val="0"/>
      <w:sz w:val="18"/>
      <w:szCs w:val="20"/>
      <w:lang w:eastAsia="en-US"/>
    </w:rPr>
  </w:style>
  <w:style w:type="paragraph" w:customStyle="1" w:styleId="78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787">
    <w:name w:val="Char2 Char Char2"/>
    <w:basedOn w:val="1"/>
    <w:qFormat/>
    <w:uiPriority w:val="0"/>
    <w:pPr>
      <w:adjustRightInd/>
    </w:pPr>
    <w:rPr>
      <w:rFonts w:ascii="Tahoma" w:hAnsi="Tahoma"/>
      <w:sz w:val="24"/>
      <w:szCs w:val="20"/>
    </w:rPr>
  </w:style>
  <w:style w:type="paragraph" w:customStyle="1" w:styleId="78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8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79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9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792">
    <w:name w:val="Char Char Char Char Char Char Char"/>
    <w:basedOn w:val="1"/>
    <w:qFormat/>
    <w:uiPriority w:val="0"/>
    <w:rPr>
      <w:rFonts w:ascii="仿宋_GB2312" w:eastAsia="仿宋_GB2312"/>
      <w:b/>
      <w:sz w:val="32"/>
      <w:szCs w:val="32"/>
    </w:rPr>
  </w:style>
  <w:style w:type="paragraph" w:customStyle="1" w:styleId="793">
    <w:name w:val="Char Char Char1 Char"/>
    <w:basedOn w:val="1"/>
    <w:qFormat/>
    <w:uiPriority w:val="0"/>
    <w:rPr>
      <w:szCs w:val="20"/>
    </w:rPr>
  </w:style>
  <w:style w:type="paragraph" w:customStyle="1" w:styleId="794">
    <w:name w:val="Bulleting First Indent 1"/>
    <w:basedOn w:val="23"/>
    <w:qFormat/>
    <w:uiPriority w:val="0"/>
    <w:pPr>
      <w:tabs>
        <w:tab w:val="left" w:pos="840"/>
      </w:tabs>
      <w:adjustRightInd/>
      <w:spacing w:before="20" w:after="20" w:line="300" w:lineRule="auto"/>
      <w:ind w:left="840" w:hanging="420" w:firstLineChars="0"/>
    </w:pPr>
    <w:rPr>
      <w:rFonts w:ascii="Tahoma" w:hAnsi="Tahoma"/>
      <w:kern w:val="0"/>
      <w:szCs w:val="21"/>
    </w:rPr>
  </w:style>
  <w:style w:type="paragraph" w:customStyle="1" w:styleId="79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kern w:val="0"/>
      <w:sz w:val="18"/>
      <w:szCs w:val="20"/>
      <w:lang w:val="en-US" w:eastAsia="zh-CN" w:bidi="ar-SA"/>
    </w:rPr>
  </w:style>
  <w:style w:type="paragraph" w:customStyle="1" w:styleId="796">
    <w:name w:val="样式1 + (中宋体"/>
    <w:basedOn w:val="60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9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9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99">
    <w:name w:val="bullet"/>
    <w:basedOn w:val="1"/>
    <w:qFormat/>
    <w:uiPriority w:val="0"/>
    <w:pPr>
      <w:tabs>
        <w:tab w:val="left" w:pos="840"/>
      </w:tabs>
      <w:adjustRightInd/>
      <w:ind w:left="840" w:hanging="420"/>
    </w:pPr>
  </w:style>
  <w:style w:type="paragraph" w:customStyle="1" w:styleId="80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801">
    <w:name w:val="Char Char1 Char Char Char1"/>
    <w:basedOn w:val="1"/>
    <w:qFormat/>
    <w:uiPriority w:val="6"/>
    <w:rPr>
      <w:rFonts w:ascii="仿宋_GB2312" w:eastAsia="仿宋_GB2312"/>
      <w:b/>
      <w:sz w:val="32"/>
      <w:szCs w:val="20"/>
    </w:rPr>
  </w:style>
  <w:style w:type="paragraph" w:customStyle="1" w:styleId="802">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803">
    <w:name w:val="_Style 6"/>
    <w:basedOn w:val="1"/>
    <w:qFormat/>
    <w:uiPriority w:val="34"/>
    <w:pPr>
      <w:adjustRightInd/>
      <w:ind w:firstLine="420" w:firstLineChars="200"/>
    </w:pPr>
    <w:rPr>
      <w:rFonts w:eastAsia="仿宋_GB2312"/>
      <w:sz w:val="28"/>
    </w:rPr>
  </w:style>
  <w:style w:type="paragraph" w:customStyle="1" w:styleId="804">
    <w:name w:val="Char111"/>
    <w:basedOn w:val="1"/>
    <w:qFormat/>
    <w:uiPriority w:val="0"/>
    <w:rPr>
      <w:rFonts w:ascii="仿宋_GB2312" w:eastAsia="仿宋_GB2312"/>
      <w:b/>
      <w:sz w:val="32"/>
      <w:szCs w:val="32"/>
    </w:rPr>
  </w:style>
  <w:style w:type="paragraph" w:customStyle="1" w:styleId="805">
    <w:name w:val="Char19"/>
    <w:basedOn w:val="1"/>
    <w:qFormat/>
    <w:uiPriority w:val="0"/>
    <w:pPr>
      <w:adjustRightInd/>
    </w:pPr>
    <w:rPr>
      <w:szCs w:val="20"/>
    </w:rPr>
  </w:style>
  <w:style w:type="paragraph" w:customStyle="1" w:styleId="80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807">
    <w:name w:val="Char3 Char Char Char"/>
    <w:basedOn w:val="1"/>
    <w:qFormat/>
    <w:uiPriority w:val="0"/>
    <w:pPr>
      <w:widowControl/>
      <w:adjustRightInd/>
      <w:spacing w:after="160" w:line="240" w:lineRule="exact"/>
      <w:jc w:val="left"/>
    </w:pPr>
    <w:rPr>
      <w:szCs w:val="20"/>
    </w:rPr>
  </w:style>
  <w:style w:type="paragraph" w:customStyle="1" w:styleId="808">
    <w:name w:val="列出段落21"/>
    <w:basedOn w:val="1"/>
    <w:qFormat/>
    <w:uiPriority w:val="0"/>
    <w:pPr>
      <w:adjustRightInd/>
      <w:ind w:firstLine="420" w:firstLineChars="200"/>
    </w:pPr>
    <w:rPr>
      <w:rFonts w:ascii="宋体" w:hAnsi="宋体"/>
      <w:sz w:val="24"/>
    </w:rPr>
  </w:style>
  <w:style w:type="paragraph" w:customStyle="1" w:styleId="809">
    <w:name w:val="带编号样式"/>
    <w:basedOn w:val="810"/>
    <w:qFormat/>
    <w:uiPriority w:val="0"/>
    <w:pPr>
      <w:tabs>
        <w:tab w:val="left" w:pos="840"/>
      </w:tabs>
      <w:snapToGrid w:val="0"/>
      <w:ind w:left="840" w:hanging="420" w:firstLineChars="0"/>
    </w:pPr>
    <w:rPr>
      <w:rFonts w:ascii="仿宋_GB2312" w:eastAsia="仿宋_GB2312"/>
      <w:color w:val="000000"/>
    </w:rPr>
  </w:style>
  <w:style w:type="paragraph" w:customStyle="1" w:styleId="810">
    <w:name w:val="文本正文 Char"/>
    <w:basedOn w:val="1"/>
    <w:qFormat/>
    <w:uiPriority w:val="0"/>
    <w:pPr>
      <w:spacing w:line="360" w:lineRule="auto"/>
      <w:ind w:firstLine="200" w:firstLineChars="200"/>
    </w:pPr>
    <w:rPr>
      <w:kern w:val="0"/>
      <w:sz w:val="24"/>
      <w:szCs w:val="20"/>
    </w:rPr>
  </w:style>
  <w:style w:type="paragraph" w:customStyle="1" w:styleId="81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812">
    <w:name w:val="Char2 Char Char Char2"/>
    <w:basedOn w:val="1"/>
    <w:qFormat/>
    <w:uiPriority w:val="0"/>
    <w:rPr>
      <w:rFonts w:ascii="仿宋_GB2312" w:eastAsia="仿宋_GB2312"/>
      <w:b/>
      <w:sz w:val="32"/>
      <w:szCs w:val="32"/>
    </w:rPr>
  </w:style>
  <w:style w:type="paragraph" w:customStyle="1" w:styleId="813">
    <w:name w:val="列表内容"/>
    <w:basedOn w:val="1"/>
    <w:next w:val="1"/>
    <w:qFormat/>
    <w:uiPriority w:val="0"/>
    <w:pPr>
      <w:widowControl/>
      <w:tabs>
        <w:tab w:val="left" w:pos="840"/>
      </w:tabs>
      <w:ind w:left="840" w:hanging="420"/>
      <w:jc w:val="left"/>
    </w:pPr>
    <w:rPr>
      <w:kern w:val="0"/>
      <w:sz w:val="18"/>
    </w:rPr>
  </w:style>
  <w:style w:type="paragraph" w:customStyle="1" w:styleId="81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815">
    <w:name w:val="批注框文本 Char Char"/>
    <w:basedOn w:val="1"/>
    <w:qFormat/>
    <w:uiPriority w:val="0"/>
    <w:pPr>
      <w:adjustRightInd/>
    </w:pPr>
    <w:rPr>
      <w:sz w:val="18"/>
      <w:szCs w:val="20"/>
    </w:rPr>
  </w:style>
  <w:style w:type="paragraph" w:customStyle="1" w:styleId="816">
    <w:name w:val="样式 标题 2 + 宋体 左侧:  1.76 厘米 首行缩进:  0 厘米"/>
    <w:basedOn w:val="3"/>
    <w:qFormat/>
    <w:uiPriority w:val="0"/>
    <w:pPr>
      <w:tabs>
        <w:tab w:val="left" w:pos="0"/>
      </w:tabs>
      <w:adjustRightInd/>
      <w:spacing w:line="415" w:lineRule="auto"/>
      <w:ind w:firstLine="200" w:firstLineChars="200"/>
    </w:pPr>
    <w:rPr>
      <w:rFonts w:ascii="宋体" w:hAnsi="Cambria" w:eastAsia="宋体" w:cs="宋体"/>
      <w:szCs w:val="20"/>
    </w:rPr>
  </w:style>
  <w:style w:type="paragraph" w:customStyle="1" w:styleId="81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818">
    <w:name w:val="正文（标题三）"/>
    <w:basedOn w:val="1"/>
    <w:qFormat/>
    <w:uiPriority w:val="0"/>
    <w:pPr>
      <w:spacing w:line="360" w:lineRule="auto"/>
      <w:ind w:firstLine="200" w:firstLineChars="200"/>
    </w:pPr>
    <w:rPr>
      <w:sz w:val="24"/>
    </w:rPr>
  </w:style>
  <w:style w:type="paragraph" w:customStyle="1" w:styleId="819">
    <w:name w:val="Plain Text1"/>
    <w:basedOn w:val="1"/>
    <w:qFormat/>
    <w:uiPriority w:val="7"/>
    <w:pPr>
      <w:adjustRightInd/>
    </w:pPr>
    <w:rPr>
      <w:rFonts w:ascii="宋体" w:hAnsi="Courier New"/>
    </w:rPr>
  </w:style>
  <w:style w:type="paragraph" w:customStyle="1" w:styleId="82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821">
    <w:name w:val="Char Char11 Char Char Char1"/>
    <w:basedOn w:val="1"/>
    <w:qFormat/>
    <w:uiPriority w:val="6"/>
    <w:pPr>
      <w:spacing w:line="360" w:lineRule="auto"/>
    </w:pPr>
    <w:rPr>
      <w:szCs w:val="20"/>
    </w:rPr>
  </w:style>
  <w:style w:type="paragraph" w:customStyle="1" w:styleId="82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823">
    <w:name w:val="正文首行缩进两字"/>
    <w:qFormat/>
    <w:uiPriority w:val="0"/>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82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82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826">
    <w:name w:val="单元格居中"/>
    <w:basedOn w:val="1"/>
    <w:qFormat/>
    <w:uiPriority w:val="0"/>
    <w:pPr>
      <w:adjustRightInd/>
      <w:spacing w:line="360" w:lineRule="auto"/>
      <w:jc w:val="center"/>
    </w:pPr>
    <w:rPr>
      <w:sz w:val="24"/>
    </w:rPr>
  </w:style>
  <w:style w:type="paragraph" w:customStyle="1" w:styleId="827">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82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829">
    <w:name w:val="Char Char1 Char"/>
    <w:basedOn w:val="1"/>
    <w:qFormat/>
    <w:uiPriority w:val="0"/>
    <w:rPr>
      <w:rFonts w:ascii="仿宋_GB2312" w:eastAsia="仿宋_GB2312"/>
      <w:b/>
      <w:sz w:val="32"/>
      <w:szCs w:val="32"/>
    </w:rPr>
  </w:style>
  <w:style w:type="paragraph" w:customStyle="1" w:styleId="830">
    <w:name w:val="CSS1级正文 Char"/>
    <w:basedOn w:val="22"/>
    <w:qFormat/>
    <w:uiPriority w:val="0"/>
    <w:pPr>
      <w:snapToGrid w:val="0"/>
      <w:spacing w:after="0" w:line="360" w:lineRule="auto"/>
      <w:ind w:firstLine="480" w:firstLineChars="200"/>
    </w:pPr>
    <w:rPr>
      <w:rFonts w:hAnsi="Arial" w:cs="Arial"/>
      <w:snapToGrid w:val="0"/>
      <w:sz w:val="24"/>
    </w:rPr>
  </w:style>
  <w:style w:type="paragraph" w:customStyle="1" w:styleId="831">
    <w:name w:val="Char3 Char Char Char11"/>
    <w:basedOn w:val="1"/>
    <w:qFormat/>
    <w:uiPriority w:val="0"/>
    <w:pPr>
      <w:widowControl/>
      <w:adjustRightInd/>
      <w:spacing w:after="160" w:line="240" w:lineRule="exact"/>
      <w:jc w:val="left"/>
    </w:pPr>
    <w:rPr>
      <w:szCs w:val="20"/>
    </w:rPr>
  </w:style>
  <w:style w:type="paragraph" w:customStyle="1" w:styleId="832">
    <w:name w:val="Char3"/>
    <w:basedOn w:val="1"/>
    <w:qFormat/>
    <w:uiPriority w:val="0"/>
    <w:pPr>
      <w:adjustRightInd/>
    </w:pPr>
    <w:rPr>
      <w:rFonts w:ascii="仿宋_GB2312" w:eastAsia="仿宋_GB2312"/>
      <w:b/>
      <w:sz w:val="32"/>
      <w:szCs w:val="32"/>
    </w:rPr>
  </w:style>
  <w:style w:type="paragraph" w:customStyle="1" w:styleId="833">
    <w:name w:val="Char Char Char1 Char2"/>
    <w:basedOn w:val="1"/>
    <w:qFormat/>
    <w:uiPriority w:val="0"/>
    <w:rPr>
      <w:szCs w:val="20"/>
    </w:rPr>
  </w:style>
  <w:style w:type="paragraph" w:customStyle="1" w:styleId="83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3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836">
    <w:name w:val="Char6"/>
    <w:basedOn w:val="1"/>
    <w:qFormat/>
    <w:uiPriority w:val="0"/>
    <w:rPr>
      <w:rFonts w:ascii="仿宋_GB2312" w:eastAsia="仿宋_GB2312"/>
      <w:b/>
      <w:sz w:val="32"/>
      <w:szCs w:val="32"/>
    </w:rPr>
  </w:style>
  <w:style w:type="paragraph" w:customStyle="1" w:styleId="83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83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839">
    <w:name w:val="Th"/>
    <w:qFormat/>
    <w:uiPriority w:val="0"/>
    <w:pPr>
      <w:keepNext/>
      <w:keepLines/>
      <w:spacing w:before="20" w:after="60" w:line="220" w:lineRule="exact"/>
      <w:ind w:left="240"/>
    </w:pPr>
    <w:rPr>
      <w:rFonts w:ascii="Times New Roman" w:hAnsi="Times New Roman" w:eastAsia="宋体" w:cs="Times New Roman"/>
      <w:b/>
      <w:kern w:val="0"/>
      <w:sz w:val="19"/>
      <w:szCs w:val="20"/>
      <w:lang w:val="en-US" w:eastAsia="en-US" w:bidi="ar-SA"/>
    </w:rPr>
  </w:style>
  <w:style w:type="paragraph" w:customStyle="1" w:styleId="840">
    <w:name w:val="五级条标题"/>
    <w:basedOn w:val="752"/>
    <w:next w:val="552"/>
    <w:qFormat/>
    <w:uiPriority w:val="0"/>
    <w:pPr>
      <w:tabs>
        <w:tab w:val="left" w:pos="3360"/>
        <w:tab w:val="clear" w:pos="2940"/>
      </w:tabs>
      <w:ind w:left="3360"/>
      <w:outlineLvl w:val="6"/>
    </w:pPr>
  </w:style>
  <w:style w:type="paragraph" w:customStyle="1" w:styleId="841">
    <w:name w:val="_标题2"/>
    <w:basedOn w:val="505"/>
    <w:next w:val="505"/>
    <w:qFormat/>
    <w:uiPriority w:val="0"/>
    <w:pPr>
      <w:widowControl w:val="0"/>
      <w:tabs>
        <w:tab w:val="left" w:pos="480"/>
      </w:tabs>
      <w:spacing w:beforeLines="50" w:afterLines="50"/>
      <w:ind w:left="50" w:leftChars="50" w:hanging="420" w:firstLineChars="0"/>
      <w:outlineLvl w:val="1"/>
    </w:pPr>
    <w:rPr>
      <w:b/>
      <w:sz w:val="36"/>
    </w:rPr>
  </w:style>
  <w:style w:type="paragraph" w:customStyle="1" w:styleId="84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843">
    <w:name w:val="Char Char11 Char Char Char Char Char Char Char Char Char1"/>
    <w:basedOn w:val="1"/>
    <w:qFormat/>
    <w:uiPriority w:val="6"/>
    <w:pPr>
      <w:spacing w:line="360" w:lineRule="auto"/>
    </w:pPr>
    <w:rPr>
      <w:szCs w:val="20"/>
    </w:rPr>
  </w:style>
  <w:style w:type="paragraph" w:customStyle="1" w:styleId="844">
    <w:name w:val="a1"/>
    <w:basedOn w:val="1"/>
    <w:qFormat/>
    <w:uiPriority w:val="0"/>
    <w:pPr>
      <w:widowControl/>
      <w:spacing w:line="300" w:lineRule="atLeast"/>
      <w:jc w:val="left"/>
    </w:pPr>
    <w:rPr>
      <w:rFonts w:ascii="宋体" w:hAnsi="宋体"/>
      <w:kern w:val="0"/>
      <w:sz w:val="18"/>
      <w:szCs w:val="20"/>
    </w:rPr>
  </w:style>
  <w:style w:type="paragraph" w:customStyle="1" w:styleId="84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846">
    <w:name w:val="Char Char Char Char Char Char Char Char Char Char"/>
    <w:basedOn w:val="1"/>
    <w:qFormat/>
    <w:uiPriority w:val="0"/>
    <w:rPr>
      <w:rFonts w:ascii="仿宋_GB2312" w:eastAsia="仿宋_GB2312"/>
      <w:b/>
      <w:sz w:val="32"/>
      <w:szCs w:val="32"/>
    </w:rPr>
  </w:style>
  <w:style w:type="paragraph" w:customStyle="1" w:styleId="847">
    <w:name w:val="单元格左对齐"/>
    <w:basedOn w:val="1"/>
    <w:qFormat/>
    <w:uiPriority w:val="0"/>
    <w:pPr>
      <w:adjustRightInd/>
      <w:spacing w:line="360" w:lineRule="auto"/>
    </w:pPr>
    <w:rPr>
      <w:sz w:val="24"/>
    </w:rPr>
  </w:style>
  <w:style w:type="paragraph" w:customStyle="1" w:styleId="848">
    <w:name w:val="表格标题2"/>
    <w:basedOn w:val="609"/>
    <w:qFormat/>
    <w:uiPriority w:val="0"/>
    <w:rPr>
      <w:b/>
    </w:rPr>
  </w:style>
  <w:style w:type="paragraph" w:customStyle="1" w:styleId="849">
    <w:name w:val="修订3"/>
    <w:qFormat/>
    <w:uiPriority w:val="0"/>
    <w:rPr>
      <w:rFonts w:ascii="Times New Roman" w:hAnsi="Times New Roman" w:eastAsia="宋体" w:cs="Times New Roman"/>
      <w:kern w:val="2"/>
      <w:sz w:val="21"/>
      <w:szCs w:val="20"/>
      <w:lang w:val="en-US" w:eastAsia="zh-CN" w:bidi="ar-SA"/>
    </w:rPr>
  </w:style>
  <w:style w:type="paragraph" w:customStyle="1" w:styleId="850">
    <w:name w:val="MM Topic 1"/>
    <w:basedOn w:val="2"/>
    <w:qFormat/>
    <w:uiPriority w:val="0"/>
    <w:pPr>
      <w:keepNext/>
      <w:keepLines/>
      <w:widowControl w:val="0"/>
      <w:tabs>
        <w:tab w:val="left" w:pos="840"/>
      </w:tabs>
      <w:spacing w:before="340" w:beforeAutospacing="0" w:after="330" w:afterAutospacing="0" w:line="578" w:lineRule="auto"/>
      <w:ind w:left="840" w:hanging="420"/>
      <w:jc w:val="both"/>
    </w:pPr>
    <w:rPr>
      <w:rFonts w:ascii="Times New Roman" w:hAnsi="Times New Roman" w:cs="Times New Roman"/>
      <w:kern w:val="44"/>
      <w:sz w:val="44"/>
      <w:szCs w:val="44"/>
    </w:rPr>
  </w:style>
  <w:style w:type="paragraph" w:customStyle="1" w:styleId="85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5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8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854">
    <w:name w:val="List Paragraph1"/>
    <w:basedOn w:val="1"/>
    <w:qFormat/>
    <w:uiPriority w:val="0"/>
    <w:pPr>
      <w:spacing w:line="360" w:lineRule="auto"/>
      <w:ind w:firstLine="200" w:firstLineChars="200"/>
    </w:pPr>
    <w:rPr>
      <w:rFonts w:eastAsia="楷体_GB2312" w:cs="Lucida Sans"/>
      <w:sz w:val="24"/>
    </w:rPr>
  </w:style>
  <w:style w:type="paragraph" w:customStyle="1" w:styleId="85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856">
    <w:name w:val="MM Title"/>
    <w:basedOn w:val="54"/>
    <w:qFormat/>
    <w:uiPriority w:val="0"/>
    <w:pPr>
      <w:widowControl w:val="0"/>
      <w:overflowPunct/>
      <w:autoSpaceDE/>
      <w:autoSpaceDN/>
      <w:adjustRightInd/>
      <w:spacing w:before="240" w:after="60"/>
      <w:textAlignment w:val="auto"/>
      <w:outlineLvl w:val="0"/>
    </w:pPr>
    <w:rPr>
      <w:rFonts w:ascii="Arial" w:hAnsi="Arial" w:cs="Arial"/>
      <w:bCs/>
      <w:sz w:val="32"/>
      <w:szCs w:val="32"/>
    </w:rPr>
  </w:style>
  <w:style w:type="paragraph" w:customStyle="1" w:styleId="857">
    <w:name w:val="Char11"/>
    <w:basedOn w:val="1"/>
    <w:qFormat/>
    <w:uiPriority w:val="0"/>
    <w:pPr>
      <w:tabs>
        <w:tab w:val="left" w:pos="432"/>
      </w:tabs>
      <w:adjustRightInd/>
      <w:spacing w:beforeLines="50" w:afterLines="50"/>
      <w:ind w:left="432" w:hanging="432" w:firstLineChars="200"/>
    </w:pPr>
    <w:rPr>
      <w:sz w:val="24"/>
    </w:rPr>
  </w:style>
  <w:style w:type="paragraph" w:customStyle="1" w:styleId="858">
    <w:name w:val="小节"/>
    <w:basedOn w:val="4"/>
    <w:qFormat/>
    <w:uiPriority w:val="0"/>
    <w:pPr>
      <w:tabs>
        <w:tab w:val="left" w:pos="900"/>
      </w:tabs>
      <w:adjustRightInd/>
      <w:spacing w:before="200" w:after="200" w:line="560" w:lineRule="exact"/>
      <w:ind w:left="900" w:hanging="720"/>
      <w:jc w:val="left"/>
    </w:pPr>
    <w:rPr>
      <w:rFonts w:ascii="宋体" w:hAnsi="宋体"/>
      <w:bCs w:val="0"/>
      <w:color w:val="000000"/>
      <w:spacing w:val="10"/>
      <w:kern w:val="24"/>
      <w:sz w:val="28"/>
    </w:rPr>
  </w:style>
  <w:style w:type="paragraph" w:customStyle="1" w:styleId="8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860">
    <w:name w:val="MM Topic 4"/>
    <w:basedOn w:val="5"/>
    <w:qFormat/>
    <w:uiPriority w:val="0"/>
    <w:pPr>
      <w:tabs>
        <w:tab w:val="left" w:pos="2100"/>
        <w:tab w:val="clear" w:pos="864"/>
      </w:tabs>
      <w:adjustRightInd/>
      <w:ind w:left="2100" w:hanging="420"/>
    </w:pPr>
    <w:rPr>
      <w:lang w:val="en-US"/>
    </w:rPr>
  </w:style>
  <w:style w:type="paragraph" w:customStyle="1" w:styleId="86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86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86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865">
    <w:name w:val="表1"/>
    <w:basedOn w:val="1"/>
    <w:qFormat/>
    <w:uiPriority w:val="0"/>
    <w:pPr>
      <w:tabs>
        <w:tab w:val="left" w:pos="703"/>
      </w:tabs>
      <w:adjustRightInd/>
      <w:spacing w:line="360" w:lineRule="auto"/>
      <w:ind w:left="703"/>
      <w:jc w:val="center"/>
    </w:pPr>
  </w:style>
  <w:style w:type="paragraph" w:customStyle="1" w:styleId="866">
    <w:name w:val="Char Char Char Char Char Char Char Char Char Char2"/>
    <w:basedOn w:val="1"/>
    <w:qFormat/>
    <w:uiPriority w:val="0"/>
    <w:rPr>
      <w:rFonts w:ascii="仿宋_GB2312" w:eastAsia="仿宋_GB2312"/>
      <w:b/>
      <w:sz w:val="32"/>
      <w:szCs w:val="32"/>
    </w:rPr>
  </w:style>
  <w:style w:type="paragraph" w:customStyle="1" w:styleId="86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869">
    <w:name w:val="4"/>
    <w:basedOn w:val="1"/>
    <w:next w:val="35"/>
    <w:qFormat/>
    <w:uiPriority w:val="0"/>
    <w:pPr>
      <w:spacing w:after="120" w:line="480" w:lineRule="auto"/>
      <w:ind w:left="420" w:leftChars="200"/>
    </w:pPr>
    <w:rPr>
      <w:sz w:val="24"/>
      <w:szCs w:val="20"/>
    </w:rPr>
  </w:style>
  <w:style w:type="paragraph" w:customStyle="1" w:styleId="870">
    <w:name w:val="2级标题"/>
    <w:basedOn w:val="497"/>
    <w:qFormat/>
    <w:uiPriority w:val="0"/>
    <w:pPr>
      <w:jc w:val="left"/>
      <w:outlineLvl w:val="1"/>
    </w:pPr>
    <w:rPr>
      <w:rFonts w:ascii="Times New Roman" w:hAnsi="Times New Roman" w:eastAsia="仿宋"/>
      <w:sz w:val="30"/>
    </w:rPr>
  </w:style>
  <w:style w:type="paragraph" w:customStyle="1" w:styleId="871">
    <w:name w:val="标准书眉_奇数页"/>
    <w:next w:val="1"/>
    <w:qFormat/>
    <w:uiPriority w:val="0"/>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87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87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87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5">
    <w:name w:val="Char23"/>
    <w:basedOn w:val="1"/>
    <w:qFormat/>
    <w:uiPriority w:val="0"/>
    <w:rPr>
      <w:rFonts w:ascii="仿宋_GB2312" w:eastAsia="仿宋_GB2312"/>
      <w:b/>
      <w:sz w:val="32"/>
      <w:szCs w:val="32"/>
    </w:rPr>
  </w:style>
  <w:style w:type="paragraph" w:customStyle="1" w:styleId="87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877">
    <w:name w:val="正文 首行缩进:  2 字符 Char"/>
    <w:basedOn w:val="1"/>
    <w:qFormat/>
    <w:uiPriority w:val="0"/>
    <w:pPr>
      <w:adjustRightInd/>
      <w:spacing w:line="360" w:lineRule="auto"/>
      <w:ind w:firstLine="480"/>
    </w:pPr>
    <w:rPr>
      <w:rFonts w:cs="宋体"/>
      <w:sz w:val="24"/>
      <w:szCs w:val="20"/>
    </w:rPr>
  </w:style>
  <w:style w:type="paragraph" w:customStyle="1" w:styleId="878">
    <w:name w:val="Char Char4 Char Char"/>
    <w:basedOn w:val="1"/>
    <w:qFormat/>
    <w:uiPriority w:val="0"/>
    <w:pPr>
      <w:widowControl/>
      <w:adjustRightInd/>
      <w:spacing w:after="160" w:line="240" w:lineRule="exact"/>
      <w:jc w:val="left"/>
    </w:pPr>
  </w:style>
  <w:style w:type="paragraph" w:customStyle="1" w:styleId="87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80">
    <w:name w:val="Char Char11 Char Char Char2"/>
    <w:basedOn w:val="1"/>
    <w:qFormat/>
    <w:uiPriority w:val="0"/>
    <w:pPr>
      <w:spacing w:line="360" w:lineRule="auto"/>
    </w:pPr>
    <w:rPr>
      <w:szCs w:val="20"/>
    </w:rPr>
  </w:style>
  <w:style w:type="paragraph" w:customStyle="1" w:styleId="881">
    <w:name w:val="9"/>
    <w:qFormat/>
    <w:uiPriority w:val="0"/>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88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83">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8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8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8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87">
    <w:name w:val="Char311"/>
    <w:basedOn w:val="1"/>
    <w:qFormat/>
    <w:uiPriority w:val="0"/>
    <w:pPr>
      <w:adjustRightInd/>
      <w:ind w:firstLine="200" w:firstLineChars="200"/>
    </w:pPr>
    <w:rPr>
      <w:rFonts w:ascii="Tahoma" w:hAnsi="Tahoma"/>
      <w:sz w:val="24"/>
      <w:szCs w:val="20"/>
    </w:rPr>
  </w:style>
  <w:style w:type="paragraph" w:customStyle="1" w:styleId="888">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889">
    <w:name w:val="dash bullet"/>
    <w:qFormat/>
    <w:uiPriority w:val="0"/>
    <w:pPr>
      <w:tabs>
        <w:tab w:val="left" w:pos="187"/>
        <w:tab w:val="left" w:pos="360"/>
      </w:tabs>
      <w:spacing w:after="20"/>
      <w:ind w:left="374" w:hanging="187"/>
    </w:pPr>
    <w:rPr>
      <w:rFonts w:ascii="Futura Bk" w:hAnsi="Futura Bk" w:eastAsia="宋体" w:cs="Times New Roman"/>
      <w:kern w:val="0"/>
      <w:sz w:val="18"/>
      <w:szCs w:val="20"/>
      <w:lang w:val="en-US" w:eastAsia="en-US" w:bidi="ar-SA"/>
    </w:rPr>
  </w:style>
  <w:style w:type="paragraph" w:customStyle="1" w:styleId="890">
    <w:name w:val="正文 内标"/>
    <w:basedOn w:val="872"/>
    <w:qFormat/>
    <w:uiPriority w:val="0"/>
    <w:pPr>
      <w:tabs>
        <w:tab w:val="left" w:pos="0"/>
      </w:tabs>
      <w:ind w:left="900" w:firstLine="0" w:firstLineChars="0"/>
    </w:pPr>
  </w:style>
  <w:style w:type="paragraph" w:customStyle="1" w:styleId="891">
    <w:name w:val="Bulleted List"/>
    <w:basedOn w:val="1"/>
    <w:qFormat/>
    <w:uiPriority w:val="0"/>
    <w:pPr>
      <w:tabs>
        <w:tab w:val="left" w:pos="1260"/>
      </w:tabs>
      <w:adjustRightInd/>
      <w:ind w:left="1260" w:hanging="420"/>
    </w:pPr>
  </w:style>
  <w:style w:type="paragraph" w:customStyle="1" w:styleId="892">
    <w:name w:val="样式 正文文本缩进 2 + 仿宋_GB2312 黑色 行距: 1.5 倍行距"/>
    <w:basedOn w:val="35"/>
    <w:qFormat/>
    <w:uiPriority w:val="0"/>
    <w:pPr>
      <w:adjustRightInd/>
      <w:ind w:firstLine="560" w:firstLineChars="200"/>
      <w:textAlignment w:val="auto"/>
    </w:pPr>
    <w:rPr>
      <w:rFonts w:hAnsi="宋体" w:cs="宋体"/>
      <w:color w:val="000000"/>
      <w:sz w:val="24"/>
    </w:rPr>
  </w:style>
  <w:style w:type="paragraph" w:customStyle="1" w:styleId="893">
    <w:name w:val="样式 左侧:  0.85 厘米"/>
    <w:basedOn w:val="1"/>
    <w:qFormat/>
    <w:uiPriority w:val="2"/>
    <w:pPr>
      <w:adjustRightInd/>
      <w:spacing w:line="360" w:lineRule="auto"/>
    </w:pPr>
    <w:rPr>
      <w:rFonts w:cs="宋体"/>
      <w:sz w:val="24"/>
      <w:szCs w:val="20"/>
    </w:rPr>
  </w:style>
  <w:style w:type="paragraph" w:customStyle="1" w:styleId="894">
    <w:name w:val="Char Char Char Char Char Char Char Char Char Char Char Char1 Char"/>
    <w:basedOn w:val="1"/>
    <w:qFormat/>
    <w:uiPriority w:val="0"/>
    <w:rPr>
      <w:rFonts w:ascii="Tahoma" w:hAnsi="Tahoma" w:cs="仿宋_GB2312"/>
      <w:sz w:val="24"/>
      <w:szCs w:val="20"/>
    </w:rPr>
  </w:style>
  <w:style w:type="paragraph" w:customStyle="1" w:styleId="89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9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97">
    <w:name w:val="Char Char1 Char Char Char Char Char Char"/>
    <w:basedOn w:val="1"/>
    <w:qFormat/>
    <w:uiPriority w:val="0"/>
    <w:rPr>
      <w:rFonts w:ascii="仿宋_GB2312" w:eastAsia="仿宋_GB2312"/>
      <w:b/>
      <w:sz w:val="32"/>
      <w:szCs w:val="20"/>
    </w:rPr>
  </w:style>
  <w:style w:type="paragraph" w:customStyle="1" w:styleId="89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99">
    <w:name w:val="Char Char1 Char Char Char Char Char Char2"/>
    <w:basedOn w:val="1"/>
    <w:qFormat/>
    <w:uiPriority w:val="0"/>
    <w:rPr>
      <w:rFonts w:ascii="仿宋_GB2312" w:eastAsia="仿宋_GB2312"/>
      <w:b/>
      <w:sz w:val="32"/>
      <w:szCs w:val="20"/>
    </w:rPr>
  </w:style>
  <w:style w:type="paragraph" w:customStyle="1" w:styleId="90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90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90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90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90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90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90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90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909">
    <w:name w:val="Char31"/>
    <w:basedOn w:val="1"/>
    <w:qFormat/>
    <w:uiPriority w:val="0"/>
    <w:pPr>
      <w:adjustRightInd/>
    </w:pPr>
    <w:rPr>
      <w:rFonts w:ascii="仿宋_GB2312" w:eastAsia="仿宋_GB2312"/>
      <w:b/>
      <w:sz w:val="32"/>
      <w:szCs w:val="32"/>
    </w:rPr>
  </w:style>
  <w:style w:type="paragraph" w:customStyle="1" w:styleId="910">
    <w:name w:val="样式 标题 3h33rd level3Heading 3 - oldH3l3CTheading 3Headin..."/>
    <w:basedOn w:val="4"/>
    <w:qFormat/>
    <w:uiPriority w:val="0"/>
    <w:pPr>
      <w:tabs>
        <w:tab w:val="left" w:pos="900"/>
      </w:tabs>
      <w:snapToGrid w:val="0"/>
      <w:jc w:val="left"/>
    </w:pPr>
    <w:rPr>
      <w:rFonts w:eastAsia="黑体" w:cs="宋体"/>
      <w:sz w:val="28"/>
      <w:szCs w:val="20"/>
    </w:rPr>
  </w:style>
  <w:style w:type="paragraph" w:customStyle="1" w:styleId="91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91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913">
    <w:name w:val="Char Char1"/>
    <w:basedOn w:val="1"/>
    <w:qFormat/>
    <w:uiPriority w:val="0"/>
    <w:pPr>
      <w:widowControl/>
      <w:spacing w:after="160" w:line="240" w:lineRule="exact"/>
      <w:jc w:val="left"/>
    </w:pPr>
    <w:rPr>
      <w:rFonts w:eastAsia="仿宋_GB2312"/>
      <w:sz w:val="28"/>
    </w:rPr>
  </w:style>
  <w:style w:type="paragraph" w:customStyle="1" w:styleId="914">
    <w:name w:val="Char21"/>
    <w:basedOn w:val="1"/>
    <w:qFormat/>
    <w:uiPriority w:val="0"/>
    <w:pPr>
      <w:adjustRightInd/>
      <w:ind w:firstLine="200" w:firstLineChars="200"/>
    </w:pPr>
    <w:rPr>
      <w:rFonts w:ascii="仿宋_GB2312" w:eastAsia="仿宋_GB2312"/>
      <w:b/>
      <w:sz w:val="32"/>
      <w:szCs w:val="32"/>
    </w:rPr>
  </w:style>
  <w:style w:type="paragraph" w:customStyle="1" w:styleId="915">
    <w:name w:val="列表段落1"/>
    <w:basedOn w:val="1"/>
    <w:qFormat/>
    <w:uiPriority w:val="34"/>
    <w:pPr>
      <w:adjustRightInd/>
      <w:ind w:right="238" w:firstLine="420"/>
    </w:pPr>
    <w:rPr>
      <w:rFonts w:ascii="Calibri" w:hAnsi="Calibri"/>
      <w:sz w:val="24"/>
    </w:rPr>
  </w:style>
  <w:style w:type="paragraph" w:customStyle="1" w:styleId="916">
    <w:name w:val="Char Char110"/>
    <w:basedOn w:val="1"/>
    <w:qFormat/>
    <w:uiPriority w:val="6"/>
    <w:pPr>
      <w:spacing w:line="360" w:lineRule="auto"/>
    </w:pPr>
    <w:rPr>
      <w:rFonts w:ascii="Tahoma" w:hAnsi="Tahoma"/>
      <w:sz w:val="24"/>
      <w:szCs w:val="20"/>
    </w:rPr>
  </w:style>
  <w:style w:type="paragraph" w:customStyle="1" w:styleId="91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91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919">
    <w:name w:val="表正文"/>
    <w:qFormat/>
    <w:uiPriority w:val="0"/>
    <w:pPr>
      <w:snapToGrid w:val="0"/>
      <w:spacing w:line="600" w:lineRule="atLeast"/>
      <w:ind w:firstLine="641"/>
      <w:jc w:val="both"/>
    </w:pPr>
    <w:rPr>
      <w:rFonts w:ascii="Times New Roman" w:hAnsi="Times New Roman" w:eastAsia="仿宋_GB2312" w:cs="Times New Roman"/>
      <w:kern w:val="0"/>
      <w:sz w:val="32"/>
      <w:szCs w:val="20"/>
      <w:lang w:val="en-US" w:eastAsia="zh-CN" w:bidi="ar-SA"/>
    </w:rPr>
  </w:style>
  <w:style w:type="paragraph" w:customStyle="1" w:styleId="92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921">
    <w:name w:val="Char Char Char Char Char Char Char Char Char Char Char Char1 Char2"/>
    <w:basedOn w:val="1"/>
    <w:qFormat/>
    <w:uiPriority w:val="0"/>
    <w:rPr>
      <w:rFonts w:ascii="Tahoma" w:hAnsi="Tahoma" w:cs="仿宋_GB2312"/>
      <w:sz w:val="24"/>
      <w:szCs w:val="20"/>
    </w:rPr>
  </w:style>
  <w:style w:type="paragraph" w:customStyle="1" w:styleId="92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92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924">
    <w:name w:val="样式 列表编号 + 段后: 0.5 行"/>
    <w:basedOn w:val="13"/>
    <w:qFormat/>
    <w:uiPriority w:val="2"/>
    <w:pPr>
      <w:tabs>
        <w:tab w:val="clear" w:pos="390"/>
        <w:tab w:val="clear" w:pos="454"/>
      </w:tabs>
      <w:ind w:left="840" w:hanging="420"/>
      <w:contextualSpacing/>
    </w:pPr>
    <w:rPr>
      <w:rFonts w:cs="宋体"/>
    </w:rPr>
  </w:style>
  <w:style w:type="paragraph" w:customStyle="1" w:styleId="92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92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92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92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929">
    <w:name w:val="3级标题"/>
    <w:basedOn w:val="870"/>
    <w:qFormat/>
    <w:uiPriority w:val="0"/>
    <w:pPr>
      <w:outlineLvl w:val="2"/>
    </w:pPr>
  </w:style>
  <w:style w:type="paragraph" w:customStyle="1" w:styleId="930">
    <w:name w:val="Char1 Char Char Char3"/>
    <w:basedOn w:val="1"/>
    <w:qFormat/>
    <w:uiPriority w:val="0"/>
    <w:pPr>
      <w:adjustRightInd/>
      <w:ind w:firstLine="200" w:firstLineChars="200"/>
    </w:pPr>
    <w:rPr>
      <w:rFonts w:ascii="Tahoma" w:hAnsi="Tahoma"/>
      <w:sz w:val="24"/>
      <w:szCs w:val="20"/>
    </w:rPr>
  </w:style>
  <w:style w:type="paragraph" w:customStyle="1" w:styleId="93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932">
    <w:name w:val="MM Empty"/>
    <w:basedOn w:val="1"/>
    <w:qFormat/>
    <w:uiPriority w:val="0"/>
    <w:pPr>
      <w:adjustRightInd/>
    </w:pPr>
  </w:style>
  <w:style w:type="paragraph" w:customStyle="1" w:styleId="933">
    <w:name w:val="Char24"/>
    <w:basedOn w:val="1"/>
    <w:qFormat/>
    <w:uiPriority w:val="0"/>
    <w:rPr>
      <w:rFonts w:ascii="仿宋_GB2312" w:eastAsia="仿宋_GB2312"/>
      <w:b/>
      <w:sz w:val="32"/>
      <w:szCs w:val="32"/>
    </w:rPr>
  </w:style>
  <w:style w:type="paragraph" w:customStyle="1" w:styleId="934">
    <w:name w:val="正文箭头"/>
    <w:basedOn w:val="598"/>
    <w:qFormat/>
    <w:uiPriority w:val="0"/>
  </w:style>
  <w:style w:type="paragraph" w:customStyle="1" w:styleId="935">
    <w:name w:val="U_编号2"/>
    <w:basedOn w:val="1"/>
    <w:qFormat/>
    <w:uiPriority w:val="0"/>
    <w:pPr>
      <w:tabs>
        <w:tab w:val="left" w:pos="785"/>
      </w:tabs>
      <w:adjustRightInd/>
      <w:spacing w:beforeLines="10" w:afterLines="10" w:line="300" w:lineRule="auto"/>
    </w:pPr>
    <w:rPr>
      <w:sz w:val="24"/>
    </w:rPr>
  </w:style>
  <w:style w:type="paragraph" w:customStyle="1" w:styleId="93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93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8">
    <w:name w:val="标书标题3"/>
    <w:basedOn w:val="4"/>
    <w:qFormat/>
    <w:uiPriority w:val="0"/>
    <w:pPr>
      <w:keepLines w:val="0"/>
      <w:widowControl/>
      <w:tabs>
        <w:tab w:val="left" w:pos="900"/>
      </w:tabs>
      <w:snapToGrid w:val="0"/>
      <w:spacing w:before="120" w:after="60" w:line="300" w:lineRule="auto"/>
      <w:ind w:left="900" w:hanging="720"/>
      <w:jc w:val="left"/>
    </w:pPr>
    <w:rPr>
      <w:rFonts w:ascii="Arial Narrow" w:hAnsi="Arial Narrow" w:eastAsia="仿宋_GB2312"/>
      <w:b w:val="0"/>
      <w:bCs w:val="0"/>
      <w:color w:val="000000"/>
      <w:kern w:val="0"/>
      <w:sz w:val="28"/>
    </w:rPr>
  </w:style>
  <w:style w:type="paragraph" w:customStyle="1" w:styleId="939">
    <w:name w:val="TOC 标题11"/>
    <w:basedOn w:val="2"/>
    <w:next w:val="1"/>
    <w:unhideWhenUsed/>
    <w:qFormat/>
    <w:uiPriority w:val="4"/>
    <w:pPr>
      <w:keepNext/>
      <w:keepLines/>
      <w:tabs>
        <w:tab w:val="left" w:pos="432"/>
      </w:tab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940">
    <w:name w:val="_Style 1"/>
    <w:basedOn w:val="1"/>
    <w:qFormat/>
    <w:uiPriority w:val="34"/>
    <w:pPr>
      <w:adjustRightInd/>
      <w:ind w:firstLine="420" w:firstLineChars="200"/>
    </w:pPr>
    <w:rPr>
      <w:rFonts w:eastAsia="仿宋_GB2312"/>
      <w:sz w:val="28"/>
    </w:rPr>
  </w:style>
  <w:style w:type="paragraph" w:customStyle="1" w:styleId="941">
    <w:name w:val="表格 内容"/>
    <w:basedOn w:val="658"/>
    <w:qFormat/>
    <w:uiPriority w:val="0"/>
    <w:rPr>
      <w:b w:val="0"/>
      <w:sz w:val="20"/>
    </w:rPr>
  </w:style>
  <w:style w:type="paragraph" w:customStyle="1" w:styleId="94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43">
    <w:name w:val="数字标题5"/>
    <w:basedOn w:val="6"/>
    <w:next w:val="1"/>
    <w:qFormat/>
    <w:uiPriority w:val="0"/>
    <w:pPr>
      <w:tabs>
        <w:tab w:val="left" w:pos="1080"/>
        <w:tab w:val="clear" w:pos="1008"/>
      </w:tabs>
      <w:ind w:left="1080" w:hanging="1080"/>
    </w:pPr>
  </w:style>
  <w:style w:type="paragraph" w:customStyle="1" w:styleId="944">
    <w:name w:val="数字标题1"/>
    <w:basedOn w:val="2"/>
    <w:next w:val="1"/>
    <w:qFormat/>
    <w:uiPriority w:val="0"/>
    <w:pPr>
      <w:keepNext/>
      <w:keepLines/>
      <w:widowControl w:val="0"/>
      <w:tabs>
        <w:tab w:val="left" w:pos="480"/>
      </w:tabs>
      <w:adjustRightInd w:val="0"/>
      <w:spacing w:before="340" w:beforeAutospacing="0" w:after="330" w:afterAutospacing="0" w:line="578" w:lineRule="auto"/>
      <w:ind w:left="480" w:hanging="480"/>
      <w:jc w:val="both"/>
    </w:pPr>
    <w:rPr>
      <w:rFonts w:ascii="Times New Roman" w:hAnsi="Times New Roman" w:cs="Times New Roman"/>
      <w:kern w:val="44"/>
      <w:sz w:val="44"/>
      <w:szCs w:val="44"/>
    </w:rPr>
  </w:style>
  <w:style w:type="paragraph" w:customStyle="1" w:styleId="94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46">
    <w:name w:val="aspnumfaautoadjustrightr"/>
    <w:qFormat/>
    <w:uiPriority w:val="0"/>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94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4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94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5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51">
    <w:name w:val="0"/>
    <w:basedOn w:val="1"/>
    <w:qFormat/>
    <w:uiPriority w:val="0"/>
    <w:pPr>
      <w:widowControl/>
    </w:pPr>
    <w:rPr>
      <w:kern w:val="0"/>
      <w:sz w:val="24"/>
      <w:szCs w:val="20"/>
    </w:rPr>
  </w:style>
  <w:style w:type="paragraph" w:customStyle="1" w:styleId="952">
    <w:name w:val="Char Char113"/>
    <w:basedOn w:val="1"/>
    <w:qFormat/>
    <w:uiPriority w:val="0"/>
    <w:pPr>
      <w:widowControl/>
      <w:spacing w:after="160" w:line="240" w:lineRule="exact"/>
      <w:jc w:val="left"/>
    </w:pPr>
    <w:rPr>
      <w:rFonts w:eastAsia="仿宋_GB2312"/>
      <w:sz w:val="28"/>
    </w:rPr>
  </w:style>
  <w:style w:type="paragraph" w:customStyle="1" w:styleId="95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54">
    <w:name w:val="_Style 8"/>
    <w:basedOn w:val="1"/>
    <w:qFormat/>
    <w:uiPriority w:val="34"/>
    <w:pPr>
      <w:adjustRightInd/>
      <w:ind w:firstLine="420" w:firstLineChars="200"/>
    </w:pPr>
    <w:rPr>
      <w:rFonts w:eastAsia="仿宋_GB2312"/>
      <w:sz w:val="28"/>
    </w:rPr>
  </w:style>
  <w:style w:type="paragraph" w:customStyle="1" w:styleId="95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5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5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5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5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60">
    <w:name w:val="Char Char112"/>
    <w:basedOn w:val="1"/>
    <w:qFormat/>
    <w:uiPriority w:val="6"/>
    <w:pPr>
      <w:widowControl/>
      <w:spacing w:after="160" w:line="240" w:lineRule="exact"/>
      <w:jc w:val="left"/>
    </w:pPr>
    <w:rPr>
      <w:rFonts w:eastAsia="仿宋_GB2312"/>
      <w:sz w:val="28"/>
    </w:rPr>
  </w:style>
  <w:style w:type="paragraph" w:customStyle="1" w:styleId="961">
    <w:name w:val="正文 图"/>
    <w:basedOn w:val="476"/>
    <w:qFormat/>
    <w:uiPriority w:val="0"/>
    <w:pPr>
      <w:adjustRightInd/>
      <w:spacing w:before="0"/>
      <w:ind w:firstLine="0"/>
      <w:jc w:val="center"/>
    </w:pPr>
    <w:rPr>
      <w:rFonts w:ascii="微软雅黑" w:hAnsi="微软雅黑"/>
    </w:rPr>
  </w:style>
  <w:style w:type="paragraph" w:customStyle="1" w:styleId="96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6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64">
    <w:name w:val="Thf"/>
    <w:basedOn w:val="839"/>
    <w:qFormat/>
    <w:uiPriority w:val="0"/>
    <w:pPr>
      <w:ind w:left="0"/>
    </w:pPr>
  </w:style>
  <w:style w:type="paragraph" w:customStyle="1" w:styleId="96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66">
    <w:name w:val="subhead 2"/>
    <w:qFormat/>
    <w:uiPriority w:val="0"/>
    <w:pPr>
      <w:spacing w:after="60" w:line="240" w:lineRule="exact"/>
    </w:pPr>
    <w:rPr>
      <w:rFonts w:ascii="Arial" w:hAnsi="Arial" w:eastAsia="宋体" w:cs="Times New Roman"/>
      <w:b/>
      <w:kern w:val="0"/>
      <w:sz w:val="22"/>
      <w:szCs w:val="20"/>
      <w:lang w:val="en-US" w:eastAsia="en-US" w:bidi="ar-SA"/>
    </w:rPr>
  </w:style>
  <w:style w:type="paragraph" w:customStyle="1" w:styleId="967">
    <w:name w:val="注释"/>
    <w:basedOn w:val="1"/>
    <w:qFormat/>
    <w:uiPriority w:val="0"/>
    <w:pPr>
      <w:adjustRightInd/>
      <w:spacing w:line="360" w:lineRule="auto"/>
      <w:ind w:firstLine="480"/>
    </w:pPr>
    <w:rPr>
      <w:sz w:val="24"/>
    </w:rPr>
  </w:style>
  <w:style w:type="paragraph" w:customStyle="1" w:styleId="968">
    <w:name w:val="列出段落111"/>
    <w:basedOn w:val="1"/>
    <w:qFormat/>
    <w:uiPriority w:val="34"/>
    <w:pPr>
      <w:ind w:firstLine="420" w:firstLineChars="200"/>
    </w:pPr>
  </w:style>
  <w:style w:type="paragraph" w:customStyle="1" w:styleId="969">
    <w:name w:val="_Style 947"/>
    <w:basedOn w:val="1"/>
    <w:next w:val="360"/>
    <w:qFormat/>
    <w:uiPriority w:val="34"/>
    <w:pPr>
      <w:adjustRightInd/>
      <w:ind w:firstLine="420" w:firstLineChars="200"/>
    </w:pPr>
  </w:style>
  <w:style w:type="paragraph" w:customStyle="1" w:styleId="97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71">
    <w:name w:val="纯文本2"/>
    <w:basedOn w:val="1"/>
    <w:qFormat/>
    <w:uiPriority w:val="0"/>
    <w:pPr>
      <w:adjustRightInd/>
      <w:snapToGrid w:val="0"/>
      <w:jc w:val="left"/>
    </w:pPr>
    <w:rPr>
      <w:rFonts w:ascii="Century Gothic" w:hAnsi="楷体_GB2312" w:eastAsia="Century Gothic"/>
      <w:szCs w:val="20"/>
    </w:rPr>
  </w:style>
  <w:style w:type="paragraph" w:customStyle="1" w:styleId="972">
    <w:name w:val="*Body 1"/>
    <w:qFormat/>
    <w:uiPriority w:val="0"/>
    <w:pPr>
      <w:spacing w:after="240" w:line="360" w:lineRule="auto"/>
      <w:ind w:left="-1276" w:firstLine="454"/>
    </w:pPr>
    <w:rPr>
      <w:rFonts w:ascii="Times New Roman" w:hAnsi="Times New Roman" w:eastAsia="宋体" w:cs="Times New Roman"/>
      <w:kern w:val="0"/>
      <w:sz w:val="22"/>
      <w:szCs w:val="20"/>
      <w:lang w:val="en-US" w:eastAsia="en-US" w:bidi="ar-SA"/>
    </w:rPr>
  </w:style>
  <w:style w:type="paragraph" w:customStyle="1" w:styleId="97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74">
    <w:name w:val="节"/>
    <w:basedOn w:val="3"/>
    <w:qFormat/>
    <w:uiPriority w:val="0"/>
    <w:pPr>
      <w:adjustRightInd/>
      <w:spacing w:before="160" w:after="160" w:line="720" w:lineRule="exact"/>
      <w:jc w:val="center"/>
    </w:pPr>
    <w:rPr>
      <w:rFonts w:ascii="Arial" w:hAnsi="Arial" w:eastAsia="楷体" w:cs="Times New Roman"/>
      <w:b w:val="0"/>
      <w:color w:val="000000"/>
      <w:spacing w:val="14"/>
      <w:kern w:val="24"/>
      <w:sz w:val="28"/>
      <w:szCs w:val="20"/>
    </w:rPr>
  </w:style>
  <w:style w:type="paragraph" w:customStyle="1" w:styleId="975">
    <w:name w:val="Blockquote"/>
    <w:basedOn w:val="1"/>
    <w:qFormat/>
    <w:uiPriority w:val="0"/>
    <w:pPr>
      <w:autoSpaceDE w:val="0"/>
      <w:autoSpaceDN w:val="0"/>
      <w:spacing w:before="100" w:after="100"/>
      <w:ind w:left="360" w:right="360"/>
      <w:jc w:val="left"/>
    </w:pPr>
    <w:rPr>
      <w:kern w:val="0"/>
      <w:sz w:val="24"/>
      <w:szCs w:val="20"/>
    </w:rPr>
  </w:style>
  <w:style w:type="paragraph" w:customStyle="1" w:styleId="976">
    <w:name w:val="p1"/>
    <w:basedOn w:val="1"/>
    <w:qFormat/>
    <w:uiPriority w:val="0"/>
    <w:pPr>
      <w:widowControl/>
      <w:adjustRightInd/>
      <w:jc w:val="left"/>
    </w:pPr>
    <w:rPr>
      <w:rFonts w:ascii=".PingFang SC" w:eastAsia=".PingFang SC"/>
      <w:color w:val="454545"/>
      <w:kern w:val="0"/>
      <w:sz w:val="18"/>
      <w:szCs w:val="18"/>
    </w:rPr>
  </w:style>
  <w:style w:type="paragraph" w:customStyle="1" w:styleId="977">
    <w:name w:val="Table Paragraph"/>
    <w:basedOn w:val="1"/>
    <w:qFormat/>
    <w:uiPriority w:val="1"/>
    <w:pPr>
      <w:adjustRightInd/>
      <w:jc w:val="left"/>
    </w:pPr>
    <w:rPr>
      <w:rFonts w:ascii="Calibri" w:hAnsi="Calibri"/>
      <w:kern w:val="0"/>
      <w:sz w:val="22"/>
      <w:szCs w:val="22"/>
      <w:lang w:eastAsia="en-US"/>
    </w:rPr>
  </w:style>
  <w:style w:type="paragraph" w:customStyle="1" w:styleId="97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7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table" w:customStyle="1" w:styleId="980">
    <w:name w:val="网格型2"/>
    <w:basedOn w:val="57"/>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1">
    <w:name w:val="网格型1"/>
    <w:basedOn w:val="57"/>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2">
    <w:name w:val="网格型6"/>
    <w:basedOn w:val="57"/>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3">
    <w:name w:val="网格型3"/>
    <w:basedOn w:val="57"/>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4">
    <w:name w:val="网格型4"/>
    <w:basedOn w:val="57"/>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5">
    <w:name w:val="网格型5"/>
    <w:basedOn w:val="57"/>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86">
    <w:name w:val="正文首行缩进 2 Char"/>
    <w:basedOn w:val="83"/>
    <w:semiHidden/>
    <w:qFormat/>
    <w:uiPriority w:val="99"/>
    <w:rPr>
      <w:rFonts w:ascii="Times New Roman" w:hAnsi="Times New Roman" w:eastAsia="宋体" w:cs="Times New Roman"/>
      <w:sz w:val="24"/>
      <w:szCs w:val="24"/>
    </w:rPr>
  </w:style>
  <w:style w:type="paragraph" w:customStyle="1" w:styleId="987">
    <w:name w:val="Body text|3"/>
    <w:basedOn w:val="1"/>
    <w:qFormat/>
    <w:uiPriority w:val="0"/>
    <w:pPr>
      <w:adjustRightInd/>
      <w:spacing w:after="60" w:line="360" w:lineRule="auto"/>
      <w:ind w:left="1510"/>
      <w:jc w:val="left"/>
    </w:pPr>
    <w:rPr>
      <w:rFonts w:hint="eastAsia" w:ascii="宋体" w:hAnsi="宋体"/>
      <w:kern w:val="0"/>
      <w:sz w:val="26"/>
      <w:szCs w:val="26"/>
    </w:rPr>
  </w:style>
  <w:style w:type="paragraph" w:customStyle="1" w:styleId="988">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9">
    <w:name w:val="Body text|1"/>
    <w:basedOn w:val="1"/>
    <w:qFormat/>
    <w:uiPriority w:val="0"/>
    <w:pPr>
      <w:adjustRightInd/>
      <w:spacing w:line="432" w:lineRule="auto"/>
      <w:ind w:firstLine="400"/>
      <w:jc w:val="left"/>
    </w:pPr>
    <w:rPr>
      <w:rFonts w:hint="eastAsia" w:ascii="宋体" w:hAnsi="宋体"/>
      <w:kern w:val="0"/>
      <w:sz w:val="30"/>
      <w:szCs w:val="30"/>
    </w:rPr>
  </w:style>
  <w:style w:type="paragraph" w:customStyle="1" w:styleId="990">
    <w:name w:val="Body text|5"/>
    <w:basedOn w:val="1"/>
    <w:qFormat/>
    <w:uiPriority w:val="0"/>
    <w:pPr>
      <w:adjustRightInd/>
      <w:spacing w:line="360" w:lineRule="auto"/>
      <w:ind w:hanging="1640"/>
      <w:jc w:val="left"/>
    </w:pPr>
    <w:rPr>
      <w:rFonts w:hint="eastAsia" w:ascii="宋体" w:hAnsi="宋体"/>
      <w:kern w:val="0"/>
      <w:sz w:val="22"/>
      <w:szCs w:val="22"/>
      <w:u w:val="single"/>
    </w:rPr>
  </w:style>
  <w:style w:type="paragraph" w:styleId="991">
    <w:name w:val="List Paragraph"/>
    <w:basedOn w:val="1"/>
    <w:qFormat/>
    <w:uiPriority w:val="0"/>
    <w:pPr>
      <w:autoSpaceDE w:val="0"/>
      <w:autoSpaceDN w:val="0"/>
      <w:jc w:val="left"/>
    </w:pPr>
    <w:rPr>
      <w:rFonts w:ascii="Calibri" w:hAnsi="Calibri"/>
      <w:kern w:val="0"/>
      <w:sz w:val="24"/>
    </w:rPr>
  </w:style>
  <w:style w:type="character" w:customStyle="1" w:styleId="992">
    <w:name w:val="Unresolved Mention"/>
    <w:basedOn w:val="64"/>
    <w:semiHidden/>
    <w:unhideWhenUsed/>
    <w:qFormat/>
    <w:uiPriority w:val="99"/>
    <w:rPr>
      <w:color w:val="605E5C"/>
      <w:shd w:val="clear" w:color="auto" w:fill="E1DFDD"/>
    </w:rPr>
  </w:style>
  <w:style w:type="paragraph" w:customStyle="1" w:styleId="993">
    <w:name w:val="WPSOffice手动目录 1"/>
    <w:qFormat/>
    <w:uiPriority w:val="0"/>
    <w:pPr>
      <w:ind w:leftChars="0"/>
    </w:pPr>
    <w:rPr>
      <w:rFonts w:ascii="Times New Roman" w:hAnsi="Times New Roman" w:eastAsia="宋体" w:cs="Times New Roman"/>
      <w:sz w:val="20"/>
      <w:szCs w:val="20"/>
    </w:rPr>
  </w:style>
  <w:style w:type="paragraph" w:customStyle="1" w:styleId="994">
    <w:name w:val="列出段落"/>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65</Pages>
  <Words>25129</Words>
  <Characters>26705</Characters>
  <Lines>273</Lines>
  <Paragraphs>77</Paragraphs>
  <TotalTime>30</TotalTime>
  <ScaleCrop>false</ScaleCrop>
  <LinksUpToDate>false</LinksUpToDate>
  <CharactersWithSpaces>27307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2022-01-24T00:27:00Z</dcterms:created>
  <dc:creator>Windows 用户</dc:creator>
  <cp:lastModifiedBy>Administrator</cp:lastModifiedBy>
  <cp:lastPrinted>2023-08-11T00:52:00Z</cp:lastPrinted>
  <dcterms:modified xsi:type="dcterms:W3CDTF">2024-11-07T05:29:54Z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EA674169AE8647A8B7F0E93A6DC144C9_13</vt:lpwstr>
  </property>
</Properties>
</file>