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5293B">
      <w:pPr>
        <w:spacing w:line="336" w:lineRule="auto"/>
        <w:ind w:firstLine="482" w:firstLineChars="200"/>
        <w:jc w:val="center"/>
        <w:rPr>
          <w:rFonts w:ascii="仿宋" w:hAnsi="仿宋" w:eastAsia="仿宋" w:cs="仿宋"/>
          <w:b/>
          <w:color w:val="auto"/>
          <w:sz w:val="24"/>
          <w:highlight w:val="none"/>
        </w:rPr>
      </w:pPr>
    </w:p>
    <w:p w14:paraId="56A5E642">
      <w:pPr>
        <w:adjustRightInd/>
        <w:spacing w:line="360" w:lineRule="auto"/>
        <w:jc w:val="center"/>
        <w:rPr>
          <w:rFonts w:ascii="仿宋" w:hAnsi="仿宋" w:eastAsia="仿宋" w:cs="仿宋"/>
          <w:b/>
          <w:color w:val="auto"/>
          <w:sz w:val="44"/>
          <w:szCs w:val="44"/>
          <w:highlight w:val="none"/>
        </w:rPr>
      </w:pPr>
    </w:p>
    <w:p w14:paraId="37DCDBBE">
      <w:pPr>
        <w:spacing w:line="360" w:lineRule="auto"/>
        <w:jc w:val="center"/>
        <w:rPr>
          <w:rFonts w:ascii="仿宋" w:hAnsi="仿宋" w:eastAsia="仿宋" w:cs="仿宋"/>
          <w:b/>
          <w:color w:val="auto"/>
          <w:sz w:val="44"/>
          <w:szCs w:val="44"/>
          <w:highlight w:val="none"/>
        </w:rPr>
      </w:pPr>
    </w:p>
    <w:p w14:paraId="3E008D06">
      <w:pPr>
        <w:spacing w:line="360" w:lineRule="auto"/>
        <w:jc w:val="center"/>
        <w:rPr>
          <w:rFonts w:hint="eastAsia" w:ascii="仿宋" w:hAnsi="仿宋" w:eastAsia="仿宋" w:cs="仿宋"/>
          <w:color w:val="auto"/>
          <w:sz w:val="72"/>
          <w:szCs w:val="72"/>
          <w:highlight w:val="none"/>
        </w:rPr>
      </w:pPr>
      <w:bookmarkStart w:id="0" w:name="_Toc493928401"/>
      <w:bookmarkStart w:id="1" w:name="_Toc493956011"/>
      <w:r>
        <w:rPr>
          <w:rFonts w:hint="eastAsia" w:ascii="仿宋" w:hAnsi="仿宋" w:eastAsia="仿宋" w:cs="仿宋"/>
          <w:color w:val="auto"/>
          <w:sz w:val="72"/>
          <w:szCs w:val="72"/>
          <w:highlight w:val="none"/>
        </w:rPr>
        <w:t>竞争性磋商文件</w:t>
      </w:r>
      <w:bookmarkEnd w:id="0"/>
      <w:bookmarkEnd w:id="1"/>
    </w:p>
    <w:p w14:paraId="6F9E86CA">
      <w:pPr>
        <w:pStyle w:val="43"/>
        <w:rPr>
          <w:color w:val="auto"/>
          <w:highlight w:val="none"/>
        </w:rPr>
      </w:pPr>
    </w:p>
    <w:p w14:paraId="00CA5120">
      <w:pPr>
        <w:rPr>
          <w:color w:val="auto"/>
          <w:highlight w:val="none"/>
        </w:rPr>
      </w:pPr>
    </w:p>
    <w:tbl>
      <w:tblPr>
        <w:tblStyle w:val="63"/>
        <w:tblW w:w="7823" w:type="dxa"/>
        <w:jc w:val="center"/>
        <w:tblLayout w:type="fixed"/>
        <w:tblCellMar>
          <w:top w:w="0" w:type="dxa"/>
          <w:left w:w="108" w:type="dxa"/>
          <w:bottom w:w="0" w:type="dxa"/>
          <w:right w:w="108" w:type="dxa"/>
        </w:tblCellMar>
      </w:tblPr>
      <w:tblGrid>
        <w:gridCol w:w="2311"/>
        <w:gridCol w:w="5512"/>
      </w:tblGrid>
      <w:tr w14:paraId="36F75DA6">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22D89801">
            <w:pPr>
              <w:spacing w:line="360" w:lineRule="auto"/>
              <w:ind w:right="-109" w:rightChars="-52"/>
              <w:jc w:val="distribute"/>
              <w:rPr>
                <w:rFonts w:ascii="仿宋" w:hAnsi="仿宋" w:eastAsia="仿宋" w:cs="仿宋"/>
                <w:color w:val="auto"/>
                <w:sz w:val="32"/>
                <w:szCs w:val="32"/>
                <w:highlight w:val="none"/>
              </w:rPr>
            </w:pPr>
            <w:bookmarkStart w:id="2" w:name="_Toc493956012"/>
            <w:bookmarkStart w:id="3" w:name="_Toc493928402"/>
            <w:r>
              <w:rPr>
                <w:rFonts w:hint="eastAsia" w:ascii="仿宋" w:hAnsi="仿宋" w:eastAsia="仿宋" w:cs="仿宋"/>
                <w:color w:val="auto"/>
                <w:sz w:val="32"/>
                <w:szCs w:val="32"/>
                <w:highlight w:val="none"/>
              </w:rPr>
              <w:t>项目编号：</w:t>
            </w:r>
            <w:bookmarkEnd w:id="2"/>
            <w:bookmarkEnd w:id="3"/>
          </w:p>
        </w:tc>
        <w:tc>
          <w:tcPr>
            <w:tcW w:w="5512" w:type="dxa"/>
            <w:shd w:val="clear" w:color="auto" w:fill="auto"/>
            <w:vAlign w:val="center"/>
          </w:tcPr>
          <w:p w14:paraId="2AEBEBB6">
            <w:pPr>
              <w:spacing w:line="360" w:lineRule="auto"/>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JNJKC2024（CS)-086</w:t>
            </w:r>
          </w:p>
        </w:tc>
      </w:tr>
      <w:tr w14:paraId="4040B7DE">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39623859">
            <w:pPr>
              <w:spacing w:line="360" w:lineRule="auto"/>
              <w:ind w:right="-109" w:rightChars="-52"/>
              <w:jc w:val="distribute"/>
              <w:rPr>
                <w:rFonts w:ascii="仿宋" w:hAnsi="仿宋" w:eastAsia="仿宋" w:cs="仿宋"/>
                <w:color w:val="auto"/>
                <w:sz w:val="32"/>
                <w:szCs w:val="32"/>
                <w:highlight w:val="none"/>
              </w:rPr>
            </w:pPr>
            <w:bookmarkStart w:id="4" w:name="_Toc493928404"/>
            <w:bookmarkStart w:id="5" w:name="_Toc493956014"/>
            <w:r>
              <w:rPr>
                <w:rFonts w:hint="eastAsia" w:ascii="仿宋" w:hAnsi="仿宋" w:eastAsia="仿宋" w:cs="仿宋"/>
                <w:color w:val="auto"/>
                <w:sz w:val="32"/>
                <w:szCs w:val="32"/>
                <w:highlight w:val="none"/>
              </w:rPr>
              <w:t>项目名称：</w:t>
            </w:r>
            <w:bookmarkEnd w:id="4"/>
            <w:bookmarkEnd w:id="5"/>
          </w:p>
        </w:tc>
        <w:tc>
          <w:tcPr>
            <w:tcW w:w="5512" w:type="dxa"/>
            <w:shd w:val="clear" w:color="auto" w:fill="auto"/>
            <w:vAlign w:val="center"/>
          </w:tcPr>
          <w:p w14:paraId="06F3523E">
            <w:pPr>
              <w:spacing w:line="360" w:lineRule="auto"/>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2024年度大数据发展中心数据仓运维服务项目(第二次）</w:t>
            </w:r>
          </w:p>
        </w:tc>
      </w:tr>
      <w:tr w14:paraId="6B101963">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49CE06F8">
            <w:pPr>
              <w:spacing w:line="360" w:lineRule="auto"/>
              <w:ind w:right="-109" w:rightChars="-52"/>
              <w:jc w:val="distribute"/>
              <w:rPr>
                <w:rFonts w:ascii="仿宋" w:hAnsi="仿宋" w:eastAsia="仿宋" w:cs="仿宋"/>
                <w:color w:val="auto"/>
                <w:sz w:val="32"/>
                <w:szCs w:val="32"/>
                <w:highlight w:val="none"/>
              </w:rPr>
            </w:pPr>
            <w:bookmarkStart w:id="6" w:name="_Toc493928406"/>
            <w:bookmarkStart w:id="7" w:name="_Toc493956016"/>
            <w:r>
              <w:rPr>
                <w:rFonts w:hint="eastAsia" w:ascii="仿宋" w:hAnsi="仿宋" w:eastAsia="仿宋" w:cs="仿宋"/>
                <w:color w:val="auto"/>
                <w:sz w:val="32"/>
                <w:szCs w:val="32"/>
                <w:highlight w:val="none"/>
              </w:rPr>
              <w:t>采 购 人：</w:t>
            </w:r>
            <w:bookmarkEnd w:id="6"/>
            <w:bookmarkEnd w:id="7"/>
          </w:p>
        </w:tc>
        <w:tc>
          <w:tcPr>
            <w:tcW w:w="5512" w:type="dxa"/>
            <w:shd w:val="clear" w:color="auto" w:fill="auto"/>
            <w:vAlign w:val="center"/>
          </w:tcPr>
          <w:p w14:paraId="66FCFEED">
            <w:pPr>
              <w:spacing w:line="360" w:lineRule="auto"/>
              <w:ind w:left="-103" w:leftChars="-49"/>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景宁畲族自治县大数据发展中心</w:t>
            </w:r>
          </w:p>
        </w:tc>
      </w:tr>
      <w:tr w14:paraId="30C3813D">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5717AC34">
            <w:pPr>
              <w:spacing w:line="360" w:lineRule="auto"/>
              <w:ind w:right="-109" w:rightChars="-52"/>
              <w:jc w:val="distribute"/>
              <w:rPr>
                <w:rFonts w:ascii="仿宋" w:hAnsi="仿宋" w:eastAsia="仿宋" w:cs="仿宋"/>
                <w:color w:val="auto"/>
                <w:sz w:val="32"/>
                <w:szCs w:val="32"/>
                <w:highlight w:val="none"/>
              </w:rPr>
            </w:pPr>
          </w:p>
        </w:tc>
        <w:tc>
          <w:tcPr>
            <w:tcW w:w="5512" w:type="dxa"/>
            <w:shd w:val="clear" w:color="auto" w:fill="auto"/>
            <w:vAlign w:val="center"/>
          </w:tcPr>
          <w:p w14:paraId="2907A2CB">
            <w:pPr>
              <w:spacing w:line="360" w:lineRule="auto"/>
              <w:ind w:left="-103" w:leftChars="-49"/>
              <w:jc w:val="left"/>
              <w:rPr>
                <w:rFonts w:ascii="仿宋" w:hAnsi="仿宋" w:eastAsia="仿宋" w:cs="仿宋"/>
                <w:color w:val="auto"/>
                <w:sz w:val="32"/>
                <w:szCs w:val="32"/>
                <w:highlight w:val="none"/>
              </w:rPr>
            </w:pPr>
          </w:p>
        </w:tc>
      </w:tr>
      <w:tr w14:paraId="38A97565">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3204B801">
            <w:pPr>
              <w:spacing w:line="360" w:lineRule="auto"/>
              <w:ind w:right="-109" w:rightChars="-52"/>
              <w:jc w:val="distribute"/>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w:t>
            </w:r>
          </w:p>
        </w:tc>
        <w:tc>
          <w:tcPr>
            <w:tcW w:w="5512" w:type="dxa"/>
            <w:shd w:val="clear" w:color="auto" w:fill="auto"/>
            <w:vAlign w:val="center"/>
          </w:tcPr>
          <w:p w14:paraId="70E32A43">
            <w:pPr>
              <w:spacing w:line="360" w:lineRule="auto"/>
              <w:ind w:left="-103" w:leftChars="-49"/>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浙江建科工程项目管理有限公司</w:t>
            </w:r>
          </w:p>
        </w:tc>
      </w:tr>
      <w:tr w14:paraId="4BC4B00A">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6FE830D1">
            <w:pPr>
              <w:spacing w:line="360" w:lineRule="auto"/>
              <w:ind w:right="-109" w:rightChars="-52"/>
              <w:jc w:val="distribute"/>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        址：</w:t>
            </w:r>
          </w:p>
        </w:tc>
        <w:tc>
          <w:tcPr>
            <w:tcW w:w="5512" w:type="dxa"/>
            <w:shd w:val="clear" w:color="auto" w:fill="auto"/>
            <w:vAlign w:val="center"/>
          </w:tcPr>
          <w:p w14:paraId="0F38EC07">
            <w:pPr>
              <w:spacing w:line="360" w:lineRule="auto"/>
              <w:ind w:left="-103" w:leftChars="-49"/>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景宁畲族自治县人民北路祥源商贸城2幢2楼</w:t>
            </w:r>
          </w:p>
        </w:tc>
      </w:tr>
      <w:tr w14:paraId="715DB7CF">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1A566D43">
            <w:pPr>
              <w:spacing w:line="360" w:lineRule="auto"/>
              <w:ind w:right="-84" w:rightChars="-40"/>
              <w:rPr>
                <w:rFonts w:ascii="仿宋" w:hAnsi="仿宋" w:eastAsia="仿宋" w:cs="仿宋"/>
                <w:color w:val="auto"/>
                <w:sz w:val="32"/>
                <w:szCs w:val="32"/>
                <w:highlight w:val="none"/>
              </w:rPr>
            </w:pPr>
          </w:p>
        </w:tc>
        <w:tc>
          <w:tcPr>
            <w:tcW w:w="5512" w:type="dxa"/>
            <w:shd w:val="clear" w:color="auto" w:fill="auto"/>
            <w:vAlign w:val="center"/>
          </w:tcPr>
          <w:p w14:paraId="10BD29F9">
            <w:pPr>
              <w:spacing w:line="360" w:lineRule="auto"/>
              <w:ind w:left="-103" w:leftChars="-49"/>
              <w:rPr>
                <w:rFonts w:ascii="仿宋" w:hAnsi="仿宋" w:eastAsia="仿宋" w:cs="仿宋"/>
                <w:color w:val="auto"/>
                <w:sz w:val="32"/>
                <w:szCs w:val="32"/>
                <w:highlight w:val="none"/>
              </w:rPr>
            </w:pPr>
          </w:p>
        </w:tc>
      </w:tr>
      <w:tr w14:paraId="292A22CD">
        <w:tblPrEx>
          <w:tblCellMar>
            <w:top w:w="0" w:type="dxa"/>
            <w:left w:w="108" w:type="dxa"/>
            <w:bottom w:w="0" w:type="dxa"/>
            <w:right w:w="108" w:type="dxa"/>
          </w:tblCellMar>
        </w:tblPrEx>
        <w:trPr>
          <w:trHeight w:val="737" w:hRule="atLeast"/>
          <w:jc w:val="center"/>
        </w:trPr>
        <w:tc>
          <w:tcPr>
            <w:tcW w:w="7823" w:type="dxa"/>
            <w:gridSpan w:val="2"/>
            <w:shd w:val="clear" w:color="auto" w:fill="auto"/>
            <w:vAlign w:val="center"/>
          </w:tcPr>
          <w:p w14:paraId="4778C51C">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2024年</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月</w:t>
            </w:r>
          </w:p>
        </w:tc>
      </w:tr>
    </w:tbl>
    <w:p w14:paraId="48549250">
      <w:pPr>
        <w:spacing w:line="360" w:lineRule="auto"/>
        <w:jc w:val="center"/>
        <w:rPr>
          <w:rFonts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5" w:h="16838"/>
          <w:pgMar w:top="1440" w:right="1803" w:bottom="1440" w:left="1803" w:header="851" w:footer="992" w:gutter="0"/>
          <w:pgNumType w:fmt="decimal"/>
          <w:cols w:space="0" w:num="1"/>
          <w:titlePg/>
          <w:docGrid w:linePitch="312" w:charSpace="0"/>
        </w:sectPr>
      </w:pPr>
    </w:p>
    <w:p w14:paraId="1A88B221">
      <w:pPr>
        <w:pStyle w:val="60"/>
        <w:widowControl w:val="0"/>
        <w:overflowPunct/>
        <w:autoSpaceDE/>
        <w:autoSpaceDN/>
        <w:adjustRightInd/>
        <w:spacing w:before="240" w:after="240"/>
        <w:textAlignment w:val="auto"/>
        <w:outlineLvl w:val="0"/>
        <w:rPr>
          <w:rFonts w:ascii="仿宋" w:hAnsi="仿宋" w:eastAsia="仿宋" w:cs="仿宋"/>
          <w:bCs/>
          <w:color w:val="auto"/>
          <w:kern w:val="2"/>
          <w:sz w:val="32"/>
          <w:szCs w:val="32"/>
          <w:highlight w:val="none"/>
          <w:lang w:val="en-US"/>
        </w:rPr>
      </w:pPr>
      <w:bookmarkStart w:id="8" w:name="_Toc2970"/>
      <w:bookmarkStart w:id="9" w:name="_Toc23029"/>
      <w:bookmarkStart w:id="10" w:name="_Toc30474"/>
      <w:bookmarkStart w:id="11" w:name="_Toc139797589"/>
      <w:r>
        <w:rPr>
          <w:rFonts w:hint="eastAsia" w:ascii="仿宋" w:hAnsi="仿宋" w:eastAsia="仿宋" w:cs="仿宋"/>
          <w:bCs/>
          <w:color w:val="auto"/>
          <w:kern w:val="2"/>
          <w:sz w:val="32"/>
          <w:szCs w:val="32"/>
          <w:highlight w:val="none"/>
          <w:lang w:val="en-US"/>
        </w:rPr>
        <w:t>目  录</w:t>
      </w:r>
      <w:bookmarkEnd w:id="8"/>
      <w:bookmarkEnd w:id="9"/>
      <w:bookmarkEnd w:id="10"/>
      <w:bookmarkEnd w:id="11"/>
    </w:p>
    <w:p w14:paraId="5AE2FBA3">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bookmarkStart w:id="12" w:name="_Hlt74729822"/>
      <w:bookmarkEnd w:id="12"/>
      <w:bookmarkStart w:id="13" w:name="_Hlt74728647"/>
      <w:bookmarkEnd w:id="13"/>
      <w:bookmarkStart w:id="14" w:name="_Hlt74707423"/>
      <w:bookmarkEnd w:id="14"/>
      <w:bookmarkStart w:id="15" w:name="_Hlt74649545"/>
      <w:bookmarkEnd w:id="15"/>
      <w:bookmarkStart w:id="16" w:name="_Hlt91233176"/>
      <w:bookmarkEnd w:id="16"/>
      <w:bookmarkStart w:id="17" w:name="_Toc29351"/>
      <w:bookmarkStart w:id="18" w:name="_Toc139797590"/>
      <w:bookmarkStart w:id="19" w:name="第二部分"/>
      <w:bookmarkStart w:id="20" w:name="_Toc91899870"/>
      <w:bookmarkStart w:id="21" w:name="_Toc91899871"/>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"1-3" \h \u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_Toc23029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6"/>
          <w:highlight w:val="none"/>
          <w:lang w:val="en-US"/>
        </w:rPr>
        <w:t>目  录</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_Toc23029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3B643FB1">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_Toc25880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40"/>
          <w:highlight w:val="none"/>
        </w:rPr>
        <w:t>第一部分 竞争性磋商公告（邀请）</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_Toc25880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0DE28F57">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_Toc218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40"/>
          <w:highlight w:val="none"/>
        </w:rPr>
        <w:t>第二部分 采购需求</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_Toc218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7A1B7C21">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_Toc14403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一、技术要求</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_Toc14403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2CA51FB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_Toc27498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1.1项目背景</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_Toc27498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53B549E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_Toc6529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1.2项目目标</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_Toc6529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2E4B9EC6">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_Toc32134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1.3项目原则</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_Toc32134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2FC4297E">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_Toc30663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▲1.4服务内容</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_Toc30663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38A1BE2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_Toc644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1.5服务要求</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_Toc644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13</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23CAA13F">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_Toc28800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1.6安全保密要求</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_Toc28800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13</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5CBCD46F">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_Toc19427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▲二、商务要求</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_Toc19427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13</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07CB0EB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_Toc6632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2.1服务期</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_Toc6632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13</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58B890B3">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_Toc24256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2.2付款方式</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_Toc24256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14</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454A41F7">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_Toc21805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三、其他</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_Toc21805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14</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6092E7D7">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_Toc28149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40"/>
          <w:highlight w:val="none"/>
        </w:rPr>
        <w:t>第三部分 竞争性磋商流程</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_Toc28149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15</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2FAD9780">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_Toc3747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40"/>
          <w:highlight w:val="none"/>
        </w:rPr>
        <w:t>第四部分 供应商须知</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_Toc3747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18</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5DCC2AEE">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_Toc3575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2"/>
          <w:highlight w:val="none"/>
          <w:lang w:val="en-US"/>
        </w:rPr>
        <w:t>供应商须知前附表（一）</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_Toc3575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18</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38A2BB96">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_Toc17551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2"/>
          <w:highlight w:val="none"/>
          <w:lang w:val="en-US"/>
        </w:rPr>
        <w:t>供应商须知前附表（二）</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_Toc17551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22</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63EEF88F">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_Toc14585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2"/>
          <w:highlight w:val="none"/>
          <w:lang w:val="en-US"/>
        </w:rPr>
        <w:t>一、 总则</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_Toc14585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23</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0475B8E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_Toc12630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rPr>
        <w:t>1. 适用范围</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_Toc12630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23</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72351199">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_Toc11489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rPr>
        <w:t>2. 定义</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_Toc11489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23</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0A33184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_Toc7184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rPr>
        <w:t>3. 采购项目需要落实的政府采购政策</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_Toc7184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24</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747EA38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_Toc14852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rPr>
        <w:t xml:space="preserve">4. </w:t>
      </w:r>
      <w:r>
        <w:rPr>
          <w:rFonts w:hint="eastAsia" w:ascii="仿宋" w:hAnsi="仿宋" w:eastAsia="仿宋" w:cs="仿宋"/>
          <w:color w:val="auto"/>
          <w:sz w:val="22"/>
          <w:szCs w:val="21"/>
          <w:highlight w:val="none"/>
          <w:lang w:val="zh-CN"/>
        </w:rPr>
        <w:t>询问、质疑、投诉</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_Toc14852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26</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4E16E60E">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_Toc10962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2"/>
          <w:highlight w:val="none"/>
          <w:lang w:val="en-US"/>
        </w:rPr>
        <w:t>二、 采购文件的构成、澄清、修改</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_Toc10962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29</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4495749F">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_Toc4311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5. 采购文件的构成</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_Toc4311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29</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2168BEA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_Toc11309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6. 采购文件的澄清、修改</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_Toc11309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29</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6F444CBA">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_Toc19944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2"/>
          <w:highlight w:val="none"/>
          <w:lang w:val="en-US"/>
        </w:rPr>
        <w:t>三、 提交响应文件</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_Toc19944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08B6C77A">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_Toc14769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7. 备份响应文件</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_Toc14769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751512F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_Toc16093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8. 采购文件的获取</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_Toc16093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19C0841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_Toc25458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9. 磋商前答疑会或现场考察</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_Toc25458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31</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4844D42D">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_Toc28759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10. 磋商保证金</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_Toc28759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31</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1110ED4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_Toc21738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11. 响应文件的语言</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_Toc21738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31</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1220B55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_Toc21471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12. 响应文件的组成</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_Toc21471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31</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4178EC4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_Toc9638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13. 响应文件的编制</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_Toc9638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31</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5A47396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_Toc1611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14. 响应文件的签署、盖章</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_Toc1611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32</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3597A4A6">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_Toc23714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15. 响应文件的提交、补充、修改、撤回</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_Toc23714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32</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5ABC75D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_Toc16955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16. 响应文件的无效处理</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_Toc16955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32</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6641ED6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_Toc9027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17. 响应文件有效期</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_Toc9027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32</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5B2BAADE">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_Toc10148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2"/>
          <w:highlight w:val="none"/>
          <w:lang w:val="en-US"/>
        </w:rPr>
        <w:t>四、 响应文件开启、资格审查与信用信息查询</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_Toc10148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33</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2BF5A212">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_Toc19781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18. 响应文件开启</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_Toc19781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33</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6D90B508">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_Toc2176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19. 资格审查</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_Toc2176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33</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08DD180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_Toc17705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20. 信用信息查询</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_Toc17705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35</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4F00B483">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_Toc11283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2"/>
          <w:highlight w:val="none"/>
          <w:lang w:val="en-US"/>
        </w:rPr>
        <w:t>五、 评审</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_Toc11283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35</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4503F685">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_Toc10454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21. 评审办法</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_Toc10454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35</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405FBCF2">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_Toc17781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2"/>
          <w:highlight w:val="none"/>
          <w:lang w:val="en-US"/>
        </w:rPr>
        <w:t>六、 成交供应商确定</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_Toc17781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35</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7971AF0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_Toc146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22. 确定成交供应商</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_Toc146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36</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2EC972D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_Toc32568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23. 成交通知与成交结果公告</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_Toc32568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36</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0438398B">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_Toc2691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2"/>
          <w:highlight w:val="none"/>
          <w:lang w:val="en-US"/>
        </w:rPr>
        <w:t>七、 合同授予</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_Toc2691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36</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3B33770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_Toc19806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24. 合同的签订</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_Toc19806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37</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5049DA5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_Toc10057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25. 履约保证金</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_Toc10057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37</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042B8732">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_Toc7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lang w:val="zh-CN"/>
        </w:rPr>
        <w:t xml:space="preserve">26. </w:t>
      </w:r>
      <w:r>
        <w:rPr>
          <w:rFonts w:hint="eastAsia" w:ascii="仿宋" w:hAnsi="仿宋" w:eastAsia="仿宋" w:cs="仿宋"/>
          <w:color w:val="auto"/>
          <w:sz w:val="22"/>
          <w:szCs w:val="21"/>
          <w:highlight w:val="none"/>
        </w:rPr>
        <w:t>预付款</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_Toc7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38</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7D31F3F9">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_Toc6269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2"/>
          <w:highlight w:val="none"/>
          <w:lang w:val="en-US"/>
        </w:rPr>
        <w:t>八、 电子交易活动的中止</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_Toc6269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38</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146DBFD5">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_Toc9338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rPr>
        <w:t>27. 电子交易活动的中止</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_Toc9338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38</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1A1FF74C">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_Toc2071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2"/>
          <w:highlight w:val="none"/>
          <w:lang w:val="en-US"/>
        </w:rPr>
        <w:t>九、 验收</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_Toc2071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39</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77A5DCF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_Toc28528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1"/>
          <w:highlight w:val="none"/>
        </w:rPr>
        <w:t>28. 验收</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_Toc28528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39</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7551888D">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_Toc18438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40"/>
          <w:highlight w:val="none"/>
        </w:rPr>
        <w:t>第五部分  合同格式</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_Toc18438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40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45C3085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_Toc720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（服务类）</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_Toc720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40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435543EC">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_Toc29566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40"/>
          <w:highlight w:val="none"/>
        </w:rPr>
        <w:t>第六部分 响应文件格式</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_Toc29566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04C35EE5">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_Toc12863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48"/>
          <w:highlight w:val="none"/>
        </w:rPr>
        <w:t>一  资格</w:t>
      </w:r>
      <w:r>
        <w:rPr>
          <w:rFonts w:hint="eastAsia" w:ascii="仿宋" w:hAnsi="仿宋" w:eastAsia="仿宋" w:cs="仿宋"/>
          <w:bCs/>
          <w:color w:val="auto"/>
          <w:kern w:val="2"/>
          <w:sz w:val="22"/>
          <w:szCs w:val="48"/>
          <w:highlight w:val="none"/>
          <w:lang w:val="en-US"/>
        </w:rPr>
        <w:t>审查</w:t>
      </w:r>
      <w:r>
        <w:rPr>
          <w:rFonts w:hint="eastAsia" w:ascii="仿宋" w:hAnsi="仿宋" w:eastAsia="仿宋" w:cs="仿宋"/>
          <w:color w:val="auto"/>
          <w:sz w:val="22"/>
          <w:szCs w:val="48"/>
          <w:highlight w:val="none"/>
        </w:rPr>
        <w:t>文件格式</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_Toc12863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63632A85">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_Toc10188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1.1    资格审查文件封面格式</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_Toc10188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139DA13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_Toc17708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1.2    资格审查文件目录</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_Toc17708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51</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2FE85232">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_Toc30890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1.3    有效营业执照电子文档</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_Toc30890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51</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1EAF6FB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_Toc27201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1.4    负责人身份证电子文档</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_Toc27201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51</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74995BBF">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_Toc9333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1.5    授权委托书</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_Toc9333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52</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5F0545A3">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_Toc28516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1.6    具有良好的财务会计制度、依法缴纳税收和社会保障资金的承诺函</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_Toc28516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53</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0942432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_Toc28325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1.7    具有履行合同所必需的设备和专业技术能力承诺函</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_Toc28325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53</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54184929">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_Toc10920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1.8    无重大违法记录声明书</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_Toc10920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54</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05EC148E">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_Toc31611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val="0"/>
          <w:color w:val="auto"/>
          <w:sz w:val="22"/>
          <w:szCs w:val="28"/>
          <w:highlight w:val="none"/>
        </w:rPr>
        <w:t>1.</w:t>
      </w:r>
      <w:r>
        <w:rPr>
          <w:rFonts w:hint="eastAsia" w:ascii="仿宋" w:hAnsi="仿宋" w:eastAsia="仿宋" w:cs="仿宋"/>
          <w:bCs w:val="0"/>
          <w:color w:val="auto"/>
          <w:sz w:val="22"/>
          <w:szCs w:val="28"/>
          <w:highlight w:val="none"/>
          <w:lang w:val="en-US" w:eastAsia="zh-CN"/>
        </w:rPr>
        <w:t>9</w:t>
      </w:r>
      <w:r>
        <w:rPr>
          <w:rFonts w:hint="eastAsia" w:ascii="仿宋" w:hAnsi="仿宋" w:eastAsia="仿宋" w:cs="仿宋"/>
          <w:bCs w:val="0"/>
          <w:color w:val="auto"/>
          <w:sz w:val="22"/>
          <w:szCs w:val="28"/>
          <w:highlight w:val="none"/>
        </w:rPr>
        <w:t xml:space="preserve">   </w:t>
      </w:r>
      <w:r>
        <w:rPr>
          <w:rFonts w:hint="eastAsia" w:ascii="仿宋" w:hAnsi="仿宋" w:eastAsia="仿宋" w:cs="仿宋"/>
          <w:bCs w:val="0"/>
          <w:color w:val="auto"/>
          <w:sz w:val="22"/>
          <w:szCs w:val="28"/>
          <w:highlight w:val="none"/>
          <w:lang w:val="en-US" w:eastAsia="zh-CN"/>
        </w:rPr>
        <w:t xml:space="preserve"> </w:t>
      </w:r>
      <w:r>
        <w:rPr>
          <w:rFonts w:hint="eastAsia" w:ascii="仿宋" w:hAnsi="仿宋" w:eastAsia="仿宋" w:cs="仿宋"/>
          <w:bCs w:val="0"/>
          <w:color w:val="auto"/>
          <w:sz w:val="22"/>
          <w:szCs w:val="28"/>
          <w:highlight w:val="none"/>
        </w:rPr>
        <w:t>特定资格条件证明材料附件（若有）</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_Toc31611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54</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76FFB205">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_Toc9183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48"/>
          <w:highlight w:val="none"/>
        </w:rPr>
        <w:t>二  资信商务及技术文件格式</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_Toc9183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55</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341F65C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_Toc7626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 xml:space="preserve">2.1   </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资信及商务文件封面格式</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_Toc7626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55</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5F6082E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_Toc19376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 xml:space="preserve">2.2   </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资信商务及技术文件目录</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_Toc19376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55</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3ADE9130">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_Toc20538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 xml:space="preserve">2.3   </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磋商响应函</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_Toc20538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56</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675DC51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_Toc13400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 xml:space="preserve">2.4   </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成功案例及业绩（若有）</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_Toc13400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58</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1DD5D776">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_Toc7548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 xml:space="preserve">2.5   </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商务响应表</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_Toc7548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58</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757E8990">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_Toc8579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w:t>
      </w:r>
      <w:r>
        <w:rPr>
          <w:rFonts w:hint="eastAsia" w:ascii="仿宋" w:hAnsi="仿宋" w:eastAsia="仿宋" w:cs="仿宋"/>
          <w:color w:val="auto"/>
          <w:sz w:val="22"/>
          <w:szCs w:val="28"/>
          <w:highlight w:val="none"/>
          <w:lang w:val="en-US" w:eastAsia="zh-CN"/>
        </w:rPr>
        <w:t>6</w:t>
      </w:r>
      <w:r>
        <w:rPr>
          <w:rFonts w:hint="eastAsia" w:ascii="仿宋" w:hAnsi="仿宋" w:eastAsia="仿宋" w:cs="仿宋"/>
          <w:color w:val="auto"/>
          <w:sz w:val="22"/>
          <w:szCs w:val="28"/>
          <w:highlight w:val="none"/>
        </w:rPr>
        <w:t xml:space="preserve">   </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需求理解分析</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_Toc8579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59</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61B1ED8E">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_Toc5959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w:t>
      </w:r>
      <w:r>
        <w:rPr>
          <w:rFonts w:hint="eastAsia" w:ascii="仿宋" w:hAnsi="仿宋" w:eastAsia="仿宋" w:cs="仿宋"/>
          <w:color w:val="auto"/>
          <w:sz w:val="22"/>
          <w:szCs w:val="28"/>
          <w:highlight w:val="none"/>
          <w:lang w:val="en-US" w:eastAsia="zh-CN"/>
        </w:rPr>
        <w:t>7</w:t>
      </w:r>
      <w:r>
        <w:rPr>
          <w:rFonts w:hint="eastAsia" w:ascii="仿宋" w:hAnsi="仿宋" w:eastAsia="仿宋" w:cs="仿宋"/>
          <w:color w:val="auto"/>
          <w:sz w:val="22"/>
          <w:szCs w:val="28"/>
          <w:highlight w:val="none"/>
        </w:rPr>
        <w:t xml:space="preserve">   </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项目实施方案</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_Toc5959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59</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70C9520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_Toc12256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w:t>
      </w:r>
      <w:r>
        <w:rPr>
          <w:rFonts w:hint="eastAsia" w:ascii="仿宋" w:hAnsi="仿宋" w:eastAsia="仿宋" w:cs="仿宋"/>
          <w:color w:val="auto"/>
          <w:sz w:val="22"/>
          <w:szCs w:val="28"/>
          <w:highlight w:val="none"/>
          <w:lang w:val="en-US" w:eastAsia="zh-CN"/>
        </w:rPr>
        <w:t>8</w:t>
      </w:r>
      <w:r>
        <w:rPr>
          <w:rFonts w:hint="eastAsia" w:ascii="仿宋" w:hAnsi="仿宋" w:eastAsia="仿宋" w:cs="仿宋"/>
          <w:color w:val="auto"/>
          <w:sz w:val="22"/>
          <w:szCs w:val="28"/>
          <w:highlight w:val="none"/>
        </w:rPr>
        <w:t xml:space="preserve">  </w:t>
      </w:r>
      <w:r>
        <w:rPr>
          <w:rFonts w:hint="eastAsia" w:ascii="仿宋" w:hAnsi="仿宋" w:eastAsia="仿宋" w:cs="仿宋"/>
          <w:color w:val="auto"/>
          <w:sz w:val="22"/>
          <w:szCs w:val="28"/>
          <w:highlight w:val="none"/>
          <w:lang w:val="en-US" w:eastAsia="zh-CN"/>
        </w:rPr>
        <w:t xml:space="preserve">  技术服务方案</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_Toc12256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59</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29F3FEC9">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_Toc14872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w:t>
      </w:r>
      <w:r>
        <w:rPr>
          <w:rFonts w:hint="eastAsia" w:ascii="仿宋" w:hAnsi="仿宋" w:eastAsia="仿宋" w:cs="仿宋"/>
          <w:color w:val="auto"/>
          <w:sz w:val="22"/>
          <w:szCs w:val="28"/>
          <w:highlight w:val="none"/>
          <w:lang w:val="en-US" w:eastAsia="zh-CN"/>
        </w:rPr>
        <w:t>9</w:t>
      </w:r>
      <w:r>
        <w:rPr>
          <w:rFonts w:hint="eastAsia" w:ascii="仿宋" w:hAnsi="仿宋" w:eastAsia="仿宋" w:cs="仿宋"/>
          <w:color w:val="auto"/>
          <w:sz w:val="22"/>
          <w:szCs w:val="28"/>
          <w:highlight w:val="none"/>
        </w:rPr>
        <w:t xml:space="preserve">   </w:t>
      </w:r>
      <w:r>
        <w:rPr>
          <w:rFonts w:hint="eastAsia" w:ascii="仿宋" w:hAnsi="仿宋" w:eastAsia="仿宋" w:cs="仿宋"/>
          <w:color w:val="auto"/>
          <w:sz w:val="22"/>
          <w:szCs w:val="28"/>
          <w:highlight w:val="none"/>
          <w:lang w:val="en-US" w:eastAsia="zh-CN"/>
        </w:rPr>
        <w:t xml:space="preserve"> 质量保证措施</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_Toc14872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60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0708713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_Toc6746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w:t>
      </w:r>
      <w:r>
        <w:rPr>
          <w:rFonts w:hint="eastAsia" w:ascii="仿宋" w:hAnsi="仿宋" w:eastAsia="仿宋" w:cs="仿宋"/>
          <w:color w:val="auto"/>
          <w:sz w:val="22"/>
          <w:szCs w:val="28"/>
          <w:highlight w:val="none"/>
          <w:lang w:val="en-US" w:eastAsia="zh-CN"/>
        </w:rPr>
        <w:t>10</w:t>
      </w:r>
      <w:r>
        <w:rPr>
          <w:rFonts w:hint="eastAsia" w:ascii="仿宋" w:hAnsi="仿宋" w:eastAsia="仿宋" w:cs="仿宋"/>
          <w:color w:val="auto"/>
          <w:sz w:val="22"/>
          <w:szCs w:val="28"/>
          <w:highlight w:val="none"/>
        </w:rPr>
        <w:t xml:space="preserve">   </w:t>
      </w:r>
      <w:r>
        <w:rPr>
          <w:rFonts w:hint="eastAsia" w:ascii="仿宋" w:hAnsi="仿宋" w:eastAsia="仿宋" w:cs="仿宋"/>
          <w:color w:val="auto"/>
          <w:sz w:val="22"/>
          <w:szCs w:val="28"/>
          <w:highlight w:val="none"/>
          <w:lang w:val="en-US" w:eastAsia="zh-CN"/>
        </w:rPr>
        <w:t>运维服务实施方案</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_Toc6746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60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58932686">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_Toc19460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2.1</w:t>
      </w:r>
      <w:r>
        <w:rPr>
          <w:rFonts w:hint="eastAsia" w:ascii="仿宋" w:hAnsi="仿宋" w:eastAsia="仿宋" w:cs="仿宋"/>
          <w:color w:val="auto"/>
          <w:sz w:val="22"/>
          <w:szCs w:val="28"/>
          <w:highlight w:val="none"/>
          <w:lang w:val="en-US" w:eastAsia="zh-CN"/>
        </w:rPr>
        <w:t>1</w:t>
      </w:r>
      <w:r>
        <w:rPr>
          <w:rFonts w:hint="eastAsia" w:ascii="仿宋" w:hAnsi="仿宋" w:eastAsia="仿宋" w:cs="仿宋"/>
          <w:color w:val="auto"/>
          <w:sz w:val="22"/>
          <w:szCs w:val="28"/>
          <w:highlight w:val="none"/>
        </w:rPr>
        <w:t xml:space="preserve">  </w:t>
      </w:r>
      <w:r>
        <w:rPr>
          <w:rFonts w:hint="eastAsia" w:ascii="仿宋" w:hAnsi="仿宋" w:eastAsia="仿宋" w:cs="仿宋"/>
          <w:color w:val="auto"/>
          <w:sz w:val="22"/>
          <w:szCs w:val="28"/>
          <w:highlight w:val="none"/>
          <w:lang w:val="en-US" w:eastAsia="zh-CN"/>
        </w:rPr>
        <w:t xml:space="preserve"> 运维服务保密方案</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_Toc19460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60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37C59C6D">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_Toc4642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2.1</w:t>
      </w:r>
      <w:r>
        <w:rPr>
          <w:rFonts w:hint="eastAsia" w:ascii="仿宋" w:hAnsi="仿宋" w:eastAsia="仿宋" w:cs="仿宋"/>
          <w:color w:val="auto"/>
          <w:sz w:val="22"/>
          <w:szCs w:val="28"/>
          <w:highlight w:val="none"/>
          <w:lang w:val="en-US" w:eastAsia="zh-CN"/>
        </w:rPr>
        <w:t>2</w:t>
      </w:r>
      <w:r>
        <w:rPr>
          <w:rFonts w:hint="eastAsia" w:ascii="仿宋" w:hAnsi="仿宋" w:eastAsia="仿宋" w:cs="仿宋"/>
          <w:color w:val="auto"/>
          <w:sz w:val="22"/>
          <w:szCs w:val="28"/>
          <w:highlight w:val="none"/>
        </w:rPr>
        <w:t xml:space="preserve">  </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拟投入的项目班子</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_Toc4642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61</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277A1FD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_Toc30503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2.1</w:t>
      </w:r>
      <w:r>
        <w:rPr>
          <w:rFonts w:hint="eastAsia" w:ascii="仿宋" w:hAnsi="仿宋" w:eastAsia="仿宋" w:cs="仿宋"/>
          <w:color w:val="auto"/>
          <w:sz w:val="22"/>
          <w:szCs w:val="28"/>
          <w:highlight w:val="none"/>
          <w:lang w:val="en-US" w:eastAsia="zh-CN"/>
        </w:rPr>
        <w:t>3</w:t>
      </w:r>
      <w:r>
        <w:rPr>
          <w:rFonts w:hint="eastAsia" w:ascii="仿宋" w:hAnsi="仿宋" w:eastAsia="仿宋" w:cs="仿宋"/>
          <w:color w:val="auto"/>
          <w:sz w:val="22"/>
          <w:szCs w:val="28"/>
          <w:highlight w:val="none"/>
        </w:rPr>
        <w:t xml:space="preserve">  </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供应商需要说明的其他文件和说明</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_Toc30503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61</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7D25A5FE">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_Toc2022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48"/>
          <w:highlight w:val="none"/>
        </w:rPr>
        <w:t>三  报价文件格式</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_Toc2022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62</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22E3114A">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_Toc9329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3.1    报价文件文件封面格式</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_Toc9329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62</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773848F3">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_Toc30699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3.2    报价文件文件目录</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_Toc30699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62</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498FAE72">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_Toc473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3.3    开标一览表格式</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_Toc473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63</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546ACAED">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_Toc6126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 xml:space="preserve">3.4    </w:t>
      </w:r>
      <w:r>
        <w:rPr>
          <w:rFonts w:hint="eastAsia" w:ascii="仿宋" w:hAnsi="仿宋" w:eastAsia="仿宋" w:cs="仿宋"/>
          <w:color w:val="auto"/>
          <w:kern w:val="0"/>
          <w:sz w:val="22"/>
          <w:szCs w:val="28"/>
          <w:highlight w:val="none"/>
        </w:rPr>
        <w:t>报价</w:t>
      </w:r>
      <w:r>
        <w:rPr>
          <w:rFonts w:hint="eastAsia" w:ascii="仿宋" w:hAnsi="仿宋" w:eastAsia="仿宋" w:cs="仿宋"/>
          <w:bCs w:val="0"/>
          <w:color w:val="auto"/>
          <w:sz w:val="22"/>
          <w:szCs w:val="28"/>
          <w:highlight w:val="none"/>
        </w:rPr>
        <w:t>明细表</w:t>
      </w:r>
      <w:r>
        <w:rPr>
          <w:rFonts w:hint="eastAsia" w:ascii="仿宋" w:hAnsi="仿宋" w:eastAsia="仿宋" w:cs="仿宋"/>
          <w:color w:val="auto"/>
          <w:sz w:val="22"/>
          <w:szCs w:val="28"/>
          <w:highlight w:val="none"/>
        </w:rPr>
        <w:t>格式</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_Toc6126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64</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11D2928D">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_Toc14149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val="0"/>
          <w:color w:val="auto"/>
          <w:sz w:val="22"/>
          <w:szCs w:val="28"/>
          <w:highlight w:val="none"/>
          <w:lang w:val="en-US" w:eastAsia="zh-CN"/>
        </w:rPr>
        <w:t>3.5</w:t>
      </w:r>
      <w:r>
        <w:rPr>
          <w:rFonts w:hint="eastAsia" w:ascii="仿宋" w:hAnsi="仿宋" w:eastAsia="仿宋" w:cs="仿宋"/>
          <w:bCs w:val="0"/>
          <w:color w:val="auto"/>
          <w:sz w:val="22"/>
          <w:szCs w:val="28"/>
          <w:highlight w:val="none"/>
        </w:rPr>
        <w:t xml:space="preserve">   </w:t>
      </w:r>
      <w:r>
        <w:rPr>
          <w:rFonts w:hint="eastAsia" w:ascii="仿宋" w:hAnsi="仿宋" w:eastAsia="仿宋" w:cs="仿宋"/>
          <w:bCs w:val="0"/>
          <w:color w:val="auto"/>
          <w:sz w:val="22"/>
          <w:szCs w:val="28"/>
          <w:highlight w:val="none"/>
          <w:lang w:val="en-US" w:eastAsia="zh-CN"/>
        </w:rPr>
        <w:t xml:space="preserve"> </w:t>
      </w:r>
      <w:r>
        <w:rPr>
          <w:rFonts w:hint="eastAsia" w:ascii="仿宋" w:hAnsi="仿宋" w:eastAsia="仿宋" w:cs="仿宋"/>
          <w:bCs w:val="0"/>
          <w:color w:val="auto"/>
          <w:sz w:val="22"/>
          <w:szCs w:val="28"/>
          <w:highlight w:val="none"/>
        </w:rPr>
        <w:t>中小企业声明函（服务）</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_Toc14149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65</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0D93E4DF">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_Toc10159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val="0"/>
          <w:color w:val="auto"/>
          <w:sz w:val="22"/>
          <w:szCs w:val="28"/>
          <w:highlight w:val="none"/>
          <w:lang w:val="en-US" w:eastAsia="zh-CN"/>
        </w:rPr>
        <w:t>3.6</w:t>
      </w:r>
      <w:r>
        <w:rPr>
          <w:rFonts w:hint="eastAsia" w:ascii="仿宋" w:hAnsi="仿宋" w:eastAsia="仿宋" w:cs="仿宋"/>
          <w:bCs w:val="0"/>
          <w:color w:val="auto"/>
          <w:sz w:val="22"/>
          <w:szCs w:val="28"/>
          <w:highlight w:val="none"/>
        </w:rPr>
        <w:t xml:space="preserve">   </w:t>
      </w:r>
      <w:r>
        <w:rPr>
          <w:rFonts w:hint="eastAsia" w:ascii="仿宋" w:hAnsi="仿宋" w:eastAsia="仿宋" w:cs="仿宋"/>
          <w:bCs w:val="0"/>
          <w:color w:val="auto"/>
          <w:sz w:val="22"/>
          <w:szCs w:val="28"/>
          <w:highlight w:val="none"/>
          <w:lang w:val="en-US" w:eastAsia="zh-CN"/>
        </w:rPr>
        <w:t xml:space="preserve"> </w:t>
      </w:r>
      <w:r>
        <w:rPr>
          <w:rFonts w:hint="eastAsia" w:ascii="仿宋" w:hAnsi="仿宋" w:eastAsia="仿宋" w:cs="仿宋"/>
          <w:bCs w:val="0"/>
          <w:color w:val="auto"/>
          <w:sz w:val="22"/>
          <w:szCs w:val="28"/>
          <w:highlight w:val="none"/>
        </w:rPr>
        <w:t>残疾人福利性单位声明函</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_Toc10159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67</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35602088">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_Toc16441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val="0"/>
          <w:color w:val="auto"/>
          <w:sz w:val="22"/>
          <w:szCs w:val="28"/>
          <w:highlight w:val="none"/>
          <w:lang w:val="en-US" w:eastAsia="zh-CN"/>
        </w:rPr>
        <w:t>3.7</w:t>
      </w:r>
      <w:r>
        <w:rPr>
          <w:rFonts w:hint="eastAsia" w:ascii="仿宋" w:hAnsi="仿宋" w:eastAsia="仿宋" w:cs="仿宋"/>
          <w:bCs w:val="0"/>
          <w:color w:val="auto"/>
          <w:sz w:val="22"/>
          <w:szCs w:val="28"/>
          <w:highlight w:val="none"/>
        </w:rPr>
        <w:t xml:space="preserve">   </w:t>
      </w:r>
      <w:r>
        <w:rPr>
          <w:rFonts w:hint="eastAsia" w:ascii="仿宋" w:hAnsi="仿宋" w:eastAsia="仿宋" w:cs="仿宋"/>
          <w:bCs w:val="0"/>
          <w:color w:val="auto"/>
          <w:sz w:val="22"/>
          <w:szCs w:val="28"/>
          <w:highlight w:val="none"/>
          <w:lang w:val="en-US" w:eastAsia="zh-CN"/>
        </w:rPr>
        <w:t xml:space="preserve"> </w:t>
      </w:r>
      <w:r>
        <w:rPr>
          <w:rFonts w:hint="eastAsia" w:ascii="仿宋" w:hAnsi="仿宋" w:eastAsia="仿宋" w:cs="仿宋"/>
          <w:bCs w:val="0"/>
          <w:color w:val="auto"/>
          <w:sz w:val="22"/>
          <w:szCs w:val="28"/>
          <w:highlight w:val="none"/>
        </w:rPr>
        <w:t>监狱企业证明</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_Toc16441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68</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5164F22C">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_Toc18494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40"/>
          <w:highlight w:val="none"/>
        </w:rPr>
        <w:t>第七部分 评审办法</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_Toc18494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69</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57A807EB">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_Toc9908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2"/>
          <w:highlight w:val="none"/>
          <w:lang w:val="en-US"/>
        </w:rPr>
        <w:t>一、 评审方法</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_Toc9908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69</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66121B85">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_Toc9591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2"/>
          <w:highlight w:val="none"/>
          <w:lang w:val="en-US"/>
        </w:rPr>
        <w:t>二、 评审标准</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_Toc9591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70</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33E65994">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_Toc8622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2"/>
          <w:highlight w:val="none"/>
          <w:lang w:val="en-US"/>
        </w:rPr>
        <w:t>三、 评审内容及标准</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_Toc8622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71</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1D1A0842">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_Toc11957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2"/>
          <w:highlight w:val="none"/>
          <w:lang w:val="en-US"/>
        </w:rPr>
        <w:t>四、 评审程序</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_Toc11957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75</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3AA26CB5">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_Toc266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2"/>
          <w:highlight w:val="none"/>
          <w:lang w:val="en-US"/>
        </w:rPr>
        <w:t>五、 评审中的其他事项</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_Toc266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77</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4103E8C1">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_Toc25213 </w:instrText>
      </w:r>
      <w:r>
        <w:rPr>
          <w:rFonts w:hint="eastAsia" w:ascii="仿宋" w:hAnsi="仿宋" w:eastAsia="仿宋" w:cs="仿宋"/>
          <w:color w:val="auto"/>
          <w:sz w:val="22"/>
          <w:szCs w:val="28"/>
          <w:highlight w:val="none"/>
        </w:rPr>
        <w:fldChar w:fldCharType="separate"/>
      </w:r>
      <w:r>
        <w:rPr>
          <w:rFonts w:hint="eastAsia" w:ascii="仿宋" w:hAnsi="仿宋" w:eastAsia="仿宋" w:cs="仿宋"/>
          <w:bCs/>
          <w:color w:val="auto"/>
          <w:kern w:val="2"/>
          <w:sz w:val="22"/>
          <w:szCs w:val="32"/>
          <w:highlight w:val="none"/>
          <w:lang w:val="en-US"/>
        </w:rPr>
        <w:t>六、 评审过程的保密与录像</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_Toc25213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81</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5F5387EF">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_Toc9914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32"/>
          <w:highlight w:val="none"/>
        </w:rPr>
        <w:t>附件1：质疑函范本及制作说明</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_Toc9914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82</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68B5761E">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_Toc2677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32"/>
          <w:highlight w:val="none"/>
        </w:rPr>
        <w:t>附件2：投诉书范本及制作说明</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_Toc2677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84</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1CE5BDA3">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24" w:lineRule="auto"/>
        <w:ind w:left="0" w:leftChars="0"/>
        <w:textAlignment w:val="auto"/>
        <w:rPr>
          <w:color w:val="auto"/>
          <w:highlight w:val="none"/>
        </w:rPr>
      </w:pP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HYPERLINK \l _Toc20319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32"/>
          <w:highlight w:val="none"/>
        </w:rPr>
        <w:t>附件3: 政府采购活动现场确认书</w:t>
      </w:r>
      <w:r>
        <w:rPr>
          <w:rFonts w:hint="eastAsia" w:ascii="仿宋" w:hAnsi="仿宋" w:eastAsia="仿宋" w:cs="仿宋"/>
          <w:color w:val="auto"/>
          <w:sz w:val="22"/>
          <w:szCs w:val="28"/>
          <w:highlight w:val="none"/>
        </w:rPr>
        <w:tab/>
      </w:r>
      <w:r>
        <w:rPr>
          <w:rFonts w:hint="eastAsia" w:ascii="仿宋" w:hAnsi="仿宋" w:eastAsia="仿宋" w:cs="仿宋"/>
          <w:color w:val="auto"/>
          <w:sz w:val="22"/>
          <w:szCs w:val="28"/>
          <w:highlight w:val="none"/>
        </w:rPr>
        <w:fldChar w:fldCharType="begin"/>
      </w:r>
      <w:r>
        <w:rPr>
          <w:rFonts w:hint="eastAsia" w:ascii="仿宋" w:hAnsi="仿宋" w:eastAsia="仿宋" w:cs="仿宋"/>
          <w:color w:val="auto"/>
          <w:sz w:val="22"/>
          <w:szCs w:val="28"/>
          <w:highlight w:val="none"/>
        </w:rPr>
        <w:instrText xml:space="preserve"> PAGEREF _Toc20319 \h </w:instrText>
      </w:r>
      <w:r>
        <w:rPr>
          <w:rFonts w:hint="eastAsia" w:ascii="仿宋" w:hAnsi="仿宋" w:eastAsia="仿宋" w:cs="仿宋"/>
          <w:color w:val="auto"/>
          <w:sz w:val="22"/>
          <w:szCs w:val="28"/>
          <w:highlight w:val="none"/>
        </w:rPr>
        <w:fldChar w:fldCharType="separate"/>
      </w:r>
      <w:r>
        <w:rPr>
          <w:rFonts w:hint="eastAsia" w:ascii="仿宋" w:hAnsi="仿宋" w:eastAsia="仿宋" w:cs="仿宋"/>
          <w:color w:val="auto"/>
          <w:sz w:val="22"/>
          <w:szCs w:val="28"/>
          <w:highlight w:val="none"/>
        </w:rPr>
        <w:t>87</w:t>
      </w:r>
      <w:r>
        <w:rPr>
          <w:rFonts w:hint="eastAsia" w:ascii="仿宋" w:hAnsi="仿宋" w:eastAsia="仿宋" w:cs="仿宋"/>
          <w:color w:val="auto"/>
          <w:sz w:val="22"/>
          <w:szCs w:val="28"/>
          <w:highlight w:val="none"/>
        </w:rPr>
        <w:fldChar w:fldCharType="end"/>
      </w:r>
      <w:r>
        <w:rPr>
          <w:rFonts w:hint="eastAsia" w:ascii="仿宋" w:hAnsi="仿宋" w:eastAsia="仿宋" w:cs="仿宋"/>
          <w:color w:val="auto"/>
          <w:sz w:val="22"/>
          <w:szCs w:val="28"/>
          <w:highlight w:val="none"/>
        </w:rPr>
        <w:fldChar w:fldCharType="end"/>
      </w:r>
    </w:p>
    <w:p w14:paraId="3926148B">
      <w:pPr>
        <w:keepNext w:val="0"/>
        <w:keepLines w:val="0"/>
        <w:pageBreakBefore w:val="0"/>
        <w:widowControl w:val="0"/>
        <w:kinsoku/>
        <w:wordWrap/>
        <w:overflowPunct/>
        <w:topLinePunct w:val="0"/>
        <w:autoSpaceDE/>
        <w:autoSpaceDN/>
        <w:bidi w:val="0"/>
        <w:adjustRightInd w:val="0"/>
        <w:snapToGrid/>
        <w:spacing w:line="324" w:lineRule="auto"/>
        <w:textAlignment w:val="auto"/>
        <w:rPr>
          <w:color w:val="auto"/>
          <w:highlight w:val="none"/>
        </w:rPr>
      </w:pPr>
      <w:r>
        <w:rPr>
          <w:rFonts w:hint="eastAsia"/>
          <w:color w:val="auto"/>
          <w:highlight w:val="none"/>
        </w:rPr>
        <w:fldChar w:fldCharType="end"/>
      </w:r>
    </w:p>
    <w:p w14:paraId="2519595C">
      <w:pPr>
        <w:bidi w:val="0"/>
        <w:rPr>
          <w:rFonts w:hint="eastAsia"/>
          <w:color w:val="auto"/>
          <w:highlight w:val="none"/>
        </w:rPr>
      </w:pPr>
      <w:bookmarkStart w:id="22" w:name="_Toc25880"/>
    </w:p>
    <w:p w14:paraId="1D0466EF">
      <w:pPr>
        <w:pStyle w:val="2"/>
        <w:rPr>
          <w:rFonts w:hint="eastAsia"/>
          <w:color w:val="auto"/>
          <w:highlight w:val="none"/>
        </w:rPr>
      </w:pPr>
    </w:p>
    <w:p w14:paraId="64A179BA">
      <w:pPr>
        <w:pStyle w:val="2"/>
        <w:rPr>
          <w:rFonts w:hint="eastAsia"/>
          <w:color w:val="auto"/>
          <w:highlight w:val="none"/>
        </w:rPr>
      </w:pPr>
    </w:p>
    <w:p w14:paraId="0DE6C553">
      <w:pPr>
        <w:pStyle w:val="2"/>
        <w:rPr>
          <w:rFonts w:hint="eastAsia"/>
          <w:color w:val="auto"/>
          <w:highlight w:val="none"/>
        </w:rPr>
      </w:pPr>
    </w:p>
    <w:p w14:paraId="09696B95">
      <w:pPr>
        <w:pStyle w:val="2"/>
        <w:rPr>
          <w:rFonts w:hint="eastAsia"/>
          <w:color w:val="auto"/>
          <w:highlight w:val="none"/>
        </w:rPr>
      </w:pPr>
    </w:p>
    <w:p w14:paraId="1C27B1E0">
      <w:pPr>
        <w:pStyle w:val="4"/>
        <w:spacing w:before="0" w:after="0" w:line="360" w:lineRule="auto"/>
        <w:ind w:left="0" w:firstLine="723" w:firstLineChars="200"/>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第一部分 竞争性磋商公告（邀请）</w:t>
      </w:r>
      <w:bookmarkEnd w:id="17"/>
      <w:bookmarkEnd w:id="18"/>
      <w:bookmarkEnd w:id="22"/>
    </w:p>
    <w:p w14:paraId="7FA38FF6">
      <w:pPr>
        <w:pBdr>
          <w:top w:val="single" w:color="auto" w:sz="4" w:space="0"/>
          <w:left w:val="single" w:color="auto" w:sz="4" w:space="4"/>
          <w:bottom w:val="single" w:color="auto" w:sz="4" w:space="1"/>
          <w:right w:val="single" w:color="auto" w:sz="4" w:space="4"/>
        </w:pBd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C317C60">
      <w:pPr>
        <w:pBdr>
          <w:top w:val="single" w:color="auto" w:sz="4" w:space="0"/>
          <w:left w:val="single" w:color="auto" w:sz="4" w:space="4"/>
          <w:bottom w:val="single" w:color="auto" w:sz="4" w:space="1"/>
          <w:right w:val="single" w:color="auto" w:sz="4" w:space="4"/>
        </w:pBd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u w:val="single"/>
          <w:lang w:eastAsia="zh-CN"/>
        </w:rPr>
        <w:t>2024年度大数据发展中心数据仓运维服务项目(第二次）</w:t>
      </w:r>
      <w:r>
        <w:rPr>
          <w:rFonts w:hint="eastAsia" w:ascii="仿宋" w:hAnsi="仿宋" w:eastAsia="仿宋" w:cs="仿宋"/>
          <w:color w:val="auto"/>
          <w:sz w:val="24"/>
          <w:highlight w:val="none"/>
        </w:rPr>
        <w:t>的潜在供应商应在政采云平台线上获取（下载）采购文件，并于</w:t>
      </w:r>
      <w:r>
        <w:rPr>
          <w:rFonts w:hint="eastAsia" w:ascii="仿宋" w:hAnsi="仿宋" w:eastAsia="仿宋" w:cs="仿宋"/>
          <w:bCs/>
          <w:snapToGrid w:val="0"/>
          <w:color w:val="auto"/>
          <w:sz w:val="24"/>
          <w:highlight w:val="none"/>
          <w:u w:val="single"/>
        </w:rPr>
        <w:t>2024</w:t>
      </w:r>
      <w:r>
        <w:rPr>
          <w:rFonts w:hint="eastAsia" w:ascii="仿宋" w:hAnsi="仿宋" w:eastAsia="仿宋" w:cs="仿宋"/>
          <w:bCs/>
          <w:color w:val="auto"/>
          <w:sz w:val="24"/>
          <w:highlight w:val="none"/>
        </w:rPr>
        <w:t>年</w:t>
      </w:r>
      <w:r>
        <w:rPr>
          <w:rFonts w:hint="eastAsia" w:ascii="仿宋" w:hAnsi="仿宋" w:eastAsia="仿宋" w:cs="仿宋"/>
          <w:bCs/>
          <w:snapToGrid w:val="0"/>
          <w:color w:val="auto"/>
          <w:sz w:val="24"/>
          <w:highlight w:val="none"/>
          <w:u w:val="single"/>
          <w:lang w:val="en-US" w:eastAsia="zh-CN"/>
        </w:rPr>
        <w:t>10</w:t>
      </w:r>
      <w:r>
        <w:rPr>
          <w:rFonts w:hint="eastAsia" w:ascii="仿宋" w:hAnsi="仿宋" w:eastAsia="仿宋" w:cs="仿宋"/>
          <w:bCs/>
          <w:color w:val="auto"/>
          <w:sz w:val="24"/>
          <w:highlight w:val="none"/>
        </w:rPr>
        <w:t>月</w:t>
      </w:r>
      <w:r>
        <w:rPr>
          <w:rFonts w:hint="eastAsia" w:ascii="仿宋" w:hAnsi="仿宋" w:eastAsia="仿宋" w:cs="仿宋"/>
          <w:bCs/>
          <w:snapToGrid w:val="0"/>
          <w:color w:val="auto"/>
          <w:sz w:val="24"/>
          <w:highlight w:val="none"/>
          <w:u w:val="single"/>
          <w:lang w:val="en-US" w:eastAsia="zh-CN"/>
        </w:rPr>
        <w:t>22</w:t>
      </w:r>
      <w:r>
        <w:rPr>
          <w:rFonts w:hint="eastAsia" w:ascii="仿宋" w:hAnsi="仿宋" w:eastAsia="仿宋" w:cs="仿宋"/>
          <w:bCs/>
          <w:color w:val="auto"/>
          <w:sz w:val="24"/>
          <w:highlight w:val="none"/>
        </w:rPr>
        <w:t>日</w:t>
      </w:r>
      <w:r>
        <w:rPr>
          <w:rFonts w:hint="eastAsia" w:ascii="仿宋" w:hAnsi="仿宋" w:eastAsia="仿宋" w:cs="仿宋"/>
          <w:bCs/>
          <w:snapToGrid w:val="0"/>
          <w:color w:val="auto"/>
          <w:sz w:val="24"/>
          <w:highlight w:val="none"/>
          <w:u w:val="single"/>
          <w:lang w:val="en-US" w:eastAsia="zh-CN"/>
        </w:rPr>
        <w:t>14</w:t>
      </w:r>
      <w:r>
        <w:rPr>
          <w:rFonts w:hint="eastAsia" w:ascii="仿宋" w:hAnsi="仿宋" w:eastAsia="仿宋" w:cs="仿宋"/>
          <w:bCs/>
          <w:snapToGrid w:val="0"/>
          <w:color w:val="auto"/>
          <w:sz w:val="24"/>
          <w:highlight w:val="none"/>
          <w:u w:val="single"/>
        </w:rPr>
        <w:t>:</w:t>
      </w:r>
      <w:r>
        <w:rPr>
          <w:rFonts w:hint="eastAsia" w:ascii="仿宋" w:hAnsi="仿宋" w:eastAsia="仿宋" w:cs="仿宋"/>
          <w:bCs/>
          <w:snapToGrid w:val="0"/>
          <w:color w:val="auto"/>
          <w:sz w:val="24"/>
          <w:highlight w:val="none"/>
          <w:u w:val="single"/>
          <w:lang w:val="en-US" w:eastAsia="zh-CN"/>
        </w:rPr>
        <w:t>30</w:t>
      </w:r>
      <w:r>
        <w:rPr>
          <w:rFonts w:hint="eastAsia" w:ascii="仿宋" w:hAnsi="仿宋" w:eastAsia="仿宋" w:cs="仿宋"/>
          <w:bCs/>
          <w:color w:val="auto"/>
          <w:sz w:val="24"/>
          <w:highlight w:val="none"/>
        </w:rPr>
        <w:t>（北京时间）前提交(上传）响应文件</w:t>
      </w:r>
      <w:r>
        <w:rPr>
          <w:rFonts w:hint="eastAsia" w:ascii="仿宋" w:hAnsi="仿宋" w:eastAsia="仿宋" w:cs="仿宋"/>
          <w:color w:val="auto"/>
          <w:sz w:val="24"/>
          <w:highlight w:val="none"/>
        </w:rPr>
        <w:t>。</w:t>
      </w:r>
    </w:p>
    <w:p w14:paraId="573D50B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A6A05E7">
      <w:pPr>
        <w:snapToGrid w:val="0"/>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项目编号：</w:t>
      </w:r>
      <w:r>
        <w:rPr>
          <w:rFonts w:hint="eastAsia" w:ascii="仿宋" w:hAnsi="仿宋" w:eastAsia="仿宋" w:cs="仿宋"/>
          <w:bCs/>
          <w:color w:val="auto"/>
          <w:sz w:val="24"/>
          <w:highlight w:val="none"/>
          <w:lang w:eastAsia="zh-CN"/>
        </w:rPr>
        <w:t>JNJKC2024（CS)-086</w:t>
      </w:r>
    </w:p>
    <w:p w14:paraId="236DE9C1">
      <w:pPr>
        <w:snapToGrid w:val="0"/>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lang w:eastAsia="zh-CN"/>
        </w:rPr>
        <w:t>2024年度大数据发展中心数据仓运维服务项目(第二次）</w:t>
      </w:r>
    </w:p>
    <w:p w14:paraId="33E80E23">
      <w:pPr>
        <w:wordWrap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采购方式：竞争性磋商</w:t>
      </w:r>
    </w:p>
    <w:p w14:paraId="5D3A903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万元</w:t>
      </w:r>
    </w:p>
    <w:p w14:paraId="61F809E0">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最高限价：</w:t>
      </w:r>
      <w:r>
        <w:rPr>
          <w:rFonts w:hint="eastAsia" w:ascii="仿宋" w:hAnsi="仿宋" w:eastAsia="仿宋" w:cs="仿宋"/>
          <w:bCs/>
          <w:color w:val="auto"/>
          <w:sz w:val="24"/>
          <w:highlight w:val="none"/>
          <w:lang w:val="en-US" w:eastAsia="zh-CN"/>
        </w:rPr>
        <w:t>88</w:t>
      </w:r>
      <w:r>
        <w:rPr>
          <w:rFonts w:hint="eastAsia" w:ascii="仿宋" w:hAnsi="仿宋" w:eastAsia="仿宋" w:cs="仿宋"/>
          <w:bCs/>
          <w:color w:val="auto"/>
          <w:sz w:val="24"/>
          <w:highlight w:val="none"/>
        </w:rPr>
        <w:t>万元</w:t>
      </w:r>
    </w:p>
    <w:p w14:paraId="7965DD50">
      <w:pPr>
        <w:pStyle w:val="17"/>
        <w:spacing w:line="360" w:lineRule="auto"/>
        <w:ind w:firstLine="480" w:firstLineChars="200"/>
        <w:rPr>
          <w:rFonts w:ascii="仿宋" w:hAnsi="仿宋" w:eastAsia="仿宋" w:cs="仿宋"/>
          <w:snapToGrid/>
          <w:color w:val="auto"/>
          <w:kern w:val="2"/>
          <w:sz w:val="24"/>
          <w:szCs w:val="24"/>
          <w:highlight w:val="none"/>
        </w:rPr>
      </w:pPr>
      <w:r>
        <w:rPr>
          <w:rFonts w:hint="eastAsia" w:ascii="仿宋" w:hAnsi="仿宋" w:eastAsia="仿宋" w:cs="仿宋"/>
          <w:color w:val="auto"/>
          <w:sz w:val="24"/>
          <w:highlight w:val="none"/>
        </w:rPr>
        <w:t>采购需求：</w:t>
      </w:r>
      <w:r>
        <w:rPr>
          <w:rFonts w:hint="eastAsia" w:ascii="仿宋" w:hAnsi="仿宋" w:eastAsia="仿宋" w:cs="仿宋"/>
          <w:snapToGrid/>
          <w:color w:val="auto"/>
          <w:kern w:val="2"/>
          <w:sz w:val="24"/>
          <w:szCs w:val="24"/>
          <w:highlight w:val="none"/>
        </w:rPr>
        <w:t>主要内容为</w:t>
      </w:r>
      <w:r>
        <w:rPr>
          <w:rFonts w:hint="eastAsia" w:ascii="仿宋" w:hAnsi="仿宋" w:eastAsia="仿宋" w:cs="仿宋"/>
          <w:snapToGrid/>
          <w:color w:val="auto"/>
          <w:kern w:val="2"/>
          <w:sz w:val="24"/>
          <w:szCs w:val="24"/>
          <w:highlight w:val="none"/>
          <w:lang w:eastAsia="zh-CN"/>
        </w:rPr>
        <w:t>2024年度大数据发展中心数据仓运维服务</w:t>
      </w:r>
      <w:r>
        <w:rPr>
          <w:rFonts w:hint="eastAsia" w:ascii="仿宋" w:hAnsi="仿宋" w:eastAsia="仿宋" w:cs="仿宋"/>
          <w:snapToGrid/>
          <w:color w:val="auto"/>
          <w:kern w:val="2"/>
          <w:sz w:val="24"/>
          <w:szCs w:val="24"/>
          <w:highlight w:val="none"/>
        </w:rPr>
        <w:t>，详见采购文件第二部分采购需求。</w:t>
      </w:r>
    </w:p>
    <w:p w14:paraId="030D38D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数量：1</w:t>
      </w:r>
    </w:p>
    <w:p w14:paraId="1BBE0CD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单位：项</w:t>
      </w:r>
    </w:p>
    <w:p w14:paraId="7E5ACB0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简要规格描述：详见磋商文件</w:t>
      </w:r>
    </w:p>
    <w:p w14:paraId="57416920">
      <w:pPr>
        <w:pStyle w:val="3"/>
        <w:ind w:firstLine="480" w:firstLineChars="200"/>
        <w:rPr>
          <w:rFonts w:ascii="仿宋" w:hAnsi="仿宋" w:eastAsia="仿宋" w:cs="仿宋"/>
          <w:color w:val="auto"/>
          <w:highlight w:val="none"/>
          <w:lang w:val="en-US"/>
        </w:rPr>
      </w:pPr>
      <w:r>
        <w:rPr>
          <w:rFonts w:hint="eastAsia" w:ascii="仿宋" w:hAnsi="仿宋" w:eastAsia="仿宋" w:cs="仿宋"/>
          <w:color w:val="auto"/>
          <w:szCs w:val="24"/>
          <w:highlight w:val="none"/>
          <w:lang w:val="en-US"/>
        </w:rPr>
        <w:t>备注：</w:t>
      </w:r>
    </w:p>
    <w:p w14:paraId="6D4E5AD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合同履约期限：</w:t>
      </w:r>
      <w:r>
        <w:rPr>
          <w:rFonts w:hint="eastAsia" w:ascii="仿宋" w:hAnsi="仿宋" w:eastAsia="仿宋" w:cs="仿宋"/>
          <w:bCs/>
          <w:color w:val="auto"/>
          <w:sz w:val="24"/>
          <w:highlight w:val="none"/>
        </w:rPr>
        <w:t>详见竞争性磋商文件</w:t>
      </w:r>
    </w:p>
    <w:p w14:paraId="7426D29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本项目接受联合体：</w:t>
      </w:r>
    </w:p>
    <w:p w14:paraId="5EB920C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 xml:space="preserve"> 是；</w:t>
      </w:r>
    </w:p>
    <w:p w14:paraId="34128A6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否，不接受联合体理由：              。</w:t>
      </w:r>
    </w:p>
    <w:p w14:paraId="7A38FD3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注：不得限制大中型企业与小微企业组成联合体参与。</w:t>
      </w:r>
    </w:p>
    <w:p w14:paraId="1AF7C5D0">
      <w:pPr>
        <w:rPr>
          <w:rFonts w:ascii="仿宋" w:hAnsi="仿宋" w:eastAsia="仿宋" w:cs="仿宋"/>
          <w:color w:val="auto"/>
          <w:highlight w:val="none"/>
        </w:rPr>
      </w:pPr>
    </w:p>
    <w:p w14:paraId="5050500C">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w:t>
      </w:r>
      <w:bookmarkStart w:id="23" w:name="_Hlk101132948"/>
      <w:r>
        <w:rPr>
          <w:rFonts w:hint="eastAsia" w:ascii="仿宋" w:hAnsi="仿宋" w:eastAsia="仿宋" w:cs="仿宋"/>
          <w:b/>
          <w:color w:val="auto"/>
          <w:sz w:val="24"/>
          <w:highlight w:val="none"/>
        </w:rPr>
        <w:t>申请人的资格要求</w:t>
      </w:r>
      <w:bookmarkEnd w:id="23"/>
      <w:r>
        <w:rPr>
          <w:rFonts w:hint="eastAsia" w:ascii="仿宋" w:hAnsi="仿宋" w:eastAsia="仿宋" w:cs="仿宋"/>
          <w:b/>
          <w:color w:val="auto"/>
          <w:sz w:val="24"/>
          <w:highlight w:val="none"/>
        </w:rPr>
        <w:t>：</w:t>
      </w:r>
    </w:p>
    <w:p w14:paraId="010604B2">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仿宋" w:hAnsi="仿宋" w:eastAsia="仿宋" w:cs="仿宋"/>
          <w:color w:val="auto"/>
          <w:sz w:val="24"/>
          <w:highlight w:val="none"/>
        </w:rPr>
        <w:t>重大税收违法失信主体</w:t>
      </w:r>
      <w:r>
        <w:rPr>
          <w:rFonts w:hint="eastAsia" w:ascii="仿宋" w:hAnsi="仿宋" w:eastAsia="仿宋" w:cs="仿宋"/>
          <w:snapToGrid w:val="0"/>
          <w:color w:val="auto"/>
          <w:kern w:val="28"/>
          <w:sz w:val="24"/>
          <w:szCs w:val="20"/>
          <w:highlight w:val="none"/>
        </w:rPr>
        <w:t>、政府采购严重违法失信行为记录名单；</w:t>
      </w:r>
    </w:p>
    <w:p w14:paraId="2F8BBF32">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以联合体形式参与的，提供联合协议(本项目不接受联合体或者供应商不以联合体形式参与的，则不需要提供) ；</w:t>
      </w:r>
    </w:p>
    <w:p w14:paraId="2251FA98">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117ABD7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无；</w:t>
      </w:r>
    </w:p>
    <w:p w14:paraId="4CDE0E0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 xml:space="preserve"> </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0E171AF">
      <w:pPr>
        <w:spacing w:line="360" w:lineRule="auto"/>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 xml:space="preserve">□ </w:t>
      </w:r>
      <w:r>
        <w:rPr>
          <w:rFonts w:hint="eastAsia" w:ascii="仿宋" w:hAnsi="仿宋" w:eastAsia="仿宋" w:cs="仿宋"/>
          <w:b/>
          <w:bCs/>
          <w:color w:val="auto"/>
          <w:kern w:val="0"/>
          <w:sz w:val="24"/>
          <w:highlight w:val="none"/>
        </w:rPr>
        <w:t>服务</w:t>
      </w:r>
      <w:r>
        <w:rPr>
          <w:rFonts w:hint="eastAsia" w:ascii="仿宋" w:hAnsi="仿宋" w:eastAsia="仿宋" w:cs="仿宋"/>
          <w:b/>
          <w:bCs/>
          <w:color w:val="auto"/>
          <w:sz w:val="24"/>
          <w:highlight w:val="none"/>
        </w:rPr>
        <w:t>全部由符合政策要求的中小企业承接，提供中小企业声明函；</w:t>
      </w:r>
    </w:p>
    <w:p w14:paraId="60280A8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服务全部由符合政策要求的小微企业承接</w:t>
      </w:r>
      <w:r>
        <w:rPr>
          <w:rFonts w:hint="eastAsia" w:ascii="仿宋" w:hAnsi="仿宋" w:eastAsia="仿宋" w:cs="仿宋"/>
          <w:color w:val="auto"/>
          <w:sz w:val="24"/>
          <w:highlight w:val="none"/>
        </w:rPr>
        <w:t>，提供中小企业声明函；</w:t>
      </w:r>
    </w:p>
    <w:p w14:paraId="1F78409D">
      <w:pPr>
        <w:spacing w:line="360" w:lineRule="auto"/>
        <w:ind w:firstLine="480" w:firstLineChars="200"/>
        <w:rPr>
          <w:rFonts w:ascii="仿宋" w:hAnsi="仿宋" w:eastAsia="仿宋" w:cs="仿宋"/>
          <w:color w:val="auto"/>
          <w:sz w:val="24"/>
          <w:highlight w:val="none"/>
        </w:rPr>
      </w:pPr>
      <w:bookmarkStart w:id="24" w:name="_Hlk101132524"/>
      <w:r>
        <w:rPr>
          <w:rFonts w:hint="eastAsia" w:ascii="仿宋" w:hAnsi="仿宋" w:eastAsia="仿宋" w:cs="仿宋"/>
          <w:color w:val="auto"/>
          <w:sz w:val="24"/>
          <w:highlight w:val="none"/>
        </w:rPr>
        <w:t>□ 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24"/>
    <w:p w14:paraId="44C32AF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53F214A6">
      <w:pPr>
        <w:numPr>
          <w:ilvl w:val="0"/>
          <w:numId w:val="1"/>
        </w:num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本项目的特定资格要求：无。</w:t>
      </w:r>
    </w:p>
    <w:p w14:paraId="097C8AF1">
      <w:pPr>
        <w:numPr>
          <w:ilvl w:val="0"/>
          <w:numId w:val="1"/>
        </w:num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其他要求: </w:t>
      </w:r>
    </w:p>
    <w:p w14:paraId="28C0F46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3B9408D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发布公告之日至</w:t>
      </w:r>
      <w:r>
        <w:rPr>
          <w:rFonts w:hint="eastAsia" w:ascii="仿宋" w:hAnsi="仿宋" w:eastAsia="仿宋" w:cs="仿宋"/>
          <w:bCs/>
          <w:snapToGrid w:val="0"/>
          <w:color w:val="auto"/>
          <w:sz w:val="24"/>
          <w:highlight w:val="none"/>
          <w:u w:val="single"/>
        </w:rPr>
        <w:t>2024</w:t>
      </w:r>
      <w:r>
        <w:rPr>
          <w:rFonts w:hint="eastAsia" w:ascii="仿宋" w:hAnsi="仿宋" w:eastAsia="仿宋" w:cs="仿宋"/>
          <w:bCs/>
          <w:color w:val="auto"/>
          <w:sz w:val="24"/>
          <w:highlight w:val="none"/>
        </w:rPr>
        <w:t>年</w:t>
      </w:r>
      <w:r>
        <w:rPr>
          <w:rFonts w:hint="eastAsia" w:ascii="仿宋" w:hAnsi="仿宋" w:eastAsia="仿宋" w:cs="仿宋"/>
          <w:bCs/>
          <w:snapToGrid w:val="0"/>
          <w:color w:val="auto"/>
          <w:sz w:val="24"/>
          <w:highlight w:val="none"/>
          <w:u w:val="single"/>
          <w:lang w:val="en-US" w:eastAsia="zh-CN"/>
        </w:rPr>
        <w:t>10</w:t>
      </w:r>
      <w:r>
        <w:rPr>
          <w:rFonts w:hint="eastAsia" w:ascii="仿宋" w:hAnsi="仿宋" w:eastAsia="仿宋" w:cs="仿宋"/>
          <w:bCs/>
          <w:color w:val="auto"/>
          <w:sz w:val="24"/>
          <w:highlight w:val="none"/>
        </w:rPr>
        <w:t>月</w:t>
      </w:r>
      <w:r>
        <w:rPr>
          <w:rFonts w:hint="eastAsia" w:ascii="仿宋" w:hAnsi="仿宋" w:eastAsia="仿宋" w:cs="仿宋"/>
          <w:bCs/>
          <w:snapToGrid w:val="0"/>
          <w:color w:val="auto"/>
          <w:sz w:val="24"/>
          <w:highlight w:val="none"/>
          <w:u w:val="single"/>
          <w:lang w:val="en-US" w:eastAsia="zh-CN"/>
        </w:rPr>
        <w:t>22</w:t>
      </w:r>
      <w:r>
        <w:rPr>
          <w:rFonts w:hint="eastAsia" w:ascii="仿宋" w:hAnsi="仿宋" w:eastAsia="仿宋" w:cs="仿宋"/>
          <w:bCs/>
          <w:color w:val="auto"/>
          <w:sz w:val="24"/>
          <w:highlight w:val="non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889B4E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Cs/>
          <w:color w:val="auto"/>
          <w:sz w:val="24"/>
          <w:highlight w:val="none"/>
        </w:rPr>
        <w:t xml:space="preserve">政采云平台线上获取 </w:t>
      </w:r>
    </w:p>
    <w:p w14:paraId="1988B90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方式：</w:t>
      </w:r>
    </w:p>
    <w:p w14:paraId="27404728">
      <w:pPr>
        <w:numPr>
          <w:ilvl w:val="0"/>
          <w:numId w:val="2"/>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1639914">
      <w:pPr>
        <w:numPr>
          <w:ilvl w:val="0"/>
          <w:numId w:val="2"/>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未在浙江省政府采购网（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）注册成为正式供应商的，请注册完成审核成功后方可登录获取，注册流程见网址：http://</w:t>
      </w:r>
      <w:r>
        <w:rPr>
          <w:color w:val="auto"/>
          <w:highlight w:val="none"/>
        </w:rPr>
        <w:fldChar w:fldCharType="begin"/>
      </w:r>
      <w:r>
        <w:rPr>
          <w:color w:val="auto"/>
          <w:highlight w:val="none"/>
        </w:rPr>
        <w:instrText xml:space="preserve"> HYPERLINK "http://zfcg.czt.zj.gov.cn/register/2017-07-24/6728.html?_=2020-03-09%2006:00:22" </w:instrText>
      </w:r>
      <w:r>
        <w:rPr>
          <w:color w:val="auto"/>
          <w:highlight w:val="none"/>
        </w:rPr>
        <w:fldChar w:fldCharType="separate"/>
      </w:r>
      <w:r>
        <w:rPr>
          <w:rFonts w:hint="eastAsia" w:ascii="仿宋" w:hAnsi="仿宋" w:eastAsia="仿宋" w:cs="仿宋"/>
          <w:color w:val="auto"/>
          <w:sz w:val="24"/>
          <w:highlight w:val="none"/>
        </w:rPr>
        <w:t>zfcg.czt.zj.gov.cn/register/2017-07-24/6728.html?_=2020-03-09%2006:</w:t>
      </w:r>
      <w:bookmarkStart w:id="25" w:name="_Hlt34749270"/>
      <w:bookmarkStart w:id="26" w:name="_Hlt34749271"/>
      <w:r>
        <w:rPr>
          <w:rFonts w:hint="eastAsia" w:ascii="仿宋" w:hAnsi="仿宋" w:eastAsia="仿宋" w:cs="仿宋"/>
          <w:color w:val="auto"/>
          <w:sz w:val="24"/>
          <w:highlight w:val="none"/>
        </w:rPr>
        <w:t>0</w:t>
      </w:r>
      <w:bookmarkEnd w:id="25"/>
      <w:bookmarkEnd w:id="26"/>
      <w:r>
        <w:rPr>
          <w:rFonts w:hint="eastAsia" w:ascii="仿宋" w:hAnsi="仿宋" w:eastAsia="仿宋" w:cs="仿宋"/>
          <w:color w:val="auto"/>
          <w:sz w:val="24"/>
          <w:highlight w:val="none"/>
        </w:rPr>
        <w:t>0:22</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，注册咨询电话：400-881-7190；</w:t>
      </w:r>
    </w:p>
    <w:p w14:paraId="4D150A76">
      <w:pPr>
        <w:numPr>
          <w:ilvl w:val="0"/>
          <w:numId w:val="2"/>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在浙江政府采购网采购公告附件中以“游客”身份（或丽水市公共资源交易网）获取的采购文件仅供阅览；潜在供应商未按上述第</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条方式获取采购文件的不得对采购文件提起质疑投诉。</w:t>
      </w:r>
    </w:p>
    <w:p w14:paraId="4A7663A8">
      <w:pPr>
        <w:numPr>
          <w:ilvl w:val="0"/>
          <w:numId w:val="2"/>
        </w:num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8D0E66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14:paraId="0631DD7A">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 xml:space="preserve">. </w:t>
      </w:r>
      <w:r>
        <w:rPr>
          <w:rFonts w:hint="eastAsia" w:ascii="仿宋" w:hAnsi="仿宋" w:eastAsia="仿宋" w:cs="仿宋"/>
          <w:bCs/>
          <w:color w:val="auto"/>
          <w:sz w:val="24"/>
          <w:highlight w:val="none"/>
        </w:rPr>
        <w:t>截止时间：</w:t>
      </w:r>
      <w:r>
        <w:rPr>
          <w:rFonts w:hint="eastAsia" w:ascii="仿宋" w:hAnsi="仿宋" w:eastAsia="仿宋" w:cs="仿宋"/>
          <w:bCs/>
          <w:snapToGrid w:val="0"/>
          <w:color w:val="auto"/>
          <w:sz w:val="24"/>
          <w:highlight w:val="none"/>
          <w:u w:val="single"/>
        </w:rPr>
        <w:t>2024</w:t>
      </w:r>
      <w:r>
        <w:rPr>
          <w:rFonts w:hint="eastAsia" w:ascii="仿宋" w:hAnsi="仿宋" w:eastAsia="仿宋" w:cs="仿宋"/>
          <w:bCs/>
          <w:color w:val="auto"/>
          <w:sz w:val="24"/>
          <w:highlight w:val="none"/>
        </w:rPr>
        <w:t>年</w:t>
      </w:r>
      <w:r>
        <w:rPr>
          <w:rFonts w:hint="eastAsia" w:ascii="仿宋" w:hAnsi="仿宋" w:eastAsia="仿宋" w:cs="仿宋"/>
          <w:bCs/>
          <w:snapToGrid w:val="0"/>
          <w:color w:val="auto"/>
          <w:sz w:val="24"/>
          <w:highlight w:val="none"/>
          <w:u w:val="single"/>
          <w:lang w:val="en-US" w:eastAsia="zh-CN"/>
        </w:rPr>
        <w:t>10</w:t>
      </w:r>
      <w:r>
        <w:rPr>
          <w:rFonts w:hint="eastAsia" w:ascii="仿宋" w:hAnsi="仿宋" w:eastAsia="仿宋" w:cs="仿宋"/>
          <w:bCs/>
          <w:color w:val="auto"/>
          <w:sz w:val="24"/>
          <w:highlight w:val="none"/>
        </w:rPr>
        <w:t>月</w:t>
      </w:r>
      <w:r>
        <w:rPr>
          <w:rFonts w:hint="eastAsia" w:ascii="仿宋" w:hAnsi="仿宋" w:eastAsia="仿宋" w:cs="仿宋"/>
          <w:bCs/>
          <w:snapToGrid w:val="0"/>
          <w:color w:val="auto"/>
          <w:sz w:val="24"/>
          <w:highlight w:val="none"/>
          <w:u w:val="single"/>
          <w:lang w:val="en-US" w:eastAsia="zh-CN"/>
        </w:rPr>
        <w:t>22</w:t>
      </w:r>
      <w:r>
        <w:rPr>
          <w:rFonts w:hint="eastAsia" w:ascii="仿宋" w:hAnsi="仿宋" w:eastAsia="仿宋" w:cs="仿宋"/>
          <w:bCs/>
          <w:color w:val="auto"/>
          <w:sz w:val="24"/>
          <w:highlight w:val="none"/>
        </w:rPr>
        <w:t>日</w:t>
      </w:r>
      <w:r>
        <w:rPr>
          <w:rFonts w:hint="eastAsia" w:ascii="仿宋" w:hAnsi="仿宋" w:eastAsia="仿宋" w:cs="仿宋"/>
          <w:bCs/>
          <w:snapToGrid w:val="0"/>
          <w:color w:val="auto"/>
          <w:sz w:val="24"/>
          <w:highlight w:val="none"/>
          <w:u w:val="single"/>
          <w:lang w:val="en-US" w:eastAsia="zh-CN"/>
        </w:rPr>
        <w:t>14</w:t>
      </w:r>
      <w:r>
        <w:rPr>
          <w:rFonts w:hint="eastAsia" w:ascii="仿宋" w:hAnsi="仿宋" w:eastAsia="仿宋" w:cs="仿宋"/>
          <w:bCs/>
          <w:snapToGrid w:val="0"/>
          <w:color w:val="auto"/>
          <w:sz w:val="24"/>
          <w:highlight w:val="none"/>
          <w:u w:val="single"/>
        </w:rPr>
        <w:t>:</w:t>
      </w:r>
      <w:r>
        <w:rPr>
          <w:rFonts w:hint="eastAsia" w:ascii="仿宋" w:hAnsi="仿宋" w:eastAsia="仿宋" w:cs="仿宋"/>
          <w:bCs/>
          <w:snapToGrid w:val="0"/>
          <w:color w:val="auto"/>
          <w:sz w:val="24"/>
          <w:highlight w:val="none"/>
          <w:u w:val="single"/>
          <w:lang w:val="en-US" w:eastAsia="zh-CN"/>
        </w:rPr>
        <w:t>30</w:t>
      </w:r>
      <w:r>
        <w:rPr>
          <w:rFonts w:hint="eastAsia" w:ascii="仿宋" w:hAnsi="仿宋" w:eastAsia="仿宋" w:cs="仿宋"/>
          <w:bCs/>
          <w:color w:val="auto"/>
          <w:sz w:val="24"/>
          <w:highlight w:val="none"/>
        </w:rPr>
        <w:t>（北京时间）；</w:t>
      </w:r>
    </w:p>
    <w:p w14:paraId="7685531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 地点：</w:t>
      </w:r>
    </w:p>
    <w:p w14:paraId="3A7EF6F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电子加密磋商响应文件：在“政府采购云平台”上传提交，“电子加密磋商响应文件”成功上传提交后，供应商自行打印磋商响应文件接收回执。</w:t>
      </w:r>
    </w:p>
    <w:p w14:paraId="071640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备份磋商响应文件：供应商自行确定是否提交；若提交请将备份磋商响应文件以电子邮件的形式发送至（</w:t>
      </w:r>
      <w:r>
        <w:rPr>
          <w:rFonts w:hint="eastAsia" w:ascii="仿宋" w:hAnsi="仿宋" w:eastAsia="仿宋" w:cs="仿宋"/>
          <w:bCs/>
          <w:snapToGrid w:val="0"/>
          <w:color w:val="auto"/>
          <w:sz w:val="24"/>
          <w:highlight w:val="none"/>
        </w:rPr>
        <w:t>596722349</w:t>
      </w:r>
      <w:r>
        <w:rPr>
          <w:rFonts w:hint="eastAsia" w:ascii="仿宋" w:hAnsi="仿宋" w:eastAsia="仿宋" w:cs="仿宋"/>
          <w:color w:val="auto"/>
          <w:sz w:val="24"/>
          <w:highlight w:val="none"/>
        </w:rPr>
        <w:t>@</w:t>
      </w:r>
      <w:r>
        <w:rPr>
          <w:rFonts w:hint="eastAsia" w:ascii="仿宋" w:hAnsi="仿宋" w:eastAsia="仿宋" w:cs="仿宋"/>
          <w:bCs/>
          <w:snapToGrid w:val="0"/>
          <w:color w:val="auto"/>
          <w:sz w:val="24"/>
          <w:highlight w:val="none"/>
        </w:rPr>
        <w:t>qq</w:t>
      </w:r>
      <w:r>
        <w:rPr>
          <w:rFonts w:hint="eastAsia" w:ascii="仿宋" w:hAnsi="仿宋" w:eastAsia="仿宋" w:cs="仿宋"/>
          <w:color w:val="auto"/>
          <w:sz w:val="24"/>
          <w:highlight w:val="none"/>
        </w:rPr>
        <w:t>.com），备份磋商响应文件在“电子加密磋商响应文件”在线解密失败后启用，否则不予以启用；未在规定时间内发送备份磋商响应文件造成的响应无效或失败由供应商自行承当。</w:t>
      </w:r>
    </w:p>
    <w:p w14:paraId="626A7C38">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14:paraId="16DB2D90">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bCs/>
          <w:snapToGrid w:val="0"/>
          <w:color w:val="auto"/>
          <w:sz w:val="24"/>
          <w:highlight w:val="none"/>
          <w:u w:val="single"/>
        </w:rPr>
        <w:t>2024</w:t>
      </w:r>
      <w:r>
        <w:rPr>
          <w:rFonts w:hint="eastAsia" w:ascii="仿宋" w:hAnsi="仿宋" w:eastAsia="仿宋" w:cs="仿宋"/>
          <w:bCs/>
          <w:color w:val="auto"/>
          <w:sz w:val="24"/>
          <w:highlight w:val="none"/>
        </w:rPr>
        <w:t>年</w:t>
      </w:r>
      <w:r>
        <w:rPr>
          <w:rFonts w:hint="eastAsia" w:ascii="仿宋" w:hAnsi="仿宋" w:eastAsia="仿宋" w:cs="仿宋"/>
          <w:bCs/>
          <w:snapToGrid w:val="0"/>
          <w:color w:val="auto"/>
          <w:sz w:val="24"/>
          <w:highlight w:val="none"/>
          <w:u w:val="single"/>
          <w:lang w:val="en-US" w:eastAsia="zh-CN"/>
        </w:rPr>
        <w:t>10</w:t>
      </w:r>
      <w:r>
        <w:rPr>
          <w:rFonts w:hint="eastAsia" w:ascii="仿宋" w:hAnsi="仿宋" w:eastAsia="仿宋" w:cs="仿宋"/>
          <w:bCs/>
          <w:color w:val="auto"/>
          <w:sz w:val="24"/>
          <w:highlight w:val="none"/>
        </w:rPr>
        <w:t>月</w:t>
      </w:r>
      <w:r>
        <w:rPr>
          <w:rFonts w:hint="eastAsia" w:ascii="仿宋" w:hAnsi="仿宋" w:eastAsia="仿宋" w:cs="仿宋"/>
          <w:bCs/>
          <w:snapToGrid w:val="0"/>
          <w:color w:val="auto"/>
          <w:sz w:val="24"/>
          <w:highlight w:val="none"/>
          <w:u w:val="single"/>
          <w:lang w:val="en-US" w:eastAsia="zh-CN"/>
        </w:rPr>
        <w:t>22</w:t>
      </w:r>
      <w:r>
        <w:rPr>
          <w:rFonts w:hint="eastAsia" w:ascii="仿宋" w:hAnsi="仿宋" w:eastAsia="仿宋" w:cs="仿宋"/>
          <w:bCs/>
          <w:color w:val="auto"/>
          <w:sz w:val="24"/>
          <w:highlight w:val="none"/>
        </w:rPr>
        <w:t>日</w:t>
      </w:r>
      <w:r>
        <w:rPr>
          <w:rFonts w:hint="eastAsia" w:ascii="仿宋" w:hAnsi="仿宋" w:eastAsia="仿宋" w:cs="仿宋"/>
          <w:bCs/>
          <w:snapToGrid w:val="0"/>
          <w:color w:val="auto"/>
          <w:sz w:val="24"/>
          <w:highlight w:val="none"/>
          <w:u w:val="single"/>
          <w:lang w:val="en-US" w:eastAsia="zh-CN"/>
        </w:rPr>
        <w:t>14</w:t>
      </w:r>
      <w:r>
        <w:rPr>
          <w:rFonts w:hint="eastAsia" w:ascii="仿宋" w:hAnsi="仿宋" w:eastAsia="仿宋" w:cs="仿宋"/>
          <w:bCs/>
          <w:snapToGrid w:val="0"/>
          <w:color w:val="auto"/>
          <w:sz w:val="24"/>
          <w:highlight w:val="none"/>
          <w:u w:val="single"/>
        </w:rPr>
        <w:t>:</w:t>
      </w:r>
      <w:r>
        <w:rPr>
          <w:rFonts w:hint="eastAsia" w:ascii="仿宋" w:hAnsi="仿宋" w:eastAsia="仿宋" w:cs="仿宋"/>
          <w:bCs/>
          <w:snapToGrid w:val="0"/>
          <w:color w:val="auto"/>
          <w:sz w:val="24"/>
          <w:highlight w:val="none"/>
          <w:u w:val="single"/>
          <w:lang w:val="en-US" w:eastAsia="zh-CN"/>
        </w:rPr>
        <w:t>30</w:t>
      </w:r>
      <w:r>
        <w:rPr>
          <w:rFonts w:hint="eastAsia" w:ascii="仿宋" w:hAnsi="仿宋" w:eastAsia="仿宋" w:cs="仿宋"/>
          <w:bCs/>
          <w:color w:val="auto"/>
          <w:sz w:val="24"/>
          <w:highlight w:val="none"/>
        </w:rPr>
        <w:t>（北京时间）</w:t>
      </w:r>
    </w:p>
    <w:p w14:paraId="3BD941A8">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Cs/>
          <w:color w:val="auto"/>
          <w:sz w:val="24"/>
          <w:highlight w:val="none"/>
        </w:rPr>
        <w:t>浙江政府采购网—用户入驻/登录—用户登录—项目采购—开标评标—进入开标大厅</w:t>
      </w:r>
    </w:p>
    <w:p w14:paraId="4071E263">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2431F9C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7413D1D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134BABC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color w:val="auto"/>
          <w:sz w:val="24"/>
          <w:highlight w:val="none"/>
          <w:shd w:val="clear" w:color="auto" w:fill="FFFFFF"/>
        </w:rPr>
        <w:t>浙江省财政厅关于进一步加大政府采购支持中小企业力度助力扎实稳住经济的通知》（浙财采监〔2022〕8号）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62EAD65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750AD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FBDA9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w:t>
      </w:r>
      <w:r>
        <w:rPr>
          <w:rFonts w:hint="eastAsia" w:ascii="仿宋" w:hAnsi="仿宋" w:eastAsia="仿宋" w:cs="仿宋"/>
          <w:b/>
          <w:bCs/>
          <w:color w:val="auto"/>
          <w:sz w:val="24"/>
          <w:highlight w:val="none"/>
        </w:rPr>
        <w:t>（1）需要落实的政府采购政策：</w:t>
      </w:r>
      <w:r>
        <w:rPr>
          <w:rFonts w:hint="eastAsia" w:ascii="仿宋" w:hAnsi="仿宋" w:eastAsia="仿宋" w:cs="仿宋"/>
          <w:color w:val="auto"/>
          <w:sz w:val="24"/>
          <w:highlight w:val="none"/>
        </w:rPr>
        <w:t>包括节约资源、保护环境、支持创新、促进中小企业发展等。详见采购文件的第四部分总则。</w:t>
      </w:r>
      <w:r>
        <w:rPr>
          <w:rFonts w:hint="eastAsia" w:ascii="仿宋" w:hAnsi="仿宋" w:eastAsia="仿宋" w:cs="仿宋"/>
          <w:b/>
          <w:bCs/>
          <w:color w:val="auto"/>
          <w:sz w:val="24"/>
          <w:highlight w:val="none"/>
        </w:rPr>
        <w:t>（2）电子交易的说明：①电子交易：</w:t>
      </w:r>
      <w:r>
        <w:rPr>
          <w:rFonts w:hint="eastAsia" w:ascii="仿宋" w:hAnsi="仿宋" w:eastAsia="仿宋" w:cs="仿宋"/>
          <w:color w:val="auto"/>
          <w:sz w:val="24"/>
          <w:highlight w:val="none"/>
        </w:rPr>
        <w:t>本项目以数据电文形式，依托“政府采购云平台（www.zcygov.cn）”进行招投标活动，不接受纸质响应文件；</w:t>
      </w:r>
      <w:r>
        <w:rPr>
          <w:rFonts w:hint="eastAsia" w:ascii="仿宋" w:hAnsi="仿宋" w:eastAsia="仿宋" w:cs="仿宋"/>
          <w:b/>
          <w:bCs/>
          <w:color w:val="auto"/>
          <w:sz w:val="24"/>
          <w:highlight w:val="none"/>
        </w:rPr>
        <w:t>②响应准备：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bCs/>
          <w:color w:val="auto"/>
          <w:sz w:val="24"/>
          <w:highlight w:val="none"/>
        </w:rPr>
        <w:t>③采购文件的获取：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使用账号登录或者使用CA登录政采云平台；进入“项目采购”应用，在获取采购文件菜单中选择项目，获取采购文件；</w:t>
      </w:r>
      <w:r>
        <w:rPr>
          <w:rFonts w:hint="eastAsia" w:ascii="仿宋" w:hAnsi="仿宋" w:eastAsia="仿宋" w:cs="仿宋"/>
          <w:b/>
          <w:bCs/>
          <w:color w:val="auto"/>
          <w:sz w:val="24"/>
          <w:highlight w:val="none"/>
        </w:rPr>
        <w:t>④响应文件的制作：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w:t>
      </w:r>
      <w:r>
        <w:rPr>
          <w:rFonts w:hint="eastAsia" w:ascii="仿宋" w:hAnsi="仿宋" w:eastAsia="仿宋" w:cs="仿宋"/>
          <w:b/>
          <w:bCs/>
          <w:color w:val="auto"/>
          <w:sz w:val="24"/>
          <w:highlight w:val="none"/>
        </w:rPr>
        <w:t>⑧响应文件的传输递交：</w:t>
      </w:r>
      <w:r>
        <w:rPr>
          <w:rFonts w:hint="eastAsia" w:ascii="仿宋" w:hAnsi="仿宋" w:eastAsia="仿宋" w:cs="仿宋"/>
          <w:color w:val="auto"/>
          <w:sz w:val="24"/>
          <w:highlight w:val="none"/>
        </w:rPr>
        <w:t>供应商在响应文件提交（上传）截止时间前将加密的响应文件上传至政府采购云平台，还可以在响应文件提交（上传）截止时间前直接提交或者以电子邮件的形式递交备份响应文件1份。备份响应文件的制作、存储、密封详见采购文件第四部分第7点—“备份响应文件”；</w:t>
      </w:r>
      <w:r>
        <w:rPr>
          <w:rFonts w:hint="eastAsia" w:ascii="仿宋" w:hAnsi="仿宋" w:eastAsia="仿宋" w:cs="仿宋"/>
          <w:b/>
          <w:bCs/>
          <w:color w:val="auto"/>
          <w:sz w:val="24"/>
          <w:highlight w:val="none"/>
        </w:rPr>
        <w:t>⑨响应文件的解密：</w:t>
      </w:r>
      <w:r>
        <w:rPr>
          <w:rFonts w:hint="eastAsia" w:ascii="仿宋" w:hAnsi="仿宋" w:eastAsia="仿宋" w:cs="仿宋"/>
          <w:color w:val="auto"/>
          <w:sz w:val="24"/>
          <w:highlight w:val="none"/>
        </w:rPr>
        <w:t>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w:t>
      </w:r>
      <w:r>
        <w:rPr>
          <w:rFonts w:hint="eastAsia" w:ascii="仿宋" w:hAnsi="仿宋" w:eastAsia="仿宋" w:cs="仿宋"/>
          <w:b/>
          <w:bCs/>
          <w:color w:val="auto"/>
          <w:sz w:val="24"/>
          <w:highlight w:val="none"/>
        </w:rPr>
        <w:t>⑩具体操作指南：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详见政采云平台“服务中心-帮助文档-项目采购-操作流程-电子招投标-政府采购项目电子交易管理操作指南-供应商”。（3）采购文件公告期限与竞争性磋商公告的公告期限一致。</w:t>
      </w:r>
    </w:p>
    <w:p w14:paraId="1CF2D57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5C8E219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6133F50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称：景宁畲族自治县大数据发展中心</w:t>
      </w:r>
    </w:p>
    <w:p w14:paraId="65E92B3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址：景宁县建设路13号</w:t>
      </w:r>
    </w:p>
    <w:p w14:paraId="285533E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项目联系人（询问）： </w:t>
      </w:r>
      <w:r>
        <w:rPr>
          <w:rFonts w:hint="eastAsia" w:ascii="仿宋" w:hAnsi="仿宋" w:eastAsia="仿宋" w:cs="仿宋"/>
          <w:color w:val="auto"/>
          <w:sz w:val="24"/>
          <w:highlight w:val="none"/>
          <w:lang w:val="en-US" w:eastAsia="zh-CN"/>
        </w:rPr>
        <w:t>叶云飞</w:t>
      </w: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0578-5620575</w:t>
      </w:r>
      <w:r>
        <w:rPr>
          <w:rFonts w:hint="eastAsia" w:ascii="仿宋" w:hAnsi="仿宋" w:eastAsia="仿宋" w:cs="仿宋"/>
          <w:color w:val="auto"/>
          <w:sz w:val="24"/>
          <w:highlight w:val="none"/>
        </w:rPr>
        <w:t xml:space="preserve">  </w:t>
      </w:r>
    </w:p>
    <w:p w14:paraId="1845024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梅浩浩</w:t>
      </w: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0578-5621253</w:t>
      </w:r>
      <w:r>
        <w:rPr>
          <w:rFonts w:hint="eastAsia" w:ascii="仿宋" w:hAnsi="仿宋" w:eastAsia="仿宋" w:cs="仿宋"/>
          <w:color w:val="auto"/>
          <w:sz w:val="24"/>
          <w:highlight w:val="none"/>
        </w:rPr>
        <w:t xml:space="preserve">             </w:t>
      </w:r>
    </w:p>
    <w:p w14:paraId="2BCF254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6D91A5A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称：浙江建科工程项目管理有限公司</w:t>
      </w:r>
    </w:p>
    <w:p w14:paraId="7E8CC4C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址：景宁畲族自治县人民北路祥源商贸城2幢2楼</w:t>
      </w:r>
    </w:p>
    <w:p w14:paraId="23155C5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真：0</w:t>
      </w:r>
      <w:r>
        <w:rPr>
          <w:rFonts w:ascii="仿宋" w:hAnsi="仿宋" w:eastAsia="仿宋" w:cs="仿宋"/>
          <w:color w:val="auto"/>
          <w:sz w:val="24"/>
          <w:highlight w:val="none"/>
        </w:rPr>
        <w:t>578-5081333</w:t>
      </w:r>
      <w:r>
        <w:rPr>
          <w:rFonts w:hint="eastAsia" w:ascii="仿宋" w:hAnsi="仿宋" w:eastAsia="仿宋" w:cs="仿宋"/>
          <w:color w:val="auto"/>
          <w:sz w:val="24"/>
          <w:highlight w:val="none"/>
        </w:rPr>
        <w:t xml:space="preserve">             </w:t>
      </w:r>
    </w:p>
    <w:p w14:paraId="0805569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姚亚</w:t>
      </w:r>
      <w:r>
        <w:rPr>
          <w:rFonts w:hint="eastAsia" w:ascii="仿宋" w:hAnsi="仿宋" w:eastAsia="仿宋" w:cs="仿宋"/>
          <w:color w:val="auto"/>
          <w:sz w:val="24"/>
          <w:highlight w:val="none"/>
        </w:rPr>
        <w:t xml:space="preserve">          </w:t>
      </w:r>
    </w:p>
    <w:p w14:paraId="65FF458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w:t>
      </w:r>
      <w:r>
        <w:rPr>
          <w:rFonts w:ascii="仿宋" w:hAnsi="仿宋" w:eastAsia="仿宋" w:cs="仿宋"/>
          <w:color w:val="auto"/>
          <w:sz w:val="24"/>
          <w:highlight w:val="none"/>
        </w:rPr>
        <w:t>578-5083626</w:t>
      </w:r>
    </w:p>
    <w:p w14:paraId="6897F61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陈芬芬</w:t>
      </w:r>
      <w:r>
        <w:rPr>
          <w:rFonts w:hint="eastAsia" w:ascii="仿宋" w:hAnsi="仿宋" w:eastAsia="仿宋" w:cs="仿宋"/>
          <w:color w:val="auto"/>
          <w:sz w:val="24"/>
          <w:highlight w:val="none"/>
        </w:rPr>
        <w:t xml:space="preserve">              </w:t>
      </w:r>
    </w:p>
    <w:p w14:paraId="45449EA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质疑联系方式：0</w:t>
      </w:r>
      <w:r>
        <w:rPr>
          <w:rFonts w:ascii="仿宋" w:hAnsi="仿宋" w:eastAsia="仿宋" w:cs="仿宋"/>
          <w:color w:val="auto"/>
          <w:sz w:val="24"/>
          <w:highlight w:val="none"/>
        </w:rPr>
        <w:t>578-5081333</w:t>
      </w:r>
    </w:p>
    <w:p w14:paraId="07491E0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0AFBA00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称：景宁畲族自治县财政局政府采购监管科</w:t>
      </w:r>
    </w:p>
    <w:p w14:paraId="46FCBD7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址：景宁畲族自治县团结西路59号 </w:t>
      </w:r>
    </w:p>
    <w:p w14:paraId="1C712B6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6139CAD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联系人 ：张先生</w:t>
      </w:r>
    </w:p>
    <w:p w14:paraId="4F46E2B7">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监督投诉电话：0578-5081219 </w:t>
      </w:r>
    </w:p>
    <w:p w14:paraId="1FAF9164">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若对项目采购电子交易系统操作有疑问，可登录政采云（https://www.zcygov.cn/），点击右侧咨询小采，获取采小蜜智能服务管家帮助，或拨打政采云服务热线95763获取热线服务帮助。</w:t>
      </w:r>
    </w:p>
    <w:p w14:paraId="4B8481D3">
      <w:pPr>
        <w:snapToGrid w:val="0"/>
        <w:spacing w:line="360" w:lineRule="auto"/>
        <w:ind w:firstLine="480" w:firstLineChars="200"/>
        <w:rPr>
          <w:rFonts w:ascii="仿宋" w:hAnsi="仿宋" w:eastAsia="仿宋" w:cs="仿宋"/>
          <w:color w:val="auto"/>
          <w:sz w:val="24"/>
          <w:highlight w:val="none"/>
        </w:rPr>
        <w:sectPr>
          <w:headerReference r:id="rId9" w:type="first"/>
          <w:headerReference r:id="rId8" w:type="default"/>
          <w:pgSz w:w="11905" w:h="16838"/>
          <w:pgMar w:top="1440" w:right="1803" w:bottom="1440" w:left="1803" w:header="851" w:footer="992" w:gutter="0"/>
          <w:pgNumType w:fmt="decimal" w:start="2"/>
          <w:cols w:space="0" w:num="1"/>
          <w:titlePg/>
          <w:docGrid w:linePitch="312" w:charSpace="0"/>
        </w:sectPr>
      </w:pPr>
      <w:r>
        <w:rPr>
          <w:rFonts w:hint="eastAsia" w:ascii="仿宋" w:hAnsi="仿宋" w:eastAsia="仿宋" w:cs="仿宋"/>
          <w:color w:val="auto"/>
          <w:sz w:val="24"/>
          <w:highlight w:val="none"/>
        </w:rPr>
        <w:t>CA问题联系电话（人工）：汇信CA 400-888-4636；天谷CA 400-087-8198。</w:t>
      </w:r>
    </w:p>
    <w:p w14:paraId="7A85DAF2">
      <w:pPr>
        <w:pStyle w:val="4"/>
        <w:spacing w:before="0" w:after="0" w:line="480" w:lineRule="auto"/>
        <w:ind w:left="431" w:hanging="431"/>
        <w:jc w:val="center"/>
        <w:rPr>
          <w:rFonts w:ascii="仿宋" w:hAnsi="仿宋" w:eastAsia="仿宋" w:cs="仿宋"/>
          <w:color w:val="auto"/>
          <w:sz w:val="36"/>
          <w:szCs w:val="36"/>
          <w:highlight w:val="none"/>
        </w:rPr>
      </w:pPr>
      <w:bookmarkStart w:id="27" w:name="_Toc139797632"/>
      <w:bookmarkStart w:id="28" w:name="_Toc16532"/>
      <w:bookmarkStart w:id="29" w:name="_Toc218"/>
      <w:bookmarkStart w:id="30" w:name="_Toc17442"/>
      <w:bookmarkStart w:id="31" w:name="_Toc139797591"/>
      <w:r>
        <w:rPr>
          <w:rFonts w:hint="eastAsia" w:ascii="仿宋" w:hAnsi="仿宋" w:eastAsia="仿宋" w:cs="仿宋"/>
          <w:color w:val="auto"/>
          <w:sz w:val="36"/>
          <w:szCs w:val="36"/>
          <w:highlight w:val="none"/>
        </w:rPr>
        <w:t>第二部分 采购需求</w:t>
      </w:r>
      <w:bookmarkEnd w:id="27"/>
      <w:bookmarkEnd w:id="28"/>
      <w:bookmarkEnd w:id="29"/>
    </w:p>
    <w:p w14:paraId="0E7B036E">
      <w:pPr>
        <w:pStyle w:val="5"/>
        <w:rPr>
          <w:color w:val="auto"/>
          <w:sz w:val="24"/>
          <w:szCs w:val="24"/>
          <w:highlight w:val="none"/>
        </w:rPr>
      </w:pPr>
      <w:bookmarkStart w:id="32" w:name="_Toc14403"/>
      <w:bookmarkStart w:id="33" w:name="_Toc2118"/>
      <w:bookmarkStart w:id="34" w:name="_Toc8777"/>
      <w:bookmarkStart w:id="35" w:name="_Toc30000"/>
      <w:bookmarkStart w:id="36" w:name="_Toc31917"/>
      <w:bookmarkStart w:id="37" w:name="_Toc5190"/>
      <w:bookmarkStart w:id="38" w:name="_Toc139797641"/>
      <w:bookmarkStart w:id="39" w:name="_Toc7908"/>
      <w:r>
        <w:rPr>
          <w:rFonts w:hint="eastAsia"/>
          <w:color w:val="auto"/>
          <w:sz w:val="24"/>
          <w:szCs w:val="24"/>
          <w:highlight w:val="none"/>
        </w:rPr>
        <w:t>一、技术要求</w:t>
      </w:r>
      <w:bookmarkEnd w:id="32"/>
      <w:bookmarkEnd w:id="33"/>
      <w:bookmarkEnd w:id="34"/>
    </w:p>
    <w:p w14:paraId="0B4EF62D">
      <w:pPr>
        <w:pStyle w:val="6"/>
        <w:pageBreakBefore w:val="0"/>
        <w:kinsoku/>
        <w:wordWrap/>
        <w:overflowPunct/>
        <w:topLinePunct w:val="0"/>
        <w:bidi w:val="0"/>
        <w:adjustRightInd w:val="0"/>
        <w:snapToGrid/>
        <w:spacing w:before="0" w:after="0" w:line="360" w:lineRule="auto"/>
        <w:ind w:left="0" w:firstLine="482" w:firstLineChars="200"/>
        <w:textAlignment w:val="auto"/>
        <w:rPr>
          <w:rFonts w:ascii="仿宋" w:hAnsi="仿宋" w:eastAsia="仿宋" w:cs="仿宋"/>
          <w:color w:val="auto"/>
          <w:sz w:val="24"/>
          <w:szCs w:val="24"/>
          <w:highlight w:val="none"/>
        </w:rPr>
      </w:pPr>
      <w:bookmarkStart w:id="40" w:name="_Toc27498"/>
      <w:bookmarkStart w:id="41" w:name="_Toc16445"/>
      <w:bookmarkStart w:id="42" w:name="_Toc12289"/>
      <w:r>
        <w:rPr>
          <w:rFonts w:hint="eastAsia" w:ascii="仿宋" w:hAnsi="仿宋" w:eastAsia="仿宋" w:cs="仿宋"/>
          <w:color w:val="auto"/>
          <w:sz w:val="24"/>
          <w:szCs w:val="24"/>
          <w:highlight w:val="none"/>
        </w:rPr>
        <w:t>1.1项目背景</w:t>
      </w:r>
      <w:bookmarkEnd w:id="40"/>
      <w:bookmarkEnd w:id="41"/>
      <w:bookmarkEnd w:id="42"/>
    </w:p>
    <w:p w14:paraId="5D6566B6">
      <w:pPr>
        <w:keepNext w:val="0"/>
        <w:keepLines w:val="0"/>
        <w:pageBreakBefore w:val="0"/>
        <w:widowControl/>
        <w:suppressLineNumbers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snapToGrid w:val="0"/>
          <w:color w:val="auto"/>
          <w:kern w:val="2"/>
          <w:sz w:val="24"/>
          <w:szCs w:val="24"/>
          <w:highlight w:val="none"/>
          <w:lang w:val="zh-CN" w:eastAsia="zh-CN" w:bidi="ar-SA"/>
        </w:rPr>
      </w:pPr>
      <w:r>
        <w:rPr>
          <w:rFonts w:hint="eastAsia" w:ascii="仿宋" w:hAnsi="仿宋" w:eastAsia="仿宋" w:cs="仿宋"/>
          <w:snapToGrid w:val="0"/>
          <w:color w:val="auto"/>
          <w:kern w:val="2"/>
          <w:sz w:val="24"/>
          <w:szCs w:val="24"/>
          <w:highlight w:val="none"/>
          <w:lang w:val="zh-CN" w:eastAsia="zh-CN" w:bidi="ar-SA"/>
        </w:rPr>
        <w:t>按照“互联互通、以用促建、经济适用、共建共享”的原则，根据《浙江省公共数据和电子政务管理办法》（省政府令354号）、《浙江省大数据发展管理局关于印发县级公共数据平台建设导则的通知》（浙数局〔2021〕1号）、《浙江省大数据发展管理局关于印发浙江省公共数据共享工作细则（修订版）的通知》（浙数局〔2021〕6号）、《浙江省大数据发展管理局关于印发一体化智能化公共数据平台数据仓建设和管理工作指引（试行）的通知》</w:t>
      </w:r>
      <w:r>
        <w:rPr>
          <w:rFonts w:hint="eastAsia" w:ascii="仿宋" w:hAnsi="仿宋" w:eastAsia="仿宋" w:cs="仿宋"/>
          <w:snapToGrid w:val="0"/>
          <w:color w:val="auto"/>
          <w:kern w:val="2"/>
          <w:sz w:val="24"/>
          <w:szCs w:val="24"/>
          <w:highlight w:val="none"/>
          <w:lang w:val="en-US" w:eastAsia="zh-CN" w:bidi="ar-SA"/>
        </w:rPr>
        <w:t>、《“数据要素×”三年行动计划（2024—2026年）》、《关于构建数据基础制度更好发挥数据要素作用的意见》</w:t>
      </w:r>
      <w:r>
        <w:rPr>
          <w:rFonts w:hint="eastAsia" w:ascii="仿宋" w:hAnsi="仿宋" w:eastAsia="仿宋" w:cs="仿宋"/>
          <w:snapToGrid w:val="0"/>
          <w:color w:val="auto"/>
          <w:kern w:val="2"/>
          <w:sz w:val="24"/>
          <w:szCs w:val="24"/>
          <w:highlight w:val="none"/>
          <w:lang w:val="zh-CN" w:eastAsia="zh-CN" w:bidi="ar-SA"/>
        </w:rPr>
        <w:t>等文件精神，从省、市建设山区26县赋能工程景宁样板县试点要求，结合景宁县数字化改革实际以及从跨部门信息共享和业务协同的需求出发，依托丽水市一体化智能化公共数据平台，采购景宁县2024年度大数据发展中心数据仓运维服务项目(第二次）。</w:t>
      </w:r>
    </w:p>
    <w:p w14:paraId="51948184">
      <w:pPr>
        <w:pStyle w:val="6"/>
        <w:pageBreakBefore w:val="0"/>
        <w:kinsoku/>
        <w:wordWrap/>
        <w:overflowPunct/>
        <w:topLinePunct w:val="0"/>
        <w:bidi w:val="0"/>
        <w:adjustRightInd w:val="0"/>
        <w:snapToGrid/>
        <w:spacing w:before="0" w:after="0" w:line="360" w:lineRule="auto"/>
        <w:ind w:left="0" w:firstLine="482" w:firstLineChars="200"/>
        <w:textAlignment w:val="auto"/>
        <w:rPr>
          <w:rFonts w:ascii="仿宋" w:hAnsi="仿宋" w:eastAsia="仿宋" w:cs="仿宋"/>
          <w:color w:val="auto"/>
          <w:sz w:val="24"/>
          <w:szCs w:val="24"/>
          <w:highlight w:val="none"/>
        </w:rPr>
      </w:pPr>
      <w:bookmarkStart w:id="43" w:name="_Toc6529"/>
      <w:bookmarkStart w:id="44" w:name="_Toc20602"/>
      <w:bookmarkStart w:id="45" w:name="_Toc29159"/>
      <w:r>
        <w:rPr>
          <w:rFonts w:hint="eastAsia" w:ascii="仿宋" w:hAnsi="仿宋" w:eastAsia="仿宋" w:cs="仿宋"/>
          <w:color w:val="auto"/>
          <w:sz w:val="24"/>
          <w:szCs w:val="24"/>
          <w:highlight w:val="none"/>
        </w:rPr>
        <w:t>1.2项目目标</w:t>
      </w:r>
      <w:bookmarkEnd w:id="43"/>
      <w:bookmarkEnd w:id="44"/>
      <w:bookmarkEnd w:id="45"/>
    </w:p>
    <w:p w14:paraId="63E1CF4C">
      <w:pPr>
        <w:pStyle w:val="3"/>
        <w:pageBreakBefore w:val="0"/>
        <w:tabs>
          <w:tab w:val="left" w:pos="208"/>
        </w:tabs>
        <w:kinsoku/>
        <w:wordWrap/>
        <w:overflowPunct/>
        <w:topLinePunct w:val="0"/>
        <w:bidi w:val="0"/>
        <w:adjustRightInd w:val="0"/>
        <w:snapToGrid/>
        <w:spacing w:line="360" w:lineRule="auto"/>
        <w:ind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要求充分利用国家、省、市数据资源，按照“统筹规划、集约管理”、“汇集数据，加强管控”，“创新应用，发挥职能”、“安全规范，全面保障”的目标。围绕景宁县IRS运维，数据编目、归集、治理、共享</w:t>
      </w:r>
      <w:r>
        <w:rPr>
          <w:rFonts w:hint="eastAsia" w:ascii="仿宋" w:hAnsi="仿宋" w:eastAsia="仿宋" w:cs="仿宋"/>
          <w:color w:val="auto"/>
          <w:szCs w:val="24"/>
          <w:highlight w:val="none"/>
          <w:lang w:eastAsia="zh-CN"/>
        </w:rPr>
        <w:t>、授权运营、数据要素市场化</w:t>
      </w:r>
      <w:r>
        <w:rPr>
          <w:rFonts w:hint="eastAsia" w:ascii="仿宋" w:hAnsi="仿宋" w:eastAsia="仿宋" w:cs="仿宋"/>
          <w:color w:val="auto"/>
          <w:szCs w:val="24"/>
          <w:highlight w:val="none"/>
        </w:rPr>
        <w:t>等内容为景宁县数字化改革提供项目与数据支撑。</w:t>
      </w:r>
    </w:p>
    <w:p w14:paraId="43178D0A">
      <w:pPr>
        <w:pStyle w:val="6"/>
        <w:pageBreakBefore w:val="0"/>
        <w:kinsoku/>
        <w:wordWrap/>
        <w:overflowPunct/>
        <w:topLinePunct w:val="0"/>
        <w:bidi w:val="0"/>
        <w:adjustRightInd w:val="0"/>
        <w:snapToGrid/>
        <w:spacing w:before="0" w:after="0" w:line="360" w:lineRule="auto"/>
        <w:ind w:left="0" w:firstLine="482" w:firstLineChars="200"/>
        <w:textAlignment w:val="auto"/>
        <w:rPr>
          <w:rFonts w:ascii="仿宋" w:hAnsi="仿宋" w:eastAsia="仿宋" w:cs="仿宋"/>
          <w:color w:val="auto"/>
          <w:sz w:val="24"/>
          <w:szCs w:val="24"/>
          <w:highlight w:val="none"/>
        </w:rPr>
      </w:pPr>
      <w:bookmarkStart w:id="46" w:name="_Toc28136"/>
      <w:bookmarkStart w:id="47" w:name="_Toc32134"/>
      <w:bookmarkStart w:id="48" w:name="_Toc30117"/>
      <w:r>
        <w:rPr>
          <w:rFonts w:hint="eastAsia" w:ascii="仿宋" w:hAnsi="仿宋" w:eastAsia="仿宋" w:cs="仿宋"/>
          <w:color w:val="auto"/>
          <w:sz w:val="24"/>
          <w:szCs w:val="24"/>
          <w:highlight w:val="none"/>
        </w:rPr>
        <w:t>1.3项目原则</w:t>
      </w:r>
      <w:bookmarkEnd w:id="46"/>
      <w:bookmarkEnd w:id="47"/>
      <w:bookmarkEnd w:id="48"/>
    </w:p>
    <w:p w14:paraId="1C0177DC">
      <w:pPr>
        <w:pStyle w:val="3"/>
        <w:pageBreakBefore w:val="0"/>
        <w:tabs>
          <w:tab w:val="left" w:pos="208"/>
        </w:tabs>
        <w:kinsoku/>
        <w:wordWrap/>
        <w:overflowPunct/>
        <w:topLinePunct w:val="0"/>
        <w:bidi w:val="0"/>
        <w:adjustRightInd w:val="0"/>
        <w:snapToGrid/>
        <w:spacing w:line="360" w:lineRule="auto"/>
        <w:ind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要求根据国家相关法律法规、浙江省、丽水市相关政策文件和工作要求，按照“统一规划，统一建设”、“标准统一、能力共享”、“深化应用、务求实效”、“技术为先、全面开放”、“安全可靠、高效便捷”的总要求，统筹景宁县数据运营运维，进行整体规划和实施。</w:t>
      </w:r>
    </w:p>
    <w:p w14:paraId="4FB5DF05">
      <w:pPr>
        <w:pStyle w:val="6"/>
        <w:pageBreakBefore w:val="0"/>
        <w:kinsoku/>
        <w:wordWrap/>
        <w:overflowPunct/>
        <w:topLinePunct w:val="0"/>
        <w:bidi w:val="0"/>
        <w:adjustRightInd w:val="0"/>
        <w:snapToGrid/>
        <w:spacing w:before="0" w:after="0" w:line="360" w:lineRule="auto"/>
        <w:ind w:left="0" w:firstLine="482" w:firstLineChars="200"/>
        <w:textAlignment w:val="auto"/>
        <w:rPr>
          <w:rFonts w:ascii="仿宋" w:hAnsi="仿宋" w:eastAsia="仿宋" w:cs="仿宋"/>
          <w:color w:val="auto"/>
          <w:sz w:val="24"/>
          <w:szCs w:val="24"/>
          <w:highlight w:val="none"/>
        </w:rPr>
      </w:pPr>
      <w:bookmarkStart w:id="49" w:name="_Toc28683"/>
      <w:bookmarkStart w:id="50" w:name="_Toc30663"/>
      <w:bookmarkStart w:id="51" w:name="_Toc17882"/>
      <w:r>
        <w:rPr>
          <w:rFonts w:hint="eastAsia" w:ascii="仿宋" w:hAnsi="仿宋" w:eastAsia="仿宋" w:cs="仿宋"/>
          <w:color w:val="auto"/>
          <w:sz w:val="24"/>
          <w:szCs w:val="24"/>
          <w:highlight w:val="none"/>
        </w:rPr>
        <w:t>▲1.4服务内容</w:t>
      </w:r>
      <w:bookmarkEnd w:id="49"/>
      <w:bookmarkEnd w:id="50"/>
      <w:bookmarkEnd w:id="51"/>
    </w:p>
    <w:p w14:paraId="668A7289">
      <w:pPr>
        <w:pStyle w:val="7"/>
        <w:pageBreakBefore w:val="0"/>
        <w:kinsoku/>
        <w:wordWrap/>
        <w:overflowPunct/>
        <w:topLinePunct w:val="0"/>
        <w:bidi w:val="0"/>
        <w:adjustRightInd w:val="0"/>
        <w:snapToGrid/>
        <w:spacing w:before="0" w:after="0" w:line="360" w:lineRule="auto"/>
        <w:ind w:left="0" w:firstLine="482" w:firstLineChars="200"/>
        <w:textAlignment w:val="auto"/>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1.4.</w:t>
      </w:r>
      <w:r>
        <w:rPr>
          <w:rFonts w:ascii="仿宋" w:hAnsi="仿宋" w:eastAsia="仿宋" w:cs="仿宋"/>
          <w:color w:val="auto"/>
          <w:sz w:val="24"/>
          <w:szCs w:val="18"/>
          <w:highlight w:val="none"/>
        </w:rPr>
        <w:t>1</w:t>
      </w:r>
      <w:r>
        <w:rPr>
          <w:rFonts w:hint="eastAsia" w:ascii="仿宋" w:hAnsi="仿宋" w:eastAsia="仿宋" w:cs="仿宋"/>
          <w:color w:val="auto"/>
          <w:sz w:val="24"/>
          <w:szCs w:val="18"/>
          <w:highlight w:val="none"/>
        </w:rPr>
        <w:t>项目统筹服务要求</w:t>
      </w:r>
    </w:p>
    <w:p w14:paraId="22C65F8C">
      <w:pPr>
        <w:pStyle w:val="3"/>
        <w:pageBreakBefore w:val="0"/>
        <w:tabs>
          <w:tab w:val="left" w:pos="208"/>
        </w:tabs>
        <w:kinsoku/>
        <w:wordWrap/>
        <w:overflowPunct/>
        <w:topLinePunct w:val="0"/>
        <w:bidi w:val="0"/>
        <w:adjustRightInd w:val="0"/>
        <w:snapToGrid/>
        <w:spacing w:line="360" w:lineRule="auto"/>
        <w:ind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按照《景宁县数字化改革领导小组办公室关于进一步加强数字化改革项目统筹规范管理的通知》《景宁畲族自治县政府投资信息化项目管理办法》文件相关要求，提供项目统筹咨询服务，做好数据归集前的管理，包括政策解读和指标解析；协助用好市项目管理系统，在系统使用上提供技术支持。</w:t>
      </w:r>
    </w:p>
    <w:p w14:paraId="56107517">
      <w:pPr>
        <w:pStyle w:val="3"/>
        <w:pageBreakBefore w:val="0"/>
        <w:tabs>
          <w:tab w:val="left" w:pos="208"/>
        </w:tabs>
        <w:kinsoku/>
        <w:wordWrap/>
        <w:overflowPunct/>
        <w:topLinePunct w:val="0"/>
        <w:bidi w:val="0"/>
        <w:adjustRightInd w:val="0"/>
        <w:snapToGrid/>
        <w:spacing w:line="360" w:lineRule="auto"/>
        <w:ind w:firstLine="482" w:firstLineChars="200"/>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1.4.</w:t>
      </w:r>
      <w:r>
        <w:rPr>
          <w:rFonts w:ascii="仿宋" w:hAnsi="仿宋" w:eastAsia="仿宋" w:cs="仿宋"/>
          <w:b/>
          <w:bCs/>
          <w:color w:val="auto"/>
          <w:szCs w:val="24"/>
          <w:highlight w:val="none"/>
        </w:rPr>
        <w:t>1</w:t>
      </w:r>
      <w:r>
        <w:rPr>
          <w:rFonts w:hint="eastAsia" w:ascii="仿宋" w:hAnsi="仿宋" w:eastAsia="仿宋" w:cs="仿宋"/>
          <w:b/>
          <w:bCs/>
          <w:color w:val="auto"/>
          <w:szCs w:val="24"/>
          <w:highlight w:val="none"/>
        </w:rPr>
        <w:t>.</w:t>
      </w:r>
      <w:r>
        <w:rPr>
          <w:rFonts w:ascii="仿宋" w:hAnsi="仿宋" w:eastAsia="仿宋" w:cs="仿宋"/>
          <w:b/>
          <w:bCs/>
          <w:color w:val="auto"/>
          <w:szCs w:val="24"/>
          <w:highlight w:val="none"/>
        </w:rPr>
        <w:t>2</w:t>
      </w:r>
      <w:r>
        <w:rPr>
          <w:rFonts w:hint="eastAsia" w:ascii="仿宋" w:hAnsi="仿宋" w:eastAsia="仿宋" w:cs="仿宋"/>
          <w:b/>
          <w:bCs/>
          <w:color w:val="auto"/>
          <w:szCs w:val="24"/>
          <w:highlight w:val="none"/>
        </w:rPr>
        <w:t>项目管理实操规范</w:t>
      </w:r>
    </w:p>
    <w:p w14:paraId="00B62369">
      <w:pPr>
        <w:pStyle w:val="3"/>
        <w:pageBreakBefore w:val="0"/>
        <w:tabs>
          <w:tab w:val="left" w:pos="208"/>
        </w:tabs>
        <w:kinsoku/>
        <w:wordWrap/>
        <w:overflowPunct/>
        <w:topLinePunct w:val="0"/>
        <w:bidi w:val="0"/>
        <w:adjustRightInd w:val="0"/>
        <w:snapToGrid/>
        <w:spacing w:line="360" w:lineRule="auto"/>
        <w:ind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按照省市关于项目全周期管理的要求，诊断项目管理流程中存在的不足，提出项目管理全流程实操规范优化方案；按照省市项目管理要求，协助用好市项目管理系统，在系统使用上提供技术支持。</w:t>
      </w:r>
    </w:p>
    <w:p w14:paraId="13DA8D19">
      <w:pPr>
        <w:pStyle w:val="3"/>
        <w:pageBreakBefore w:val="0"/>
        <w:tabs>
          <w:tab w:val="left" w:pos="208"/>
        </w:tabs>
        <w:kinsoku/>
        <w:wordWrap/>
        <w:overflowPunct/>
        <w:topLinePunct w:val="0"/>
        <w:bidi w:val="0"/>
        <w:adjustRightInd w:val="0"/>
        <w:snapToGrid/>
        <w:spacing w:line="360" w:lineRule="auto"/>
        <w:ind w:firstLine="482" w:firstLineChars="200"/>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1.4.</w:t>
      </w:r>
      <w:r>
        <w:rPr>
          <w:rFonts w:ascii="仿宋" w:hAnsi="仿宋" w:eastAsia="仿宋" w:cs="仿宋"/>
          <w:b/>
          <w:bCs/>
          <w:color w:val="auto"/>
          <w:szCs w:val="24"/>
          <w:highlight w:val="none"/>
        </w:rPr>
        <w:t>1</w:t>
      </w:r>
      <w:r>
        <w:rPr>
          <w:rFonts w:hint="eastAsia" w:ascii="仿宋" w:hAnsi="仿宋" w:eastAsia="仿宋" w:cs="仿宋"/>
          <w:b/>
          <w:bCs/>
          <w:color w:val="auto"/>
          <w:szCs w:val="24"/>
          <w:highlight w:val="none"/>
        </w:rPr>
        <w:t>.</w:t>
      </w:r>
      <w:r>
        <w:rPr>
          <w:rFonts w:ascii="仿宋" w:hAnsi="仿宋" w:eastAsia="仿宋" w:cs="仿宋"/>
          <w:b/>
          <w:bCs/>
          <w:color w:val="auto"/>
          <w:szCs w:val="24"/>
          <w:highlight w:val="none"/>
        </w:rPr>
        <w:t>3</w:t>
      </w:r>
      <w:r>
        <w:rPr>
          <w:rFonts w:hint="eastAsia" w:ascii="仿宋" w:hAnsi="仿宋" w:eastAsia="仿宋" w:cs="仿宋"/>
          <w:b/>
          <w:bCs/>
          <w:color w:val="auto"/>
          <w:szCs w:val="24"/>
          <w:highlight w:val="none"/>
        </w:rPr>
        <w:t>项目与应用建设绩效评价的指导</w:t>
      </w:r>
    </w:p>
    <w:p w14:paraId="7703BBBC">
      <w:pPr>
        <w:pStyle w:val="3"/>
        <w:pageBreakBefore w:val="0"/>
        <w:tabs>
          <w:tab w:val="left" w:pos="208"/>
        </w:tabs>
        <w:kinsoku/>
        <w:wordWrap/>
        <w:overflowPunct/>
        <w:topLinePunct w:val="0"/>
        <w:bidi w:val="0"/>
        <w:adjustRightInd w:val="0"/>
        <w:snapToGrid/>
        <w:spacing w:line="360" w:lineRule="auto"/>
        <w:ind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基于绩效评价方案，开展本级重点应用的滚动评价，做出应用提升建议，跟进业务部门项目整合、整改、关停进度等，推动绩效评价结果运用，实现以评促改闭环管理。</w:t>
      </w:r>
    </w:p>
    <w:p w14:paraId="2A2DF606">
      <w:pPr>
        <w:pStyle w:val="7"/>
        <w:pageBreakBefore w:val="0"/>
        <w:kinsoku/>
        <w:wordWrap/>
        <w:overflowPunct/>
        <w:topLinePunct w:val="0"/>
        <w:bidi w:val="0"/>
        <w:adjustRightInd w:val="0"/>
        <w:snapToGrid/>
        <w:spacing w:before="0" w:after="0" w:line="360" w:lineRule="auto"/>
        <w:ind w:left="0" w:firstLine="482" w:firstLineChars="200"/>
        <w:textAlignment w:val="auto"/>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1.4.2 IRS运营服务要求</w:t>
      </w:r>
    </w:p>
    <w:p w14:paraId="590FD5EE">
      <w:pPr>
        <w:pStyle w:val="3"/>
        <w:pageBreakBefore w:val="0"/>
        <w:tabs>
          <w:tab w:val="left" w:pos="208"/>
        </w:tabs>
        <w:kinsoku/>
        <w:wordWrap/>
        <w:overflowPunct/>
        <w:topLinePunct w:val="0"/>
        <w:bidi w:val="0"/>
        <w:adjustRightInd w:val="0"/>
        <w:snapToGrid/>
        <w:spacing w:line="360" w:lineRule="auto"/>
        <w:ind w:firstLine="480" w:firstLineChars="200"/>
        <w:textAlignment w:val="auto"/>
        <w:rPr>
          <w:color w:val="auto"/>
          <w:highlight w:val="none"/>
        </w:rPr>
      </w:pPr>
      <w:r>
        <w:rPr>
          <w:rFonts w:hint="eastAsia" w:ascii="仿宋" w:hAnsi="仿宋" w:eastAsia="仿宋" w:cs="仿宋"/>
          <w:color w:val="auto"/>
          <w:szCs w:val="24"/>
          <w:highlight w:val="none"/>
        </w:rPr>
        <w:t>在建立省、市、县协调同步流程机制基础上，培养本地的IRS专家，指导支撑部门使用IRS的能力，帮助部门按规范申请数字资源，数据规范编目等工作，用好数据</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做好重要指标监测分析，围绕省市重点任务要求、考核要求等，基于IRS运营数据，形成查漏补缺的建议。</w:t>
      </w:r>
    </w:p>
    <w:p w14:paraId="73FAE20D">
      <w:pPr>
        <w:pStyle w:val="7"/>
        <w:pageBreakBefore w:val="0"/>
        <w:kinsoku/>
        <w:wordWrap/>
        <w:overflowPunct/>
        <w:topLinePunct w:val="0"/>
        <w:bidi w:val="0"/>
        <w:adjustRightInd w:val="0"/>
        <w:snapToGrid/>
        <w:spacing w:before="0" w:after="0" w:line="360" w:lineRule="auto"/>
        <w:ind w:left="0" w:firstLine="482" w:firstLineChars="200"/>
        <w:textAlignment w:val="auto"/>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1.4.</w:t>
      </w:r>
      <w:r>
        <w:rPr>
          <w:rFonts w:hint="eastAsia" w:ascii="仿宋" w:hAnsi="仿宋" w:eastAsia="仿宋" w:cs="仿宋"/>
          <w:color w:val="auto"/>
          <w:sz w:val="24"/>
          <w:szCs w:val="18"/>
          <w:highlight w:val="none"/>
          <w:lang w:val="en"/>
        </w:rPr>
        <w:t>2</w:t>
      </w:r>
      <w:r>
        <w:rPr>
          <w:rFonts w:hint="eastAsia" w:ascii="仿宋" w:hAnsi="仿宋" w:eastAsia="仿宋" w:cs="仿宋"/>
          <w:color w:val="auto"/>
          <w:sz w:val="24"/>
          <w:szCs w:val="18"/>
          <w:highlight w:val="none"/>
        </w:rPr>
        <w:t>.1 IRS培训和指导</w:t>
      </w:r>
    </w:p>
    <w:p w14:paraId="331206CA">
      <w:pPr>
        <w:pStyle w:val="3"/>
        <w:pageBreakBefore w:val="0"/>
        <w:tabs>
          <w:tab w:val="left" w:pos="208"/>
        </w:tabs>
        <w:kinsoku/>
        <w:wordWrap/>
        <w:overflowPunct/>
        <w:topLinePunct w:val="0"/>
        <w:bidi w:val="0"/>
        <w:adjustRightInd w:val="0"/>
        <w:snapToGrid/>
        <w:spacing w:line="360" w:lineRule="auto"/>
        <w:ind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IRS各子系统功能及用户权限体系等培训。面向当地部门的IRS新上系统、重要系统迭代组织培训，对常见问题答疑，</w:t>
      </w:r>
      <w:r>
        <w:rPr>
          <w:rFonts w:ascii="仿宋" w:hAnsi="仿宋" w:eastAsia="仿宋" w:cs="仿宋"/>
          <w:color w:val="auto"/>
          <w:szCs w:val="24"/>
          <w:highlight w:val="none"/>
        </w:rPr>
        <w:t>形成适用本地的IRS常见问题答疑FAQ</w:t>
      </w:r>
      <w:r>
        <w:rPr>
          <w:rFonts w:hint="eastAsia" w:ascii="仿宋" w:hAnsi="仿宋" w:eastAsia="仿宋" w:cs="仿宋"/>
          <w:color w:val="auto"/>
          <w:szCs w:val="24"/>
          <w:highlight w:val="none"/>
        </w:rPr>
        <w:t>。对不规范申请推动解决和闭环管理。</w:t>
      </w:r>
    </w:p>
    <w:p w14:paraId="3B4B79DE">
      <w:pPr>
        <w:pStyle w:val="7"/>
        <w:pageBreakBefore w:val="0"/>
        <w:kinsoku/>
        <w:wordWrap/>
        <w:overflowPunct/>
        <w:topLinePunct w:val="0"/>
        <w:bidi w:val="0"/>
        <w:adjustRightInd w:val="0"/>
        <w:snapToGrid/>
        <w:spacing w:before="0" w:after="0" w:line="360" w:lineRule="auto"/>
        <w:ind w:left="0" w:firstLine="482" w:firstLineChars="200"/>
        <w:textAlignment w:val="auto"/>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1.4.</w:t>
      </w:r>
      <w:r>
        <w:rPr>
          <w:rFonts w:hint="eastAsia" w:ascii="仿宋" w:hAnsi="仿宋" w:eastAsia="仿宋" w:cs="仿宋"/>
          <w:color w:val="auto"/>
          <w:sz w:val="24"/>
          <w:szCs w:val="18"/>
          <w:highlight w:val="none"/>
          <w:lang w:val="en"/>
        </w:rPr>
        <w:t>2</w:t>
      </w:r>
      <w:r>
        <w:rPr>
          <w:rFonts w:hint="eastAsia" w:ascii="仿宋" w:hAnsi="仿宋" w:eastAsia="仿宋" w:cs="仿宋"/>
          <w:color w:val="auto"/>
          <w:sz w:val="24"/>
          <w:szCs w:val="18"/>
          <w:highlight w:val="none"/>
        </w:rPr>
        <w:t>.2 重要指标监测分析</w:t>
      </w:r>
    </w:p>
    <w:p w14:paraId="2FE79F10">
      <w:pPr>
        <w:pStyle w:val="3"/>
        <w:pageBreakBefore w:val="0"/>
        <w:tabs>
          <w:tab w:val="left" w:pos="208"/>
        </w:tabs>
        <w:kinsoku/>
        <w:wordWrap/>
        <w:overflowPunct/>
        <w:topLinePunct w:val="0"/>
        <w:bidi w:val="0"/>
        <w:adjustRightInd w:val="0"/>
        <w:snapToGrid/>
        <w:spacing w:line="360" w:lineRule="auto"/>
        <w:ind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协调省市IRS运营数据回流，围绕省市重点任务要求、考核要求等，基于IRS运营数据，对重要指标进行监测，</w:t>
      </w:r>
      <w:r>
        <w:rPr>
          <w:rFonts w:hint="eastAsia" w:ascii="仿宋" w:hAnsi="仿宋" w:eastAsia="仿宋" w:cs="仿宋"/>
          <w:color w:val="auto"/>
          <w:szCs w:val="24"/>
          <w:highlight w:val="none"/>
          <w:lang w:val="en-US"/>
        </w:rPr>
        <w:t>按季度输出，</w:t>
      </w:r>
      <w:r>
        <w:rPr>
          <w:rFonts w:hint="eastAsia" w:ascii="仿宋" w:hAnsi="仿宋" w:eastAsia="仿宋" w:cs="仿宋"/>
          <w:color w:val="auto"/>
          <w:szCs w:val="24"/>
          <w:highlight w:val="none"/>
        </w:rPr>
        <w:t>形成查漏补缺建议</w:t>
      </w:r>
      <w:r>
        <w:rPr>
          <w:rFonts w:hint="eastAsia" w:ascii="仿宋" w:hAnsi="仿宋" w:eastAsia="仿宋" w:cs="仿宋"/>
          <w:color w:val="auto"/>
          <w:szCs w:val="24"/>
          <w:highlight w:val="none"/>
          <w:lang w:val="en-US"/>
        </w:rPr>
        <w:t>报告4份</w:t>
      </w:r>
      <w:r>
        <w:rPr>
          <w:rFonts w:hint="eastAsia" w:ascii="仿宋" w:hAnsi="仿宋" w:eastAsia="仿宋" w:cs="仿宋"/>
          <w:color w:val="auto"/>
          <w:szCs w:val="24"/>
          <w:highlight w:val="none"/>
        </w:rPr>
        <w:t>，</w:t>
      </w:r>
      <w:r>
        <w:rPr>
          <w:rFonts w:ascii="仿宋" w:hAnsi="仿宋" w:eastAsia="仿宋" w:cs="仿宋"/>
          <w:color w:val="auto"/>
          <w:szCs w:val="24"/>
          <w:highlight w:val="none"/>
        </w:rPr>
        <w:t>如：IRS工单</w:t>
      </w:r>
      <w:r>
        <w:rPr>
          <w:rFonts w:hint="eastAsia" w:ascii="仿宋" w:hAnsi="仿宋" w:eastAsia="仿宋" w:cs="仿宋"/>
          <w:color w:val="auto"/>
          <w:szCs w:val="24"/>
          <w:highlight w:val="none"/>
        </w:rPr>
        <w:t>闭环处置率</w:t>
      </w:r>
      <w:r>
        <w:rPr>
          <w:rFonts w:ascii="仿宋" w:hAnsi="仿宋" w:eastAsia="仿宋" w:cs="仿宋"/>
          <w:color w:val="auto"/>
          <w:szCs w:val="24"/>
          <w:highlight w:val="none"/>
        </w:rPr>
        <w:t>、数据资源已申请未使用、云资源已申请未使用、组件已申请未使用</w:t>
      </w:r>
      <w:r>
        <w:rPr>
          <w:rFonts w:hint="eastAsia" w:ascii="仿宋" w:hAnsi="仿宋" w:eastAsia="仿宋" w:cs="仿宋"/>
          <w:color w:val="auto"/>
          <w:szCs w:val="24"/>
          <w:highlight w:val="none"/>
        </w:rPr>
        <w:t>等。</w:t>
      </w:r>
    </w:p>
    <w:p w14:paraId="3DC652C0">
      <w:pPr>
        <w:pStyle w:val="7"/>
        <w:pageBreakBefore w:val="0"/>
        <w:kinsoku/>
        <w:wordWrap/>
        <w:overflowPunct/>
        <w:topLinePunct w:val="0"/>
        <w:bidi w:val="0"/>
        <w:adjustRightInd w:val="0"/>
        <w:snapToGrid/>
        <w:spacing w:before="0" w:after="0" w:line="360" w:lineRule="auto"/>
        <w:ind w:left="0" w:firstLine="482" w:firstLineChars="200"/>
        <w:textAlignment w:val="auto"/>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1.4</w:t>
      </w:r>
      <w:r>
        <w:rPr>
          <w:rFonts w:hint="eastAsia" w:ascii="仿宋" w:hAnsi="仿宋" w:eastAsia="仿宋" w:cs="仿宋"/>
          <w:color w:val="auto"/>
          <w:sz w:val="24"/>
          <w:szCs w:val="18"/>
          <w:highlight w:val="none"/>
          <w:lang w:val="en"/>
        </w:rPr>
        <w:t>.2.3</w:t>
      </w:r>
      <w:r>
        <w:rPr>
          <w:rFonts w:hint="eastAsia" w:ascii="仿宋" w:hAnsi="仿宋" w:eastAsia="仿宋" w:cs="仿宋"/>
          <w:color w:val="auto"/>
          <w:sz w:val="24"/>
          <w:szCs w:val="18"/>
          <w:highlight w:val="none"/>
        </w:rPr>
        <w:t>云资源管理服务</w:t>
      </w:r>
    </w:p>
    <w:p w14:paraId="73EB1020">
      <w:pPr>
        <w:pageBreakBefore w:val="0"/>
        <w:kinsoku/>
        <w:wordWrap/>
        <w:overflowPunct/>
        <w:topLinePunct w:val="0"/>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协同市级大数据局提供相关云资源使用数据，对云资源使用情况进行及时分析，形成云资源利用率的报告，并根据报告，协助业主单位对利用率低的部门及时通报并调整应用资源配置，形成云资源管控能力，提高云资源利用率。</w:t>
      </w:r>
    </w:p>
    <w:p w14:paraId="56CA5723">
      <w:pPr>
        <w:pStyle w:val="7"/>
        <w:pageBreakBefore w:val="0"/>
        <w:kinsoku/>
        <w:wordWrap/>
        <w:overflowPunct/>
        <w:topLinePunct w:val="0"/>
        <w:bidi w:val="0"/>
        <w:adjustRightInd w:val="0"/>
        <w:snapToGrid/>
        <w:spacing w:before="0" w:after="0" w:line="360" w:lineRule="auto"/>
        <w:ind w:left="0" w:firstLine="482" w:firstLineChars="200"/>
        <w:textAlignment w:val="auto"/>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1.4.3 数据仓技术运营服务要求</w:t>
      </w:r>
    </w:p>
    <w:p w14:paraId="050E38F9">
      <w:pPr>
        <w:pStyle w:val="3"/>
        <w:pageBreakBefore w:val="0"/>
        <w:tabs>
          <w:tab w:val="left" w:pos="208"/>
        </w:tabs>
        <w:kinsoku/>
        <w:wordWrap/>
        <w:overflowPunct/>
        <w:topLinePunct w:val="0"/>
        <w:bidi w:val="0"/>
        <w:adjustRightInd w:val="0"/>
        <w:snapToGrid/>
        <w:spacing w:line="360" w:lineRule="auto"/>
        <w:ind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要求充分依托丽水市一体化智能化公共数据平台的编目、归集、治理、共享、开放和安全管理能力，提供数据仓技术运营服务，从数据归集、数据治理、数据共享、供需对接和数据产品化五个方面提升本地数据供给能力，帮助业主单位管好数据，包括数据归集运营服务、数据治理运营服务、数据共享运营服务、数据</w:t>
      </w:r>
      <w:r>
        <w:rPr>
          <w:rFonts w:hint="eastAsia" w:ascii="仿宋" w:hAnsi="仿宋" w:eastAsia="仿宋" w:cs="仿宋"/>
          <w:color w:val="auto"/>
          <w:szCs w:val="24"/>
          <w:highlight w:val="none"/>
          <w:lang w:eastAsia="zh-CN"/>
        </w:rPr>
        <w:t>开发利用服务</w:t>
      </w:r>
      <w:r>
        <w:rPr>
          <w:rFonts w:hint="eastAsia" w:ascii="仿宋" w:hAnsi="仿宋" w:eastAsia="仿宋" w:cs="仿宋"/>
          <w:color w:val="auto"/>
          <w:szCs w:val="24"/>
          <w:highlight w:val="none"/>
        </w:rPr>
        <w:t>。实现公共数据的全生命周期管理，支撑景宁县数字化改革。</w:t>
      </w:r>
    </w:p>
    <w:p w14:paraId="2AD56ABE">
      <w:pPr>
        <w:pStyle w:val="3"/>
        <w:pageBreakBefore w:val="0"/>
        <w:tabs>
          <w:tab w:val="left" w:pos="208"/>
        </w:tabs>
        <w:kinsoku/>
        <w:wordWrap/>
        <w:overflowPunct/>
        <w:topLinePunct w:val="0"/>
        <w:bidi w:val="0"/>
        <w:adjustRightInd w:val="0"/>
        <w:snapToGrid/>
        <w:spacing w:line="360" w:lineRule="auto"/>
        <w:ind w:firstLine="482" w:firstLineChars="200"/>
        <w:textAlignment w:val="auto"/>
        <w:rPr>
          <w:rFonts w:ascii="仿宋" w:hAnsi="仿宋" w:eastAsia="仿宋" w:cs="仿宋"/>
          <w:b/>
          <w:bCs/>
          <w:color w:val="auto"/>
          <w:szCs w:val="24"/>
          <w:highlight w:val="none"/>
        </w:rPr>
      </w:pPr>
      <w:r>
        <w:rPr>
          <w:rFonts w:ascii="仿宋" w:hAnsi="仿宋" w:eastAsia="仿宋" w:cs="仿宋"/>
          <w:b/>
          <w:bCs/>
          <w:color w:val="auto"/>
          <w:szCs w:val="24"/>
          <w:highlight w:val="none"/>
        </w:rPr>
        <w:t>1.4.</w:t>
      </w:r>
      <w:r>
        <w:rPr>
          <w:rFonts w:ascii="仿宋" w:hAnsi="仿宋" w:eastAsia="仿宋" w:cs="仿宋"/>
          <w:b/>
          <w:bCs/>
          <w:color w:val="auto"/>
          <w:szCs w:val="24"/>
          <w:highlight w:val="none"/>
          <w:lang w:val="en"/>
        </w:rPr>
        <w:t>3</w:t>
      </w:r>
      <w:r>
        <w:rPr>
          <w:rFonts w:hint="eastAsia" w:ascii="仿宋" w:hAnsi="仿宋" w:eastAsia="仿宋" w:cs="仿宋"/>
          <w:b/>
          <w:bCs/>
          <w:color w:val="auto"/>
          <w:szCs w:val="24"/>
          <w:highlight w:val="none"/>
        </w:rPr>
        <w:t>.1数据归集运营服务要求</w:t>
      </w:r>
    </w:p>
    <w:p w14:paraId="01BD9691">
      <w:pPr>
        <w:pStyle w:val="3"/>
        <w:pageBreakBefore w:val="0"/>
        <w:tabs>
          <w:tab w:val="left" w:pos="208"/>
        </w:tabs>
        <w:kinsoku/>
        <w:wordWrap/>
        <w:overflowPunct/>
        <w:topLinePunct w:val="0"/>
        <w:bidi w:val="0"/>
        <w:adjustRightInd w:val="0"/>
        <w:snapToGrid/>
        <w:spacing w:line="360" w:lineRule="auto"/>
        <w:ind w:firstLine="482" w:firstLineChars="200"/>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1.4.</w:t>
      </w:r>
      <w:r>
        <w:rPr>
          <w:rFonts w:ascii="仿宋" w:hAnsi="仿宋" w:eastAsia="仿宋" w:cs="仿宋"/>
          <w:b/>
          <w:bCs/>
          <w:color w:val="auto"/>
          <w:szCs w:val="24"/>
          <w:highlight w:val="none"/>
          <w:lang w:val="en"/>
        </w:rPr>
        <w:t>3</w:t>
      </w:r>
      <w:r>
        <w:rPr>
          <w:rFonts w:hint="eastAsia" w:ascii="仿宋" w:hAnsi="仿宋" w:eastAsia="仿宋" w:cs="仿宋"/>
          <w:b/>
          <w:bCs/>
          <w:color w:val="auto"/>
          <w:szCs w:val="24"/>
          <w:highlight w:val="none"/>
        </w:rPr>
        <w:t>.1</w:t>
      </w:r>
      <w:r>
        <w:rPr>
          <w:rFonts w:ascii="仿宋" w:hAnsi="仿宋" w:eastAsia="仿宋" w:cs="仿宋"/>
          <w:b/>
          <w:bCs/>
          <w:color w:val="auto"/>
          <w:szCs w:val="24"/>
          <w:highlight w:val="none"/>
        </w:rPr>
        <w:t>.1</w:t>
      </w:r>
      <w:r>
        <w:rPr>
          <w:rFonts w:hint="eastAsia" w:ascii="仿宋" w:hAnsi="仿宋" w:eastAsia="仿宋" w:cs="仿宋"/>
          <w:b/>
          <w:bCs/>
          <w:color w:val="auto"/>
          <w:szCs w:val="24"/>
          <w:highlight w:val="none"/>
        </w:rPr>
        <w:t>部门归集任务协助</w:t>
      </w:r>
    </w:p>
    <w:p w14:paraId="2DD58CD0">
      <w:pPr>
        <w:pStyle w:val="3"/>
        <w:pageBreakBefore w:val="0"/>
        <w:tabs>
          <w:tab w:val="left" w:pos="208"/>
        </w:tabs>
        <w:kinsoku/>
        <w:wordWrap/>
        <w:overflowPunct/>
        <w:topLinePunct w:val="0"/>
        <w:bidi w:val="0"/>
        <w:adjustRightInd w:val="0"/>
        <w:snapToGrid/>
        <w:spacing w:line="360" w:lineRule="auto"/>
        <w:ind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要求</w:t>
      </w:r>
      <w:r>
        <w:rPr>
          <w:rFonts w:ascii="仿宋" w:hAnsi="仿宋" w:eastAsia="仿宋" w:cs="仿宋"/>
          <w:color w:val="auto"/>
          <w:szCs w:val="24"/>
          <w:highlight w:val="none"/>
        </w:rPr>
        <w:t>编制数据归集操作指南</w:t>
      </w:r>
      <w:r>
        <w:rPr>
          <w:rFonts w:hint="eastAsia" w:ascii="仿宋" w:hAnsi="仿宋" w:eastAsia="仿宋" w:cs="仿宋"/>
          <w:color w:val="auto"/>
          <w:szCs w:val="24"/>
          <w:highlight w:val="none"/>
        </w:rPr>
        <w:t>，</w:t>
      </w:r>
      <w:r>
        <w:rPr>
          <w:rFonts w:ascii="仿宋" w:hAnsi="仿宋" w:eastAsia="仿宋" w:cs="仿宋"/>
          <w:color w:val="auto"/>
          <w:szCs w:val="24"/>
          <w:highlight w:val="none"/>
        </w:rPr>
        <w:t>合同期内提供2场培训</w:t>
      </w:r>
      <w:r>
        <w:rPr>
          <w:rFonts w:hint="eastAsia" w:ascii="仿宋" w:hAnsi="仿宋" w:eastAsia="仿宋" w:cs="仿宋"/>
          <w:color w:val="auto"/>
          <w:szCs w:val="24"/>
          <w:highlight w:val="none"/>
        </w:rPr>
        <w:t>和日常问题解答，为景宁县有数据归集需求的业务部门，提供归集任务协助服务，为业务部门提供前置机建设指导。</w:t>
      </w:r>
    </w:p>
    <w:p w14:paraId="22430592">
      <w:pPr>
        <w:pStyle w:val="3"/>
        <w:pageBreakBefore w:val="0"/>
        <w:tabs>
          <w:tab w:val="left" w:pos="208"/>
        </w:tabs>
        <w:kinsoku/>
        <w:wordWrap/>
        <w:overflowPunct/>
        <w:topLinePunct w:val="0"/>
        <w:bidi w:val="0"/>
        <w:adjustRightInd w:val="0"/>
        <w:snapToGrid/>
        <w:spacing w:line="360" w:lineRule="auto"/>
        <w:ind w:firstLine="482" w:firstLineChars="200"/>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1.4.</w:t>
      </w:r>
      <w:r>
        <w:rPr>
          <w:rFonts w:ascii="仿宋" w:hAnsi="仿宋" w:eastAsia="仿宋" w:cs="仿宋"/>
          <w:b/>
          <w:bCs/>
          <w:color w:val="auto"/>
          <w:szCs w:val="24"/>
          <w:highlight w:val="none"/>
          <w:lang w:val="en"/>
        </w:rPr>
        <w:t>3</w:t>
      </w:r>
      <w:r>
        <w:rPr>
          <w:rFonts w:hint="eastAsia" w:ascii="仿宋" w:hAnsi="仿宋" w:eastAsia="仿宋" w:cs="仿宋"/>
          <w:b/>
          <w:bCs/>
          <w:color w:val="auto"/>
          <w:szCs w:val="24"/>
          <w:highlight w:val="none"/>
        </w:rPr>
        <w:t>.</w:t>
      </w:r>
      <w:r>
        <w:rPr>
          <w:rFonts w:ascii="仿宋" w:hAnsi="仿宋" w:eastAsia="仿宋" w:cs="仿宋"/>
          <w:b/>
          <w:bCs/>
          <w:color w:val="auto"/>
          <w:szCs w:val="24"/>
          <w:highlight w:val="none"/>
        </w:rPr>
        <w:t>1.2</w:t>
      </w:r>
      <w:r>
        <w:rPr>
          <w:rFonts w:hint="eastAsia" w:ascii="仿宋" w:hAnsi="仿宋" w:eastAsia="仿宋" w:cs="仿宋"/>
          <w:b/>
          <w:bCs/>
          <w:color w:val="auto"/>
          <w:szCs w:val="24"/>
          <w:highlight w:val="none"/>
        </w:rPr>
        <w:t>归集前置环境准备</w:t>
      </w:r>
    </w:p>
    <w:p w14:paraId="17EC785A">
      <w:pPr>
        <w:pStyle w:val="3"/>
        <w:pageBreakBefore w:val="0"/>
        <w:tabs>
          <w:tab w:val="left" w:pos="208"/>
        </w:tabs>
        <w:kinsoku/>
        <w:wordWrap/>
        <w:overflowPunct/>
        <w:topLinePunct w:val="0"/>
        <w:bidi w:val="0"/>
        <w:adjustRightInd w:val="0"/>
        <w:snapToGrid/>
        <w:spacing w:line="360" w:lineRule="auto"/>
        <w:ind w:firstLine="480" w:firstLineChars="200"/>
        <w:textAlignment w:val="auto"/>
        <w:rPr>
          <w:color w:val="auto"/>
          <w:highlight w:val="none"/>
        </w:rPr>
      </w:pPr>
      <w:r>
        <w:rPr>
          <w:rFonts w:hint="eastAsia" w:ascii="仿宋" w:hAnsi="仿宋" w:eastAsia="仿宋" w:cs="仿宋"/>
          <w:color w:val="auto"/>
          <w:szCs w:val="24"/>
          <w:highlight w:val="none"/>
        </w:rPr>
        <w:t>要求</w:t>
      </w:r>
      <w:r>
        <w:rPr>
          <w:rFonts w:ascii="仿宋" w:hAnsi="仿宋" w:eastAsia="仿宋" w:cs="仿宋"/>
          <w:color w:val="auto"/>
          <w:szCs w:val="24"/>
          <w:highlight w:val="none"/>
        </w:rPr>
        <w:t>合同期内</w:t>
      </w:r>
      <w:r>
        <w:rPr>
          <w:rFonts w:hint="eastAsia" w:ascii="仿宋" w:hAnsi="仿宋" w:eastAsia="仿宋" w:cs="仿宋"/>
          <w:color w:val="auto"/>
          <w:szCs w:val="24"/>
          <w:highlight w:val="none"/>
        </w:rPr>
        <w:t>为无前置库建设能力的部门提供</w:t>
      </w:r>
      <w:r>
        <w:rPr>
          <w:rFonts w:ascii="仿宋" w:hAnsi="仿宋" w:eastAsia="仿宋" w:cs="仿宋"/>
          <w:color w:val="auto"/>
          <w:szCs w:val="24"/>
          <w:highlight w:val="none"/>
        </w:rPr>
        <w:t>应用数据归集的前置关键准备服务</w:t>
      </w:r>
      <w:r>
        <w:rPr>
          <w:rFonts w:hint="eastAsia" w:ascii="仿宋" w:hAnsi="仿宋" w:eastAsia="仿宋" w:cs="仿宋"/>
          <w:color w:val="auto"/>
          <w:szCs w:val="24"/>
          <w:highlight w:val="none"/>
        </w:rPr>
        <w:t>，需根据数源部门的业务库表结构，在部门前置库上创建对应的表。要求在保留原业务库表已有字段的基础上，为每个表添加交换所需的相关字段。各业务部门在推数据时，除了推送业务数据，还需要为必要字段设置相应的值。</w:t>
      </w:r>
    </w:p>
    <w:p w14:paraId="1BF8BB05">
      <w:pPr>
        <w:pStyle w:val="3"/>
        <w:pageBreakBefore w:val="0"/>
        <w:tabs>
          <w:tab w:val="left" w:pos="208"/>
        </w:tabs>
        <w:kinsoku/>
        <w:wordWrap/>
        <w:overflowPunct/>
        <w:topLinePunct w:val="0"/>
        <w:bidi w:val="0"/>
        <w:adjustRightInd w:val="0"/>
        <w:snapToGrid/>
        <w:spacing w:line="360" w:lineRule="auto"/>
        <w:ind w:firstLine="482" w:firstLineChars="200"/>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1.4.</w:t>
      </w:r>
      <w:r>
        <w:rPr>
          <w:rFonts w:ascii="仿宋" w:hAnsi="仿宋" w:eastAsia="仿宋" w:cs="仿宋"/>
          <w:b/>
          <w:bCs/>
          <w:color w:val="auto"/>
          <w:szCs w:val="24"/>
          <w:highlight w:val="none"/>
          <w:lang w:val="en"/>
        </w:rPr>
        <w:t>3</w:t>
      </w:r>
      <w:r>
        <w:rPr>
          <w:rFonts w:hint="eastAsia" w:ascii="仿宋" w:hAnsi="仿宋" w:eastAsia="仿宋" w:cs="仿宋"/>
          <w:b/>
          <w:bCs/>
          <w:color w:val="auto"/>
          <w:szCs w:val="24"/>
          <w:highlight w:val="none"/>
        </w:rPr>
        <w:t>.</w:t>
      </w:r>
      <w:r>
        <w:rPr>
          <w:rFonts w:ascii="仿宋" w:hAnsi="仿宋" w:eastAsia="仿宋" w:cs="仿宋"/>
          <w:b/>
          <w:bCs/>
          <w:color w:val="auto"/>
          <w:szCs w:val="24"/>
          <w:highlight w:val="none"/>
        </w:rPr>
        <w:t>2</w:t>
      </w:r>
      <w:r>
        <w:rPr>
          <w:rFonts w:hint="eastAsia" w:ascii="仿宋" w:hAnsi="仿宋" w:eastAsia="仿宋" w:cs="仿宋"/>
          <w:b/>
          <w:bCs/>
          <w:color w:val="auto"/>
          <w:szCs w:val="24"/>
          <w:highlight w:val="none"/>
        </w:rPr>
        <w:t>数据治理运营服务</w:t>
      </w:r>
    </w:p>
    <w:p w14:paraId="17E12CD2">
      <w:pPr>
        <w:pStyle w:val="3"/>
        <w:pageBreakBefore w:val="0"/>
        <w:tabs>
          <w:tab w:val="left" w:pos="208"/>
        </w:tabs>
        <w:kinsoku/>
        <w:wordWrap/>
        <w:overflowPunct/>
        <w:topLinePunct w:val="0"/>
        <w:bidi w:val="0"/>
        <w:adjustRightInd w:val="0"/>
        <w:snapToGrid/>
        <w:spacing w:line="360" w:lineRule="auto"/>
        <w:ind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要求针对治理工单，提供问题排查业务和技术指导；协助业主单位对公共数据平台进行全链路问题排查，指导部门对问题进行整改，</w:t>
      </w:r>
      <w:r>
        <w:rPr>
          <w:rFonts w:ascii="仿宋" w:hAnsi="仿宋" w:eastAsia="仿宋" w:cs="仿宋"/>
          <w:color w:val="auto"/>
          <w:szCs w:val="24"/>
          <w:highlight w:val="none"/>
        </w:rPr>
        <w:t>形成《景宁县公共数据治理工作指南》</w:t>
      </w:r>
      <w:r>
        <w:rPr>
          <w:rFonts w:hint="eastAsia" w:ascii="仿宋" w:hAnsi="仿宋" w:eastAsia="仿宋" w:cs="仿宋"/>
          <w:color w:val="auto"/>
          <w:szCs w:val="24"/>
          <w:highlight w:val="none"/>
        </w:rPr>
        <w:t>。</w:t>
      </w:r>
    </w:p>
    <w:p w14:paraId="11114CE9">
      <w:pPr>
        <w:pStyle w:val="3"/>
        <w:pageBreakBefore w:val="0"/>
        <w:tabs>
          <w:tab w:val="left" w:pos="208"/>
        </w:tabs>
        <w:kinsoku/>
        <w:wordWrap/>
        <w:overflowPunct/>
        <w:topLinePunct w:val="0"/>
        <w:bidi w:val="0"/>
        <w:adjustRightInd w:val="0"/>
        <w:snapToGrid/>
        <w:spacing w:line="360" w:lineRule="auto"/>
        <w:ind w:firstLine="482" w:firstLineChars="200"/>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1.4.</w:t>
      </w:r>
      <w:r>
        <w:rPr>
          <w:rFonts w:ascii="仿宋" w:hAnsi="仿宋" w:eastAsia="仿宋" w:cs="仿宋"/>
          <w:b/>
          <w:bCs/>
          <w:color w:val="auto"/>
          <w:szCs w:val="24"/>
          <w:highlight w:val="none"/>
          <w:lang w:val="en"/>
        </w:rPr>
        <w:t>3</w:t>
      </w:r>
      <w:r>
        <w:rPr>
          <w:rFonts w:hint="eastAsia" w:ascii="仿宋" w:hAnsi="仿宋" w:eastAsia="仿宋" w:cs="仿宋"/>
          <w:b/>
          <w:bCs/>
          <w:color w:val="auto"/>
          <w:szCs w:val="24"/>
          <w:highlight w:val="none"/>
        </w:rPr>
        <w:t>.</w:t>
      </w:r>
      <w:r>
        <w:rPr>
          <w:rFonts w:ascii="仿宋" w:hAnsi="仿宋" w:eastAsia="仿宋" w:cs="仿宋"/>
          <w:b/>
          <w:bCs/>
          <w:color w:val="auto"/>
          <w:szCs w:val="24"/>
          <w:highlight w:val="none"/>
        </w:rPr>
        <w:t>3</w:t>
      </w:r>
      <w:r>
        <w:rPr>
          <w:rFonts w:hint="eastAsia" w:ascii="仿宋" w:hAnsi="仿宋" w:eastAsia="仿宋" w:cs="仿宋"/>
          <w:b/>
          <w:bCs/>
          <w:color w:val="auto"/>
          <w:szCs w:val="24"/>
          <w:highlight w:val="none"/>
        </w:rPr>
        <w:t>数据共享运营服务</w:t>
      </w:r>
    </w:p>
    <w:p w14:paraId="5034FCA0">
      <w:pPr>
        <w:pStyle w:val="3"/>
        <w:pageBreakBefore w:val="0"/>
        <w:tabs>
          <w:tab w:val="left" w:pos="208"/>
        </w:tabs>
        <w:kinsoku/>
        <w:wordWrap/>
        <w:overflowPunct/>
        <w:topLinePunct w:val="0"/>
        <w:bidi w:val="0"/>
        <w:adjustRightInd w:val="0"/>
        <w:snapToGrid/>
        <w:spacing w:line="360" w:lineRule="auto"/>
        <w:ind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供需对接：要求开展数据共享需求对接工作，基于IRS协助分析数据需求满足情况，</w:t>
      </w:r>
      <w:r>
        <w:rPr>
          <w:rFonts w:ascii="仿宋" w:hAnsi="仿宋" w:eastAsia="仿宋" w:cs="仿宋"/>
          <w:color w:val="auto"/>
          <w:szCs w:val="24"/>
          <w:highlight w:val="none"/>
        </w:rPr>
        <w:t>合同期内指导数据接口编目上架IRS</w:t>
      </w:r>
      <w:r>
        <w:rPr>
          <w:rFonts w:hint="eastAsia" w:ascii="仿宋" w:hAnsi="仿宋" w:eastAsia="仿宋" w:cs="仿宋"/>
          <w:color w:val="auto"/>
          <w:szCs w:val="24"/>
          <w:highlight w:val="none"/>
        </w:rPr>
        <w:t>。</w:t>
      </w:r>
    </w:p>
    <w:p w14:paraId="016CDBB4">
      <w:pPr>
        <w:pStyle w:val="3"/>
        <w:pageBreakBefore w:val="0"/>
        <w:tabs>
          <w:tab w:val="left" w:pos="208"/>
        </w:tabs>
        <w:kinsoku/>
        <w:wordWrap/>
        <w:overflowPunct/>
        <w:topLinePunct w:val="0"/>
        <w:bidi w:val="0"/>
        <w:adjustRightInd w:val="0"/>
        <w:snapToGrid/>
        <w:spacing w:line="360" w:lineRule="auto"/>
        <w:ind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需求分析：根据业务场景需求，围绕数据共享方式可行性、合规性协，助完成</w:t>
      </w:r>
      <w:r>
        <w:rPr>
          <w:rFonts w:hint="eastAsia" w:ascii="仿宋" w:hAnsi="仿宋" w:eastAsia="仿宋" w:cs="仿宋"/>
          <w:color w:val="auto"/>
          <w:szCs w:val="24"/>
          <w:highlight w:val="none"/>
          <w:lang w:val="en-US"/>
        </w:rPr>
        <w:t>多个</w:t>
      </w:r>
      <w:r>
        <w:rPr>
          <w:rFonts w:ascii="仿宋" w:hAnsi="仿宋" w:eastAsia="仿宋" w:cs="仿宋"/>
          <w:color w:val="auto"/>
          <w:szCs w:val="24"/>
          <w:highlight w:val="none"/>
        </w:rPr>
        <w:t>数据需求分析</w:t>
      </w:r>
      <w:r>
        <w:rPr>
          <w:rFonts w:hint="eastAsia" w:ascii="仿宋" w:hAnsi="仿宋" w:eastAsia="仿宋" w:cs="仿宋"/>
          <w:color w:val="auto"/>
          <w:szCs w:val="24"/>
          <w:highlight w:val="none"/>
        </w:rPr>
        <w:t>。</w:t>
      </w:r>
    </w:p>
    <w:p w14:paraId="03FFDA1B">
      <w:pPr>
        <w:pStyle w:val="3"/>
        <w:pageBreakBefore w:val="0"/>
        <w:tabs>
          <w:tab w:val="left" w:pos="208"/>
        </w:tabs>
        <w:kinsoku/>
        <w:wordWrap/>
        <w:overflowPunct/>
        <w:topLinePunct w:val="0"/>
        <w:bidi w:val="0"/>
        <w:adjustRightInd w:val="0"/>
        <w:snapToGrid/>
        <w:spacing w:line="360" w:lineRule="auto"/>
        <w:ind w:firstLine="480" w:firstLineChars="200"/>
        <w:textAlignment w:val="auto"/>
        <w:rPr>
          <w:color w:val="auto"/>
          <w:highlight w:val="none"/>
        </w:rPr>
      </w:pPr>
      <w:r>
        <w:rPr>
          <w:rFonts w:hint="eastAsia" w:ascii="仿宋" w:hAnsi="仿宋" w:eastAsia="仿宋" w:cs="仿宋"/>
          <w:color w:val="auto"/>
          <w:szCs w:val="24"/>
          <w:highlight w:val="none"/>
        </w:rPr>
        <w:t>技术指导：在有工具支持的基础上，提供数据接口共享、批量共享、敏感数据脱敏加密共享等相关技术和业务规范优化指导，</w:t>
      </w:r>
      <w:r>
        <w:rPr>
          <w:rFonts w:ascii="仿宋" w:hAnsi="仿宋" w:eastAsia="仿宋" w:cs="仿宋"/>
          <w:color w:val="auto"/>
          <w:szCs w:val="24"/>
          <w:highlight w:val="none"/>
        </w:rPr>
        <w:t>形成《景宁</w:t>
      </w:r>
      <w:r>
        <w:rPr>
          <w:rFonts w:hint="eastAsia" w:ascii="仿宋" w:hAnsi="仿宋" w:eastAsia="仿宋" w:cs="仿宋"/>
          <w:color w:val="auto"/>
          <w:szCs w:val="24"/>
          <w:highlight w:val="none"/>
        </w:rPr>
        <w:t>县</w:t>
      </w:r>
      <w:r>
        <w:rPr>
          <w:rFonts w:ascii="仿宋" w:hAnsi="仿宋" w:eastAsia="仿宋" w:cs="仿宋"/>
          <w:color w:val="auto"/>
          <w:szCs w:val="24"/>
          <w:highlight w:val="none"/>
        </w:rPr>
        <w:t>公共数据共享工作指南》</w:t>
      </w:r>
      <w:r>
        <w:rPr>
          <w:rFonts w:hint="eastAsia" w:ascii="仿宋" w:hAnsi="仿宋" w:eastAsia="仿宋" w:cs="仿宋"/>
          <w:color w:val="auto"/>
          <w:szCs w:val="24"/>
          <w:highlight w:val="none"/>
        </w:rPr>
        <w:t>。</w:t>
      </w:r>
    </w:p>
    <w:p w14:paraId="74E0EAF1">
      <w:pPr>
        <w:pStyle w:val="3"/>
        <w:pageBreakBefore w:val="0"/>
        <w:tabs>
          <w:tab w:val="left" w:pos="208"/>
        </w:tabs>
        <w:kinsoku/>
        <w:wordWrap/>
        <w:overflowPunct/>
        <w:topLinePunct w:val="0"/>
        <w:bidi w:val="0"/>
        <w:adjustRightInd w:val="0"/>
        <w:snapToGrid/>
        <w:spacing w:line="360" w:lineRule="auto"/>
        <w:ind w:firstLine="482" w:firstLineChars="200"/>
        <w:textAlignment w:val="auto"/>
        <w:rPr>
          <w:rFonts w:hint="eastAsia"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rPr>
        <w:t>1.4.</w:t>
      </w:r>
      <w:r>
        <w:rPr>
          <w:rFonts w:ascii="仿宋" w:hAnsi="仿宋" w:eastAsia="仿宋" w:cs="仿宋"/>
          <w:b/>
          <w:bCs/>
          <w:color w:val="auto"/>
          <w:szCs w:val="24"/>
          <w:highlight w:val="none"/>
          <w:lang w:val="en"/>
        </w:rPr>
        <w:t>3</w:t>
      </w:r>
      <w:r>
        <w:rPr>
          <w:rFonts w:hint="eastAsia" w:ascii="仿宋" w:hAnsi="仿宋" w:eastAsia="仿宋" w:cs="仿宋"/>
          <w:b/>
          <w:bCs/>
          <w:color w:val="auto"/>
          <w:szCs w:val="24"/>
          <w:highlight w:val="none"/>
        </w:rPr>
        <w:t>.</w:t>
      </w:r>
      <w:r>
        <w:rPr>
          <w:rFonts w:ascii="仿宋" w:hAnsi="仿宋" w:eastAsia="仿宋" w:cs="仿宋"/>
          <w:b/>
          <w:bCs/>
          <w:color w:val="auto"/>
          <w:szCs w:val="24"/>
          <w:highlight w:val="none"/>
        </w:rPr>
        <w:t>4</w:t>
      </w:r>
      <w:r>
        <w:rPr>
          <w:rFonts w:hint="eastAsia" w:ascii="仿宋" w:hAnsi="仿宋" w:eastAsia="仿宋" w:cs="仿宋"/>
          <w:b/>
          <w:bCs/>
          <w:color w:val="auto"/>
          <w:szCs w:val="24"/>
          <w:highlight w:val="none"/>
        </w:rPr>
        <w:t>数据分析</w:t>
      </w:r>
      <w:r>
        <w:rPr>
          <w:rFonts w:hint="eastAsia" w:ascii="仿宋" w:hAnsi="仿宋" w:eastAsia="仿宋" w:cs="仿宋"/>
          <w:b/>
          <w:bCs/>
          <w:color w:val="auto"/>
          <w:szCs w:val="24"/>
          <w:highlight w:val="none"/>
          <w:lang w:eastAsia="zh-CN"/>
        </w:rPr>
        <w:t>指导</w:t>
      </w:r>
    </w:p>
    <w:p w14:paraId="12606C54">
      <w:pPr>
        <w:pStyle w:val="3"/>
        <w:pageBreakBefore w:val="0"/>
        <w:tabs>
          <w:tab w:val="left" w:pos="208"/>
        </w:tabs>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要求针对</w:t>
      </w:r>
      <w:r>
        <w:rPr>
          <w:rFonts w:hint="eastAsia" w:ascii="仿宋" w:hAnsi="仿宋" w:eastAsia="仿宋" w:cs="仿宋"/>
          <w:color w:val="auto"/>
          <w:szCs w:val="24"/>
          <w:highlight w:val="none"/>
          <w:lang w:eastAsia="zh-CN"/>
        </w:rPr>
        <w:t>部门</w:t>
      </w:r>
      <w:r>
        <w:rPr>
          <w:rFonts w:hint="eastAsia" w:ascii="仿宋" w:hAnsi="仿宋" w:eastAsia="仿宋" w:cs="仿宋"/>
          <w:color w:val="auto"/>
          <w:szCs w:val="24"/>
          <w:highlight w:val="none"/>
        </w:rPr>
        <w:t>大数据分析</w:t>
      </w:r>
      <w:r>
        <w:rPr>
          <w:rFonts w:hint="eastAsia" w:ascii="仿宋" w:hAnsi="仿宋" w:eastAsia="仿宋" w:cs="仿宋"/>
          <w:color w:val="auto"/>
          <w:szCs w:val="24"/>
          <w:highlight w:val="none"/>
          <w:lang w:eastAsia="zh-CN"/>
        </w:rPr>
        <w:t>需求</w:t>
      </w:r>
      <w:r>
        <w:rPr>
          <w:rFonts w:hint="eastAsia" w:ascii="仿宋" w:hAnsi="仿宋" w:eastAsia="仿宋" w:cs="仿宋"/>
          <w:color w:val="auto"/>
          <w:szCs w:val="24"/>
          <w:highlight w:val="none"/>
        </w:rPr>
        <w:t>提供数据</w:t>
      </w:r>
      <w:r>
        <w:rPr>
          <w:rFonts w:hint="eastAsia" w:ascii="仿宋" w:hAnsi="仿宋" w:eastAsia="仿宋" w:cs="仿宋"/>
          <w:color w:val="auto"/>
          <w:szCs w:val="24"/>
          <w:highlight w:val="none"/>
          <w:lang w:eastAsia="zh-CN"/>
        </w:rPr>
        <w:t>分析</w:t>
      </w:r>
      <w:r>
        <w:rPr>
          <w:rFonts w:hint="eastAsia" w:ascii="仿宋" w:hAnsi="仿宋" w:eastAsia="仿宋" w:cs="仿宋"/>
          <w:color w:val="auto"/>
          <w:szCs w:val="24"/>
          <w:highlight w:val="none"/>
        </w:rPr>
        <w:t>加工的服务</w:t>
      </w:r>
      <w:r>
        <w:rPr>
          <w:rFonts w:hint="eastAsia" w:ascii="仿宋" w:hAnsi="仿宋" w:eastAsia="仿宋" w:cs="仿宋"/>
          <w:color w:val="auto"/>
          <w:szCs w:val="24"/>
          <w:highlight w:val="none"/>
          <w:lang w:eastAsia="zh-CN"/>
        </w:rPr>
        <w:t>，及时响应县域部门的数据分析需求。</w:t>
      </w:r>
    </w:p>
    <w:p w14:paraId="63A28503">
      <w:pPr>
        <w:pStyle w:val="3"/>
        <w:keepNext w:val="0"/>
        <w:keepLines w:val="0"/>
        <w:pageBreakBefore w:val="0"/>
        <w:widowControl w:val="0"/>
        <w:tabs>
          <w:tab w:val="left" w:pos="208"/>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Cs w:val="24"/>
          <w:highlight w:val="none"/>
        </w:rPr>
      </w:pPr>
      <w:r>
        <w:rPr>
          <w:rFonts w:hint="eastAsia" w:ascii="仿宋" w:hAnsi="仿宋" w:eastAsia="仿宋" w:cs="仿宋"/>
          <w:b/>
          <w:bCs/>
          <w:color w:val="auto"/>
          <w:szCs w:val="24"/>
          <w:highlight w:val="none"/>
          <w:lang w:val="en-US" w:eastAsia="zh-CN"/>
        </w:rPr>
        <w:t>1.4.4</w:t>
      </w:r>
      <w:r>
        <w:rPr>
          <w:rFonts w:hint="eastAsia" w:ascii="仿宋" w:hAnsi="仿宋" w:eastAsia="仿宋" w:cs="仿宋"/>
          <w:b/>
          <w:bCs/>
          <w:color w:val="auto"/>
          <w:szCs w:val="24"/>
          <w:highlight w:val="none"/>
        </w:rPr>
        <w:t>省、市、县大数据要求的其他相关任务。</w:t>
      </w:r>
      <w:r>
        <w:rPr>
          <w:rFonts w:hint="eastAsia" w:ascii="仿宋" w:hAnsi="仿宋" w:eastAsia="仿宋" w:cs="仿宋"/>
          <w:color w:val="auto"/>
          <w:szCs w:val="24"/>
          <w:highlight w:val="none"/>
        </w:rPr>
        <w:t>①数据授权运营。协助县大数据中心针对场景建设需要的数据进行归集、治理、共享，协助大数据管理中心打通数据授权运营场景的各个流程环节。②数据要素X场景建设。协助县大数据中心针对数据要素在工业制造、现代农业、商贸流通、交通运输、金融服务、科技创新、文化旅游、医疗健康、应急管理、气象服务、城市治理、绿色低碳等十二个领域应用场景建设，对场景需要的数据进行归集、治理、共享，协助大数据中心打通数据要素X场景的各个流程环节。③数据指标专项提升工程。对省市</w:t>
      </w:r>
      <w:r>
        <w:rPr>
          <w:rFonts w:hint="eastAsia" w:ascii="仿宋" w:hAnsi="仿宋" w:eastAsia="仿宋" w:cs="仿宋"/>
          <w:color w:val="auto"/>
          <w:szCs w:val="24"/>
          <w:highlight w:val="none"/>
          <w:lang w:eastAsia="zh-CN"/>
        </w:rPr>
        <w:t>县联动</w:t>
      </w:r>
      <w:r>
        <w:rPr>
          <w:rFonts w:hint="eastAsia" w:ascii="仿宋" w:hAnsi="仿宋" w:eastAsia="仿宋" w:cs="仿宋"/>
          <w:color w:val="auto"/>
          <w:szCs w:val="24"/>
          <w:highlight w:val="none"/>
        </w:rPr>
        <w:t>的数据指标，开展专项提升工作，逐项完成整改，确保数据指标排名</w:t>
      </w:r>
      <w:r>
        <w:rPr>
          <w:rFonts w:hint="eastAsia" w:ascii="仿宋" w:hAnsi="仿宋" w:eastAsia="仿宋" w:cs="仿宋"/>
          <w:color w:val="auto"/>
          <w:szCs w:val="24"/>
          <w:highlight w:val="none"/>
          <w:lang w:eastAsia="zh-CN"/>
        </w:rPr>
        <w:t>高质量完成</w:t>
      </w:r>
      <w:r>
        <w:rPr>
          <w:rFonts w:hint="eastAsia" w:ascii="仿宋" w:hAnsi="仿宋" w:eastAsia="仿宋" w:cs="仿宋"/>
          <w:color w:val="auto"/>
          <w:szCs w:val="24"/>
          <w:highlight w:val="none"/>
        </w:rPr>
        <w:t>。④协助县大数据中心做好</w:t>
      </w:r>
      <w:r>
        <w:rPr>
          <w:rFonts w:hint="eastAsia" w:ascii="仿宋" w:hAnsi="仿宋" w:eastAsia="仿宋" w:cs="仿宋"/>
          <w:color w:val="auto"/>
          <w:szCs w:val="24"/>
          <w:highlight w:val="none"/>
          <w:lang w:eastAsia="zh-CN"/>
        </w:rPr>
        <w:t>景宁</w:t>
      </w:r>
      <w:r>
        <w:rPr>
          <w:rFonts w:hint="eastAsia" w:ascii="仿宋" w:hAnsi="仿宋" w:eastAsia="仿宋" w:cs="仿宋"/>
          <w:color w:val="auto"/>
          <w:szCs w:val="24"/>
          <w:highlight w:val="none"/>
        </w:rPr>
        <w:t>县</w:t>
      </w:r>
      <w:r>
        <w:rPr>
          <w:rFonts w:hint="eastAsia" w:ascii="仿宋" w:hAnsi="仿宋" w:eastAsia="仿宋" w:cs="仿宋"/>
          <w:color w:val="auto"/>
          <w:szCs w:val="24"/>
          <w:highlight w:val="none"/>
          <w:lang w:eastAsia="zh-CN"/>
        </w:rPr>
        <w:t>三支队伍和</w:t>
      </w:r>
      <w:r>
        <w:rPr>
          <w:rFonts w:hint="eastAsia" w:ascii="仿宋" w:hAnsi="仿宋" w:eastAsia="仿宋" w:cs="仿宋"/>
          <w:color w:val="auto"/>
          <w:szCs w:val="24"/>
          <w:highlight w:val="none"/>
        </w:rPr>
        <w:t>“十项重大工程”</w:t>
      </w:r>
      <w:r>
        <w:rPr>
          <w:rFonts w:hint="eastAsia" w:ascii="仿宋" w:hAnsi="仿宋" w:eastAsia="仿宋" w:cs="仿宋"/>
          <w:color w:val="auto"/>
          <w:szCs w:val="24"/>
          <w:highlight w:val="none"/>
          <w:lang w:eastAsia="zh-CN"/>
        </w:rPr>
        <w:t>等</w:t>
      </w:r>
      <w:r>
        <w:rPr>
          <w:rFonts w:hint="eastAsia" w:ascii="仿宋" w:hAnsi="仿宋" w:eastAsia="仿宋" w:cs="仿宋"/>
          <w:color w:val="auto"/>
          <w:szCs w:val="24"/>
          <w:highlight w:val="none"/>
        </w:rPr>
        <w:t>重点任务涉及的相关数据工作。</w:t>
      </w:r>
    </w:p>
    <w:p w14:paraId="288784F5">
      <w:pPr>
        <w:pageBreakBefore w:val="0"/>
        <w:kinsoku/>
        <w:wordWrap/>
        <w:overflowPunct/>
        <w:topLinePunct w:val="0"/>
        <w:bidi w:val="0"/>
        <w:adjustRightInd w:val="0"/>
        <w:snapToGrid/>
        <w:spacing w:line="360" w:lineRule="auto"/>
        <w:ind w:firstLine="420" w:firstLineChars="200"/>
        <w:textAlignment w:val="auto"/>
        <w:rPr>
          <w:color w:val="auto"/>
          <w:highlight w:val="none"/>
        </w:rPr>
      </w:pPr>
    </w:p>
    <w:p w14:paraId="776650F8">
      <w:pPr>
        <w:pStyle w:val="6"/>
        <w:pageBreakBefore w:val="0"/>
        <w:kinsoku/>
        <w:wordWrap/>
        <w:overflowPunct/>
        <w:topLinePunct w:val="0"/>
        <w:bidi w:val="0"/>
        <w:adjustRightInd w:val="0"/>
        <w:snapToGrid/>
        <w:spacing w:before="0" w:after="0" w:line="360" w:lineRule="auto"/>
        <w:ind w:left="0" w:firstLine="482" w:firstLineChars="200"/>
        <w:textAlignment w:val="auto"/>
        <w:rPr>
          <w:rFonts w:ascii="仿宋" w:hAnsi="仿宋" w:eastAsia="仿宋" w:cs="仿宋"/>
          <w:color w:val="auto"/>
          <w:sz w:val="24"/>
          <w:szCs w:val="24"/>
          <w:highlight w:val="none"/>
        </w:rPr>
      </w:pPr>
      <w:bookmarkStart w:id="52" w:name="_Toc644"/>
      <w:bookmarkStart w:id="53" w:name="_Toc2600"/>
      <w:bookmarkStart w:id="54" w:name="_Toc7492"/>
      <w:r>
        <w:rPr>
          <w:rFonts w:hint="eastAsia" w:ascii="仿宋" w:hAnsi="仿宋" w:eastAsia="仿宋" w:cs="仿宋"/>
          <w:color w:val="auto"/>
          <w:sz w:val="24"/>
          <w:szCs w:val="24"/>
          <w:highlight w:val="none"/>
        </w:rPr>
        <w:t>1.5服务要求</w:t>
      </w:r>
      <w:bookmarkEnd w:id="52"/>
      <w:bookmarkEnd w:id="53"/>
    </w:p>
    <w:p w14:paraId="513A5412">
      <w:pPr>
        <w:pStyle w:val="3"/>
        <w:pageBreakBefore w:val="0"/>
        <w:tabs>
          <w:tab w:val="left" w:pos="208"/>
        </w:tabs>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1、人员要求</w:t>
      </w:r>
    </w:p>
    <w:p w14:paraId="0A7D6932">
      <w:pPr>
        <w:pStyle w:val="3"/>
        <w:pageBreakBefore w:val="0"/>
        <w:tabs>
          <w:tab w:val="left" w:pos="208"/>
        </w:tabs>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woUserID w:val="0"/>
        </w:rPr>
        <w:t>供应商根据业主要求和服务实际需求提供相应支撑力量开展服务</w:t>
      </w:r>
      <w:r>
        <w:rPr>
          <w:rFonts w:hint="default" w:ascii="仿宋" w:hAnsi="仿宋" w:eastAsia="仿宋" w:cs="仿宋"/>
          <w:color w:val="auto"/>
          <w:szCs w:val="24"/>
          <w:highlight w:val="none"/>
          <w:woUserID w:val="1"/>
        </w:rPr>
        <w:t>，</w:t>
      </w:r>
      <w:r>
        <w:rPr>
          <w:rFonts w:hint="eastAsia" w:ascii="仿宋" w:hAnsi="仿宋" w:eastAsia="仿宋" w:cs="仿宋"/>
          <w:color w:val="auto"/>
          <w:szCs w:val="24"/>
          <w:highlight w:val="none"/>
        </w:rPr>
        <w:t>服务期间，对各项服务内容向采购人报告实施进度和实施情况，根据采购人的要求优化实施方式，制定合理的运维服务实施方案。</w:t>
      </w:r>
    </w:p>
    <w:p w14:paraId="2E638B29">
      <w:pPr>
        <w:pageBreakBefore w:val="0"/>
        <w:kinsoku/>
        <w:wordWrap/>
        <w:overflowPunct/>
        <w:topLinePunct w:val="0"/>
        <w:bidi w:val="0"/>
        <w:adjustRightInd w:val="0"/>
        <w:snapToGrid/>
        <w:spacing w:line="360" w:lineRule="auto"/>
        <w:ind w:left="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指导要求</w:t>
      </w:r>
    </w:p>
    <w:p w14:paraId="5DB84F90">
      <w:pPr>
        <w:pStyle w:val="3"/>
        <w:pageBreakBefore w:val="0"/>
        <w:tabs>
          <w:tab w:val="left" w:pos="208"/>
        </w:tabs>
        <w:kinsoku/>
        <w:wordWrap/>
        <w:overflowPunct/>
        <w:topLinePunct w:val="0"/>
        <w:bidi w:val="0"/>
        <w:adjustRightInd w:val="0"/>
        <w:snapToGrid/>
        <w:spacing w:line="360" w:lineRule="auto"/>
        <w:ind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要求根据实际需求对区县各部门数据专员或负责数据工作的人员发生变动导致相关工作人员对丽水市公共数据平台操作和相关业务流程熟悉程度不足的情况下，根据区县具体场景需求或各部门应用开发相关人员提供业务、技术培训和指导工作，减少各单位对公共数据平台使用学习成本。</w:t>
      </w:r>
    </w:p>
    <w:p w14:paraId="4279E78C">
      <w:pPr>
        <w:pStyle w:val="3"/>
        <w:pageBreakBefore w:val="0"/>
        <w:tabs>
          <w:tab w:val="left" w:pos="208"/>
        </w:tabs>
        <w:kinsoku/>
        <w:wordWrap/>
        <w:overflowPunct/>
        <w:topLinePunct w:val="0"/>
        <w:bidi w:val="0"/>
        <w:adjustRightInd w:val="0"/>
        <w:snapToGrid/>
        <w:spacing w:line="360" w:lineRule="auto"/>
        <w:ind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指导方式：通过组建在线服务群，提供5*8小时的在线即时服务，指导部门完成数据体系相关工作</w:t>
      </w:r>
      <w:r>
        <w:rPr>
          <w:rFonts w:hint="eastAsia" w:ascii="仿宋" w:hAnsi="仿宋" w:eastAsia="仿宋" w:cs="仿宋"/>
          <w:color w:val="auto"/>
          <w:szCs w:val="24"/>
          <w:highlight w:val="none"/>
          <w:lang w:eastAsia="zh-CN"/>
        </w:rPr>
        <w:t>，视情况需求组织现场集中指导</w:t>
      </w:r>
      <w:r>
        <w:rPr>
          <w:rFonts w:hint="eastAsia" w:ascii="仿宋" w:hAnsi="仿宋" w:eastAsia="仿宋" w:cs="仿宋"/>
          <w:color w:val="auto"/>
          <w:szCs w:val="24"/>
          <w:highlight w:val="none"/>
        </w:rPr>
        <w:t>。</w:t>
      </w:r>
    </w:p>
    <w:p w14:paraId="0E0C6D57">
      <w:pPr>
        <w:pStyle w:val="3"/>
        <w:pageBreakBefore w:val="0"/>
        <w:tabs>
          <w:tab w:val="left" w:pos="208"/>
        </w:tabs>
        <w:kinsoku/>
        <w:wordWrap/>
        <w:overflowPunct/>
        <w:topLinePunct w:val="0"/>
        <w:bidi w:val="0"/>
        <w:adjustRightInd w:val="0"/>
        <w:snapToGrid/>
        <w:spacing w:line="360" w:lineRule="auto"/>
        <w:ind w:firstLine="480" w:firstLineChars="200"/>
        <w:textAlignment w:val="auto"/>
        <w:rPr>
          <w:color w:val="auto"/>
          <w:highlight w:val="none"/>
        </w:rPr>
      </w:pPr>
      <w:r>
        <w:rPr>
          <w:rFonts w:hint="eastAsia" w:ascii="仿宋" w:hAnsi="仿宋" w:eastAsia="仿宋" w:cs="仿宋"/>
          <w:color w:val="auto"/>
          <w:szCs w:val="24"/>
          <w:highlight w:val="none"/>
        </w:rPr>
        <w:t>响应效率：供应商应在运维实施任务派发后30分钟内响应，实施过程中遇到问题和延误情况需及时向采购人汇报。</w:t>
      </w:r>
    </w:p>
    <w:p w14:paraId="57A9A720">
      <w:pPr>
        <w:pStyle w:val="6"/>
        <w:pageBreakBefore w:val="0"/>
        <w:kinsoku/>
        <w:wordWrap/>
        <w:overflowPunct/>
        <w:topLinePunct w:val="0"/>
        <w:bidi w:val="0"/>
        <w:adjustRightInd w:val="0"/>
        <w:snapToGrid/>
        <w:spacing w:before="0" w:after="0" w:line="360" w:lineRule="auto"/>
        <w:ind w:left="0" w:firstLine="482" w:firstLineChars="200"/>
        <w:textAlignment w:val="auto"/>
        <w:rPr>
          <w:rFonts w:ascii="仿宋" w:hAnsi="仿宋" w:eastAsia="仿宋" w:cs="仿宋"/>
          <w:color w:val="auto"/>
          <w:sz w:val="24"/>
          <w:szCs w:val="24"/>
          <w:highlight w:val="none"/>
        </w:rPr>
      </w:pPr>
      <w:bookmarkStart w:id="55" w:name="_Toc4439"/>
      <w:bookmarkStart w:id="56" w:name="_Toc28800"/>
      <w:r>
        <w:rPr>
          <w:rFonts w:hint="eastAsia" w:ascii="仿宋" w:hAnsi="仿宋" w:eastAsia="仿宋" w:cs="仿宋"/>
          <w:color w:val="auto"/>
          <w:sz w:val="24"/>
          <w:szCs w:val="24"/>
          <w:highlight w:val="none"/>
        </w:rPr>
        <w:t>1.6安全保密要求</w:t>
      </w:r>
      <w:bookmarkEnd w:id="54"/>
      <w:bookmarkEnd w:id="55"/>
      <w:bookmarkEnd w:id="56"/>
    </w:p>
    <w:p w14:paraId="6900FCBF">
      <w:pPr>
        <w:pStyle w:val="3"/>
        <w:pageBreakBefore w:val="0"/>
        <w:tabs>
          <w:tab w:val="left" w:pos="208"/>
        </w:tabs>
        <w:kinsoku/>
        <w:wordWrap/>
        <w:overflowPunct/>
        <w:topLinePunct w:val="0"/>
        <w:bidi w:val="0"/>
        <w:adjustRightInd w:val="0"/>
        <w:snapToGrid/>
        <w:spacing w:line="360" w:lineRule="auto"/>
        <w:ind w:firstLine="480" w:firstLineChars="20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本次项目运维实施过程中要求服务方建立可行的安全保密措施，提供对本项目的保密承诺，并在日常工作过程中严格执行。为保障相关数据及应用安全，将在遵循国家相关法律法规的基础上，严格遵守丽水市关于数据安全和保密的要求。</w:t>
      </w:r>
    </w:p>
    <w:p w14:paraId="12529633">
      <w:pPr>
        <w:pStyle w:val="5"/>
        <w:rPr>
          <w:color w:val="auto"/>
          <w:sz w:val="24"/>
          <w:szCs w:val="24"/>
          <w:highlight w:val="none"/>
        </w:rPr>
      </w:pPr>
      <w:bookmarkStart w:id="57" w:name="_Toc27002"/>
      <w:bookmarkStart w:id="58" w:name="_Toc19427"/>
      <w:bookmarkStart w:id="59" w:name="_Toc26341"/>
      <w:r>
        <w:rPr>
          <w:rFonts w:hint="eastAsia"/>
          <w:color w:val="auto"/>
          <w:sz w:val="24"/>
          <w:szCs w:val="24"/>
          <w:highlight w:val="none"/>
        </w:rPr>
        <w:t>▲二、商务要求</w:t>
      </w:r>
      <w:bookmarkEnd w:id="57"/>
      <w:bookmarkEnd w:id="58"/>
      <w:bookmarkEnd w:id="59"/>
    </w:p>
    <w:p w14:paraId="6842E73C">
      <w:pPr>
        <w:pStyle w:val="6"/>
        <w:spacing w:before="0" w:after="0" w:line="360" w:lineRule="auto"/>
        <w:ind w:left="0" w:firstLine="482" w:firstLineChars="200"/>
        <w:rPr>
          <w:rFonts w:ascii="仿宋" w:hAnsi="仿宋" w:eastAsia="仿宋" w:cs="仿宋"/>
          <w:color w:val="auto"/>
          <w:sz w:val="24"/>
          <w:szCs w:val="24"/>
          <w:highlight w:val="none"/>
        </w:rPr>
      </w:pPr>
      <w:bookmarkStart w:id="60" w:name="_Toc31978"/>
      <w:bookmarkStart w:id="61" w:name="_Toc6632"/>
      <w:bookmarkStart w:id="62" w:name="_Toc8666"/>
      <w:r>
        <w:rPr>
          <w:rFonts w:hint="eastAsia" w:ascii="仿宋" w:hAnsi="仿宋" w:eastAsia="仿宋" w:cs="仿宋"/>
          <w:color w:val="auto"/>
          <w:sz w:val="24"/>
          <w:szCs w:val="24"/>
          <w:highlight w:val="none"/>
        </w:rPr>
        <w:t>2.1服务期</w:t>
      </w:r>
      <w:bookmarkEnd w:id="60"/>
      <w:bookmarkEnd w:id="61"/>
      <w:bookmarkEnd w:id="62"/>
    </w:p>
    <w:p w14:paraId="251A531B">
      <w:pPr>
        <w:pStyle w:val="3"/>
        <w:tabs>
          <w:tab w:val="left" w:pos="208"/>
        </w:tabs>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成交</w:t>
      </w:r>
      <w:r>
        <w:rPr>
          <w:rFonts w:hint="eastAsia" w:ascii="仿宋" w:hAnsi="仿宋" w:eastAsia="仿宋" w:cs="仿宋"/>
          <w:color w:val="auto"/>
          <w:szCs w:val="24"/>
          <w:highlight w:val="none"/>
        </w:rPr>
        <w:t>供应商提供12个月的服务期，服务期从合同签</w:t>
      </w:r>
      <w:r>
        <w:rPr>
          <w:rFonts w:hint="eastAsia" w:ascii="仿宋" w:hAnsi="仿宋" w:eastAsia="仿宋" w:cs="仿宋"/>
          <w:color w:val="auto"/>
          <w:szCs w:val="24"/>
          <w:highlight w:val="none"/>
          <w:lang w:val="en-US" w:eastAsia="zh-CN"/>
        </w:rPr>
        <w:t>订</w:t>
      </w:r>
      <w:r>
        <w:rPr>
          <w:rFonts w:hint="eastAsia" w:ascii="仿宋" w:hAnsi="仿宋" w:eastAsia="仿宋" w:cs="仿宋"/>
          <w:color w:val="auto"/>
          <w:szCs w:val="24"/>
          <w:highlight w:val="none"/>
        </w:rPr>
        <w:t>之日开始计算。</w:t>
      </w:r>
    </w:p>
    <w:p w14:paraId="653F9E16">
      <w:pPr>
        <w:pStyle w:val="6"/>
        <w:spacing w:before="0" w:after="0" w:line="360" w:lineRule="auto"/>
        <w:ind w:left="0" w:firstLine="482" w:firstLineChars="200"/>
        <w:rPr>
          <w:rFonts w:ascii="仿宋" w:hAnsi="仿宋" w:eastAsia="仿宋" w:cs="仿宋"/>
          <w:color w:val="auto"/>
          <w:sz w:val="24"/>
          <w:szCs w:val="24"/>
          <w:highlight w:val="none"/>
        </w:rPr>
      </w:pPr>
      <w:bookmarkStart w:id="63" w:name="_Toc1865"/>
      <w:bookmarkStart w:id="64" w:name="_Toc24256"/>
      <w:bookmarkStart w:id="65" w:name="_Toc11523"/>
      <w:r>
        <w:rPr>
          <w:rFonts w:hint="eastAsia" w:ascii="仿宋" w:hAnsi="仿宋" w:eastAsia="仿宋" w:cs="仿宋"/>
          <w:color w:val="auto"/>
          <w:sz w:val="24"/>
          <w:szCs w:val="24"/>
          <w:highlight w:val="none"/>
        </w:rPr>
        <w:t>2.2付款方式</w:t>
      </w:r>
      <w:bookmarkEnd w:id="63"/>
      <w:bookmarkEnd w:id="64"/>
      <w:bookmarkEnd w:id="65"/>
    </w:p>
    <w:p w14:paraId="4242D28D">
      <w:pPr>
        <w:pStyle w:val="3"/>
        <w:tabs>
          <w:tab w:val="left" w:pos="208"/>
        </w:tabs>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合同签订后，采购人在收到</w:t>
      </w:r>
      <w:r>
        <w:rPr>
          <w:rFonts w:hint="eastAsia" w:ascii="仿宋" w:hAnsi="仿宋" w:eastAsia="仿宋" w:cs="仿宋"/>
          <w:color w:val="auto"/>
          <w:szCs w:val="24"/>
          <w:highlight w:val="none"/>
          <w:lang w:val="en-US" w:eastAsia="zh-CN"/>
        </w:rPr>
        <w:t>供应商</w:t>
      </w:r>
      <w:r>
        <w:rPr>
          <w:rFonts w:hint="eastAsia" w:ascii="仿宋" w:hAnsi="仿宋" w:eastAsia="仿宋" w:cs="仿宋"/>
          <w:color w:val="auto"/>
          <w:szCs w:val="24"/>
          <w:highlight w:val="none"/>
        </w:rPr>
        <w:t>开具发票之日起7个工作日内支付合同费用的</w:t>
      </w:r>
      <w:r>
        <w:rPr>
          <w:rFonts w:hint="eastAsia" w:ascii="仿宋" w:hAnsi="仿宋" w:eastAsia="仿宋" w:cs="仿宋"/>
          <w:color w:val="auto"/>
          <w:szCs w:val="24"/>
          <w:highlight w:val="none"/>
          <w:lang w:val="en-US" w:eastAsia="zh-CN"/>
        </w:rPr>
        <w:t>40</w:t>
      </w:r>
      <w:r>
        <w:rPr>
          <w:rFonts w:hint="eastAsia" w:ascii="仿宋" w:hAnsi="仿宋" w:eastAsia="仿宋" w:cs="仿宋"/>
          <w:color w:val="auto"/>
          <w:szCs w:val="24"/>
          <w:highlight w:val="none"/>
        </w:rPr>
        <w:t>%。合同服务期满后,验收合格后并由成交人提供发票之日的7个工作日内支付合同的剩余的</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 xml:space="preserve">0%。 </w:t>
      </w:r>
    </w:p>
    <w:p w14:paraId="04A90757">
      <w:pPr>
        <w:pStyle w:val="5"/>
        <w:rPr>
          <w:color w:val="auto"/>
          <w:sz w:val="24"/>
          <w:szCs w:val="24"/>
          <w:highlight w:val="none"/>
        </w:rPr>
      </w:pPr>
      <w:bookmarkStart w:id="66" w:name="_Toc30850"/>
      <w:bookmarkStart w:id="67" w:name="_Toc21805"/>
      <w:r>
        <w:rPr>
          <w:rFonts w:hint="eastAsia"/>
          <w:color w:val="auto"/>
          <w:sz w:val="24"/>
          <w:szCs w:val="24"/>
          <w:highlight w:val="none"/>
        </w:rPr>
        <w:t>三、其他</w:t>
      </w:r>
      <w:bookmarkEnd w:id="66"/>
      <w:bookmarkEnd w:id="67"/>
    </w:p>
    <w:p w14:paraId="54642E16">
      <w:pPr>
        <w:widowControl/>
        <w:wordWrap w:val="0"/>
        <w:adjustRightInd/>
        <w:snapToGrid w:val="0"/>
        <w:spacing w:line="360" w:lineRule="auto"/>
        <w:ind w:firstLine="480" w:firstLineChars="200"/>
        <w:jc w:val="left"/>
        <w:rPr>
          <w:rFonts w:ascii="仿宋_GB2312" w:hAnsi="Calibri" w:eastAsia="仿宋_GB2312"/>
          <w:color w:val="auto"/>
          <w:sz w:val="24"/>
          <w:highlight w:val="none"/>
        </w:rPr>
      </w:pPr>
      <w:r>
        <w:rPr>
          <w:rFonts w:ascii="仿宋_GB2312" w:hAnsi="Calibri" w:eastAsia="仿宋_GB2312"/>
          <w:color w:val="auto"/>
          <w:sz w:val="24"/>
          <w:highlight w:val="none"/>
        </w:rPr>
        <w:t>1</w:t>
      </w:r>
      <w:r>
        <w:rPr>
          <w:rFonts w:hint="eastAsia" w:ascii="仿宋_GB2312" w:hAnsi="Calibri" w:eastAsia="仿宋_GB2312"/>
          <w:color w:val="auto"/>
          <w:sz w:val="24"/>
          <w:highlight w:val="none"/>
        </w:rPr>
        <w:t>、</w:t>
      </w:r>
      <w:r>
        <w:rPr>
          <w:rFonts w:ascii="仿宋_GB2312" w:hAnsi="Calibri" w:eastAsia="仿宋_GB2312"/>
          <w:color w:val="auto"/>
          <w:sz w:val="24"/>
          <w:highlight w:val="none"/>
        </w:rPr>
        <w:t>本项目所涉及的税收、人工费、</w:t>
      </w:r>
      <w:r>
        <w:rPr>
          <w:rFonts w:hint="eastAsia" w:ascii="仿宋_GB2312" w:hAnsi="Calibri" w:eastAsia="仿宋_GB2312"/>
          <w:color w:val="auto"/>
          <w:sz w:val="24"/>
          <w:highlight w:val="none"/>
        </w:rPr>
        <w:t>服务费</w:t>
      </w:r>
      <w:r>
        <w:rPr>
          <w:rFonts w:ascii="仿宋_GB2312" w:hAnsi="Calibri" w:eastAsia="仿宋_GB2312"/>
          <w:color w:val="auto"/>
          <w:sz w:val="24"/>
          <w:highlight w:val="none"/>
        </w:rPr>
        <w:t>等一切与之相关的所有费用都需包含在报价中。</w:t>
      </w:r>
    </w:p>
    <w:p w14:paraId="3BE01ADE">
      <w:pPr>
        <w:widowControl/>
        <w:wordWrap w:val="0"/>
        <w:adjustRightInd/>
        <w:snapToGrid w:val="0"/>
        <w:spacing w:line="360" w:lineRule="auto"/>
        <w:ind w:firstLine="480" w:firstLineChars="20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2、</w:t>
      </w:r>
      <w:r>
        <w:rPr>
          <w:rFonts w:ascii="仿宋_GB2312" w:hAnsi="Calibri" w:eastAsia="仿宋_GB2312"/>
          <w:color w:val="auto"/>
          <w:sz w:val="24"/>
          <w:highlight w:val="none"/>
        </w:rPr>
        <w:t>本项目排名第一的中标候选人未注册成为“浙江省政府采购供应商”的，采购代理机构将暂缓发布中标通知书，由此造成的不利影响自行承担。</w:t>
      </w:r>
    </w:p>
    <w:p w14:paraId="28EC2E0D">
      <w:pPr>
        <w:widowControl/>
        <w:wordWrap w:val="0"/>
        <w:adjustRightInd/>
        <w:snapToGrid w:val="0"/>
        <w:spacing w:line="360" w:lineRule="auto"/>
        <w:ind w:firstLine="480" w:firstLineChars="20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3、</w:t>
      </w:r>
      <w:r>
        <w:rPr>
          <w:rFonts w:ascii="仿宋_GB2312" w:hAnsi="Calibri" w:eastAsia="仿宋_GB2312"/>
          <w:color w:val="auto"/>
          <w:sz w:val="24"/>
          <w:highlight w:val="none"/>
        </w:rPr>
        <w:t xml:space="preserve"> 有关“浙江省政府采购供应商”注册事宜可向代理机构咨询，联系人：姚亚，联系电话：0578—5083626。</w:t>
      </w:r>
    </w:p>
    <w:p w14:paraId="4624FED5">
      <w:pPr>
        <w:rPr>
          <w:color w:val="auto"/>
          <w:highlight w:val="none"/>
        </w:rPr>
      </w:pPr>
    </w:p>
    <w:p w14:paraId="4D3E3301">
      <w:pPr>
        <w:bidi w:val="0"/>
        <w:rPr>
          <w:rFonts w:hint="eastAsia"/>
          <w:color w:val="auto"/>
          <w:highlight w:val="none"/>
          <w:lang w:val="en-US" w:eastAsia="zh-CN"/>
        </w:rPr>
      </w:pPr>
    </w:p>
    <w:bookmarkEnd w:id="35"/>
    <w:bookmarkEnd w:id="36"/>
    <w:bookmarkEnd w:id="37"/>
    <w:bookmarkEnd w:id="38"/>
    <w:bookmarkEnd w:id="39"/>
    <w:p w14:paraId="4A1426E5">
      <w:pPr>
        <w:pStyle w:val="17"/>
        <w:rPr>
          <w:rFonts w:hint="eastAsia" w:ascii="仿宋" w:hAnsi="仿宋" w:eastAsia="仿宋" w:cs="仿宋"/>
          <w:color w:val="auto"/>
          <w:sz w:val="24"/>
          <w:highlight w:val="none"/>
        </w:rPr>
      </w:pPr>
    </w:p>
    <w:p w14:paraId="0C2567B8">
      <w:pPr>
        <w:rPr>
          <w:rFonts w:hint="eastAsia" w:ascii="仿宋" w:hAnsi="仿宋" w:eastAsia="仿宋" w:cs="仿宋"/>
          <w:color w:val="auto"/>
          <w:sz w:val="24"/>
          <w:highlight w:val="none"/>
        </w:rPr>
      </w:pPr>
    </w:p>
    <w:p w14:paraId="22FE3C7F">
      <w:pPr>
        <w:pStyle w:val="17"/>
        <w:rPr>
          <w:rFonts w:hint="eastAsia" w:ascii="仿宋" w:hAnsi="仿宋" w:eastAsia="仿宋" w:cs="仿宋"/>
          <w:color w:val="auto"/>
          <w:sz w:val="24"/>
          <w:highlight w:val="none"/>
        </w:rPr>
      </w:pPr>
    </w:p>
    <w:p w14:paraId="51F28C64">
      <w:pPr>
        <w:rPr>
          <w:rFonts w:hint="eastAsia" w:ascii="仿宋" w:hAnsi="仿宋" w:eastAsia="仿宋" w:cs="仿宋"/>
          <w:color w:val="auto"/>
          <w:sz w:val="24"/>
          <w:highlight w:val="none"/>
        </w:rPr>
      </w:pPr>
    </w:p>
    <w:p w14:paraId="265ABDEE">
      <w:pPr>
        <w:pStyle w:val="17"/>
        <w:rPr>
          <w:rFonts w:hint="eastAsia" w:ascii="仿宋" w:hAnsi="仿宋" w:eastAsia="仿宋" w:cs="仿宋"/>
          <w:color w:val="auto"/>
          <w:sz w:val="24"/>
          <w:highlight w:val="none"/>
        </w:rPr>
      </w:pPr>
    </w:p>
    <w:p w14:paraId="13992839">
      <w:pPr>
        <w:rPr>
          <w:rFonts w:hint="eastAsia" w:ascii="仿宋" w:hAnsi="仿宋" w:eastAsia="仿宋" w:cs="仿宋"/>
          <w:color w:val="auto"/>
          <w:sz w:val="24"/>
          <w:highlight w:val="none"/>
        </w:rPr>
      </w:pPr>
    </w:p>
    <w:p w14:paraId="50826BB9">
      <w:pPr>
        <w:pStyle w:val="17"/>
        <w:rPr>
          <w:rFonts w:hint="eastAsia" w:ascii="仿宋" w:hAnsi="仿宋" w:eastAsia="仿宋" w:cs="仿宋"/>
          <w:color w:val="auto"/>
          <w:sz w:val="24"/>
          <w:highlight w:val="none"/>
        </w:rPr>
      </w:pPr>
    </w:p>
    <w:p w14:paraId="329A9E1E">
      <w:pPr>
        <w:rPr>
          <w:rFonts w:hint="eastAsia" w:ascii="仿宋" w:hAnsi="仿宋" w:eastAsia="仿宋" w:cs="仿宋"/>
          <w:color w:val="auto"/>
          <w:sz w:val="24"/>
          <w:highlight w:val="none"/>
        </w:rPr>
      </w:pPr>
    </w:p>
    <w:p w14:paraId="17AB5DC9">
      <w:pPr>
        <w:pStyle w:val="17"/>
        <w:rPr>
          <w:rFonts w:hint="eastAsia" w:ascii="仿宋" w:hAnsi="仿宋" w:eastAsia="仿宋" w:cs="仿宋"/>
          <w:color w:val="auto"/>
          <w:sz w:val="24"/>
          <w:highlight w:val="none"/>
        </w:rPr>
      </w:pPr>
    </w:p>
    <w:p w14:paraId="351700B3">
      <w:pPr>
        <w:rPr>
          <w:rFonts w:hint="eastAsia" w:ascii="仿宋" w:hAnsi="仿宋" w:eastAsia="仿宋" w:cs="仿宋"/>
          <w:color w:val="auto"/>
          <w:sz w:val="24"/>
          <w:highlight w:val="none"/>
        </w:rPr>
      </w:pPr>
    </w:p>
    <w:p w14:paraId="051B5D55">
      <w:pPr>
        <w:pStyle w:val="17"/>
        <w:rPr>
          <w:rFonts w:hint="eastAsia"/>
          <w:color w:val="auto"/>
          <w:highlight w:val="none"/>
        </w:rPr>
      </w:pPr>
    </w:p>
    <w:p w14:paraId="3061FE47">
      <w:pPr>
        <w:rPr>
          <w:rFonts w:hint="eastAsia"/>
          <w:color w:val="auto"/>
          <w:highlight w:val="none"/>
        </w:rPr>
      </w:pPr>
    </w:p>
    <w:p w14:paraId="33511D70">
      <w:pPr>
        <w:pStyle w:val="2"/>
        <w:rPr>
          <w:rFonts w:hint="eastAsia"/>
          <w:color w:val="auto"/>
          <w:highlight w:val="none"/>
        </w:rPr>
      </w:pPr>
    </w:p>
    <w:p w14:paraId="34F7C9BE">
      <w:pPr>
        <w:pStyle w:val="2"/>
        <w:rPr>
          <w:rFonts w:hint="eastAsia"/>
          <w:color w:val="auto"/>
          <w:highlight w:val="none"/>
        </w:rPr>
      </w:pPr>
    </w:p>
    <w:p w14:paraId="028CB15D">
      <w:pPr>
        <w:pStyle w:val="2"/>
        <w:rPr>
          <w:rFonts w:hint="eastAsia"/>
          <w:color w:val="auto"/>
          <w:highlight w:val="none"/>
        </w:rPr>
      </w:pPr>
    </w:p>
    <w:p w14:paraId="4BEDD7A8">
      <w:pPr>
        <w:pStyle w:val="2"/>
        <w:rPr>
          <w:rFonts w:hint="eastAsia"/>
          <w:color w:val="auto"/>
          <w:highlight w:val="none"/>
        </w:rPr>
      </w:pPr>
    </w:p>
    <w:p w14:paraId="6A27AD99">
      <w:pPr>
        <w:rPr>
          <w:rFonts w:hint="eastAsia" w:ascii="仿宋" w:hAnsi="仿宋" w:eastAsia="仿宋" w:cs="仿宋"/>
          <w:color w:val="auto"/>
          <w:sz w:val="24"/>
          <w:highlight w:val="none"/>
        </w:rPr>
      </w:pPr>
    </w:p>
    <w:p w14:paraId="1A7365F2">
      <w:pPr>
        <w:pStyle w:val="17"/>
        <w:rPr>
          <w:rFonts w:hint="eastAsia" w:ascii="仿宋" w:hAnsi="仿宋" w:eastAsia="仿宋" w:cs="仿宋"/>
          <w:color w:val="auto"/>
          <w:sz w:val="24"/>
          <w:highlight w:val="none"/>
        </w:rPr>
      </w:pPr>
    </w:p>
    <w:p w14:paraId="58C4D91F">
      <w:pPr>
        <w:rPr>
          <w:rFonts w:hint="eastAsia"/>
          <w:color w:val="auto"/>
          <w:highlight w:val="none"/>
        </w:rPr>
      </w:pPr>
    </w:p>
    <w:p w14:paraId="3E209AFC">
      <w:pPr>
        <w:rPr>
          <w:rFonts w:hint="eastAsia" w:ascii="仿宋" w:hAnsi="仿宋" w:eastAsia="仿宋" w:cs="仿宋"/>
          <w:color w:val="auto"/>
          <w:sz w:val="24"/>
          <w:highlight w:val="none"/>
        </w:rPr>
      </w:pPr>
    </w:p>
    <w:p w14:paraId="0A7F0263">
      <w:pPr>
        <w:pStyle w:val="4"/>
        <w:spacing w:before="0" w:after="0" w:line="480" w:lineRule="auto"/>
        <w:ind w:left="431" w:hanging="431"/>
        <w:jc w:val="center"/>
        <w:rPr>
          <w:rFonts w:ascii="仿宋" w:hAnsi="仿宋" w:eastAsia="仿宋" w:cs="仿宋"/>
          <w:color w:val="auto"/>
          <w:sz w:val="36"/>
          <w:szCs w:val="36"/>
          <w:highlight w:val="none"/>
        </w:rPr>
      </w:pPr>
      <w:bookmarkStart w:id="68" w:name="_Toc28149"/>
      <w:r>
        <w:rPr>
          <w:rFonts w:hint="eastAsia" w:ascii="仿宋" w:hAnsi="仿宋" w:eastAsia="仿宋" w:cs="仿宋"/>
          <w:color w:val="auto"/>
          <w:sz w:val="36"/>
          <w:szCs w:val="36"/>
          <w:highlight w:val="none"/>
        </w:rPr>
        <w:t>第三部分 竞争性磋商流程</w:t>
      </w:r>
      <w:bookmarkEnd w:id="30"/>
      <w:bookmarkEnd w:id="31"/>
      <w:bookmarkEnd w:id="68"/>
    </w:p>
    <w:p w14:paraId="4B54E823">
      <w:pPr>
        <w:pStyle w:val="140"/>
        <w:spacing w:before="0"/>
        <w:ind w:firstLine="0" w:firstLineChars="0"/>
        <w:rPr>
          <w:rFonts w:ascii="仿宋" w:hAnsi="仿宋" w:eastAsia="仿宋" w:cs="仿宋"/>
          <w:b/>
          <w:color w:val="auto"/>
          <w:highlight w:val="none"/>
        </w:rPr>
      </w:pPr>
      <w:r>
        <w:rPr>
          <w:rFonts w:hint="eastAsia" w:ascii="仿宋" w:hAnsi="仿宋" w:eastAsia="仿宋" w:cs="仿宋"/>
          <w:b/>
          <w:color w:val="auto"/>
          <w:szCs w:val="24"/>
          <w:highlight w:val="none"/>
        </w:rPr>
        <w:t>1.征集供应商</w:t>
      </w:r>
    </w:p>
    <w:p w14:paraId="2331A45E">
      <w:pPr>
        <w:pStyle w:val="14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29736050">
      <w:pPr>
        <w:pStyle w:val="140"/>
        <w:spacing w:before="0"/>
        <w:ind w:left="420" w:leftChars="200" w:firstLine="0" w:firstLineChars="0"/>
        <w:rPr>
          <w:rFonts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由采购人、采购代理机构在省级以上人民政府</w:t>
      </w:r>
    </w:p>
    <w:p w14:paraId="1E09792A">
      <w:pPr>
        <w:pStyle w:val="140"/>
        <w:spacing w:before="0"/>
        <w:ind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财政部门指定的政府采购信息发布媒体上发布磋商公告，邀请符合相应资格条件的供应商参与竞争性磋商采购活动。</w:t>
      </w:r>
    </w:p>
    <w:p w14:paraId="77B516E7">
      <w:pPr>
        <w:pStyle w:val="140"/>
        <w:spacing w:before="0"/>
        <w:ind w:left="420" w:leftChars="200" w:firstLine="0" w:firstLineChars="0"/>
        <w:rPr>
          <w:rFonts w:ascii="仿宋" w:hAnsi="仿宋" w:eastAsia="仿宋" w:cs="仿宋"/>
          <w:color w:val="auto"/>
          <w:szCs w:val="24"/>
          <w:highlight w:val="none"/>
        </w:rPr>
      </w:pPr>
      <w:r>
        <w:rPr>
          <w:rFonts w:hint="eastAsia" w:ascii="仿宋" w:hAnsi="仿宋" w:eastAsia="仿宋" w:cs="仿宋"/>
          <w:b/>
          <w:color w:val="auto"/>
          <w:szCs w:val="24"/>
          <w:highlight w:val="none"/>
        </w:rPr>
        <w:t>采用随机抽取方式邀请供应商的，</w:t>
      </w:r>
      <w:r>
        <w:rPr>
          <w:rFonts w:hint="eastAsia" w:ascii="仿宋" w:hAnsi="仿宋" w:eastAsia="仿宋" w:cs="仿宋"/>
          <w:color w:val="auto"/>
          <w:szCs w:val="24"/>
          <w:highlight w:val="none"/>
        </w:rPr>
        <w:t>由采购人、采购代理机构从省级以上财政</w:t>
      </w:r>
    </w:p>
    <w:p w14:paraId="63DB788B">
      <w:pPr>
        <w:pStyle w:val="140"/>
        <w:spacing w:before="0"/>
        <w:ind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部门建立的供应商库中随机抽取不少于3家符合相应资格条件的供应商参与竞争性磋商采购活动。</w:t>
      </w:r>
    </w:p>
    <w:p w14:paraId="1E6F7513">
      <w:pPr>
        <w:pStyle w:val="140"/>
        <w:spacing w:before="0"/>
        <w:ind w:left="420" w:leftChars="200" w:firstLine="0" w:firstLineChars="0"/>
        <w:rPr>
          <w:rFonts w:ascii="仿宋" w:hAnsi="仿宋" w:eastAsia="仿宋" w:cs="仿宋"/>
          <w:color w:val="auto"/>
          <w:szCs w:val="24"/>
          <w:highlight w:val="none"/>
        </w:rPr>
      </w:pPr>
      <w:r>
        <w:rPr>
          <w:rFonts w:hint="eastAsia" w:ascii="仿宋" w:hAnsi="仿宋" w:eastAsia="仿宋" w:cs="仿宋"/>
          <w:b/>
          <w:color w:val="auto"/>
          <w:szCs w:val="24"/>
          <w:highlight w:val="none"/>
        </w:rPr>
        <w:t>采用书面推荐方式邀请供应商的，</w:t>
      </w:r>
      <w:r>
        <w:rPr>
          <w:rFonts w:hint="eastAsia" w:ascii="仿宋" w:hAnsi="仿宋" w:eastAsia="仿宋" w:cs="仿宋"/>
          <w:color w:val="auto"/>
          <w:szCs w:val="24"/>
          <w:highlight w:val="none"/>
        </w:rPr>
        <w:t>由采购人和评审专家分别书面推荐不少于</w:t>
      </w:r>
    </w:p>
    <w:p w14:paraId="1651D18D">
      <w:pPr>
        <w:pStyle w:val="140"/>
        <w:spacing w:before="0"/>
        <w:ind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C933F7C">
      <w:pPr>
        <w:pStyle w:val="14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6BCDCAA7">
      <w:pPr>
        <w:pStyle w:val="14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3573DC56">
      <w:pPr>
        <w:pStyle w:val="14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72BA9F17">
      <w:pPr>
        <w:pStyle w:val="14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197B8612">
      <w:pPr>
        <w:pStyle w:val="140"/>
        <w:spacing w:before="0"/>
        <w:ind w:firstLine="0" w:firstLineChars="0"/>
        <w:rPr>
          <w:rFonts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14:paraId="014F9A0D">
      <w:pPr>
        <w:pStyle w:val="14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5BC14975">
      <w:pPr>
        <w:pStyle w:val="14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7"/>
          <w:rFonts w:hint="eastAsia" w:ascii="仿宋" w:hAnsi="仿宋" w:eastAsia="仿宋" w:cs="仿宋"/>
          <w:snapToGrid/>
          <w:color w:val="auto"/>
          <w:sz w:val="24"/>
          <w:szCs w:val="24"/>
          <w:highlight w:val="none"/>
        </w:rPr>
        <w:t>www.creditchina.gov.cn</w:t>
      </w:r>
      <w:r>
        <w:rPr>
          <w:rStyle w:val="77"/>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14:paraId="39B6F933">
      <w:pPr>
        <w:pStyle w:val="140"/>
        <w:spacing w:before="0"/>
        <w:ind w:firstLine="0" w:firstLineChars="0"/>
        <w:rPr>
          <w:rFonts w:ascii="仿宋" w:hAnsi="仿宋" w:eastAsia="仿宋" w:cs="仿宋"/>
          <w:b/>
          <w:color w:val="auto"/>
          <w:highlight w:val="none"/>
        </w:rPr>
      </w:pPr>
      <w:r>
        <w:rPr>
          <w:rFonts w:hint="eastAsia" w:ascii="仿宋" w:hAnsi="仿宋" w:eastAsia="仿宋" w:cs="仿宋"/>
          <w:b/>
          <w:color w:val="auto"/>
          <w:highlight w:val="none"/>
        </w:rPr>
        <w:t>3.磋商与评审</w:t>
      </w:r>
    </w:p>
    <w:p w14:paraId="3E408D22">
      <w:pPr>
        <w:pStyle w:val="140"/>
        <w:spacing w:before="0"/>
        <w:ind w:firstLine="0" w:firstLineChars="0"/>
        <w:rPr>
          <w:rFonts w:ascii="仿宋" w:hAnsi="仿宋" w:eastAsia="仿宋" w:cs="仿宋"/>
          <w:bCs/>
          <w:color w:val="auto"/>
          <w:highlight w:val="none"/>
        </w:rPr>
      </w:pPr>
      <w:r>
        <w:rPr>
          <w:rFonts w:hint="eastAsia" w:ascii="仿宋" w:hAnsi="仿宋" w:eastAsia="仿宋" w:cs="仿宋"/>
          <w:bCs/>
          <w:color w:val="auto"/>
          <w:highlight w:val="none"/>
        </w:rPr>
        <w:t xml:space="preserve">  详见第七部分评审办法</w:t>
      </w:r>
    </w:p>
    <w:p w14:paraId="0F97E209">
      <w:pPr>
        <w:pStyle w:val="140"/>
        <w:spacing w:before="0"/>
        <w:ind w:firstLine="0" w:firstLineChars="0"/>
        <w:rPr>
          <w:rFonts w:ascii="仿宋" w:hAnsi="仿宋" w:eastAsia="仿宋" w:cs="仿宋"/>
          <w:b/>
          <w:color w:val="auto"/>
          <w:highlight w:val="none"/>
        </w:rPr>
      </w:pPr>
      <w:r>
        <w:rPr>
          <w:rFonts w:hint="eastAsia" w:ascii="仿宋" w:hAnsi="仿宋" w:eastAsia="仿宋" w:cs="仿宋"/>
          <w:b/>
          <w:color w:val="auto"/>
          <w:highlight w:val="none"/>
        </w:rPr>
        <w:t>4. 成交</w:t>
      </w:r>
    </w:p>
    <w:p w14:paraId="16592740">
      <w:pPr>
        <w:pStyle w:val="14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5个工作日内，从评审报告提出的成交候选供应商中，按照排序由高到低的原则确定成交供应商，采购人也可以书面授权磋商小组直接确定成交供应商。</w:t>
      </w:r>
    </w:p>
    <w:p w14:paraId="2BC4DC48">
      <w:pPr>
        <w:pStyle w:val="14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9B03E3E">
      <w:pPr>
        <w:pStyle w:val="140"/>
        <w:spacing w:before="0"/>
        <w:ind w:firstLine="0" w:firstLineChars="0"/>
        <w:rPr>
          <w:rFonts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14:paraId="48F59FCA">
      <w:pPr>
        <w:pStyle w:val="14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5.1采购人与成交供应商应当在成交通知书发出之日起30日内签订政府采购合同。</w:t>
      </w:r>
    </w:p>
    <w:p w14:paraId="29117C22">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48DC8C00">
      <w:pPr>
        <w:pStyle w:val="14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0997FB8D">
      <w:pPr>
        <w:pStyle w:val="14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112EB007">
      <w:pPr>
        <w:widowControl/>
        <w:adjustRightInd/>
        <w:jc w:val="left"/>
        <w:rPr>
          <w:rFonts w:ascii="仿宋" w:hAnsi="仿宋" w:eastAsia="仿宋" w:cs="仿宋"/>
          <w:b/>
          <w:color w:val="auto"/>
          <w:sz w:val="24"/>
          <w:szCs w:val="20"/>
          <w:highlight w:val="none"/>
        </w:rPr>
      </w:pPr>
      <w:r>
        <w:rPr>
          <w:rFonts w:hint="eastAsia" w:ascii="仿宋" w:hAnsi="仿宋" w:eastAsia="仿宋" w:cs="仿宋"/>
          <w:b/>
          <w:color w:val="auto"/>
          <w:highlight w:val="none"/>
        </w:rPr>
        <w:br w:type="page"/>
      </w:r>
    </w:p>
    <w:p w14:paraId="11E9FFF7">
      <w:pPr>
        <w:pStyle w:val="140"/>
        <w:spacing w:before="0"/>
        <w:ind w:firstLine="0" w:firstLineChars="0"/>
        <w:rPr>
          <w:rFonts w:ascii="仿宋" w:hAnsi="仿宋" w:eastAsia="仿宋" w:cs="仿宋"/>
          <w:b/>
          <w:color w:val="auto"/>
          <w:highlight w:val="none"/>
        </w:rPr>
      </w:pPr>
      <w:r>
        <w:rPr>
          <w:rFonts w:hint="eastAsia" w:ascii="仿宋" w:hAnsi="仿宋" w:eastAsia="仿宋" w:cs="仿宋"/>
          <w:b/>
          <w:color w:val="auto"/>
          <w:highlight w:val="none"/>
        </w:rPr>
        <w:t>6.竞争性磋商流程图</w:t>
      </w:r>
    </w:p>
    <w:p w14:paraId="604C62C1">
      <w:pPr>
        <w:pStyle w:val="140"/>
        <w:spacing w:before="0"/>
        <w:ind w:firstLine="0" w:firstLineChars="0"/>
        <w:rPr>
          <w:rFonts w:ascii="仿宋" w:hAnsi="仿宋" w:eastAsia="仿宋" w:cs="仿宋"/>
          <w:b/>
          <w:color w:val="auto"/>
          <w:highlight w:val="none"/>
        </w:rPr>
      </w:pPr>
    </w:p>
    <w:p w14:paraId="187C5E10">
      <w:pPr>
        <w:widowControl/>
        <w:adjustRightInd/>
        <w:jc w:val="center"/>
        <w:rPr>
          <w:rFonts w:ascii="仿宋" w:hAnsi="仿宋" w:eastAsia="仿宋" w:cs="仿宋"/>
          <w:color w:val="auto"/>
          <w:highlight w:val="none"/>
        </w:rPr>
      </w:pPr>
      <w:r>
        <w:rPr>
          <w:rFonts w:hint="eastAsia" w:ascii="仿宋" w:hAnsi="仿宋" w:eastAsia="仿宋" w:cs="仿宋"/>
          <w:color w:val="auto"/>
          <w:highlight w:val="none"/>
        </w:rPr>
        <w:drawing>
          <wp:inline distT="0" distB="0" distL="114300" distR="114300">
            <wp:extent cx="2370455" cy="7311390"/>
            <wp:effectExtent l="0" t="0" r="1079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370455" cy="7311390"/>
                    </a:xfrm>
                    <a:prstGeom prst="rect">
                      <a:avLst/>
                    </a:prstGeom>
                    <a:noFill/>
                    <a:ln>
                      <a:noFill/>
                    </a:ln>
                  </pic:spPr>
                </pic:pic>
              </a:graphicData>
            </a:graphic>
          </wp:inline>
        </w:drawing>
      </w:r>
    </w:p>
    <w:p w14:paraId="76FFF7C2">
      <w:pPr>
        <w:rPr>
          <w:rFonts w:ascii="仿宋" w:hAnsi="仿宋" w:eastAsia="仿宋" w:cs="仿宋"/>
          <w:color w:val="auto"/>
          <w:highlight w:val="none"/>
        </w:rPr>
      </w:pPr>
    </w:p>
    <w:p w14:paraId="4566C0CC">
      <w:pPr>
        <w:rPr>
          <w:rFonts w:ascii="仿宋" w:hAnsi="仿宋" w:eastAsia="仿宋" w:cs="仿宋"/>
          <w:color w:val="auto"/>
          <w:highlight w:val="none"/>
        </w:rPr>
      </w:pPr>
    </w:p>
    <w:p w14:paraId="75B8B20D">
      <w:pPr>
        <w:rPr>
          <w:rFonts w:ascii="仿宋" w:hAnsi="仿宋" w:eastAsia="仿宋" w:cs="仿宋"/>
          <w:color w:val="auto"/>
          <w:highlight w:val="none"/>
        </w:rPr>
      </w:pPr>
    </w:p>
    <w:p w14:paraId="576F5C0F">
      <w:pPr>
        <w:rPr>
          <w:rFonts w:ascii="仿宋" w:hAnsi="仿宋" w:eastAsia="仿宋" w:cs="仿宋"/>
          <w:color w:val="auto"/>
          <w:highlight w:val="none"/>
        </w:rPr>
      </w:pPr>
    </w:p>
    <w:p w14:paraId="44F4284E">
      <w:pPr>
        <w:rPr>
          <w:rFonts w:ascii="仿宋" w:hAnsi="仿宋" w:eastAsia="仿宋" w:cs="仿宋"/>
          <w:color w:val="auto"/>
          <w:highlight w:val="none"/>
        </w:rPr>
      </w:pPr>
    </w:p>
    <w:p w14:paraId="5E627EB6">
      <w:pPr>
        <w:pStyle w:val="4"/>
        <w:spacing w:before="0" w:after="0" w:line="480" w:lineRule="auto"/>
        <w:ind w:left="431" w:hanging="431"/>
        <w:jc w:val="center"/>
        <w:rPr>
          <w:rFonts w:ascii="仿宋" w:hAnsi="仿宋" w:eastAsia="仿宋" w:cs="仿宋"/>
          <w:color w:val="auto"/>
          <w:sz w:val="36"/>
          <w:szCs w:val="36"/>
          <w:highlight w:val="none"/>
        </w:rPr>
      </w:pPr>
      <w:bookmarkStart w:id="69" w:name="_Toc139797592"/>
      <w:bookmarkStart w:id="70" w:name="_Toc28730"/>
      <w:bookmarkStart w:id="71" w:name="_Toc3747"/>
      <w:r>
        <w:rPr>
          <w:rFonts w:hint="eastAsia" w:ascii="仿宋" w:hAnsi="仿宋" w:eastAsia="仿宋" w:cs="仿宋"/>
          <w:color w:val="auto"/>
          <w:sz w:val="36"/>
          <w:szCs w:val="36"/>
          <w:highlight w:val="none"/>
        </w:rPr>
        <w:t>第四部分</w:t>
      </w:r>
      <w:bookmarkEnd w:id="19"/>
      <w:r>
        <w:rPr>
          <w:rFonts w:hint="eastAsia" w:ascii="仿宋" w:hAnsi="仿宋" w:eastAsia="仿宋" w:cs="仿宋"/>
          <w:color w:val="auto"/>
          <w:sz w:val="36"/>
          <w:szCs w:val="36"/>
          <w:highlight w:val="none"/>
        </w:rPr>
        <w:t xml:space="preserve"> 供应商须知</w:t>
      </w:r>
      <w:bookmarkEnd w:id="20"/>
      <w:bookmarkEnd w:id="69"/>
      <w:bookmarkEnd w:id="70"/>
      <w:bookmarkEnd w:id="71"/>
    </w:p>
    <w:p w14:paraId="435155E8">
      <w:pPr>
        <w:pStyle w:val="60"/>
        <w:widowControl w:val="0"/>
        <w:overflowPunct/>
        <w:autoSpaceDE/>
        <w:autoSpaceDN/>
        <w:adjustRightInd/>
        <w:spacing w:before="240" w:after="240"/>
        <w:jc w:val="left"/>
        <w:textAlignment w:val="auto"/>
        <w:outlineLvl w:val="1"/>
        <w:rPr>
          <w:rFonts w:ascii="仿宋" w:hAnsi="仿宋" w:eastAsia="仿宋" w:cs="仿宋"/>
          <w:bCs/>
          <w:color w:val="auto"/>
          <w:kern w:val="2"/>
          <w:sz w:val="30"/>
          <w:szCs w:val="30"/>
          <w:highlight w:val="none"/>
          <w:lang w:val="en-US"/>
        </w:rPr>
      </w:pPr>
      <w:bookmarkStart w:id="72" w:name="_Toc139797593"/>
      <w:bookmarkStart w:id="73" w:name="_Toc3575"/>
      <w:bookmarkStart w:id="74" w:name="_Toc11526"/>
      <w:r>
        <w:rPr>
          <w:rFonts w:hint="eastAsia" w:ascii="仿宋" w:hAnsi="仿宋" w:eastAsia="仿宋" w:cs="仿宋"/>
          <w:bCs/>
          <w:color w:val="auto"/>
          <w:kern w:val="2"/>
          <w:sz w:val="30"/>
          <w:szCs w:val="30"/>
          <w:highlight w:val="none"/>
          <w:lang w:val="en-US"/>
        </w:rPr>
        <w:t>供应商须知前附表（一）</w:t>
      </w:r>
      <w:bookmarkEnd w:id="72"/>
      <w:bookmarkEnd w:id="73"/>
      <w:bookmarkEnd w:id="74"/>
    </w:p>
    <w:tbl>
      <w:tblPr>
        <w:tblStyle w:val="63"/>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21"/>
        <w:gridCol w:w="7199"/>
      </w:tblGrid>
      <w:tr w14:paraId="070E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tcPr>
          <w:p w14:paraId="61206373">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21" w:type="dxa"/>
            <w:vAlign w:val="center"/>
          </w:tcPr>
          <w:p w14:paraId="3D4D2F2F">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199" w:type="dxa"/>
            <w:vAlign w:val="center"/>
          </w:tcPr>
          <w:p w14:paraId="7A7E75C6">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689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714" w:type="dxa"/>
            <w:vAlign w:val="center"/>
          </w:tcPr>
          <w:p w14:paraId="3F02B744">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21" w:type="dxa"/>
            <w:vAlign w:val="center"/>
          </w:tcPr>
          <w:p w14:paraId="68E7AF4F">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7199" w:type="dxa"/>
            <w:vAlign w:val="center"/>
          </w:tcPr>
          <w:p w14:paraId="4655333A">
            <w:pPr>
              <w:rPr>
                <w:rFonts w:ascii="仿宋" w:hAnsi="仿宋" w:eastAsia="仿宋" w:cs="仿宋"/>
                <w:color w:val="auto"/>
                <w:sz w:val="24"/>
                <w:highlight w:val="none"/>
              </w:rPr>
            </w:pPr>
            <w:r>
              <w:rPr>
                <w:rFonts w:hint="eastAsia" w:ascii="仿宋" w:hAnsi="仿宋" w:eastAsia="仿宋" w:cs="仿宋"/>
                <w:color w:val="auto"/>
                <w:kern w:val="0"/>
                <w:sz w:val="24"/>
                <w:highlight w:val="none"/>
              </w:rPr>
              <w:t>服务</w:t>
            </w:r>
            <w:r>
              <w:rPr>
                <w:rFonts w:hint="eastAsia" w:ascii="仿宋" w:hAnsi="仿宋" w:eastAsia="仿宋" w:cs="仿宋"/>
                <w:color w:val="auto"/>
                <w:sz w:val="24"/>
                <w:highlight w:val="none"/>
              </w:rPr>
              <w:t>类</w:t>
            </w:r>
          </w:p>
        </w:tc>
      </w:tr>
      <w:tr w14:paraId="6E48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6BB979CA">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21" w:type="dxa"/>
            <w:vAlign w:val="center"/>
          </w:tcPr>
          <w:p w14:paraId="4E7E3A50">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采购标的及其对应的中小企业划分标准所属行业及价格扣除</w:t>
            </w:r>
          </w:p>
        </w:tc>
        <w:tc>
          <w:tcPr>
            <w:tcW w:w="7199" w:type="dxa"/>
            <w:vAlign w:val="center"/>
          </w:tcPr>
          <w:p w14:paraId="6EFA8676">
            <w:pPr>
              <w:numPr>
                <w:ilvl w:val="0"/>
                <w:numId w:val="3"/>
              </w:num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b/>
                <w:bCs/>
                <w:color w:val="auto"/>
                <w:sz w:val="24"/>
                <w:highlight w:val="none"/>
                <w:u w:val="single"/>
                <w:lang w:eastAsia="zh-CN"/>
              </w:rPr>
              <w:t>2024年度大数据发展中心数据仓运维服务</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rPr>
              <w:t>政府采购服务</w:t>
            </w:r>
            <w:r>
              <w:rPr>
                <w:rFonts w:hint="eastAsia" w:ascii="仿宋" w:hAnsi="仿宋" w:eastAsia="仿宋" w:cs="仿宋"/>
                <w:color w:val="auto"/>
                <w:sz w:val="24"/>
                <w:highlight w:val="none"/>
              </w:rPr>
              <w:t>，所属行业：</w:t>
            </w:r>
            <w:r>
              <w:rPr>
                <w:rFonts w:hint="eastAsia" w:ascii="仿宋" w:hAnsi="仿宋" w:eastAsia="仿宋" w:cs="仿宋"/>
                <w:b/>
                <w:bCs/>
                <w:color w:val="auto"/>
                <w:sz w:val="24"/>
                <w:highlight w:val="none"/>
                <w:u w:val="single"/>
              </w:rPr>
              <w:t>软件和信息技术服务业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32209DE">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（2）对小型和微型企业给</w:t>
            </w:r>
            <w:r>
              <w:rPr>
                <w:rFonts w:hint="eastAsia" w:ascii="仿宋" w:hAnsi="仿宋" w:eastAsia="仿宋" w:cs="仿宋"/>
                <w:b/>
                <w:bCs/>
                <w:color w:val="auto"/>
                <w:sz w:val="24"/>
                <w:highlight w:val="none"/>
                <w:u w:val="single"/>
              </w:rPr>
              <w:t xml:space="preserve"> </w:t>
            </w:r>
            <w:r>
              <w:rPr>
                <w:rFonts w:hint="eastAsia" w:ascii="仿宋" w:hAnsi="仿宋" w:eastAsia="仿宋" w:cs="仿宋"/>
                <w:b/>
                <w:bCs/>
                <w:snapToGrid w:val="0"/>
                <w:color w:val="auto"/>
                <w:sz w:val="24"/>
                <w:highlight w:val="none"/>
                <w:u w:val="single"/>
              </w:rPr>
              <w:t xml:space="preserve">10% </w:t>
            </w:r>
            <w:r>
              <w:rPr>
                <w:rFonts w:hint="eastAsia" w:ascii="仿宋" w:hAnsi="仿宋" w:eastAsia="仿宋" w:cs="仿宋"/>
                <w:snapToGrid w:val="0"/>
                <w:color w:val="auto"/>
                <w:sz w:val="24"/>
                <w:highlight w:val="none"/>
                <w:lang w:val="zh-CN"/>
              </w:rPr>
              <w:t>的</w:t>
            </w:r>
            <w:r>
              <w:rPr>
                <w:rFonts w:hint="eastAsia" w:ascii="仿宋" w:hAnsi="仿宋" w:eastAsia="仿宋" w:cs="仿宋"/>
                <w:color w:val="auto"/>
                <w:sz w:val="24"/>
                <w:highlight w:val="none"/>
              </w:rPr>
              <w:t>价格扣除；</w:t>
            </w:r>
          </w:p>
          <w:p w14:paraId="7DB1040D">
            <w:pPr>
              <w:spacing w:line="288" w:lineRule="auto"/>
              <w:rPr>
                <w:color w:val="auto"/>
                <w:highlight w:val="none"/>
              </w:rPr>
            </w:pPr>
            <w:r>
              <w:rPr>
                <w:rFonts w:hint="eastAsia" w:ascii="仿宋" w:hAnsi="仿宋" w:eastAsia="仿宋" w:cs="仿宋"/>
                <w:color w:val="auto"/>
                <w:sz w:val="24"/>
                <w:highlight w:val="none"/>
              </w:rPr>
              <w:t>（3）联合协议或者分包意向协议约定小微企业的合同份额占到合同总金额30%，给予4%的价格扣除；</w:t>
            </w:r>
          </w:p>
        </w:tc>
      </w:tr>
      <w:tr w14:paraId="4051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2" w:hRule="atLeast"/>
          <w:jc w:val="center"/>
        </w:trPr>
        <w:tc>
          <w:tcPr>
            <w:tcW w:w="714" w:type="dxa"/>
            <w:vAlign w:val="center"/>
          </w:tcPr>
          <w:p w14:paraId="366047C1">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21" w:type="dxa"/>
            <w:vAlign w:val="center"/>
          </w:tcPr>
          <w:p w14:paraId="1987C2B5">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199" w:type="dxa"/>
            <w:vAlign w:val="center"/>
          </w:tcPr>
          <w:p w14:paraId="2458BA2F">
            <w:pPr>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本项目不允许采购进口产品。</w:t>
            </w:r>
          </w:p>
          <w:p w14:paraId="420CCF21">
            <w:pPr>
              <w:rPr>
                <w:rFonts w:ascii="仿宋" w:hAnsi="仿宋" w:eastAsia="仿宋" w:cs="仿宋"/>
                <w:color w:val="auto"/>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19E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5D207A89">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21" w:type="dxa"/>
            <w:vAlign w:val="center"/>
          </w:tcPr>
          <w:p w14:paraId="390FB388">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199" w:type="dxa"/>
            <w:vAlign w:val="center"/>
          </w:tcPr>
          <w:p w14:paraId="55975E9E">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72D97501">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不同意分包，具体理由：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AED278">
            <w:pPr>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7E53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653EAC1A">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21" w:type="dxa"/>
            <w:vAlign w:val="center"/>
          </w:tcPr>
          <w:p w14:paraId="275B612E">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联合体</w:t>
            </w:r>
          </w:p>
        </w:tc>
        <w:tc>
          <w:tcPr>
            <w:tcW w:w="7199" w:type="dxa"/>
            <w:vAlign w:val="center"/>
          </w:tcPr>
          <w:p w14:paraId="26735999">
            <w:pP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不接受；</w:t>
            </w:r>
          </w:p>
          <w:p w14:paraId="7D1499D2">
            <w:pP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接受。</w:t>
            </w:r>
          </w:p>
        </w:tc>
      </w:tr>
      <w:tr w14:paraId="15B3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05BC2EA7">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21" w:type="dxa"/>
            <w:vAlign w:val="center"/>
          </w:tcPr>
          <w:p w14:paraId="7563DCED">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7199" w:type="dxa"/>
            <w:vAlign w:val="center"/>
          </w:tcPr>
          <w:p w14:paraId="45C9C7A4">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A01EAC9">
            <w:pPr>
              <w:rPr>
                <w:rFonts w:ascii="仿宋" w:hAnsi="仿宋" w:eastAsia="仿宋" w:cs="仿宋"/>
                <w:color w:val="auto"/>
                <w:sz w:val="24"/>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4836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7E276967">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21" w:type="dxa"/>
            <w:vAlign w:val="center"/>
          </w:tcPr>
          <w:p w14:paraId="33828CA5">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199" w:type="dxa"/>
            <w:vAlign w:val="center"/>
          </w:tcPr>
          <w:p w14:paraId="735B61E7">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1B9AB4E">
            <w:pPr>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B要求提供，</w:t>
            </w:r>
          </w:p>
          <w:p w14:paraId="250E0397">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b/>
                <w:bCs/>
                <w:color w:val="auto"/>
                <w:sz w:val="24"/>
                <w:highlight w:val="none"/>
                <w:u w:val="single"/>
              </w:rPr>
              <w:t xml:space="preserve">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F9F995B">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C90CE11">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b/>
                <w:bCs/>
                <w:color w:val="auto"/>
                <w:sz w:val="24"/>
                <w:highlight w:val="none"/>
                <w:u w:val="single"/>
              </w:rPr>
              <w:t>/</w:t>
            </w:r>
            <w:r>
              <w:rPr>
                <w:rFonts w:hint="eastAsia" w:ascii="仿宋" w:hAnsi="仿宋" w:eastAsia="仿宋" w:cs="仿宋"/>
                <w:color w:val="auto"/>
                <w:kern w:val="0"/>
                <w:sz w:val="24"/>
                <w:highlight w:val="none"/>
              </w:rPr>
              <w:t>；</w:t>
            </w:r>
          </w:p>
          <w:p w14:paraId="22416DCA">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725DEAD">
            <w:pPr>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b/>
                <w:bCs/>
                <w:color w:val="auto"/>
                <w:sz w:val="24"/>
                <w:highlight w:val="none"/>
              </w:rPr>
              <w:t>2024年</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日</w:t>
            </w:r>
            <w:r>
              <w:rPr>
                <w:rFonts w:hint="eastAsia" w:ascii="仿宋" w:hAnsi="仿宋" w:eastAsia="仿宋" w:cs="仿宋"/>
                <w:b/>
                <w:bCs/>
                <w:color w:val="auto"/>
                <w:sz w:val="24"/>
                <w:highlight w:val="none"/>
                <w:u w:val="single"/>
              </w:rPr>
              <w:t xml:space="preserve">09：00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1B7EE29F">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供应商提供的样品，采购人、采购代理机构将通知未成交供应商在规定的时间内取回，逾期未取回的，采购人、采购代理机构不负责保管义务；对于成交供应商提供的样品，采购人将进行保管、封存，并作为履约验收的参考。</w:t>
            </w:r>
          </w:p>
          <w:p w14:paraId="05D5B3EF">
            <w:pPr>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7013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777AB30F">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21" w:type="dxa"/>
            <w:vAlign w:val="center"/>
          </w:tcPr>
          <w:p w14:paraId="5A2C2443">
            <w:pPr>
              <w:snapToGrid w:val="0"/>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199" w:type="dxa"/>
            <w:vAlign w:val="center"/>
          </w:tcPr>
          <w:p w14:paraId="1EA3A9CC">
            <w:pPr>
              <w:pStyle w:val="714"/>
              <w:spacing w:line="288"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 A不组织。</w:t>
            </w:r>
          </w:p>
          <w:p w14:paraId="76D73B90">
            <w:pPr>
              <w:pStyle w:val="714"/>
              <w:spacing w:line="288"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 B组织。</w:t>
            </w:r>
          </w:p>
          <w:p w14:paraId="51B7DEE7">
            <w:pPr>
              <w:pStyle w:val="714"/>
              <w:spacing w:line="288"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（1）在评审时安排每个供应商进行方案讲解演示。每个供应商演示时间不超过</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u w:val="single"/>
                <w:lang w:val="en-US" w:eastAsia="zh-CN"/>
              </w:rPr>
              <w:t>10</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rPr>
              <w:t>分钟，讲解次序以响应文件解密时间先后次序为准。</w:t>
            </w:r>
          </w:p>
          <w:p w14:paraId="351D6920">
            <w:pPr>
              <w:pStyle w:val="714"/>
              <w:spacing w:line="288"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（2）演示方式：本项目方案讲解演示选择</w:t>
            </w:r>
            <w:r>
              <w:rPr>
                <w:rFonts w:hint="eastAsia" w:ascii="仿宋" w:hAnsi="仿宋" w:eastAsia="仿宋" w:cs="仿宋"/>
                <w:b/>
                <w:bCs/>
                <w:color w:val="auto"/>
                <w:highlight w:val="none"/>
                <w:u w:val="single"/>
              </w:rPr>
              <w:t>（方式三）</w:t>
            </w:r>
            <w:r>
              <w:rPr>
                <w:rFonts w:hint="eastAsia" w:ascii="仿宋" w:hAnsi="仿宋" w:eastAsia="仿宋" w:cs="仿宋"/>
                <w:color w:val="auto"/>
                <w:highlight w:val="none"/>
              </w:rPr>
              <w:t>演示：</w:t>
            </w:r>
          </w:p>
          <w:p w14:paraId="7D5F1F46">
            <w:pPr>
              <w:pStyle w:val="714"/>
              <w:spacing w:line="288" w:lineRule="auto"/>
              <w:ind w:firstLine="0" w:firstLineChars="0"/>
              <w:rPr>
                <w:rFonts w:ascii="仿宋" w:hAnsi="仿宋" w:eastAsia="仿宋" w:cs="仿宋"/>
                <w:color w:val="auto"/>
                <w:highlight w:val="none"/>
              </w:rPr>
            </w:pPr>
            <w:r>
              <w:rPr>
                <w:rFonts w:hint="eastAsia" w:ascii="仿宋" w:hAnsi="仿宋" w:eastAsia="仿宋" w:cs="仿宋"/>
                <w:b/>
                <w:bCs/>
                <w:color w:val="auto"/>
                <w:highlight w:val="none"/>
              </w:rPr>
              <w:t>方式一：政采云平台在线讲解演示。</w:t>
            </w:r>
            <w:r>
              <w:rPr>
                <w:rFonts w:hint="eastAsia" w:ascii="仿宋" w:hAnsi="仿宋" w:eastAsia="仿宋" w:cs="仿宋"/>
                <w:color w:val="auto"/>
                <w:highlight w:val="none"/>
              </w:rPr>
              <w:t>政采云平台在线讲解需供应商根据政采云平台操作要求做好准备工作，提前完善软硬件配置环境。</w:t>
            </w:r>
          </w:p>
          <w:p w14:paraId="0205DE71">
            <w:pPr>
              <w:pStyle w:val="714"/>
              <w:spacing w:line="288" w:lineRule="auto"/>
              <w:ind w:firstLine="0" w:firstLineChars="0"/>
              <w:rPr>
                <w:rFonts w:ascii="仿宋" w:hAnsi="仿宋" w:eastAsia="仿宋" w:cs="仿宋"/>
                <w:color w:val="auto"/>
                <w:highlight w:val="none"/>
              </w:rPr>
            </w:pPr>
            <w:r>
              <w:rPr>
                <w:rFonts w:hint="eastAsia" w:ascii="仿宋" w:hAnsi="仿宋" w:eastAsia="仿宋" w:cs="仿宋"/>
                <w:b/>
                <w:bCs/>
                <w:color w:val="auto"/>
                <w:highlight w:val="none"/>
              </w:rPr>
              <w:t>方式二：现场讲解演示。</w:t>
            </w:r>
            <w:r>
              <w:rPr>
                <w:rFonts w:hint="eastAsia" w:ascii="仿宋" w:hAnsi="仿宋" w:eastAsia="仿宋" w:cs="仿宋"/>
                <w:color w:val="auto"/>
                <w:highlight w:val="none"/>
              </w:rPr>
              <w:t>现场讲解地点为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讲解演示所用电脑等设备由供应商自备。现场讲解演示人员进场时提供讲解人员名单（加盖公章或授权代表签名）及身份证明，讲解演示人员不超过3（可根据项目情况进行调整）人，否则不得讲解演示。讲解演示结束后可能会要求解答磋商小组提问。</w:t>
            </w:r>
          </w:p>
          <w:p w14:paraId="6ADCFEB6">
            <w:pPr>
              <w:pStyle w:val="714"/>
              <w:spacing w:line="288" w:lineRule="auto"/>
              <w:ind w:firstLine="0" w:firstLineChars="0"/>
              <w:rPr>
                <w:rFonts w:ascii="仿宋" w:hAnsi="仿宋" w:eastAsia="仿宋" w:cs="仿宋"/>
                <w:color w:val="auto"/>
                <w:highlight w:val="none"/>
              </w:rPr>
            </w:pPr>
            <w:r>
              <w:rPr>
                <w:rFonts w:hint="eastAsia" w:ascii="仿宋" w:hAnsi="仿宋" w:eastAsia="仿宋" w:cs="仿宋"/>
                <w:b/>
                <w:bCs/>
                <w:color w:val="auto"/>
                <w:highlight w:val="none"/>
              </w:rPr>
              <w:t>方式三：视频演示。</w:t>
            </w:r>
            <w:r>
              <w:rPr>
                <w:rFonts w:hint="eastAsia" w:ascii="仿宋" w:hAnsi="仿宋" w:eastAsia="仿宋" w:cs="仿宋"/>
                <w:color w:val="auto"/>
                <w:highlight w:val="none"/>
              </w:rPr>
              <w:t>供应商应将演示内容提前拍摄成视频并压缩加密（密码由供应商自行保管），视频播放时间控制在</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lang w:val="en-US" w:eastAsia="zh-CN"/>
              </w:rPr>
              <w:t>1</w:t>
            </w:r>
            <w:r>
              <w:rPr>
                <w:rFonts w:hint="eastAsia" w:ascii="仿宋" w:hAnsi="仿宋" w:eastAsia="仿宋" w:cs="仿宋"/>
                <w:b/>
                <w:bCs/>
                <w:color w:val="auto"/>
                <w:highlight w:val="none"/>
                <w:u w:val="single"/>
              </w:rPr>
              <w:t xml:space="preserve">0 </w:t>
            </w:r>
            <w:r>
              <w:rPr>
                <w:rFonts w:hint="eastAsia" w:ascii="仿宋" w:hAnsi="仿宋" w:eastAsia="仿宋" w:cs="仿宋"/>
                <w:color w:val="auto"/>
                <w:highlight w:val="none"/>
              </w:rPr>
              <w:t>分钟以内，并在开标时间截止前将加密视频文件一次性（限时内多次发送的，以最后一次为准，其余无效）发送至代理机指定邮箱（596722349@qq.com)，讲解开始后，代理机构按照讲解顺序分别向各供应商获取视频密码，未在规定时间内发送讲解视频或视频无法打开以及演示时长超过规定时间的，此项不得分。</w:t>
            </w:r>
          </w:p>
          <w:p w14:paraId="5873D2DA">
            <w:pPr>
              <w:pStyle w:val="714"/>
              <w:spacing w:line="288" w:lineRule="auto"/>
              <w:ind w:firstLine="0" w:firstLineChars="0"/>
              <w:rPr>
                <w:b/>
                <w:color w:val="auto"/>
                <w:highlight w:val="none"/>
                <w:lang w:val="zh-CN"/>
              </w:rPr>
            </w:pPr>
            <w:r>
              <w:rPr>
                <w:rFonts w:hint="eastAsia" w:ascii="仿宋" w:hAnsi="仿宋" w:eastAsia="仿宋" w:cs="仿宋"/>
                <w:b/>
                <w:bCs/>
                <w:color w:val="auto"/>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B3B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3" w:hRule="atLeast"/>
          <w:jc w:val="center"/>
        </w:trPr>
        <w:tc>
          <w:tcPr>
            <w:tcW w:w="714" w:type="dxa"/>
            <w:vMerge w:val="restart"/>
            <w:vAlign w:val="center"/>
          </w:tcPr>
          <w:p w14:paraId="5DF60046">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21" w:type="dxa"/>
            <w:vMerge w:val="restart"/>
            <w:vAlign w:val="center"/>
          </w:tcPr>
          <w:p w14:paraId="30339F4B">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7199" w:type="dxa"/>
            <w:vAlign w:val="center"/>
          </w:tcPr>
          <w:p w14:paraId="00728029">
            <w:pPr>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（一）资格审查文件</w:t>
            </w:r>
          </w:p>
          <w:p w14:paraId="6D7365AF">
            <w:pPr>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▲1. 有效的营业执照电子文档；</w:t>
            </w:r>
          </w:p>
          <w:p w14:paraId="7D7A10D3">
            <w:pPr>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 负责人身份证电子文档。</w:t>
            </w:r>
          </w:p>
          <w:p w14:paraId="76FC6B40">
            <w:pPr>
              <w:jc w:val="left"/>
              <w:rPr>
                <w:rFonts w:ascii="仿宋" w:hAnsi="仿宋" w:eastAsia="仿宋" w:cs="仿宋"/>
                <w:color w:val="auto"/>
                <w:sz w:val="24"/>
                <w:highlight w:val="none"/>
              </w:rPr>
            </w:pPr>
            <w:r>
              <w:rPr>
                <w:rFonts w:hint="eastAsia" w:ascii="仿宋" w:hAnsi="仿宋" w:eastAsia="仿宋" w:cs="仿宋"/>
                <w:color w:val="auto"/>
                <w:sz w:val="24"/>
                <w:highlight w:val="none"/>
              </w:rPr>
              <w:t>▲3. 若有委托代理人的，则还应当提供授权委托书及委托代理人的身份证电子文档；</w:t>
            </w:r>
          </w:p>
          <w:p w14:paraId="710050D8">
            <w:pPr>
              <w:jc w:val="left"/>
              <w:rPr>
                <w:rFonts w:ascii="仿宋" w:hAnsi="仿宋" w:eastAsia="仿宋" w:cs="仿宋"/>
                <w:color w:val="auto"/>
                <w:sz w:val="24"/>
                <w:highlight w:val="none"/>
              </w:rPr>
            </w:pPr>
            <w:r>
              <w:rPr>
                <w:rFonts w:hint="eastAsia" w:ascii="仿宋" w:hAnsi="仿宋" w:eastAsia="仿宋" w:cs="仿宋"/>
                <w:color w:val="auto"/>
                <w:sz w:val="24"/>
                <w:highlight w:val="none"/>
              </w:rPr>
              <w:t>▲4. 具有良好的财务会计制度、依法缴纳税收和社会保障资金的承诺函；</w:t>
            </w:r>
          </w:p>
          <w:p w14:paraId="25316CCD">
            <w:pPr>
              <w:jc w:val="left"/>
              <w:rPr>
                <w:rFonts w:ascii="仿宋" w:hAnsi="仿宋" w:eastAsia="仿宋" w:cs="仿宋"/>
                <w:color w:val="auto"/>
                <w:sz w:val="24"/>
                <w:highlight w:val="none"/>
              </w:rPr>
            </w:pPr>
            <w:r>
              <w:rPr>
                <w:rFonts w:hint="eastAsia" w:ascii="仿宋" w:hAnsi="仿宋" w:eastAsia="仿宋" w:cs="仿宋"/>
                <w:color w:val="auto"/>
                <w:sz w:val="24"/>
                <w:highlight w:val="none"/>
              </w:rPr>
              <w:t>▲5. 具有履行合同所必需设备和专业技术能力的承诺函；</w:t>
            </w:r>
          </w:p>
          <w:p w14:paraId="1CBF2261">
            <w:pPr>
              <w:jc w:val="left"/>
              <w:rPr>
                <w:rFonts w:ascii="仿宋" w:hAnsi="仿宋" w:eastAsia="仿宋" w:cs="仿宋"/>
                <w:color w:val="auto"/>
                <w:sz w:val="24"/>
                <w:highlight w:val="none"/>
              </w:rPr>
            </w:pPr>
            <w:r>
              <w:rPr>
                <w:rFonts w:hint="eastAsia" w:ascii="仿宋" w:hAnsi="仿宋" w:eastAsia="仿宋" w:cs="仿宋"/>
                <w:color w:val="auto"/>
                <w:sz w:val="24"/>
                <w:highlight w:val="none"/>
              </w:rPr>
              <w:t>▲6. 无重大违法记录声明书；</w:t>
            </w:r>
          </w:p>
          <w:p w14:paraId="552006F8">
            <w:pPr>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▲7. 联合体协议书（若有）；</w:t>
            </w:r>
          </w:p>
          <w:p w14:paraId="21F7AA0B">
            <w:pPr>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▲8. 分包意向协议书（若有）；</w:t>
            </w:r>
          </w:p>
          <w:p w14:paraId="13726FFD">
            <w:pPr>
              <w:jc w:val="left"/>
              <w:rPr>
                <w:rFonts w:ascii="仿宋" w:hAnsi="仿宋" w:eastAsia="仿宋" w:cs="仿宋"/>
                <w:color w:val="auto"/>
                <w:highlight w:val="none"/>
              </w:rPr>
            </w:pPr>
            <w:r>
              <w:rPr>
                <w:rFonts w:hint="eastAsia" w:ascii="仿宋" w:hAnsi="仿宋" w:eastAsia="仿宋" w:cs="仿宋"/>
                <w:bCs/>
                <w:color w:val="auto"/>
                <w:sz w:val="24"/>
                <w:highlight w:val="none"/>
              </w:rPr>
              <w:t>▲9. 特定资格条件证明材料电子文档（若有）；</w:t>
            </w:r>
          </w:p>
          <w:p w14:paraId="242C8999">
            <w:pPr>
              <w:jc w:val="left"/>
              <w:rPr>
                <w:rFonts w:ascii="仿宋" w:hAnsi="仿宋" w:eastAsia="仿宋" w:cs="仿宋"/>
                <w:color w:val="auto"/>
                <w:sz w:val="24"/>
                <w:highlight w:val="none"/>
              </w:rPr>
            </w:pPr>
            <w:r>
              <w:rPr>
                <w:rFonts w:hint="eastAsia" w:ascii="仿宋" w:hAnsi="仿宋" w:eastAsia="仿宋" w:cs="仿宋"/>
                <w:bCs/>
                <w:color w:val="auto"/>
                <w:sz w:val="24"/>
                <w:highlight w:val="none"/>
              </w:rPr>
              <w:t>▲10. 中小企业声明函或监狱企业声明函或残疾人福利性企业声明函（若有）（专门面向中小企业项目时适用）；</w:t>
            </w:r>
          </w:p>
          <w:p w14:paraId="0E1ECA02">
            <w:pPr>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 xml:space="preserve">11. </w:t>
            </w:r>
            <w:r>
              <w:rPr>
                <w:rFonts w:hint="eastAsia" w:ascii="仿宋" w:hAnsi="仿宋" w:eastAsia="仿宋" w:cs="仿宋"/>
                <w:color w:val="auto"/>
                <w:sz w:val="24"/>
                <w:highlight w:val="none"/>
              </w:rPr>
              <w:t>其他。</w:t>
            </w:r>
          </w:p>
          <w:p w14:paraId="77DB0CF3">
            <w:pPr>
              <w:rPr>
                <w:rFonts w:ascii="仿宋" w:hAnsi="仿宋" w:eastAsia="仿宋" w:cs="仿宋"/>
                <w:snapToGrid w:val="0"/>
                <w:color w:val="auto"/>
                <w:kern w:val="0"/>
                <w:szCs w:val="21"/>
                <w:highlight w:val="none"/>
              </w:rPr>
            </w:pPr>
            <w:r>
              <w:rPr>
                <w:rFonts w:hint="eastAsia" w:ascii="仿宋" w:hAnsi="仿宋" w:eastAsia="仿宋" w:cs="仿宋"/>
                <w:color w:val="auto"/>
                <w:sz w:val="24"/>
                <w:highlight w:val="none"/>
              </w:rPr>
              <w:t>注：编制格式要求见第六部分响应文件格式，无格式的自行设计。</w:t>
            </w: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66C2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6" w:hRule="atLeast"/>
          <w:jc w:val="center"/>
        </w:trPr>
        <w:tc>
          <w:tcPr>
            <w:tcW w:w="714" w:type="dxa"/>
            <w:vMerge w:val="continue"/>
            <w:vAlign w:val="center"/>
          </w:tcPr>
          <w:p w14:paraId="7656193E">
            <w:pPr>
              <w:snapToGrid w:val="0"/>
              <w:jc w:val="center"/>
              <w:rPr>
                <w:rFonts w:ascii="仿宋" w:hAnsi="仿宋" w:eastAsia="仿宋" w:cs="仿宋"/>
                <w:color w:val="auto"/>
                <w:sz w:val="24"/>
                <w:highlight w:val="none"/>
              </w:rPr>
            </w:pPr>
          </w:p>
        </w:tc>
        <w:tc>
          <w:tcPr>
            <w:tcW w:w="1821" w:type="dxa"/>
            <w:vMerge w:val="continue"/>
            <w:vAlign w:val="center"/>
          </w:tcPr>
          <w:p w14:paraId="59060AD2">
            <w:pPr>
              <w:snapToGrid w:val="0"/>
              <w:jc w:val="center"/>
              <w:rPr>
                <w:rFonts w:ascii="仿宋" w:hAnsi="仿宋" w:eastAsia="仿宋" w:cs="仿宋"/>
                <w:b/>
                <w:color w:val="auto"/>
                <w:sz w:val="24"/>
                <w:highlight w:val="none"/>
              </w:rPr>
            </w:pPr>
          </w:p>
        </w:tc>
        <w:tc>
          <w:tcPr>
            <w:tcW w:w="7199" w:type="dxa"/>
            <w:vAlign w:val="center"/>
          </w:tcPr>
          <w:p w14:paraId="56B134B7">
            <w:pPr>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（二）资信商务技术文件</w:t>
            </w:r>
          </w:p>
          <w:p w14:paraId="4ABB5D4D">
            <w:pPr>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 磋商响应函；</w:t>
            </w:r>
          </w:p>
          <w:p w14:paraId="5C09C139">
            <w:pPr>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 成功案例及业绩（若有）</w:t>
            </w:r>
          </w:p>
          <w:p w14:paraId="2344354A">
            <w:pPr>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 商务响应表；</w:t>
            </w:r>
          </w:p>
          <w:p w14:paraId="46791619">
            <w:pPr>
              <w:ind w:left="360" w:hanging="360" w:hangingChars="1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4. 实施方案及实施计划</w:t>
            </w:r>
          </w:p>
          <w:p w14:paraId="0E18725C">
            <w:pPr>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5. 供应商需要说明的其他文件和证明。</w:t>
            </w:r>
          </w:p>
          <w:p w14:paraId="623E55F5">
            <w:pPr>
              <w:jc w:val="left"/>
              <w:rPr>
                <w:rFonts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注：结合“第二部分采购需求”和“第七部分评审办法”进行编制，编制格式要求见第六部分响应文件格式，无格式的自行设计。</w:t>
            </w:r>
          </w:p>
        </w:tc>
      </w:tr>
      <w:tr w14:paraId="39FB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714" w:type="dxa"/>
            <w:vMerge w:val="continue"/>
            <w:vAlign w:val="center"/>
          </w:tcPr>
          <w:p w14:paraId="43AB27DF">
            <w:pPr>
              <w:snapToGrid w:val="0"/>
              <w:jc w:val="center"/>
              <w:rPr>
                <w:rFonts w:ascii="仿宋" w:hAnsi="仿宋" w:eastAsia="仿宋" w:cs="仿宋"/>
                <w:color w:val="auto"/>
                <w:sz w:val="24"/>
                <w:highlight w:val="none"/>
              </w:rPr>
            </w:pPr>
          </w:p>
        </w:tc>
        <w:tc>
          <w:tcPr>
            <w:tcW w:w="1821" w:type="dxa"/>
            <w:vMerge w:val="continue"/>
            <w:vAlign w:val="center"/>
          </w:tcPr>
          <w:p w14:paraId="0DAB7E5F">
            <w:pPr>
              <w:snapToGrid w:val="0"/>
              <w:jc w:val="center"/>
              <w:rPr>
                <w:rFonts w:ascii="仿宋" w:hAnsi="仿宋" w:eastAsia="仿宋" w:cs="仿宋"/>
                <w:b/>
                <w:color w:val="auto"/>
                <w:sz w:val="24"/>
                <w:highlight w:val="none"/>
              </w:rPr>
            </w:pPr>
          </w:p>
        </w:tc>
        <w:tc>
          <w:tcPr>
            <w:tcW w:w="7199" w:type="dxa"/>
            <w:vAlign w:val="center"/>
          </w:tcPr>
          <w:p w14:paraId="15C8F383">
            <w:pPr>
              <w:jc w:val="left"/>
              <w:rPr>
                <w:rFonts w:ascii="仿宋" w:hAnsi="仿宋" w:eastAsia="仿宋" w:cs="仿宋"/>
                <w:bCs/>
                <w:color w:val="auto"/>
                <w:sz w:val="24"/>
                <w:highlight w:val="none"/>
              </w:rPr>
            </w:pPr>
            <w:r>
              <w:rPr>
                <w:rFonts w:hint="eastAsia" w:ascii="仿宋" w:hAnsi="仿宋" w:eastAsia="仿宋" w:cs="仿宋"/>
                <w:b/>
                <w:bCs/>
                <w:color w:val="auto"/>
                <w:sz w:val="24"/>
                <w:highlight w:val="none"/>
              </w:rPr>
              <w:t>（一）报价文件</w:t>
            </w:r>
          </w:p>
          <w:p w14:paraId="51F7D2F4">
            <w:pPr>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 开标一览表；</w:t>
            </w:r>
          </w:p>
          <w:p w14:paraId="68D5EB3A">
            <w:pPr>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 报价明细表；</w:t>
            </w:r>
          </w:p>
          <w:p w14:paraId="506AE34F">
            <w:pPr>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 中小企业声明函或监狱企业声明函或残疾人福利性企业声明函（若有）；</w:t>
            </w:r>
          </w:p>
          <w:p w14:paraId="78A3B4BA">
            <w:pPr>
              <w:jc w:val="left"/>
              <w:rPr>
                <w:rFonts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注：编制格式要求见第六部分响应文件格式，无格式的自行设计。</w:t>
            </w:r>
          </w:p>
        </w:tc>
      </w:tr>
      <w:tr w14:paraId="4686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5A9780C5">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21" w:type="dxa"/>
            <w:vAlign w:val="center"/>
          </w:tcPr>
          <w:p w14:paraId="5C275C27">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199" w:type="dxa"/>
            <w:vAlign w:val="center"/>
          </w:tcPr>
          <w:p w14:paraId="29BB68CA">
            <w:pPr>
              <w:snapToGrid w:val="0"/>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节能产品、环境标志产品的，采购人及其委托的采购代理机构将依据国家确定的认证机构出具的、处于有效期之内的节能产品、环境标志产品认证证书，对获得证书的产品实施政府优先采购或强制采购。</w:t>
            </w:r>
          </w:p>
        </w:tc>
      </w:tr>
      <w:tr w14:paraId="12B6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3C3A205B">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21" w:type="dxa"/>
            <w:vAlign w:val="center"/>
          </w:tcPr>
          <w:p w14:paraId="0F3C2A75">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7199" w:type="dxa"/>
            <w:vAlign w:val="center"/>
          </w:tcPr>
          <w:p w14:paraId="14ACEEBF">
            <w:pPr>
              <w:snapToGrid w:val="0"/>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。响应文件中价格全部采用人民币报价。采购文件未列明，而供应商认为必需的费用也需列入报价。</w:t>
            </w:r>
          </w:p>
          <w:p w14:paraId="00E6AD6F">
            <w:pPr>
              <w:snapToGrid w:val="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14:paraId="6C7C7424">
            <w:pPr>
              <w:snapToGrid w:val="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响应文件出现不是唯一的、有选择性最后报价的；</w:t>
            </w:r>
          </w:p>
          <w:p w14:paraId="13BED3BE">
            <w:pPr>
              <w:snapToGrid w:val="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最后报价超过采购文件中规定的预算金额或者最高限价的;</w:t>
            </w:r>
          </w:p>
          <w:p w14:paraId="38672124">
            <w:pPr>
              <w:rPr>
                <w:rFonts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28FD82F0">
            <w:pPr>
              <w:rPr>
                <w:rFonts w:ascii="仿宋" w:hAnsi="仿宋" w:eastAsia="仿宋" w:cs="仿宋"/>
                <w:color w:val="auto"/>
                <w:sz w:val="24"/>
                <w:highlight w:val="none"/>
              </w:rPr>
            </w:pPr>
            <w:r>
              <w:rPr>
                <w:rFonts w:hint="eastAsia" w:ascii="仿宋" w:hAnsi="仿宋" w:eastAsia="仿宋" w:cs="仿宋"/>
                <w:b/>
                <w:color w:val="auto"/>
                <w:kern w:val="0"/>
                <w:sz w:val="24"/>
                <w:highlight w:val="none"/>
              </w:rPr>
              <w:t>4、供应商对根据修正原则修正后的报价不确认的</w:t>
            </w:r>
            <w:r>
              <w:rPr>
                <w:rFonts w:hint="eastAsia" w:ascii="仿宋" w:hAnsi="仿宋" w:eastAsia="仿宋" w:cs="仿宋"/>
                <w:b/>
                <w:color w:val="auto"/>
                <w:sz w:val="24"/>
                <w:highlight w:val="none"/>
              </w:rPr>
              <w:t>。</w:t>
            </w:r>
          </w:p>
        </w:tc>
      </w:tr>
      <w:tr w14:paraId="4C03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4" w:hRule="atLeast"/>
          <w:jc w:val="center"/>
        </w:trPr>
        <w:tc>
          <w:tcPr>
            <w:tcW w:w="714" w:type="dxa"/>
            <w:vAlign w:val="center"/>
          </w:tcPr>
          <w:p w14:paraId="6894849D">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21" w:type="dxa"/>
            <w:vAlign w:val="center"/>
          </w:tcPr>
          <w:p w14:paraId="2521976B">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199" w:type="dxa"/>
            <w:vAlign w:val="center"/>
          </w:tcPr>
          <w:p w14:paraId="55C816FD">
            <w:pPr>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03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5" w:hRule="atLeast"/>
          <w:jc w:val="center"/>
        </w:trPr>
        <w:tc>
          <w:tcPr>
            <w:tcW w:w="714" w:type="dxa"/>
            <w:vAlign w:val="center"/>
          </w:tcPr>
          <w:p w14:paraId="25889D2F">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21" w:type="dxa"/>
            <w:vAlign w:val="center"/>
          </w:tcPr>
          <w:p w14:paraId="4FCD5BC2">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磋商响应文件份数</w:t>
            </w:r>
          </w:p>
        </w:tc>
        <w:tc>
          <w:tcPr>
            <w:tcW w:w="7199" w:type="dxa"/>
            <w:vAlign w:val="center"/>
          </w:tcPr>
          <w:p w14:paraId="48C66958">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1. 电子加密磋商响应文件：政府采购云平台在线提交、上传一份；</w:t>
            </w:r>
          </w:p>
          <w:p w14:paraId="450CD91C">
            <w:pPr>
              <w:wordWrap w:val="0"/>
              <w:ind w:left="360" w:hanging="360" w:hangingChars="150"/>
              <w:rPr>
                <w:rFonts w:ascii="仿宋" w:hAnsi="仿宋" w:eastAsia="仿宋" w:cs="仿宋"/>
                <w:color w:val="auto"/>
                <w:sz w:val="24"/>
                <w:highlight w:val="none"/>
              </w:rPr>
            </w:pPr>
            <w:r>
              <w:rPr>
                <w:rFonts w:hint="eastAsia" w:ascii="仿宋" w:hAnsi="仿宋" w:eastAsia="仿宋" w:cs="仿宋"/>
                <w:color w:val="auto"/>
                <w:sz w:val="24"/>
                <w:highlight w:val="none"/>
              </w:rPr>
              <w:t>2. 备份磋商响应文件：电子邮件提交一份，由供应商自行确定是否提交；若提交请将备份磋商响应文件以电子邮件的形式发送至</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u w:val="single"/>
              </w:rPr>
              <w:t>596722349</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u w:val="single"/>
              </w:rPr>
              <w:t>qq</w:t>
            </w:r>
            <w:r>
              <w:rPr>
                <w:rFonts w:hint="eastAsia" w:ascii="仿宋" w:hAnsi="仿宋" w:eastAsia="仿宋" w:cs="仿宋"/>
                <w:color w:val="auto"/>
                <w:sz w:val="24"/>
                <w:highlight w:val="none"/>
                <w:u w:val="single"/>
              </w:rPr>
              <w:t>.com）</w:t>
            </w:r>
            <w:r>
              <w:rPr>
                <w:rFonts w:hint="eastAsia" w:ascii="仿宋" w:hAnsi="仿宋" w:eastAsia="仿宋" w:cs="仿宋"/>
                <w:color w:val="auto"/>
                <w:sz w:val="24"/>
                <w:highlight w:val="none"/>
              </w:rPr>
              <w:t>。</w:t>
            </w:r>
          </w:p>
          <w:p w14:paraId="4100D2F4">
            <w:pPr>
              <w:pStyle w:val="3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注：供应商在线解密失败后，启用备份磋商响应文件，否则不启用备份磋商响应文件。</w:t>
            </w:r>
          </w:p>
          <w:p w14:paraId="0BBBC1BF">
            <w:pPr>
              <w:spacing w:line="312"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注：投标供应商在成交结果公示期间需提供与电子投标文件内容一致的纸质版投标文件，纸质响应文件的份数要求如下：</w:t>
            </w:r>
          </w:p>
          <w:p w14:paraId="3ECDF025">
            <w:pPr>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资格审查文件：      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4113D5BC">
            <w:pPr>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资信商务及技术文件：正本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41314769">
            <w:pPr>
              <w:rPr>
                <w:rFonts w:ascii="仿宋" w:hAnsi="仿宋" w:eastAsia="仿宋" w:cs="仿宋"/>
                <w:color w:val="auto"/>
                <w:highlight w:val="none"/>
              </w:rPr>
            </w:pPr>
            <w:r>
              <w:rPr>
                <w:rFonts w:hint="eastAsia" w:ascii="仿宋" w:hAnsi="仿宋" w:eastAsia="仿宋" w:cs="仿宋"/>
                <w:color w:val="auto"/>
                <w:sz w:val="24"/>
                <w:highlight w:val="none"/>
              </w:rPr>
              <w:t>报价文件：          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565E7723">
            <w:pPr>
              <w:pStyle w:val="33"/>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采购人、采购代理机构不强制或变相强制供应商提交备份响应文件。</w:t>
            </w:r>
          </w:p>
        </w:tc>
      </w:tr>
      <w:tr w14:paraId="7AC3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714" w:type="dxa"/>
            <w:vAlign w:val="center"/>
          </w:tcPr>
          <w:p w14:paraId="5E8D3E25">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21" w:type="dxa"/>
            <w:vAlign w:val="center"/>
          </w:tcPr>
          <w:p w14:paraId="16F0FDB8">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199" w:type="dxa"/>
            <w:vAlign w:val="center"/>
          </w:tcPr>
          <w:p w14:paraId="080C448C">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 联合体或者以分包方式履行合同的，联合体各方（供应商与分包供应商）分别提供与联合体协议（分包意向协议）中规定的分工内容相应的业绩证明材料，业绩数量以提供材料较少的一方为准。</w:t>
            </w:r>
          </w:p>
          <w:p w14:paraId="2F8715A9">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 联合体响应的，联合体各方均需按磋商文件第七部分评审标准要求提供资信证明文件，否则视为不符合相关要求。</w:t>
            </w:r>
          </w:p>
          <w:p w14:paraId="7B83AB4A">
            <w:pPr>
              <w:wordWrap w:val="0"/>
              <w:rPr>
                <w:rFonts w:ascii="仿宋" w:hAnsi="仿宋" w:eastAsia="仿宋" w:cs="仿宋"/>
                <w:color w:val="auto"/>
                <w:highlight w:val="none"/>
              </w:rPr>
            </w:pPr>
            <w:r>
              <w:rPr>
                <w:rFonts w:hint="eastAsia" w:ascii="仿宋" w:hAnsi="仿宋" w:eastAsia="仿宋" w:cs="仿宋"/>
                <w:color w:val="auto"/>
                <w:sz w:val="24"/>
                <w:highlight w:val="none"/>
              </w:rPr>
              <w:t>□ 联合体响应的，联合体中有一方或者联合体成员根据分工按磋商文件第七部分评审标准要求提供资信证明文件的，视为符合了相关要求。</w:t>
            </w:r>
          </w:p>
        </w:tc>
      </w:tr>
      <w:tr w14:paraId="7021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714" w:type="dxa"/>
            <w:vAlign w:val="center"/>
          </w:tcPr>
          <w:p w14:paraId="7FB47655">
            <w:pPr>
              <w:ind w:left="-88" w:leftChars="-42" w:right="-113" w:rightChars="-54"/>
              <w:jc w:val="center"/>
              <w:rPr>
                <w:rFonts w:ascii="仿宋" w:hAnsi="仿宋" w:eastAsia="仿宋" w:cs="仿宋"/>
                <w:color w:val="auto"/>
                <w:sz w:val="24"/>
                <w:highlight w:val="none"/>
              </w:rPr>
            </w:pPr>
            <w:bookmarkStart w:id="75" w:name="_Toc7462"/>
            <w:r>
              <w:rPr>
                <w:rFonts w:hint="eastAsia" w:ascii="仿宋" w:hAnsi="仿宋" w:eastAsia="仿宋" w:cs="仿宋"/>
                <w:bCs/>
                <w:snapToGrid w:val="0"/>
                <w:color w:val="auto"/>
                <w:sz w:val="24"/>
                <w:highlight w:val="none"/>
              </w:rPr>
              <w:t>14</w:t>
            </w:r>
          </w:p>
        </w:tc>
        <w:tc>
          <w:tcPr>
            <w:tcW w:w="1821" w:type="dxa"/>
            <w:vAlign w:val="center"/>
          </w:tcPr>
          <w:p w14:paraId="588ACF09">
            <w:pPr>
              <w:ind w:left="-44" w:leftChars="-53" w:right="-65" w:rightChars="-31" w:hanging="67" w:hangingChars="28"/>
              <w:jc w:val="center"/>
              <w:rPr>
                <w:rFonts w:ascii="仿宋" w:hAnsi="仿宋" w:eastAsia="仿宋" w:cs="仿宋"/>
                <w:b/>
                <w:color w:val="auto"/>
                <w:sz w:val="24"/>
                <w:highlight w:val="none"/>
              </w:rPr>
            </w:pPr>
            <w:r>
              <w:rPr>
                <w:rFonts w:hint="eastAsia" w:ascii="仿宋" w:hAnsi="仿宋" w:eastAsia="仿宋" w:cs="仿宋"/>
                <w:bCs/>
                <w:color w:val="auto"/>
                <w:sz w:val="24"/>
                <w:highlight w:val="none"/>
              </w:rPr>
              <w:t>评审办法</w:t>
            </w:r>
          </w:p>
        </w:tc>
        <w:tc>
          <w:tcPr>
            <w:tcW w:w="7199" w:type="dxa"/>
            <w:vAlign w:val="center"/>
          </w:tcPr>
          <w:p w14:paraId="6AA61617">
            <w:pPr>
              <w:rPr>
                <w:rFonts w:ascii="仿宋" w:hAnsi="仿宋" w:eastAsia="仿宋" w:cs="仿宋"/>
                <w:snapToGrid w:val="0"/>
                <w:color w:val="auto"/>
                <w:kern w:val="28"/>
                <w:sz w:val="24"/>
                <w:highlight w:val="none"/>
              </w:rPr>
            </w:pPr>
            <w:r>
              <w:rPr>
                <w:rFonts w:hint="eastAsia" w:ascii="仿宋" w:hAnsi="仿宋" w:eastAsia="仿宋" w:cs="仿宋"/>
                <w:color w:val="auto"/>
                <w:sz w:val="24"/>
                <w:highlight w:val="none"/>
              </w:rPr>
              <w:t>综合评分法</w:t>
            </w:r>
          </w:p>
        </w:tc>
      </w:tr>
      <w:tr w14:paraId="2B7C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jc w:val="center"/>
        </w:trPr>
        <w:tc>
          <w:tcPr>
            <w:tcW w:w="714" w:type="dxa"/>
            <w:vAlign w:val="center"/>
          </w:tcPr>
          <w:p w14:paraId="34728FA7">
            <w:pPr>
              <w:ind w:left="-88" w:leftChars="-42" w:right="-113" w:rightChars="-54"/>
              <w:jc w:val="center"/>
              <w:rPr>
                <w:rFonts w:ascii="仿宋" w:hAnsi="仿宋" w:eastAsia="仿宋" w:cs="仿宋"/>
                <w:color w:val="auto"/>
                <w:sz w:val="24"/>
                <w:highlight w:val="none"/>
              </w:rPr>
            </w:pPr>
            <w:r>
              <w:rPr>
                <w:rFonts w:hint="eastAsia" w:ascii="仿宋" w:hAnsi="仿宋" w:eastAsia="仿宋" w:cs="仿宋"/>
                <w:bCs/>
                <w:snapToGrid w:val="0"/>
                <w:color w:val="auto"/>
                <w:sz w:val="24"/>
                <w:highlight w:val="none"/>
              </w:rPr>
              <w:t>15</w:t>
            </w:r>
          </w:p>
        </w:tc>
        <w:tc>
          <w:tcPr>
            <w:tcW w:w="1821" w:type="dxa"/>
            <w:vAlign w:val="center"/>
          </w:tcPr>
          <w:p w14:paraId="25472491">
            <w:pPr>
              <w:ind w:left="-44" w:leftChars="-53" w:right="-65" w:rightChars="-31" w:hanging="67" w:hangingChars="28"/>
              <w:jc w:val="center"/>
              <w:rPr>
                <w:rFonts w:ascii="仿宋" w:hAnsi="仿宋" w:eastAsia="仿宋" w:cs="仿宋"/>
                <w:b/>
                <w:color w:val="auto"/>
                <w:sz w:val="24"/>
                <w:highlight w:val="none"/>
              </w:rPr>
            </w:pPr>
            <w:r>
              <w:rPr>
                <w:rFonts w:hint="eastAsia" w:ascii="仿宋" w:hAnsi="仿宋" w:eastAsia="仿宋" w:cs="仿宋"/>
                <w:bCs/>
                <w:color w:val="auto"/>
                <w:sz w:val="24"/>
                <w:highlight w:val="none"/>
              </w:rPr>
              <w:t>履约保证金</w:t>
            </w:r>
          </w:p>
        </w:tc>
        <w:tc>
          <w:tcPr>
            <w:tcW w:w="7199" w:type="dxa"/>
            <w:vAlign w:val="center"/>
          </w:tcPr>
          <w:p w14:paraId="498B3065">
            <w:pPr>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不缴纳</w:t>
            </w:r>
          </w:p>
          <w:p w14:paraId="6356357D">
            <w:pPr>
              <w:pStyle w:val="3"/>
              <w:rPr>
                <w:rFonts w:ascii="仿宋" w:hAnsi="仿宋" w:eastAsia="仿宋" w:cs="仿宋"/>
                <w:color w:val="auto"/>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kern w:val="0"/>
                <w:highlight w:val="none"/>
              </w:rPr>
              <w:t>缴纳</w:t>
            </w:r>
          </w:p>
          <w:p w14:paraId="049852C0">
            <w:pPr>
              <w:rPr>
                <w:rFonts w:ascii="仿宋" w:hAnsi="仿宋" w:eastAsia="仿宋" w:cs="仿宋"/>
                <w:b/>
                <w:bCs/>
                <w:color w:val="auto"/>
                <w:sz w:val="24"/>
                <w:highlight w:val="none"/>
                <w:u w:val="single"/>
              </w:rPr>
            </w:pPr>
            <w:r>
              <w:rPr>
                <w:rFonts w:hint="eastAsia" w:ascii="仿宋" w:hAnsi="仿宋" w:eastAsia="仿宋" w:cs="仿宋"/>
                <w:bCs/>
                <w:color w:val="auto"/>
                <w:sz w:val="24"/>
                <w:highlight w:val="none"/>
              </w:rPr>
              <w:t>政府采购合同金额的</w:t>
            </w:r>
            <w:r>
              <w:rPr>
                <w:rFonts w:hint="eastAsia" w:ascii="仿宋" w:hAnsi="仿宋" w:eastAsia="仿宋" w:cs="仿宋"/>
                <w:bCs/>
                <w:color w:val="auto"/>
                <w:sz w:val="24"/>
                <w:highlight w:val="none"/>
                <w:u w:val="single"/>
              </w:rPr>
              <w:t>XX%</w:t>
            </w:r>
            <w:r>
              <w:rPr>
                <w:rFonts w:hint="eastAsia" w:ascii="仿宋" w:hAnsi="仿宋" w:eastAsia="仿宋" w:cs="仿宋"/>
                <w:bCs/>
                <w:color w:val="auto"/>
                <w:sz w:val="24"/>
                <w:highlight w:val="none"/>
              </w:rPr>
              <w:t>（不得超过成交金额的1%）</w:t>
            </w:r>
          </w:p>
          <w:p w14:paraId="037F29A9">
            <w:pPr>
              <w:rPr>
                <w:rFonts w:ascii="仿宋" w:hAnsi="仿宋" w:eastAsia="仿宋" w:cs="仿宋"/>
                <w:bCs/>
                <w:color w:val="auto"/>
                <w:sz w:val="24"/>
                <w:highlight w:val="none"/>
              </w:rPr>
            </w:pPr>
            <w:r>
              <w:rPr>
                <w:rFonts w:hint="eastAsia" w:ascii="仿宋" w:hAnsi="仿宋" w:eastAsia="仿宋" w:cs="仿宋"/>
                <w:bCs/>
                <w:color w:val="auto"/>
                <w:sz w:val="24"/>
                <w:highlight w:val="none"/>
              </w:rPr>
              <w:t>缴纳方式：电汇、转账、银行或保险公司出具履约保函</w:t>
            </w:r>
          </w:p>
          <w:p w14:paraId="69C13404">
            <w:pPr>
              <w:rPr>
                <w:rFonts w:ascii="仿宋" w:hAnsi="仿宋" w:eastAsia="仿宋" w:cs="仿宋"/>
                <w:color w:val="auto"/>
                <w:sz w:val="24"/>
                <w:highlight w:val="none"/>
              </w:rPr>
            </w:pPr>
            <w:r>
              <w:rPr>
                <w:rFonts w:hint="eastAsia" w:ascii="仿宋" w:hAnsi="仿宋" w:eastAsia="仿宋" w:cs="仿宋"/>
                <w:bCs/>
                <w:color w:val="auto"/>
                <w:sz w:val="24"/>
                <w:highlight w:val="none"/>
              </w:rPr>
              <w:t>缴纳时间：</w:t>
            </w:r>
            <w:r>
              <w:rPr>
                <w:rFonts w:hint="eastAsia" w:ascii="仿宋" w:hAnsi="仿宋" w:eastAsia="仿宋" w:cs="仿宋"/>
                <w:color w:val="auto"/>
                <w:sz w:val="24"/>
                <w:highlight w:val="none"/>
              </w:rPr>
              <w:t>根据项目情况和采购人要求填写时间（不得作为签订合同的前置条件）</w:t>
            </w:r>
          </w:p>
          <w:p w14:paraId="1544849C">
            <w:pPr>
              <w:rPr>
                <w:rFonts w:ascii="仿宋" w:hAnsi="仿宋" w:eastAsia="仿宋" w:cs="仿宋"/>
                <w:color w:val="auto"/>
                <w:sz w:val="24"/>
                <w:highlight w:val="none"/>
              </w:rPr>
            </w:pPr>
            <w:r>
              <w:rPr>
                <w:rFonts w:hint="eastAsia" w:ascii="仿宋" w:hAnsi="仿宋" w:eastAsia="仿宋" w:cs="仿宋"/>
                <w:color w:val="auto"/>
                <w:sz w:val="24"/>
                <w:highlight w:val="none"/>
              </w:rPr>
              <w:t>电汇、转账缴至如下账号：</w:t>
            </w:r>
          </w:p>
          <w:p w14:paraId="4E1A043C">
            <w:pPr>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开 户 名：（采购人名称）</w:t>
            </w:r>
          </w:p>
          <w:p w14:paraId="451CAFF1">
            <w:pPr>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开户银行：（采购人开户行）</w:t>
            </w:r>
          </w:p>
          <w:p w14:paraId="4B31AE88">
            <w:pPr>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开户账号：（采购人开户账号）</w:t>
            </w:r>
          </w:p>
          <w:p w14:paraId="5A765365">
            <w:pPr>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退还时间：根据项目情况和业主要求填写时间。（合同履约完成并通过组织验收后15天内给予退还）</w:t>
            </w:r>
          </w:p>
          <w:p w14:paraId="03281103">
            <w:pPr>
              <w:rPr>
                <w:rFonts w:ascii="仿宋" w:hAnsi="仿宋" w:eastAsia="仿宋" w:cs="仿宋"/>
                <w:snapToGrid w:val="0"/>
                <w:color w:val="auto"/>
                <w:kern w:val="28"/>
                <w:sz w:val="24"/>
                <w:highlight w:val="none"/>
              </w:rPr>
            </w:pPr>
            <w:r>
              <w:rPr>
                <w:rFonts w:hint="eastAsia" w:ascii="仿宋" w:hAnsi="仿宋" w:eastAsia="仿宋" w:cs="仿宋"/>
                <w:color w:val="auto"/>
                <w:sz w:val="24"/>
                <w:highlight w:val="none"/>
              </w:rPr>
              <w:t>履约保函：以各银行或保险公司出具的为准。</w:t>
            </w:r>
          </w:p>
        </w:tc>
      </w:tr>
      <w:tr w14:paraId="2983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jc w:val="center"/>
        </w:trPr>
        <w:tc>
          <w:tcPr>
            <w:tcW w:w="714" w:type="dxa"/>
            <w:vAlign w:val="center"/>
          </w:tcPr>
          <w:p w14:paraId="2126D74A">
            <w:pPr>
              <w:snapToGrid w:val="0"/>
              <w:jc w:val="center"/>
              <w:rPr>
                <w:rFonts w:ascii="仿宋" w:hAnsi="仿宋" w:eastAsia="仿宋" w:cs="仿宋"/>
                <w:bCs/>
                <w:snapToGrid w:val="0"/>
                <w:color w:val="auto"/>
                <w:sz w:val="24"/>
                <w:highlight w:val="none"/>
              </w:rPr>
            </w:pPr>
            <w:r>
              <w:rPr>
                <w:rFonts w:hint="eastAsia" w:ascii="仿宋" w:hAnsi="仿宋" w:eastAsia="仿宋" w:cs="仿宋"/>
                <w:color w:val="auto"/>
                <w:sz w:val="24"/>
                <w:highlight w:val="none"/>
              </w:rPr>
              <w:t>16</w:t>
            </w:r>
          </w:p>
        </w:tc>
        <w:tc>
          <w:tcPr>
            <w:tcW w:w="1821" w:type="dxa"/>
            <w:vAlign w:val="center"/>
          </w:tcPr>
          <w:p w14:paraId="5881ACB0">
            <w:pPr>
              <w:snapToGrid w:val="0"/>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采购代理服务费</w:t>
            </w:r>
          </w:p>
        </w:tc>
        <w:tc>
          <w:tcPr>
            <w:tcW w:w="7199" w:type="dxa"/>
            <w:vAlign w:val="center"/>
          </w:tcPr>
          <w:p w14:paraId="7CD4911E">
            <w:pPr>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由中标人支付代理服务费，费用为</w:t>
            </w:r>
            <w:r>
              <w:rPr>
                <w:rFonts w:hint="eastAsia" w:ascii="仿宋" w:hAnsi="仿宋" w:eastAsia="仿宋" w:cs="仿宋"/>
                <w:snapToGrid w:val="0"/>
                <w:color w:val="auto"/>
                <w:kern w:val="28"/>
                <w:sz w:val="24"/>
                <w:highlight w:val="none"/>
                <w:lang w:val="en-US" w:eastAsia="zh-CN"/>
              </w:rPr>
              <w:t>成交金额的15500元</w:t>
            </w:r>
            <w:r>
              <w:rPr>
                <w:rFonts w:hint="eastAsia" w:ascii="仿宋" w:hAnsi="仿宋" w:eastAsia="仿宋" w:cs="仿宋"/>
                <w:snapToGrid w:val="0"/>
                <w:color w:val="auto"/>
                <w:kern w:val="28"/>
                <w:sz w:val="24"/>
                <w:highlight w:val="none"/>
              </w:rPr>
              <w:t>，中标人在中标公告发布之日起5个工作日内向代理机构一次性付清。</w:t>
            </w:r>
          </w:p>
        </w:tc>
      </w:tr>
    </w:tbl>
    <w:p w14:paraId="3C674407">
      <w:pPr>
        <w:rPr>
          <w:rFonts w:ascii="仿宋" w:hAnsi="仿宋" w:eastAsia="仿宋" w:cs="仿宋"/>
          <w:color w:val="auto"/>
          <w:highlight w:val="none"/>
        </w:rPr>
      </w:pPr>
    </w:p>
    <w:p w14:paraId="2BBA8CA3">
      <w:pPr>
        <w:rPr>
          <w:rFonts w:ascii="仿宋" w:hAnsi="仿宋" w:eastAsia="仿宋" w:cs="仿宋"/>
          <w:color w:val="auto"/>
          <w:highlight w:val="none"/>
        </w:rPr>
      </w:pPr>
    </w:p>
    <w:p w14:paraId="24CD1F5C">
      <w:pPr>
        <w:pStyle w:val="17"/>
        <w:rPr>
          <w:rFonts w:ascii="仿宋" w:hAnsi="仿宋" w:eastAsia="仿宋" w:cs="仿宋"/>
          <w:color w:val="auto"/>
          <w:highlight w:val="none"/>
        </w:rPr>
      </w:pPr>
    </w:p>
    <w:p w14:paraId="27FF221B">
      <w:pPr>
        <w:rPr>
          <w:rFonts w:ascii="仿宋" w:hAnsi="仿宋" w:eastAsia="仿宋" w:cs="仿宋"/>
          <w:color w:val="auto"/>
          <w:highlight w:val="none"/>
        </w:rPr>
      </w:pPr>
    </w:p>
    <w:p w14:paraId="7D6385D2">
      <w:pPr>
        <w:pStyle w:val="17"/>
        <w:rPr>
          <w:rFonts w:ascii="仿宋" w:hAnsi="仿宋" w:eastAsia="仿宋" w:cs="仿宋"/>
          <w:color w:val="auto"/>
          <w:highlight w:val="none"/>
        </w:rPr>
      </w:pPr>
    </w:p>
    <w:p w14:paraId="3D5E4E62">
      <w:pPr>
        <w:rPr>
          <w:rFonts w:ascii="仿宋" w:hAnsi="仿宋" w:eastAsia="仿宋" w:cs="仿宋"/>
          <w:color w:val="auto"/>
          <w:highlight w:val="none"/>
        </w:rPr>
      </w:pPr>
    </w:p>
    <w:p w14:paraId="14E1A2B5">
      <w:pPr>
        <w:pStyle w:val="17"/>
        <w:rPr>
          <w:rFonts w:ascii="仿宋" w:hAnsi="仿宋" w:eastAsia="仿宋" w:cs="仿宋"/>
          <w:color w:val="auto"/>
          <w:highlight w:val="none"/>
        </w:rPr>
      </w:pPr>
    </w:p>
    <w:p w14:paraId="3F2E5E6A">
      <w:pPr>
        <w:rPr>
          <w:rFonts w:ascii="仿宋" w:hAnsi="仿宋" w:eastAsia="仿宋" w:cs="仿宋"/>
          <w:color w:val="auto"/>
          <w:highlight w:val="none"/>
        </w:rPr>
      </w:pPr>
    </w:p>
    <w:p w14:paraId="6B9F2E1D">
      <w:pPr>
        <w:pStyle w:val="27"/>
        <w:ind w:left="840" w:hanging="420"/>
        <w:rPr>
          <w:rFonts w:ascii="仿宋" w:hAnsi="仿宋" w:eastAsia="仿宋" w:cs="仿宋"/>
          <w:color w:val="auto"/>
          <w:highlight w:val="none"/>
        </w:rPr>
      </w:pPr>
    </w:p>
    <w:p w14:paraId="4E6FA9DA">
      <w:pPr>
        <w:pStyle w:val="27"/>
        <w:ind w:left="840" w:hanging="420"/>
        <w:rPr>
          <w:rFonts w:ascii="仿宋" w:hAnsi="仿宋" w:eastAsia="仿宋" w:cs="仿宋"/>
          <w:color w:val="auto"/>
          <w:highlight w:val="none"/>
        </w:rPr>
      </w:pPr>
    </w:p>
    <w:p w14:paraId="36849A60">
      <w:pPr>
        <w:rPr>
          <w:rFonts w:ascii="仿宋" w:hAnsi="仿宋" w:eastAsia="仿宋" w:cs="仿宋"/>
          <w:color w:val="auto"/>
          <w:highlight w:val="none"/>
        </w:rPr>
      </w:pPr>
    </w:p>
    <w:p w14:paraId="3BF4935E">
      <w:pPr>
        <w:rPr>
          <w:rFonts w:ascii="仿宋" w:hAnsi="仿宋" w:eastAsia="仿宋" w:cs="仿宋"/>
          <w:color w:val="auto"/>
          <w:highlight w:val="none"/>
        </w:rPr>
      </w:pPr>
    </w:p>
    <w:p w14:paraId="5B3A9054">
      <w:pPr>
        <w:pStyle w:val="17"/>
        <w:rPr>
          <w:rFonts w:ascii="仿宋" w:hAnsi="仿宋" w:eastAsia="仿宋" w:cs="仿宋"/>
          <w:color w:val="auto"/>
          <w:highlight w:val="none"/>
        </w:rPr>
      </w:pPr>
    </w:p>
    <w:p w14:paraId="33FF8CFB">
      <w:pPr>
        <w:rPr>
          <w:rFonts w:ascii="仿宋" w:hAnsi="仿宋" w:eastAsia="仿宋" w:cs="仿宋"/>
          <w:color w:val="auto"/>
          <w:highlight w:val="none"/>
        </w:rPr>
      </w:pPr>
    </w:p>
    <w:p w14:paraId="36CDC1C5">
      <w:pPr>
        <w:pStyle w:val="17"/>
        <w:rPr>
          <w:color w:val="auto"/>
          <w:highlight w:val="none"/>
        </w:rPr>
      </w:pPr>
    </w:p>
    <w:p w14:paraId="0E23B79C">
      <w:pPr>
        <w:pStyle w:val="60"/>
        <w:widowControl w:val="0"/>
        <w:overflowPunct/>
        <w:autoSpaceDE/>
        <w:autoSpaceDN/>
        <w:adjustRightInd/>
        <w:spacing w:before="240" w:after="240"/>
        <w:jc w:val="left"/>
        <w:textAlignment w:val="auto"/>
        <w:outlineLvl w:val="1"/>
        <w:rPr>
          <w:rFonts w:ascii="仿宋" w:hAnsi="仿宋" w:eastAsia="仿宋" w:cs="仿宋"/>
          <w:bCs/>
          <w:color w:val="auto"/>
          <w:kern w:val="2"/>
          <w:sz w:val="30"/>
          <w:szCs w:val="30"/>
          <w:highlight w:val="none"/>
          <w:lang w:val="en-US"/>
        </w:rPr>
      </w:pPr>
      <w:bookmarkStart w:id="76" w:name="_Toc17551"/>
      <w:bookmarkStart w:id="77" w:name="_Toc139797594"/>
      <w:bookmarkStart w:id="78" w:name="_Toc2899"/>
      <w:r>
        <w:rPr>
          <w:rFonts w:hint="eastAsia" w:ascii="仿宋" w:hAnsi="仿宋" w:eastAsia="仿宋" w:cs="仿宋"/>
          <w:bCs/>
          <w:color w:val="auto"/>
          <w:kern w:val="2"/>
          <w:sz w:val="30"/>
          <w:szCs w:val="30"/>
          <w:highlight w:val="none"/>
          <w:lang w:val="en-US"/>
        </w:rPr>
        <w:t>供应商须知前附表（二）</w:t>
      </w:r>
      <w:bookmarkEnd w:id="75"/>
      <w:bookmarkEnd w:id="76"/>
      <w:bookmarkEnd w:id="77"/>
      <w:bookmarkEnd w:id="78"/>
    </w:p>
    <w:p w14:paraId="62A9C729">
      <w:pPr>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采购活动日程安排表</w:t>
      </w:r>
    </w:p>
    <w:tbl>
      <w:tblPr>
        <w:tblStyle w:val="63"/>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149"/>
        <w:gridCol w:w="3978"/>
        <w:gridCol w:w="3176"/>
      </w:tblGrid>
      <w:tr w14:paraId="188D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1B18A931">
            <w:pPr>
              <w:ind w:left="-126" w:leftChars="-60" w:right="-99" w:rightChars="-47"/>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149" w:type="dxa"/>
            <w:vAlign w:val="center"/>
          </w:tcPr>
          <w:p w14:paraId="18DBEC0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工作内容</w:t>
            </w:r>
          </w:p>
        </w:tc>
        <w:tc>
          <w:tcPr>
            <w:tcW w:w="3978" w:type="dxa"/>
            <w:vAlign w:val="center"/>
          </w:tcPr>
          <w:p w14:paraId="377E3E9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时间安排</w:t>
            </w:r>
          </w:p>
        </w:tc>
        <w:tc>
          <w:tcPr>
            <w:tcW w:w="3176" w:type="dxa"/>
            <w:vAlign w:val="center"/>
          </w:tcPr>
          <w:p w14:paraId="0269AF6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E5E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35" w:type="dxa"/>
            <w:vAlign w:val="center"/>
          </w:tcPr>
          <w:p w14:paraId="60FB9791">
            <w:pPr>
              <w:ind w:left="-126" w:leftChars="-60" w:right="-99" w:rightChars="-47"/>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149" w:type="dxa"/>
            <w:vAlign w:val="center"/>
          </w:tcPr>
          <w:p w14:paraId="2B6A347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发布竞争性磋商采购公告</w:t>
            </w:r>
          </w:p>
        </w:tc>
        <w:tc>
          <w:tcPr>
            <w:tcW w:w="3978" w:type="dxa"/>
            <w:vAlign w:val="center"/>
          </w:tcPr>
          <w:p w14:paraId="4747BAE3">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rPr>
              <w:t>日</w:t>
            </w:r>
          </w:p>
        </w:tc>
        <w:tc>
          <w:tcPr>
            <w:tcW w:w="3176" w:type="dxa"/>
            <w:vAlign w:val="center"/>
          </w:tcPr>
          <w:p w14:paraId="5CADD9C6">
            <w:pPr>
              <w:wordWrap w:val="0"/>
              <w:jc w:val="left"/>
              <w:rPr>
                <w:rFonts w:ascii="仿宋" w:hAnsi="仿宋" w:eastAsia="仿宋" w:cs="仿宋"/>
                <w:color w:val="auto"/>
                <w:sz w:val="24"/>
                <w:highlight w:val="none"/>
              </w:rPr>
            </w:pPr>
            <w:r>
              <w:rPr>
                <w:rFonts w:hint="eastAsia" w:ascii="仿宋" w:hAnsi="仿宋" w:eastAsia="仿宋" w:cs="仿宋"/>
                <w:color w:val="auto"/>
                <w:sz w:val="24"/>
                <w:highlight w:val="none"/>
              </w:rPr>
              <w:t>1.浙江政府采购网（</w:t>
            </w:r>
            <w:r>
              <w:rPr>
                <w:rFonts w:hint="eastAsia"/>
                <w:color w:val="auto"/>
                <w:highlight w:val="none"/>
              </w:rPr>
              <w:fldChar w:fldCharType="begin"/>
            </w:r>
            <w:r>
              <w:rPr>
                <w:color w:val="auto"/>
                <w:highlight w:val="none"/>
              </w:rPr>
              <w:instrText xml:space="preserve"> HYPERLINK "http://www.zjzfcg.gov.cn" </w:instrText>
            </w:r>
            <w:r>
              <w:rPr>
                <w:rFonts w:hint="eastAsia"/>
                <w:color w:val="auto"/>
                <w:highlight w:val="none"/>
              </w:rPr>
              <w:fldChar w:fldCharType="separate"/>
            </w:r>
            <w:r>
              <w:rPr>
                <w:rFonts w:hint="eastAsia" w:ascii="仿宋" w:hAnsi="仿宋" w:eastAsia="仿宋" w:cs="仿宋"/>
                <w:color w:val="auto"/>
                <w:sz w:val="24"/>
                <w:highlight w:val="none"/>
              </w:rPr>
              <w:t>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14:paraId="2F6A7416">
            <w:pPr>
              <w:jc w:val="left"/>
              <w:rPr>
                <w:rFonts w:ascii="仿宋" w:hAnsi="仿宋" w:eastAsia="仿宋" w:cs="仿宋"/>
                <w:color w:val="auto"/>
                <w:sz w:val="24"/>
                <w:highlight w:val="none"/>
              </w:rPr>
            </w:pPr>
            <w:r>
              <w:rPr>
                <w:rFonts w:hint="eastAsia" w:ascii="仿宋" w:hAnsi="仿宋" w:eastAsia="仿宋" w:cs="仿宋"/>
                <w:color w:val="auto"/>
                <w:sz w:val="24"/>
                <w:highlight w:val="none"/>
              </w:rPr>
              <w:t>2.丽水市公共资源交易网（lssggzy.lishui.gov.cn）</w:t>
            </w:r>
          </w:p>
        </w:tc>
      </w:tr>
      <w:tr w14:paraId="4C3C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77A54EBE">
            <w:pPr>
              <w:ind w:left="-126" w:leftChars="-60" w:right="-99" w:rightChars="-47"/>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149" w:type="dxa"/>
            <w:vAlign w:val="center"/>
          </w:tcPr>
          <w:p w14:paraId="6C756FD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发放磋商文件</w:t>
            </w:r>
          </w:p>
        </w:tc>
        <w:tc>
          <w:tcPr>
            <w:tcW w:w="3978" w:type="dxa"/>
            <w:vAlign w:val="center"/>
          </w:tcPr>
          <w:p w14:paraId="0AEB08E9">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12</w:t>
            </w:r>
            <w:bookmarkStart w:id="975" w:name="_GoBack"/>
            <w:bookmarkEnd w:id="975"/>
            <w:r>
              <w:rPr>
                <w:rFonts w:hint="eastAsia" w:ascii="仿宋" w:hAnsi="仿宋" w:eastAsia="仿宋" w:cs="仿宋"/>
                <w:color w:val="auto"/>
                <w:sz w:val="24"/>
                <w:highlight w:val="none"/>
              </w:rPr>
              <w:t>日起</w:t>
            </w:r>
          </w:p>
        </w:tc>
        <w:tc>
          <w:tcPr>
            <w:tcW w:w="3176" w:type="dxa"/>
            <w:vAlign w:val="center"/>
          </w:tcPr>
          <w:p w14:paraId="4268DDAF">
            <w:pPr>
              <w:tabs>
                <w:tab w:val="left" w:pos="2752"/>
              </w:tabs>
              <w:rPr>
                <w:rFonts w:ascii="仿宋" w:hAnsi="仿宋" w:eastAsia="仿宋" w:cs="仿宋"/>
                <w:color w:val="auto"/>
                <w:sz w:val="24"/>
                <w:highlight w:val="none"/>
              </w:rPr>
            </w:pPr>
            <w:r>
              <w:rPr>
                <w:rFonts w:hint="eastAsia" w:ascii="仿宋" w:hAnsi="仿宋" w:eastAsia="仿宋" w:cs="仿宋"/>
                <w:color w:val="auto"/>
                <w:sz w:val="24"/>
                <w:highlight w:val="none"/>
              </w:rPr>
              <w:t>获取方式：竞争性磋商采购公告附件自行下载</w:t>
            </w:r>
          </w:p>
        </w:tc>
      </w:tr>
      <w:tr w14:paraId="7912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35" w:type="dxa"/>
            <w:vAlign w:val="center"/>
          </w:tcPr>
          <w:p w14:paraId="30DCE56D">
            <w:pPr>
              <w:ind w:left="-126" w:leftChars="-60" w:right="-99" w:rightChars="-47"/>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149" w:type="dxa"/>
            <w:vAlign w:val="center"/>
          </w:tcPr>
          <w:p w14:paraId="23A495E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现场踏勘和地点</w:t>
            </w:r>
          </w:p>
        </w:tc>
        <w:tc>
          <w:tcPr>
            <w:tcW w:w="3978" w:type="dxa"/>
            <w:vAlign w:val="center"/>
          </w:tcPr>
          <w:p w14:paraId="3B68DB20">
            <w:pPr>
              <w:rPr>
                <w:rFonts w:ascii="仿宋" w:hAnsi="仿宋" w:eastAsia="仿宋" w:cs="仿宋"/>
                <w:color w:val="auto"/>
                <w:sz w:val="24"/>
                <w:highlight w:val="none"/>
              </w:rPr>
            </w:pPr>
            <w:r>
              <w:rPr>
                <w:rFonts w:hint="eastAsia" w:ascii="仿宋" w:hAnsi="仿宋" w:eastAsia="仿宋" w:cs="仿宋"/>
                <w:color w:val="auto"/>
                <w:sz w:val="24"/>
                <w:highlight w:val="none"/>
              </w:rPr>
              <w:t>☑无</w:t>
            </w:r>
          </w:p>
          <w:p w14:paraId="43DA3389">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w:t>
            </w:r>
          </w:p>
          <w:p w14:paraId="14224E82">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地点： </w:t>
            </w:r>
          </w:p>
        </w:tc>
        <w:tc>
          <w:tcPr>
            <w:tcW w:w="3176" w:type="dxa"/>
            <w:vAlign w:val="center"/>
          </w:tcPr>
          <w:p w14:paraId="0F7D1B6D">
            <w:pPr>
              <w:rPr>
                <w:rFonts w:ascii="仿宋" w:hAnsi="仿宋" w:eastAsia="仿宋" w:cs="仿宋"/>
                <w:color w:val="auto"/>
                <w:sz w:val="24"/>
                <w:highlight w:val="none"/>
              </w:rPr>
            </w:pPr>
          </w:p>
        </w:tc>
      </w:tr>
      <w:tr w14:paraId="0BD4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35" w:type="dxa"/>
            <w:vAlign w:val="center"/>
          </w:tcPr>
          <w:p w14:paraId="48854CCB">
            <w:pPr>
              <w:ind w:left="-126" w:leftChars="-60" w:right="-99" w:rightChars="-47"/>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149" w:type="dxa"/>
            <w:vAlign w:val="center"/>
          </w:tcPr>
          <w:p w14:paraId="4AFF610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更正公告</w:t>
            </w:r>
          </w:p>
        </w:tc>
        <w:tc>
          <w:tcPr>
            <w:tcW w:w="3978" w:type="dxa"/>
            <w:vAlign w:val="center"/>
          </w:tcPr>
          <w:p w14:paraId="36F18B21">
            <w:pPr>
              <w:jc w:val="left"/>
              <w:rPr>
                <w:rFonts w:ascii="仿宋" w:hAnsi="仿宋" w:eastAsia="仿宋" w:cs="仿宋"/>
                <w:color w:val="auto"/>
                <w:sz w:val="24"/>
                <w:highlight w:val="none"/>
              </w:rPr>
            </w:pPr>
            <w:r>
              <w:rPr>
                <w:rFonts w:hint="eastAsia" w:ascii="仿宋" w:hAnsi="仿宋" w:eastAsia="仿宋" w:cs="仿宋"/>
                <w:color w:val="auto"/>
                <w:sz w:val="24"/>
                <w:highlight w:val="none"/>
              </w:rPr>
              <w:t>澄清或修改内容可能影响磋商响应文件编制的，响应文件提交截止时间时间5日前，不足5日的，顺延响应文件提交截止时间；</w:t>
            </w:r>
          </w:p>
        </w:tc>
        <w:tc>
          <w:tcPr>
            <w:tcW w:w="3176" w:type="dxa"/>
            <w:vAlign w:val="center"/>
          </w:tcPr>
          <w:p w14:paraId="08135F65">
            <w:pPr>
              <w:jc w:val="left"/>
              <w:rPr>
                <w:rFonts w:ascii="仿宋" w:hAnsi="仿宋" w:eastAsia="仿宋" w:cs="仿宋"/>
                <w:color w:val="auto"/>
                <w:sz w:val="24"/>
                <w:highlight w:val="none"/>
              </w:rPr>
            </w:pPr>
            <w:r>
              <w:rPr>
                <w:rFonts w:hint="eastAsia" w:ascii="仿宋" w:hAnsi="仿宋" w:eastAsia="仿宋" w:cs="仿宋"/>
                <w:color w:val="auto"/>
                <w:sz w:val="24"/>
                <w:highlight w:val="none"/>
              </w:rPr>
              <w:t>澄清或修改内容获取方式：更正公告</w:t>
            </w:r>
          </w:p>
        </w:tc>
      </w:tr>
      <w:tr w14:paraId="0214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622F7145">
            <w:pPr>
              <w:ind w:left="-126" w:leftChars="-60" w:right="-99" w:rightChars="-47"/>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149" w:type="dxa"/>
            <w:vAlign w:val="center"/>
          </w:tcPr>
          <w:p w14:paraId="630780DB">
            <w:pPr>
              <w:ind w:left="-44" w:leftChars="-53" w:right="-65" w:rightChars="-31" w:hanging="67" w:hangingChars="28"/>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响应文件提交截止时间</w:t>
            </w:r>
          </w:p>
        </w:tc>
        <w:tc>
          <w:tcPr>
            <w:tcW w:w="3978" w:type="dxa"/>
            <w:vAlign w:val="center"/>
          </w:tcPr>
          <w:p w14:paraId="4B3B8463">
            <w:pPr>
              <w:rPr>
                <w:rFonts w:ascii="仿宋" w:hAnsi="仿宋" w:eastAsia="仿宋" w:cs="仿宋"/>
                <w:color w:val="auto"/>
                <w:sz w:val="24"/>
                <w:highlight w:val="none"/>
              </w:rPr>
            </w:pPr>
            <w:r>
              <w:rPr>
                <w:rFonts w:hint="eastAsia" w:ascii="仿宋" w:hAnsi="仿宋" w:eastAsia="仿宋" w:cs="仿宋"/>
                <w:color w:val="auto"/>
                <w:sz w:val="24"/>
                <w:highlight w:val="none"/>
              </w:rPr>
              <w:t>见第一章竞争性磋商采购公告（邀请）</w:t>
            </w:r>
          </w:p>
        </w:tc>
        <w:tc>
          <w:tcPr>
            <w:tcW w:w="3176" w:type="dxa"/>
            <w:vAlign w:val="center"/>
          </w:tcPr>
          <w:p w14:paraId="37985F8C">
            <w:pPr>
              <w:rPr>
                <w:rFonts w:ascii="仿宋" w:hAnsi="仿宋" w:eastAsia="仿宋" w:cs="仿宋"/>
                <w:color w:val="auto"/>
                <w:sz w:val="24"/>
                <w:highlight w:val="none"/>
              </w:rPr>
            </w:pPr>
          </w:p>
        </w:tc>
      </w:tr>
      <w:tr w14:paraId="0110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37F9519F">
            <w:pPr>
              <w:ind w:left="-126" w:leftChars="-60" w:right="-99" w:rightChars="-47"/>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2149" w:type="dxa"/>
            <w:vAlign w:val="center"/>
          </w:tcPr>
          <w:p w14:paraId="0FB2884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开启时间</w:t>
            </w:r>
          </w:p>
        </w:tc>
        <w:tc>
          <w:tcPr>
            <w:tcW w:w="3978" w:type="dxa"/>
            <w:vAlign w:val="center"/>
          </w:tcPr>
          <w:p w14:paraId="03EA5989">
            <w:pPr>
              <w:jc w:val="left"/>
              <w:rPr>
                <w:rFonts w:ascii="仿宋" w:hAnsi="仿宋" w:eastAsia="仿宋" w:cs="仿宋"/>
                <w:color w:val="auto"/>
                <w:sz w:val="24"/>
                <w:highlight w:val="none"/>
              </w:rPr>
            </w:pPr>
            <w:r>
              <w:rPr>
                <w:rFonts w:hint="eastAsia" w:ascii="仿宋" w:hAnsi="仿宋" w:eastAsia="仿宋" w:cs="仿宋"/>
                <w:color w:val="auto"/>
                <w:sz w:val="24"/>
                <w:highlight w:val="none"/>
              </w:rPr>
              <w:t>见第一章竞争性磋商采购公告（邀请）</w:t>
            </w:r>
          </w:p>
        </w:tc>
        <w:tc>
          <w:tcPr>
            <w:tcW w:w="3176" w:type="dxa"/>
            <w:vAlign w:val="center"/>
          </w:tcPr>
          <w:p w14:paraId="1DF18232">
            <w:pPr>
              <w:rPr>
                <w:rFonts w:ascii="仿宋" w:hAnsi="仿宋" w:eastAsia="仿宋" w:cs="仿宋"/>
                <w:color w:val="auto"/>
                <w:sz w:val="24"/>
                <w:highlight w:val="none"/>
              </w:rPr>
            </w:pPr>
          </w:p>
        </w:tc>
      </w:tr>
      <w:tr w14:paraId="444D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2625D1F2">
            <w:pPr>
              <w:ind w:left="-126" w:leftChars="-60" w:right="-99" w:rightChars="-47"/>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2149" w:type="dxa"/>
            <w:vAlign w:val="center"/>
          </w:tcPr>
          <w:p w14:paraId="2BCD9FF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成交公告及成交通知书</w:t>
            </w:r>
          </w:p>
        </w:tc>
        <w:tc>
          <w:tcPr>
            <w:tcW w:w="3978" w:type="dxa"/>
            <w:vAlign w:val="center"/>
          </w:tcPr>
          <w:p w14:paraId="1915ECDB">
            <w:pPr>
              <w:jc w:val="left"/>
              <w:rPr>
                <w:rFonts w:ascii="仿宋" w:hAnsi="仿宋" w:eastAsia="仿宋" w:cs="仿宋"/>
                <w:color w:val="auto"/>
                <w:sz w:val="24"/>
                <w:highlight w:val="none"/>
              </w:rPr>
            </w:pPr>
            <w:r>
              <w:rPr>
                <w:rFonts w:hint="eastAsia" w:ascii="仿宋" w:hAnsi="仿宋" w:eastAsia="仿宋" w:cs="仿宋"/>
                <w:color w:val="auto"/>
                <w:sz w:val="24"/>
                <w:highlight w:val="none"/>
              </w:rPr>
              <w:t>成交人确定之日起2个工作日内</w:t>
            </w:r>
          </w:p>
        </w:tc>
        <w:tc>
          <w:tcPr>
            <w:tcW w:w="3176" w:type="dxa"/>
            <w:vAlign w:val="center"/>
          </w:tcPr>
          <w:p w14:paraId="0620322B">
            <w:pPr>
              <w:rPr>
                <w:rFonts w:ascii="仿宋" w:hAnsi="仿宋" w:eastAsia="仿宋" w:cs="仿宋"/>
                <w:color w:val="auto"/>
                <w:sz w:val="24"/>
                <w:highlight w:val="none"/>
              </w:rPr>
            </w:pPr>
          </w:p>
        </w:tc>
      </w:tr>
      <w:tr w14:paraId="31CC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5E717114">
            <w:pPr>
              <w:ind w:left="-126" w:leftChars="-60" w:right="-99" w:rightChars="-47"/>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2149" w:type="dxa"/>
            <w:vAlign w:val="center"/>
          </w:tcPr>
          <w:p w14:paraId="1417E64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成交结果质疑期限</w:t>
            </w:r>
          </w:p>
        </w:tc>
        <w:tc>
          <w:tcPr>
            <w:tcW w:w="3978" w:type="dxa"/>
            <w:vAlign w:val="center"/>
          </w:tcPr>
          <w:p w14:paraId="775693D9">
            <w:pPr>
              <w:jc w:val="left"/>
              <w:rPr>
                <w:rFonts w:ascii="仿宋" w:hAnsi="仿宋" w:eastAsia="仿宋" w:cs="仿宋"/>
                <w:color w:val="auto"/>
                <w:sz w:val="24"/>
                <w:highlight w:val="none"/>
              </w:rPr>
            </w:pPr>
            <w:r>
              <w:rPr>
                <w:rFonts w:hint="eastAsia" w:ascii="仿宋" w:hAnsi="仿宋" w:eastAsia="仿宋" w:cs="仿宋"/>
                <w:color w:val="auto"/>
                <w:sz w:val="24"/>
                <w:highlight w:val="none"/>
              </w:rPr>
              <w:t>成交结果公告期限届满之日起7个工作日内</w:t>
            </w:r>
          </w:p>
        </w:tc>
        <w:tc>
          <w:tcPr>
            <w:tcW w:w="3176" w:type="dxa"/>
            <w:vAlign w:val="center"/>
          </w:tcPr>
          <w:p w14:paraId="0F04411D">
            <w:pPr>
              <w:rPr>
                <w:rFonts w:ascii="仿宋" w:hAnsi="仿宋" w:eastAsia="仿宋" w:cs="仿宋"/>
                <w:color w:val="auto"/>
                <w:sz w:val="24"/>
                <w:highlight w:val="none"/>
              </w:rPr>
            </w:pPr>
          </w:p>
        </w:tc>
      </w:tr>
      <w:tr w14:paraId="05A9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7DF50957">
            <w:pPr>
              <w:ind w:left="-126" w:leftChars="-60" w:right="-99" w:rightChars="-47"/>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2149" w:type="dxa"/>
            <w:vAlign w:val="center"/>
          </w:tcPr>
          <w:p w14:paraId="21D47D1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成交结果投诉期限</w:t>
            </w:r>
          </w:p>
        </w:tc>
        <w:tc>
          <w:tcPr>
            <w:tcW w:w="3978" w:type="dxa"/>
            <w:vAlign w:val="center"/>
          </w:tcPr>
          <w:p w14:paraId="3DC4D94F">
            <w:pPr>
              <w:jc w:val="left"/>
              <w:rPr>
                <w:rFonts w:ascii="仿宋" w:hAnsi="仿宋" w:eastAsia="仿宋" w:cs="仿宋"/>
                <w:color w:val="auto"/>
                <w:sz w:val="24"/>
                <w:highlight w:val="none"/>
              </w:rPr>
            </w:pPr>
            <w:r>
              <w:rPr>
                <w:rFonts w:hint="eastAsia" w:ascii="仿宋" w:hAnsi="仿宋" w:eastAsia="仿宋" w:cs="仿宋"/>
                <w:color w:val="auto"/>
                <w:sz w:val="24"/>
                <w:highlight w:val="none"/>
              </w:rPr>
              <w:t>质疑答复期满后15个工作日</w:t>
            </w:r>
          </w:p>
        </w:tc>
        <w:tc>
          <w:tcPr>
            <w:tcW w:w="3176" w:type="dxa"/>
            <w:vAlign w:val="center"/>
          </w:tcPr>
          <w:p w14:paraId="70C22D08">
            <w:pPr>
              <w:rPr>
                <w:rFonts w:ascii="仿宋" w:hAnsi="仿宋" w:eastAsia="仿宋" w:cs="仿宋"/>
                <w:color w:val="auto"/>
                <w:sz w:val="24"/>
                <w:highlight w:val="none"/>
              </w:rPr>
            </w:pPr>
          </w:p>
        </w:tc>
      </w:tr>
      <w:tr w14:paraId="12E0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35" w:type="dxa"/>
            <w:vAlign w:val="center"/>
          </w:tcPr>
          <w:p w14:paraId="1AD2197E">
            <w:pPr>
              <w:ind w:left="-126" w:leftChars="-60" w:right="-99" w:rightChars="-47"/>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2149" w:type="dxa"/>
            <w:vAlign w:val="center"/>
          </w:tcPr>
          <w:p w14:paraId="7A10C29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签订合同</w:t>
            </w:r>
          </w:p>
        </w:tc>
        <w:tc>
          <w:tcPr>
            <w:tcW w:w="3978" w:type="dxa"/>
            <w:vAlign w:val="center"/>
          </w:tcPr>
          <w:p w14:paraId="1BC0AD9F">
            <w:pPr>
              <w:rPr>
                <w:rFonts w:ascii="仿宋" w:hAnsi="仿宋" w:eastAsia="仿宋" w:cs="仿宋"/>
                <w:color w:val="auto"/>
                <w:sz w:val="24"/>
                <w:highlight w:val="none"/>
              </w:rPr>
            </w:pPr>
            <w:r>
              <w:rPr>
                <w:rFonts w:hint="eastAsia" w:ascii="仿宋" w:hAnsi="仿宋" w:eastAsia="仿宋" w:cs="仿宋"/>
                <w:color w:val="auto"/>
                <w:sz w:val="24"/>
                <w:highlight w:val="none"/>
              </w:rPr>
              <w:t>成交通知书发出之日起</w:t>
            </w:r>
            <w:r>
              <w:rPr>
                <w:rFonts w:hint="eastAsia" w:ascii="仿宋" w:hAnsi="仿宋" w:eastAsia="仿宋" w:cs="仿宋"/>
                <w:color w:val="auto"/>
                <w:sz w:val="24"/>
                <w:highlight w:val="none"/>
                <w:u w:val="single"/>
              </w:rPr>
              <w:t>30</w:t>
            </w:r>
            <w:r>
              <w:rPr>
                <w:rFonts w:hint="eastAsia" w:ascii="仿宋" w:hAnsi="仿宋" w:eastAsia="仿宋" w:cs="仿宋"/>
                <w:color w:val="auto"/>
                <w:sz w:val="24"/>
                <w:highlight w:val="none"/>
              </w:rPr>
              <w:t>日内，按照磋商文件和成交人磋商响应文件的规定，与成交人签订书面合同。</w:t>
            </w:r>
          </w:p>
        </w:tc>
        <w:tc>
          <w:tcPr>
            <w:tcW w:w="3176" w:type="dxa"/>
            <w:vAlign w:val="center"/>
          </w:tcPr>
          <w:p w14:paraId="4A5189E9">
            <w:pPr>
              <w:rPr>
                <w:rFonts w:ascii="仿宋" w:hAnsi="仿宋" w:eastAsia="仿宋" w:cs="仿宋"/>
                <w:color w:val="auto"/>
                <w:sz w:val="24"/>
                <w:highlight w:val="none"/>
              </w:rPr>
            </w:pPr>
          </w:p>
        </w:tc>
      </w:tr>
    </w:tbl>
    <w:p w14:paraId="7179CFBA">
      <w:pPr>
        <w:snapToGrid w:val="0"/>
        <w:spacing w:line="360" w:lineRule="auto"/>
        <w:jc w:val="center"/>
        <w:rPr>
          <w:rFonts w:ascii="仿宋" w:hAnsi="仿宋" w:eastAsia="仿宋" w:cs="仿宋"/>
          <w:b/>
          <w:color w:val="auto"/>
          <w:sz w:val="32"/>
          <w:szCs w:val="20"/>
          <w:highlight w:val="none"/>
        </w:rPr>
      </w:pPr>
    </w:p>
    <w:p w14:paraId="16F37276">
      <w:pPr>
        <w:pStyle w:val="27"/>
        <w:ind w:left="1063" w:hanging="643"/>
        <w:rPr>
          <w:rFonts w:ascii="仿宋" w:hAnsi="仿宋" w:eastAsia="仿宋" w:cs="仿宋"/>
          <w:b/>
          <w:color w:val="auto"/>
          <w:sz w:val="32"/>
          <w:szCs w:val="20"/>
          <w:highlight w:val="none"/>
        </w:rPr>
      </w:pPr>
    </w:p>
    <w:p w14:paraId="6B4CD708">
      <w:pPr>
        <w:pStyle w:val="27"/>
        <w:ind w:left="1063" w:hanging="643"/>
        <w:rPr>
          <w:rFonts w:ascii="仿宋" w:hAnsi="仿宋" w:eastAsia="仿宋" w:cs="仿宋"/>
          <w:b/>
          <w:color w:val="auto"/>
          <w:sz w:val="32"/>
          <w:szCs w:val="20"/>
          <w:highlight w:val="none"/>
        </w:rPr>
      </w:pPr>
    </w:p>
    <w:bookmarkEnd w:id="21"/>
    <w:p w14:paraId="3328463A">
      <w:pPr>
        <w:pStyle w:val="60"/>
        <w:widowControl w:val="0"/>
        <w:numPr>
          <w:ilvl w:val="0"/>
          <w:numId w:val="4"/>
        </w:numPr>
        <w:tabs>
          <w:tab w:val="left" w:pos="0"/>
        </w:tabs>
        <w:overflowPunct/>
        <w:autoSpaceDE/>
        <w:autoSpaceDN/>
        <w:adjustRightInd/>
        <w:spacing w:before="240" w:beforeLines="100" w:after="240" w:afterLines="100"/>
        <w:ind w:firstLine="0"/>
        <w:jc w:val="left"/>
        <w:textAlignment w:val="auto"/>
        <w:outlineLvl w:val="1"/>
        <w:rPr>
          <w:rFonts w:ascii="仿宋" w:hAnsi="仿宋" w:eastAsia="仿宋" w:cs="仿宋"/>
          <w:bCs/>
          <w:color w:val="auto"/>
          <w:kern w:val="2"/>
          <w:sz w:val="30"/>
          <w:szCs w:val="30"/>
          <w:highlight w:val="none"/>
          <w:lang w:val="en-US"/>
        </w:rPr>
      </w:pPr>
      <w:bookmarkStart w:id="79" w:name="_Toc14585"/>
      <w:bookmarkStart w:id="80" w:name="_Toc27277"/>
      <w:bookmarkStart w:id="81" w:name="_Toc139797595"/>
      <w:bookmarkStart w:id="82" w:name="_Toc164416483"/>
      <w:bookmarkStart w:id="83" w:name="第三部分"/>
      <w:r>
        <w:rPr>
          <w:rFonts w:hint="eastAsia" w:ascii="仿宋" w:hAnsi="仿宋" w:eastAsia="仿宋" w:cs="仿宋"/>
          <w:bCs/>
          <w:color w:val="auto"/>
          <w:kern w:val="2"/>
          <w:sz w:val="30"/>
          <w:szCs w:val="30"/>
          <w:highlight w:val="none"/>
          <w:lang w:val="en-US"/>
        </w:rPr>
        <w:t>总则</w:t>
      </w:r>
      <w:bookmarkEnd w:id="79"/>
      <w:bookmarkEnd w:id="80"/>
      <w:bookmarkEnd w:id="81"/>
    </w:p>
    <w:p w14:paraId="01BF6D82">
      <w:pPr>
        <w:pStyle w:val="51"/>
        <w:rPr>
          <w:color w:val="auto"/>
          <w:highlight w:val="none"/>
        </w:rPr>
      </w:pPr>
    </w:p>
    <w:p w14:paraId="05D618FE">
      <w:pPr>
        <w:pStyle w:val="967"/>
        <w:numPr>
          <w:ilvl w:val="0"/>
          <w:numId w:val="5"/>
        </w:numPr>
        <w:adjustRightInd/>
        <w:spacing w:line="360" w:lineRule="auto"/>
        <w:ind w:left="0" w:firstLine="482" w:firstLineChars="200"/>
        <w:rPr>
          <w:rFonts w:ascii="仿宋" w:hAnsi="仿宋" w:eastAsia="仿宋" w:cs="仿宋"/>
          <w:color w:val="auto"/>
          <w:szCs w:val="20"/>
          <w:highlight w:val="none"/>
        </w:rPr>
      </w:pPr>
      <w:bookmarkStart w:id="84" w:name="_Toc30194"/>
      <w:bookmarkStart w:id="85" w:name="_Toc12630"/>
      <w:bookmarkStart w:id="86" w:name="_Toc139797596"/>
      <w:r>
        <w:rPr>
          <w:rFonts w:hint="eastAsia" w:ascii="仿宋" w:hAnsi="仿宋" w:eastAsia="仿宋" w:cs="仿宋"/>
          <w:color w:val="auto"/>
          <w:szCs w:val="20"/>
          <w:highlight w:val="none"/>
        </w:rPr>
        <w:t>适用范围</w:t>
      </w:r>
      <w:bookmarkEnd w:id="84"/>
      <w:bookmarkEnd w:id="85"/>
      <w:bookmarkEnd w:id="86"/>
    </w:p>
    <w:p w14:paraId="454C8BA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E8646D7">
      <w:pPr>
        <w:pStyle w:val="967"/>
        <w:numPr>
          <w:ilvl w:val="0"/>
          <w:numId w:val="5"/>
        </w:numPr>
        <w:adjustRightInd/>
        <w:spacing w:line="360" w:lineRule="auto"/>
        <w:ind w:left="0" w:firstLine="482" w:firstLineChars="200"/>
        <w:rPr>
          <w:rFonts w:ascii="仿宋" w:hAnsi="仿宋" w:eastAsia="仿宋" w:cs="仿宋"/>
          <w:color w:val="auto"/>
          <w:szCs w:val="20"/>
          <w:highlight w:val="none"/>
        </w:rPr>
      </w:pPr>
      <w:bookmarkStart w:id="87" w:name="_Toc139797597"/>
      <w:bookmarkStart w:id="88" w:name="_Toc21051"/>
      <w:bookmarkStart w:id="89" w:name="_Toc11489"/>
      <w:r>
        <w:rPr>
          <w:rFonts w:hint="eastAsia" w:ascii="仿宋" w:hAnsi="仿宋" w:eastAsia="仿宋" w:cs="仿宋"/>
          <w:color w:val="auto"/>
          <w:szCs w:val="20"/>
          <w:highlight w:val="none"/>
        </w:rPr>
        <w:t>定义</w:t>
      </w:r>
      <w:bookmarkEnd w:id="87"/>
      <w:bookmarkEnd w:id="88"/>
      <w:bookmarkEnd w:id="89"/>
    </w:p>
    <w:p w14:paraId="4754F3E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57ADC56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“采购代理机构”系指竞争性磋商公告中载明的本项目的采购代理机构。</w:t>
      </w:r>
    </w:p>
    <w:p w14:paraId="5554DDC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“供应商”系指是指按照本磋商文件的规定提交响应文件和报价、参与竞争性磋商采购活动的法人、其他组织或者自然人。</w:t>
      </w:r>
    </w:p>
    <w:p w14:paraId="0136A93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2F51911">
      <w:pPr>
        <w:spacing w:line="360" w:lineRule="auto"/>
        <w:ind w:left="959" w:leftChars="228"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2.5 “供应商代表”系指负责人或其授权的委托代理人；</w:t>
      </w:r>
    </w:p>
    <w:p w14:paraId="7BAEDB71">
      <w:pPr>
        <w:spacing w:line="360" w:lineRule="auto"/>
        <w:ind w:left="959" w:leftChars="228"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2.6 “合同”系指采购人与成交人双方签署的规定双方权利与义务的协议，</w:t>
      </w:r>
    </w:p>
    <w:p w14:paraId="79B466F3">
      <w:pPr>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以及所有附件、附录、磋商文件和磋商响应文件所提到的构成合同的所有文件；</w:t>
      </w:r>
    </w:p>
    <w:p w14:paraId="175C13B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2.7“电子签名”系指数据电文中以电子形式所含、所附用于识别签名人身份并表明签名人认可其中内容的数据；“公章”系指单位法定名称章。</w:t>
      </w:r>
    </w:p>
    <w:p w14:paraId="0557B30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2.8“电子交易平台”系指本项目政府采购活动所依托的政府采购云平台（https://www.zcygov.cn/）。</w:t>
      </w:r>
    </w:p>
    <w:p w14:paraId="5138E147">
      <w:pPr>
        <w:spacing w:line="360" w:lineRule="auto"/>
        <w:ind w:left="959" w:leftChars="228"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2.9  “电子磋商响应文件”系指供应商通过“政采云电子交易客户端”编</w:t>
      </w:r>
    </w:p>
    <w:p w14:paraId="15B8B6C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制的数据电文形式的“电子加密磋商响应文件”。</w:t>
      </w:r>
    </w:p>
    <w:p w14:paraId="3383E3E1">
      <w:pPr>
        <w:spacing w:line="360" w:lineRule="auto"/>
        <w:ind w:left="959" w:leftChars="228"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2.10“备份磋商响应文件”系指与“电子磋商响应文件”同时生成的数据电</w:t>
      </w:r>
    </w:p>
    <w:p w14:paraId="37B6286B">
      <w:pPr>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文形式的电子文件。</w:t>
      </w:r>
    </w:p>
    <w:p w14:paraId="7A9E945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标有“▲”符号均属于“实质性条款”，不允许负偏离；</w:t>
      </w:r>
    </w:p>
    <w:p w14:paraId="787F72A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标有“☑” 系指适用本项目的要求，“□” 系指不适用本项目的要求，标有“●”系指项目重要参数指标或条款；</w:t>
      </w:r>
    </w:p>
    <w:p w14:paraId="6FDF5E0B">
      <w:pPr>
        <w:spacing w:line="360" w:lineRule="auto"/>
        <w:ind w:left="959" w:leftChars="228"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2.13 “电子磋商响应文件”系指供应商通过“政采云电子交易客户端”编</w:t>
      </w:r>
    </w:p>
    <w:p w14:paraId="112E9B5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制的数据电文形式的“电子加密磋商响应文件”。</w:t>
      </w:r>
    </w:p>
    <w:p w14:paraId="198317CF">
      <w:pPr>
        <w:spacing w:line="360" w:lineRule="auto"/>
        <w:ind w:left="959" w:leftChars="228"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2.14 “备份磋商响应文件”系指与“电子磋商响应文件”同时生成的数据</w:t>
      </w:r>
    </w:p>
    <w:p w14:paraId="2E2A514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电文形式的电子文件。</w:t>
      </w:r>
    </w:p>
    <w:p w14:paraId="3FF0FA13">
      <w:pPr>
        <w:spacing w:line="360" w:lineRule="auto"/>
        <w:ind w:left="959" w:leftChars="228"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2.15  “磋商响应文件”系指供应商提交的首次响应文件及磋商过程中的所</w:t>
      </w:r>
    </w:p>
    <w:p w14:paraId="1851D44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有有效文件。</w:t>
      </w:r>
    </w:p>
    <w:p w14:paraId="35C20CBC">
      <w:pPr>
        <w:pStyle w:val="967"/>
        <w:numPr>
          <w:ilvl w:val="0"/>
          <w:numId w:val="5"/>
        </w:numPr>
        <w:adjustRightInd/>
        <w:spacing w:line="360" w:lineRule="auto"/>
        <w:ind w:left="0" w:firstLine="482" w:firstLineChars="200"/>
        <w:rPr>
          <w:rFonts w:ascii="仿宋" w:hAnsi="仿宋" w:eastAsia="仿宋" w:cs="仿宋"/>
          <w:color w:val="auto"/>
          <w:szCs w:val="20"/>
          <w:highlight w:val="none"/>
        </w:rPr>
      </w:pPr>
      <w:bookmarkStart w:id="90" w:name="_Toc5351"/>
      <w:bookmarkStart w:id="91" w:name="_Toc7184"/>
      <w:bookmarkStart w:id="92" w:name="_Toc139797598"/>
      <w:r>
        <w:rPr>
          <w:rFonts w:hint="eastAsia" w:ascii="仿宋" w:hAnsi="仿宋" w:eastAsia="仿宋" w:cs="仿宋"/>
          <w:color w:val="auto"/>
          <w:szCs w:val="20"/>
          <w:highlight w:val="none"/>
        </w:rPr>
        <w:t>采购项目需要落实的政府采购政策</w:t>
      </w:r>
      <w:bookmarkEnd w:id="90"/>
      <w:bookmarkEnd w:id="91"/>
      <w:bookmarkEnd w:id="92"/>
    </w:p>
    <w:p w14:paraId="253619E1">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3.1 是否允许采购进口产品要求</w:t>
      </w:r>
    </w:p>
    <w:p w14:paraId="10B12E2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375795BC">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3.2 支持绿色发展</w:t>
      </w:r>
    </w:p>
    <w:p w14:paraId="469FB1AB">
      <w:pPr>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rPr>
        <w:t>节能产品、环境标志产品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42E1C2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1D21A1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CF5BA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9BFD353">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3.3支持中小企业发展</w:t>
      </w:r>
    </w:p>
    <w:p w14:paraId="4A8B298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DF983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398467B">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在政府采购活动中，供应商提供的服务符合下列情形的，享受中小企业扶持政策：</w:t>
      </w:r>
      <w:r>
        <w:rPr>
          <w:rFonts w:hint="eastAsia" w:ascii="仿宋" w:hAnsi="仿宋" w:eastAsia="仿宋" w:cs="仿宋"/>
          <w:color w:val="auto"/>
          <w:sz w:val="24"/>
          <w:highlight w:val="none"/>
        </w:rPr>
        <w:t>在</w:t>
      </w:r>
      <w:r>
        <w:rPr>
          <w:rFonts w:hint="eastAsia" w:ascii="仿宋" w:hAnsi="仿宋" w:eastAsia="仿宋" w:cs="仿宋"/>
          <w:color w:val="auto"/>
          <w:kern w:val="0"/>
          <w:sz w:val="24"/>
          <w:highlight w:val="none"/>
        </w:rPr>
        <w:t>服务</w:t>
      </w:r>
      <w:r>
        <w:rPr>
          <w:rFonts w:hint="eastAsia" w:ascii="仿宋" w:hAnsi="仿宋" w:eastAsia="仿宋" w:cs="仿宋"/>
          <w:color w:val="auto"/>
          <w:sz w:val="24"/>
          <w:highlight w:val="none"/>
        </w:rPr>
        <w:t>采购项目中，服务由中小企业承接，即提供服务的人员为中小企业依照《中华人民共和国劳动合同法》订立劳动合同的从业人员</w:t>
      </w:r>
      <w:r>
        <w:rPr>
          <w:rFonts w:hint="eastAsia" w:ascii="仿宋" w:hAnsi="仿宋" w:eastAsia="仿宋" w:cs="仿宋"/>
          <w:color w:val="auto"/>
          <w:kern w:val="0"/>
          <w:sz w:val="24"/>
          <w:highlight w:val="none"/>
        </w:rPr>
        <w:t>。</w:t>
      </w:r>
    </w:p>
    <w:p w14:paraId="4FF993D6">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w:t>
      </w:r>
      <w:r>
        <w:rPr>
          <w:rFonts w:hint="eastAsia" w:ascii="仿宋" w:hAnsi="仿宋" w:eastAsia="仿宋" w:cs="仿宋"/>
          <w:color w:val="auto"/>
          <w:sz w:val="24"/>
          <w:highlight w:val="none"/>
        </w:rPr>
        <w:t>小型、微型</w:t>
      </w:r>
      <w:r>
        <w:rPr>
          <w:rFonts w:hint="eastAsia" w:ascii="仿宋" w:hAnsi="仿宋" w:eastAsia="仿宋" w:cs="仿宋"/>
          <w:color w:val="auto"/>
          <w:kern w:val="0"/>
          <w:sz w:val="24"/>
          <w:highlight w:val="none"/>
        </w:rPr>
        <w:t>企业的，联合体视同</w:t>
      </w:r>
      <w:r>
        <w:rPr>
          <w:rFonts w:hint="eastAsia" w:ascii="仿宋" w:hAnsi="仿宋" w:eastAsia="仿宋" w:cs="仿宋"/>
          <w:color w:val="auto"/>
          <w:sz w:val="24"/>
          <w:highlight w:val="none"/>
        </w:rPr>
        <w:t>小型、微型</w:t>
      </w:r>
      <w:r>
        <w:rPr>
          <w:rFonts w:hint="eastAsia" w:ascii="仿宋" w:hAnsi="仿宋" w:eastAsia="仿宋" w:cs="仿宋"/>
          <w:color w:val="auto"/>
          <w:kern w:val="0"/>
          <w:sz w:val="24"/>
          <w:highlight w:val="none"/>
        </w:rPr>
        <w:t>企业。</w:t>
      </w:r>
    </w:p>
    <w:p w14:paraId="0ED99A0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3.3.3对于未预留份额专门面向中小企业的政府采购服务项目，以及预留份额政府采购工程项目中的非预留部分标项，对小型和微型企业的最后报价给予</w:t>
      </w:r>
      <w:r>
        <w:rPr>
          <w:rFonts w:hint="eastAsia" w:ascii="仿宋" w:hAnsi="仿宋" w:eastAsia="仿宋" w:cs="仿宋"/>
          <w:color w:val="auto"/>
          <w:sz w:val="24"/>
          <w:highlight w:val="none"/>
          <w:u w:val="single"/>
        </w:rPr>
        <w:t xml:space="preserve">      10%</w:t>
      </w:r>
      <w:r>
        <w:rPr>
          <w:rFonts w:hint="eastAsia" w:ascii="仿宋" w:hAnsi="仿宋" w:eastAsia="仿宋" w:cs="仿宋"/>
          <w:color w:val="auto"/>
          <w:sz w:val="24"/>
          <w:highlight w:val="none"/>
        </w:rPr>
        <w:t xml:space="preserve"> 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仿宋" w:hAnsi="仿宋" w:eastAsia="仿宋" w:cs="仿宋"/>
          <w:color w:val="auto"/>
          <w:sz w:val="24"/>
          <w:highlight w:val="none"/>
          <w:u w:val="single"/>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21D9567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符合《关于促进残疾人就业政府采购政策的通知》（财库〔2017〕141号）规定的条件并提供《残疾人福利性单位声明函》的，则视同小型、微型企业，享受</w:t>
      </w:r>
      <w:r>
        <w:rPr>
          <w:rFonts w:hint="eastAsia" w:ascii="仿宋" w:hAnsi="仿宋" w:eastAsia="仿宋" w:cs="仿宋"/>
          <w:color w:val="auto"/>
          <w:kern w:val="0"/>
          <w:sz w:val="24"/>
          <w:highlight w:val="none"/>
        </w:rPr>
        <w:t>中小企业扶持政策</w:t>
      </w:r>
      <w:r>
        <w:rPr>
          <w:rFonts w:hint="eastAsia" w:ascii="仿宋" w:hAnsi="仿宋" w:eastAsia="仿宋" w:cs="仿宋"/>
          <w:color w:val="auto"/>
          <w:sz w:val="24"/>
          <w:highlight w:val="none"/>
        </w:rPr>
        <w:t>；</w:t>
      </w:r>
    </w:p>
    <w:p w14:paraId="3C9B043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则视同小型、微型企业，享受</w:t>
      </w:r>
      <w:r>
        <w:rPr>
          <w:rFonts w:hint="eastAsia" w:ascii="仿宋" w:hAnsi="仿宋" w:eastAsia="仿宋" w:cs="仿宋"/>
          <w:color w:val="auto"/>
          <w:kern w:val="0"/>
          <w:sz w:val="24"/>
          <w:highlight w:val="none"/>
        </w:rPr>
        <w:t>中小企业扶持政策</w:t>
      </w:r>
      <w:r>
        <w:rPr>
          <w:rFonts w:hint="eastAsia" w:ascii="仿宋" w:hAnsi="仿宋" w:eastAsia="仿宋" w:cs="仿宋"/>
          <w:color w:val="auto"/>
          <w:sz w:val="24"/>
          <w:highlight w:val="none"/>
        </w:rPr>
        <w:t>。</w:t>
      </w:r>
    </w:p>
    <w:p w14:paraId="454DCCE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68D169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68F3667">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3.4支持创新发展</w:t>
      </w:r>
    </w:p>
    <w:p w14:paraId="3828D5A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F62D62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543B314">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3.5平等对待内外资企业和符合条件的破产重整企业：</w:t>
      </w:r>
    </w:p>
    <w:p w14:paraId="564D22F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7DEC5C73">
      <w:pPr>
        <w:pStyle w:val="967"/>
        <w:numPr>
          <w:ilvl w:val="0"/>
          <w:numId w:val="5"/>
        </w:numPr>
        <w:adjustRightInd/>
        <w:spacing w:line="360" w:lineRule="auto"/>
        <w:ind w:left="0" w:firstLine="482" w:firstLineChars="200"/>
        <w:rPr>
          <w:rFonts w:ascii="仿宋" w:hAnsi="仿宋" w:eastAsia="仿宋" w:cs="仿宋"/>
          <w:color w:val="auto"/>
          <w:szCs w:val="20"/>
          <w:highlight w:val="none"/>
        </w:rPr>
      </w:pPr>
      <w:bookmarkStart w:id="93" w:name="_Toc139797599"/>
      <w:bookmarkStart w:id="94" w:name="_Toc3450"/>
      <w:bookmarkStart w:id="95" w:name="_Toc14852"/>
      <w:r>
        <w:rPr>
          <w:rFonts w:hint="eastAsia" w:ascii="仿宋" w:hAnsi="仿宋" w:eastAsia="仿宋" w:cs="仿宋"/>
          <w:color w:val="auto"/>
          <w:szCs w:val="20"/>
          <w:highlight w:val="none"/>
          <w:lang w:val="zh-CN"/>
        </w:rPr>
        <w:t>询问、质疑、投诉</w:t>
      </w:r>
      <w:bookmarkEnd w:id="93"/>
      <w:bookmarkEnd w:id="94"/>
      <w:bookmarkEnd w:id="95"/>
    </w:p>
    <w:p w14:paraId="085F9D77">
      <w:pPr>
        <w:pStyle w:val="889"/>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4.1在线询问、质疑、投诉</w:t>
      </w:r>
    </w:p>
    <w:p w14:paraId="173678BF">
      <w:pPr>
        <w:pStyle w:val="889"/>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967ACE">
      <w:pPr>
        <w:autoSpaceDE w:val="0"/>
        <w:autoSpaceDN w:val="0"/>
        <w:snapToGrid w:val="0"/>
        <w:spacing w:line="360" w:lineRule="auto"/>
        <w:ind w:firstLine="482" w:firstLineChars="200"/>
        <w:jc w:val="left"/>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4.2供应商询问</w:t>
      </w:r>
    </w:p>
    <w:p w14:paraId="175266D7">
      <w:pPr>
        <w:autoSpaceDE w:val="0"/>
        <w:autoSpaceDN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D9AC93">
      <w:pPr>
        <w:autoSpaceDE w:val="0"/>
        <w:autoSpaceDN w:val="0"/>
        <w:snapToGrid w:val="0"/>
        <w:spacing w:line="360" w:lineRule="auto"/>
        <w:ind w:firstLine="482" w:firstLineChars="200"/>
        <w:jc w:val="left"/>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4.3供应商质疑</w:t>
      </w:r>
    </w:p>
    <w:p w14:paraId="08023420">
      <w:pPr>
        <w:pStyle w:val="33"/>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34F293BB">
      <w:pPr>
        <w:pStyle w:val="33"/>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A0175F8">
      <w:pPr>
        <w:pStyle w:val="17"/>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4.3.2.1对采购文件提出质疑的，质疑期限为供应商获得采购文件之日或者采购文件公告期限届满之日起计算。</w:t>
      </w:r>
    </w:p>
    <w:p w14:paraId="5ED59467">
      <w:pPr>
        <w:pStyle w:val="33"/>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1512A7C7">
      <w:pPr>
        <w:pStyle w:val="33"/>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4141FEF8">
      <w:pPr>
        <w:pStyle w:val="33"/>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14005C17">
      <w:pPr>
        <w:pStyle w:val="33"/>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4.3.3.1供应商的姓名或者名称、地址、邮编、联系人及联系电话；</w:t>
      </w:r>
    </w:p>
    <w:p w14:paraId="21404157">
      <w:pPr>
        <w:pStyle w:val="33"/>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4.3.3.2质疑项目的名称、编号；</w:t>
      </w:r>
    </w:p>
    <w:p w14:paraId="723374D2">
      <w:pPr>
        <w:pStyle w:val="33"/>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4.3.3.3具体、明确的质疑事项和与质疑事项相关的请求；</w:t>
      </w:r>
    </w:p>
    <w:p w14:paraId="720E0DA6">
      <w:pPr>
        <w:pStyle w:val="33"/>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4.3.3.4事实依据；</w:t>
      </w:r>
    </w:p>
    <w:p w14:paraId="79EE8825">
      <w:pPr>
        <w:pStyle w:val="33"/>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4.3.3.5必要的法律依据；</w:t>
      </w:r>
    </w:p>
    <w:p w14:paraId="7382B50E">
      <w:pPr>
        <w:pStyle w:val="33"/>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1992DB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质疑人可直接在线提交、传真或邮寄方式提交质疑函（一式三份以上）。以其他方式提出的质疑，采购人或采购代理机构可不予接受、答复。</w:t>
      </w:r>
    </w:p>
    <w:p w14:paraId="74404439">
      <w:pPr>
        <w:numPr>
          <w:ilvl w:val="0"/>
          <w:numId w:val="6"/>
        </w:numPr>
        <w:spacing w:line="360" w:lineRule="auto"/>
        <w:ind w:left="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政采云在线提起质疑，路径为：政采云-项目采购-询问质疑投诉-质疑列表。</w:t>
      </w:r>
    </w:p>
    <w:p w14:paraId="0CD36A9C">
      <w:pPr>
        <w:numPr>
          <w:ilvl w:val="0"/>
          <w:numId w:val="6"/>
        </w:numPr>
        <w:spacing w:line="360" w:lineRule="auto"/>
        <w:ind w:left="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邮寄方式送达质疑函的，以采购人或采购代理机构实际收到邮件之日作为收到质疑的日期。</w:t>
      </w:r>
    </w:p>
    <w:p w14:paraId="2514332D">
      <w:pPr>
        <w:numPr>
          <w:ilvl w:val="0"/>
          <w:numId w:val="6"/>
        </w:numPr>
        <w:spacing w:line="360" w:lineRule="auto"/>
        <w:ind w:left="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1D9D42B7">
      <w:pPr>
        <w:numPr>
          <w:ilvl w:val="0"/>
          <w:numId w:val="6"/>
        </w:numPr>
        <w:spacing w:line="360" w:lineRule="auto"/>
        <w:ind w:left="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在质疑期限届满前，质疑函已经邮寄或传真成功的，质疑不视为过期。</w:t>
      </w:r>
    </w:p>
    <w:p w14:paraId="22C13C61">
      <w:pPr>
        <w:pStyle w:val="889"/>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396414ED">
      <w:pPr>
        <w:pStyle w:val="889"/>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4.3.5相关当事人提供外文证书或者外国语视听资料的，应当附有中文译本，由翻译机构盖章或者翻译人员签名。</w:t>
      </w:r>
    </w:p>
    <w:p w14:paraId="17F75C15">
      <w:pPr>
        <w:pStyle w:val="889"/>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58CA3A2D">
      <w:pPr>
        <w:pStyle w:val="889"/>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366FE10">
      <w:pPr>
        <w:spacing w:line="360" w:lineRule="auto"/>
        <w:ind w:left="959" w:leftChars="228"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4.3.7质疑人捏造事实、提供虚假材料进行质疑的，采购人或采购代理机构</w:t>
      </w:r>
    </w:p>
    <w:p w14:paraId="512C813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报告同级政府采购监督管理部门，由同级政府采购监督管理部门审查，情况属实的，应列入不良行为记录，并在指定的媒体上公告；</w:t>
      </w:r>
    </w:p>
    <w:p w14:paraId="66EB9758">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4.3.8</w:t>
      </w:r>
      <w:r>
        <w:rPr>
          <w:rFonts w:hint="eastAsia" w:ascii="仿宋" w:hAnsi="仿宋" w:eastAsia="仿宋" w:cs="仿宋"/>
          <w:b/>
          <w:color w:val="auto"/>
          <w:sz w:val="24"/>
          <w:szCs w:val="24"/>
          <w:highlight w:val="none"/>
        </w:rPr>
        <w:t>质疑答复</w:t>
      </w:r>
    </w:p>
    <w:p w14:paraId="6D172803">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质疑答复责任主体如下：</w:t>
      </w:r>
    </w:p>
    <w:p w14:paraId="02630E97">
      <w:pPr>
        <w:widowControl/>
        <w:adjustRightInd/>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质疑答复责任主体一览表</w:t>
      </w:r>
    </w:p>
    <w:tbl>
      <w:tblPr>
        <w:tblStyle w:val="64"/>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3789"/>
        <w:gridCol w:w="2685"/>
      </w:tblGrid>
      <w:tr w14:paraId="640C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109" w:type="dxa"/>
            <w:gridSpan w:val="2"/>
            <w:vAlign w:val="center"/>
          </w:tcPr>
          <w:p w14:paraId="14FCBA03">
            <w:pPr>
              <w:pStyle w:val="3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质疑内容</w:t>
            </w:r>
          </w:p>
        </w:tc>
        <w:tc>
          <w:tcPr>
            <w:tcW w:w="2685" w:type="dxa"/>
            <w:vAlign w:val="center"/>
          </w:tcPr>
          <w:p w14:paraId="5A55CB69">
            <w:pPr>
              <w:pStyle w:val="3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质疑答复责任主体</w:t>
            </w:r>
          </w:p>
        </w:tc>
      </w:tr>
      <w:tr w14:paraId="749C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restart"/>
            <w:vAlign w:val="center"/>
          </w:tcPr>
          <w:p w14:paraId="567E84E3">
            <w:pPr>
              <w:pStyle w:val="3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对采购文件提出质疑</w:t>
            </w:r>
          </w:p>
        </w:tc>
        <w:tc>
          <w:tcPr>
            <w:tcW w:w="3789" w:type="dxa"/>
            <w:vAlign w:val="center"/>
          </w:tcPr>
          <w:p w14:paraId="70A87957">
            <w:pPr>
              <w:pStyle w:val="33"/>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对采购文件中特定资格条件、采购需求、评审办法、评审标准提出的质疑</w:t>
            </w:r>
          </w:p>
        </w:tc>
        <w:tc>
          <w:tcPr>
            <w:tcW w:w="2685" w:type="dxa"/>
            <w:vMerge w:val="restart"/>
            <w:vAlign w:val="center"/>
          </w:tcPr>
          <w:p w14:paraId="0B12D38C">
            <w:pPr>
              <w:pStyle w:val="3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采购人和采购代理机构</w:t>
            </w:r>
          </w:p>
        </w:tc>
      </w:tr>
      <w:tr w14:paraId="3272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14:paraId="7ABF4EBC">
            <w:pPr>
              <w:pStyle w:val="33"/>
              <w:jc w:val="center"/>
              <w:rPr>
                <w:rFonts w:ascii="仿宋" w:hAnsi="仿宋" w:eastAsia="仿宋" w:cs="仿宋"/>
                <w:color w:val="auto"/>
                <w:sz w:val="24"/>
                <w:szCs w:val="24"/>
                <w:highlight w:val="none"/>
              </w:rPr>
            </w:pPr>
          </w:p>
        </w:tc>
        <w:tc>
          <w:tcPr>
            <w:tcW w:w="3789" w:type="dxa"/>
            <w:vAlign w:val="center"/>
          </w:tcPr>
          <w:p w14:paraId="2B848C17">
            <w:pPr>
              <w:pStyle w:val="33"/>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对采购文件中其他内容提出的质疑</w:t>
            </w:r>
          </w:p>
        </w:tc>
        <w:tc>
          <w:tcPr>
            <w:tcW w:w="2685" w:type="dxa"/>
            <w:vMerge w:val="continue"/>
            <w:vAlign w:val="center"/>
          </w:tcPr>
          <w:p w14:paraId="22715BA5">
            <w:pPr>
              <w:pStyle w:val="33"/>
              <w:jc w:val="center"/>
              <w:rPr>
                <w:rFonts w:ascii="仿宋" w:hAnsi="仿宋" w:eastAsia="仿宋" w:cs="仿宋"/>
                <w:color w:val="auto"/>
                <w:sz w:val="24"/>
                <w:szCs w:val="24"/>
                <w:highlight w:val="none"/>
              </w:rPr>
            </w:pPr>
          </w:p>
        </w:tc>
      </w:tr>
      <w:tr w14:paraId="4525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restart"/>
            <w:vAlign w:val="center"/>
          </w:tcPr>
          <w:p w14:paraId="1AC79AFE">
            <w:pPr>
              <w:pStyle w:val="3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对采购过程提出质疑</w:t>
            </w:r>
          </w:p>
        </w:tc>
        <w:tc>
          <w:tcPr>
            <w:tcW w:w="3789" w:type="dxa"/>
            <w:vAlign w:val="center"/>
          </w:tcPr>
          <w:p w14:paraId="33F672A2">
            <w:pPr>
              <w:pStyle w:val="33"/>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有关现场考察或开启响应文件前答疑会事项提出的质疑</w:t>
            </w:r>
          </w:p>
        </w:tc>
        <w:tc>
          <w:tcPr>
            <w:tcW w:w="2685" w:type="dxa"/>
            <w:vMerge w:val="continue"/>
            <w:vAlign w:val="center"/>
          </w:tcPr>
          <w:p w14:paraId="4C644656">
            <w:pPr>
              <w:pStyle w:val="33"/>
              <w:jc w:val="center"/>
              <w:rPr>
                <w:rFonts w:ascii="仿宋" w:hAnsi="仿宋" w:eastAsia="仿宋" w:cs="仿宋"/>
                <w:color w:val="auto"/>
                <w:sz w:val="24"/>
                <w:szCs w:val="24"/>
                <w:highlight w:val="none"/>
              </w:rPr>
            </w:pPr>
          </w:p>
        </w:tc>
      </w:tr>
      <w:tr w14:paraId="0B24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14:paraId="6EE25F48">
            <w:pPr>
              <w:pStyle w:val="33"/>
              <w:jc w:val="center"/>
              <w:rPr>
                <w:rFonts w:ascii="仿宋" w:hAnsi="仿宋" w:eastAsia="仿宋" w:cs="仿宋"/>
                <w:color w:val="auto"/>
                <w:sz w:val="24"/>
                <w:szCs w:val="24"/>
                <w:highlight w:val="none"/>
              </w:rPr>
            </w:pPr>
          </w:p>
        </w:tc>
        <w:tc>
          <w:tcPr>
            <w:tcW w:w="3789" w:type="dxa"/>
            <w:vAlign w:val="center"/>
          </w:tcPr>
          <w:p w14:paraId="1522C4AF">
            <w:pPr>
              <w:pStyle w:val="33"/>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对采购过程中其它事项提出的质疑</w:t>
            </w:r>
          </w:p>
        </w:tc>
        <w:tc>
          <w:tcPr>
            <w:tcW w:w="2685" w:type="dxa"/>
            <w:vMerge w:val="continue"/>
            <w:vAlign w:val="center"/>
          </w:tcPr>
          <w:p w14:paraId="0CA0978F">
            <w:pPr>
              <w:pStyle w:val="33"/>
              <w:jc w:val="center"/>
              <w:rPr>
                <w:rFonts w:ascii="仿宋" w:hAnsi="仿宋" w:eastAsia="仿宋" w:cs="仿宋"/>
                <w:color w:val="auto"/>
                <w:sz w:val="24"/>
                <w:szCs w:val="24"/>
                <w:highlight w:val="none"/>
              </w:rPr>
            </w:pPr>
          </w:p>
        </w:tc>
      </w:tr>
      <w:tr w14:paraId="0BB8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Align w:val="center"/>
          </w:tcPr>
          <w:p w14:paraId="668C44AF">
            <w:pPr>
              <w:pStyle w:val="3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对采购结果提出质疑</w:t>
            </w:r>
          </w:p>
        </w:tc>
        <w:tc>
          <w:tcPr>
            <w:tcW w:w="3789" w:type="dxa"/>
            <w:vAlign w:val="center"/>
          </w:tcPr>
          <w:p w14:paraId="652E1279">
            <w:pPr>
              <w:pStyle w:val="33"/>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对采购结果提出的质疑</w:t>
            </w:r>
          </w:p>
        </w:tc>
        <w:tc>
          <w:tcPr>
            <w:tcW w:w="2685" w:type="dxa"/>
            <w:vMerge w:val="continue"/>
            <w:vAlign w:val="center"/>
          </w:tcPr>
          <w:p w14:paraId="69D49BB1">
            <w:pPr>
              <w:pStyle w:val="33"/>
              <w:jc w:val="center"/>
              <w:rPr>
                <w:rFonts w:ascii="仿宋" w:hAnsi="仿宋" w:eastAsia="仿宋" w:cs="仿宋"/>
                <w:color w:val="auto"/>
                <w:sz w:val="24"/>
                <w:szCs w:val="24"/>
                <w:highlight w:val="none"/>
              </w:rPr>
            </w:pPr>
          </w:p>
        </w:tc>
      </w:tr>
    </w:tbl>
    <w:p w14:paraId="1B6A0631">
      <w:pPr>
        <w:pStyle w:val="3"/>
        <w:rPr>
          <w:rFonts w:ascii="仿宋" w:hAnsi="仿宋" w:eastAsia="仿宋" w:cs="仿宋"/>
          <w:color w:val="auto"/>
          <w:highlight w:val="none"/>
          <w:lang w:val="en-US"/>
        </w:rPr>
      </w:pPr>
    </w:p>
    <w:p w14:paraId="742D6F14">
      <w:pPr>
        <w:pStyle w:val="889"/>
        <w:shd w:val="clear" w:color="auto" w:fill="FFFFFF"/>
        <w:adjustRightInd w:val="0"/>
        <w:snapToGrid w:val="0"/>
        <w:spacing w:before="0" w:beforeAutospacing="0" w:after="0" w:afterAutospacing="0" w:line="360" w:lineRule="auto"/>
        <w:ind w:firstLine="482" w:firstLineChars="200"/>
        <w:contextualSpacing/>
        <w:rPr>
          <w:rFonts w:ascii="仿宋" w:hAnsi="仿宋" w:eastAsia="仿宋" w:cs="仿宋"/>
          <w:b/>
          <w:bCs/>
          <w:color w:val="auto"/>
          <w:highlight w:val="none"/>
          <w:lang w:val="zh-CN"/>
        </w:rPr>
      </w:pPr>
      <w:r>
        <w:rPr>
          <w:rFonts w:hint="eastAsia" w:ascii="仿宋" w:hAnsi="仿宋" w:eastAsia="仿宋" w:cs="仿宋"/>
          <w:b/>
          <w:bCs/>
          <w:color w:val="auto"/>
          <w:highlight w:val="none"/>
          <w:lang w:val="zh-CN"/>
        </w:rPr>
        <w:t>4.4供应商投诉</w:t>
      </w:r>
    </w:p>
    <w:p w14:paraId="53F57CAD">
      <w:pPr>
        <w:pStyle w:val="889"/>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F4E736E">
      <w:pPr>
        <w:pStyle w:val="889"/>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53291540">
      <w:pPr>
        <w:pStyle w:val="889"/>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0059970">
      <w:pPr>
        <w:pStyle w:val="889"/>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2F3AB916">
      <w:pPr>
        <w:pStyle w:val="889"/>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质疑函、投诉书范本详见附件1、附件2。</w:t>
      </w:r>
    </w:p>
    <w:p w14:paraId="36923FBB">
      <w:pPr>
        <w:spacing w:line="360" w:lineRule="auto"/>
        <w:rPr>
          <w:rFonts w:ascii="仿宋" w:hAnsi="仿宋" w:eastAsia="仿宋" w:cs="仿宋"/>
          <w:color w:val="auto"/>
          <w:sz w:val="24"/>
          <w:highlight w:val="none"/>
        </w:rPr>
      </w:pPr>
      <w:bookmarkStart w:id="96" w:name="_Toc9966"/>
      <w:bookmarkStart w:id="97" w:name="_Toc530551837"/>
      <w:bookmarkStart w:id="98" w:name="_Toc531358992"/>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4.5特别声明</w:t>
      </w:r>
      <w:bookmarkEnd w:id="96"/>
      <w:bookmarkEnd w:id="97"/>
      <w:bookmarkEnd w:id="98"/>
    </w:p>
    <w:p w14:paraId="4F61648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4.5.1 ▲单位负责人为同一人或者存在直接控股、管理关系的不同供应商，不得参加同一合同项下的政府采购活动；</w:t>
      </w:r>
    </w:p>
    <w:p w14:paraId="593330B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4.5.2 ▲为采购项目提供整体设计、规范编制或者项目管理、监理、检测等服务的供应商，不得再参加该采购项目的其他采购活动；</w:t>
      </w:r>
    </w:p>
    <w:p w14:paraId="6F62BC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4.5.3  ▲金融、保险、通讯等特定行业的全国性企业所设立的区域性分支机构(或分公司)，如果已经获得总公司（总机构）授权或能够提供房产权证或其他有效财产证明材料，证明其具备实际承担责任的能力和法定的缔结合同能力，可以允许其独立参加政府采购活动，但不得使用总公司(总机构)的资质、业绩和人员；</w:t>
      </w:r>
    </w:p>
    <w:p w14:paraId="7ABAE00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4.5.4 本项目排名第一的成交候选人未注册成为浙江省政府采购网“正式供应商”的，将会影响该项目合同备案及付款，由此造成的不利影响由供应商自行承担。</w:t>
      </w:r>
    </w:p>
    <w:p w14:paraId="2A17346D">
      <w:pPr>
        <w:pStyle w:val="140"/>
        <w:snapToGrid w:val="0"/>
        <w:spacing w:before="0"/>
        <w:ind w:firstLine="360"/>
        <w:rPr>
          <w:rFonts w:ascii="仿宋" w:hAnsi="仿宋" w:eastAsia="仿宋" w:cs="仿宋"/>
          <w:color w:val="auto"/>
          <w:sz w:val="18"/>
          <w:szCs w:val="18"/>
          <w:highlight w:val="none"/>
        </w:rPr>
      </w:pPr>
    </w:p>
    <w:p w14:paraId="07E0DE5F">
      <w:pPr>
        <w:pStyle w:val="60"/>
        <w:widowControl w:val="0"/>
        <w:numPr>
          <w:ilvl w:val="0"/>
          <w:numId w:val="4"/>
        </w:numPr>
        <w:tabs>
          <w:tab w:val="left" w:pos="0"/>
        </w:tabs>
        <w:overflowPunct/>
        <w:autoSpaceDE/>
        <w:autoSpaceDN/>
        <w:adjustRightInd/>
        <w:spacing w:before="240" w:beforeLines="100" w:after="240" w:afterLines="100"/>
        <w:ind w:firstLine="0"/>
        <w:jc w:val="left"/>
        <w:textAlignment w:val="auto"/>
        <w:outlineLvl w:val="1"/>
        <w:rPr>
          <w:rFonts w:ascii="仿宋" w:hAnsi="仿宋" w:eastAsia="仿宋" w:cs="仿宋"/>
          <w:bCs/>
          <w:color w:val="auto"/>
          <w:kern w:val="2"/>
          <w:sz w:val="30"/>
          <w:szCs w:val="30"/>
          <w:highlight w:val="none"/>
          <w:lang w:val="en-US"/>
        </w:rPr>
      </w:pPr>
      <w:bookmarkStart w:id="99" w:name="_Toc10962"/>
      <w:bookmarkStart w:id="100" w:name="_Toc139797600"/>
      <w:bookmarkStart w:id="101" w:name="_Toc19561"/>
      <w:r>
        <w:rPr>
          <w:rFonts w:hint="eastAsia" w:ascii="仿宋" w:hAnsi="仿宋" w:eastAsia="仿宋" w:cs="仿宋"/>
          <w:bCs/>
          <w:color w:val="auto"/>
          <w:kern w:val="2"/>
          <w:sz w:val="30"/>
          <w:szCs w:val="30"/>
          <w:highlight w:val="none"/>
          <w:lang w:val="en-US"/>
        </w:rPr>
        <w:t>采购文件的构成、澄清、修改</w:t>
      </w:r>
      <w:bookmarkEnd w:id="99"/>
      <w:bookmarkEnd w:id="100"/>
      <w:bookmarkEnd w:id="101"/>
    </w:p>
    <w:p w14:paraId="18F3D92A">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02" w:name="_Toc139797601"/>
      <w:bookmarkStart w:id="103" w:name="_Toc5716"/>
      <w:bookmarkStart w:id="104" w:name="_Toc4311"/>
      <w:r>
        <w:rPr>
          <w:rFonts w:hint="eastAsia" w:ascii="仿宋" w:hAnsi="仿宋" w:eastAsia="仿宋" w:cs="仿宋"/>
          <w:color w:val="auto"/>
          <w:szCs w:val="20"/>
          <w:highlight w:val="none"/>
          <w:lang w:val="zh-CN"/>
        </w:rPr>
        <w:t>采购文件的构成</w:t>
      </w:r>
      <w:bookmarkEnd w:id="102"/>
      <w:bookmarkEnd w:id="103"/>
      <w:bookmarkEnd w:id="104"/>
    </w:p>
    <w:p w14:paraId="2E7F9F35">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7AFEB80C">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5.1.1竞争性磋商公告（邀请）；</w:t>
      </w:r>
    </w:p>
    <w:p w14:paraId="21AA7CCB">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69AB7A92">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7F795CD">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03E09E8D">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1154473">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磋商响应文件格式。</w:t>
      </w:r>
    </w:p>
    <w:p w14:paraId="7BBCF94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40E92737">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05" w:name="_Toc11309"/>
      <w:bookmarkStart w:id="106" w:name="_Toc139797602"/>
      <w:bookmarkStart w:id="107" w:name="_Toc25182"/>
      <w:r>
        <w:rPr>
          <w:rFonts w:hint="eastAsia" w:ascii="仿宋" w:hAnsi="仿宋" w:eastAsia="仿宋" w:cs="仿宋"/>
          <w:color w:val="auto"/>
          <w:szCs w:val="20"/>
          <w:highlight w:val="none"/>
          <w:lang w:val="zh-CN"/>
        </w:rPr>
        <w:t>采购文件的澄清、修改</w:t>
      </w:r>
      <w:bookmarkEnd w:id="105"/>
      <w:bookmarkEnd w:id="106"/>
      <w:bookmarkEnd w:id="107"/>
    </w:p>
    <w:p w14:paraId="7FA9E8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6.1   供应商应仔细阅读和检查磋商文件的全部内容。发现其中有误或有不合理要求的，应当在磋商文件的澄清、修改截止时间前以书面形式要求采购人或采购代理机构对磋商文件予以澄清、修改；</w:t>
      </w:r>
    </w:p>
    <w:p w14:paraId="1F7E78A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   澄清或修改内容可能影响磋商响应文件编制的，采购代理机构在响应文件提交截止时间5日前，将以发布更正公告的形式通知各潜在的供应商。不足5日的，采购代理机构有权顺延响应文件提交截止时间；</w:t>
      </w:r>
    </w:p>
    <w:p w14:paraId="79DC3D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6.3   响应文件提交截止时间前，采购代理机构可以对发出的磋商文件进行必要的澄清或修改，澄清或修改后的补充文件，作为磋商文件的组成部分，对各供应商起同等约束作用；</w:t>
      </w:r>
    </w:p>
    <w:p w14:paraId="57260E1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6.4   澄清、修改等更正内容发布网址：政采云平台（https://www.zcygov.cn/） ；</w:t>
      </w:r>
    </w:p>
    <w:p w14:paraId="444E149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6.5   当磋商文件与澄清或修改文件就同一内容的表述不一致时，以最后发出的澄清或修改文件为准。</w:t>
      </w:r>
    </w:p>
    <w:p w14:paraId="10FB3C9F">
      <w:pPr>
        <w:pStyle w:val="140"/>
        <w:snapToGrid w:val="0"/>
        <w:spacing w:before="0"/>
        <w:ind w:firstLine="482"/>
        <w:rPr>
          <w:rFonts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301A9853">
      <w:pPr>
        <w:rPr>
          <w:rFonts w:ascii="仿宋" w:hAnsi="仿宋" w:eastAsia="仿宋" w:cs="仿宋"/>
          <w:color w:val="auto"/>
          <w:highlight w:val="none"/>
        </w:rPr>
      </w:pPr>
    </w:p>
    <w:p w14:paraId="30CF7DF0">
      <w:pPr>
        <w:pStyle w:val="60"/>
        <w:widowControl w:val="0"/>
        <w:numPr>
          <w:ilvl w:val="0"/>
          <w:numId w:val="4"/>
        </w:numPr>
        <w:tabs>
          <w:tab w:val="left" w:pos="0"/>
        </w:tabs>
        <w:overflowPunct/>
        <w:autoSpaceDE/>
        <w:autoSpaceDN/>
        <w:adjustRightInd/>
        <w:spacing w:before="240" w:beforeLines="100" w:after="240" w:afterLines="100"/>
        <w:ind w:firstLine="0"/>
        <w:jc w:val="left"/>
        <w:textAlignment w:val="auto"/>
        <w:outlineLvl w:val="1"/>
        <w:rPr>
          <w:rFonts w:ascii="仿宋" w:hAnsi="仿宋" w:eastAsia="仿宋" w:cs="仿宋"/>
          <w:bCs/>
          <w:color w:val="auto"/>
          <w:kern w:val="2"/>
          <w:sz w:val="30"/>
          <w:szCs w:val="30"/>
          <w:highlight w:val="none"/>
          <w:lang w:val="en-US"/>
        </w:rPr>
      </w:pPr>
      <w:bookmarkStart w:id="108" w:name="_Toc1807"/>
      <w:bookmarkStart w:id="109" w:name="_Toc139797603"/>
      <w:bookmarkStart w:id="110" w:name="_Toc19944"/>
      <w:r>
        <w:rPr>
          <w:rFonts w:hint="eastAsia" w:ascii="仿宋" w:hAnsi="仿宋" w:eastAsia="仿宋" w:cs="仿宋"/>
          <w:bCs/>
          <w:color w:val="auto"/>
          <w:kern w:val="2"/>
          <w:sz w:val="30"/>
          <w:szCs w:val="30"/>
          <w:highlight w:val="none"/>
          <w:lang w:val="en-US"/>
        </w:rPr>
        <w:t>提交响应文件</w:t>
      </w:r>
      <w:bookmarkEnd w:id="108"/>
      <w:bookmarkEnd w:id="109"/>
      <w:bookmarkEnd w:id="110"/>
    </w:p>
    <w:p w14:paraId="605F2B29">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11" w:name="_Toc139797604"/>
      <w:bookmarkStart w:id="112" w:name="_Toc11270"/>
      <w:bookmarkStart w:id="113" w:name="_Toc14769"/>
      <w:r>
        <w:rPr>
          <w:rFonts w:hint="eastAsia" w:ascii="仿宋" w:hAnsi="仿宋" w:eastAsia="仿宋" w:cs="仿宋"/>
          <w:color w:val="auto"/>
          <w:szCs w:val="20"/>
          <w:highlight w:val="none"/>
          <w:lang w:val="zh-CN"/>
        </w:rPr>
        <w:t>备份响应文件</w:t>
      </w:r>
      <w:bookmarkEnd w:id="111"/>
      <w:bookmarkEnd w:id="112"/>
      <w:bookmarkEnd w:id="113"/>
    </w:p>
    <w:p w14:paraId="0EB368AC">
      <w:pPr>
        <w:pStyle w:val="33"/>
        <w:snapToGrid w:val="0"/>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7.1供应商在电子交易平台传输递交响应文件后，还可以在响应文件提交（上传）截止时间前直接提交或者以邮件方式递交备份响应文件1份，</w:t>
      </w:r>
      <w:r>
        <w:rPr>
          <w:rFonts w:hint="eastAsia" w:ascii="仿宋" w:hAnsi="仿宋" w:eastAsia="仿宋" w:cs="仿宋"/>
          <w:b/>
          <w:color w:val="auto"/>
          <w:sz w:val="24"/>
          <w:szCs w:val="24"/>
          <w:highlight w:val="none"/>
        </w:rPr>
        <w:t>但采购人、采购代理机构不强制或变相强制供应商提交备份响应文件。</w:t>
      </w:r>
    </w:p>
    <w:p w14:paraId="082A4985">
      <w:pPr>
        <w:pStyle w:val="33"/>
        <w:snapToGrid w:val="0"/>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7.2备份响应文件须在“政采云投标客户端”制作生成，以电子邮件方式提交一份，由供应商自行确定是否提交；若提交请将备份磋商响应文件以电子邮件的形式发送至</w:t>
      </w:r>
      <w:r>
        <w:rPr>
          <w:rFonts w:hint="eastAsia" w:ascii="仿宋" w:hAnsi="仿宋" w:eastAsia="仿宋" w:cs="仿宋"/>
          <w:snapToGrid/>
          <w:color w:val="auto"/>
          <w:sz w:val="24"/>
          <w:szCs w:val="24"/>
          <w:highlight w:val="none"/>
        </w:rPr>
        <w:t>（596722349@qq.com）。</w:t>
      </w:r>
    </w:p>
    <w:p w14:paraId="49A79D4B">
      <w:pPr>
        <w:pStyle w:val="33"/>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7.3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14:paraId="776F4907">
      <w:pPr>
        <w:pStyle w:val="33"/>
        <w:snapToGrid w:val="0"/>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7.4</w:t>
      </w: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4"/>
          <w:highlight w:val="none"/>
        </w:rPr>
        <w:t>供应商仅提交备份响应文件，未在电子交易平台传输递交响应文件的，响应文件无效。</w:t>
      </w:r>
    </w:p>
    <w:p w14:paraId="49375C6F">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14" w:name="_Toc16093"/>
      <w:bookmarkStart w:id="115" w:name="_Toc15282"/>
      <w:bookmarkStart w:id="116" w:name="_Toc139797605"/>
      <w:r>
        <w:rPr>
          <w:rFonts w:hint="eastAsia" w:ascii="仿宋" w:hAnsi="仿宋" w:eastAsia="仿宋" w:cs="仿宋"/>
          <w:color w:val="auto"/>
          <w:szCs w:val="20"/>
          <w:highlight w:val="none"/>
          <w:lang w:val="zh-CN"/>
        </w:rPr>
        <w:t>采购文件的获取</w:t>
      </w:r>
      <w:bookmarkEnd w:id="114"/>
      <w:bookmarkEnd w:id="115"/>
      <w:bookmarkEnd w:id="116"/>
    </w:p>
    <w:p w14:paraId="3D3C07F0">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16C7963D">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17" w:name="_Toc139797606"/>
      <w:bookmarkStart w:id="118" w:name="_Toc10729"/>
      <w:bookmarkStart w:id="119" w:name="_Toc25458"/>
      <w:r>
        <w:rPr>
          <w:rFonts w:hint="eastAsia" w:ascii="仿宋" w:hAnsi="仿宋" w:eastAsia="仿宋" w:cs="仿宋"/>
          <w:color w:val="auto"/>
          <w:szCs w:val="20"/>
          <w:highlight w:val="none"/>
          <w:lang w:val="zh-CN"/>
        </w:rPr>
        <w:t>磋商前答疑会或现场考察</w:t>
      </w:r>
      <w:bookmarkEnd w:id="117"/>
      <w:bookmarkEnd w:id="118"/>
      <w:bookmarkEnd w:id="119"/>
    </w:p>
    <w:p w14:paraId="08B9E177">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采购人组织潜在供应商现场考察或者召开磋商前答疑会的，潜在供应商按第四部分供应商须知前附表的规定参加现场考察或者磋商前答疑会。</w:t>
      </w:r>
    </w:p>
    <w:p w14:paraId="1B8D1C76">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20" w:name="_Toc28759"/>
      <w:bookmarkStart w:id="121" w:name="_Toc139797607"/>
      <w:bookmarkStart w:id="122" w:name="_Toc31937"/>
      <w:r>
        <w:rPr>
          <w:rFonts w:hint="eastAsia" w:ascii="仿宋" w:hAnsi="仿宋" w:eastAsia="仿宋" w:cs="仿宋"/>
          <w:color w:val="auto"/>
          <w:szCs w:val="20"/>
          <w:highlight w:val="none"/>
          <w:lang w:val="zh-CN"/>
        </w:rPr>
        <w:t>磋商保证金</w:t>
      </w:r>
      <w:bookmarkEnd w:id="120"/>
      <w:bookmarkEnd w:id="121"/>
      <w:bookmarkEnd w:id="122"/>
    </w:p>
    <w:p w14:paraId="0475318B">
      <w:pPr>
        <w:pStyle w:val="17"/>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36D1BDB4">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23" w:name="_Toc3121"/>
      <w:bookmarkStart w:id="124" w:name="_Toc139797608"/>
      <w:bookmarkStart w:id="125" w:name="_Toc21738"/>
      <w:r>
        <w:rPr>
          <w:rFonts w:hint="eastAsia" w:ascii="仿宋" w:hAnsi="仿宋" w:eastAsia="仿宋" w:cs="仿宋"/>
          <w:color w:val="auto"/>
          <w:szCs w:val="20"/>
          <w:highlight w:val="none"/>
          <w:lang w:val="zh-CN"/>
        </w:rPr>
        <w:t>响应文件的语言</w:t>
      </w:r>
      <w:bookmarkEnd w:id="123"/>
      <w:bookmarkEnd w:id="124"/>
      <w:bookmarkEnd w:id="125"/>
    </w:p>
    <w:p w14:paraId="7EAFE7B1">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7B26772A">
      <w:pPr>
        <w:rPr>
          <w:rFonts w:ascii="仿宋" w:hAnsi="仿宋" w:eastAsia="仿宋" w:cs="仿宋"/>
          <w:color w:val="auto"/>
          <w:highlight w:val="none"/>
          <w:lang w:val="zh-CN"/>
        </w:rPr>
      </w:pPr>
    </w:p>
    <w:p w14:paraId="6913E12A">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26" w:name="_Toc25769"/>
      <w:bookmarkStart w:id="127" w:name="_Toc139797609"/>
      <w:bookmarkStart w:id="128" w:name="_Toc21471"/>
      <w:r>
        <w:rPr>
          <w:rFonts w:hint="eastAsia" w:ascii="仿宋" w:hAnsi="仿宋" w:eastAsia="仿宋" w:cs="仿宋"/>
          <w:color w:val="auto"/>
          <w:szCs w:val="20"/>
          <w:highlight w:val="none"/>
          <w:lang w:val="zh-CN"/>
        </w:rPr>
        <w:t>响应文件的组成</w:t>
      </w:r>
      <w:bookmarkEnd w:id="126"/>
      <w:bookmarkEnd w:id="127"/>
      <w:bookmarkEnd w:id="128"/>
    </w:p>
    <w:p w14:paraId="62945AC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w:t>
      </w:r>
      <w:r>
        <w:rPr>
          <w:rFonts w:hint="eastAsia" w:ascii="仿宋" w:hAnsi="仿宋" w:eastAsia="仿宋" w:cs="仿宋"/>
          <w:b/>
          <w:color w:val="auto"/>
          <w:sz w:val="24"/>
          <w:highlight w:val="none"/>
        </w:rPr>
        <w:t>资格审查文件</w:t>
      </w:r>
      <w:r>
        <w:rPr>
          <w:rFonts w:hint="eastAsia" w:ascii="仿宋" w:hAnsi="仿宋" w:eastAsia="仿宋" w:cs="仿宋"/>
          <w:color w:val="auto"/>
          <w:sz w:val="24"/>
          <w:highlight w:val="none"/>
        </w:rPr>
        <w:t>：</w:t>
      </w:r>
    </w:p>
    <w:p w14:paraId="6E244874">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资格审查文件的组成：见采购文件第六部分。</w:t>
      </w:r>
    </w:p>
    <w:p w14:paraId="52E44234">
      <w:pPr>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资信商务及技术文件</w:t>
      </w:r>
      <w:r>
        <w:rPr>
          <w:rFonts w:hint="eastAsia" w:ascii="仿宋" w:hAnsi="仿宋" w:eastAsia="仿宋" w:cs="仿宋"/>
          <w:b/>
          <w:bCs/>
          <w:color w:val="auto"/>
          <w:sz w:val="24"/>
          <w:highlight w:val="none"/>
          <w:lang w:val="zh-CN"/>
        </w:rPr>
        <w:t>：</w:t>
      </w:r>
    </w:p>
    <w:p w14:paraId="2FD1FBAE">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资信商务及技术文件的组成：见采购文件第六部分。</w:t>
      </w:r>
    </w:p>
    <w:p w14:paraId="6729F872">
      <w:pPr>
        <w:snapToGrid w:val="0"/>
        <w:spacing w:line="360" w:lineRule="auto"/>
        <w:ind w:firstLine="482" w:firstLineChars="200"/>
        <w:rPr>
          <w:rFonts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w:t>
      </w:r>
      <w:r>
        <w:rPr>
          <w:rFonts w:hint="eastAsia" w:ascii="仿宋" w:hAnsi="仿宋" w:eastAsia="仿宋" w:cs="仿宋"/>
          <w:b/>
          <w:bCs/>
          <w:color w:val="auto"/>
          <w:kern w:val="0"/>
          <w:sz w:val="24"/>
          <w:highlight w:val="none"/>
        </w:rPr>
        <w:t>2</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752E0C60">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报价文件的组成：见采购文件第六部分。</w:t>
      </w:r>
    </w:p>
    <w:p w14:paraId="55CA7922">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14:paraId="6C83D5EB">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供应商提供虚假材料的，响应文件无效。</w:t>
      </w:r>
    </w:p>
    <w:p w14:paraId="4EA5B43C">
      <w:pPr>
        <w:rPr>
          <w:rFonts w:ascii="仿宋" w:hAnsi="仿宋" w:eastAsia="仿宋" w:cs="仿宋"/>
          <w:color w:val="auto"/>
          <w:highlight w:val="none"/>
        </w:rPr>
      </w:pPr>
    </w:p>
    <w:p w14:paraId="103613CE">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29" w:name="_Toc139797610"/>
      <w:bookmarkStart w:id="130" w:name="_Toc9638"/>
      <w:bookmarkStart w:id="131" w:name="_Toc10969"/>
      <w:r>
        <w:rPr>
          <w:rFonts w:hint="eastAsia" w:ascii="仿宋" w:hAnsi="仿宋" w:eastAsia="仿宋" w:cs="仿宋"/>
          <w:color w:val="auto"/>
          <w:szCs w:val="20"/>
          <w:highlight w:val="none"/>
          <w:lang w:val="zh-CN"/>
        </w:rPr>
        <w:t>响应文件的编制</w:t>
      </w:r>
      <w:bookmarkEnd w:id="129"/>
      <w:bookmarkEnd w:id="130"/>
      <w:bookmarkEnd w:id="131"/>
    </w:p>
    <w:p w14:paraId="5A3A666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本磋商文件中若有多标项的，若参与多标项磋商的，则按每个标项分别独立编制磋商响应文件。</w:t>
      </w:r>
    </w:p>
    <w:p w14:paraId="46C4064A">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rPr>
        <w:t xml:space="preserve">13.2 </w:t>
      </w:r>
      <w:r>
        <w:rPr>
          <w:rFonts w:hint="eastAsia" w:ascii="仿宋" w:hAnsi="仿宋" w:eastAsia="仿宋" w:cs="仿宋"/>
          <w:color w:val="auto"/>
          <w:kern w:val="0"/>
          <w:sz w:val="24"/>
          <w:highlight w:val="none"/>
          <w:lang w:val="zh-CN"/>
        </w:rPr>
        <w:t>响应文件分为资格审查文件、资信商务及技术文件、报价文件三部分。各供应商在编制响应文件时请按照采购文件第六部分规定的格式进行，混乱的编排导致响应文件被误读或磋商小组查找不到有效文件是供应商的风险。</w:t>
      </w:r>
    </w:p>
    <w:p w14:paraId="16FCC70D">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供应商进行电子投标应安装客户端软件—“政采云电子交易客户端”，并按照采购文件和电子交易平台的要求编制并加密响应文件。</w:t>
      </w:r>
      <w:r>
        <w:rPr>
          <w:rFonts w:hint="eastAsia" w:ascii="仿宋" w:hAnsi="仿宋" w:eastAsia="仿宋" w:cs="仿宋"/>
          <w:b/>
          <w:bCs/>
          <w:color w:val="auto"/>
          <w:sz w:val="24"/>
          <w:highlight w:val="none"/>
          <w:lang w:val="zh-CN"/>
        </w:rPr>
        <w:t>供应商未按规定加密的响应文件，电子交易平台将拒收并提示。</w:t>
      </w:r>
    </w:p>
    <w:p w14:paraId="7BEEA406">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5C09893D">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32" w:name="_Toc1611"/>
      <w:bookmarkStart w:id="133" w:name="_Toc32177"/>
      <w:bookmarkStart w:id="134" w:name="_Toc139797611"/>
      <w:r>
        <w:rPr>
          <w:rFonts w:hint="eastAsia" w:ascii="仿宋" w:hAnsi="仿宋" w:eastAsia="仿宋" w:cs="仿宋"/>
          <w:color w:val="auto"/>
          <w:szCs w:val="20"/>
          <w:highlight w:val="none"/>
          <w:lang w:val="zh-CN"/>
        </w:rPr>
        <w:t>响应文件的签署、盖章</w:t>
      </w:r>
      <w:bookmarkEnd w:id="132"/>
      <w:bookmarkEnd w:id="133"/>
      <w:bookmarkEnd w:id="134"/>
    </w:p>
    <w:p w14:paraId="20A5EDA7">
      <w:pPr>
        <w:pStyle w:val="14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14.1响应文件按照采购文件第六部分格式要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bCs/>
          <w:color w:val="auto"/>
          <w:szCs w:val="24"/>
          <w:highlight w:val="none"/>
        </w:rPr>
        <w:t>供应商的响应文件未按照采购文件要求签署、盖章的，其响应文件无效。</w:t>
      </w:r>
    </w:p>
    <w:p w14:paraId="2F1295FA">
      <w:pPr>
        <w:pStyle w:val="14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14.2为确保网上操作合法、有效和安全，供应商应当在响应文件提交（上传）截止时间前完成在“政府采购云平台”的身份认证，确保在电子投标过程中能够对相关数据电文进行加密和使用电子签名。</w:t>
      </w:r>
    </w:p>
    <w:p w14:paraId="0E9ADAC3">
      <w:pPr>
        <w:pStyle w:val="14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14.3采购文件对响应文件签署、盖章的要求适用于电子签名。</w:t>
      </w:r>
    </w:p>
    <w:p w14:paraId="1CAB637A">
      <w:pPr>
        <w:pStyle w:val="140"/>
        <w:snapToGrid w:val="0"/>
        <w:spacing w:before="0"/>
        <w:ind w:firstLine="0" w:firstLineChars="0"/>
        <w:rPr>
          <w:rFonts w:ascii="仿宋" w:hAnsi="仿宋" w:eastAsia="仿宋" w:cs="仿宋"/>
          <w:b/>
          <w:color w:val="auto"/>
          <w:szCs w:val="24"/>
          <w:highlight w:val="none"/>
        </w:rPr>
      </w:pPr>
    </w:p>
    <w:p w14:paraId="156C0785">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35" w:name="_Toc23714"/>
      <w:bookmarkStart w:id="136" w:name="_Toc139797612"/>
      <w:bookmarkStart w:id="137" w:name="_Toc6235"/>
      <w:r>
        <w:rPr>
          <w:rFonts w:hint="eastAsia" w:ascii="仿宋" w:hAnsi="仿宋" w:eastAsia="仿宋" w:cs="仿宋"/>
          <w:color w:val="auto"/>
          <w:szCs w:val="20"/>
          <w:highlight w:val="none"/>
          <w:lang w:val="zh-CN"/>
        </w:rPr>
        <w:t>响应文件的提交、补充、修改、撤回</w:t>
      </w:r>
      <w:bookmarkEnd w:id="135"/>
      <w:bookmarkEnd w:id="136"/>
      <w:bookmarkEnd w:id="137"/>
    </w:p>
    <w:p w14:paraId="59E93B8C">
      <w:pPr>
        <w:pStyle w:val="14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15.1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w:t>
      </w:r>
      <w:r>
        <w:rPr>
          <w:rFonts w:hint="eastAsia" w:ascii="仿宋" w:hAnsi="仿宋" w:eastAsia="仿宋" w:cs="仿宋"/>
          <w:b/>
          <w:bCs/>
          <w:color w:val="auto"/>
          <w:szCs w:val="24"/>
          <w:highlight w:val="none"/>
        </w:rPr>
        <w:t>响应文件提交（上传）截止时间后递交的响应文件，电子交易平台将拒收。</w:t>
      </w:r>
    </w:p>
    <w:p w14:paraId="55F8FC0F">
      <w:pPr>
        <w:pStyle w:val="14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15.2电子交易平台收到响应文件，将妥善保存并即时向供应商发出确认回执通知。在响应文件提交（上传）截止时间前，除供应商补充、修改或者撤回响应文件外，任何单位和个人不得解密或提取响应文件。在响应截止时间以后，不能补充、修改响应文件。</w:t>
      </w:r>
    </w:p>
    <w:p w14:paraId="4B65C594">
      <w:pPr>
        <w:pStyle w:val="14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15.3 在响应截止时间以后，不能补充、修改响应文件。</w:t>
      </w:r>
    </w:p>
    <w:p w14:paraId="1076483C">
      <w:pPr>
        <w:pStyle w:val="14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15.4 在提交“最后报价”后，供应商不能退出磋商。</w:t>
      </w:r>
    </w:p>
    <w:p w14:paraId="56E80CCF">
      <w:pPr>
        <w:pStyle w:val="14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15.5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08AB74E4">
      <w:pPr>
        <w:pStyle w:val="140"/>
        <w:snapToGrid w:val="0"/>
        <w:spacing w:before="0"/>
        <w:ind w:firstLine="480"/>
        <w:rPr>
          <w:rFonts w:ascii="仿宋" w:hAnsi="仿宋" w:eastAsia="仿宋" w:cs="仿宋"/>
          <w:color w:val="auto"/>
          <w:szCs w:val="24"/>
          <w:highlight w:val="none"/>
        </w:rPr>
      </w:pPr>
    </w:p>
    <w:p w14:paraId="2456CFAE">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38" w:name="_Toc17528"/>
      <w:bookmarkStart w:id="139" w:name="_Toc139797613"/>
      <w:bookmarkStart w:id="140" w:name="_Toc16955"/>
      <w:r>
        <w:rPr>
          <w:rFonts w:hint="eastAsia" w:ascii="仿宋" w:hAnsi="仿宋" w:eastAsia="仿宋" w:cs="仿宋"/>
          <w:color w:val="auto"/>
          <w:szCs w:val="20"/>
          <w:highlight w:val="none"/>
          <w:lang w:val="zh-CN"/>
        </w:rPr>
        <w:t>响应文件的无效处理</w:t>
      </w:r>
      <w:bookmarkEnd w:id="138"/>
      <w:bookmarkEnd w:id="139"/>
      <w:bookmarkEnd w:id="140"/>
    </w:p>
    <w:p w14:paraId="14A64172">
      <w:pPr>
        <w:pStyle w:val="25"/>
        <w:spacing w:line="360" w:lineRule="auto"/>
        <w:ind w:firstLine="360" w:firstLineChars="150"/>
        <w:rPr>
          <w:rFonts w:ascii="仿宋" w:hAnsi="仿宋" w:eastAsia="仿宋" w:cs="仿宋"/>
          <w:color w:val="auto"/>
          <w:highlight w:val="none"/>
        </w:rPr>
      </w:pPr>
      <w:r>
        <w:rPr>
          <w:rFonts w:hint="eastAsia" w:ascii="仿宋" w:hAnsi="仿宋" w:eastAsia="仿宋" w:cs="仿宋"/>
          <w:color w:val="auto"/>
          <w:highlight w:val="none"/>
        </w:rPr>
        <w:t>有采购文件第七部分4.2规定的情形之一的，响应文件无效：</w:t>
      </w:r>
    </w:p>
    <w:p w14:paraId="1CBE6849">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41" w:name="_Toc9027"/>
      <w:bookmarkStart w:id="142" w:name="_Toc139797614"/>
      <w:bookmarkStart w:id="143" w:name="_Toc27328"/>
      <w:r>
        <w:rPr>
          <w:rFonts w:hint="eastAsia" w:ascii="仿宋" w:hAnsi="仿宋" w:eastAsia="仿宋" w:cs="仿宋"/>
          <w:color w:val="auto"/>
          <w:szCs w:val="20"/>
          <w:highlight w:val="none"/>
          <w:lang w:val="zh-CN"/>
        </w:rPr>
        <w:t>响应文件有效期</w:t>
      </w:r>
      <w:bookmarkEnd w:id="141"/>
      <w:bookmarkEnd w:id="142"/>
      <w:bookmarkEnd w:id="143"/>
    </w:p>
    <w:p w14:paraId="68467147">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14:paraId="5C8E9631">
      <w:pPr>
        <w:pStyle w:val="140"/>
        <w:spacing w:before="0"/>
        <w:ind w:firstLine="480"/>
        <w:rPr>
          <w:rFonts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14:paraId="137376E7">
      <w:pPr>
        <w:pStyle w:val="14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7D1C4AE">
      <w:pPr>
        <w:pStyle w:val="60"/>
        <w:widowControl w:val="0"/>
        <w:numPr>
          <w:ilvl w:val="0"/>
          <w:numId w:val="4"/>
        </w:numPr>
        <w:tabs>
          <w:tab w:val="left" w:pos="0"/>
        </w:tabs>
        <w:overflowPunct/>
        <w:autoSpaceDE/>
        <w:autoSpaceDN/>
        <w:adjustRightInd/>
        <w:spacing w:before="240" w:beforeLines="100" w:after="240" w:afterLines="100"/>
        <w:jc w:val="left"/>
        <w:textAlignment w:val="auto"/>
        <w:outlineLvl w:val="1"/>
        <w:rPr>
          <w:rFonts w:ascii="仿宋" w:hAnsi="仿宋" w:eastAsia="仿宋" w:cs="仿宋"/>
          <w:bCs/>
          <w:color w:val="auto"/>
          <w:kern w:val="2"/>
          <w:sz w:val="30"/>
          <w:szCs w:val="30"/>
          <w:highlight w:val="none"/>
          <w:lang w:val="en-US"/>
        </w:rPr>
      </w:pPr>
      <w:bookmarkStart w:id="144" w:name="_Toc23356"/>
      <w:bookmarkStart w:id="145" w:name="_Toc10148"/>
      <w:bookmarkStart w:id="146" w:name="_Toc139797615"/>
      <w:r>
        <w:rPr>
          <w:rFonts w:hint="eastAsia" w:ascii="仿宋" w:hAnsi="仿宋" w:eastAsia="仿宋" w:cs="仿宋"/>
          <w:bCs/>
          <w:color w:val="auto"/>
          <w:kern w:val="2"/>
          <w:sz w:val="30"/>
          <w:szCs w:val="30"/>
          <w:highlight w:val="none"/>
          <w:lang w:val="en-US"/>
        </w:rPr>
        <w:t>响应文件开启、资格审查与信用信息查询</w:t>
      </w:r>
      <w:bookmarkEnd w:id="144"/>
      <w:bookmarkEnd w:id="145"/>
      <w:bookmarkEnd w:id="146"/>
    </w:p>
    <w:p w14:paraId="6F73FFD3">
      <w:pPr>
        <w:spacing w:line="360" w:lineRule="auto"/>
        <w:ind w:firstLine="480" w:firstLineChars="200"/>
        <w:rPr>
          <w:rFonts w:ascii="仿宋" w:hAnsi="仿宋" w:eastAsia="仿宋" w:cs="仿宋"/>
          <w:color w:val="auto"/>
          <w:kern w:val="0"/>
          <w:sz w:val="24"/>
          <w:szCs w:val="20"/>
          <w:highlight w:val="none"/>
          <w:lang w:val="zh-CN"/>
        </w:rPr>
      </w:pPr>
      <w:r>
        <w:rPr>
          <w:rFonts w:hint="eastAsia" w:ascii="仿宋" w:hAnsi="仿宋" w:eastAsia="仿宋" w:cs="仿宋"/>
          <w:color w:val="auto"/>
          <w:kern w:val="0"/>
          <w:sz w:val="24"/>
          <w:szCs w:val="20"/>
          <w:highlight w:val="none"/>
          <w:lang w:val="zh-CN"/>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74784EFA">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47" w:name="_Toc30271"/>
      <w:bookmarkStart w:id="148" w:name="_Toc19781"/>
      <w:bookmarkStart w:id="149" w:name="_Toc139797616"/>
      <w:r>
        <w:rPr>
          <w:rFonts w:hint="eastAsia" w:ascii="仿宋" w:hAnsi="仿宋" w:eastAsia="仿宋" w:cs="仿宋"/>
          <w:color w:val="auto"/>
          <w:szCs w:val="20"/>
          <w:highlight w:val="none"/>
          <w:lang w:val="zh-CN"/>
        </w:rPr>
        <w:t>响应文件开启</w:t>
      </w:r>
      <w:bookmarkEnd w:id="147"/>
      <w:bookmarkEnd w:id="148"/>
      <w:bookmarkEnd w:id="149"/>
      <w:r>
        <w:rPr>
          <w:rFonts w:hint="eastAsia" w:ascii="仿宋" w:hAnsi="仿宋" w:eastAsia="仿宋" w:cs="仿宋"/>
          <w:color w:val="auto"/>
          <w:szCs w:val="20"/>
          <w:highlight w:val="none"/>
          <w:lang w:val="zh-CN"/>
        </w:rPr>
        <w:t xml:space="preserve"> </w:t>
      </w:r>
    </w:p>
    <w:p w14:paraId="51C40FE5">
      <w:pPr>
        <w:pStyle w:val="559"/>
        <w:snapToGrid w:val="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18.1采购代理机构按照磋商文件规定的时间通过电子交易平台组织响应文件开启，所有供应商均应当准时在线参加，否则视同认可开启结果，事后不得对采购相关人员、开启过程和开启结果提出质疑。</w:t>
      </w:r>
      <w:r>
        <w:rPr>
          <w:rFonts w:hint="eastAsia" w:ascii="仿宋" w:hAnsi="仿宋" w:eastAsia="仿宋" w:cs="仿宋"/>
          <w:b/>
          <w:bCs/>
          <w:color w:val="auto"/>
          <w:sz w:val="24"/>
          <w:highlight w:val="none"/>
        </w:rPr>
        <w:t>供应商数量不符合规定的，不得开启响应文件。</w:t>
      </w:r>
    </w:p>
    <w:p w14:paraId="074504FE">
      <w:pPr>
        <w:pStyle w:val="559"/>
        <w:snapToGrid w:val="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代理机构依托电子交易平台发起开始解密指令，供应商按照平台提示和采购文件的规定完成在线解密（解密时间为响应文件提交截止时间后30分钟内）。</w:t>
      </w:r>
    </w:p>
    <w:p w14:paraId="62BE6FC8">
      <w:pPr>
        <w:pStyle w:val="559"/>
        <w:snapToGrid w:val="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14:paraId="1D7E9D4F">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50" w:name="_Toc139797617"/>
      <w:bookmarkStart w:id="151" w:name="_Toc23679"/>
      <w:bookmarkStart w:id="152" w:name="_Toc2176"/>
      <w:r>
        <w:rPr>
          <w:rFonts w:hint="eastAsia" w:ascii="仿宋" w:hAnsi="仿宋" w:eastAsia="仿宋" w:cs="仿宋"/>
          <w:color w:val="auto"/>
          <w:szCs w:val="20"/>
          <w:highlight w:val="none"/>
          <w:lang w:val="zh-CN"/>
        </w:rPr>
        <w:t>资格审查</w:t>
      </w:r>
      <w:bookmarkEnd w:id="150"/>
      <w:bookmarkEnd w:id="151"/>
      <w:bookmarkEnd w:id="152"/>
    </w:p>
    <w:p w14:paraId="7BC18E4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采购人、采购代理机构或磋商小组依据法律法规和采购文件的规定，对供应商的资格进行审查。</w:t>
      </w:r>
    </w:p>
    <w:p w14:paraId="624C94E5">
      <w:pPr>
        <w:pStyle w:val="14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14:paraId="76BD9676">
      <w:pPr>
        <w:pStyle w:val="14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3对未通过资格审查的供应商，采购人或采购代理机构告知其未通过的原因。</w:t>
      </w:r>
    </w:p>
    <w:p w14:paraId="272F02F8">
      <w:pPr>
        <w:pStyle w:val="14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4合格供应商不足3家的，不再评审。</w:t>
      </w:r>
    </w:p>
    <w:p w14:paraId="2D2BED22">
      <w:pPr>
        <w:spacing w:line="360" w:lineRule="auto"/>
        <w:ind w:left="959" w:leftChars="228"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19.5  ▲资格审查：全部满足下表要求的供应商为合格供应商，否则资格审查不予以通过；</w:t>
      </w:r>
    </w:p>
    <w:tbl>
      <w:tblPr>
        <w:tblStyle w:val="63"/>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014"/>
        <w:gridCol w:w="6051"/>
      </w:tblGrid>
      <w:tr w14:paraId="1312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229FEAA1">
            <w:pPr>
              <w:ind w:left="-90" w:leftChars="-43" w:right="-101" w:rightChars="-48"/>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14" w:type="dxa"/>
            <w:vAlign w:val="center"/>
          </w:tcPr>
          <w:p w14:paraId="594B18B8">
            <w:pPr>
              <w:ind w:left="-92" w:leftChars="-44" w:right="-80" w:rightChars="-38"/>
              <w:jc w:val="center"/>
              <w:rPr>
                <w:rFonts w:ascii="仿宋" w:hAnsi="仿宋" w:eastAsia="仿宋" w:cs="仿宋"/>
                <w:color w:val="auto"/>
                <w:sz w:val="24"/>
                <w:highlight w:val="none"/>
              </w:rPr>
            </w:pPr>
            <w:r>
              <w:rPr>
                <w:rFonts w:hint="eastAsia" w:ascii="仿宋" w:hAnsi="仿宋" w:eastAsia="仿宋" w:cs="仿宋"/>
                <w:color w:val="auto"/>
                <w:sz w:val="24"/>
                <w:highlight w:val="none"/>
              </w:rPr>
              <w:t>资格审查内容</w:t>
            </w:r>
          </w:p>
        </w:tc>
        <w:tc>
          <w:tcPr>
            <w:tcW w:w="6051" w:type="dxa"/>
            <w:vAlign w:val="center"/>
          </w:tcPr>
          <w:p w14:paraId="72BB5B9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审查因素</w:t>
            </w:r>
          </w:p>
        </w:tc>
      </w:tr>
      <w:tr w14:paraId="30B9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restart"/>
            <w:vAlign w:val="center"/>
          </w:tcPr>
          <w:p w14:paraId="766128A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14" w:type="dxa"/>
            <w:vAlign w:val="center"/>
          </w:tcPr>
          <w:p w14:paraId="20D2C46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营业执照</w:t>
            </w:r>
          </w:p>
        </w:tc>
        <w:tc>
          <w:tcPr>
            <w:tcW w:w="6051" w:type="dxa"/>
            <w:vAlign w:val="center"/>
          </w:tcPr>
          <w:p w14:paraId="338FB92B">
            <w:pPr>
              <w:ind w:left="-92" w:leftChars="-44" w:firstLine="91" w:firstLineChars="38"/>
              <w:jc w:val="left"/>
              <w:rPr>
                <w:rFonts w:ascii="仿宋" w:hAnsi="仿宋" w:eastAsia="仿宋" w:cs="仿宋"/>
                <w:color w:val="auto"/>
                <w:sz w:val="24"/>
                <w:highlight w:val="none"/>
              </w:rPr>
            </w:pPr>
            <w:r>
              <w:rPr>
                <w:rFonts w:hint="eastAsia" w:ascii="仿宋" w:hAnsi="仿宋" w:eastAsia="仿宋" w:cs="仿宋"/>
                <w:color w:val="auto"/>
                <w:sz w:val="24"/>
                <w:highlight w:val="none"/>
              </w:rPr>
              <w:t>营业期限在有效期内；</w:t>
            </w:r>
          </w:p>
        </w:tc>
      </w:tr>
      <w:tr w14:paraId="4A79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6555B112">
            <w:pPr>
              <w:jc w:val="center"/>
              <w:rPr>
                <w:rFonts w:ascii="仿宋" w:hAnsi="仿宋" w:eastAsia="仿宋" w:cs="仿宋"/>
                <w:color w:val="auto"/>
                <w:sz w:val="24"/>
                <w:highlight w:val="none"/>
              </w:rPr>
            </w:pPr>
          </w:p>
        </w:tc>
        <w:tc>
          <w:tcPr>
            <w:tcW w:w="2014" w:type="dxa"/>
            <w:vAlign w:val="center"/>
          </w:tcPr>
          <w:p w14:paraId="0848C688">
            <w:pPr>
              <w:ind w:left="-92" w:leftChars="-44" w:right="-80" w:rightChars="-38"/>
              <w:jc w:val="center"/>
              <w:rPr>
                <w:rFonts w:ascii="仿宋" w:hAnsi="仿宋" w:eastAsia="仿宋" w:cs="仿宋"/>
                <w:color w:val="auto"/>
                <w:sz w:val="24"/>
                <w:highlight w:val="none"/>
              </w:rPr>
            </w:pPr>
            <w:r>
              <w:rPr>
                <w:rFonts w:hint="eastAsia" w:ascii="仿宋" w:hAnsi="仿宋" w:eastAsia="仿宋" w:cs="仿宋"/>
                <w:color w:val="auto"/>
                <w:sz w:val="24"/>
                <w:highlight w:val="none"/>
              </w:rPr>
              <w:t>负责人身份</w:t>
            </w:r>
          </w:p>
        </w:tc>
        <w:tc>
          <w:tcPr>
            <w:tcW w:w="6051" w:type="dxa"/>
            <w:vAlign w:val="center"/>
          </w:tcPr>
          <w:p w14:paraId="38A2358D">
            <w:pPr>
              <w:ind w:left="-92" w:leftChars="-44" w:firstLine="91" w:firstLineChars="38"/>
              <w:jc w:val="left"/>
              <w:rPr>
                <w:rFonts w:ascii="仿宋" w:hAnsi="仿宋" w:eastAsia="仿宋" w:cs="仿宋"/>
                <w:color w:val="auto"/>
                <w:sz w:val="24"/>
                <w:highlight w:val="none"/>
              </w:rPr>
            </w:pPr>
            <w:r>
              <w:rPr>
                <w:rFonts w:hint="eastAsia" w:ascii="仿宋" w:hAnsi="仿宋" w:eastAsia="仿宋" w:cs="仿宋"/>
                <w:color w:val="auto"/>
                <w:sz w:val="24"/>
                <w:highlight w:val="none"/>
              </w:rPr>
              <w:t>1. 负责人身份证正、反面电子文档；</w:t>
            </w:r>
          </w:p>
          <w:p w14:paraId="3FE2B669">
            <w:pPr>
              <w:ind w:left="-92" w:leftChars="-44" w:right="-80" w:rightChars="-38"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2. 和营业执照上的法定代表人或负责人一致；</w:t>
            </w:r>
          </w:p>
        </w:tc>
      </w:tr>
      <w:tr w14:paraId="0668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2CAE4406">
            <w:pPr>
              <w:jc w:val="center"/>
              <w:rPr>
                <w:rFonts w:ascii="仿宋" w:hAnsi="仿宋" w:eastAsia="仿宋" w:cs="仿宋"/>
                <w:color w:val="auto"/>
                <w:sz w:val="24"/>
                <w:highlight w:val="none"/>
              </w:rPr>
            </w:pPr>
          </w:p>
        </w:tc>
        <w:tc>
          <w:tcPr>
            <w:tcW w:w="2014" w:type="dxa"/>
            <w:vAlign w:val="center"/>
          </w:tcPr>
          <w:p w14:paraId="210BA204">
            <w:pPr>
              <w:ind w:left="-92" w:leftChars="-44" w:right="-80" w:rightChars="-38"/>
              <w:jc w:val="center"/>
              <w:rPr>
                <w:rFonts w:ascii="仿宋" w:hAnsi="仿宋" w:eastAsia="仿宋" w:cs="仿宋"/>
                <w:color w:val="auto"/>
                <w:sz w:val="24"/>
                <w:highlight w:val="none"/>
              </w:rPr>
            </w:pPr>
            <w:r>
              <w:rPr>
                <w:rFonts w:hint="eastAsia" w:ascii="仿宋" w:hAnsi="仿宋" w:eastAsia="仿宋" w:cs="仿宋"/>
                <w:color w:val="auto"/>
                <w:sz w:val="24"/>
                <w:highlight w:val="none"/>
              </w:rPr>
              <w:t>授权委托书及委托代理人</w:t>
            </w:r>
          </w:p>
        </w:tc>
        <w:tc>
          <w:tcPr>
            <w:tcW w:w="6051" w:type="dxa"/>
            <w:vAlign w:val="center"/>
          </w:tcPr>
          <w:p w14:paraId="4CE82448">
            <w:pPr>
              <w:ind w:left="-92" w:leftChars="-44" w:firstLine="91" w:firstLineChars="38"/>
              <w:jc w:val="left"/>
              <w:rPr>
                <w:rFonts w:ascii="仿宋" w:hAnsi="仿宋" w:eastAsia="仿宋" w:cs="仿宋"/>
                <w:color w:val="auto"/>
                <w:sz w:val="24"/>
                <w:highlight w:val="none"/>
              </w:rPr>
            </w:pPr>
            <w:r>
              <w:rPr>
                <w:rFonts w:hint="eastAsia" w:ascii="仿宋" w:hAnsi="仿宋" w:eastAsia="仿宋" w:cs="仿宋"/>
                <w:color w:val="auto"/>
                <w:sz w:val="24"/>
                <w:highlight w:val="none"/>
              </w:rPr>
              <w:t>1. 是否按授权委托书格式内容填写且盖章；</w:t>
            </w:r>
          </w:p>
          <w:p w14:paraId="598200E4">
            <w:pPr>
              <w:ind w:left="-92" w:leftChars="-44" w:right="-80" w:rightChars="-38"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2. 委托代理人的身份证正、反面电子文档；</w:t>
            </w:r>
          </w:p>
        </w:tc>
      </w:tr>
      <w:tr w14:paraId="74D4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05E562C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014" w:type="dxa"/>
            <w:vAlign w:val="center"/>
          </w:tcPr>
          <w:p w14:paraId="1D8DB6E4">
            <w:pPr>
              <w:ind w:left="-92" w:leftChars="-44" w:right="-80" w:rightChars="-38"/>
              <w:jc w:val="center"/>
              <w:rPr>
                <w:rFonts w:ascii="仿宋" w:hAnsi="仿宋" w:eastAsia="仿宋" w:cs="仿宋"/>
                <w:color w:val="auto"/>
                <w:sz w:val="24"/>
                <w:highlight w:val="none"/>
              </w:rPr>
            </w:pPr>
            <w:r>
              <w:rPr>
                <w:rFonts w:hint="eastAsia" w:ascii="仿宋" w:hAnsi="仿宋" w:eastAsia="仿宋" w:cs="仿宋"/>
                <w:color w:val="auto"/>
                <w:sz w:val="24"/>
                <w:highlight w:val="none"/>
              </w:rPr>
              <w:t>财务状况报告依法缴纳税收和社会保障资金</w:t>
            </w:r>
          </w:p>
        </w:tc>
        <w:tc>
          <w:tcPr>
            <w:tcW w:w="6051" w:type="dxa"/>
            <w:vAlign w:val="center"/>
          </w:tcPr>
          <w:p w14:paraId="7A1F18E6">
            <w:pPr>
              <w:rPr>
                <w:rFonts w:ascii="仿宋" w:hAnsi="仿宋" w:eastAsia="仿宋" w:cs="仿宋"/>
                <w:color w:val="auto"/>
                <w:highlight w:val="none"/>
              </w:rPr>
            </w:pPr>
            <w:r>
              <w:rPr>
                <w:rFonts w:hint="eastAsia" w:ascii="仿宋" w:hAnsi="仿宋" w:eastAsia="仿宋" w:cs="仿宋"/>
                <w:color w:val="auto"/>
                <w:sz w:val="24"/>
                <w:highlight w:val="none"/>
              </w:rPr>
              <w:t>是否按《具有良好的财务会计制度、依法缴纳税收和社会保障资金的承诺函》格式填写且盖章</w:t>
            </w:r>
          </w:p>
        </w:tc>
      </w:tr>
      <w:tr w14:paraId="51D8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0057361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014" w:type="dxa"/>
            <w:vAlign w:val="center"/>
          </w:tcPr>
          <w:p w14:paraId="1698D55D">
            <w:pPr>
              <w:ind w:left="-92" w:leftChars="-44" w:right="-80" w:rightChars="-38"/>
              <w:jc w:val="center"/>
              <w:rPr>
                <w:rFonts w:ascii="仿宋" w:hAnsi="仿宋" w:eastAsia="仿宋" w:cs="仿宋"/>
                <w:color w:val="auto"/>
                <w:sz w:val="24"/>
                <w:highlight w:val="none"/>
              </w:rPr>
            </w:pPr>
            <w:r>
              <w:rPr>
                <w:rFonts w:hint="eastAsia" w:ascii="仿宋" w:hAnsi="仿宋" w:eastAsia="仿宋" w:cs="仿宋"/>
                <w:color w:val="auto"/>
                <w:sz w:val="24"/>
                <w:highlight w:val="none"/>
              </w:rPr>
              <w:t>履行合同所必需的设备和专业技术能力</w:t>
            </w:r>
          </w:p>
        </w:tc>
        <w:tc>
          <w:tcPr>
            <w:tcW w:w="6051" w:type="dxa"/>
            <w:vAlign w:val="center"/>
          </w:tcPr>
          <w:p w14:paraId="1505AC25">
            <w:pPr>
              <w:ind w:left="13" w:leftChars="6"/>
              <w:rPr>
                <w:rFonts w:ascii="仿宋" w:hAnsi="仿宋" w:eastAsia="仿宋" w:cs="仿宋"/>
                <w:color w:val="auto"/>
                <w:sz w:val="24"/>
                <w:highlight w:val="none"/>
              </w:rPr>
            </w:pPr>
            <w:r>
              <w:rPr>
                <w:rFonts w:hint="eastAsia" w:ascii="仿宋" w:hAnsi="仿宋" w:eastAsia="仿宋" w:cs="仿宋"/>
                <w:color w:val="auto"/>
                <w:sz w:val="24"/>
                <w:highlight w:val="none"/>
              </w:rPr>
              <w:t>是否按《具有履行合同所必需设备和专业技术能力的承诺函》格式填写且盖章</w:t>
            </w:r>
          </w:p>
        </w:tc>
      </w:tr>
      <w:tr w14:paraId="6BC1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052BDDC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014" w:type="dxa"/>
            <w:vAlign w:val="center"/>
          </w:tcPr>
          <w:p w14:paraId="15D6E15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无重大违法记录</w:t>
            </w:r>
          </w:p>
        </w:tc>
        <w:tc>
          <w:tcPr>
            <w:tcW w:w="6051" w:type="dxa"/>
            <w:vAlign w:val="center"/>
          </w:tcPr>
          <w:p w14:paraId="33D1801F">
            <w:pPr>
              <w:ind w:left="-92" w:leftChars="-44" w:firstLine="91" w:firstLineChars="38"/>
              <w:jc w:val="left"/>
              <w:rPr>
                <w:rFonts w:ascii="仿宋" w:hAnsi="仿宋" w:eastAsia="仿宋" w:cs="仿宋"/>
                <w:color w:val="auto"/>
                <w:sz w:val="24"/>
                <w:highlight w:val="none"/>
              </w:rPr>
            </w:pPr>
            <w:r>
              <w:rPr>
                <w:rFonts w:hint="eastAsia" w:ascii="仿宋" w:hAnsi="仿宋" w:eastAsia="仿宋" w:cs="仿宋"/>
                <w:color w:val="auto"/>
                <w:sz w:val="24"/>
                <w:highlight w:val="none"/>
              </w:rPr>
              <w:t>是否按《无重大违法记录声明书》格式填写且盖章</w:t>
            </w:r>
          </w:p>
        </w:tc>
      </w:tr>
      <w:tr w14:paraId="6907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567253E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014" w:type="dxa"/>
            <w:vAlign w:val="center"/>
          </w:tcPr>
          <w:p w14:paraId="43573C7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信用信息查询</w:t>
            </w:r>
          </w:p>
        </w:tc>
        <w:tc>
          <w:tcPr>
            <w:tcW w:w="6051" w:type="dxa"/>
            <w:vAlign w:val="center"/>
          </w:tcPr>
          <w:p w14:paraId="1D5EF983">
            <w:pPr>
              <w:ind w:left="-92" w:leftChars="-44" w:firstLine="91" w:firstLineChars="38"/>
              <w:jc w:val="left"/>
              <w:rPr>
                <w:rFonts w:ascii="仿宋" w:hAnsi="仿宋" w:eastAsia="仿宋" w:cs="仿宋"/>
                <w:color w:val="auto"/>
                <w:sz w:val="24"/>
                <w:highlight w:val="none"/>
              </w:rPr>
            </w:pPr>
            <w:r>
              <w:rPr>
                <w:rFonts w:hint="eastAsia" w:ascii="仿宋" w:hAnsi="仿宋" w:eastAsia="仿宋" w:cs="仿宋"/>
                <w:color w:val="auto"/>
                <w:sz w:val="24"/>
                <w:highlight w:val="none"/>
              </w:rPr>
              <w:t>1. 查询网址：</w:t>
            </w:r>
          </w:p>
          <w:p w14:paraId="44E248A1">
            <w:pPr>
              <w:ind w:left="-92" w:leftChars="-44" w:firstLine="91" w:firstLineChars="38"/>
              <w:jc w:val="left"/>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7"/>
                <w:rFonts w:hint="eastAsia" w:ascii="仿宋" w:hAnsi="仿宋" w:eastAsia="仿宋" w:cs="仿宋"/>
                <w:color w:val="auto"/>
                <w:sz w:val="24"/>
                <w:szCs w:val="24"/>
                <w:highlight w:val="none"/>
              </w:rPr>
              <w:t>www.creditchina.gov.cn</w:t>
            </w:r>
            <w:r>
              <w:rPr>
                <w:rStyle w:val="77"/>
                <w:rFonts w:hint="eastAsia" w:ascii="仿宋" w:hAnsi="仿宋" w:eastAsia="仿宋" w:cs="仿宋"/>
                <w:color w:val="auto"/>
                <w:sz w:val="24"/>
                <w:szCs w:val="24"/>
                <w:highlight w:val="none"/>
              </w:rPr>
              <w:fldChar w:fldCharType="end"/>
            </w:r>
            <w:r>
              <w:rPr>
                <w:rFonts w:hint="eastAsia" w:ascii="仿宋" w:hAnsi="仿宋" w:eastAsia="仿宋" w:cs="仿宋"/>
                <w:color w:val="auto"/>
                <w:sz w:val="24"/>
                <w:highlight w:val="none"/>
              </w:rPr>
              <w:t>）</w:t>
            </w:r>
          </w:p>
          <w:p w14:paraId="01457984">
            <w:pPr>
              <w:ind w:left="-92" w:leftChars="-44" w:firstLine="91" w:firstLineChars="38"/>
              <w:jc w:val="left"/>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77"/>
                <w:rFonts w:hint="eastAsia" w:ascii="仿宋" w:hAnsi="仿宋" w:eastAsia="仿宋" w:cs="仿宋"/>
                <w:color w:val="auto"/>
                <w:sz w:val="24"/>
                <w:szCs w:val="24"/>
                <w:highlight w:val="none"/>
              </w:rPr>
              <w:t>www.ccgp.gov.cn</w:t>
            </w:r>
            <w:r>
              <w:rPr>
                <w:rStyle w:val="77"/>
                <w:rFonts w:hint="eastAsia" w:ascii="仿宋" w:hAnsi="仿宋" w:eastAsia="仿宋" w:cs="仿宋"/>
                <w:color w:val="auto"/>
                <w:sz w:val="24"/>
                <w:szCs w:val="24"/>
                <w:highlight w:val="none"/>
              </w:rPr>
              <w:fldChar w:fldCharType="end"/>
            </w:r>
            <w:r>
              <w:rPr>
                <w:rFonts w:hint="eastAsia" w:ascii="仿宋" w:hAnsi="仿宋" w:eastAsia="仿宋" w:cs="仿宋"/>
                <w:color w:val="auto"/>
                <w:sz w:val="24"/>
                <w:highlight w:val="none"/>
              </w:rPr>
              <w:t>）</w:t>
            </w:r>
          </w:p>
          <w:p w14:paraId="54014BDC">
            <w:pPr>
              <w:ind w:left="-92" w:leftChars="-44" w:firstLine="91" w:firstLineChars="38"/>
              <w:jc w:val="left"/>
              <w:rPr>
                <w:rFonts w:ascii="仿宋" w:hAnsi="仿宋" w:eastAsia="仿宋" w:cs="仿宋"/>
                <w:color w:val="auto"/>
                <w:sz w:val="24"/>
                <w:highlight w:val="none"/>
              </w:rPr>
            </w:pPr>
            <w:r>
              <w:rPr>
                <w:rFonts w:hint="eastAsia" w:ascii="仿宋" w:hAnsi="仿宋" w:eastAsia="仿宋" w:cs="仿宋"/>
                <w:color w:val="auto"/>
                <w:sz w:val="24"/>
                <w:highlight w:val="none"/>
              </w:rPr>
              <w:t>2. 核对事项：</w:t>
            </w:r>
          </w:p>
          <w:p w14:paraId="07B60F06">
            <w:pPr>
              <w:ind w:left="-92" w:leftChars="-44" w:firstLine="91" w:firstLineChars="38"/>
              <w:jc w:val="left"/>
              <w:rPr>
                <w:rFonts w:ascii="仿宋" w:hAnsi="仿宋" w:eastAsia="仿宋" w:cs="仿宋"/>
                <w:color w:val="auto"/>
                <w:sz w:val="24"/>
                <w:highlight w:val="none"/>
              </w:rPr>
            </w:pPr>
            <w:r>
              <w:rPr>
                <w:rFonts w:hint="eastAsia" w:ascii="仿宋" w:hAnsi="仿宋" w:eastAsia="仿宋" w:cs="仿宋"/>
                <w:color w:val="auto"/>
                <w:sz w:val="24"/>
                <w:highlight w:val="none"/>
              </w:rPr>
              <w:t>有无被列入失信被执行人、重大税收违法失信主体、政府采购严重违法失信行为记录名单；</w:t>
            </w:r>
          </w:p>
          <w:p w14:paraId="0B580943">
            <w:pPr>
              <w:ind w:left="-92" w:leftChars="-44" w:firstLine="91" w:firstLineChars="38"/>
              <w:jc w:val="left"/>
              <w:rPr>
                <w:rFonts w:ascii="仿宋" w:hAnsi="仿宋" w:eastAsia="仿宋" w:cs="仿宋"/>
                <w:color w:val="auto"/>
                <w:sz w:val="24"/>
                <w:highlight w:val="none"/>
              </w:rPr>
            </w:pPr>
            <w:r>
              <w:rPr>
                <w:rFonts w:hint="eastAsia" w:ascii="仿宋" w:hAnsi="仿宋" w:eastAsia="仿宋" w:cs="仿宋"/>
                <w:color w:val="auto"/>
                <w:sz w:val="24"/>
                <w:highlight w:val="none"/>
              </w:rPr>
              <w:t>注：信用信息已修复的，以修复后的信息为准。</w:t>
            </w:r>
          </w:p>
        </w:tc>
      </w:tr>
      <w:tr w14:paraId="0E38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68F4BBE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2014" w:type="dxa"/>
            <w:vAlign w:val="center"/>
          </w:tcPr>
          <w:p w14:paraId="4E77655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联合体</w:t>
            </w:r>
          </w:p>
          <w:p w14:paraId="6B6F6C9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（若有）</w:t>
            </w:r>
          </w:p>
        </w:tc>
        <w:tc>
          <w:tcPr>
            <w:tcW w:w="6051" w:type="dxa"/>
            <w:vAlign w:val="center"/>
          </w:tcPr>
          <w:p w14:paraId="7F9DBA8B">
            <w:pPr>
              <w:ind w:left="-92" w:leftChars="-44" w:firstLine="91" w:firstLineChars="38"/>
              <w:jc w:val="left"/>
              <w:rPr>
                <w:rFonts w:ascii="仿宋" w:hAnsi="仿宋" w:eastAsia="仿宋" w:cs="仿宋"/>
                <w:color w:val="auto"/>
                <w:sz w:val="24"/>
                <w:highlight w:val="none"/>
              </w:rPr>
            </w:pPr>
            <w:r>
              <w:rPr>
                <w:rFonts w:hint="eastAsia" w:ascii="仿宋" w:hAnsi="仿宋" w:eastAsia="仿宋" w:cs="仿宋"/>
                <w:color w:val="auto"/>
                <w:sz w:val="24"/>
                <w:highlight w:val="none"/>
              </w:rPr>
              <w:t>1. 是否按联合体协议书格式内容填写且盖章；</w:t>
            </w:r>
          </w:p>
          <w:p w14:paraId="3667C572">
            <w:pPr>
              <w:ind w:left="-92" w:leftChars="-44" w:firstLine="91" w:firstLineChars="38"/>
              <w:jc w:val="left"/>
              <w:rPr>
                <w:rFonts w:ascii="仿宋" w:hAnsi="仿宋" w:eastAsia="仿宋" w:cs="仿宋"/>
                <w:color w:val="auto"/>
                <w:sz w:val="24"/>
                <w:highlight w:val="none"/>
              </w:rPr>
            </w:pPr>
            <w:r>
              <w:rPr>
                <w:rFonts w:hint="eastAsia" w:ascii="仿宋" w:hAnsi="仿宋" w:eastAsia="仿宋" w:cs="仿宋"/>
                <w:color w:val="auto"/>
                <w:sz w:val="24"/>
                <w:highlight w:val="none"/>
              </w:rPr>
              <w:t>2. 联合体各方资料是否齐全；</w:t>
            </w:r>
          </w:p>
          <w:p w14:paraId="68FAE543">
            <w:pPr>
              <w:ind w:left="347" w:leftChars="-6" w:right="-78" w:rightChars="-37" w:hanging="360" w:hanging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3. 联合体各方资料审查内容按上述要求提供，委托书由主办方提供一份。</w:t>
            </w:r>
          </w:p>
        </w:tc>
      </w:tr>
      <w:tr w14:paraId="3153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0CA096A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2014" w:type="dxa"/>
            <w:vAlign w:val="center"/>
          </w:tcPr>
          <w:p w14:paraId="031CE00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分包意向书（若有）</w:t>
            </w:r>
          </w:p>
        </w:tc>
        <w:tc>
          <w:tcPr>
            <w:tcW w:w="6051" w:type="dxa"/>
            <w:vAlign w:val="center"/>
          </w:tcPr>
          <w:p w14:paraId="6CEF92F4">
            <w:pPr>
              <w:ind w:left="-92" w:leftChars="-44" w:firstLine="91" w:firstLineChars="38"/>
              <w:jc w:val="left"/>
              <w:rPr>
                <w:rFonts w:ascii="仿宋" w:hAnsi="仿宋" w:eastAsia="仿宋" w:cs="仿宋"/>
                <w:color w:val="auto"/>
                <w:sz w:val="24"/>
                <w:highlight w:val="none"/>
              </w:rPr>
            </w:pPr>
            <w:r>
              <w:rPr>
                <w:rFonts w:hint="eastAsia" w:ascii="仿宋" w:hAnsi="仿宋" w:eastAsia="仿宋" w:cs="仿宋"/>
                <w:color w:val="auto"/>
                <w:sz w:val="24"/>
                <w:highlight w:val="none"/>
              </w:rPr>
              <w:t>是否按分包意向书格式内容填写且盖章；</w:t>
            </w:r>
          </w:p>
        </w:tc>
      </w:tr>
      <w:tr w14:paraId="1347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3B48F33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2014" w:type="dxa"/>
            <w:vAlign w:val="center"/>
          </w:tcPr>
          <w:p w14:paraId="1A9F94F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特定资格条件（若有）</w:t>
            </w:r>
          </w:p>
        </w:tc>
        <w:tc>
          <w:tcPr>
            <w:tcW w:w="6051" w:type="dxa"/>
            <w:vAlign w:val="center"/>
          </w:tcPr>
          <w:p w14:paraId="4B4AB9F8">
            <w:pPr>
              <w:ind w:left="-92" w:leftChars="-44" w:firstLine="91" w:firstLineChars="38"/>
              <w:jc w:val="left"/>
              <w:rPr>
                <w:rFonts w:ascii="仿宋" w:hAnsi="仿宋" w:eastAsia="仿宋" w:cs="仿宋"/>
                <w:color w:val="auto"/>
                <w:sz w:val="24"/>
                <w:highlight w:val="none"/>
              </w:rPr>
            </w:pPr>
            <w:r>
              <w:rPr>
                <w:rFonts w:hint="eastAsia" w:ascii="仿宋" w:hAnsi="仿宋" w:eastAsia="仿宋" w:cs="仿宋"/>
                <w:color w:val="auto"/>
                <w:sz w:val="24"/>
                <w:highlight w:val="none"/>
              </w:rPr>
              <w:t>提供特定资格条件相关证书电子文档。</w:t>
            </w:r>
          </w:p>
        </w:tc>
      </w:tr>
      <w:tr w14:paraId="621B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2175949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2014" w:type="dxa"/>
            <w:vAlign w:val="center"/>
          </w:tcPr>
          <w:p w14:paraId="22EC2F8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企业类型声明函</w:t>
            </w:r>
          </w:p>
          <w:p w14:paraId="1AE861E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（专门面向中小企业提供）</w:t>
            </w:r>
          </w:p>
        </w:tc>
        <w:tc>
          <w:tcPr>
            <w:tcW w:w="6051" w:type="dxa"/>
            <w:vAlign w:val="center"/>
          </w:tcPr>
          <w:p w14:paraId="614EBE68">
            <w:pPr>
              <w:ind w:left="-92" w:leftChars="-44" w:firstLine="91" w:firstLineChars="38"/>
              <w:jc w:val="left"/>
              <w:rPr>
                <w:rFonts w:ascii="仿宋" w:hAnsi="仿宋" w:eastAsia="仿宋" w:cs="仿宋"/>
                <w:color w:val="auto"/>
                <w:sz w:val="24"/>
                <w:highlight w:val="none"/>
              </w:rPr>
            </w:pPr>
            <w:r>
              <w:rPr>
                <w:rFonts w:hint="eastAsia" w:ascii="仿宋" w:hAnsi="仿宋" w:eastAsia="仿宋" w:cs="仿宋"/>
                <w:color w:val="auto"/>
                <w:sz w:val="24"/>
                <w:highlight w:val="none"/>
              </w:rPr>
              <w:t>是否按声明书格式内容填写且盖章；</w:t>
            </w:r>
          </w:p>
        </w:tc>
      </w:tr>
      <w:tr w14:paraId="7BEE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3"/>
            <w:vAlign w:val="center"/>
          </w:tcPr>
          <w:p w14:paraId="6DDF537A">
            <w:pPr>
              <w:jc w:val="left"/>
              <w:rPr>
                <w:rFonts w:ascii="仿宋" w:hAnsi="仿宋" w:eastAsia="仿宋" w:cs="仿宋"/>
                <w:color w:val="auto"/>
                <w:sz w:val="24"/>
                <w:highlight w:val="none"/>
              </w:rPr>
            </w:pPr>
            <w:r>
              <w:rPr>
                <w:rFonts w:hint="eastAsia" w:ascii="仿宋" w:hAnsi="仿宋" w:eastAsia="仿宋" w:cs="仿宋"/>
                <w:color w:val="auto"/>
                <w:sz w:val="24"/>
                <w:highlight w:val="none"/>
              </w:rPr>
              <w:t>注：以上资料内容须清晰可辨，模糊不清造成资格审查不予以通过，由供应商自行负责；</w:t>
            </w:r>
          </w:p>
        </w:tc>
      </w:tr>
    </w:tbl>
    <w:p w14:paraId="28735706">
      <w:pPr>
        <w:spacing w:line="360" w:lineRule="auto"/>
        <w:ind w:left="960" w:hanging="960" w:hangingChars="400"/>
        <w:rPr>
          <w:rFonts w:ascii="仿宋" w:hAnsi="仿宋" w:eastAsia="仿宋" w:cs="仿宋"/>
          <w:color w:val="auto"/>
          <w:sz w:val="24"/>
          <w:highlight w:val="none"/>
        </w:rPr>
      </w:pPr>
    </w:p>
    <w:p w14:paraId="553F3525">
      <w:pPr>
        <w:spacing w:line="360" w:lineRule="auto"/>
        <w:ind w:left="959" w:leftChars="114" w:hanging="720" w:hangingChars="300"/>
        <w:rPr>
          <w:rFonts w:ascii="仿宋" w:hAnsi="仿宋" w:eastAsia="仿宋" w:cs="仿宋"/>
          <w:color w:val="auto"/>
          <w:sz w:val="24"/>
          <w:highlight w:val="none"/>
        </w:rPr>
      </w:pPr>
      <w:r>
        <w:rPr>
          <w:rFonts w:hint="eastAsia" w:ascii="仿宋" w:hAnsi="仿宋" w:eastAsia="仿宋" w:cs="仿宋"/>
          <w:color w:val="auto"/>
          <w:sz w:val="24"/>
          <w:highlight w:val="none"/>
        </w:rPr>
        <w:t>19.6 供应商家数要求</w:t>
      </w:r>
    </w:p>
    <w:p w14:paraId="61A6C9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因市场竞争不充分的科研项目以及需要扶持的科技成果转化项目提交最后报价的供应商可以为2家；</w:t>
      </w:r>
    </w:p>
    <w:p w14:paraId="34A8C5C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政府购买服务项目（含政府和社会资格合作项目）在符合性审查、提交最后报价过程中，符合要求的供应商只有2家的，采购活动可以继续进行；</w:t>
      </w:r>
    </w:p>
    <w:p w14:paraId="4A48CF4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上述2种情形除外，采购过程中有效供应商均不得少于3家，否则不得进入评审，并按相关规定重新组织采购。</w:t>
      </w:r>
    </w:p>
    <w:p w14:paraId="2DA2F327">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53" w:name="_Toc17705"/>
      <w:bookmarkStart w:id="154" w:name="_Toc19923"/>
      <w:bookmarkStart w:id="155" w:name="_Toc139797618"/>
      <w:r>
        <w:rPr>
          <w:rFonts w:hint="eastAsia" w:ascii="仿宋" w:hAnsi="仿宋" w:eastAsia="仿宋" w:cs="仿宋"/>
          <w:color w:val="auto"/>
          <w:szCs w:val="20"/>
          <w:highlight w:val="none"/>
          <w:lang w:val="zh-CN"/>
        </w:rPr>
        <w:t>信用信息查询</w:t>
      </w:r>
      <w:bookmarkEnd w:id="153"/>
      <w:bookmarkEnd w:id="154"/>
      <w:bookmarkEnd w:id="155"/>
    </w:p>
    <w:p w14:paraId="155FB524">
      <w:pPr>
        <w:pStyle w:val="14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457A27F3">
      <w:pPr>
        <w:pStyle w:val="14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3540A2BC">
      <w:pPr>
        <w:pStyle w:val="14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20.3信用信息的使用规则：经查询列入失信被执行人名单、重大税收违法失信主体、政府采购严重违法失信行为记录名单的供应商将被拒绝参与政府采购活动。</w:t>
      </w:r>
    </w:p>
    <w:p w14:paraId="3307F4CC">
      <w:pPr>
        <w:pStyle w:val="14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3F3B5D9">
      <w:pPr>
        <w:pStyle w:val="60"/>
        <w:widowControl w:val="0"/>
        <w:numPr>
          <w:ilvl w:val="0"/>
          <w:numId w:val="4"/>
        </w:numPr>
        <w:tabs>
          <w:tab w:val="left" w:pos="0"/>
        </w:tabs>
        <w:overflowPunct/>
        <w:autoSpaceDE/>
        <w:autoSpaceDN/>
        <w:adjustRightInd/>
        <w:spacing w:before="240" w:beforeLines="100" w:after="240" w:afterLines="100"/>
        <w:jc w:val="left"/>
        <w:textAlignment w:val="auto"/>
        <w:outlineLvl w:val="1"/>
        <w:rPr>
          <w:rFonts w:ascii="仿宋" w:hAnsi="仿宋" w:eastAsia="仿宋" w:cs="仿宋"/>
          <w:bCs/>
          <w:color w:val="auto"/>
          <w:kern w:val="2"/>
          <w:sz w:val="30"/>
          <w:szCs w:val="30"/>
          <w:highlight w:val="none"/>
          <w:lang w:val="en-US"/>
        </w:rPr>
      </w:pPr>
      <w:bookmarkStart w:id="156" w:name="_Toc139797619"/>
      <w:bookmarkStart w:id="157" w:name="_Toc28621"/>
      <w:bookmarkStart w:id="158" w:name="_Toc11283"/>
      <w:r>
        <w:rPr>
          <w:rFonts w:hint="eastAsia" w:ascii="仿宋" w:hAnsi="仿宋" w:eastAsia="仿宋" w:cs="仿宋"/>
          <w:bCs/>
          <w:color w:val="auto"/>
          <w:kern w:val="2"/>
          <w:sz w:val="30"/>
          <w:szCs w:val="30"/>
          <w:highlight w:val="none"/>
          <w:lang w:val="en-US"/>
        </w:rPr>
        <w:t>评审</w:t>
      </w:r>
      <w:bookmarkEnd w:id="156"/>
      <w:bookmarkEnd w:id="157"/>
      <w:bookmarkEnd w:id="158"/>
    </w:p>
    <w:p w14:paraId="20FEF116">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59" w:name="_Toc139797620"/>
      <w:bookmarkStart w:id="160" w:name="_Toc10454"/>
      <w:bookmarkStart w:id="161" w:name="_Toc16744"/>
      <w:bookmarkStart w:id="162" w:name="_Toc91899903"/>
      <w:r>
        <w:rPr>
          <w:rFonts w:hint="eastAsia" w:ascii="仿宋" w:hAnsi="仿宋" w:eastAsia="仿宋" w:cs="仿宋"/>
          <w:color w:val="auto"/>
          <w:szCs w:val="20"/>
          <w:highlight w:val="none"/>
          <w:lang w:val="zh-CN"/>
        </w:rPr>
        <w:t>评审办法</w:t>
      </w:r>
      <w:bookmarkEnd w:id="159"/>
      <w:bookmarkEnd w:id="160"/>
      <w:bookmarkEnd w:id="161"/>
    </w:p>
    <w:p w14:paraId="568C7470">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w:t>
      </w:r>
      <w:r>
        <w:rPr>
          <w:rFonts w:hint="eastAsia" w:ascii="仿宋" w:hAnsi="仿宋" w:eastAsia="仿宋" w:cs="仿宋"/>
          <w:color w:val="auto"/>
          <w:kern w:val="0"/>
          <w:sz w:val="24"/>
          <w:highlight w:val="none"/>
        </w:rPr>
        <w:t>，按照评审得分由高到低顺序推荐3名成交候选供应商，并编写评审报告。符合</w:t>
      </w:r>
      <w:r>
        <w:rPr>
          <w:rFonts w:hint="eastAsia" w:ascii="仿宋" w:hAnsi="仿宋" w:eastAsia="仿宋" w:cs="仿宋"/>
          <w:color w:val="auto"/>
          <w:sz w:val="24"/>
          <w:highlight w:val="none"/>
        </w:rPr>
        <w:t>财库〔2014〕214号</w:t>
      </w:r>
      <w:r>
        <w:rPr>
          <w:rFonts w:hint="eastAsia" w:ascii="仿宋" w:hAnsi="仿宋" w:eastAsia="仿宋" w:cs="仿宋"/>
          <w:color w:val="auto"/>
          <w:kern w:val="0"/>
          <w:sz w:val="24"/>
          <w:highlight w:val="none"/>
        </w:rPr>
        <w:t>第二十一条第三款情形的，可以推荐2家成交候选供应商。评审得分相同的，按照最后报价由低到高的顺序推荐。评审得分且最后报价相同的，按照技术指标优劣顺序推荐。</w:t>
      </w:r>
      <w:r>
        <w:rPr>
          <w:rFonts w:hint="eastAsia" w:ascii="仿宋" w:hAnsi="仿宋" w:eastAsia="仿宋" w:cs="仿宋"/>
          <w:b/>
          <w:color w:val="auto"/>
          <w:sz w:val="24"/>
          <w:highlight w:val="none"/>
        </w:rPr>
        <w:t>详见采购文件第七部分评审办法。</w:t>
      </w:r>
    </w:p>
    <w:p w14:paraId="4A66F737">
      <w:pPr>
        <w:pStyle w:val="60"/>
        <w:widowControl w:val="0"/>
        <w:numPr>
          <w:ilvl w:val="0"/>
          <w:numId w:val="4"/>
        </w:numPr>
        <w:tabs>
          <w:tab w:val="left" w:pos="0"/>
        </w:tabs>
        <w:overflowPunct/>
        <w:autoSpaceDE/>
        <w:autoSpaceDN/>
        <w:adjustRightInd/>
        <w:spacing w:before="240" w:beforeLines="100" w:after="240" w:afterLines="100"/>
        <w:jc w:val="left"/>
        <w:textAlignment w:val="auto"/>
        <w:outlineLvl w:val="1"/>
        <w:rPr>
          <w:rFonts w:ascii="仿宋" w:hAnsi="仿宋" w:eastAsia="仿宋" w:cs="仿宋"/>
          <w:bCs/>
          <w:color w:val="auto"/>
          <w:kern w:val="2"/>
          <w:sz w:val="30"/>
          <w:szCs w:val="30"/>
          <w:highlight w:val="none"/>
          <w:lang w:val="en-US"/>
        </w:rPr>
      </w:pPr>
      <w:bookmarkStart w:id="163" w:name="_Toc6572"/>
      <w:bookmarkStart w:id="164" w:name="_Toc17781"/>
      <w:bookmarkStart w:id="165" w:name="_Toc139797621"/>
      <w:r>
        <w:rPr>
          <w:rFonts w:hint="eastAsia" w:ascii="仿宋" w:hAnsi="仿宋" w:eastAsia="仿宋" w:cs="仿宋"/>
          <w:bCs/>
          <w:color w:val="auto"/>
          <w:kern w:val="2"/>
          <w:sz w:val="30"/>
          <w:szCs w:val="30"/>
          <w:highlight w:val="none"/>
          <w:lang w:val="en-US"/>
        </w:rPr>
        <w:t>成交供应商确定</w:t>
      </w:r>
      <w:bookmarkEnd w:id="163"/>
      <w:bookmarkEnd w:id="164"/>
      <w:bookmarkEnd w:id="165"/>
    </w:p>
    <w:p w14:paraId="2E66A58B">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66" w:name="_Toc3731"/>
      <w:bookmarkStart w:id="167" w:name="_Toc139797622"/>
      <w:bookmarkStart w:id="168" w:name="_Toc146"/>
      <w:r>
        <w:rPr>
          <w:rFonts w:hint="eastAsia" w:ascii="仿宋" w:hAnsi="仿宋" w:eastAsia="仿宋" w:cs="仿宋"/>
          <w:color w:val="auto"/>
          <w:szCs w:val="20"/>
          <w:highlight w:val="none"/>
          <w:lang w:val="zh-CN"/>
        </w:rPr>
        <w:t>确定成交供应商</w:t>
      </w:r>
      <w:bookmarkEnd w:id="166"/>
      <w:bookmarkEnd w:id="167"/>
      <w:bookmarkEnd w:id="168"/>
    </w:p>
    <w:p w14:paraId="6D8B090E">
      <w:pPr>
        <w:pStyle w:val="14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22.1政府采购项目实行全流程电子化，评审报告送交、采购结果确定和结果公告均在线完成。采购代理机构在评审结束后2个工作日内将评审报告提交采购人确认，成交通知书和成交结果公告应当在规定时间内同时发出。</w:t>
      </w:r>
    </w:p>
    <w:p w14:paraId="0221AAB4">
      <w:pPr>
        <w:pStyle w:val="14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22.2 采购人应当自收到评审报告之日起5个工作日内，在评审报告确定的成交候选人名单中按顺序确定成交人；</w:t>
      </w:r>
    </w:p>
    <w:p w14:paraId="5A088294">
      <w:pPr>
        <w:pStyle w:val="14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22.3 采购人在收到评审报告5个工作日内未按评审报告推荐的成交候选人顺序确定成交人，又不能说明合法理由的，视同按评审报告推荐的顺序确定排名第一的成交候选人为成交人；</w:t>
      </w:r>
    </w:p>
    <w:p w14:paraId="2186DBDB">
      <w:pPr>
        <w:pStyle w:val="14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22.4 成交人拒绝与采购人签订合同的，采购人可以按照评审报告推荐的成交人名单排序，确定下一候选人为成交人，也可以重新开展政府采购活动。</w:t>
      </w:r>
    </w:p>
    <w:p w14:paraId="3D65FBF8">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69" w:name="_Toc139797623"/>
      <w:bookmarkStart w:id="170" w:name="_Toc32568"/>
      <w:bookmarkStart w:id="171" w:name="_Toc18422"/>
      <w:r>
        <w:rPr>
          <w:rFonts w:hint="eastAsia" w:ascii="仿宋" w:hAnsi="仿宋" w:eastAsia="仿宋" w:cs="仿宋"/>
          <w:color w:val="auto"/>
          <w:szCs w:val="20"/>
          <w:highlight w:val="none"/>
          <w:lang w:val="zh-CN"/>
        </w:rPr>
        <w:t>成交通知与成交结果公告</w:t>
      </w:r>
      <w:bookmarkEnd w:id="169"/>
      <w:bookmarkEnd w:id="170"/>
      <w:bookmarkEnd w:id="171"/>
    </w:p>
    <w:p w14:paraId="52A2C050">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18F59165">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79821BC">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A504DF8">
      <w:pPr>
        <w:spacing w:line="360" w:lineRule="auto"/>
        <w:ind w:left="959" w:leftChars="228"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23.4采购代理机构将在成交结果公告中附成交通知书，视同向成交人发出</w:t>
      </w:r>
    </w:p>
    <w:p w14:paraId="0A62A27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成交通知书，同时成交人应在成交结果公告发布后签订合同前，赴政府采购代理机构项目负责人处领取书面成交通知书；</w:t>
      </w:r>
    </w:p>
    <w:p w14:paraId="171791F3">
      <w:pPr>
        <w:spacing w:line="360" w:lineRule="auto"/>
        <w:ind w:left="959" w:leftChars="228"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23.5成交通知书发出后，采购人不得改变成交结果，成交人无正当理由不</w:t>
      </w:r>
    </w:p>
    <w:p w14:paraId="15820CB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得放弃成交。否则将作为不良行为记录上报财政部门，由财政部门按相关法律法规给予处理。</w:t>
      </w:r>
    </w:p>
    <w:p w14:paraId="0C229EC9">
      <w:pPr>
        <w:pStyle w:val="60"/>
        <w:widowControl w:val="0"/>
        <w:numPr>
          <w:ilvl w:val="0"/>
          <w:numId w:val="4"/>
        </w:numPr>
        <w:tabs>
          <w:tab w:val="left" w:pos="0"/>
        </w:tabs>
        <w:overflowPunct/>
        <w:autoSpaceDE/>
        <w:autoSpaceDN/>
        <w:adjustRightInd/>
        <w:spacing w:before="240" w:beforeLines="100" w:after="240" w:afterLines="100"/>
        <w:jc w:val="left"/>
        <w:textAlignment w:val="auto"/>
        <w:outlineLvl w:val="1"/>
        <w:rPr>
          <w:rFonts w:ascii="仿宋" w:hAnsi="仿宋" w:eastAsia="仿宋" w:cs="仿宋"/>
          <w:bCs/>
          <w:color w:val="auto"/>
          <w:kern w:val="2"/>
          <w:sz w:val="30"/>
          <w:szCs w:val="30"/>
          <w:highlight w:val="none"/>
          <w:lang w:val="en-US"/>
        </w:rPr>
      </w:pPr>
      <w:bookmarkStart w:id="172" w:name="_Toc24564"/>
      <w:bookmarkStart w:id="173" w:name="_Toc139797624"/>
      <w:bookmarkStart w:id="174" w:name="_Toc2691"/>
      <w:r>
        <w:rPr>
          <w:rFonts w:hint="eastAsia" w:ascii="仿宋" w:hAnsi="仿宋" w:eastAsia="仿宋" w:cs="仿宋"/>
          <w:bCs/>
          <w:color w:val="auto"/>
          <w:kern w:val="2"/>
          <w:sz w:val="30"/>
          <w:szCs w:val="30"/>
          <w:highlight w:val="none"/>
          <w:lang w:val="en-US"/>
        </w:rPr>
        <w:t>合同授予</w:t>
      </w:r>
      <w:bookmarkEnd w:id="172"/>
      <w:bookmarkEnd w:id="173"/>
      <w:bookmarkEnd w:id="174"/>
    </w:p>
    <w:p w14:paraId="1EF64558">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75" w:name="_Toc19806"/>
      <w:bookmarkStart w:id="176" w:name="_Toc139797625"/>
      <w:bookmarkStart w:id="177" w:name="_Toc26167"/>
      <w:r>
        <w:rPr>
          <w:rFonts w:hint="eastAsia" w:ascii="仿宋" w:hAnsi="仿宋" w:eastAsia="仿宋" w:cs="仿宋"/>
          <w:color w:val="auto"/>
          <w:szCs w:val="20"/>
          <w:highlight w:val="none"/>
          <w:lang w:val="zh-CN"/>
        </w:rPr>
        <w:t>合同的签订</w:t>
      </w:r>
      <w:bookmarkEnd w:id="175"/>
      <w:bookmarkEnd w:id="176"/>
      <w:bookmarkEnd w:id="177"/>
    </w:p>
    <w:p w14:paraId="66B4CF4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24.1合同主要条款详见第五部分拟签订的合同文本；</w:t>
      </w:r>
    </w:p>
    <w:p w14:paraId="79B01E9E">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24.2</w:t>
      </w:r>
      <w:r>
        <w:rPr>
          <w:rFonts w:hint="eastAsia" w:ascii="仿宋" w:hAnsi="仿宋" w:eastAsia="仿宋" w:cs="仿宋"/>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3DB0AA76">
      <w:pPr>
        <w:pStyle w:val="14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4.3</w:t>
      </w:r>
      <w:r>
        <w:rPr>
          <w:rFonts w:hint="eastAsia" w:ascii="仿宋" w:hAnsi="仿宋" w:eastAsia="仿宋" w:cs="仿宋"/>
          <w:color w:val="auto"/>
          <w:kern w:val="0"/>
          <w:highlight w:val="none"/>
          <w:lang w:val="zh-CN"/>
        </w:rPr>
        <w:t>成交供应商按规定的日期、时间、地点，由法定代表人或其授权代表与采购人代表签订合同。如成交供应商为联合体的，由联合体成员各方法定代表人或其授权代表与采购人代表签订合同。</w:t>
      </w:r>
    </w:p>
    <w:p w14:paraId="56F37CE1">
      <w:pPr>
        <w:pStyle w:val="14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24.4如签订合同并生效后，供应商无故拒绝或延期，除按照合同条款处理外，列入不良行为记录一次，并给予通报。</w:t>
      </w:r>
    </w:p>
    <w:p w14:paraId="3C56FED3">
      <w:pPr>
        <w:pStyle w:val="14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24.5成交供应商拒绝与采购人签订合同的，采购人可以按照《政府采购竞争性磋商采购方式管理暂行办法》第二十八条第二款规定的原则确定其他供应商作为成交供应商并签订政府采购合同，也可以重新开展政府采购活动。拒绝与采购人签订合同的成交供应商应承担采购代理服务费、评审专家劳务报酬等相关费用。拒绝签订政府采购合同的成交供应商不得参加对该项目重新开展的采购活动。</w:t>
      </w:r>
    </w:p>
    <w:p w14:paraId="2703558F">
      <w:pPr>
        <w:pStyle w:val="14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24.6采购合同由采购人与成交供应商根据采购文件、响应文件等内容通过政府采购电子交易平台在线签订，自动备案。</w:t>
      </w:r>
    </w:p>
    <w:p w14:paraId="2B3B8634">
      <w:pPr>
        <w:pStyle w:val="140"/>
        <w:snapToGrid w:val="0"/>
        <w:spacing w:before="0"/>
        <w:ind w:firstLine="480"/>
        <w:rPr>
          <w:rFonts w:ascii="仿宋" w:hAnsi="仿宋" w:eastAsia="仿宋" w:cs="仿宋"/>
          <w:color w:val="auto"/>
          <w:highlight w:val="none"/>
        </w:rPr>
      </w:pPr>
    </w:p>
    <w:p w14:paraId="250C1205">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78" w:name="_Toc10057"/>
      <w:bookmarkStart w:id="179" w:name="_Toc22701"/>
      <w:bookmarkStart w:id="180" w:name="_Toc139797626"/>
      <w:r>
        <w:rPr>
          <w:rFonts w:hint="eastAsia" w:ascii="仿宋" w:hAnsi="仿宋" w:eastAsia="仿宋" w:cs="仿宋"/>
          <w:color w:val="auto"/>
          <w:szCs w:val="20"/>
          <w:highlight w:val="none"/>
          <w:lang w:val="zh-CN"/>
        </w:rPr>
        <w:t>履约保证金</w:t>
      </w:r>
      <w:bookmarkEnd w:id="178"/>
      <w:bookmarkEnd w:id="179"/>
      <w:bookmarkEnd w:id="180"/>
    </w:p>
    <w:p w14:paraId="7B26F7AC">
      <w:pPr>
        <w:spacing w:line="360" w:lineRule="auto"/>
        <w:ind w:left="959" w:leftChars="228"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25.1履约保证金：见供应商须知前附表（一）。</w:t>
      </w:r>
    </w:p>
    <w:p w14:paraId="7AB13EAF">
      <w:pPr>
        <w:spacing w:line="360" w:lineRule="auto"/>
        <w:ind w:left="959" w:leftChars="228"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25.2成交供应商提供的工程、服务及相关货物符合合同约定并经验收合格</w:t>
      </w:r>
    </w:p>
    <w:p w14:paraId="72CF9EA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的，其履约保证金按规定要求由采购人无息退还。</w:t>
      </w:r>
    </w:p>
    <w:p w14:paraId="6FDC039E">
      <w:pPr>
        <w:tabs>
          <w:tab w:val="left" w:pos="0"/>
        </w:tabs>
        <w:snapToGrid w:val="0"/>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25.3拟签订的合同文本要求成交供应商提交履约保证金的，供应商应当以支票、汇票、本票或者金融机构、担保机构出具的保函等非现金形式提交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w:t>
      </w:r>
      <w:r>
        <w:rPr>
          <w:rFonts w:hint="eastAsia" w:ascii="仿宋" w:hAnsi="仿宋" w:eastAsia="仿宋" w:cs="仿宋"/>
          <w:color w:val="auto"/>
          <w:sz w:val="24"/>
          <w:szCs w:val="28"/>
          <w:highlight w:val="none"/>
          <w:lang w:val="zh-CN"/>
        </w:rPr>
        <w:t>采购人可以根据中标供应商信用等情况</w:t>
      </w:r>
      <w:r>
        <w:rPr>
          <w:rFonts w:hint="eastAsia" w:ascii="仿宋" w:hAnsi="仿宋" w:eastAsia="仿宋" w:cs="仿宋"/>
          <w:color w:val="auto"/>
          <w:sz w:val="24"/>
          <w:highlight w:val="none"/>
        </w:rPr>
        <w:t>，决定是否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5AE712A6">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656E711">
      <w:pPr>
        <w:rPr>
          <w:rFonts w:ascii="仿宋" w:hAnsi="仿宋" w:eastAsia="仿宋" w:cs="仿宋"/>
          <w:color w:val="auto"/>
          <w:highlight w:val="none"/>
        </w:rPr>
      </w:pPr>
    </w:p>
    <w:p w14:paraId="45B3CFF2">
      <w:pPr>
        <w:pStyle w:val="967"/>
        <w:numPr>
          <w:ilvl w:val="0"/>
          <w:numId w:val="5"/>
        </w:numPr>
        <w:adjustRightInd/>
        <w:spacing w:line="360" w:lineRule="auto"/>
        <w:ind w:left="0" w:firstLine="482" w:firstLineChars="200"/>
        <w:rPr>
          <w:rFonts w:ascii="仿宋" w:hAnsi="仿宋" w:eastAsia="仿宋" w:cs="仿宋"/>
          <w:color w:val="auto"/>
          <w:szCs w:val="20"/>
          <w:highlight w:val="none"/>
          <w:lang w:val="zh-CN"/>
        </w:rPr>
      </w:pPr>
      <w:bookmarkStart w:id="181" w:name="_Toc25024"/>
      <w:bookmarkStart w:id="182" w:name="_Toc139797627"/>
      <w:bookmarkStart w:id="183" w:name="_Toc7"/>
      <w:r>
        <w:rPr>
          <w:rFonts w:hint="eastAsia" w:ascii="仿宋" w:hAnsi="仿宋" w:eastAsia="仿宋" w:cs="仿宋"/>
          <w:color w:val="auto"/>
          <w:szCs w:val="20"/>
          <w:highlight w:val="none"/>
        </w:rPr>
        <w:t>预付款</w:t>
      </w:r>
      <w:bookmarkEnd w:id="181"/>
      <w:bookmarkEnd w:id="182"/>
      <w:bookmarkEnd w:id="183"/>
    </w:p>
    <w:p w14:paraId="42CD5F76">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906560B">
      <w:pPr>
        <w:spacing w:line="360" w:lineRule="auto"/>
        <w:rPr>
          <w:rFonts w:ascii="仿宋" w:hAnsi="仿宋" w:eastAsia="仿宋" w:cs="仿宋"/>
          <w:color w:val="auto"/>
          <w:highlight w:val="none"/>
        </w:rPr>
      </w:pPr>
    </w:p>
    <w:p w14:paraId="2EF87B38">
      <w:pPr>
        <w:pStyle w:val="60"/>
        <w:widowControl w:val="0"/>
        <w:numPr>
          <w:ilvl w:val="0"/>
          <w:numId w:val="4"/>
        </w:numPr>
        <w:tabs>
          <w:tab w:val="left" w:pos="0"/>
        </w:tabs>
        <w:overflowPunct/>
        <w:autoSpaceDE/>
        <w:autoSpaceDN/>
        <w:adjustRightInd/>
        <w:spacing w:before="240" w:beforeLines="100" w:after="240" w:afterLines="100"/>
        <w:jc w:val="left"/>
        <w:textAlignment w:val="auto"/>
        <w:outlineLvl w:val="1"/>
        <w:rPr>
          <w:rFonts w:ascii="仿宋" w:hAnsi="仿宋" w:eastAsia="仿宋" w:cs="仿宋"/>
          <w:bCs/>
          <w:color w:val="auto"/>
          <w:kern w:val="2"/>
          <w:sz w:val="30"/>
          <w:szCs w:val="30"/>
          <w:highlight w:val="none"/>
          <w:lang w:val="en-US"/>
        </w:rPr>
      </w:pPr>
      <w:bookmarkStart w:id="184" w:name="_Toc6269"/>
      <w:bookmarkStart w:id="185" w:name="_Toc139797628"/>
      <w:bookmarkStart w:id="186" w:name="_Toc5271"/>
      <w:r>
        <w:rPr>
          <w:rFonts w:hint="eastAsia" w:ascii="仿宋" w:hAnsi="仿宋" w:eastAsia="仿宋" w:cs="仿宋"/>
          <w:bCs/>
          <w:color w:val="auto"/>
          <w:kern w:val="2"/>
          <w:sz w:val="30"/>
          <w:szCs w:val="30"/>
          <w:highlight w:val="none"/>
          <w:lang w:val="en-US"/>
        </w:rPr>
        <w:t>电子交易活动的中止</w:t>
      </w:r>
      <w:bookmarkEnd w:id="184"/>
      <w:bookmarkEnd w:id="185"/>
      <w:bookmarkEnd w:id="186"/>
    </w:p>
    <w:p w14:paraId="5E073B53">
      <w:pPr>
        <w:pStyle w:val="967"/>
        <w:numPr>
          <w:ilvl w:val="0"/>
          <w:numId w:val="5"/>
        </w:numPr>
        <w:adjustRightInd/>
        <w:spacing w:line="360" w:lineRule="auto"/>
        <w:ind w:left="0" w:firstLine="482" w:firstLineChars="200"/>
        <w:rPr>
          <w:rFonts w:ascii="仿宋" w:hAnsi="仿宋" w:eastAsia="仿宋" w:cs="仿宋"/>
          <w:color w:val="auto"/>
          <w:szCs w:val="20"/>
          <w:highlight w:val="none"/>
        </w:rPr>
      </w:pPr>
      <w:bookmarkStart w:id="187" w:name="_Toc911"/>
      <w:bookmarkStart w:id="188" w:name="_Toc9338"/>
      <w:bookmarkStart w:id="189" w:name="_Toc139797629"/>
      <w:r>
        <w:rPr>
          <w:rFonts w:hint="eastAsia" w:ascii="仿宋" w:hAnsi="仿宋" w:eastAsia="仿宋" w:cs="仿宋"/>
          <w:color w:val="auto"/>
          <w:szCs w:val="20"/>
          <w:highlight w:val="none"/>
        </w:rPr>
        <w:t>电子交易活动的中止</w:t>
      </w:r>
      <w:bookmarkEnd w:id="187"/>
      <w:bookmarkEnd w:id="188"/>
      <w:bookmarkEnd w:id="189"/>
    </w:p>
    <w:p w14:paraId="1FFC6D80">
      <w:pPr>
        <w:pStyle w:val="14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52A1BB50">
      <w:pPr>
        <w:pStyle w:val="140"/>
        <w:tabs>
          <w:tab w:val="left" w:pos="0"/>
        </w:tabs>
        <w:snapToGrid w:val="0"/>
        <w:spacing w:before="0"/>
        <w:ind w:left="420"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27.1 电子交易平台发生故障而无法登录访问的； </w:t>
      </w:r>
    </w:p>
    <w:p w14:paraId="4DB82BDB">
      <w:pPr>
        <w:pStyle w:val="140"/>
        <w:tabs>
          <w:tab w:val="left" w:pos="0"/>
        </w:tabs>
        <w:snapToGrid w:val="0"/>
        <w:spacing w:before="0"/>
        <w:ind w:left="420" w:firstLine="0" w:firstLineChars="0"/>
        <w:rPr>
          <w:rFonts w:ascii="仿宋" w:hAnsi="仿宋" w:eastAsia="仿宋" w:cs="仿宋"/>
          <w:color w:val="auto"/>
          <w:highlight w:val="none"/>
        </w:rPr>
      </w:pPr>
      <w:r>
        <w:rPr>
          <w:rFonts w:hint="eastAsia" w:ascii="仿宋" w:hAnsi="仿宋" w:eastAsia="仿宋" w:cs="仿宋"/>
          <w:color w:val="auto"/>
          <w:highlight w:val="none"/>
        </w:rPr>
        <w:t>27.2 电子交易平台应用或数据库出现错误，不能进行正常操作的；</w:t>
      </w:r>
    </w:p>
    <w:p w14:paraId="3D82C77B">
      <w:pPr>
        <w:pStyle w:val="140"/>
        <w:tabs>
          <w:tab w:val="left" w:pos="0"/>
        </w:tabs>
        <w:snapToGrid w:val="0"/>
        <w:spacing w:before="0"/>
        <w:ind w:left="420" w:firstLine="0" w:firstLineChars="0"/>
        <w:rPr>
          <w:rFonts w:ascii="仿宋" w:hAnsi="仿宋" w:eastAsia="仿宋" w:cs="仿宋"/>
          <w:color w:val="auto"/>
          <w:highlight w:val="none"/>
        </w:rPr>
      </w:pPr>
      <w:r>
        <w:rPr>
          <w:rFonts w:hint="eastAsia" w:ascii="仿宋" w:hAnsi="仿宋" w:eastAsia="仿宋" w:cs="仿宋"/>
          <w:color w:val="auto"/>
          <w:highlight w:val="none"/>
        </w:rPr>
        <w:t>27.3 电子交易平台发现严重安全漏洞，有潜在泄密危险的；</w:t>
      </w:r>
    </w:p>
    <w:p w14:paraId="02AC6ED1">
      <w:pPr>
        <w:pStyle w:val="140"/>
        <w:tabs>
          <w:tab w:val="left" w:pos="0"/>
        </w:tabs>
        <w:snapToGrid w:val="0"/>
        <w:spacing w:before="0"/>
        <w:ind w:left="420"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27.4 病毒发作导致不能进行正常操作的； </w:t>
      </w:r>
    </w:p>
    <w:p w14:paraId="7BA7DFA1">
      <w:pPr>
        <w:pStyle w:val="140"/>
        <w:tabs>
          <w:tab w:val="left" w:pos="0"/>
        </w:tabs>
        <w:snapToGrid w:val="0"/>
        <w:spacing w:before="0"/>
        <w:ind w:left="420" w:firstLine="0" w:firstLineChars="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5F4E42CE">
      <w:pPr>
        <w:pStyle w:val="140"/>
        <w:tabs>
          <w:tab w:val="left" w:pos="0"/>
        </w:tabs>
        <w:snapToGrid w:val="0"/>
        <w:spacing w:before="0"/>
        <w:ind w:left="420" w:firstLine="0" w:firstLineChars="0"/>
        <w:rPr>
          <w:rFonts w:ascii="仿宋" w:hAnsi="仿宋" w:eastAsia="仿宋" w:cs="仿宋"/>
          <w:color w:val="auto"/>
          <w:highlight w:val="none"/>
        </w:rPr>
      </w:pPr>
      <w:r>
        <w:rPr>
          <w:rFonts w:hint="eastAsia" w:ascii="仿宋" w:hAnsi="仿宋" w:eastAsia="仿宋" w:cs="仿宋"/>
          <w:color w:val="auto"/>
          <w:highlight w:val="none"/>
        </w:rPr>
        <w:t>27.6 出现以上情形，不影响采购公平、公正性的，采购组织机构可以待上</w:t>
      </w:r>
    </w:p>
    <w:p w14:paraId="3A482780">
      <w:pPr>
        <w:pStyle w:val="140"/>
        <w:tabs>
          <w:tab w:val="left" w:pos="0"/>
        </w:tabs>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述情形消除后继续组织电子交易活动，也可以决定某些环节以纸质形式进行；影响或可能影响采购公平、公正性的，应当重新采购。</w:t>
      </w:r>
    </w:p>
    <w:p w14:paraId="065AD6CA">
      <w:pPr>
        <w:tabs>
          <w:tab w:val="left" w:pos="0"/>
        </w:tabs>
        <w:spacing w:line="360" w:lineRule="auto"/>
        <w:ind w:firstLine="480"/>
        <w:rPr>
          <w:rFonts w:ascii="仿宋" w:hAnsi="仿宋" w:eastAsia="仿宋" w:cs="仿宋"/>
          <w:color w:val="auto"/>
          <w:sz w:val="24"/>
          <w:highlight w:val="none"/>
        </w:rPr>
      </w:pPr>
    </w:p>
    <w:p w14:paraId="64B6824E">
      <w:pPr>
        <w:pStyle w:val="60"/>
        <w:widowControl w:val="0"/>
        <w:numPr>
          <w:ilvl w:val="0"/>
          <w:numId w:val="4"/>
        </w:numPr>
        <w:tabs>
          <w:tab w:val="left" w:pos="0"/>
        </w:tabs>
        <w:overflowPunct/>
        <w:autoSpaceDE/>
        <w:autoSpaceDN/>
        <w:adjustRightInd/>
        <w:spacing w:before="240" w:beforeLines="100" w:after="240" w:afterLines="100"/>
        <w:jc w:val="left"/>
        <w:textAlignment w:val="auto"/>
        <w:outlineLvl w:val="1"/>
        <w:rPr>
          <w:rFonts w:ascii="仿宋" w:hAnsi="仿宋" w:eastAsia="仿宋" w:cs="仿宋"/>
          <w:bCs/>
          <w:color w:val="auto"/>
          <w:kern w:val="2"/>
          <w:sz w:val="30"/>
          <w:szCs w:val="30"/>
          <w:highlight w:val="none"/>
          <w:lang w:val="en-US"/>
        </w:rPr>
      </w:pPr>
      <w:bookmarkStart w:id="190" w:name="_Toc139797630"/>
      <w:bookmarkStart w:id="191" w:name="_Toc2071"/>
      <w:bookmarkStart w:id="192" w:name="_Toc2846"/>
      <w:r>
        <w:rPr>
          <w:rFonts w:hint="eastAsia" w:ascii="仿宋" w:hAnsi="仿宋" w:eastAsia="仿宋" w:cs="仿宋"/>
          <w:bCs/>
          <w:color w:val="auto"/>
          <w:kern w:val="2"/>
          <w:sz w:val="30"/>
          <w:szCs w:val="30"/>
          <w:highlight w:val="none"/>
          <w:lang w:val="en-US"/>
        </w:rPr>
        <w:t>验收</w:t>
      </w:r>
      <w:bookmarkEnd w:id="190"/>
      <w:bookmarkEnd w:id="191"/>
      <w:bookmarkEnd w:id="192"/>
    </w:p>
    <w:p w14:paraId="681F32D0">
      <w:pPr>
        <w:pStyle w:val="967"/>
        <w:numPr>
          <w:ilvl w:val="0"/>
          <w:numId w:val="5"/>
        </w:numPr>
        <w:adjustRightInd/>
        <w:spacing w:line="360" w:lineRule="auto"/>
        <w:ind w:left="0" w:firstLine="482" w:firstLineChars="200"/>
        <w:rPr>
          <w:rFonts w:ascii="仿宋" w:hAnsi="仿宋" w:eastAsia="仿宋" w:cs="仿宋"/>
          <w:color w:val="auto"/>
          <w:szCs w:val="20"/>
          <w:highlight w:val="none"/>
        </w:rPr>
      </w:pPr>
      <w:bookmarkStart w:id="193" w:name="_Toc29155"/>
      <w:bookmarkStart w:id="194" w:name="_Toc28528"/>
      <w:bookmarkStart w:id="195" w:name="_Toc139797631"/>
      <w:r>
        <w:rPr>
          <w:rFonts w:hint="eastAsia" w:ascii="仿宋" w:hAnsi="仿宋" w:eastAsia="仿宋" w:cs="仿宋"/>
          <w:color w:val="auto"/>
          <w:szCs w:val="20"/>
          <w:highlight w:val="none"/>
        </w:rPr>
        <w:t>验收</w:t>
      </w:r>
      <w:bookmarkEnd w:id="193"/>
      <w:bookmarkEnd w:id="194"/>
      <w:bookmarkEnd w:id="195"/>
    </w:p>
    <w:p w14:paraId="089758AD">
      <w:pPr>
        <w:tabs>
          <w:tab w:val="left" w:pos="0"/>
        </w:tabs>
        <w:spacing w:line="360" w:lineRule="auto"/>
        <w:ind w:left="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28.1采购人组织对供应商履约的验收。大型或者复杂的政府采购项目，应当</w:t>
      </w:r>
    </w:p>
    <w:p w14:paraId="2D137322">
      <w:pPr>
        <w:tabs>
          <w:tab w:val="left" w:pos="0"/>
        </w:tabs>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邀请国家认可的质量检测机构参加验收工作。验收方成员应当在验收书上签字，并承担相应的法律责任。如果发现与合同中要求不符，供应商须承担由此发生的一切损失和费用，并接受相应的处理。</w:t>
      </w:r>
    </w:p>
    <w:p w14:paraId="0388FF81">
      <w:pPr>
        <w:tabs>
          <w:tab w:val="left" w:pos="0"/>
        </w:tabs>
        <w:spacing w:line="360" w:lineRule="auto"/>
        <w:ind w:left="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28.2采购人可以邀请参加本项目的其他供应商或者第三方专业机构及专家</w:t>
      </w:r>
    </w:p>
    <w:p w14:paraId="45E3298E">
      <w:pPr>
        <w:tabs>
          <w:tab w:val="left" w:pos="0"/>
        </w:tabs>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参与验收。参与验收的供应商或者第三方专业机构及专家的意见作为验收书的参考资料一并存档。</w:t>
      </w:r>
    </w:p>
    <w:p w14:paraId="331105E3">
      <w:pPr>
        <w:tabs>
          <w:tab w:val="left" w:pos="0"/>
        </w:tabs>
        <w:spacing w:line="360" w:lineRule="auto"/>
        <w:ind w:left="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28.3严格按照采购合同开展履约验收。采购人成立验收小组，按照采购合同</w:t>
      </w:r>
    </w:p>
    <w:p w14:paraId="0AD770E0">
      <w:pPr>
        <w:tabs>
          <w:tab w:val="left" w:pos="0"/>
        </w:tabs>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740684">
      <w:pPr>
        <w:tabs>
          <w:tab w:val="left" w:pos="0"/>
        </w:tabs>
        <w:spacing w:line="360" w:lineRule="auto"/>
        <w:ind w:left="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28.4验收合格的项目，采购人将根据采购合同的约定及时向供应商支付采购</w:t>
      </w:r>
    </w:p>
    <w:p w14:paraId="06AF29EF">
      <w:pPr>
        <w:tabs>
          <w:tab w:val="left" w:pos="0"/>
        </w:tabs>
        <w:spacing w:line="360" w:lineRule="auto"/>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2"/>
    <w:p w14:paraId="0496699C">
      <w:pPr>
        <w:tabs>
          <w:tab w:val="left" w:pos="0"/>
        </w:tabs>
        <w:spacing w:line="360" w:lineRule="auto"/>
        <w:ind w:firstLine="480"/>
        <w:rPr>
          <w:rFonts w:ascii="仿宋" w:hAnsi="仿宋" w:eastAsia="仿宋" w:cs="仿宋"/>
          <w:color w:val="auto"/>
          <w:kern w:val="0"/>
          <w:sz w:val="24"/>
          <w:highlight w:val="none"/>
        </w:rPr>
        <w:sectPr>
          <w:headerReference r:id="rId10" w:type="first"/>
          <w:footerReference r:id="rId11" w:type="first"/>
          <w:pgSz w:w="11905" w:h="16838"/>
          <w:pgMar w:top="1440" w:right="1803" w:bottom="1440" w:left="1803" w:header="851" w:footer="992" w:gutter="0"/>
          <w:pgNumType w:fmt="decimal"/>
          <w:cols w:space="0" w:num="1"/>
          <w:titlePg/>
          <w:docGrid w:linePitch="312" w:charSpace="0"/>
        </w:sectPr>
      </w:pPr>
      <w:bookmarkStart w:id="196" w:name="_Hlt75236011"/>
      <w:bookmarkEnd w:id="196"/>
      <w:bookmarkStart w:id="197" w:name="_Hlt68057669"/>
      <w:bookmarkEnd w:id="197"/>
      <w:bookmarkStart w:id="198" w:name="_Hlt68072990"/>
      <w:bookmarkEnd w:id="198"/>
      <w:bookmarkStart w:id="199" w:name="_Hlt74730295"/>
      <w:bookmarkEnd w:id="199"/>
      <w:bookmarkStart w:id="200" w:name="_Hlt68073093"/>
      <w:bookmarkEnd w:id="200"/>
      <w:bookmarkStart w:id="201" w:name="_Hlt75236101"/>
      <w:bookmarkEnd w:id="201"/>
      <w:bookmarkStart w:id="202" w:name="_Hlt68403820"/>
      <w:bookmarkEnd w:id="202"/>
      <w:bookmarkStart w:id="203" w:name="_Hlt68072998"/>
      <w:bookmarkEnd w:id="203"/>
      <w:bookmarkStart w:id="204" w:name="_Hlt74729768"/>
      <w:bookmarkEnd w:id="204"/>
      <w:bookmarkStart w:id="205" w:name="_Hlt74707468"/>
      <w:bookmarkEnd w:id="205"/>
      <w:bookmarkStart w:id="206" w:name="_Hlt74714665"/>
      <w:bookmarkEnd w:id="206"/>
      <w:bookmarkStart w:id="207" w:name="_Hlt75236290"/>
      <w:bookmarkEnd w:id="207"/>
    </w:p>
    <w:bookmarkEnd w:id="82"/>
    <w:bookmarkEnd w:id="83"/>
    <w:p w14:paraId="72D1DB0F">
      <w:pPr>
        <w:pStyle w:val="4"/>
        <w:spacing w:before="0" w:after="0" w:line="480" w:lineRule="auto"/>
        <w:ind w:left="431" w:hanging="431"/>
        <w:jc w:val="center"/>
        <w:rPr>
          <w:rFonts w:ascii="仿宋" w:hAnsi="仿宋" w:eastAsia="仿宋" w:cs="仿宋"/>
          <w:color w:val="auto"/>
          <w:sz w:val="36"/>
          <w:szCs w:val="36"/>
          <w:highlight w:val="none"/>
        </w:rPr>
      </w:pPr>
      <w:bookmarkStart w:id="208" w:name="_Toc531359036"/>
      <w:bookmarkStart w:id="209" w:name="_Toc530551874"/>
      <w:bookmarkStart w:id="210" w:name="_Toc18438"/>
      <w:bookmarkStart w:id="211" w:name="_Toc26613"/>
      <w:bookmarkStart w:id="212" w:name="_Toc139797649"/>
      <w:bookmarkStart w:id="213" w:name="_Toc24001"/>
      <w:bookmarkStart w:id="214" w:name="_Toc493956049"/>
      <w:bookmarkStart w:id="215" w:name="第五部分"/>
      <w:bookmarkStart w:id="216" w:name="_Toc86217003"/>
      <w:r>
        <w:rPr>
          <w:rFonts w:hint="eastAsia" w:ascii="仿宋" w:hAnsi="仿宋" w:eastAsia="仿宋" w:cs="仿宋"/>
          <w:color w:val="auto"/>
          <w:sz w:val="36"/>
          <w:szCs w:val="36"/>
          <w:highlight w:val="none"/>
        </w:rPr>
        <w:t>第五部分  合同格式</w:t>
      </w:r>
      <w:bookmarkEnd w:id="208"/>
      <w:bookmarkEnd w:id="209"/>
      <w:bookmarkEnd w:id="210"/>
      <w:bookmarkEnd w:id="211"/>
      <w:bookmarkEnd w:id="212"/>
      <w:bookmarkEnd w:id="213"/>
      <w:bookmarkEnd w:id="214"/>
    </w:p>
    <w:p w14:paraId="63AC4054">
      <w:pPr>
        <w:pStyle w:val="987"/>
        <w:spacing w:before="0" w:beforeAutospacing="0" w:after="0" w:afterAutospacing="0" w:line="360" w:lineRule="auto"/>
        <w:ind w:right="960"/>
        <w:jc w:val="center"/>
        <w:rPr>
          <w:rFonts w:ascii="仿宋" w:hAnsi="仿宋" w:eastAsia="仿宋" w:cs="仿宋"/>
          <w:color w:val="auto"/>
          <w:highlight w:val="none"/>
        </w:rPr>
      </w:pPr>
    </w:p>
    <w:p w14:paraId="19B8A2F6">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政府采购合同参考范本</w:t>
      </w:r>
    </w:p>
    <w:p w14:paraId="19E50634">
      <w:pPr>
        <w:pStyle w:val="3"/>
        <w:rPr>
          <w:rFonts w:ascii="仿宋" w:hAnsi="仿宋" w:eastAsia="仿宋" w:cs="仿宋"/>
          <w:color w:val="auto"/>
          <w:highlight w:val="none"/>
        </w:rPr>
      </w:pPr>
    </w:p>
    <w:p w14:paraId="44D687FC">
      <w:pPr>
        <w:pStyle w:val="967"/>
        <w:ind w:left="0"/>
        <w:jc w:val="center"/>
        <w:rPr>
          <w:rFonts w:ascii="仿宋" w:hAnsi="仿宋" w:eastAsia="仿宋" w:cs="仿宋"/>
          <w:color w:val="auto"/>
          <w:highlight w:val="none"/>
        </w:rPr>
      </w:pPr>
      <w:bookmarkStart w:id="217" w:name="_Toc12255"/>
      <w:bookmarkStart w:id="218" w:name="_Toc139797650"/>
      <w:bookmarkStart w:id="219" w:name="_Toc18072597"/>
      <w:bookmarkStart w:id="220" w:name="_Toc720"/>
      <w:bookmarkStart w:id="221" w:name="_Toc13915"/>
      <w:r>
        <w:rPr>
          <w:rFonts w:hint="eastAsia" w:ascii="仿宋" w:hAnsi="仿宋" w:eastAsia="仿宋" w:cs="仿宋"/>
          <w:color w:val="auto"/>
          <w:highlight w:val="none"/>
        </w:rPr>
        <w:t>（服务类）</w:t>
      </w:r>
      <w:bookmarkEnd w:id="217"/>
      <w:bookmarkEnd w:id="218"/>
      <w:bookmarkEnd w:id="219"/>
      <w:bookmarkEnd w:id="220"/>
      <w:bookmarkEnd w:id="221"/>
    </w:p>
    <w:p w14:paraId="47771A61">
      <w:pPr>
        <w:pStyle w:val="703"/>
        <w:rPr>
          <w:rFonts w:ascii="仿宋" w:hAnsi="仿宋" w:eastAsia="仿宋" w:cs="仿宋"/>
          <w:color w:val="auto"/>
          <w:szCs w:val="24"/>
          <w:highlight w:val="none"/>
        </w:rPr>
      </w:pPr>
    </w:p>
    <w:p w14:paraId="7A7D408A">
      <w:pPr>
        <w:pStyle w:val="703"/>
        <w:rPr>
          <w:rFonts w:ascii="仿宋" w:hAnsi="仿宋" w:eastAsia="仿宋" w:cs="仿宋"/>
          <w:color w:val="auto"/>
          <w:szCs w:val="24"/>
          <w:highlight w:val="none"/>
        </w:rPr>
      </w:pPr>
    </w:p>
    <w:p w14:paraId="2C98EAD3">
      <w:pPr>
        <w:pStyle w:val="703"/>
        <w:ind w:left="0" w:leftChars="0" w:firstLine="0" w:firstLineChars="0"/>
        <w:jc w:val="center"/>
        <w:rPr>
          <w:rFonts w:ascii="仿宋" w:hAnsi="仿宋" w:eastAsia="仿宋" w:cs="仿宋"/>
          <w:color w:val="auto"/>
          <w:szCs w:val="24"/>
          <w:highlight w:val="none"/>
        </w:rPr>
      </w:pPr>
      <w:r>
        <w:rPr>
          <w:rFonts w:hint="eastAsia" w:ascii="仿宋" w:hAnsi="仿宋" w:eastAsia="仿宋" w:cs="仿宋"/>
          <w:color w:val="auto"/>
          <w:szCs w:val="24"/>
          <w:highlight w:val="none"/>
        </w:rPr>
        <w:t>第一部分 合同书</w:t>
      </w:r>
    </w:p>
    <w:p w14:paraId="45D50A7A">
      <w:pPr>
        <w:pStyle w:val="703"/>
        <w:rPr>
          <w:rFonts w:ascii="仿宋" w:hAnsi="仿宋" w:eastAsia="仿宋" w:cs="仿宋"/>
          <w:color w:val="auto"/>
          <w:szCs w:val="24"/>
          <w:highlight w:val="none"/>
        </w:rPr>
      </w:pPr>
    </w:p>
    <w:p w14:paraId="496A1287">
      <w:pPr>
        <w:spacing w:line="360" w:lineRule="auto"/>
        <w:ind w:left="960"/>
        <w:rPr>
          <w:rFonts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5BC81808">
      <w:pPr>
        <w:spacing w:line="360" w:lineRule="auto"/>
        <w:rPr>
          <w:rFonts w:ascii="仿宋" w:hAnsi="仿宋" w:eastAsia="仿宋" w:cs="仿宋"/>
          <w:color w:val="auto"/>
          <w:sz w:val="24"/>
          <w:highlight w:val="none"/>
        </w:rPr>
      </w:pPr>
    </w:p>
    <w:p w14:paraId="2DF7F3C1">
      <w:pPr>
        <w:spacing w:line="360"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0A4701D0">
      <w:pPr>
        <w:pStyle w:val="601"/>
        <w:rPr>
          <w:rFonts w:ascii="仿宋" w:hAnsi="仿宋" w:eastAsia="仿宋" w:cs="仿宋"/>
          <w:color w:val="auto"/>
          <w:szCs w:val="24"/>
          <w:highlight w:val="none"/>
        </w:rPr>
      </w:pPr>
    </w:p>
    <w:p w14:paraId="0BA7ADEC">
      <w:pPr>
        <w:spacing w:line="360"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A55FCB0">
      <w:pPr>
        <w:spacing w:line="360" w:lineRule="auto"/>
        <w:rPr>
          <w:rFonts w:ascii="仿宋" w:hAnsi="仿宋" w:eastAsia="仿宋" w:cs="仿宋"/>
          <w:color w:val="auto"/>
          <w:sz w:val="24"/>
          <w:highlight w:val="none"/>
        </w:rPr>
      </w:pPr>
    </w:p>
    <w:p w14:paraId="5D7A20D4">
      <w:pPr>
        <w:spacing w:line="360"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289C39A">
      <w:pPr>
        <w:spacing w:line="360" w:lineRule="auto"/>
        <w:rPr>
          <w:rFonts w:ascii="仿宋" w:hAnsi="仿宋" w:eastAsia="仿宋" w:cs="仿宋"/>
          <w:color w:val="auto"/>
          <w:sz w:val="24"/>
          <w:highlight w:val="none"/>
        </w:rPr>
      </w:pPr>
    </w:p>
    <w:p w14:paraId="547F6A78">
      <w:pPr>
        <w:spacing w:line="360" w:lineRule="auto"/>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446BF19">
      <w:pPr>
        <w:spacing w:line="360" w:lineRule="auto"/>
        <w:rPr>
          <w:rFonts w:ascii="仿宋" w:hAnsi="仿宋" w:eastAsia="仿宋" w:cs="仿宋"/>
          <w:color w:val="auto"/>
          <w:sz w:val="24"/>
          <w:highlight w:val="none"/>
        </w:rPr>
      </w:pPr>
    </w:p>
    <w:p w14:paraId="2006A01F">
      <w:pPr>
        <w:spacing w:line="360" w:lineRule="auto"/>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6CDF251">
      <w:pPr>
        <w:autoSpaceDE w:val="0"/>
        <w:autoSpaceDN w:val="0"/>
        <w:spacing w:line="360" w:lineRule="auto"/>
        <w:ind w:firstLine="640"/>
        <w:jc w:val="center"/>
        <w:rPr>
          <w:rFonts w:ascii="仿宋" w:hAnsi="仿宋" w:eastAsia="仿宋" w:cs="仿宋"/>
          <w:color w:val="auto"/>
          <w:sz w:val="24"/>
          <w:highlight w:val="none"/>
        </w:rPr>
        <w:sectPr>
          <w:pgSz w:w="11905" w:h="16838"/>
          <w:pgMar w:top="1440" w:right="1803" w:bottom="1440" w:left="1803" w:header="851" w:footer="992" w:gutter="0"/>
          <w:pgNumType w:fmt="decimal"/>
          <w:cols w:space="0" w:num="1"/>
          <w:titlePg/>
          <w:docGrid w:linePitch="462" w:charSpace="0"/>
        </w:sectPr>
      </w:pPr>
    </w:p>
    <w:p w14:paraId="0539626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（成交人名称） </w:t>
      </w:r>
      <w:r>
        <w:rPr>
          <w:rFonts w:hint="eastAsia" w:ascii="仿宋" w:hAnsi="仿宋" w:eastAsia="仿宋" w:cs="仿宋"/>
          <w:color w:val="auto"/>
          <w:sz w:val="24"/>
          <w:highlight w:val="none"/>
        </w:rPr>
        <w:t>为该项目成交人。现于成交通知书发出之日起三十日内，按照采购文件确定的事项签订本合同。</w:t>
      </w:r>
    </w:p>
    <w:p w14:paraId="05DE8C6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（成交人名称）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58E1805">
      <w:pPr>
        <w:spacing w:line="360" w:lineRule="auto"/>
        <w:ind w:firstLine="480" w:firstLineChars="200"/>
        <w:rPr>
          <w:rFonts w:ascii="仿宋" w:hAnsi="仿宋" w:eastAsia="仿宋" w:cs="仿宋"/>
          <w:color w:val="auto"/>
          <w:sz w:val="24"/>
          <w:highlight w:val="none"/>
        </w:rPr>
      </w:pPr>
      <w:bookmarkStart w:id="222" w:name="_Toc22967"/>
      <w:bookmarkStart w:id="223" w:name="_Toc15367"/>
      <w:bookmarkStart w:id="224" w:name="_Toc19273"/>
      <w:bookmarkStart w:id="225" w:name="_Toc28855"/>
      <w:bookmarkStart w:id="226" w:name="_Toc20421"/>
      <w:r>
        <w:rPr>
          <w:rFonts w:hint="eastAsia" w:ascii="仿宋" w:hAnsi="仿宋" w:eastAsia="仿宋" w:cs="仿宋"/>
          <w:color w:val="auto"/>
          <w:sz w:val="24"/>
          <w:highlight w:val="none"/>
        </w:rPr>
        <w:t>1.1 合同组成部分</w:t>
      </w:r>
      <w:bookmarkEnd w:id="222"/>
      <w:bookmarkEnd w:id="223"/>
      <w:bookmarkEnd w:id="224"/>
      <w:bookmarkEnd w:id="225"/>
      <w:bookmarkEnd w:id="226"/>
    </w:p>
    <w:p w14:paraId="448F998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25146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45358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成交通知书；</w:t>
      </w:r>
    </w:p>
    <w:p w14:paraId="58089B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响应文件（含澄清或者说明文件）；</w:t>
      </w:r>
    </w:p>
    <w:p w14:paraId="45D8795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778C8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EF6134E">
      <w:pPr>
        <w:spacing w:line="360" w:lineRule="auto"/>
        <w:ind w:firstLine="480" w:firstLineChars="200"/>
        <w:rPr>
          <w:rFonts w:ascii="仿宋" w:hAnsi="仿宋" w:eastAsia="仿宋" w:cs="仿宋"/>
          <w:color w:val="auto"/>
          <w:sz w:val="24"/>
          <w:highlight w:val="none"/>
        </w:rPr>
      </w:pPr>
      <w:bookmarkStart w:id="227" w:name="_Toc6773"/>
      <w:bookmarkStart w:id="228" w:name="_Toc2918"/>
      <w:bookmarkStart w:id="229" w:name="_Toc18585"/>
      <w:bookmarkStart w:id="230" w:name="_Toc6311"/>
      <w:bookmarkStart w:id="231" w:name="_Toc22185"/>
      <w:r>
        <w:rPr>
          <w:rFonts w:hint="eastAsia" w:ascii="仿宋" w:hAnsi="仿宋" w:eastAsia="仿宋" w:cs="仿宋"/>
          <w:color w:val="auto"/>
          <w:sz w:val="24"/>
          <w:highlight w:val="none"/>
        </w:rPr>
        <w:t>1.2 标的</w:t>
      </w:r>
      <w:bookmarkEnd w:id="227"/>
      <w:bookmarkEnd w:id="228"/>
      <w:bookmarkEnd w:id="229"/>
      <w:bookmarkEnd w:id="230"/>
      <w:bookmarkEnd w:id="231"/>
    </w:p>
    <w:p w14:paraId="4496928F">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3166FC4">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标的数量：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FE3AB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 标的质量：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110218B">
      <w:pPr>
        <w:spacing w:line="360" w:lineRule="auto"/>
        <w:ind w:firstLine="480" w:firstLineChars="200"/>
        <w:rPr>
          <w:rFonts w:ascii="仿宋" w:hAnsi="仿宋" w:eastAsia="仿宋" w:cs="仿宋"/>
          <w:color w:val="auto"/>
          <w:sz w:val="24"/>
          <w:highlight w:val="none"/>
        </w:rPr>
      </w:pPr>
      <w:bookmarkStart w:id="232" w:name="_Toc1386"/>
      <w:bookmarkStart w:id="233" w:name="_Toc4929"/>
      <w:bookmarkStart w:id="234" w:name="_Toc5635"/>
      <w:bookmarkStart w:id="235" w:name="_Toc13918"/>
      <w:bookmarkStart w:id="236" w:name="_Toc21124"/>
      <w:r>
        <w:rPr>
          <w:rFonts w:hint="eastAsia" w:ascii="仿宋" w:hAnsi="仿宋" w:eastAsia="仿宋" w:cs="仿宋"/>
          <w:color w:val="auto"/>
          <w:sz w:val="24"/>
          <w:highlight w:val="none"/>
        </w:rPr>
        <w:t>1.3 价款</w:t>
      </w:r>
      <w:bookmarkEnd w:id="232"/>
      <w:bookmarkEnd w:id="233"/>
      <w:bookmarkEnd w:id="234"/>
      <w:bookmarkEnd w:id="235"/>
      <w:bookmarkEnd w:id="236"/>
    </w:p>
    <w:p w14:paraId="4FA36B3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9C189F8">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14:paraId="13A2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60D1591">
            <w:pPr>
              <w:pStyle w:val="324"/>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678" w:type="dxa"/>
            <w:vAlign w:val="center"/>
          </w:tcPr>
          <w:p w14:paraId="50D6C59E">
            <w:pPr>
              <w:pStyle w:val="324"/>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3478" w:type="dxa"/>
            <w:vAlign w:val="center"/>
          </w:tcPr>
          <w:p w14:paraId="70AEB4A5">
            <w:pPr>
              <w:pStyle w:val="324"/>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75BB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A321B61">
            <w:pPr>
              <w:pStyle w:val="324"/>
              <w:ind w:firstLine="200"/>
              <w:jc w:val="center"/>
              <w:rPr>
                <w:rFonts w:ascii="仿宋" w:hAnsi="仿宋" w:eastAsia="仿宋" w:cs="仿宋"/>
                <w:color w:val="auto"/>
                <w:sz w:val="24"/>
                <w:szCs w:val="24"/>
                <w:highlight w:val="none"/>
              </w:rPr>
            </w:pPr>
          </w:p>
        </w:tc>
        <w:tc>
          <w:tcPr>
            <w:tcW w:w="4678" w:type="dxa"/>
            <w:vAlign w:val="center"/>
          </w:tcPr>
          <w:p w14:paraId="42964232">
            <w:pPr>
              <w:pStyle w:val="324"/>
              <w:ind w:firstLine="200"/>
              <w:jc w:val="center"/>
              <w:rPr>
                <w:rFonts w:ascii="仿宋" w:hAnsi="仿宋" w:eastAsia="仿宋" w:cs="仿宋"/>
                <w:color w:val="auto"/>
                <w:sz w:val="24"/>
                <w:szCs w:val="24"/>
                <w:highlight w:val="none"/>
              </w:rPr>
            </w:pPr>
          </w:p>
        </w:tc>
        <w:tc>
          <w:tcPr>
            <w:tcW w:w="3478" w:type="dxa"/>
            <w:vAlign w:val="center"/>
          </w:tcPr>
          <w:p w14:paraId="6ECE5E80">
            <w:pPr>
              <w:pStyle w:val="324"/>
              <w:ind w:firstLine="200"/>
              <w:jc w:val="center"/>
              <w:rPr>
                <w:rFonts w:ascii="仿宋" w:hAnsi="仿宋" w:eastAsia="仿宋" w:cs="仿宋"/>
                <w:color w:val="auto"/>
                <w:sz w:val="24"/>
                <w:szCs w:val="24"/>
                <w:highlight w:val="none"/>
              </w:rPr>
            </w:pPr>
          </w:p>
        </w:tc>
      </w:tr>
      <w:tr w14:paraId="7EB1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AD31C8F">
            <w:pPr>
              <w:pStyle w:val="324"/>
              <w:ind w:firstLine="200"/>
              <w:jc w:val="center"/>
              <w:rPr>
                <w:rFonts w:ascii="仿宋" w:hAnsi="仿宋" w:eastAsia="仿宋" w:cs="仿宋"/>
                <w:color w:val="auto"/>
                <w:sz w:val="24"/>
                <w:szCs w:val="24"/>
                <w:highlight w:val="none"/>
              </w:rPr>
            </w:pPr>
          </w:p>
        </w:tc>
        <w:tc>
          <w:tcPr>
            <w:tcW w:w="4678" w:type="dxa"/>
            <w:vAlign w:val="center"/>
          </w:tcPr>
          <w:p w14:paraId="423A9248">
            <w:pPr>
              <w:pStyle w:val="324"/>
              <w:ind w:firstLine="200"/>
              <w:jc w:val="center"/>
              <w:rPr>
                <w:rFonts w:ascii="仿宋" w:hAnsi="仿宋" w:eastAsia="仿宋" w:cs="仿宋"/>
                <w:color w:val="auto"/>
                <w:sz w:val="24"/>
                <w:szCs w:val="24"/>
                <w:highlight w:val="none"/>
              </w:rPr>
            </w:pPr>
          </w:p>
        </w:tc>
        <w:tc>
          <w:tcPr>
            <w:tcW w:w="3478" w:type="dxa"/>
            <w:vAlign w:val="center"/>
          </w:tcPr>
          <w:p w14:paraId="4E1D0ECC">
            <w:pPr>
              <w:pStyle w:val="324"/>
              <w:ind w:firstLine="200"/>
              <w:jc w:val="center"/>
              <w:rPr>
                <w:rFonts w:ascii="仿宋" w:hAnsi="仿宋" w:eastAsia="仿宋" w:cs="仿宋"/>
                <w:color w:val="auto"/>
                <w:sz w:val="24"/>
                <w:szCs w:val="24"/>
                <w:highlight w:val="none"/>
              </w:rPr>
            </w:pPr>
          </w:p>
        </w:tc>
      </w:tr>
      <w:tr w14:paraId="019A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B0EC937">
            <w:pPr>
              <w:pStyle w:val="324"/>
              <w:ind w:firstLine="200"/>
              <w:jc w:val="center"/>
              <w:rPr>
                <w:rFonts w:ascii="仿宋" w:hAnsi="仿宋" w:eastAsia="仿宋" w:cs="仿宋"/>
                <w:color w:val="auto"/>
                <w:sz w:val="24"/>
                <w:szCs w:val="24"/>
                <w:highlight w:val="none"/>
              </w:rPr>
            </w:pPr>
          </w:p>
        </w:tc>
        <w:tc>
          <w:tcPr>
            <w:tcW w:w="4678" w:type="dxa"/>
            <w:vAlign w:val="center"/>
          </w:tcPr>
          <w:p w14:paraId="270FEB75">
            <w:pPr>
              <w:pStyle w:val="324"/>
              <w:ind w:firstLine="200"/>
              <w:jc w:val="center"/>
              <w:rPr>
                <w:rFonts w:ascii="仿宋" w:hAnsi="仿宋" w:eastAsia="仿宋" w:cs="仿宋"/>
                <w:color w:val="auto"/>
                <w:sz w:val="24"/>
                <w:szCs w:val="24"/>
                <w:highlight w:val="none"/>
              </w:rPr>
            </w:pPr>
          </w:p>
        </w:tc>
        <w:tc>
          <w:tcPr>
            <w:tcW w:w="3478" w:type="dxa"/>
            <w:vAlign w:val="center"/>
          </w:tcPr>
          <w:p w14:paraId="0C4486C7">
            <w:pPr>
              <w:pStyle w:val="324"/>
              <w:ind w:firstLine="200"/>
              <w:jc w:val="center"/>
              <w:rPr>
                <w:rFonts w:ascii="仿宋" w:hAnsi="仿宋" w:eastAsia="仿宋" w:cs="仿宋"/>
                <w:color w:val="auto"/>
                <w:sz w:val="24"/>
                <w:szCs w:val="24"/>
                <w:highlight w:val="none"/>
              </w:rPr>
            </w:pPr>
          </w:p>
        </w:tc>
      </w:tr>
      <w:tr w14:paraId="2A18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54CE5B25">
            <w:pPr>
              <w:pStyle w:val="324"/>
              <w:ind w:firstLine="200"/>
              <w:jc w:val="center"/>
              <w:rPr>
                <w:rFonts w:ascii="仿宋" w:hAnsi="仿宋" w:eastAsia="仿宋" w:cs="仿宋"/>
                <w:color w:val="auto"/>
                <w:sz w:val="24"/>
                <w:szCs w:val="24"/>
                <w:highlight w:val="none"/>
              </w:rPr>
            </w:pPr>
          </w:p>
        </w:tc>
        <w:tc>
          <w:tcPr>
            <w:tcW w:w="4678" w:type="dxa"/>
            <w:vAlign w:val="center"/>
          </w:tcPr>
          <w:p w14:paraId="54FD0221">
            <w:pPr>
              <w:pStyle w:val="324"/>
              <w:ind w:firstLine="200"/>
              <w:jc w:val="center"/>
              <w:rPr>
                <w:rFonts w:ascii="仿宋" w:hAnsi="仿宋" w:eastAsia="仿宋" w:cs="仿宋"/>
                <w:color w:val="auto"/>
                <w:sz w:val="24"/>
                <w:szCs w:val="24"/>
                <w:highlight w:val="none"/>
              </w:rPr>
            </w:pPr>
          </w:p>
        </w:tc>
        <w:tc>
          <w:tcPr>
            <w:tcW w:w="3478" w:type="dxa"/>
            <w:vAlign w:val="center"/>
          </w:tcPr>
          <w:p w14:paraId="798F3F3E">
            <w:pPr>
              <w:pStyle w:val="324"/>
              <w:ind w:firstLine="200"/>
              <w:jc w:val="center"/>
              <w:rPr>
                <w:rFonts w:ascii="仿宋" w:hAnsi="仿宋" w:eastAsia="仿宋" w:cs="仿宋"/>
                <w:color w:val="auto"/>
                <w:sz w:val="24"/>
                <w:szCs w:val="24"/>
                <w:highlight w:val="none"/>
              </w:rPr>
            </w:pPr>
          </w:p>
        </w:tc>
      </w:tr>
      <w:tr w14:paraId="162F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vAlign w:val="center"/>
          </w:tcPr>
          <w:p w14:paraId="7726CC7E">
            <w:pPr>
              <w:pStyle w:val="324"/>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3478" w:type="dxa"/>
            <w:vAlign w:val="center"/>
          </w:tcPr>
          <w:p w14:paraId="48B379C6">
            <w:pPr>
              <w:pStyle w:val="324"/>
              <w:ind w:firstLine="200"/>
              <w:jc w:val="center"/>
              <w:rPr>
                <w:rFonts w:ascii="仿宋" w:hAnsi="仿宋" w:eastAsia="仿宋" w:cs="仿宋"/>
                <w:color w:val="auto"/>
                <w:sz w:val="24"/>
                <w:szCs w:val="24"/>
                <w:highlight w:val="none"/>
              </w:rPr>
            </w:pPr>
          </w:p>
        </w:tc>
      </w:tr>
    </w:tbl>
    <w:p w14:paraId="1A4653CB">
      <w:pPr>
        <w:rPr>
          <w:rFonts w:ascii="仿宋" w:hAnsi="仿宋" w:eastAsia="仿宋" w:cs="仿宋"/>
          <w:color w:val="auto"/>
          <w:highlight w:val="none"/>
        </w:rPr>
      </w:pPr>
      <w:bookmarkStart w:id="237" w:name="_Toc3654"/>
      <w:bookmarkStart w:id="238" w:name="_Toc30506"/>
      <w:bookmarkStart w:id="239" w:name="_Toc26916"/>
      <w:bookmarkStart w:id="240" w:name="_Toc14993"/>
      <w:bookmarkStart w:id="241" w:name="_Toc30158"/>
      <w:r>
        <w:rPr>
          <w:rFonts w:hint="eastAsia" w:ascii="仿宋" w:hAnsi="仿宋" w:eastAsia="仿宋" w:cs="仿宋"/>
          <w:color w:val="auto"/>
          <w:highlight w:val="none"/>
        </w:rPr>
        <w:t xml:space="preserve">   </w:t>
      </w:r>
    </w:p>
    <w:p w14:paraId="1937E699">
      <w:pPr>
        <w:pStyle w:val="960"/>
        <w:spacing w:before="0" w:beforeAutospacing="0" w:after="0" w:afterAutospacing="0" w:line="360" w:lineRule="auto"/>
        <w:ind w:firstLine="480"/>
        <w:rPr>
          <w:rFonts w:ascii="仿宋" w:hAnsi="仿宋" w:eastAsia="仿宋" w:cs="仿宋"/>
          <w:b/>
          <w:color w:val="auto"/>
          <w:highlight w:val="none"/>
        </w:rPr>
      </w:pPr>
      <w:bookmarkStart w:id="242" w:name="_Toc1814"/>
      <w:bookmarkStart w:id="243" w:name="_Toc10340"/>
      <w:bookmarkStart w:id="244" w:name="_Toc22618"/>
      <w:r>
        <w:rPr>
          <w:rFonts w:hint="eastAsia" w:ascii="仿宋" w:hAnsi="仿宋" w:eastAsia="仿宋" w:cs="仿宋"/>
          <w:b/>
          <w:color w:val="auto"/>
          <w:highlight w:val="none"/>
        </w:rPr>
        <w:t>1.4履约保证金</w:t>
      </w:r>
    </w:p>
    <w:p w14:paraId="04270819">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2C4E6F1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5591D4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7F8887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DCC793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b/>
          <w:bCs/>
          <w:i/>
          <w:iCs/>
          <w:color w:val="auto"/>
          <w:kern w:val="0"/>
          <w:sz w:val="24"/>
          <w:highlight w:val="none"/>
          <w:u w:val="single"/>
        </w:rPr>
        <w:t>0.05（可根据情况修改）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574259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1.5</w:t>
      </w:r>
      <w:bookmarkEnd w:id="242"/>
      <w:bookmarkEnd w:id="243"/>
      <w:bookmarkEnd w:id="244"/>
      <w:r>
        <w:rPr>
          <w:rFonts w:hint="eastAsia" w:ascii="仿宋" w:hAnsi="仿宋" w:eastAsia="仿宋" w:cs="仿宋"/>
          <w:b/>
          <w:bCs/>
          <w:color w:val="auto"/>
          <w:sz w:val="24"/>
          <w:highlight w:val="none"/>
        </w:rPr>
        <w:t>预付款</w:t>
      </w:r>
    </w:p>
    <w:p w14:paraId="653F10BE">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6B97B2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DE7533C">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C286743">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8D2892E">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1.6 付款方式和发票开具方式</w:t>
      </w:r>
      <w:bookmarkEnd w:id="237"/>
      <w:bookmarkEnd w:id="238"/>
      <w:bookmarkEnd w:id="239"/>
      <w:bookmarkEnd w:id="240"/>
      <w:bookmarkEnd w:id="241"/>
    </w:p>
    <w:p w14:paraId="45748DC7">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1.6.1付款方式：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E169772">
      <w:pPr>
        <w:spacing w:line="360" w:lineRule="auto"/>
        <w:ind w:firstLine="482" w:firstLineChars="200"/>
        <w:rPr>
          <w:rFonts w:ascii="仿宋" w:hAnsi="仿宋" w:eastAsia="仿宋" w:cs="仿宋"/>
          <w:b/>
          <w:bCs/>
          <w:color w:val="auto"/>
          <w:sz w:val="24"/>
          <w:highlight w:val="none"/>
        </w:rPr>
      </w:pPr>
      <w:bookmarkStart w:id="245" w:name="_Toc3625"/>
      <w:bookmarkStart w:id="246" w:name="_Toc11108"/>
      <w:bookmarkStart w:id="247" w:name="_Toc31421"/>
      <w:bookmarkStart w:id="248" w:name="_Toc8772"/>
      <w:bookmarkStart w:id="249" w:name="_Toc4760"/>
      <w:r>
        <w:rPr>
          <w:rFonts w:hint="eastAsia" w:ascii="仿宋" w:hAnsi="仿宋" w:eastAsia="仿宋" w:cs="仿宋"/>
          <w:b/>
          <w:bCs/>
          <w:color w:val="auto"/>
          <w:sz w:val="24"/>
          <w:highlight w:val="none"/>
        </w:rPr>
        <w:t>1.7 履行期限、地点和方式</w:t>
      </w:r>
      <w:bookmarkEnd w:id="245"/>
      <w:bookmarkEnd w:id="246"/>
      <w:bookmarkEnd w:id="247"/>
      <w:bookmarkEnd w:id="248"/>
      <w:bookmarkEnd w:id="249"/>
    </w:p>
    <w:p w14:paraId="32DDB4EA">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8F95BB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DA06A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6E31964">
      <w:pPr>
        <w:spacing w:line="360" w:lineRule="auto"/>
        <w:ind w:firstLine="480" w:firstLineChars="200"/>
        <w:rPr>
          <w:rFonts w:ascii="仿宋" w:hAnsi="仿宋" w:eastAsia="仿宋" w:cs="仿宋"/>
          <w:color w:val="auto"/>
          <w:sz w:val="24"/>
          <w:highlight w:val="none"/>
        </w:rPr>
      </w:pPr>
      <w:bookmarkStart w:id="250" w:name="_Toc8586"/>
      <w:bookmarkStart w:id="251" w:name="_Toc3079"/>
      <w:bookmarkStart w:id="252" w:name="_Toc24662"/>
      <w:bookmarkStart w:id="253" w:name="_Toc5698"/>
      <w:bookmarkStart w:id="254" w:name="_Toc2375"/>
      <w:r>
        <w:rPr>
          <w:rFonts w:hint="eastAsia" w:ascii="仿宋" w:hAnsi="仿宋" w:eastAsia="仿宋" w:cs="仿宋"/>
          <w:color w:val="auto"/>
          <w:sz w:val="24"/>
          <w:highlight w:val="none"/>
        </w:rPr>
        <w:t>1.6 违约责任</w:t>
      </w:r>
      <w:bookmarkEnd w:id="250"/>
      <w:bookmarkEnd w:id="251"/>
      <w:bookmarkEnd w:id="252"/>
      <w:bookmarkEnd w:id="253"/>
      <w:bookmarkEnd w:id="254"/>
    </w:p>
    <w:p w14:paraId="3EA34E3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4DCC90B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3B8EB4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548E6E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EBBFF8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808DE5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05088DC7">
      <w:pPr>
        <w:spacing w:line="360" w:lineRule="auto"/>
        <w:ind w:firstLine="480" w:firstLineChars="200"/>
        <w:rPr>
          <w:rFonts w:ascii="仿宋" w:hAnsi="仿宋" w:eastAsia="仿宋" w:cs="仿宋"/>
          <w:color w:val="auto"/>
          <w:sz w:val="24"/>
          <w:highlight w:val="none"/>
        </w:rPr>
      </w:pPr>
      <w:bookmarkStart w:id="255" w:name="_Toc9497"/>
      <w:bookmarkStart w:id="256" w:name="_Toc32454"/>
      <w:bookmarkStart w:id="257" w:name="_Toc30329"/>
      <w:bookmarkStart w:id="258" w:name="_Toc18683"/>
      <w:bookmarkStart w:id="259" w:name="_Toc26807"/>
      <w:r>
        <w:rPr>
          <w:rFonts w:hint="eastAsia" w:ascii="仿宋" w:hAnsi="仿宋" w:eastAsia="仿宋" w:cs="仿宋"/>
          <w:color w:val="auto"/>
          <w:sz w:val="24"/>
          <w:highlight w:val="none"/>
        </w:rPr>
        <w:t>1.7 合同争议的解决</w:t>
      </w:r>
      <w:bookmarkEnd w:id="255"/>
      <w:bookmarkEnd w:id="256"/>
      <w:bookmarkEnd w:id="257"/>
      <w:bookmarkEnd w:id="258"/>
      <w:bookmarkEnd w:id="259"/>
    </w:p>
    <w:p w14:paraId="1D3BB51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种方式解决：</w:t>
      </w:r>
    </w:p>
    <w:p w14:paraId="3666CDF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（采购人所在地）   </w:t>
      </w:r>
      <w:r>
        <w:rPr>
          <w:rFonts w:hint="eastAsia" w:ascii="仿宋" w:hAnsi="仿宋" w:eastAsia="仿宋" w:cs="仿宋"/>
          <w:color w:val="auto"/>
          <w:sz w:val="24"/>
          <w:highlight w:val="none"/>
        </w:rPr>
        <w:t>仲裁委员会依申请仲裁时其现行有效的仲裁规则裁决；</w:t>
      </w:r>
    </w:p>
    <w:p w14:paraId="7C8EEB2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（合同履行地)  </w:t>
      </w:r>
      <w:r>
        <w:rPr>
          <w:rFonts w:hint="eastAsia" w:ascii="仿宋" w:hAnsi="仿宋" w:eastAsia="仿宋" w:cs="仿宋"/>
          <w:color w:val="auto"/>
          <w:sz w:val="24"/>
          <w:highlight w:val="none"/>
        </w:rPr>
        <w:t>人民法院起诉。</w:t>
      </w:r>
    </w:p>
    <w:p w14:paraId="745E552C">
      <w:pPr>
        <w:spacing w:line="360" w:lineRule="auto"/>
        <w:ind w:firstLine="480" w:firstLineChars="200"/>
        <w:rPr>
          <w:rFonts w:ascii="仿宋" w:hAnsi="仿宋" w:eastAsia="仿宋" w:cs="仿宋"/>
          <w:color w:val="auto"/>
          <w:sz w:val="24"/>
          <w:highlight w:val="none"/>
        </w:rPr>
      </w:pPr>
      <w:bookmarkStart w:id="260" w:name="_Toc26227"/>
      <w:bookmarkStart w:id="261" w:name="_Toc16417"/>
      <w:bookmarkStart w:id="262" w:name="_Toc12273"/>
      <w:bookmarkStart w:id="263" w:name="_Toc15827"/>
      <w:bookmarkStart w:id="264" w:name="_Toc23784"/>
      <w:r>
        <w:rPr>
          <w:rFonts w:hint="eastAsia" w:ascii="仿宋" w:hAnsi="仿宋" w:eastAsia="仿宋" w:cs="仿宋"/>
          <w:color w:val="auto"/>
          <w:sz w:val="24"/>
          <w:highlight w:val="none"/>
        </w:rPr>
        <w:t>1.8 合同生效</w:t>
      </w:r>
      <w:bookmarkEnd w:id="260"/>
      <w:bookmarkEnd w:id="261"/>
      <w:bookmarkEnd w:id="262"/>
      <w:bookmarkEnd w:id="263"/>
      <w:bookmarkEnd w:id="264"/>
    </w:p>
    <w:p w14:paraId="503EDC5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本合同自双方当事人盖章或者签字时生效。</w:t>
      </w:r>
    </w:p>
    <w:p w14:paraId="111E7507">
      <w:pPr>
        <w:autoSpaceDE w:val="0"/>
        <w:autoSpaceDN w:val="0"/>
        <w:spacing w:line="360" w:lineRule="auto"/>
        <w:rPr>
          <w:rFonts w:ascii="仿宋" w:hAnsi="仿宋" w:eastAsia="仿宋" w:cs="仿宋"/>
          <w:color w:val="auto"/>
          <w:sz w:val="24"/>
          <w:highlight w:val="none"/>
          <w:lang w:val="zh-CN"/>
        </w:rPr>
      </w:pPr>
    </w:p>
    <w:p w14:paraId="026B539D">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甲方：                                   乙方：</w:t>
      </w:r>
    </w:p>
    <w:p w14:paraId="40EC50EC">
      <w:pPr>
        <w:autoSpaceDE w:val="0"/>
        <w:autoSpaceDN w:val="0"/>
        <w:spacing w:line="360" w:lineRule="auto"/>
        <w:rPr>
          <w:rFonts w:ascii="仿宋" w:hAnsi="仿宋" w:eastAsia="仿宋" w:cs="仿宋"/>
          <w:color w:val="auto"/>
          <w:sz w:val="24"/>
          <w:highlight w:val="none"/>
          <w:lang w:val="zh-CN"/>
        </w:rPr>
      </w:pPr>
    </w:p>
    <w:p w14:paraId="248F7055">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CF65DA6">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5C48688">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67030C91">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联系人：   </w:t>
      </w:r>
    </w:p>
    <w:p w14:paraId="7D8179BD">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E9A672F">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691CC55">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6B2A30C">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BB2CD6A">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83CCE5D">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4DBCC135">
      <w:pPr>
        <w:pStyle w:val="703"/>
        <w:jc w:val="center"/>
        <w:rPr>
          <w:rFonts w:ascii="仿宋" w:hAnsi="仿宋" w:eastAsia="仿宋" w:cs="仿宋"/>
          <w:color w:val="auto"/>
          <w:szCs w:val="24"/>
          <w:highlight w:val="none"/>
        </w:rPr>
        <w:sectPr>
          <w:pgSz w:w="11905" w:h="16838"/>
          <w:pgMar w:top="1440" w:right="1803" w:bottom="1440" w:left="1803" w:header="851" w:footer="992" w:gutter="0"/>
          <w:pgNumType w:fmt="decimal"/>
          <w:cols w:space="0" w:num="1"/>
          <w:titlePg/>
          <w:docGrid w:linePitch="312" w:charSpace="0"/>
        </w:sectPr>
      </w:pPr>
      <w:bookmarkStart w:id="265" w:name="_Toc331685783"/>
    </w:p>
    <w:p w14:paraId="07534A44">
      <w:pPr>
        <w:pStyle w:val="703"/>
        <w:jc w:val="center"/>
        <w:rPr>
          <w:rFonts w:ascii="仿宋" w:hAnsi="仿宋" w:eastAsia="仿宋" w:cs="仿宋"/>
          <w:color w:val="auto"/>
          <w:szCs w:val="24"/>
          <w:highlight w:val="none"/>
        </w:rPr>
      </w:pPr>
      <w:r>
        <w:rPr>
          <w:rFonts w:hint="eastAsia" w:ascii="仿宋" w:hAnsi="仿宋" w:eastAsia="仿宋" w:cs="仿宋"/>
          <w:color w:val="auto"/>
          <w:szCs w:val="24"/>
          <w:highlight w:val="none"/>
        </w:rPr>
        <w:t>第二部分 合同一般条款</w:t>
      </w:r>
      <w:bookmarkEnd w:id="265"/>
    </w:p>
    <w:p w14:paraId="35B988E1">
      <w:pPr>
        <w:spacing w:line="360" w:lineRule="auto"/>
        <w:ind w:firstLine="480" w:firstLineChars="200"/>
        <w:rPr>
          <w:rFonts w:ascii="仿宋" w:hAnsi="仿宋" w:eastAsia="仿宋" w:cs="仿宋"/>
          <w:color w:val="auto"/>
          <w:sz w:val="24"/>
          <w:highlight w:val="none"/>
        </w:rPr>
      </w:pPr>
      <w:bookmarkStart w:id="266" w:name="_Toc487900349"/>
      <w:bookmarkStart w:id="267" w:name="_Toc259093669"/>
      <w:bookmarkStart w:id="268" w:name="_Ref467379195"/>
      <w:bookmarkStart w:id="269" w:name="_Ref467379205"/>
      <w:bookmarkStart w:id="270" w:name="_Toc14021"/>
      <w:bookmarkStart w:id="271" w:name="_Ref467379094"/>
      <w:bookmarkStart w:id="272" w:name="_Toc5228"/>
      <w:bookmarkStart w:id="273" w:name="_Toc31297"/>
      <w:bookmarkStart w:id="274" w:name="_Ref467378499"/>
      <w:bookmarkStart w:id="275" w:name="_Ref467379214"/>
      <w:bookmarkStart w:id="276" w:name="_Ref467379109"/>
      <w:bookmarkStart w:id="277" w:name="_Toc279701240"/>
      <w:bookmarkStart w:id="278" w:name="_Ref467378404"/>
      <w:bookmarkStart w:id="279" w:name="_Ref467379225"/>
      <w:bookmarkStart w:id="280" w:name="_Ref467378463"/>
      <w:bookmarkStart w:id="281" w:name="_Ref467379101"/>
      <w:bookmarkStart w:id="282" w:name="_Toc25079"/>
      <w:r>
        <w:rPr>
          <w:rFonts w:hint="eastAsia" w:ascii="仿宋" w:hAnsi="仿宋" w:eastAsia="仿宋" w:cs="仿宋"/>
          <w:color w:val="auto"/>
          <w:sz w:val="24"/>
          <w:highlight w:val="none"/>
        </w:rPr>
        <w:t>2.1 定义</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FBE263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8B972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“合同”系指采购人和成交人签订的载明双方当事人所达成的协议，并包括所有的附件、附录和构成合同的其他文件。</w:t>
      </w:r>
    </w:p>
    <w:p w14:paraId="1D204F8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“合同价”系指根据合同约定，成交人在完全履行合同义务后，采购人应支付给成交人的价格。</w:t>
      </w:r>
    </w:p>
    <w:p w14:paraId="451881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“服务”系指成交人根据合同约定应向采购人履行的除货物和工程以外的其他政府采购对象，包括采购人自身需要的服务和向社会公众提供的公共服务。</w:t>
      </w:r>
    </w:p>
    <w:p w14:paraId="37334856">
      <w:pPr>
        <w:spacing w:line="360" w:lineRule="auto"/>
        <w:ind w:firstLine="480" w:firstLineChars="200"/>
        <w:rPr>
          <w:rFonts w:ascii="仿宋" w:hAnsi="仿宋" w:eastAsia="仿宋" w:cs="仿宋"/>
          <w:color w:val="auto"/>
          <w:sz w:val="24"/>
          <w:highlight w:val="none"/>
        </w:rPr>
      </w:pPr>
      <w:bookmarkStart w:id="283" w:name="_Ref467378840"/>
      <w:r>
        <w:rPr>
          <w:rFonts w:hint="eastAsia" w:ascii="仿宋" w:hAnsi="仿宋" w:eastAsia="仿宋" w:cs="仿宋"/>
          <w:color w:val="auto"/>
          <w:sz w:val="24"/>
          <w:highlight w:val="none"/>
        </w:rPr>
        <w:t>2.1.4 “甲方”系指与成交人签署合同的采购人</w:t>
      </w:r>
      <w:bookmarkEnd w:id="283"/>
      <w:r>
        <w:rPr>
          <w:rFonts w:hint="eastAsia" w:ascii="仿宋" w:hAnsi="仿宋" w:eastAsia="仿宋" w:cs="仿宋"/>
          <w:color w:val="auto"/>
          <w:sz w:val="24"/>
          <w:highlight w:val="none"/>
        </w:rPr>
        <w:t>；采购人委托采购代理机构代表其与乙方签订合同的，采购人的授权委托书作为合同附件。</w:t>
      </w:r>
    </w:p>
    <w:p w14:paraId="0DCE1B22">
      <w:pPr>
        <w:spacing w:line="360" w:lineRule="auto"/>
        <w:ind w:firstLine="480" w:firstLineChars="200"/>
        <w:rPr>
          <w:rFonts w:ascii="仿宋" w:hAnsi="仿宋" w:eastAsia="仿宋" w:cs="仿宋"/>
          <w:color w:val="auto"/>
          <w:sz w:val="24"/>
          <w:highlight w:val="none"/>
        </w:rPr>
      </w:pPr>
      <w:bookmarkStart w:id="284" w:name="_Ref467379400"/>
      <w:r>
        <w:rPr>
          <w:rFonts w:hint="eastAsia" w:ascii="仿宋" w:hAnsi="仿宋" w:eastAsia="仿宋" w:cs="仿宋"/>
          <w:color w:val="auto"/>
          <w:sz w:val="24"/>
          <w:highlight w:val="none"/>
        </w:rPr>
        <w:t>2.1.5 “乙方”系指根据合同约定提供服务的成交人</w:t>
      </w:r>
      <w:bookmarkEnd w:id="284"/>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89BB587">
      <w:pPr>
        <w:spacing w:line="360" w:lineRule="auto"/>
        <w:ind w:firstLine="480" w:firstLineChars="200"/>
        <w:rPr>
          <w:rFonts w:ascii="仿宋" w:hAnsi="仿宋" w:eastAsia="仿宋" w:cs="仿宋"/>
          <w:color w:val="auto"/>
          <w:sz w:val="24"/>
          <w:highlight w:val="none"/>
        </w:rPr>
      </w:pPr>
      <w:bookmarkStart w:id="285" w:name="_Ref467379436"/>
      <w:r>
        <w:rPr>
          <w:rFonts w:hint="eastAsia" w:ascii="仿宋" w:hAnsi="仿宋" w:eastAsia="仿宋" w:cs="仿宋"/>
          <w:color w:val="auto"/>
          <w:sz w:val="24"/>
          <w:highlight w:val="none"/>
        </w:rPr>
        <w:t>2.1.6 “现场”系指合同约定提供服务的地点。</w:t>
      </w:r>
      <w:bookmarkEnd w:id="285"/>
    </w:p>
    <w:p w14:paraId="3254B66A">
      <w:pPr>
        <w:spacing w:line="360" w:lineRule="auto"/>
        <w:ind w:firstLine="480" w:firstLineChars="200"/>
        <w:rPr>
          <w:rFonts w:ascii="仿宋" w:hAnsi="仿宋" w:eastAsia="仿宋" w:cs="仿宋"/>
          <w:color w:val="auto"/>
          <w:sz w:val="24"/>
          <w:highlight w:val="none"/>
        </w:rPr>
      </w:pPr>
      <w:bookmarkStart w:id="286" w:name="_Toc3769"/>
      <w:bookmarkStart w:id="287" w:name="_Toc16752"/>
      <w:bookmarkStart w:id="288" w:name="_Toc487900350"/>
      <w:bookmarkStart w:id="289" w:name="_Toc23289"/>
      <w:bookmarkStart w:id="290" w:name="_Toc19539"/>
      <w:bookmarkStart w:id="291" w:name="_Toc279701241"/>
      <w:bookmarkStart w:id="292" w:name="_Toc31402"/>
      <w:bookmarkStart w:id="293" w:name="_Toc259093670"/>
      <w:r>
        <w:rPr>
          <w:rFonts w:hint="eastAsia" w:ascii="仿宋" w:hAnsi="仿宋" w:eastAsia="仿宋" w:cs="仿宋"/>
          <w:color w:val="auto"/>
          <w:sz w:val="24"/>
          <w:highlight w:val="none"/>
        </w:rPr>
        <w:t>2.2 技术规范</w:t>
      </w:r>
      <w:bookmarkEnd w:id="286"/>
      <w:bookmarkEnd w:id="287"/>
      <w:bookmarkEnd w:id="288"/>
      <w:bookmarkEnd w:id="289"/>
      <w:bookmarkEnd w:id="290"/>
      <w:bookmarkEnd w:id="291"/>
      <w:bookmarkEnd w:id="292"/>
      <w:bookmarkEnd w:id="293"/>
    </w:p>
    <w:p w14:paraId="395713C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9DDD531">
      <w:pPr>
        <w:spacing w:line="360" w:lineRule="auto"/>
        <w:ind w:firstLine="480" w:firstLineChars="200"/>
        <w:rPr>
          <w:rFonts w:ascii="仿宋" w:hAnsi="仿宋" w:eastAsia="仿宋" w:cs="仿宋"/>
          <w:color w:val="auto"/>
          <w:sz w:val="24"/>
          <w:highlight w:val="none"/>
        </w:rPr>
      </w:pPr>
      <w:bookmarkStart w:id="294" w:name="_Toc259093671"/>
      <w:bookmarkStart w:id="295" w:name="_Toc279701242"/>
      <w:bookmarkStart w:id="296" w:name="_Toc27945"/>
      <w:bookmarkStart w:id="297" w:name="_Toc487900351"/>
      <w:bookmarkStart w:id="298" w:name="_Toc9161"/>
      <w:bookmarkStart w:id="299" w:name="_Toc12412"/>
      <w:bookmarkStart w:id="300" w:name="_Toc4133"/>
      <w:bookmarkStart w:id="301" w:name="_Toc13673"/>
      <w:r>
        <w:rPr>
          <w:rFonts w:hint="eastAsia" w:ascii="仿宋" w:hAnsi="仿宋" w:eastAsia="仿宋" w:cs="仿宋"/>
          <w:color w:val="auto"/>
          <w:sz w:val="24"/>
          <w:highlight w:val="none"/>
        </w:rPr>
        <w:t>2.3 知识产权</w:t>
      </w:r>
      <w:bookmarkEnd w:id="294"/>
      <w:bookmarkEnd w:id="295"/>
      <w:bookmarkEnd w:id="296"/>
      <w:bookmarkEnd w:id="297"/>
      <w:bookmarkEnd w:id="298"/>
      <w:bookmarkEnd w:id="299"/>
      <w:bookmarkEnd w:id="300"/>
      <w:bookmarkEnd w:id="301"/>
    </w:p>
    <w:p w14:paraId="793C757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522D94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p w14:paraId="0B593E6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履约检查和问题反馈</w:t>
      </w:r>
    </w:p>
    <w:p w14:paraId="72463D69">
      <w:pPr>
        <w:spacing w:line="360" w:lineRule="auto"/>
        <w:ind w:firstLine="480" w:firstLineChars="200"/>
        <w:rPr>
          <w:rFonts w:ascii="仿宋" w:hAnsi="仿宋" w:eastAsia="仿宋" w:cs="仿宋"/>
          <w:color w:val="auto"/>
          <w:sz w:val="24"/>
          <w:highlight w:val="none"/>
        </w:rPr>
      </w:pPr>
      <w:bookmarkStart w:id="302" w:name="_Ref467379657"/>
      <w:r>
        <w:rPr>
          <w:rFonts w:hint="eastAsia" w:ascii="仿宋" w:hAnsi="仿宋" w:eastAsia="仿宋" w:cs="仿宋"/>
          <w:color w:val="auto"/>
          <w:sz w:val="24"/>
          <w:highlight w:val="none"/>
        </w:rPr>
        <w:t>2.4.1</w:t>
      </w:r>
      <w:bookmarkEnd w:id="302"/>
      <w:bookmarkStart w:id="303" w:name="_Toc186431854"/>
      <w:bookmarkStart w:id="304" w:name="_Toc487900357"/>
      <w:bookmarkStart w:id="305" w:name="_Ref467379807"/>
      <w:bookmarkStart w:id="306" w:name="_Toc259093676"/>
      <w:bookmarkStart w:id="307" w:name="_Ref467379793"/>
      <w:bookmarkStart w:id="308" w:name="_Toc279701247"/>
      <w:r>
        <w:rPr>
          <w:rFonts w:hint="eastAsia" w:ascii="仿宋" w:hAnsi="仿宋" w:eastAsia="仿宋" w:cs="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79D9402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bookmarkEnd w:id="303"/>
      <w:bookmarkStart w:id="309" w:name="_Toc186431855"/>
      <w:r>
        <w:rPr>
          <w:rFonts w:hint="eastAsia" w:ascii="仿宋" w:hAnsi="仿宋" w:eastAsia="仿宋" w:cs="仿宋"/>
          <w:color w:val="auto"/>
          <w:sz w:val="24"/>
          <w:highlight w:val="none"/>
        </w:rPr>
        <w:t>。</w:t>
      </w:r>
    </w:p>
    <w:bookmarkEnd w:id="309"/>
    <w:p w14:paraId="65A4900D">
      <w:pPr>
        <w:spacing w:line="360" w:lineRule="auto"/>
        <w:ind w:firstLine="480" w:firstLineChars="200"/>
        <w:rPr>
          <w:rFonts w:ascii="仿宋" w:hAnsi="仿宋" w:eastAsia="仿宋" w:cs="仿宋"/>
          <w:color w:val="auto"/>
          <w:sz w:val="24"/>
          <w:highlight w:val="none"/>
        </w:rPr>
      </w:pPr>
      <w:bookmarkStart w:id="310" w:name="_Toc31233"/>
      <w:bookmarkStart w:id="311" w:name="_Toc15447"/>
      <w:bookmarkStart w:id="312" w:name="_Toc32670"/>
      <w:bookmarkStart w:id="313" w:name="_Toc22011"/>
      <w:bookmarkStart w:id="314" w:name="_Toc26555"/>
      <w:r>
        <w:rPr>
          <w:rFonts w:hint="eastAsia" w:ascii="仿宋" w:hAnsi="仿宋" w:eastAsia="仿宋" w:cs="仿宋"/>
          <w:color w:val="auto"/>
          <w:sz w:val="24"/>
          <w:highlight w:val="none"/>
        </w:rPr>
        <w:t>2.5 结算方式和付款条件</w:t>
      </w:r>
      <w:bookmarkEnd w:id="304"/>
      <w:bookmarkEnd w:id="305"/>
      <w:bookmarkEnd w:id="306"/>
      <w:bookmarkEnd w:id="307"/>
      <w:bookmarkEnd w:id="308"/>
      <w:bookmarkEnd w:id="310"/>
      <w:bookmarkEnd w:id="311"/>
      <w:bookmarkEnd w:id="312"/>
      <w:bookmarkEnd w:id="313"/>
      <w:bookmarkEnd w:id="314"/>
    </w:p>
    <w:p w14:paraId="5D3089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p w14:paraId="38402121">
      <w:pPr>
        <w:spacing w:line="360" w:lineRule="auto"/>
        <w:ind w:firstLine="480" w:firstLineChars="200"/>
        <w:rPr>
          <w:rFonts w:ascii="仿宋" w:hAnsi="仿宋" w:eastAsia="仿宋" w:cs="仿宋"/>
          <w:color w:val="auto"/>
          <w:sz w:val="24"/>
          <w:highlight w:val="none"/>
        </w:rPr>
      </w:pPr>
      <w:bookmarkStart w:id="315" w:name="_Toc259093677"/>
      <w:bookmarkStart w:id="316" w:name="_Ref467379852"/>
      <w:bookmarkStart w:id="317" w:name="_Toc279701248"/>
      <w:bookmarkStart w:id="318" w:name="_Toc487900358"/>
      <w:bookmarkStart w:id="319" w:name="_Ref467379923"/>
      <w:bookmarkStart w:id="320" w:name="_Ref467379863"/>
      <w:bookmarkStart w:id="321" w:name="_Toc18990"/>
      <w:bookmarkStart w:id="322" w:name="_Toc13467"/>
      <w:bookmarkStart w:id="323" w:name="_Toc16163"/>
      <w:bookmarkStart w:id="324" w:name="_Toc30507"/>
      <w:bookmarkStart w:id="325" w:name="_Toc13154"/>
      <w:r>
        <w:rPr>
          <w:rFonts w:hint="eastAsia" w:ascii="仿宋" w:hAnsi="仿宋" w:eastAsia="仿宋" w:cs="仿宋"/>
          <w:color w:val="auto"/>
          <w:sz w:val="24"/>
          <w:highlight w:val="none"/>
        </w:rPr>
        <w:t>2.6 技术资料</w:t>
      </w:r>
      <w:bookmarkEnd w:id="315"/>
      <w:bookmarkEnd w:id="316"/>
      <w:bookmarkEnd w:id="317"/>
      <w:bookmarkEnd w:id="318"/>
      <w:bookmarkEnd w:id="319"/>
      <w:bookmarkEnd w:id="320"/>
      <w:r>
        <w:rPr>
          <w:rFonts w:hint="eastAsia" w:ascii="仿宋" w:hAnsi="仿宋" w:eastAsia="仿宋" w:cs="仿宋"/>
          <w:color w:val="auto"/>
          <w:sz w:val="24"/>
          <w:highlight w:val="none"/>
        </w:rPr>
        <w:t>和保密义务</w:t>
      </w:r>
      <w:bookmarkEnd w:id="321"/>
      <w:bookmarkEnd w:id="322"/>
      <w:bookmarkEnd w:id="323"/>
      <w:bookmarkEnd w:id="324"/>
      <w:bookmarkEnd w:id="325"/>
    </w:p>
    <w:p w14:paraId="2FFAF46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5145BC8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7EDAB4B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2DBA218">
      <w:pPr>
        <w:spacing w:line="360" w:lineRule="auto"/>
        <w:ind w:firstLine="480" w:firstLineChars="200"/>
        <w:rPr>
          <w:rFonts w:ascii="仿宋" w:hAnsi="仿宋" w:eastAsia="仿宋" w:cs="仿宋"/>
          <w:color w:val="auto"/>
          <w:sz w:val="24"/>
          <w:highlight w:val="none"/>
        </w:rPr>
      </w:pPr>
      <w:bookmarkStart w:id="326" w:name="_Toc19069"/>
      <w:bookmarkStart w:id="327" w:name="_Toc487900362"/>
      <w:bookmarkStart w:id="328" w:name="_Toc279701252"/>
      <w:bookmarkStart w:id="329" w:name="_Toc259093681"/>
      <w:r>
        <w:rPr>
          <w:rFonts w:hint="eastAsia" w:ascii="仿宋" w:hAnsi="仿宋" w:eastAsia="仿宋" w:cs="仿宋"/>
          <w:color w:val="auto"/>
          <w:sz w:val="24"/>
          <w:highlight w:val="none"/>
        </w:rPr>
        <w:t>2.7 质量保证</w:t>
      </w:r>
      <w:bookmarkEnd w:id="326"/>
    </w:p>
    <w:p w14:paraId="15F778B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6814A83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4E7615F5">
      <w:pPr>
        <w:spacing w:line="360" w:lineRule="auto"/>
        <w:ind w:firstLine="480" w:firstLineChars="200"/>
        <w:rPr>
          <w:rFonts w:ascii="仿宋" w:hAnsi="仿宋" w:eastAsia="仿宋" w:cs="仿宋"/>
          <w:color w:val="auto"/>
          <w:sz w:val="24"/>
          <w:highlight w:val="none"/>
        </w:rPr>
      </w:pPr>
      <w:bookmarkStart w:id="330" w:name="_Toc22267"/>
      <w:r>
        <w:rPr>
          <w:rFonts w:hint="eastAsia" w:ascii="仿宋" w:hAnsi="仿宋" w:eastAsia="仿宋" w:cs="仿宋"/>
          <w:color w:val="auto"/>
          <w:sz w:val="24"/>
          <w:highlight w:val="none"/>
        </w:rPr>
        <w:t>2.8 延迟</w:t>
      </w:r>
      <w:bookmarkEnd w:id="327"/>
      <w:bookmarkEnd w:id="328"/>
      <w:bookmarkEnd w:id="329"/>
      <w:r>
        <w:rPr>
          <w:rFonts w:hint="eastAsia" w:ascii="仿宋" w:hAnsi="仿宋" w:eastAsia="仿宋" w:cs="仿宋"/>
          <w:color w:val="auto"/>
          <w:sz w:val="24"/>
          <w:highlight w:val="none"/>
        </w:rPr>
        <w:t>履行</w:t>
      </w:r>
      <w:bookmarkEnd w:id="330"/>
    </w:p>
    <w:p w14:paraId="65F934F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90B3860">
      <w:pPr>
        <w:spacing w:line="360" w:lineRule="auto"/>
        <w:ind w:firstLine="480" w:firstLineChars="200"/>
        <w:rPr>
          <w:rFonts w:ascii="仿宋" w:hAnsi="仿宋" w:eastAsia="仿宋" w:cs="仿宋"/>
          <w:color w:val="auto"/>
          <w:sz w:val="24"/>
          <w:highlight w:val="none"/>
        </w:rPr>
      </w:pPr>
      <w:bookmarkStart w:id="331" w:name="_Toc10611"/>
      <w:bookmarkStart w:id="332" w:name="_Toc259093683"/>
      <w:bookmarkStart w:id="333" w:name="_Toc279701254"/>
      <w:bookmarkStart w:id="334" w:name="_Ref467378121"/>
      <w:bookmarkStart w:id="335" w:name="_Toc487900364"/>
      <w:r>
        <w:rPr>
          <w:rFonts w:hint="eastAsia" w:ascii="仿宋" w:hAnsi="仿宋" w:eastAsia="仿宋" w:cs="仿宋"/>
          <w:color w:val="auto"/>
          <w:sz w:val="24"/>
          <w:highlight w:val="none"/>
        </w:rPr>
        <w:t>2.9 合同变更</w:t>
      </w:r>
      <w:bookmarkEnd w:id="331"/>
    </w:p>
    <w:p w14:paraId="184AD95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73787D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336" w:name="_Toc279701259"/>
      <w:bookmarkStart w:id="337" w:name="_Toc259093688"/>
      <w:bookmarkStart w:id="338" w:name="_Toc487900369"/>
    </w:p>
    <w:p w14:paraId="1CD2A443">
      <w:pPr>
        <w:spacing w:line="360" w:lineRule="auto"/>
        <w:ind w:firstLine="480" w:firstLineChars="200"/>
        <w:rPr>
          <w:rFonts w:ascii="仿宋" w:hAnsi="仿宋" w:eastAsia="仿宋" w:cs="仿宋"/>
          <w:color w:val="auto"/>
          <w:sz w:val="24"/>
          <w:highlight w:val="none"/>
        </w:rPr>
      </w:pPr>
      <w:bookmarkStart w:id="339" w:name="_Toc21830"/>
      <w:bookmarkStart w:id="340" w:name="_Toc10663"/>
      <w:bookmarkStart w:id="341" w:name="_Toc42"/>
      <w:bookmarkStart w:id="342" w:name="_Toc23368"/>
      <w:bookmarkStart w:id="343" w:name="_Toc26689"/>
      <w:r>
        <w:rPr>
          <w:rFonts w:hint="eastAsia" w:ascii="仿宋" w:hAnsi="仿宋" w:eastAsia="仿宋" w:cs="仿宋"/>
          <w:color w:val="auto"/>
          <w:sz w:val="24"/>
          <w:highlight w:val="none"/>
        </w:rPr>
        <w:t>2.10 合同转让</w:t>
      </w:r>
      <w:bookmarkEnd w:id="336"/>
      <w:bookmarkEnd w:id="337"/>
      <w:bookmarkEnd w:id="338"/>
      <w:r>
        <w:rPr>
          <w:rFonts w:hint="eastAsia" w:ascii="仿宋" w:hAnsi="仿宋" w:eastAsia="仿宋" w:cs="仿宋"/>
          <w:color w:val="auto"/>
          <w:sz w:val="24"/>
          <w:highlight w:val="none"/>
        </w:rPr>
        <w:t>和分包</w:t>
      </w:r>
      <w:bookmarkEnd w:id="339"/>
      <w:bookmarkEnd w:id="340"/>
      <w:bookmarkEnd w:id="341"/>
      <w:bookmarkEnd w:id="342"/>
      <w:bookmarkEnd w:id="343"/>
    </w:p>
    <w:p w14:paraId="1F29BF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B5D7A0F">
      <w:pPr>
        <w:spacing w:line="360" w:lineRule="auto"/>
        <w:ind w:firstLine="480" w:firstLineChars="200"/>
        <w:rPr>
          <w:rFonts w:ascii="仿宋" w:hAnsi="仿宋" w:eastAsia="仿宋" w:cs="仿宋"/>
          <w:color w:val="auto"/>
          <w:sz w:val="24"/>
          <w:highlight w:val="none"/>
        </w:rPr>
      </w:pPr>
      <w:bookmarkStart w:id="344" w:name="_Toc32494"/>
      <w:bookmarkStart w:id="345" w:name="_Toc26633"/>
      <w:bookmarkStart w:id="346" w:name="_Toc25571"/>
      <w:bookmarkStart w:id="347" w:name="_Toc14371"/>
      <w:bookmarkStart w:id="348" w:name="_Toc4720"/>
      <w:r>
        <w:rPr>
          <w:rFonts w:hint="eastAsia" w:ascii="仿宋" w:hAnsi="仿宋" w:eastAsia="仿宋" w:cs="仿宋"/>
          <w:color w:val="auto"/>
          <w:sz w:val="24"/>
          <w:highlight w:val="none"/>
        </w:rPr>
        <w:t>2.11 不可抗力</w:t>
      </w:r>
      <w:bookmarkEnd w:id="344"/>
      <w:bookmarkEnd w:id="345"/>
      <w:bookmarkEnd w:id="346"/>
      <w:bookmarkEnd w:id="347"/>
      <w:bookmarkEnd w:id="348"/>
    </w:p>
    <w:p w14:paraId="30A9AE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19E330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3CA657D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CC6C6C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51421F8">
      <w:pPr>
        <w:spacing w:line="360" w:lineRule="auto"/>
        <w:ind w:firstLine="480" w:firstLineChars="200"/>
        <w:rPr>
          <w:rFonts w:ascii="仿宋" w:hAnsi="仿宋" w:eastAsia="仿宋" w:cs="仿宋"/>
          <w:color w:val="auto"/>
          <w:sz w:val="24"/>
          <w:highlight w:val="none"/>
        </w:rPr>
      </w:pPr>
      <w:bookmarkStart w:id="349" w:name="_Toc259093684"/>
      <w:bookmarkStart w:id="350" w:name="_Toc279701255"/>
      <w:bookmarkStart w:id="351" w:name="_Toc25783"/>
      <w:bookmarkStart w:id="352" w:name="_Toc3638"/>
      <w:bookmarkStart w:id="353" w:name="_Toc24465"/>
      <w:bookmarkStart w:id="354" w:name="_Toc23854"/>
      <w:bookmarkStart w:id="355" w:name="_Toc487900365"/>
      <w:bookmarkStart w:id="356" w:name="_Toc14115"/>
      <w:r>
        <w:rPr>
          <w:rFonts w:hint="eastAsia" w:ascii="仿宋" w:hAnsi="仿宋" w:eastAsia="仿宋" w:cs="仿宋"/>
          <w:color w:val="auto"/>
          <w:sz w:val="24"/>
          <w:highlight w:val="none"/>
        </w:rPr>
        <w:t>2.12 税费</w:t>
      </w:r>
      <w:bookmarkEnd w:id="349"/>
      <w:bookmarkEnd w:id="350"/>
      <w:bookmarkEnd w:id="351"/>
      <w:bookmarkEnd w:id="352"/>
      <w:bookmarkEnd w:id="353"/>
      <w:bookmarkEnd w:id="354"/>
      <w:bookmarkEnd w:id="355"/>
      <w:bookmarkEnd w:id="356"/>
    </w:p>
    <w:p w14:paraId="13470E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47BFC2A5">
      <w:pPr>
        <w:spacing w:line="360" w:lineRule="auto"/>
        <w:ind w:firstLine="480" w:firstLineChars="200"/>
        <w:rPr>
          <w:rFonts w:ascii="仿宋" w:hAnsi="仿宋" w:eastAsia="仿宋" w:cs="仿宋"/>
          <w:color w:val="auto"/>
          <w:sz w:val="24"/>
          <w:highlight w:val="none"/>
        </w:rPr>
      </w:pPr>
      <w:bookmarkStart w:id="357" w:name="_Toc487900368"/>
      <w:bookmarkStart w:id="358" w:name="_Toc7315"/>
      <w:bookmarkStart w:id="359" w:name="_Toc26883"/>
      <w:bookmarkStart w:id="360" w:name="_Toc30105"/>
      <w:bookmarkStart w:id="361" w:name="_Toc259093687"/>
      <w:bookmarkStart w:id="362" w:name="_Toc14814"/>
      <w:bookmarkStart w:id="363" w:name="_Toc25525"/>
      <w:bookmarkStart w:id="364" w:name="_Toc279701258"/>
      <w:r>
        <w:rPr>
          <w:rFonts w:hint="eastAsia" w:ascii="仿宋" w:hAnsi="仿宋" w:eastAsia="仿宋" w:cs="仿宋"/>
          <w:color w:val="auto"/>
          <w:sz w:val="24"/>
          <w:highlight w:val="none"/>
        </w:rPr>
        <w:t>2.13 乙方破产</w:t>
      </w:r>
      <w:bookmarkEnd w:id="357"/>
      <w:bookmarkEnd w:id="358"/>
      <w:bookmarkEnd w:id="359"/>
      <w:bookmarkEnd w:id="360"/>
      <w:bookmarkEnd w:id="361"/>
      <w:bookmarkEnd w:id="362"/>
      <w:bookmarkEnd w:id="363"/>
      <w:bookmarkEnd w:id="364"/>
    </w:p>
    <w:p w14:paraId="7F9DF8A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DAD1560">
      <w:pPr>
        <w:spacing w:line="360" w:lineRule="auto"/>
        <w:ind w:firstLine="480" w:firstLineChars="200"/>
        <w:rPr>
          <w:rFonts w:ascii="仿宋" w:hAnsi="仿宋" w:eastAsia="仿宋" w:cs="仿宋"/>
          <w:color w:val="auto"/>
          <w:sz w:val="24"/>
          <w:highlight w:val="none"/>
        </w:rPr>
      </w:pPr>
      <w:bookmarkStart w:id="365" w:name="_Toc1123"/>
      <w:bookmarkStart w:id="366" w:name="_Toc2016"/>
      <w:bookmarkStart w:id="367" w:name="_Toc23323"/>
      <w:r>
        <w:rPr>
          <w:rFonts w:hint="eastAsia" w:ascii="仿宋" w:hAnsi="仿宋" w:eastAsia="仿宋" w:cs="仿宋"/>
          <w:color w:val="auto"/>
          <w:sz w:val="24"/>
          <w:highlight w:val="none"/>
        </w:rPr>
        <w:t>2.14 合同中止、终止</w:t>
      </w:r>
      <w:bookmarkEnd w:id="365"/>
      <w:bookmarkEnd w:id="366"/>
      <w:bookmarkEnd w:id="367"/>
    </w:p>
    <w:p w14:paraId="4066225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7B6B8D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778749F">
      <w:pPr>
        <w:spacing w:line="360" w:lineRule="auto"/>
        <w:ind w:firstLine="480" w:firstLineChars="200"/>
        <w:rPr>
          <w:rFonts w:ascii="仿宋" w:hAnsi="仿宋" w:eastAsia="仿宋" w:cs="仿宋"/>
          <w:color w:val="auto"/>
          <w:sz w:val="24"/>
          <w:highlight w:val="none"/>
        </w:rPr>
      </w:pPr>
      <w:bookmarkStart w:id="368" w:name="_Toc17363"/>
      <w:bookmarkStart w:id="369" w:name="_Toc14525"/>
      <w:bookmarkStart w:id="370" w:name="_Toc1969"/>
      <w:r>
        <w:rPr>
          <w:rFonts w:hint="eastAsia" w:ascii="仿宋" w:hAnsi="仿宋" w:eastAsia="仿宋" w:cs="仿宋"/>
          <w:color w:val="auto"/>
          <w:sz w:val="24"/>
          <w:highlight w:val="none"/>
        </w:rPr>
        <w:t>2.15 检验和验收</w:t>
      </w:r>
      <w:bookmarkEnd w:id="368"/>
      <w:bookmarkEnd w:id="369"/>
      <w:bookmarkEnd w:id="370"/>
    </w:p>
    <w:p w14:paraId="6877C1D4">
      <w:pP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的约定进行定期验收；</w:t>
      </w:r>
    </w:p>
    <w:p w14:paraId="55167789">
      <w:pP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D27FA9">
      <w:pP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bookmarkEnd w:id="332"/>
    <w:bookmarkEnd w:id="333"/>
    <w:bookmarkEnd w:id="334"/>
    <w:bookmarkEnd w:id="335"/>
    <w:p w14:paraId="44FAC86C">
      <w:pPr>
        <w:spacing w:line="360" w:lineRule="auto"/>
        <w:ind w:firstLine="480" w:firstLineChars="200"/>
        <w:rPr>
          <w:rFonts w:ascii="仿宋" w:hAnsi="仿宋" w:eastAsia="仿宋" w:cs="仿宋"/>
          <w:color w:val="auto"/>
          <w:sz w:val="24"/>
          <w:highlight w:val="none"/>
        </w:rPr>
      </w:pPr>
      <w:bookmarkStart w:id="371" w:name="_Toc487900371"/>
      <w:bookmarkStart w:id="372" w:name="_Toc279701261"/>
      <w:bookmarkStart w:id="373" w:name="_Toc259093690"/>
      <w:bookmarkStart w:id="374" w:name="_Toc12666"/>
      <w:bookmarkStart w:id="375" w:name="_Toc31892"/>
      <w:bookmarkStart w:id="376" w:name="_Toc9808"/>
      <w:bookmarkStart w:id="377" w:name="_Toc25198"/>
      <w:bookmarkStart w:id="378" w:name="_Toc2308"/>
      <w:r>
        <w:rPr>
          <w:rFonts w:hint="eastAsia" w:ascii="仿宋" w:hAnsi="仿宋" w:eastAsia="仿宋" w:cs="仿宋"/>
          <w:color w:val="auto"/>
          <w:sz w:val="24"/>
          <w:highlight w:val="none"/>
        </w:rPr>
        <w:t>2.16 通知</w:t>
      </w:r>
      <w:bookmarkEnd w:id="371"/>
      <w:bookmarkEnd w:id="372"/>
      <w:bookmarkEnd w:id="373"/>
      <w:r>
        <w:rPr>
          <w:rFonts w:hint="eastAsia" w:ascii="仿宋" w:hAnsi="仿宋" w:eastAsia="仿宋" w:cs="仿宋"/>
          <w:color w:val="auto"/>
          <w:sz w:val="24"/>
          <w:highlight w:val="none"/>
        </w:rPr>
        <w:t>和送达</w:t>
      </w:r>
      <w:bookmarkEnd w:id="374"/>
      <w:bookmarkEnd w:id="375"/>
      <w:bookmarkEnd w:id="376"/>
      <w:bookmarkEnd w:id="377"/>
      <w:bookmarkEnd w:id="378"/>
    </w:p>
    <w:p w14:paraId="62CC0A2F">
      <w:pPr>
        <w:spacing w:line="360" w:lineRule="auto"/>
        <w:ind w:firstLine="480" w:firstLineChars="200"/>
        <w:rPr>
          <w:rFonts w:ascii="仿宋" w:hAnsi="仿宋" w:eastAsia="仿宋" w:cs="仿宋"/>
          <w:color w:val="auto"/>
          <w:sz w:val="24"/>
          <w:highlight w:val="none"/>
        </w:rPr>
      </w:pPr>
      <w:bookmarkStart w:id="379" w:name="_Toc7073"/>
      <w:bookmarkStart w:id="380" w:name="_Toc29220"/>
      <w:bookmarkStart w:id="381" w:name="_Toc487900372"/>
      <w:bookmarkStart w:id="382" w:name="_Toc279701262"/>
      <w:bookmarkStart w:id="383" w:name="_Toc259093691"/>
      <w:r>
        <w:rPr>
          <w:rFonts w:hint="eastAsia" w:ascii="仿宋" w:hAnsi="仿宋" w:eastAsia="仿宋" w:cs="仿宋"/>
          <w:color w:val="auto"/>
          <w:sz w:val="24"/>
          <w:highlight w:val="none"/>
        </w:rPr>
        <w:t>2.16.1 任何一方因履行合同而以合同第一部分尾部所列明的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379"/>
      <w:bookmarkEnd w:id="380"/>
    </w:p>
    <w:p w14:paraId="3D0F24BC">
      <w:pPr>
        <w:spacing w:line="360" w:lineRule="auto"/>
        <w:ind w:firstLine="480" w:firstLineChars="200"/>
        <w:rPr>
          <w:rFonts w:ascii="仿宋" w:hAnsi="仿宋" w:eastAsia="仿宋" w:cs="仿宋"/>
          <w:color w:val="auto"/>
          <w:sz w:val="24"/>
          <w:highlight w:val="none"/>
        </w:rPr>
      </w:pPr>
      <w:bookmarkStart w:id="384" w:name="_Toc18401"/>
      <w:bookmarkStart w:id="385" w:name="_Toc27674"/>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84"/>
      <w:bookmarkEnd w:id="385"/>
    </w:p>
    <w:bookmarkEnd w:id="381"/>
    <w:bookmarkEnd w:id="382"/>
    <w:bookmarkEnd w:id="383"/>
    <w:p w14:paraId="073511FD">
      <w:pPr>
        <w:spacing w:line="360" w:lineRule="auto"/>
        <w:ind w:firstLine="480" w:firstLineChars="200"/>
        <w:rPr>
          <w:rFonts w:ascii="仿宋" w:hAnsi="仿宋" w:eastAsia="仿宋" w:cs="仿宋"/>
          <w:color w:val="auto"/>
          <w:sz w:val="24"/>
          <w:highlight w:val="none"/>
        </w:rPr>
      </w:pPr>
      <w:bookmarkStart w:id="386" w:name="_Toc279701263"/>
      <w:bookmarkStart w:id="387" w:name="_Toc487900373"/>
      <w:bookmarkStart w:id="388" w:name="_Toc259093692"/>
      <w:bookmarkStart w:id="389" w:name="_Toc28906"/>
      <w:bookmarkStart w:id="390" w:name="_Toc12254"/>
      <w:bookmarkStart w:id="391" w:name="_Toc5063"/>
      <w:bookmarkStart w:id="392" w:name="_Toc20808"/>
      <w:bookmarkStart w:id="393" w:name="_Toc27644"/>
      <w:r>
        <w:rPr>
          <w:rFonts w:hint="eastAsia" w:ascii="仿宋" w:hAnsi="仿宋" w:eastAsia="仿宋" w:cs="仿宋"/>
          <w:color w:val="auto"/>
          <w:sz w:val="24"/>
          <w:highlight w:val="none"/>
        </w:rPr>
        <w:t>2.17 合同使用的文字和适用的法律</w:t>
      </w:r>
      <w:bookmarkEnd w:id="386"/>
      <w:bookmarkEnd w:id="387"/>
      <w:bookmarkEnd w:id="388"/>
      <w:bookmarkEnd w:id="389"/>
      <w:bookmarkEnd w:id="390"/>
      <w:bookmarkEnd w:id="391"/>
      <w:bookmarkEnd w:id="392"/>
      <w:bookmarkEnd w:id="393"/>
    </w:p>
    <w:p w14:paraId="3D0627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257F560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DC57FFF">
      <w:pPr>
        <w:spacing w:line="360" w:lineRule="auto"/>
        <w:ind w:firstLine="480" w:firstLineChars="200"/>
        <w:rPr>
          <w:rFonts w:ascii="仿宋" w:hAnsi="仿宋" w:eastAsia="仿宋" w:cs="仿宋"/>
          <w:color w:val="auto"/>
          <w:sz w:val="24"/>
          <w:highlight w:val="none"/>
        </w:rPr>
      </w:pPr>
      <w:bookmarkStart w:id="394" w:name="_Toc1492"/>
      <w:bookmarkStart w:id="395" w:name="_Toc27403"/>
      <w:bookmarkStart w:id="396" w:name="_Toc279701264"/>
      <w:bookmarkStart w:id="397" w:name="_Toc30096"/>
      <w:bookmarkStart w:id="398" w:name="_Toc27127"/>
      <w:bookmarkStart w:id="399" w:name="_Toc259093693"/>
      <w:bookmarkStart w:id="400" w:name="_Toc22266"/>
      <w:bookmarkStart w:id="401" w:name="_Toc487900374"/>
      <w:r>
        <w:rPr>
          <w:rFonts w:hint="eastAsia" w:ascii="仿宋" w:hAnsi="仿宋" w:eastAsia="仿宋" w:cs="仿宋"/>
          <w:color w:val="auto"/>
          <w:sz w:val="24"/>
          <w:highlight w:val="none"/>
        </w:rPr>
        <w:t>2.18 履约保证金</w:t>
      </w:r>
      <w:bookmarkEnd w:id="394"/>
      <w:bookmarkEnd w:id="395"/>
      <w:bookmarkEnd w:id="396"/>
      <w:bookmarkEnd w:id="397"/>
      <w:bookmarkEnd w:id="398"/>
      <w:bookmarkEnd w:id="399"/>
      <w:bookmarkEnd w:id="400"/>
    </w:p>
    <w:p w14:paraId="4F9D548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2.18.1 采购文件要求乙方提交履约保证金的，乙方应按</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约定的方式，以支票、汇票、本票或者金融机构、担保机构出具的保函等非现金形式，提交不超过合同价10%的履约保证金；</w:t>
      </w:r>
    </w:p>
    <w:p w14:paraId="0BD41B3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2.18.2 履约保证金在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约定期间内不予退还或者应完全有效，前述约定期间届满之日起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14:paraId="23D4887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01"/>
    <w:p w14:paraId="49DC535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 合同份数</w:t>
      </w:r>
    </w:p>
    <w:p w14:paraId="561281D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E3C8774">
      <w:pPr>
        <w:pStyle w:val="703"/>
        <w:jc w:val="center"/>
        <w:rPr>
          <w:rFonts w:ascii="仿宋" w:hAnsi="仿宋" w:eastAsia="仿宋" w:cs="仿宋"/>
          <w:color w:val="auto"/>
          <w:szCs w:val="24"/>
          <w:highlight w:val="none"/>
        </w:rPr>
      </w:pPr>
      <w:r>
        <w:rPr>
          <w:rFonts w:hint="eastAsia" w:ascii="仿宋" w:hAnsi="仿宋" w:eastAsia="仿宋" w:cs="仿宋"/>
          <w:color w:val="auto"/>
          <w:szCs w:val="24"/>
          <w:highlight w:val="none"/>
        </w:rPr>
        <w:br w:type="page"/>
      </w:r>
      <w:bookmarkStart w:id="402" w:name="_Toc331685784"/>
      <w:r>
        <w:rPr>
          <w:rFonts w:hint="eastAsia" w:ascii="仿宋" w:hAnsi="仿宋" w:eastAsia="仿宋" w:cs="仿宋"/>
          <w:color w:val="auto"/>
          <w:szCs w:val="24"/>
          <w:highlight w:val="none"/>
        </w:rPr>
        <w:t>第三部分  合同专用条款</w:t>
      </w:r>
      <w:bookmarkEnd w:id="402"/>
    </w:p>
    <w:p w14:paraId="445009A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14:paraId="0A6DF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3ECE559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7087" w:type="dxa"/>
            <w:vAlign w:val="center"/>
          </w:tcPr>
          <w:p w14:paraId="0C2C916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1B953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27C7D86A">
            <w:pPr>
              <w:jc w:val="center"/>
              <w:rPr>
                <w:rFonts w:ascii="仿宋" w:hAnsi="仿宋" w:eastAsia="仿宋" w:cs="仿宋"/>
                <w:color w:val="auto"/>
                <w:sz w:val="24"/>
                <w:highlight w:val="none"/>
              </w:rPr>
            </w:pPr>
          </w:p>
        </w:tc>
        <w:tc>
          <w:tcPr>
            <w:tcW w:w="7087" w:type="dxa"/>
            <w:vAlign w:val="center"/>
          </w:tcPr>
          <w:p w14:paraId="275D952A">
            <w:pPr>
              <w:rPr>
                <w:rFonts w:ascii="仿宋" w:hAnsi="仿宋" w:eastAsia="仿宋" w:cs="仿宋"/>
                <w:color w:val="auto"/>
                <w:sz w:val="24"/>
                <w:highlight w:val="none"/>
              </w:rPr>
            </w:pPr>
          </w:p>
        </w:tc>
      </w:tr>
      <w:tr w14:paraId="026D1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6499E17D">
            <w:pPr>
              <w:jc w:val="center"/>
              <w:rPr>
                <w:rFonts w:ascii="仿宋" w:hAnsi="仿宋" w:eastAsia="仿宋" w:cs="仿宋"/>
                <w:color w:val="auto"/>
                <w:sz w:val="24"/>
                <w:highlight w:val="none"/>
              </w:rPr>
            </w:pPr>
          </w:p>
        </w:tc>
        <w:tc>
          <w:tcPr>
            <w:tcW w:w="7087" w:type="dxa"/>
            <w:vAlign w:val="center"/>
          </w:tcPr>
          <w:p w14:paraId="4CB5B355">
            <w:pPr>
              <w:rPr>
                <w:rFonts w:ascii="仿宋" w:hAnsi="仿宋" w:eastAsia="仿宋" w:cs="仿宋"/>
                <w:color w:val="auto"/>
                <w:sz w:val="24"/>
                <w:highlight w:val="none"/>
              </w:rPr>
            </w:pPr>
          </w:p>
        </w:tc>
      </w:tr>
      <w:tr w14:paraId="5305F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3CB9DAA6">
            <w:pPr>
              <w:jc w:val="center"/>
              <w:rPr>
                <w:rFonts w:ascii="仿宋" w:hAnsi="仿宋" w:eastAsia="仿宋" w:cs="仿宋"/>
                <w:color w:val="auto"/>
                <w:sz w:val="24"/>
                <w:highlight w:val="none"/>
              </w:rPr>
            </w:pPr>
          </w:p>
        </w:tc>
        <w:tc>
          <w:tcPr>
            <w:tcW w:w="7087" w:type="dxa"/>
            <w:vAlign w:val="center"/>
          </w:tcPr>
          <w:p w14:paraId="76995317">
            <w:pPr>
              <w:rPr>
                <w:rFonts w:ascii="仿宋" w:hAnsi="仿宋" w:eastAsia="仿宋" w:cs="仿宋"/>
                <w:color w:val="auto"/>
                <w:sz w:val="24"/>
                <w:highlight w:val="none"/>
              </w:rPr>
            </w:pPr>
          </w:p>
        </w:tc>
      </w:tr>
      <w:tr w14:paraId="2FCF6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76A1C857">
            <w:pPr>
              <w:jc w:val="center"/>
              <w:rPr>
                <w:rFonts w:ascii="仿宋" w:hAnsi="仿宋" w:eastAsia="仿宋" w:cs="仿宋"/>
                <w:color w:val="auto"/>
                <w:sz w:val="24"/>
                <w:highlight w:val="none"/>
              </w:rPr>
            </w:pPr>
          </w:p>
        </w:tc>
        <w:tc>
          <w:tcPr>
            <w:tcW w:w="7087" w:type="dxa"/>
            <w:vAlign w:val="center"/>
          </w:tcPr>
          <w:p w14:paraId="3B5EF42E">
            <w:pPr>
              <w:rPr>
                <w:rFonts w:ascii="仿宋" w:hAnsi="仿宋" w:eastAsia="仿宋" w:cs="仿宋"/>
                <w:color w:val="auto"/>
                <w:sz w:val="24"/>
                <w:highlight w:val="none"/>
              </w:rPr>
            </w:pPr>
          </w:p>
        </w:tc>
      </w:tr>
      <w:tr w14:paraId="0B4F1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16A2E250">
            <w:pPr>
              <w:jc w:val="center"/>
              <w:rPr>
                <w:rFonts w:ascii="仿宋" w:hAnsi="仿宋" w:eastAsia="仿宋" w:cs="仿宋"/>
                <w:color w:val="auto"/>
                <w:sz w:val="24"/>
                <w:highlight w:val="none"/>
              </w:rPr>
            </w:pPr>
          </w:p>
        </w:tc>
        <w:tc>
          <w:tcPr>
            <w:tcW w:w="7087" w:type="dxa"/>
            <w:vAlign w:val="center"/>
          </w:tcPr>
          <w:p w14:paraId="1627C547">
            <w:pPr>
              <w:rPr>
                <w:rFonts w:ascii="仿宋" w:hAnsi="仿宋" w:eastAsia="仿宋" w:cs="仿宋"/>
                <w:color w:val="auto"/>
                <w:sz w:val="24"/>
                <w:highlight w:val="none"/>
                <w:u w:val="single"/>
              </w:rPr>
            </w:pPr>
          </w:p>
        </w:tc>
      </w:tr>
      <w:tr w14:paraId="777B9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07A06535">
            <w:pPr>
              <w:jc w:val="center"/>
              <w:rPr>
                <w:rFonts w:ascii="仿宋" w:hAnsi="仿宋" w:eastAsia="仿宋" w:cs="仿宋"/>
                <w:color w:val="auto"/>
                <w:sz w:val="24"/>
                <w:highlight w:val="none"/>
              </w:rPr>
            </w:pPr>
          </w:p>
        </w:tc>
        <w:tc>
          <w:tcPr>
            <w:tcW w:w="7087" w:type="dxa"/>
            <w:vAlign w:val="center"/>
          </w:tcPr>
          <w:p w14:paraId="16D573F1">
            <w:pPr>
              <w:rPr>
                <w:rFonts w:ascii="仿宋" w:hAnsi="仿宋" w:eastAsia="仿宋" w:cs="仿宋"/>
                <w:color w:val="auto"/>
                <w:sz w:val="24"/>
                <w:highlight w:val="none"/>
              </w:rPr>
            </w:pPr>
          </w:p>
        </w:tc>
      </w:tr>
      <w:tr w14:paraId="06531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5DA617D3">
            <w:pPr>
              <w:jc w:val="center"/>
              <w:rPr>
                <w:rFonts w:ascii="仿宋" w:hAnsi="仿宋" w:eastAsia="仿宋" w:cs="仿宋"/>
                <w:color w:val="auto"/>
                <w:sz w:val="24"/>
                <w:highlight w:val="none"/>
              </w:rPr>
            </w:pPr>
          </w:p>
        </w:tc>
        <w:tc>
          <w:tcPr>
            <w:tcW w:w="7087" w:type="dxa"/>
            <w:vAlign w:val="center"/>
          </w:tcPr>
          <w:p w14:paraId="5688570B">
            <w:pPr>
              <w:rPr>
                <w:rFonts w:ascii="仿宋" w:hAnsi="仿宋" w:eastAsia="仿宋" w:cs="仿宋"/>
                <w:color w:val="auto"/>
                <w:sz w:val="24"/>
                <w:highlight w:val="none"/>
                <w:u w:val="single"/>
              </w:rPr>
            </w:pPr>
          </w:p>
        </w:tc>
      </w:tr>
      <w:tr w14:paraId="5386B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70E8C041">
            <w:pPr>
              <w:jc w:val="center"/>
              <w:rPr>
                <w:rFonts w:ascii="仿宋" w:hAnsi="仿宋" w:eastAsia="仿宋" w:cs="仿宋"/>
                <w:color w:val="auto"/>
                <w:sz w:val="24"/>
                <w:highlight w:val="none"/>
              </w:rPr>
            </w:pPr>
          </w:p>
        </w:tc>
        <w:tc>
          <w:tcPr>
            <w:tcW w:w="7087" w:type="dxa"/>
            <w:vAlign w:val="center"/>
          </w:tcPr>
          <w:p w14:paraId="3A15C3CD">
            <w:pPr>
              <w:rPr>
                <w:rFonts w:ascii="仿宋" w:hAnsi="仿宋" w:eastAsia="仿宋" w:cs="仿宋"/>
                <w:color w:val="auto"/>
                <w:sz w:val="24"/>
                <w:highlight w:val="none"/>
              </w:rPr>
            </w:pPr>
          </w:p>
        </w:tc>
      </w:tr>
      <w:tr w14:paraId="3CEEA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452FAAB4">
            <w:pPr>
              <w:jc w:val="center"/>
              <w:rPr>
                <w:rFonts w:ascii="仿宋" w:hAnsi="仿宋" w:eastAsia="仿宋" w:cs="仿宋"/>
                <w:color w:val="auto"/>
                <w:sz w:val="24"/>
                <w:highlight w:val="none"/>
              </w:rPr>
            </w:pPr>
          </w:p>
        </w:tc>
        <w:tc>
          <w:tcPr>
            <w:tcW w:w="7087" w:type="dxa"/>
            <w:vAlign w:val="center"/>
          </w:tcPr>
          <w:p w14:paraId="454F8255">
            <w:pPr>
              <w:rPr>
                <w:rFonts w:ascii="仿宋" w:hAnsi="仿宋" w:eastAsia="仿宋" w:cs="仿宋"/>
                <w:color w:val="auto"/>
                <w:sz w:val="24"/>
                <w:highlight w:val="none"/>
              </w:rPr>
            </w:pPr>
          </w:p>
        </w:tc>
      </w:tr>
      <w:tr w14:paraId="0F718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40261764">
            <w:pPr>
              <w:jc w:val="center"/>
              <w:rPr>
                <w:rFonts w:ascii="仿宋" w:hAnsi="仿宋" w:eastAsia="仿宋" w:cs="仿宋"/>
                <w:color w:val="auto"/>
                <w:sz w:val="24"/>
                <w:highlight w:val="none"/>
              </w:rPr>
            </w:pPr>
          </w:p>
        </w:tc>
        <w:tc>
          <w:tcPr>
            <w:tcW w:w="7087" w:type="dxa"/>
            <w:vAlign w:val="center"/>
          </w:tcPr>
          <w:p w14:paraId="0737CB1C">
            <w:pPr>
              <w:rPr>
                <w:rFonts w:ascii="仿宋" w:hAnsi="仿宋" w:eastAsia="仿宋" w:cs="仿宋"/>
                <w:color w:val="auto"/>
                <w:sz w:val="24"/>
                <w:highlight w:val="none"/>
              </w:rPr>
            </w:pPr>
          </w:p>
        </w:tc>
      </w:tr>
      <w:tr w14:paraId="310DC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14:paraId="010B4CAD">
            <w:pPr>
              <w:jc w:val="center"/>
              <w:rPr>
                <w:rFonts w:ascii="仿宋" w:hAnsi="仿宋" w:eastAsia="仿宋" w:cs="仿宋"/>
                <w:color w:val="auto"/>
                <w:sz w:val="24"/>
                <w:highlight w:val="none"/>
              </w:rPr>
            </w:pPr>
          </w:p>
        </w:tc>
        <w:tc>
          <w:tcPr>
            <w:tcW w:w="7087" w:type="dxa"/>
            <w:tcBorders>
              <w:top w:val="single" w:color="auto" w:sz="6" w:space="0"/>
              <w:left w:val="single" w:color="auto" w:sz="6" w:space="0"/>
              <w:bottom w:val="single" w:color="auto" w:sz="6" w:space="0"/>
              <w:right w:val="single" w:color="auto" w:sz="6" w:space="0"/>
            </w:tcBorders>
            <w:vAlign w:val="center"/>
          </w:tcPr>
          <w:p w14:paraId="64AE82CB">
            <w:pPr>
              <w:rPr>
                <w:rFonts w:ascii="仿宋" w:hAnsi="仿宋" w:eastAsia="仿宋" w:cs="仿宋"/>
                <w:color w:val="auto"/>
                <w:sz w:val="24"/>
                <w:highlight w:val="none"/>
              </w:rPr>
            </w:pPr>
          </w:p>
        </w:tc>
      </w:tr>
      <w:tr w14:paraId="43F0A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14:paraId="109A28D1">
            <w:pPr>
              <w:jc w:val="center"/>
              <w:rPr>
                <w:rFonts w:ascii="仿宋" w:hAnsi="仿宋" w:eastAsia="仿宋" w:cs="仿宋"/>
                <w:color w:val="auto"/>
                <w:sz w:val="24"/>
                <w:highlight w:val="none"/>
              </w:rPr>
            </w:pPr>
          </w:p>
        </w:tc>
        <w:tc>
          <w:tcPr>
            <w:tcW w:w="7087" w:type="dxa"/>
            <w:tcBorders>
              <w:top w:val="single" w:color="auto" w:sz="6" w:space="0"/>
              <w:left w:val="single" w:color="auto" w:sz="6" w:space="0"/>
              <w:bottom w:val="single" w:color="auto" w:sz="6" w:space="0"/>
              <w:right w:val="single" w:color="auto" w:sz="6" w:space="0"/>
            </w:tcBorders>
            <w:vAlign w:val="center"/>
          </w:tcPr>
          <w:p w14:paraId="5138BA09">
            <w:pPr>
              <w:rPr>
                <w:rFonts w:ascii="仿宋" w:hAnsi="仿宋" w:eastAsia="仿宋" w:cs="仿宋"/>
                <w:color w:val="auto"/>
                <w:sz w:val="24"/>
                <w:highlight w:val="none"/>
              </w:rPr>
            </w:pPr>
          </w:p>
        </w:tc>
      </w:tr>
    </w:tbl>
    <w:p w14:paraId="5DB04D9E">
      <w:pPr>
        <w:spacing w:line="360" w:lineRule="auto"/>
        <w:jc w:val="center"/>
        <w:rPr>
          <w:rFonts w:ascii="仿宋" w:hAnsi="仿宋" w:eastAsia="仿宋" w:cs="仿宋"/>
          <w:b/>
          <w:color w:val="auto"/>
          <w:sz w:val="28"/>
          <w:szCs w:val="28"/>
          <w:highlight w:val="none"/>
        </w:rPr>
      </w:pPr>
    </w:p>
    <w:p w14:paraId="7DCAAC9B">
      <w:pPr>
        <w:rPr>
          <w:rFonts w:ascii="仿宋" w:hAnsi="仿宋" w:eastAsia="仿宋" w:cs="仿宋"/>
          <w:color w:val="auto"/>
          <w:highlight w:val="none"/>
        </w:rPr>
      </w:pPr>
    </w:p>
    <w:p w14:paraId="750F24EA">
      <w:pPr>
        <w:spacing w:line="360" w:lineRule="auto"/>
        <w:ind w:left="-420" w:leftChars="-200" w:right="-420" w:rightChars="-200" w:firstLine="480" w:firstLineChars="200"/>
        <w:jc w:val="center"/>
        <w:outlineLvl w:val="0"/>
        <w:rPr>
          <w:rFonts w:ascii="仿宋" w:hAnsi="仿宋" w:eastAsia="仿宋" w:cs="仿宋"/>
          <w:color w:val="auto"/>
          <w:sz w:val="24"/>
          <w:highlight w:val="none"/>
        </w:rPr>
        <w:sectPr>
          <w:footerReference r:id="rId13" w:type="first"/>
          <w:footerReference r:id="rId12" w:type="default"/>
          <w:pgSz w:w="11905" w:h="16838"/>
          <w:pgMar w:top="1440" w:right="1803" w:bottom="1440" w:left="1803" w:header="851" w:footer="992" w:gutter="0"/>
          <w:pgNumType w:fmt="decimal"/>
          <w:cols w:space="0" w:num="1"/>
          <w:titlePg/>
          <w:docGrid w:linePitch="312" w:charSpace="0"/>
        </w:sectPr>
      </w:pPr>
    </w:p>
    <w:p w14:paraId="58D27AF8">
      <w:pPr>
        <w:pStyle w:val="4"/>
        <w:spacing w:before="0" w:after="0" w:line="480" w:lineRule="auto"/>
        <w:ind w:left="431" w:hanging="431"/>
        <w:jc w:val="center"/>
        <w:rPr>
          <w:rFonts w:ascii="仿宋" w:hAnsi="仿宋" w:eastAsia="仿宋" w:cs="仿宋"/>
          <w:color w:val="auto"/>
          <w:sz w:val="36"/>
          <w:szCs w:val="36"/>
          <w:highlight w:val="none"/>
        </w:rPr>
      </w:pPr>
      <w:bookmarkStart w:id="403" w:name="_Toc139797651"/>
      <w:bookmarkStart w:id="404" w:name="_Toc29566"/>
      <w:bookmarkStart w:id="405" w:name="_Toc9084"/>
      <w:r>
        <w:rPr>
          <w:rFonts w:hint="eastAsia" w:ascii="仿宋" w:hAnsi="仿宋" w:eastAsia="仿宋" w:cs="仿宋"/>
          <w:color w:val="auto"/>
          <w:sz w:val="36"/>
          <w:szCs w:val="36"/>
          <w:highlight w:val="none"/>
        </w:rPr>
        <w:t>第六部分</w:t>
      </w:r>
      <w:bookmarkEnd w:id="215"/>
      <w:r>
        <w:rPr>
          <w:rFonts w:hint="eastAsia" w:ascii="仿宋" w:hAnsi="仿宋" w:eastAsia="仿宋" w:cs="仿宋"/>
          <w:color w:val="auto"/>
          <w:sz w:val="36"/>
          <w:szCs w:val="36"/>
          <w:highlight w:val="none"/>
        </w:rPr>
        <w:t xml:space="preserve"> </w:t>
      </w:r>
      <w:bookmarkEnd w:id="216"/>
      <w:r>
        <w:rPr>
          <w:rFonts w:hint="eastAsia" w:ascii="仿宋" w:hAnsi="仿宋" w:eastAsia="仿宋" w:cs="仿宋"/>
          <w:color w:val="auto"/>
          <w:sz w:val="36"/>
          <w:szCs w:val="36"/>
          <w:highlight w:val="none"/>
        </w:rPr>
        <w:t>响应文件格式</w:t>
      </w:r>
      <w:bookmarkEnd w:id="403"/>
      <w:bookmarkEnd w:id="404"/>
      <w:bookmarkEnd w:id="405"/>
    </w:p>
    <w:p w14:paraId="00D62256">
      <w:pPr>
        <w:rPr>
          <w:rFonts w:ascii="仿宋" w:hAnsi="仿宋" w:eastAsia="仿宋" w:cs="仿宋"/>
          <w:color w:val="auto"/>
          <w:highlight w:val="none"/>
        </w:rPr>
      </w:pPr>
    </w:p>
    <w:p w14:paraId="1171997F">
      <w:pPr>
        <w:pStyle w:val="60"/>
        <w:widowControl w:val="0"/>
        <w:overflowPunct/>
        <w:autoSpaceDE/>
        <w:autoSpaceDN/>
        <w:adjustRightInd/>
        <w:spacing w:before="240" w:beforeLines="100" w:after="240" w:afterLines="100"/>
        <w:textAlignment w:val="auto"/>
        <w:outlineLvl w:val="1"/>
        <w:rPr>
          <w:rFonts w:ascii="仿宋" w:hAnsi="仿宋" w:eastAsia="仿宋" w:cs="仿宋"/>
          <w:color w:val="auto"/>
          <w:sz w:val="44"/>
          <w:szCs w:val="44"/>
          <w:highlight w:val="none"/>
        </w:rPr>
      </w:pPr>
      <w:bookmarkStart w:id="406" w:name="_Toc12863"/>
      <w:bookmarkStart w:id="407" w:name="_Toc530551876"/>
      <w:bookmarkStart w:id="408" w:name="_Toc139797652"/>
      <w:bookmarkStart w:id="409" w:name="_Toc25477"/>
      <w:bookmarkStart w:id="410" w:name="_Toc531359038"/>
      <w:bookmarkStart w:id="411" w:name="_Toc15957"/>
      <w:bookmarkStart w:id="412" w:name="_Toc493956051"/>
      <w:r>
        <w:rPr>
          <w:rFonts w:hint="eastAsia" w:ascii="仿宋" w:hAnsi="仿宋" w:eastAsia="仿宋" w:cs="仿宋"/>
          <w:color w:val="auto"/>
          <w:sz w:val="44"/>
          <w:szCs w:val="44"/>
          <w:highlight w:val="none"/>
        </w:rPr>
        <w:t>一  资格</w:t>
      </w:r>
      <w:r>
        <w:rPr>
          <w:rFonts w:hint="eastAsia" w:ascii="仿宋" w:hAnsi="仿宋" w:eastAsia="仿宋" w:cs="仿宋"/>
          <w:bCs/>
          <w:color w:val="auto"/>
          <w:kern w:val="2"/>
          <w:sz w:val="44"/>
          <w:szCs w:val="44"/>
          <w:highlight w:val="none"/>
          <w:lang w:val="en-US"/>
        </w:rPr>
        <w:t>审查</w:t>
      </w:r>
      <w:r>
        <w:rPr>
          <w:rFonts w:hint="eastAsia" w:ascii="仿宋" w:hAnsi="仿宋" w:eastAsia="仿宋" w:cs="仿宋"/>
          <w:color w:val="auto"/>
          <w:sz w:val="44"/>
          <w:szCs w:val="44"/>
          <w:highlight w:val="none"/>
        </w:rPr>
        <w:t>文件格式</w:t>
      </w:r>
      <w:bookmarkEnd w:id="406"/>
      <w:bookmarkEnd w:id="407"/>
      <w:bookmarkEnd w:id="408"/>
      <w:bookmarkEnd w:id="409"/>
      <w:bookmarkEnd w:id="410"/>
      <w:bookmarkEnd w:id="411"/>
      <w:bookmarkEnd w:id="412"/>
    </w:p>
    <w:p w14:paraId="64898432">
      <w:pPr>
        <w:spacing w:line="360" w:lineRule="auto"/>
        <w:rPr>
          <w:rFonts w:ascii="仿宋" w:hAnsi="仿宋" w:eastAsia="仿宋" w:cs="仿宋"/>
          <w:color w:val="auto"/>
          <w:sz w:val="24"/>
          <w:highlight w:val="none"/>
        </w:rPr>
      </w:pPr>
    </w:p>
    <w:p w14:paraId="4C430909">
      <w:pPr>
        <w:pStyle w:val="6"/>
        <w:adjustRightInd/>
        <w:spacing w:before="0" w:after="0" w:line="360" w:lineRule="auto"/>
        <w:ind w:left="0" w:firstLine="0"/>
        <w:jc w:val="left"/>
        <w:rPr>
          <w:rFonts w:ascii="仿宋" w:hAnsi="仿宋" w:eastAsia="仿宋" w:cs="仿宋"/>
          <w:color w:val="auto"/>
          <w:sz w:val="24"/>
          <w:szCs w:val="24"/>
          <w:highlight w:val="none"/>
        </w:rPr>
      </w:pPr>
      <w:bookmarkStart w:id="413" w:name="_Toc531359040"/>
      <w:bookmarkStart w:id="414" w:name="_Toc139797653"/>
      <w:bookmarkStart w:id="415" w:name="_Toc96338151"/>
      <w:bookmarkStart w:id="416" w:name="_Toc10188"/>
      <w:bookmarkStart w:id="417" w:name="_Toc7161"/>
      <w:bookmarkStart w:id="418" w:name="_Toc493956058"/>
      <w:bookmarkStart w:id="419" w:name="_Toc531359054"/>
      <w:bookmarkStart w:id="420" w:name="_Toc16954"/>
      <w:bookmarkStart w:id="421" w:name="_Toc530551883"/>
      <w:r>
        <w:rPr>
          <w:rFonts w:hint="eastAsia" w:ascii="仿宋" w:hAnsi="仿宋" w:eastAsia="仿宋" w:cs="仿宋"/>
          <w:color w:val="auto"/>
          <w:sz w:val="24"/>
          <w:szCs w:val="24"/>
          <w:highlight w:val="none"/>
        </w:rPr>
        <w:t>1.1    资格审查文件封面</w:t>
      </w:r>
      <w:bookmarkEnd w:id="413"/>
      <w:r>
        <w:rPr>
          <w:rFonts w:hint="eastAsia" w:ascii="仿宋" w:hAnsi="仿宋" w:eastAsia="仿宋" w:cs="仿宋"/>
          <w:color w:val="auto"/>
          <w:sz w:val="24"/>
          <w:szCs w:val="24"/>
          <w:highlight w:val="none"/>
        </w:rPr>
        <w:t>格式</w:t>
      </w:r>
      <w:bookmarkEnd w:id="414"/>
      <w:bookmarkEnd w:id="415"/>
      <w:bookmarkEnd w:id="416"/>
      <w:bookmarkEnd w:id="417"/>
    </w:p>
    <w:p w14:paraId="5939C3BD">
      <w:pPr>
        <w:pStyle w:val="17"/>
        <w:ind w:firstLine="0"/>
        <w:rPr>
          <w:rFonts w:ascii="仿宋" w:hAnsi="仿宋" w:eastAsia="仿宋" w:cs="仿宋"/>
          <w:color w:val="auto"/>
          <w:highlight w:val="none"/>
        </w:rPr>
      </w:pPr>
    </w:p>
    <w:p w14:paraId="7896387B">
      <w:pPr>
        <w:pStyle w:val="17"/>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tbl>
      <w:tblPr>
        <w:tblStyle w:val="63"/>
        <w:tblW w:w="7054" w:type="dxa"/>
        <w:jc w:val="center"/>
        <w:tblLayout w:type="fixed"/>
        <w:tblCellMar>
          <w:top w:w="0" w:type="dxa"/>
          <w:left w:w="108" w:type="dxa"/>
          <w:bottom w:w="0" w:type="dxa"/>
          <w:right w:w="108" w:type="dxa"/>
        </w:tblCellMar>
      </w:tblPr>
      <w:tblGrid>
        <w:gridCol w:w="2518"/>
        <w:gridCol w:w="4536"/>
      </w:tblGrid>
      <w:tr w14:paraId="4316846F">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61AF95FA">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磋商响应文件名称：</w:t>
            </w:r>
          </w:p>
        </w:tc>
        <w:tc>
          <w:tcPr>
            <w:tcW w:w="4536" w:type="dxa"/>
            <w:shd w:val="clear" w:color="auto" w:fill="auto"/>
            <w:vAlign w:val="center"/>
          </w:tcPr>
          <w:p w14:paraId="76D3A01F">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资格审查文件           </w:t>
            </w:r>
          </w:p>
        </w:tc>
      </w:tr>
      <w:tr w14:paraId="6DBBEA53">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4BE06B1B">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项 目 编 号：</w:t>
            </w:r>
          </w:p>
        </w:tc>
        <w:tc>
          <w:tcPr>
            <w:tcW w:w="4536" w:type="dxa"/>
            <w:shd w:val="clear" w:color="auto" w:fill="auto"/>
            <w:vAlign w:val="center"/>
          </w:tcPr>
          <w:p w14:paraId="7EFAC329">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4B89A7EC">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1936030B">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shd w:val="clear" w:color="auto" w:fill="auto"/>
            <w:vAlign w:val="center"/>
          </w:tcPr>
          <w:p w14:paraId="166BE326">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43235744">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5A38A965">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shd w:val="clear" w:color="auto" w:fill="auto"/>
            <w:vAlign w:val="center"/>
          </w:tcPr>
          <w:p w14:paraId="6D28DF6E">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（若有）                            </w:t>
            </w:r>
          </w:p>
        </w:tc>
      </w:tr>
      <w:tr w14:paraId="79DB80B4">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355BB802">
            <w:pPr>
              <w:jc w:val="distribute"/>
              <w:rPr>
                <w:rFonts w:ascii="仿宋" w:hAnsi="仿宋" w:eastAsia="仿宋" w:cs="仿宋"/>
                <w:color w:val="auto"/>
                <w:sz w:val="24"/>
                <w:highlight w:val="none"/>
              </w:rPr>
            </w:pPr>
          </w:p>
        </w:tc>
        <w:tc>
          <w:tcPr>
            <w:tcW w:w="4536" w:type="dxa"/>
            <w:shd w:val="clear" w:color="auto" w:fill="auto"/>
            <w:vAlign w:val="center"/>
          </w:tcPr>
          <w:p w14:paraId="5BA90507">
            <w:pPr>
              <w:jc w:val="left"/>
              <w:rPr>
                <w:rFonts w:ascii="仿宋" w:hAnsi="仿宋" w:eastAsia="仿宋" w:cs="仿宋"/>
                <w:color w:val="auto"/>
                <w:sz w:val="24"/>
                <w:highlight w:val="none"/>
              </w:rPr>
            </w:pPr>
          </w:p>
        </w:tc>
      </w:tr>
      <w:tr w14:paraId="01E95941">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151D4968">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shd w:val="clear" w:color="auto" w:fill="auto"/>
            <w:vAlign w:val="center"/>
          </w:tcPr>
          <w:p w14:paraId="41896175">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3E8BCB5C">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6C1B878E">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shd w:val="clear" w:color="auto" w:fill="auto"/>
            <w:vAlign w:val="center"/>
          </w:tcPr>
          <w:p w14:paraId="39B579A8">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405621BD">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7A49DFFC">
            <w:pPr>
              <w:jc w:val="left"/>
              <w:rPr>
                <w:rFonts w:ascii="仿宋" w:hAnsi="仿宋" w:eastAsia="仿宋" w:cs="仿宋"/>
                <w:color w:val="auto"/>
                <w:sz w:val="24"/>
                <w:highlight w:val="none"/>
                <w:u w:val="single"/>
              </w:rPr>
            </w:pPr>
          </w:p>
        </w:tc>
      </w:tr>
      <w:tr w14:paraId="60122C59">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03B259E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4786085A">
      <w:pPr>
        <w:rPr>
          <w:rFonts w:ascii="仿宋" w:hAnsi="仿宋" w:eastAsia="仿宋" w:cs="仿宋"/>
          <w:color w:val="auto"/>
          <w:highlight w:val="none"/>
        </w:rPr>
      </w:pPr>
      <w:bookmarkStart w:id="422" w:name="_Toc531359041"/>
      <w:bookmarkStart w:id="423" w:name="_Toc523398524"/>
      <w:bookmarkStart w:id="424" w:name="_Toc493956052"/>
      <w:bookmarkStart w:id="425" w:name="_Toc493956053"/>
      <w:bookmarkStart w:id="426" w:name="_Toc530551878"/>
      <w:r>
        <w:rPr>
          <w:rFonts w:hint="eastAsia" w:ascii="仿宋" w:hAnsi="仿宋" w:eastAsia="仿宋" w:cs="仿宋"/>
          <w:color w:val="auto"/>
          <w:highlight w:val="none"/>
        </w:rPr>
        <w:tab/>
      </w:r>
    </w:p>
    <w:p w14:paraId="7B0BD3AF">
      <w:pPr>
        <w:rPr>
          <w:rFonts w:ascii="仿宋" w:hAnsi="仿宋" w:eastAsia="仿宋" w:cs="仿宋"/>
          <w:color w:val="auto"/>
          <w:highlight w:val="none"/>
        </w:rPr>
      </w:pPr>
    </w:p>
    <w:p w14:paraId="4DA97022">
      <w:pPr>
        <w:rPr>
          <w:rFonts w:ascii="仿宋" w:hAnsi="仿宋" w:eastAsia="仿宋" w:cs="仿宋"/>
          <w:color w:val="auto"/>
          <w:highlight w:val="none"/>
        </w:rPr>
      </w:pPr>
    </w:p>
    <w:p w14:paraId="1152B965">
      <w:pPr>
        <w:rPr>
          <w:rFonts w:ascii="仿宋" w:hAnsi="仿宋" w:eastAsia="仿宋" w:cs="仿宋"/>
          <w:color w:val="auto"/>
          <w:highlight w:val="none"/>
        </w:rPr>
      </w:pPr>
    </w:p>
    <w:p w14:paraId="41B78B4F">
      <w:pPr>
        <w:rPr>
          <w:rFonts w:ascii="仿宋" w:hAnsi="仿宋" w:eastAsia="仿宋" w:cs="仿宋"/>
          <w:color w:val="auto"/>
          <w:highlight w:val="none"/>
        </w:rPr>
      </w:pPr>
    </w:p>
    <w:p w14:paraId="0F133A2F">
      <w:pPr>
        <w:rPr>
          <w:rFonts w:ascii="仿宋" w:hAnsi="仿宋" w:eastAsia="仿宋" w:cs="仿宋"/>
          <w:color w:val="auto"/>
          <w:highlight w:val="none"/>
        </w:rPr>
      </w:pPr>
    </w:p>
    <w:p w14:paraId="1BA83C20">
      <w:pPr>
        <w:pStyle w:val="6"/>
        <w:spacing w:before="0" w:after="0"/>
        <w:ind w:firstLine="0"/>
        <w:jc w:val="left"/>
        <w:rPr>
          <w:rFonts w:ascii="仿宋" w:hAnsi="仿宋" w:eastAsia="仿宋" w:cs="仿宋"/>
          <w:color w:val="auto"/>
          <w:sz w:val="24"/>
          <w:szCs w:val="24"/>
          <w:highlight w:val="none"/>
        </w:rPr>
        <w:sectPr>
          <w:pgSz w:w="11905" w:h="16838"/>
          <w:pgMar w:top="1440" w:right="1803" w:bottom="1440" w:left="1803" w:header="851" w:footer="992" w:gutter="0"/>
          <w:pgNumType w:fmt="decimal"/>
          <w:cols w:space="0" w:num="1"/>
          <w:titlePg/>
          <w:docGrid w:linePitch="312" w:charSpace="0"/>
        </w:sectPr>
      </w:pPr>
    </w:p>
    <w:p w14:paraId="35D08727">
      <w:pPr>
        <w:pStyle w:val="6"/>
        <w:adjustRightInd/>
        <w:spacing w:before="0" w:after="0" w:line="360" w:lineRule="auto"/>
        <w:ind w:left="0" w:firstLine="0"/>
        <w:jc w:val="center"/>
        <w:rPr>
          <w:rFonts w:ascii="仿宋" w:hAnsi="仿宋" w:eastAsia="仿宋" w:cs="仿宋"/>
          <w:color w:val="auto"/>
          <w:sz w:val="24"/>
          <w:szCs w:val="24"/>
          <w:highlight w:val="none"/>
        </w:rPr>
      </w:pPr>
      <w:bookmarkStart w:id="427" w:name="_Toc17708"/>
      <w:bookmarkStart w:id="428" w:name="_Toc96338152"/>
      <w:bookmarkStart w:id="429" w:name="_Toc139797654"/>
      <w:bookmarkStart w:id="430" w:name="_Toc28002"/>
      <w:r>
        <w:rPr>
          <w:rFonts w:hint="eastAsia" w:ascii="仿宋" w:hAnsi="仿宋" w:eastAsia="仿宋" w:cs="仿宋"/>
          <w:color w:val="auto"/>
          <w:sz w:val="24"/>
          <w:szCs w:val="24"/>
          <w:highlight w:val="none"/>
        </w:rPr>
        <w:t>1.2    资格审查文件目录</w:t>
      </w:r>
      <w:bookmarkEnd w:id="422"/>
      <w:bookmarkEnd w:id="427"/>
      <w:bookmarkEnd w:id="428"/>
      <w:bookmarkEnd w:id="429"/>
      <w:bookmarkEnd w:id="430"/>
    </w:p>
    <w:p w14:paraId="67256468">
      <w:pPr>
        <w:pStyle w:val="17"/>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0F1660EB">
      <w:pPr>
        <w:pStyle w:val="17"/>
        <w:spacing w:line="360" w:lineRule="auto"/>
        <w:rPr>
          <w:rFonts w:ascii="仿宋" w:hAnsi="仿宋" w:eastAsia="仿宋" w:cs="仿宋"/>
          <w:color w:val="auto"/>
          <w:sz w:val="24"/>
          <w:szCs w:val="24"/>
          <w:highlight w:val="none"/>
        </w:rPr>
      </w:pPr>
    </w:p>
    <w:p w14:paraId="5027B621">
      <w:pPr>
        <w:pStyle w:val="17"/>
        <w:spacing w:line="360" w:lineRule="auto"/>
        <w:rPr>
          <w:rFonts w:ascii="仿宋" w:hAnsi="仿宋" w:eastAsia="仿宋" w:cs="仿宋"/>
          <w:color w:val="auto"/>
          <w:sz w:val="24"/>
          <w:szCs w:val="24"/>
          <w:highlight w:val="none"/>
        </w:rPr>
      </w:pPr>
    </w:p>
    <w:bookmarkEnd w:id="423"/>
    <w:bookmarkEnd w:id="424"/>
    <w:p w14:paraId="6BAC86ED">
      <w:pPr>
        <w:pStyle w:val="6"/>
        <w:adjustRightInd/>
        <w:spacing w:before="0" w:after="0" w:line="360" w:lineRule="auto"/>
        <w:ind w:left="0" w:firstLine="0"/>
        <w:jc w:val="center"/>
        <w:rPr>
          <w:rFonts w:ascii="仿宋" w:hAnsi="仿宋" w:eastAsia="仿宋" w:cs="仿宋"/>
          <w:color w:val="auto"/>
          <w:sz w:val="24"/>
          <w:szCs w:val="24"/>
          <w:highlight w:val="none"/>
        </w:rPr>
      </w:pPr>
      <w:bookmarkStart w:id="431" w:name="_Toc531359042"/>
      <w:bookmarkStart w:id="432" w:name="_Toc139797655"/>
      <w:bookmarkStart w:id="433" w:name="_Toc41644292"/>
      <w:bookmarkStart w:id="434" w:name="_Toc30890"/>
      <w:bookmarkStart w:id="435" w:name="_Toc96338153"/>
      <w:bookmarkStart w:id="436" w:name="_Toc7050"/>
      <w:r>
        <w:rPr>
          <w:rFonts w:hint="eastAsia" w:ascii="仿宋" w:hAnsi="仿宋" w:eastAsia="仿宋" w:cs="仿宋"/>
          <w:color w:val="auto"/>
          <w:sz w:val="24"/>
          <w:szCs w:val="24"/>
          <w:highlight w:val="none"/>
        </w:rPr>
        <w:t>1.3    有效营业执照电子文档</w:t>
      </w:r>
      <w:bookmarkEnd w:id="431"/>
      <w:bookmarkEnd w:id="432"/>
      <w:bookmarkEnd w:id="433"/>
      <w:bookmarkEnd w:id="434"/>
      <w:bookmarkEnd w:id="435"/>
      <w:bookmarkEnd w:id="436"/>
    </w:p>
    <w:p w14:paraId="3652F44C">
      <w:pPr>
        <w:pStyle w:val="17"/>
        <w:ind w:firstLine="0"/>
        <w:rPr>
          <w:rFonts w:ascii="仿宋" w:hAnsi="仿宋" w:eastAsia="仿宋" w:cs="仿宋"/>
          <w:color w:val="auto"/>
          <w:highlight w:val="none"/>
        </w:rPr>
      </w:pPr>
    </w:p>
    <w:p w14:paraId="3176A816">
      <w:pPr>
        <w:spacing w:line="360" w:lineRule="auto"/>
        <w:ind w:right="-187" w:rightChars="-89"/>
        <w:rPr>
          <w:rFonts w:ascii="仿宋" w:hAnsi="仿宋" w:eastAsia="仿宋" w:cs="仿宋"/>
          <w:color w:val="auto"/>
          <w:sz w:val="24"/>
          <w:highlight w:val="none"/>
        </w:rPr>
      </w:pPr>
      <w:r>
        <w:rPr>
          <w:rFonts w:hint="eastAsia" w:ascii="仿宋" w:hAnsi="仿宋" w:eastAsia="仿宋" w:cs="仿宋"/>
          <w:color w:val="auto"/>
          <w:sz w:val="24"/>
          <w:highlight w:val="none"/>
        </w:rPr>
        <w:t>内容要求：</w:t>
      </w:r>
    </w:p>
    <w:p w14:paraId="253277C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提供有效的营业执照电子文档并加盖公司公章；事业单位的，则提供有效的《事业单位法人证书》副本电子文档并加盖单位公章；自然人的，则提供有效的身份证电子文档。</w:t>
      </w:r>
    </w:p>
    <w:p w14:paraId="2E600F87">
      <w:pPr>
        <w:spacing w:line="360" w:lineRule="auto"/>
        <w:rPr>
          <w:rFonts w:ascii="仿宋" w:hAnsi="仿宋" w:eastAsia="仿宋" w:cs="仿宋"/>
          <w:color w:val="auto"/>
          <w:sz w:val="24"/>
          <w:highlight w:val="none"/>
        </w:rPr>
      </w:pPr>
    </w:p>
    <w:p w14:paraId="098E3398">
      <w:pPr>
        <w:spacing w:line="360" w:lineRule="auto"/>
        <w:rPr>
          <w:rFonts w:ascii="仿宋" w:hAnsi="仿宋" w:eastAsia="仿宋" w:cs="仿宋"/>
          <w:color w:val="auto"/>
          <w:sz w:val="24"/>
          <w:highlight w:val="none"/>
        </w:rPr>
      </w:pPr>
    </w:p>
    <w:bookmarkEnd w:id="425"/>
    <w:bookmarkEnd w:id="426"/>
    <w:p w14:paraId="75262BE0">
      <w:pPr>
        <w:pStyle w:val="6"/>
        <w:adjustRightInd/>
        <w:spacing w:before="0" w:after="0" w:line="360" w:lineRule="auto"/>
        <w:ind w:left="0" w:firstLine="0"/>
        <w:jc w:val="center"/>
        <w:rPr>
          <w:rFonts w:ascii="仿宋" w:hAnsi="仿宋" w:eastAsia="仿宋" w:cs="仿宋"/>
          <w:color w:val="auto"/>
          <w:sz w:val="24"/>
          <w:szCs w:val="24"/>
          <w:highlight w:val="none"/>
        </w:rPr>
      </w:pPr>
      <w:bookmarkStart w:id="437" w:name="_Toc27201"/>
      <w:bookmarkStart w:id="438" w:name="_Toc531359043"/>
      <w:bookmarkStart w:id="439" w:name="_Toc96338154"/>
      <w:bookmarkStart w:id="440" w:name="_Toc139797656"/>
      <w:bookmarkStart w:id="441" w:name="_Toc41644293"/>
      <w:bookmarkStart w:id="442" w:name="_Toc12765"/>
      <w:r>
        <w:rPr>
          <w:rFonts w:hint="eastAsia" w:ascii="仿宋" w:hAnsi="仿宋" w:eastAsia="仿宋" w:cs="仿宋"/>
          <w:color w:val="auto"/>
          <w:sz w:val="24"/>
          <w:szCs w:val="24"/>
          <w:highlight w:val="none"/>
        </w:rPr>
        <w:t>1.4    负责人身份证电子文档</w:t>
      </w:r>
      <w:bookmarkEnd w:id="437"/>
      <w:bookmarkEnd w:id="438"/>
      <w:bookmarkEnd w:id="439"/>
      <w:bookmarkEnd w:id="440"/>
      <w:bookmarkEnd w:id="441"/>
      <w:bookmarkEnd w:id="442"/>
    </w:p>
    <w:p w14:paraId="1D6CC69D">
      <w:pPr>
        <w:pStyle w:val="17"/>
        <w:ind w:firstLine="0"/>
        <w:rPr>
          <w:rFonts w:ascii="仿宋" w:hAnsi="仿宋" w:eastAsia="仿宋" w:cs="仿宋"/>
          <w:color w:val="auto"/>
          <w:highlight w:val="none"/>
        </w:rPr>
      </w:pPr>
    </w:p>
    <w:p w14:paraId="0B9CEB8C">
      <w:pPr>
        <w:pStyle w:val="17"/>
        <w:ind w:firstLine="0"/>
        <w:rPr>
          <w:rFonts w:ascii="仿宋" w:hAnsi="仿宋" w:eastAsia="仿宋" w:cs="仿宋"/>
          <w:color w:val="auto"/>
          <w:highlight w:val="none"/>
        </w:rPr>
      </w:pPr>
    </w:p>
    <w:p w14:paraId="4EDA729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内容要求：</w:t>
      </w:r>
    </w:p>
    <w:p w14:paraId="470C22F0">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1、负责人身份证正、反面电子文档；</w:t>
      </w:r>
    </w:p>
    <w:p w14:paraId="1AB7352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2、若有委托代理人的，则还应当提供授权委托书及委托代理人的身份证电子文档。</w:t>
      </w:r>
    </w:p>
    <w:p w14:paraId="09A6DBD5">
      <w:pPr>
        <w:spacing w:line="360" w:lineRule="auto"/>
        <w:ind w:firstLine="480" w:firstLineChars="200"/>
        <w:rPr>
          <w:rFonts w:ascii="仿宋" w:hAnsi="仿宋" w:eastAsia="仿宋" w:cs="仿宋"/>
          <w:color w:val="auto"/>
          <w:sz w:val="24"/>
          <w:highlight w:val="none"/>
        </w:rPr>
      </w:pPr>
    </w:p>
    <w:p w14:paraId="301C8529">
      <w:pPr>
        <w:pStyle w:val="17"/>
        <w:rPr>
          <w:rFonts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360CFD44">
      <w:pPr>
        <w:pStyle w:val="6"/>
        <w:adjustRightInd/>
        <w:spacing w:before="0" w:after="0" w:line="360" w:lineRule="auto"/>
        <w:ind w:left="0" w:firstLine="0"/>
        <w:jc w:val="center"/>
        <w:rPr>
          <w:rFonts w:ascii="仿宋" w:hAnsi="仿宋" w:eastAsia="仿宋" w:cs="仿宋"/>
          <w:color w:val="auto"/>
          <w:sz w:val="24"/>
          <w:szCs w:val="24"/>
          <w:highlight w:val="none"/>
        </w:rPr>
      </w:pPr>
      <w:bookmarkStart w:id="443" w:name="_Toc9333"/>
      <w:bookmarkStart w:id="444" w:name="_Toc96338155"/>
      <w:bookmarkStart w:id="445" w:name="_Toc531359044"/>
      <w:bookmarkStart w:id="446" w:name="_Toc13486"/>
      <w:bookmarkStart w:id="447" w:name="_Toc139797657"/>
      <w:r>
        <w:rPr>
          <w:rFonts w:hint="eastAsia" w:ascii="仿宋" w:hAnsi="仿宋" w:eastAsia="仿宋" w:cs="仿宋"/>
          <w:color w:val="auto"/>
          <w:sz w:val="24"/>
          <w:szCs w:val="24"/>
          <w:highlight w:val="none"/>
        </w:rPr>
        <w:t>1.5    授权委托书</w:t>
      </w:r>
      <w:bookmarkEnd w:id="443"/>
      <w:bookmarkEnd w:id="444"/>
      <w:bookmarkEnd w:id="445"/>
      <w:bookmarkEnd w:id="446"/>
      <w:bookmarkEnd w:id="447"/>
    </w:p>
    <w:p w14:paraId="1FEBC60A">
      <w:pPr>
        <w:pStyle w:val="17"/>
        <w:ind w:firstLine="0"/>
        <w:rPr>
          <w:rFonts w:ascii="仿宋" w:hAnsi="仿宋" w:eastAsia="仿宋" w:cs="仿宋"/>
          <w:color w:val="auto"/>
          <w:highlight w:val="none"/>
        </w:rPr>
      </w:pPr>
    </w:p>
    <w:p w14:paraId="005DB772">
      <w:pPr>
        <w:pStyle w:val="158"/>
        <w:spacing w:line="360" w:lineRule="auto"/>
        <w:rPr>
          <w:rFonts w:ascii="仿宋" w:hAnsi="仿宋" w:eastAsia="仿宋" w:cs="仿宋"/>
          <w:b/>
          <w:color w:val="auto"/>
          <w:sz w:val="24"/>
          <w:szCs w:val="21"/>
          <w:highlight w:val="none"/>
        </w:rPr>
      </w:pPr>
      <w:r>
        <w:rPr>
          <w:rFonts w:hint="eastAsia" w:ascii="仿宋" w:hAnsi="仿宋" w:eastAsia="仿宋" w:cs="仿宋"/>
          <w:i/>
          <w:color w:val="auto"/>
          <w:sz w:val="24"/>
          <w:highlight w:val="none"/>
          <w:u w:val="single"/>
        </w:rPr>
        <w:t>（采购人名称）</w:t>
      </w:r>
      <w:r>
        <w:rPr>
          <w:rFonts w:hint="eastAsia" w:ascii="仿宋" w:hAnsi="仿宋" w:eastAsia="仿宋" w:cs="仿宋"/>
          <w:color w:val="auto"/>
          <w:sz w:val="24"/>
          <w:szCs w:val="21"/>
          <w:highlight w:val="none"/>
        </w:rPr>
        <w:t>：</w:t>
      </w:r>
    </w:p>
    <w:p w14:paraId="076133B5">
      <w:pPr>
        <w:pStyle w:val="158"/>
        <w:autoSpaceDE w:val="0"/>
        <w:autoSpaceDN w:val="0"/>
        <w:spacing w:line="360" w:lineRule="auto"/>
        <w:ind w:firstLine="480" w:firstLineChars="200"/>
        <w:textAlignment w:val="bottom"/>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我</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法定代表人（负责人）</w:t>
      </w:r>
      <w:r>
        <w:rPr>
          <w:rFonts w:hint="eastAsia" w:ascii="仿宋" w:hAnsi="仿宋" w:eastAsia="仿宋" w:cs="仿宋"/>
          <w:color w:val="auto"/>
          <w:sz w:val="24"/>
          <w:szCs w:val="20"/>
          <w:highlight w:val="none"/>
        </w:rPr>
        <w:t>系</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（供应商全称） </w:t>
      </w:r>
      <w:r>
        <w:rPr>
          <w:rFonts w:hint="eastAsia" w:ascii="仿宋" w:hAnsi="仿宋" w:eastAsia="仿宋" w:cs="仿宋"/>
          <w:color w:val="auto"/>
          <w:sz w:val="24"/>
          <w:szCs w:val="20"/>
          <w:highlight w:val="none"/>
        </w:rPr>
        <w:t>的法定代表人（或负责人），现授权委托本单位在职职工</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 （姓名） </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以我方的名义参加就贵方组织的</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 （项目名称）（项目编号）（标项）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0"/>
          <w:highlight w:val="none"/>
        </w:rPr>
        <w:t>的磋商活动，并代表我方全权办理针对上述项目的磋商、开标、评审、签约等具体事务和签署相关文件。</w:t>
      </w:r>
    </w:p>
    <w:p w14:paraId="3B9994FF">
      <w:pPr>
        <w:pStyle w:val="158"/>
        <w:autoSpaceDE w:val="0"/>
        <w:autoSpaceDN w:val="0"/>
        <w:spacing w:line="360" w:lineRule="auto"/>
        <w:ind w:firstLine="480" w:firstLineChars="200"/>
        <w:textAlignment w:val="bottom"/>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我方对委托代理人的签字或盖章事项负全部责任。</w:t>
      </w:r>
    </w:p>
    <w:p w14:paraId="7EB5F98D">
      <w:pPr>
        <w:pStyle w:val="158"/>
        <w:spacing w:line="360" w:lineRule="auto"/>
        <w:ind w:firstLine="48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65BCF07F">
      <w:pPr>
        <w:pStyle w:val="158"/>
        <w:spacing w:line="360" w:lineRule="auto"/>
        <w:ind w:firstLine="48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委托代理人无转委托权，特此声明。</w:t>
      </w:r>
    </w:p>
    <w:p w14:paraId="5C1ECA55">
      <w:pPr>
        <w:pStyle w:val="158"/>
        <w:spacing w:line="360" w:lineRule="auto"/>
        <w:ind w:firstLine="480"/>
        <w:rPr>
          <w:rFonts w:ascii="仿宋" w:hAnsi="仿宋" w:eastAsia="仿宋" w:cs="仿宋"/>
          <w:color w:val="auto"/>
          <w:sz w:val="24"/>
          <w:szCs w:val="21"/>
          <w:highlight w:val="none"/>
        </w:rPr>
      </w:pPr>
    </w:p>
    <w:p w14:paraId="5802408B">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负责人签字或盖章：</w:t>
      </w:r>
      <w:r>
        <w:rPr>
          <w:rFonts w:hint="eastAsia" w:ascii="仿宋" w:hAnsi="仿宋" w:eastAsia="仿宋" w:cs="仿宋"/>
          <w:color w:val="auto"/>
          <w:sz w:val="24"/>
          <w:szCs w:val="21"/>
          <w:highlight w:val="none"/>
          <w:u w:val="single"/>
        </w:rPr>
        <w:t xml:space="preserve">                </w:t>
      </w:r>
    </w:p>
    <w:p w14:paraId="30F10418">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15B393A1">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3A648AD2">
      <w:pPr>
        <w:pStyle w:val="158"/>
        <w:spacing w:line="440" w:lineRule="exac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60288;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Qwsg2AAAAAkBAAAPAAAAAAAAAAEAIAAAACIAAABkcnMvZG93bnJl&#10;di54bWxQSwECFAAUAAAACACHTuJAg6Fsy/0BAADtAwAADgAAAAAAAAABACAAAAAnAQAAZHJzL2Uy&#10;b0RvYy54bWxQSwUGAAAAAAYABgBZAQAAlgUAAAAA&#10;">
                <v:fill on="f" focussize="0,0"/>
                <v:stroke color="#000000" joinstyle="round" dashstyle="longDash"/>
                <v:imagedata o:title=""/>
                <o:lock v:ext="edit" aspectratio="f"/>
              </v:shape>
            </w:pict>
          </mc:Fallback>
        </mc:AlternateContent>
      </w:r>
    </w:p>
    <w:p w14:paraId="7DEA1E53">
      <w:pPr>
        <w:pStyle w:val="158"/>
        <w:spacing w:line="440" w:lineRule="exac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附：1、委托代理人工作单位：               职务： </w:t>
      </w:r>
    </w:p>
    <w:p w14:paraId="1BDC53C8">
      <w:pPr>
        <w:pStyle w:val="158"/>
        <w:spacing w:line="440" w:lineRule="exact"/>
        <w:ind w:firstLine="48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身份证号码：                       性别： </w:t>
      </w:r>
    </w:p>
    <w:p w14:paraId="40F89DB2">
      <w:pPr>
        <w:pStyle w:val="158"/>
        <w:spacing w:line="440" w:lineRule="exact"/>
        <w:ind w:firstLine="480"/>
        <w:rPr>
          <w:rFonts w:ascii="仿宋" w:hAnsi="仿宋" w:eastAsia="仿宋" w:cs="仿宋"/>
          <w:color w:val="auto"/>
          <w:spacing w:val="20"/>
          <w:sz w:val="24"/>
          <w:highlight w:val="none"/>
          <w:u w:val="single"/>
        </w:rPr>
      </w:pPr>
      <w:r>
        <w:rPr>
          <w:rFonts w:hint="eastAsia" w:ascii="仿宋" w:hAnsi="仿宋" w:eastAsia="仿宋" w:cs="仿宋"/>
          <w:color w:val="auto"/>
          <w:sz w:val="24"/>
          <w:szCs w:val="21"/>
          <w:highlight w:val="none"/>
        </w:rPr>
        <w:t>2、</w:t>
      </w:r>
      <w:r>
        <w:rPr>
          <w:rFonts w:hint="eastAsia" w:ascii="仿宋" w:hAnsi="仿宋" w:eastAsia="仿宋" w:cs="仿宋"/>
          <w:bCs/>
          <w:color w:val="auto"/>
          <w:sz w:val="24"/>
          <w:highlight w:val="none"/>
        </w:rPr>
        <w:t>委托代理人身份证正、反面电子文档：</w:t>
      </w:r>
    </w:p>
    <w:tbl>
      <w:tblPr>
        <w:tblStyle w:val="63"/>
        <w:tblW w:w="9242" w:type="dxa"/>
        <w:tblInd w:w="0" w:type="dxa"/>
        <w:tblLayout w:type="fixed"/>
        <w:tblCellMar>
          <w:top w:w="0" w:type="dxa"/>
          <w:left w:w="108" w:type="dxa"/>
          <w:bottom w:w="0" w:type="dxa"/>
          <w:right w:w="108" w:type="dxa"/>
        </w:tblCellMar>
      </w:tblPr>
      <w:tblGrid>
        <w:gridCol w:w="4621"/>
        <w:gridCol w:w="4621"/>
      </w:tblGrid>
      <w:tr w14:paraId="33F553BB">
        <w:tblPrEx>
          <w:tblCellMar>
            <w:top w:w="0" w:type="dxa"/>
            <w:left w:w="108" w:type="dxa"/>
            <w:bottom w:w="0" w:type="dxa"/>
            <w:right w:w="108" w:type="dxa"/>
          </w:tblCellMar>
        </w:tblPrEx>
        <w:trPr>
          <w:trHeight w:val="2733" w:hRule="atLeast"/>
        </w:trPr>
        <w:tc>
          <w:tcPr>
            <w:tcW w:w="4621" w:type="dxa"/>
            <w:shd w:val="clear" w:color="auto" w:fill="auto"/>
          </w:tcPr>
          <w:p w14:paraId="1E4FE2AC">
            <w:pPr>
              <w:pStyle w:val="158"/>
              <w:spacing w:line="440" w:lineRule="exact"/>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14:paraId="4A1EBF6B">
            <w:pPr>
              <w:pStyle w:val="158"/>
              <w:spacing w:line="440" w:lineRule="exact"/>
              <w:rPr>
                <w:rFonts w:ascii="仿宋" w:hAnsi="仿宋" w:eastAsia="仿宋" w:cs="仿宋"/>
                <w:color w:val="auto"/>
                <w:spacing w:val="20"/>
                <w:sz w:val="24"/>
                <w:highlight w:val="none"/>
              </w:rPr>
            </w:pPr>
          </w:p>
        </w:tc>
        <w:tc>
          <w:tcPr>
            <w:tcW w:w="4621" w:type="dxa"/>
            <w:shd w:val="clear" w:color="auto" w:fill="auto"/>
          </w:tcPr>
          <w:p w14:paraId="41FE9D6C">
            <w:pPr>
              <w:pStyle w:val="158"/>
              <w:spacing w:line="440" w:lineRule="exact"/>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14:paraId="11F30C1D">
            <w:pPr>
              <w:pStyle w:val="158"/>
              <w:spacing w:line="440" w:lineRule="exact"/>
              <w:rPr>
                <w:rFonts w:ascii="仿宋" w:hAnsi="仿宋" w:eastAsia="仿宋" w:cs="仿宋"/>
                <w:color w:val="auto"/>
                <w:spacing w:val="20"/>
                <w:sz w:val="24"/>
                <w:highlight w:val="none"/>
                <w:u w:val="single"/>
              </w:rPr>
            </w:pPr>
          </w:p>
        </w:tc>
      </w:tr>
    </w:tbl>
    <w:p w14:paraId="75FC3518">
      <w:pPr>
        <w:pStyle w:val="158"/>
        <w:ind w:left="587" w:leftChars="50" w:hanging="482" w:hangingChars="200"/>
        <w:rPr>
          <w:rFonts w:ascii="仿宋" w:hAnsi="仿宋" w:eastAsia="仿宋" w:cs="仿宋"/>
          <w:color w:val="auto"/>
          <w:sz w:val="24"/>
          <w:szCs w:val="21"/>
          <w:highlight w:val="none"/>
        </w:rPr>
      </w:pPr>
      <w:r>
        <w:rPr>
          <w:rFonts w:hint="eastAsia" w:ascii="仿宋" w:hAnsi="仿宋" w:eastAsia="仿宋" w:cs="仿宋"/>
          <w:b/>
          <w:color w:val="auto"/>
          <w:sz w:val="24"/>
          <w:szCs w:val="21"/>
          <w:highlight w:val="none"/>
        </w:rPr>
        <w:t>注：</w:t>
      </w:r>
      <w:r>
        <w:rPr>
          <w:rFonts w:hint="eastAsia" w:ascii="仿宋" w:hAnsi="仿宋" w:eastAsia="仿宋" w:cs="仿宋"/>
          <w:color w:val="auto"/>
          <w:sz w:val="24"/>
          <w:szCs w:val="21"/>
          <w:highlight w:val="none"/>
        </w:rPr>
        <w:t>1. 供应商为法人企业的，其负责人为其法定代表人；供应商为其他组织的，其负责人为法律、行政法规规定代表单位行使职权的主要负责人；供应商为自然人的，其负责人为自然人本人。</w:t>
      </w:r>
    </w:p>
    <w:p w14:paraId="37E2BEBE">
      <w:pPr>
        <w:pStyle w:val="158"/>
        <w:ind w:left="585" w:leftChars="50" w:hanging="480" w:hangingChars="200"/>
        <w:rPr>
          <w:rFonts w:ascii="仿宋" w:hAnsi="仿宋" w:eastAsia="仿宋" w:cs="仿宋"/>
          <w:color w:val="auto"/>
          <w:highlight w:val="none"/>
        </w:rPr>
      </w:pPr>
      <w:r>
        <w:rPr>
          <w:rFonts w:hint="eastAsia" w:ascii="仿宋" w:hAnsi="仿宋" w:eastAsia="仿宋" w:cs="仿宋"/>
          <w:color w:val="auto"/>
          <w:sz w:val="24"/>
          <w:szCs w:val="21"/>
          <w:highlight w:val="none"/>
        </w:rPr>
        <w:t xml:space="preserve">    2. 若是负责人参会的，不需要提供此授权委托书。</w:t>
      </w:r>
    </w:p>
    <w:p w14:paraId="3EE9B999">
      <w:pPr>
        <w:rPr>
          <w:rFonts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7AFE50E0">
      <w:pPr>
        <w:pStyle w:val="6"/>
        <w:adjustRightInd/>
        <w:spacing w:before="0" w:after="0" w:line="360" w:lineRule="auto"/>
        <w:ind w:left="0" w:firstLine="0"/>
        <w:jc w:val="center"/>
        <w:rPr>
          <w:rFonts w:ascii="仿宋" w:hAnsi="仿宋" w:eastAsia="仿宋" w:cs="仿宋"/>
          <w:color w:val="auto"/>
          <w:sz w:val="24"/>
          <w:szCs w:val="24"/>
          <w:highlight w:val="none"/>
        </w:rPr>
      </w:pPr>
      <w:bookmarkStart w:id="448" w:name="_Toc530551879"/>
      <w:bookmarkStart w:id="449" w:name="_Toc493956054"/>
      <w:bookmarkStart w:id="450" w:name="_Toc531359045"/>
      <w:bookmarkStart w:id="451" w:name="_Toc28516"/>
      <w:bookmarkStart w:id="452" w:name="_Toc96338156"/>
      <w:bookmarkStart w:id="453" w:name="_Toc60739036"/>
      <w:bookmarkStart w:id="454" w:name="_Toc139797658"/>
      <w:bookmarkStart w:id="455" w:name="_Toc8778"/>
      <w:bookmarkStart w:id="456" w:name="_Toc530551880"/>
      <w:bookmarkStart w:id="457" w:name="_Toc493956055"/>
      <w:r>
        <w:rPr>
          <w:rFonts w:hint="eastAsia" w:ascii="仿宋" w:hAnsi="仿宋" w:eastAsia="仿宋" w:cs="仿宋"/>
          <w:color w:val="auto"/>
          <w:sz w:val="24"/>
          <w:szCs w:val="24"/>
          <w:highlight w:val="none"/>
        </w:rPr>
        <w:t xml:space="preserve">1.6    </w:t>
      </w:r>
      <w:bookmarkEnd w:id="448"/>
      <w:bookmarkEnd w:id="449"/>
      <w:bookmarkEnd w:id="450"/>
      <w:r>
        <w:rPr>
          <w:rFonts w:hint="eastAsia" w:ascii="仿宋" w:hAnsi="仿宋" w:eastAsia="仿宋" w:cs="仿宋"/>
          <w:color w:val="auto"/>
          <w:sz w:val="24"/>
          <w:szCs w:val="24"/>
          <w:highlight w:val="none"/>
        </w:rPr>
        <w:t>具有良好的财务会计制度、依法缴纳税收和社会保障资金的承诺函</w:t>
      </w:r>
      <w:bookmarkEnd w:id="451"/>
      <w:bookmarkEnd w:id="452"/>
      <w:bookmarkEnd w:id="453"/>
      <w:bookmarkEnd w:id="454"/>
      <w:bookmarkEnd w:id="455"/>
    </w:p>
    <w:p w14:paraId="593D8251">
      <w:pPr>
        <w:pStyle w:val="968"/>
        <w:spacing w:line="360" w:lineRule="auto"/>
        <w:rPr>
          <w:rFonts w:ascii="仿宋" w:hAnsi="仿宋" w:eastAsia="仿宋" w:cs="仿宋"/>
          <w:color w:val="auto"/>
          <w:sz w:val="24"/>
          <w:highlight w:val="none"/>
          <w:u w:val="single"/>
        </w:rPr>
      </w:pPr>
    </w:p>
    <w:p w14:paraId="7FA7930F">
      <w:pPr>
        <w:pStyle w:val="968"/>
        <w:spacing w:line="360" w:lineRule="auto"/>
        <w:rPr>
          <w:rFonts w:ascii="仿宋" w:hAnsi="仿宋" w:eastAsia="仿宋" w:cs="仿宋"/>
          <w:color w:val="auto"/>
          <w:spacing w:val="6"/>
          <w:sz w:val="24"/>
          <w:highlight w:val="none"/>
        </w:rPr>
      </w:pPr>
      <w:r>
        <w:rPr>
          <w:rFonts w:hint="eastAsia" w:ascii="仿宋" w:hAnsi="仿宋" w:eastAsia="仿宋" w:cs="仿宋"/>
          <w:i/>
          <w:color w:val="auto"/>
          <w:spacing w:val="6"/>
          <w:sz w:val="24"/>
          <w:szCs w:val="20"/>
          <w:highlight w:val="none"/>
          <w:u w:val="single"/>
        </w:rPr>
        <w:t>（采购人名称）</w:t>
      </w:r>
      <w:r>
        <w:rPr>
          <w:rFonts w:hint="eastAsia" w:ascii="仿宋" w:hAnsi="仿宋" w:eastAsia="仿宋" w:cs="仿宋"/>
          <w:color w:val="auto"/>
          <w:spacing w:val="6"/>
          <w:sz w:val="24"/>
          <w:highlight w:val="none"/>
        </w:rPr>
        <w:t>：</w:t>
      </w:r>
    </w:p>
    <w:p w14:paraId="7560D16A">
      <w:pPr>
        <w:pStyle w:val="17"/>
        <w:spacing w:line="360" w:lineRule="auto"/>
        <w:ind w:firstLine="504" w:firstLineChars="200"/>
        <w:jc w:val="left"/>
        <w:rPr>
          <w:rFonts w:ascii="仿宋" w:hAnsi="仿宋" w:eastAsia="仿宋" w:cs="仿宋"/>
          <w:color w:val="auto"/>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磋商活动，我方郑重承诺，我方具有良好的财务会计制度、依法缴纳税收和社会保障资金，不偷逃税款和逃避缴纳社会保障资金。如有虚假，采购人可取消我方任何资格（投标/成交/签订合同），我方对此无任何异议。</w:t>
      </w:r>
    </w:p>
    <w:p w14:paraId="2C2A5393">
      <w:pPr>
        <w:pStyle w:val="968"/>
        <w:spacing w:line="360" w:lineRule="auto"/>
        <w:ind w:firstLine="504" w:firstLineChars="200"/>
        <w:rPr>
          <w:rFonts w:ascii="仿宋" w:hAnsi="仿宋" w:eastAsia="仿宋" w:cs="仿宋"/>
          <w:color w:val="auto"/>
          <w:spacing w:val="6"/>
          <w:sz w:val="24"/>
          <w:highlight w:val="none"/>
        </w:rPr>
      </w:pPr>
    </w:p>
    <w:p w14:paraId="0839BB9E">
      <w:pPr>
        <w:pStyle w:val="968"/>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14:paraId="40B83437">
      <w:pPr>
        <w:pStyle w:val="968"/>
        <w:spacing w:line="360" w:lineRule="auto"/>
        <w:ind w:firstLine="504" w:firstLineChars="200"/>
        <w:rPr>
          <w:rFonts w:ascii="仿宋" w:hAnsi="仿宋" w:eastAsia="仿宋" w:cs="仿宋"/>
          <w:color w:val="auto"/>
          <w:spacing w:val="6"/>
          <w:sz w:val="24"/>
          <w:highlight w:val="none"/>
        </w:rPr>
      </w:pPr>
    </w:p>
    <w:p w14:paraId="5BF08B92">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A6BB312">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37BCB55C">
      <w:pPr>
        <w:pStyle w:val="969"/>
        <w:spacing w:line="360" w:lineRule="auto"/>
        <w:ind w:firstLine="480" w:firstLineChars="200"/>
        <w:rPr>
          <w:rFonts w:ascii="仿宋" w:hAnsi="仿宋" w:eastAsia="仿宋" w:cs="仿宋"/>
          <w:color w:val="auto"/>
          <w:sz w:val="24"/>
          <w:szCs w:val="24"/>
          <w:highlight w:val="none"/>
        </w:rPr>
      </w:pPr>
    </w:p>
    <w:bookmarkEnd w:id="456"/>
    <w:bookmarkEnd w:id="457"/>
    <w:p w14:paraId="3B5B8A01">
      <w:pPr>
        <w:pStyle w:val="6"/>
        <w:adjustRightInd/>
        <w:spacing w:before="0" w:after="0" w:line="360" w:lineRule="auto"/>
        <w:ind w:left="0" w:firstLine="0"/>
        <w:jc w:val="center"/>
        <w:rPr>
          <w:rFonts w:ascii="仿宋" w:hAnsi="仿宋" w:eastAsia="仿宋" w:cs="仿宋"/>
          <w:color w:val="auto"/>
          <w:sz w:val="24"/>
          <w:szCs w:val="24"/>
          <w:highlight w:val="none"/>
        </w:rPr>
      </w:pPr>
      <w:bookmarkStart w:id="458" w:name="_Toc28325"/>
      <w:bookmarkStart w:id="459" w:name="_Toc41644297"/>
      <w:bookmarkStart w:id="460" w:name="_Toc96338157"/>
      <w:bookmarkStart w:id="461" w:name="_Toc139797659"/>
      <w:bookmarkStart w:id="462" w:name="_Toc34895593"/>
      <w:bookmarkStart w:id="463" w:name="_Toc24827"/>
      <w:bookmarkStart w:id="464" w:name="_Toc531359049"/>
      <w:bookmarkStart w:id="465" w:name="_Toc493956056"/>
      <w:bookmarkStart w:id="466" w:name="_Toc530551882"/>
      <w:r>
        <w:rPr>
          <w:rFonts w:hint="eastAsia" w:ascii="仿宋" w:hAnsi="仿宋" w:eastAsia="仿宋" w:cs="仿宋"/>
          <w:color w:val="auto"/>
          <w:sz w:val="24"/>
          <w:szCs w:val="24"/>
          <w:highlight w:val="none"/>
        </w:rPr>
        <w:t>1.7    具有履行合同所必需的设备和专业技术能力承诺函</w:t>
      </w:r>
      <w:bookmarkEnd w:id="458"/>
      <w:bookmarkEnd w:id="459"/>
      <w:bookmarkEnd w:id="460"/>
      <w:bookmarkEnd w:id="461"/>
      <w:bookmarkEnd w:id="462"/>
      <w:bookmarkEnd w:id="463"/>
    </w:p>
    <w:p w14:paraId="37651E3C">
      <w:pPr>
        <w:pStyle w:val="17"/>
        <w:rPr>
          <w:rFonts w:ascii="仿宋" w:hAnsi="仿宋" w:eastAsia="仿宋" w:cs="仿宋"/>
          <w:color w:val="auto"/>
          <w:highlight w:val="none"/>
        </w:rPr>
      </w:pPr>
    </w:p>
    <w:p w14:paraId="601606B9">
      <w:pPr>
        <w:snapToGrid w:val="0"/>
        <w:spacing w:line="360" w:lineRule="auto"/>
        <w:rPr>
          <w:rFonts w:ascii="仿宋" w:hAnsi="仿宋" w:eastAsia="仿宋" w:cs="仿宋"/>
          <w:color w:val="auto"/>
          <w:highlight w:val="none"/>
        </w:rPr>
      </w:pPr>
    </w:p>
    <w:p w14:paraId="24444B91">
      <w:pPr>
        <w:pStyle w:val="968"/>
        <w:spacing w:line="360" w:lineRule="auto"/>
        <w:rPr>
          <w:rFonts w:ascii="仿宋" w:hAnsi="仿宋" w:eastAsia="仿宋" w:cs="仿宋"/>
          <w:color w:val="auto"/>
          <w:spacing w:val="6"/>
          <w:sz w:val="24"/>
          <w:highlight w:val="none"/>
        </w:rPr>
      </w:pPr>
      <w:r>
        <w:rPr>
          <w:rFonts w:hint="eastAsia" w:ascii="仿宋" w:hAnsi="仿宋" w:eastAsia="仿宋" w:cs="仿宋"/>
          <w:i/>
          <w:color w:val="auto"/>
          <w:spacing w:val="6"/>
          <w:sz w:val="24"/>
          <w:szCs w:val="20"/>
          <w:highlight w:val="none"/>
          <w:u w:val="single"/>
        </w:rPr>
        <w:t>（采购人名称）</w:t>
      </w:r>
      <w:r>
        <w:rPr>
          <w:rFonts w:hint="eastAsia" w:ascii="仿宋" w:hAnsi="仿宋" w:eastAsia="仿宋" w:cs="仿宋"/>
          <w:color w:val="auto"/>
          <w:spacing w:val="6"/>
          <w:sz w:val="24"/>
          <w:highlight w:val="none"/>
        </w:rPr>
        <w:t>：</w:t>
      </w:r>
    </w:p>
    <w:p w14:paraId="78696BE4">
      <w:pPr>
        <w:pStyle w:val="968"/>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 xml:space="preserve"> （项目名称）（项目编号）（标项） </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的磋商活动，我方郑重承诺，我方承诺具有履行合同所必需设备和专业技术能力。如有虚假，采购人可取消我方任何资格（投标/中标/签订合同），我方对此无任何异议。</w:t>
      </w:r>
    </w:p>
    <w:p w14:paraId="1133C6C5">
      <w:pPr>
        <w:pStyle w:val="968"/>
        <w:spacing w:line="360" w:lineRule="auto"/>
        <w:ind w:firstLine="504" w:firstLineChars="200"/>
        <w:rPr>
          <w:rFonts w:ascii="仿宋" w:hAnsi="仿宋" w:eastAsia="仿宋" w:cs="仿宋"/>
          <w:color w:val="auto"/>
          <w:spacing w:val="6"/>
          <w:sz w:val="24"/>
          <w:highlight w:val="none"/>
        </w:rPr>
      </w:pPr>
    </w:p>
    <w:p w14:paraId="322FCEF8">
      <w:pPr>
        <w:pStyle w:val="968"/>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14:paraId="4BEE337F">
      <w:pPr>
        <w:pStyle w:val="968"/>
        <w:spacing w:line="360" w:lineRule="auto"/>
        <w:ind w:firstLine="504" w:firstLineChars="200"/>
        <w:rPr>
          <w:rFonts w:ascii="仿宋" w:hAnsi="仿宋" w:eastAsia="仿宋" w:cs="仿宋"/>
          <w:color w:val="auto"/>
          <w:spacing w:val="6"/>
          <w:sz w:val="24"/>
          <w:highlight w:val="none"/>
        </w:rPr>
      </w:pPr>
    </w:p>
    <w:p w14:paraId="10739FCF">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47395BF">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6A1E9771">
      <w:pPr>
        <w:pStyle w:val="158"/>
        <w:spacing w:line="360" w:lineRule="auto"/>
        <w:jc w:val="left"/>
        <w:rPr>
          <w:rFonts w:ascii="仿宋" w:hAnsi="仿宋" w:eastAsia="仿宋" w:cs="仿宋"/>
          <w:color w:val="auto"/>
          <w:sz w:val="24"/>
          <w:szCs w:val="21"/>
          <w:highlight w:val="none"/>
          <w:u w:val="single"/>
        </w:rPr>
      </w:pPr>
    </w:p>
    <w:p w14:paraId="52025437">
      <w:pPr>
        <w:pStyle w:val="158"/>
        <w:spacing w:line="360" w:lineRule="auto"/>
        <w:ind w:firstLine="480"/>
        <w:jc w:val="right"/>
        <w:rPr>
          <w:rFonts w:ascii="仿宋" w:hAnsi="仿宋" w:eastAsia="仿宋" w:cs="仿宋"/>
          <w:color w:val="auto"/>
          <w:sz w:val="24"/>
          <w:szCs w:val="21"/>
          <w:highlight w:val="none"/>
          <w:u w:val="single"/>
        </w:rPr>
        <w:sectPr>
          <w:pgSz w:w="11905" w:h="16838"/>
          <w:pgMar w:top="1440" w:right="1803" w:bottom="1440" w:left="1803" w:header="851" w:footer="992" w:gutter="0"/>
          <w:pgNumType w:fmt="decimal"/>
          <w:cols w:space="0" w:num="1"/>
          <w:titlePg/>
          <w:docGrid w:linePitch="312" w:charSpace="0"/>
        </w:sectPr>
      </w:pPr>
    </w:p>
    <w:bookmarkEnd w:id="464"/>
    <w:bookmarkEnd w:id="465"/>
    <w:bookmarkEnd w:id="466"/>
    <w:p w14:paraId="2297400D">
      <w:pPr>
        <w:pStyle w:val="6"/>
        <w:adjustRightInd/>
        <w:spacing w:before="0" w:after="0" w:line="360" w:lineRule="auto"/>
        <w:ind w:left="0" w:firstLine="0"/>
        <w:jc w:val="center"/>
        <w:rPr>
          <w:rFonts w:ascii="仿宋" w:hAnsi="仿宋" w:eastAsia="仿宋" w:cs="仿宋"/>
          <w:color w:val="auto"/>
          <w:sz w:val="24"/>
          <w:szCs w:val="24"/>
          <w:highlight w:val="none"/>
        </w:rPr>
      </w:pPr>
      <w:bookmarkStart w:id="467" w:name="_Toc139797660"/>
      <w:bookmarkStart w:id="468" w:name="_Toc10920"/>
      <w:bookmarkStart w:id="469" w:name="_Toc41644298"/>
      <w:bookmarkStart w:id="470" w:name="_Toc96338158"/>
      <w:bookmarkStart w:id="471" w:name="_Toc4428"/>
      <w:bookmarkStart w:id="472" w:name="_Toc523398458"/>
      <w:bookmarkStart w:id="473" w:name="_Toc500333505"/>
      <w:bookmarkStart w:id="474" w:name="_Toc531359051"/>
      <w:r>
        <w:rPr>
          <w:rFonts w:hint="eastAsia" w:ascii="仿宋" w:hAnsi="仿宋" w:eastAsia="仿宋" w:cs="仿宋"/>
          <w:color w:val="auto"/>
          <w:sz w:val="24"/>
          <w:szCs w:val="24"/>
          <w:highlight w:val="none"/>
        </w:rPr>
        <w:t>1.8    无重大违法记录声明书</w:t>
      </w:r>
      <w:bookmarkEnd w:id="467"/>
      <w:bookmarkEnd w:id="468"/>
      <w:bookmarkEnd w:id="469"/>
      <w:bookmarkEnd w:id="470"/>
      <w:bookmarkEnd w:id="471"/>
    </w:p>
    <w:p w14:paraId="03B0FAEB">
      <w:pPr>
        <w:pStyle w:val="17"/>
        <w:ind w:firstLine="0"/>
        <w:rPr>
          <w:rFonts w:ascii="仿宋" w:hAnsi="仿宋" w:eastAsia="仿宋" w:cs="仿宋"/>
          <w:color w:val="auto"/>
          <w:highlight w:val="none"/>
        </w:rPr>
      </w:pPr>
    </w:p>
    <w:p w14:paraId="738E89ED">
      <w:pPr>
        <w:pStyle w:val="968"/>
        <w:spacing w:line="360" w:lineRule="auto"/>
        <w:rPr>
          <w:rFonts w:ascii="仿宋" w:hAnsi="仿宋" w:eastAsia="仿宋" w:cs="仿宋"/>
          <w:color w:val="auto"/>
          <w:spacing w:val="6"/>
          <w:sz w:val="24"/>
          <w:highlight w:val="none"/>
        </w:rPr>
      </w:pPr>
      <w:r>
        <w:rPr>
          <w:rFonts w:hint="eastAsia" w:ascii="仿宋" w:hAnsi="仿宋" w:eastAsia="仿宋" w:cs="仿宋"/>
          <w:i/>
          <w:color w:val="auto"/>
          <w:spacing w:val="6"/>
          <w:sz w:val="24"/>
          <w:highlight w:val="none"/>
          <w:u w:val="single"/>
        </w:rPr>
        <w:t>（采购人名称）</w:t>
      </w:r>
      <w:r>
        <w:rPr>
          <w:rFonts w:hint="eastAsia" w:ascii="仿宋" w:hAnsi="仿宋" w:eastAsia="仿宋" w:cs="仿宋"/>
          <w:color w:val="auto"/>
          <w:spacing w:val="6"/>
          <w:sz w:val="24"/>
          <w:highlight w:val="none"/>
        </w:rPr>
        <w:t>：</w:t>
      </w:r>
    </w:p>
    <w:p w14:paraId="3A7EC3A8">
      <w:pPr>
        <w:pStyle w:val="968"/>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03712251">
      <w:pPr>
        <w:pStyle w:val="968"/>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特此声明。</w:t>
      </w:r>
    </w:p>
    <w:p w14:paraId="03544807">
      <w:pPr>
        <w:pStyle w:val="968"/>
        <w:spacing w:line="360" w:lineRule="auto"/>
        <w:ind w:right="140"/>
        <w:jc w:val="left"/>
        <w:rPr>
          <w:rFonts w:ascii="仿宋" w:hAnsi="仿宋" w:eastAsia="仿宋" w:cs="仿宋"/>
          <w:color w:val="auto"/>
          <w:spacing w:val="20"/>
          <w:sz w:val="24"/>
          <w:szCs w:val="21"/>
          <w:highlight w:val="none"/>
        </w:rPr>
      </w:pPr>
    </w:p>
    <w:p w14:paraId="26CBE128">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4823126">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8905483">
      <w:pPr>
        <w:pStyle w:val="158"/>
        <w:spacing w:line="360" w:lineRule="auto"/>
        <w:jc w:val="left"/>
        <w:rPr>
          <w:rFonts w:ascii="仿宋" w:hAnsi="仿宋" w:eastAsia="仿宋" w:cs="仿宋"/>
          <w:color w:val="auto"/>
          <w:sz w:val="24"/>
          <w:szCs w:val="21"/>
          <w:highlight w:val="none"/>
          <w:u w:val="single"/>
        </w:rPr>
      </w:pPr>
    </w:p>
    <w:p w14:paraId="2B4D4664">
      <w:pPr>
        <w:pStyle w:val="970"/>
        <w:jc w:val="left"/>
        <w:rPr>
          <w:rFonts w:ascii="仿宋" w:hAnsi="仿宋" w:eastAsia="仿宋" w:cs="仿宋"/>
          <w:color w:val="auto"/>
          <w:sz w:val="24"/>
          <w:szCs w:val="24"/>
          <w:highlight w:val="none"/>
        </w:rPr>
      </w:pPr>
      <w:bookmarkStart w:id="475" w:name="_Toc96337838"/>
    </w:p>
    <w:p w14:paraId="434D05EF">
      <w:pPr>
        <w:pStyle w:val="970"/>
        <w:jc w:val="left"/>
        <w:rPr>
          <w:rFonts w:ascii="仿宋" w:hAnsi="仿宋" w:eastAsia="仿宋" w:cs="仿宋"/>
          <w:color w:val="auto"/>
          <w:sz w:val="24"/>
          <w:szCs w:val="24"/>
          <w:highlight w:val="none"/>
        </w:rPr>
      </w:pPr>
    </w:p>
    <w:p w14:paraId="5ED7B13F">
      <w:pPr>
        <w:pStyle w:val="970"/>
        <w:jc w:val="left"/>
        <w:rPr>
          <w:rFonts w:ascii="仿宋" w:hAnsi="仿宋" w:eastAsia="仿宋" w:cs="仿宋"/>
          <w:color w:val="auto"/>
          <w:sz w:val="24"/>
          <w:szCs w:val="24"/>
          <w:highlight w:val="none"/>
        </w:rPr>
      </w:pPr>
    </w:p>
    <w:p w14:paraId="4B7EF226">
      <w:pPr>
        <w:pStyle w:val="970"/>
        <w:jc w:val="left"/>
        <w:rPr>
          <w:rFonts w:ascii="仿宋" w:hAnsi="仿宋" w:eastAsia="仿宋" w:cs="仿宋"/>
          <w:color w:val="auto"/>
          <w:sz w:val="24"/>
          <w:szCs w:val="24"/>
          <w:highlight w:val="none"/>
        </w:rPr>
      </w:pPr>
    </w:p>
    <w:p w14:paraId="763569EF">
      <w:pPr>
        <w:pStyle w:val="970"/>
        <w:jc w:val="left"/>
        <w:rPr>
          <w:rFonts w:ascii="仿宋" w:hAnsi="仿宋" w:eastAsia="仿宋" w:cs="仿宋"/>
          <w:color w:val="auto"/>
          <w:sz w:val="24"/>
          <w:szCs w:val="24"/>
          <w:highlight w:val="none"/>
        </w:rPr>
      </w:pPr>
    </w:p>
    <w:p w14:paraId="41BC11F7">
      <w:pPr>
        <w:pStyle w:val="970"/>
        <w:jc w:val="left"/>
        <w:rPr>
          <w:rFonts w:ascii="仿宋" w:hAnsi="仿宋" w:eastAsia="仿宋" w:cs="仿宋"/>
          <w:color w:val="auto"/>
          <w:sz w:val="24"/>
          <w:szCs w:val="24"/>
          <w:highlight w:val="none"/>
        </w:rPr>
      </w:pPr>
    </w:p>
    <w:p w14:paraId="51CF26F1">
      <w:pPr>
        <w:pStyle w:val="6"/>
        <w:adjustRightInd/>
        <w:spacing w:before="0" w:after="0" w:line="360" w:lineRule="auto"/>
        <w:ind w:left="0" w:firstLine="0"/>
        <w:jc w:val="center"/>
        <w:rPr>
          <w:rFonts w:ascii="仿宋" w:hAnsi="仿宋" w:eastAsia="仿宋" w:cs="仿宋"/>
          <w:bCs w:val="0"/>
          <w:color w:val="auto"/>
          <w:highlight w:val="none"/>
        </w:rPr>
      </w:pPr>
      <w:bookmarkStart w:id="476" w:name="_Toc531359052"/>
      <w:bookmarkStart w:id="477" w:name="_Toc10279"/>
      <w:bookmarkStart w:id="478" w:name="_Toc96338161"/>
      <w:bookmarkStart w:id="479" w:name="_Toc31611"/>
      <w:bookmarkStart w:id="480" w:name="_Toc139797663"/>
      <w:bookmarkStart w:id="481" w:name="_Toc21360"/>
      <w:r>
        <w:rPr>
          <w:rFonts w:hint="eastAsia" w:ascii="仿宋" w:hAnsi="仿宋" w:eastAsia="仿宋" w:cs="仿宋"/>
          <w:bCs w:val="0"/>
          <w:color w:val="auto"/>
          <w:highlight w:val="none"/>
        </w:rPr>
        <w:t>1.</w:t>
      </w:r>
      <w:r>
        <w:rPr>
          <w:rFonts w:hint="eastAsia" w:ascii="仿宋" w:hAnsi="仿宋" w:eastAsia="仿宋" w:cs="仿宋"/>
          <w:bCs w:val="0"/>
          <w:color w:val="auto"/>
          <w:highlight w:val="none"/>
          <w:lang w:val="en-US" w:eastAsia="zh-CN"/>
        </w:rPr>
        <w:t>9</w:t>
      </w:r>
      <w:r>
        <w:rPr>
          <w:rFonts w:hint="eastAsia" w:ascii="仿宋" w:hAnsi="仿宋" w:eastAsia="仿宋" w:cs="仿宋"/>
          <w:bCs w:val="0"/>
          <w:color w:val="auto"/>
          <w:highlight w:val="none"/>
        </w:rPr>
        <w:t xml:space="preserve">   </w:t>
      </w:r>
      <w:bookmarkEnd w:id="476"/>
      <w:r>
        <w:rPr>
          <w:rFonts w:hint="eastAsia" w:ascii="仿宋" w:hAnsi="仿宋" w:eastAsia="仿宋" w:cs="仿宋"/>
          <w:bCs w:val="0"/>
          <w:color w:val="auto"/>
          <w:highlight w:val="none"/>
          <w:lang w:val="en-US" w:eastAsia="zh-CN"/>
        </w:rPr>
        <w:t xml:space="preserve"> </w:t>
      </w:r>
      <w:r>
        <w:rPr>
          <w:rFonts w:hint="eastAsia" w:ascii="仿宋" w:hAnsi="仿宋" w:eastAsia="仿宋" w:cs="仿宋"/>
          <w:bCs w:val="0"/>
          <w:color w:val="auto"/>
          <w:highlight w:val="none"/>
        </w:rPr>
        <w:t>特定资格条件证明材料附件（若有）</w:t>
      </w:r>
      <w:bookmarkEnd w:id="477"/>
      <w:bookmarkEnd w:id="478"/>
      <w:bookmarkEnd w:id="479"/>
      <w:bookmarkEnd w:id="480"/>
      <w:bookmarkEnd w:id="481"/>
    </w:p>
    <w:p w14:paraId="46FDD560">
      <w:pPr>
        <w:pStyle w:val="62"/>
        <w:ind w:firstLine="420"/>
        <w:rPr>
          <w:color w:val="auto"/>
          <w:highlight w:val="none"/>
        </w:rPr>
        <w:sectPr>
          <w:pgSz w:w="11905" w:h="16838"/>
          <w:pgMar w:top="1440" w:right="1803" w:bottom="1440" w:left="1803" w:header="851" w:footer="992" w:gutter="0"/>
          <w:pgNumType w:fmt="decimal"/>
          <w:cols w:space="0" w:num="1"/>
          <w:titlePg/>
          <w:docGrid w:linePitch="312" w:charSpace="0"/>
        </w:sectPr>
      </w:pPr>
    </w:p>
    <w:bookmarkEnd w:id="472"/>
    <w:bookmarkEnd w:id="473"/>
    <w:bookmarkEnd w:id="474"/>
    <w:bookmarkEnd w:id="475"/>
    <w:p w14:paraId="7A029631">
      <w:pPr>
        <w:pStyle w:val="60"/>
        <w:widowControl w:val="0"/>
        <w:overflowPunct/>
        <w:autoSpaceDE/>
        <w:autoSpaceDN/>
        <w:adjustRightInd/>
        <w:spacing w:before="240" w:beforeLines="100" w:after="240" w:afterLines="100"/>
        <w:textAlignment w:val="auto"/>
        <w:outlineLvl w:val="1"/>
        <w:rPr>
          <w:rFonts w:ascii="仿宋" w:hAnsi="仿宋" w:eastAsia="仿宋" w:cs="仿宋"/>
          <w:color w:val="auto"/>
          <w:sz w:val="44"/>
          <w:szCs w:val="44"/>
          <w:highlight w:val="none"/>
        </w:rPr>
      </w:pPr>
      <w:bookmarkStart w:id="482" w:name="_Toc9183"/>
      <w:bookmarkStart w:id="483" w:name="_Toc8972"/>
      <w:bookmarkStart w:id="484" w:name="_Toc139797667"/>
      <w:r>
        <w:rPr>
          <w:rFonts w:hint="eastAsia" w:ascii="仿宋" w:hAnsi="仿宋" w:eastAsia="仿宋" w:cs="仿宋"/>
          <w:color w:val="auto"/>
          <w:sz w:val="44"/>
          <w:szCs w:val="44"/>
          <w:highlight w:val="none"/>
        </w:rPr>
        <w:t>二  资信商务及技术文件格式</w:t>
      </w:r>
      <w:bookmarkEnd w:id="418"/>
      <w:bookmarkEnd w:id="419"/>
      <w:bookmarkEnd w:id="420"/>
      <w:bookmarkEnd w:id="421"/>
      <w:bookmarkEnd w:id="482"/>
      <w:bookmarkEnd w:id="483"/>
      <w:bookmarkEnd w:id="484"/>
    </w:p>
    <w:p w14:paraId="13E5B9B0">
      <w:pPr>
        <w:pStyle w:val="971"/>
        <w:jc w:val="left"/>
        <w:rPr>
          <w:rFonts w:ascii="仿宋" w:hAnsi="仿宋" w:eastAsia="仿宋" w:cs="仿宋"/>
          <w:color w:val="auto"/>
          <w:sz w:val="28"/>
          <w:szCs w:val="28"/>
          <w:highlight w:val="none"/>
        </w:rPr>
      </w:pPr>
      <w:bookmarkStart w:id="485" w:name="_Toc531359055"/>
      <w:bookmarkStart w:id="486" w:name="_Toc493956059"/>
      <w:bookmarkStart w:id="487" w:name="_Toc530551884"/>
    </w:p>
    <w:bookmarkEnd w:id="485"/>
    <w:p w14:paraId="69B8C5EA">
      <w:pPr>
        <w:pStyle w:val="6"/>
        <w:adjustRightInd/>
        <w:spacing w:before="0" w:after="0" w:line="360" w:lineRule="auto"/>
        <w:ind w:left="0" w:firstLine="0"/>
        <w:jc w:val="center"/>
        <w:rPr>
          <w:rFonts w:ascii="仿宋" w:hAnsi="仿宋" w:eastAsia="仿宋" w:cs="仿宋"/>
          <w:color w:val="auto"/>
          <w:sz w:val="24"/>
          <w:szCs w:val="24"/>
          <w:highlight w:val="none"/>
        </w:rPr>
      </w:pPr>
      <w:bookmarkStart w:id="488" w:name="_Toc531359056"/>
      <w:bookmarkStart w:id="489" w:name="_Toc4237"/>
      <w:bookmarkStart w:id="490" w:name="_Toc7626"/>
      <w:bookmarkStart w:id="491" w:name="_Toc16543"/>
      <w:bookmarkStart w:id="492" w:name="_Toc139797668"/>
      <w:r>
        <w:rPr>
          <w:rFonts w:hint="eastAsia"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资信及商务文件封面</w:t>
      </w:r>
      <w:bookmarkEnd w:id="488"/>
      <w:r>
        <w:rPr>
          <w:rFonts w:hint="eastAsia" w:ascii="仿宋" w:hAnsi="仿宋" w:eastAsia="仿宋" w:cs="仿宋"/>
          <w:color w:val="auto"/>
          <w:sz w:val="24"/>
          <w:szCs w:val="24"/>
          <w:highlight w:val="none"/>
        </w:rPr>
        <w:t>格式</w:t>
      </w:r>
      <w:bookmarkEnd w:id="489"/>
      <w:bookmarkEnd w:id="490"/>
      <w:bookmarkEnd w:id="491"/>
      <w:bookmarkEnd w:id="492"/>
    </w:p>
    <w:p w14:paraId="6427F301">
      <w:pPr>
        <w:snapToGrid w:val="0"/>
        <w:jc w:val="center"/>
        <w:rPr>
          <w:rFonts w:ascii="仿宋" w:hAnsi="仿宋" w:eastAsia="仿宋" w:cs="仿宋"/>
          <w:bCs/>
          <w:color w:val="auto"/>
          <w:sz w:val="24"/>
          <w:szCs w:val="20"/>
          <w:highlight w:val="none"/>
        </w:rPr>
      </w:pPr>
      <w:r>
        <w:rPr>
          <w:rFonts w:hint="eastAsia" w:ascii="仿宋" w:hAnsi="仿宋" w:eastAsia="仿宋" w:cs="仿宋"/>
          <w:b/>
          <w:color w:val="auto"/>
          <w:sz w:val="32"/>
          <w:szCs w:val="32"/>
          <w:highlight w:val="none"/>
        </w:rPr>
        <w:t>投标文件</w:t>
      </w:r>
    </w:p>
    <w:p w14:paraId="7F031C4D">
      <w:pPr>
        <w:pStyle w:val="17"/>
        <w:spacing w:line="360" w:lineRule="auto"/>
        <w:ind w:firstLine="0"/>
        <w:jc w:val="center"/>
        <w:rPr>
          <w:rFonts w:ascii="仿宋" w:hAnsi="仿宋" w:eastAsia="仿宋" w:cs="仿宋"/>
          <w:b/>
          <w:color w:val="auto"/>
          <w:sz w:val="32"/>
          <w:szCs w:val="32"/>
          <w:highlight w:val="none"/>
        </w:rPr>
      </w:pPr>
    </w:p>
    <w:tbl>
      <w:tblPr>
        <w:tblStyle w:val="63"/>
        <w:tblW w:w="7054" w:type="dxa"/>
        <w:jc w:val="center"/>
        <w:tblLayout w:type="fixed"/>
        <w:tblCellMar>
          <w:top w:w="0" w:type="dxa"/>
          <w:left w:w="108" w:type="dxa"/>
          <w:bottom w:w="0" w:type="dxa"/>
          <w:right w:w="108" w:type="dxa"/>
        </w:tblCellMar>
      </w:tblPr>
      <w:tblGrid>
        <w:gridCol w:w="2518"/>
        <w:gridCol w:w="4536"/>
      </w:tblGrid>
      <w:tr w14:paraId="622BA2D1">
        <w:tblPrEx>
          <w:tblCellMar>
            <w:top w:w="0" w:type="dxa"/>
            <w:left w:w="108" w:type="dxa"/>
            <w:bottom w:w="0" w:type="dxa"/>
            <w:right w:w="108" w:type="dxa"/>
          </w:tblCellMar>
        </w:tblPrEx>
        <w:trPr>
          <w:trHeight w:val="397" w:hRule="atLeast"/>
          <w:jc w:val="center"/>
        </w:trPr>
        <w:tc>
          <w:tcPr>
            <w:tcW w:w="2518" w:type="dxa"/>
            <w:vAlign w:val="center"/>
          </w:tcPr>
          <w:p w14:paraId="11B1E9B9">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投标文件名称：</w:t>
            </w:r>
          </w:p>
        </w:tc>
        <w:tc>
          <w:tcPr>
            <w:tcW w:w="4536" w:type="dxa"/>
            <w:vAlign w:val="center"/>
          </w:tcPr>
          <w:p w14:paraId="17B9943D">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资信商务及技术文件           </w:t>
            </w:r>
          </w:p>
        </w:tc>
      </w:tr>
      <w:tr w14:paraId="0642A4EA">
        <w:tblPrEx>
          <w:tblCellMar>
            <w:top w:w="0" w:type="dxa"/>
            <w:left w:w="108" w:type="dxa"/>
            <w:bottom w:w="0" w:type="dxa"/>
            <w:right w:w="108" w:type="dxa"/>
          </w:tblCellMar>
        </w:tblPrEx>
        <w:trPr>
          <w:trHeight w:val="397" w:hRule="atLeast"/>
          <w:jc w:val="center"/>
        </w:trPr>
        <w:tc>
          <w:tcPr>
            <w:tcW w:w="2518" w:type="dxa"/>
            <w:vAlign w:val="center"/>
          </w:tcPr>
          <w:p w14:paraId="21D711BC">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采 购 编 号：</w:t>
            </w:r>
          </w:p>
        </w:tc>
        <w:tc>
          <w:tcPr>
            <w:tcW w:w="4536" w:type="dxa"/>
            <w:vAlign w:val="center"/>
          </w:tcPr>
          <w:p w14:paraId="146CBAE3">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0675065B">
        <w:tblPrEx>
          <w:tblCellMar>
            <w:top w:w="0" w:type="dxa"/>
            <w:left w:w="108" w:type="dxa"/>
            <w:bottom w:w="0" w:type="dxa"/>
            <w:right w:w="108" w:type="dxa"/>
          </w:tblCellMar>
        </w:tblPrEx>
        <w:trPr>
          <w:trHeight w:val="397" w:hRule="atLeast"/>
          <w:jc w:val="center"/>
        </w:trPr>
        <w:tc>
          <w:tcPr>
            <w:tcW w:w="2518" w:type="dxa"/>
            <w:vAlign w:val="center"/>
          </w:tcPr>
          <w:p w14:paraId="0D64B6E4">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vAlign w:val="center"/>
          </w:tcPr>
          <w:p w14:paraId="5C49C39E">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5E91247A">
        <w:tblPrEx>
          <w:tblCellMar>
            <w:top w:w="0" w:type="dxa"/>
            <w:left w:w="108" w:type="dxa"/>
            <w:bottom w:w="0" w:type="dxa"/>
            <w:right w:w="108" w:type="dxa"/>
          </w:tblCellMar>
        </w:tblPrEx>
        <w:trPr>
          <w:trHeight w:val="397" w:hRule="atLeast"/>
          <w:jc w:val="center"/>
        </w:trPr>
        <w:tc>
          <w:tcPr>
            <w:tcW w:w="2518" w:type="dxa"/>
            <w:vAlign w:val="center"/>
          </w:tcPr>
          <w:p w14:paraId="4548C076">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vAlign w:val="center"/>
          </w:tcPr>
          <w:p w14:paraId="4F9ABE09">
            <w:pPr>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（若有）                            </w:t>
            </w:r>
          </w:p>
        </w:tc>
      </w:tr>
      <w:tr w14:paraId="4FD46FFB">
        <w:tblPrEx>
          <w:tblCellMar>
            <w:top w:w="0" w:type="dxa"/>
            <w:left w:w="108" w:type="dxa"/>
            <w:bottom w:w="0" w:type="dxa"/>
            <w:right w:w="108" w:type="dxa"/>
          </w:tblCellMar>
        </w:tblPrEx>
        <w:trPr>
          <w:trHeight w:val="397" w:hRule="atLeast"/>
          <w:jc w:val="center"/>
        </w:trPr>
        <w:tc>
          <w:tcPr>
            <w:tcW w:w="2518" w:type="dxa"/>
            <w:vAlign w:val="center"/>
          </w:tcPr>
          <w:p w14:paraId="3FC436A4">
            <w:pPr>
              <w:jc w:val="distribute"/>
              <w:rPr>
                <w:rFonts w:ascii="仿宋" w:hAnsi="仿宋" w:eastAsia="仿宋" w:cs="仿宋"/>
                <w:color w:val="auto"/>
                <w:sz w:val="24"/>
                <w:highlight w:val="none"/>
              </w:rPr>
            </w:pPr>
          </w:p>
        </w:tc>
        <w:tc>
          <w:tcPr>
            <w:tcW w:w="4536" w:type="dxa"/>
            <w:vAlign w:val="center"/>
          </w:tcPr>
          <w:p w14:paraId="6051E495">
            <w:pPr>
              <w:jc w:val="left"/>
              <w:rPr>
                <w:rFonts w:ascii="仿宋" w:hAnsi="仿宋" w:eastAsia="仿宋" w:cs="仿宋"/>
                <w:color w:val="auto"/>
                <w:sz w:val="24"/>
                <w:highlight w:val="none"/>
              </w:rPr>
            </w:pPr>
          </w:p>
        </w:tc>
      </w:tr>
      <w:tr w14:paraId="38383389">
        <w:tblPrEx>
          <w:tblCellMar>
            <w:top w:w="0" w:type="dxa"/>
            <w:left w:w="108" w:type="dxa"/>
            <w:bottom w:w="0" w:type="dxa"/>
            <w:right w:w="108" w:type="dxa"/>
          </w:tblCellMar>
        </w:tblPrEx>
        <w:trPr>
          <w:trHeight w:val="397" w:hRule="atLeast"/>
          <w:jc w:val="center"/>
        </w:trPr>
        <w:tc>
          <w:tcPr>
            <w:tcW w:w="2518" w:type="dxa"/>
            <w:vAlign w:val="center"/>
          </w:tcPr>
          <w:p w14:paraId="74F73F09">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vAlign w:val="center"/>
          </w:tcPr>
          <w:p w14:paraId="01DE741D">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385F7DB5">
        <w:tblPrEx>
          <w:tblCellMar>
            <w:top w:w="0" w:type="dxa"/>
            <w:left w:w="108" w:type="dxa"/>
            <w:bottom w:w="0" w:type="dxa"/>
            <w:right w:w="108" w:type="dxa"/>
          </w:tblCellMar>
        </w:tblPrEx>
        <w:trPr>
          <w:trHeight w:val="397" w:hRule="atLeast"/>
          <w:jc w:val="center"/>
        </w:trPr>
        <w:tc>
          <w:tcPr>
            <w:tcW w:w="2518" w:type="dxa"/>
            <w:vAlign w:val="center"/>
          </w:tcPr>
          <w:p w14:paraId="63EAA143">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vAlign w:val="center"/>
          </w:tcPr>
          <w:p w14:paraId="752D7A25">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0EA34423">
        <w:tblPrEx>
          <w:tblCellMar>
            <w:top w:w="0" w:type="dxa"/>
            <w:left w:w="108" w:type="dxa"/>
            <w:bottom w:w="0" w:type="dxa"/>
            <w:right w:w="108" w:type="dxa"/>
          </w:tblCellMar>
        </w:tblPrEx>
        <w:trPr>
          <w:trHeight w:val="397" w:hRule="atLeast"/>
          <w:jc w:val="center"/>
        </w:trPr>
        <w:tc>
          <w:tcPr>
            <w:tcW w:w="7054" w:type="dxa"/>
            <w:gridSpan w:val="2"/>
            <w:vAlign w:val="center"/>
          </w:tcPr>
          <w:p w14:paraId="33EF4E53">
            <w:pPr>
              <w:jc w:val="left"/>
              <w:rPr>
                <w:rFonts w:ascii="仿宋" w:hAnsi="仿宋" w:eastAsia="仿宋" w:cs="仿宋"/>
                <w:color w:val="auto"/>
                <w:sz w:val="24"/>
                <w:highlight w:val="none"/>
                <w:u w:val="single"/>
              </w:rPr>
            </w:pPr>
          </w:p>
        </w:tc>
      </w:tr>
      <w:tr w14:paraId="1ADAAD05">
        <w:tblPrEx>
          <w:tblCellMar>
            <w:top w:w="0" w:type="dxa"/>
            <w:left w:w="108" w:type="dxa"/>
            <w:bottom w:w="0" w:type="dxa"/>
            <w:right w:w="108" w:type="dxa"/>
          </w:tblCellMar>
        </w:tblPrEx>
        <w:trPr>
          <w:trHeight w:val="397" w:hRule="atLeast"/>
          <w:jc w:val="center"/>
        </w:trPr>
        <w:tc>
          <w:tcPr>
            <w:tcW w:w="7054" w:type="dxa"/>
            <w:gridSpan w:val="2"/>
            <w:vAlign w:val="center"/>
          </w:tcPr>
          <w:p w14:paraId="39F7C86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56C7F082">
      <w:pPr>
        <w:pStyle w:val="17"/>
        <w:spacing w:line="360" w:lineRule="auto"/>
        <w:ind w:firstLine="0"/>
        <w:jc w:val="center"/>
        <w:rPr>
          <w:rFonts w:ascii="仿宋" w:hAnsi="仿宋" w:eastAsia="仿宋" w:cs="仿宋"/>
          <w:bCs/>
          <w:color w:val="auto"/>
          <w:sz w:val="24"/>
          <w:highlight w:val="none"/>
        </w:rPr>
      </w:pPr>
    </w:p>
    <w:p w14:paraId="5CA6219F">
      <w:pPr>
        <w:pStyle w:val="6"/>
        <w:adjustRightInd/>
        <w:spacing w:before="0" w:after="0" w:line="360" w:lineRule="auto"/>
        <w:ind w:left="0" w:firstLine="0"/>
        <w:jc w:val="center"/>
        <w:rPr>
          <w:rFonts w:ascii="仿宋" w:hAnsi="仿宋" w:eastAsia="仿宋" w:cs="仿宋"/>
          <w:color w:val="auto"/>
          <w:sz w:val="24"/>
          <w:szCs w:val="24"/>
          <w:highlight w:val="none"/>
        </w:rPr>
      </w:pPr>
      <w:bookmarkStart w:id="493" w:name="_Toc19376"/>
      <w:bookmarkStart w:id="494" w:name="_Toc18345"/>
      <w:bookmarkStart w:id="495" w:name="_Toc139797669"/>
      <w:bookmarkStart w:id="496" w:name="_Toc531359057"/>
      <w:bookmarkStart w:id="497" w:name="_Toc9809"/>
      <w:r>
        <w:rPr>
          <w:rFonts w:hint="eastAsia"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资信商务及技术文件目录</w:t>
      </w:r>
      <w:bookmarkEnd w:id="493"/>
      <w:bookmarkEnd w:id="494"/>
      <w:bookmarkEnd w:id="495"/>
      <w:bookmarkEnd w:id="496"/>
      <w:bookmarkEnd w:id="497"/>
    </w:p>
    <w:p w14:paraId="74A5E454">
      <w:pPr>
        <w:pStyle w:val="17"/>
        <w:spacing w:line="360" w:lineRule="auto"/>
        <w:ind w:firstLine="0"/>
        <w:rPr>
          <w:rFonts w:ascii="仿宋" w:hAnsi="仿宋" w:eastAsia="仿宋" w:cs="仿宋"/>
          <w:color w:val="auto"/>
          <w:sz w:val="24"/>
          <w:highlight w:val="none"/>
        </w:rPr>
      </w:pPr>
    </w:p>
    <w:p w14:paraId="137753AC">
      <w:pPr>
        <w:pStyle w:val="17"/>
        <w:ind w:firstLine="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bookmarkStart w:id="498" w:name="_Toc531359058"/>
    </w:p>
    <w:p w14:paraId="4134E4B7">
      <w:pPr>
        <w:pStyle w:val="17"/>
        <w:spacing w:line="360" w:lineRule="auto"/>
        <w:ind w:firstLine="0"/>
        <w:rPr>
          <w:rFonts w:ascii="仿宋" w:hAnsi="仿宋" w:eastAsia="仿宋" w:cs="仿宋"/>
          <w:color w:val="auto"/>
          <w:sz w:val="24"/>
          <w:highlight w:val="none"/>
        </w:rPr>
      </w:pPr>
    </w:p>
    <w:p w14:paraId="06431C64">
      <w:pPr>
        <w:pStyle w:val="6"/>
        <w:spacing w:before="0" w:after="0"/>
        <w:ind w:firstLine="0"/>
        <w:jc w:val="left"/>
        <w:rPr>
          <w:rFonts w:ascii="仿宋" w:hAnsi="仿宋" w:eastAsia="仿宋" w:cs="仿宋"/>
          <w:color w:val="auto"/>
          <w:sz w:val="24"/>
          <w:szCs w:val="24"/>
          <w:highlight w:val="none"/>
        </w:rPr>
        <w:sectPr>
          <w:pgSz w:w="11905" w:h="16838"/>
          <w:pgMar w:top="1440" w:right="1803" w:bottom="1440" w:left="1803" w:header="851" w:footer="992" w:gutter="0"/>
          <w:pgNumType w:fmt="decimal"/>
          <w:cols w:space="0" w:num="1"/>
          <w:titlePg/>
          <w:docGrid w:linePitch="312" w:charSpace="0"/>
        </w:sectPr>
      </w:pPr>
    </w:p>
    <w:bookmarkEnd w:id="486"/>
    <w:bookmarkEnd w:id="487"/>
    <w:bookmarkEnd w:id="498"/>
    <w:p w14:paraId="21F0D29C">
      <w:pPr>
        <w:pStyle w:val="6"/>
        <w:adjustRightInd/>
        <w:spacing w:before="0" w:after="0" w:line="360" w:lineRule="auto"/>
        <w:ind w:left="0" w:firstLine="0"/>
        <w:jc w:val="center"/>
        <w:rPr>
          <w:rFonts w:ascii="仿宋" w:hAnsi="仿宋" w:eastAsia="仿宋" w:cs="仿宋"/>
          <w:color w:val="auto"/>
          <w:highlight w:val="none"/>
        </w:rPr>
      </w:pPr>
      <w:bookmarkStart w:id="499" w:name="_Toc20538"/>
      <w:bookmarkStart w:id="500" w:name="_Toc96338169"/>
      <w:bookmarkStart w:id="501" w:name="_Toc19055"/>
      <w:bookmarkStart w:id="502" w:name="_Toc139797670"/>
      <w:r>
        <w:rPr>
          <w:rFonts w:hint="eastAsia" w:ascii="仿宋" w:hAnsi="仿宋" w:eastAsia="仿宋" w:cs="仿宋"/>
          <w:color w:val="auto"/>
          <w:highlight w:val="none"/>
        </w:rPr>
        <w:t xml:space="preserve">2.3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磋商响应函</w:t>
      </w:r>
      <w:bookmarkEnd w:id="499"/>
      <w:bookmarkEnd w:id="500"/>
      <w:bookmarkEnd w:id="501"/>
      <w:bookmarkEnd w:id="502"/>
    </w:p>
    <w:p w14:paraId="17F3E698">
      <w:pPr>
        <w:pStyle w:val="972"/>
        <w:tabs>
          <w:tab w:val="left" w:pos="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i/>
          <w:color w:val="auto"/>
          <w:spacing w:val="6"/>
          <w:kern w:val="2"/>
          <w:sz w:val="24"/>
          <w:szCs w:val="24"/>
          <w:highlight w:val="none"/>
          <w:u w:val="single"/>
        </w:rPr>
        <w:t>（采购人名称）</w:t>
      </w:r>
      <w:r>
        <w:rPr>
          <w:rFonts w:hint="eastAsia" w:ascii="仿宋" w:hAnsi="仿宋" w:eastAsia="仿宋" w:cs="仿宋"/>
          <w:color w:val="auto"/>
          <w:sz w:val="24"/>
          <w:highlight w:val="none"/>
        </w:rPr>
        <w:t>：</w:t>
      </w:r>
    </w:p>
    <w:p w14:paraId="74FC2DF0">
      <w:pPr>
        <w:pStyle w:val="972"/>
        <w:tabs>
          <w:tab w:val="left" w:pos="0"/>
        </w:tabs>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根据贵方</w:t>
      </w:r>
      <w:r>
        <w:rPr>
          <w:rFonts w:hint="eastAsia" w:ascii="仿宋" w:hAnsi="仿宋" w:eastAsia="仿宋" w:cs="仿宋"/>
          <w:i/>
          <w:color w:val="auto"/>
          <w:spacing w:val="6"/>
          <w:kern w:val="2"/>
          <w:sz w:val="24"/>
          <w:szCs w:val="24"/>
          <w:highlight w:val="none"/>
          <w:u w:val="single"/>
        </w:rPr>
        <w:t>（项目名称）（项目编号）（标项）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的磋商文件要求，正式授权下述签字人</w:t>
      </w:r>
      <w:r>
        <w:rPr>
          <w:rFonts w:hint="eastAsia" w:ascii="仿宋" w:hAnsi="仿宋" w:eastAsia="仿宋" w:cs="仿宋"/>
          <w:i/>
          <w:color w:val="auto"/>
          <w:spacing w:val="6"/>
          <w:kern w:val="2"/>
          <w:sz w:val="24"/>
          <w:szCs w:val="24"/>
          <w:highlight w:val="none"/>
          <w:u w:val="single"/>
        </w:rPr>
        <w:t>（姓名和职务）</w:t>
      </w:r>
      <w:r>
        <w:rPr>
          <w:rFonts w:hint="eastAsia" w:ascii="仿宋" w:hAnsi="仿宋" w:eastAsia="仿宋" w:cs="仿宋"/>
          <w:color w:val="auto"/>
          <w:sz w:val="24"/>
          <w:szCs w:val="21"/>
          <w:highlight w:val="none"/>
        </w:rPr>
        <w:t>全权代表供应商</w:t>
      </w:r>
      <w:r>
        <w:rPr>
          <w:rFonts w:hint="eastAsia" w:ascii="仿宋" w:hAnsi="仿宋" w:eastAsia="仿宋" w:cs="仿宋"/>
          <w:i/>
          <w:color w:val="auto"/>
          <w:spacing w:val="6"/>
          <w:kern w:val="2"/>
          <w:sz w:val="24"/>
          <w:szCs w:val="24"/>
          <w:highlight w:val="none"/>
          <w:u w:val="single"/>
        </w:rPr>
        <w:t>（供应商全称）</w:t>
      </w:r>
      <w:r>
        <w:rPr>
          <w:rFonts w:hint="eastAsia" w:ascii="仿宋" w:hAnsi="仿宋" w:eastAsia="仿宋" w:cs="仿宋"/>
          <w:color w:val="auto"/>
          <w:sz w:val="24"/>
          <w:szCs w:val="21"/>
          <w:highlight w:val="none"/>
        </w:rPr>
        <w:t>参加贵方组织的有关采购活动，并提交下述文件：</w:t>
      </w:r>
    </w:p>
    <w:p w14:paraId="4AC3A0AF">
      <w:pPr>
        <w:pStyle w:val="972"/>
        <w:tabs>
          <w:tab w:val="left" w:pos="0"/>
        </w:tabs>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政府采购云系统提交电子加密投标文件</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14:paraId="05E42723">
      <w:pPr>
        <w:pStyle w:val="972"/>
        <w:tabs>
          <w:tab w:val="left" w:pos="0"/>
        </w:tabs>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4"/>
          <w:highlight w:val="none"/>
        </w:rPr>
        <w:t>通过电子邮件提交备份电子投标文件（打包压缩加密）</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14:paraId="43D91F97">
      <w:pPr>
        <w:pStyle w:val="972"/>
        <w:tabs>
          <w:tab w:val="left" w:pos="0"/>
        </w:tabs>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据此函我方就本次响应有关事项郑重承诺如下：</w:t>
      </w:r>
    </w:p>
    <w:p w14:paraId="4549FDFC">
      <w:pPr>
        <w:pStyle w:val="972"/>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1、我方向贵方提交的所有磋商响应文件、资料都是准确的和真实的。</w:t>
      </w:r>
    </w:p>
    <w:p w14:paraId="3FAF9C4D">
      <w:pPr>
        <w:pStyle w:val="972"/>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2、我方承诺已经具备《中华人民共和国政府采购法》、《中华人民共和国政府采购法实施条例》中规定的参加政府采购活动的供应商应当具备的条件，并真实提供相关材料。</w:t>
      </w:r>
    </w:p>
    <w:p w14:paraId="0863A329">
      <w:pPr>
        <w:pStyle w:val="972"/>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3、如果我方成交，将派出</w:t>
      </w:r>
      <w:r>
        <w:rPr>
          <w:rFonts w:hint="eastAsia" w:ascii="仿宋" w:hAnsi="仿宋" w:eastAsia="仿宋" w:cs="仿宋"/>
          <w:i/>
          <w:color w:val="auto"/>
          <w:spacing w:val="6"/>
          <w:kern w:val="2"/>
          <w:sz w:val="24"/>
          <w:szCs w:val="24"/>
          <w:highlight w:val="none"/>
          <w:u w:val="single"/>
        </w:rPr>
        <w:t>（姓名及身份证号码）</w:t>
      </w:r>
      <w:r>
        <w:rPr>
          <w:rFonts w:hint="eastAsia" w:ascii="仿宋" w:hAnsi="仿宋" w:eastAsia="仿宋" w:cs="仿宋"/>
          <w:color w:val="auto"/>
          <w:sz w:val="24"/>
          <w:szCs w:val="21"/>
          <w:highlight w:val="none"/>
          <w:u w:val="single"/>
        </w:rPr>
        <w:t>，</w:t>
      </w:r>
      <w:r>
        <w:rPr>
          <w:rFonts w:hint="eastAsia" w:ascii="仿宋" w:hAnsi="仿宋" w:eastAsia="仿宋" w:cs="仿宋"/>
          <w:color w:val="auto"/>
          <w:sz w:val="24"/>
          <w:szCs w:val="21"/>
          <w:highlight w:val="none"/>
        </w:rPr>
        <w:t>作为本项目与采购单位联系的项目实施负责人，联系手机号码：</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。在项目实施过程中，并承诺项目实施负责人不更换，若确需要更换的，书面征得采购人同意后才准予更换。</w:t>
      </w:r>
    </w:p>
    <w:p w14:paraId="30F14C63">
      <w:pPr>
        <w:pStyle w:val="972"/>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4、我方的磋商有效期自在开标日起</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天内有效。如果在开标后规定的磋商有效期内撤回响应，贵方可按相关规定处理我方。</w:t>
      </w:r>
    </w:p>
    <w:p w14:paraId="1C51C28E">
      <w:pPr>
        <w:pStyle w:val="972"/>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5、我方在响应之前已经与贵方进行了充分的沟通，完全理解并接受磋商文件的各项规定和要求，对磋商文件的合理性、合法性不再有异议。</w:t>
      </w:r>
    </w:p>
    <w:p w14:paraId="4DB07419">
      <w:pPr>
        <w:pStyle w:val="972"/>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我方愿意向贵方提供真实完整的任何与该项响应有关的数据、情况和技术资料。若贵方需要，我方愿意提供我方作出的一切承诺的证明材料。</w:t>
      </w:r>
    </w:p>
    <w:p w14:paraId="3E32AB69">
      <w:pPr>
        <w:pStyle w:val="972"/>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6、我方已详细审核全部磋商文件，包括磋商文件的澄清或修改文件（如有的话）、参考资料及有关附件，已经了解我方对于磋商文件、采购过程、采购结果有依法进行询问、质疑、投诉的权利及相关渠道和要求。</w:t>
      </w:r>
    </w:p>
    <w:p w14:paraId="73A9961E">
      <w:pPr>
        <w:pStyle w:val="972"/>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7、我方不是采购人的附属机构，并未为本项目提供整体设计、规范编制或者项目管理、监理、监测等服务。</w:t>
      </w:r>
    </w:p>
    <w:p w14:paraId="2B9AB6AC">
      <w:pPr>
        <w:pStyle w:val="972"/>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E6E912D">
      <w:pPr>
        <w:pStyle w:val="972"/>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（一）提供虚假材料谋取中标、成交的；</w:t>
      </w:r>
    </w:p>
    <w:p w14:paraId="6092C7A0">
      <w:pPr>
        <w:pStyle w:val="972"/>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（二）采取不正当手段诋毁、排挤其他供应商的；</w:t>
      </w:r>
    </w:p>
    <w:p w14:paraId="1C81AEBF">
      <w:pPr>
        <w:pStyle w:val="972"/>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（三）与采购人、其它供应商或者采购代理机构恶意串通的；</w:t>
      </w:r>
    </w:p>
    <w:p w14:paraId="651E6A03">
      <w:pPr>
        <w:pStyle w:val="972"/>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（四）向采购人、采购代理机构行贿或者提供其他不正当利益的；</w:t>
      </w:r>
    </w:p>
    <w:p w14:paraId="5EAC8308">
      <w:pPr>
        <w:pStyle w:val="972"/>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（五）在采购采购过程中与采购人进行协商谈判的；</w:t>
      </w:r>
    </w:p>
    <w:p w14:paraId="66FA65C6">
      <w:pPr>
        <w:pStyle w:val="972"/>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（六）拒绝有关部门监督检查或提供虚假情况的。</w:t>
      </w:r>
    </w:p>
    <w:p w14:paraId="243AB1D4">
      <w:pPr>
        <w:pStyle w:val="972"/>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9、如成交，本磋商响应文件至本项目合同履行完毕止均保持有效，我方将按磋商文件及政府采购法律、法规的规定履行合同责任和义务。</w:t>
      </w:r>
    </w:p>
    <w:p w14:paraId="4D564DFD">
      <w:pPr>
        <w:pStyle w:val="972"/>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10、以上事项如有虚假或隐瞒，我方愿意承担一切不利后果，并不再寻求任何旨在减轻或免除法律责任。</w:t>
      </w:r>
    </w:p>
    <w:p w14:paraId="73A8489C">
      <w:pPr>
        <w:pStyle w:val="972"/>
        <w:spacing w:line="360" w:lineRule="auto"/>
        <w:ind w:firstLine="48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与本次响应有关的一切正式往来信函请寄：</w:t>
      </w:r>
    </w:p>
    <w:p w14:paraId="7BD00C3C">
      <w:pPr>
        <w:pStyle w:val="972"/>
        <w:spacing w:line="360" w:lineRule="auto"/>
        <w:ind w:firstLine="48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地址：</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xml:space="preserve">     邮编：</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w:t>
      </w:r>
    </w:p>
    <w:p w14:paraId="4B2908CB">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pacing w:val="20"/>
          <w:sz w:val="24"/>
          <w:highlight w:val="none"/>
          <w:u w:val="single"/>
        </w:rPr>
        <w:t xml:space="preserve">           </w:t>
      </w:r>
    </w:p>
    <w:p w14:paraId="680F86A9">
      <w:pPr>
        <w:pStyle w:val="974"/>
        <w:spacing w:line="360" w:lineRule="auto"/>
        <w:rPr>
          <w:rFonts w:ascii="仿宋" w:hAnsi="仿宋" w:eastAsia="仿宋" w:cs="仿宋"/>
          <w:bCs/>
          <w:color w:val="auto"/>
          <w:sz w:val="24"/>
          <w:highlight w:val="none"/>
        </w:rPr>
      </w:pPr>
    </w:p>
    <w:p w14:paraId="59540FAB">
      <w:pPr>
        <w:pStyle w:val="975"/>
        <w:spacing w:line="360" w:lineRule="auto"/>
        <w:rPr>
          <w:rFonts w:ascii="仿宋" w:hAnsi="仿宋" w:eastAsia="仿宋" w:cs="仿宋"/>
          <w:color w:val="auto"/>
          <w:sz w:val="24"/>
          <w:szCs w:val="21"/>
          <w:highlight w:val="none"/>
        </w:rPr>
      </w:pPr>
    </w:p>
    <w:p w14:paraId="7B89052A">
      <w:pPr>
        <w:pStyle w:val="158"/>
        <w:wordWrap w:val="0"/>
        <w:spacing w:line="360" w:lineRule="auto"/>
        <w:ind w:firstLine="480"/>
        <w:jc w:val="right"/>
        <w:rPr>
          <w:rFonts w:ascii="仿宋" w:hAnsi="仿宋" w:eastAsia="仿宋" w:cs="仿宋"/>
          <w:color w:val="auto"/>
          <w:spacing w:val="20"/>
          <w:sz w:val="24"/>
          <w:szCs w:val="21"/>
          <w:highlight w:val="none"/>
          <w:u w:val="single"/>
        </w:rPr>
      </w:pPr>
    </w:p>
    <w:p w14:paraId="5CC4490B">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969357B">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D5B848C">
      <w:pPr>
        <w:pStyle w:val="158"/>
        <w:spacing w:line="360" w:lineRule="auto"/>
        <w:jc w:val="left"/>
        <w:rPr>
          <w:rFonts w:ascii="仿宋" w:hAnsi="仿宋" w:eastAsia="仿宋" w:cs="仿宋"/>
          <w:color w:val="auto"/>
          <w:spacing w:val="20"/>
          <w:sz w:val="24"/>
          <w:szCs w:val="21"/>
          <w:highlight w:val="none"/>
          <w:u w:val="single"/>
        </w:rPr>
      </w:pPr>
    </w:p>
    <w:p w14:paraId="7130E609">
      <w:pPr>
        <w:pStyle w:val="972"/>
        <w:spacing w:line="360" w:lineRule="auto"/>
        <w:rPr>
          <w:rFonts w:ascii="仿宋" w:hAnsi="仿宋" w:eastAsia="仿宋" w:cs="仿宋"/>
          <w:color w:val="auto"/>
          <w:sz w:val="24"/>
          <w:szCs w:val="21"/>
          <w:highlight w:val="none"/>
        </w:rPr>
      </w:pPr>
    </w:p>
    <w:p w14:paraId="30AA4B73">
      <w:pPr>
        <w:pStyle w:val="972"/>
        <w:spacing w:line="360" w:lineRule="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注：按照本声明书要求填报。</w:t>
      </w:r>
    </w:p>
    <w:p w14:paraId="402D9F17">
      <w:pPr>
        <w:pStyle w:val="972"/>
        <w:spacing w:line="360" w:lineRule="auto"/>
        <w:rPr>
          <w:rFonts w:ascii="仿宋" w:hAnsi="仿宋" w:eastAsia="仿宋" w:cs="仿宋"/>
          <w:color w:val="auto"/>
          <w:sz w:val="24"/>
          <w:szCs w:val="21"/>
          <w:highlight w:val="none"/>
        </w:rPr>
        <w:sectPr>
          <w:pgSz w:w="11905" w:h="16838"/>
          <w:pgMar w:top="1440" w:right="1803" w:bottom="1440" w:left="1803" w:header="851" w:footer="992" w:gutter="0"/>
          <w:pgNumType w:fmt="decimal"/>
          <w:cols w:space="0" w:num="1"/>
          <w:titlePg/>
          <w:docGrid w:linePitch="312" w:charSpace="0"/>
        </w:sectPr>
      </w:pPr>
    </w:p>
    <w:p w14:paraId="357AFBF7">
      <w:pPr>
        <w:pStyle w:val="6"/>
        <w:adjustRightInd/>
        <w:spacing w:before="0" w:after="0" w:line="360" w:lineRule="auto"/>
        <w:ind w:left="0" w:firstLine="0"/>
        <w:jc w:val="center"/>
        <w:rPr>
          <w:rFonts w:ascii="仿宋" w:hAnsi="仿宋" w:eastAsia="仿宋" w:cs="仿宋"/>
          <w:color w:val="auto"/>
          <w:highlight w:val="none"/>
        </w:rPr>
      </w:pPr>
      <w:bookmarkStart w:id="503" w:name="_Toc96338171"/>
      <w:bookmarkStart w:id="504" w:name="_Toc531359060"/>
      <w:bookmarkStart w:id="505" w:name="_Toc13400"/>
      <w:bookmarkStart w:id="506" w:name="_Toc139797671"/>
      <w:bookmarkStart w:id="507" w:name="_Toc27565"/>
      <w:bookmarkStart w:id="508" w:name="_Toc530551887"/>
      <w:bookmarkStart w:id="509" w:name="_Toc493956063"/>
      <w:r>
        <w:rPr>
          <w:rFonts w:hint="eastAsia" w:ascii="仿宋" w:hAnsi="仿宋" w:eastAsia="仿宋" w:cs="仿宋"/>
          <w:color w:val="auto"/>
          <w:highlight w:val="none"/>
        </w:rPr>
        <w:t xml:space="preserve">2.4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成功案例及业绩</w:t>
      </w:r>
      <w:bookmarkEnd w:id="503"/>
      <w:bookmarkEnd w:id="504"/>
      <w:r>
        <w:rPr>
          <w:rFonts w:hint="eastAsia" w:ascii="仿宋" w:hAnsi="仿宋" w:eastAsia="仿宋" w:cs="仿宋"/>
          <w:color w:val="auto"/>
          <w:highlight w:val="none"/>
        </w:rPr>
        <w:t>（若有）</w:t>
      </w:r>
      <w:bookmarkEnd w:id="505"/>
      <w:bookmarkEnd w:id="506"/>
      <w:bookmarkEnd w:id="507"/>
    </w:p>
    <w:p w14:paraId="0323F2CA">
      <w:pPr>
        <w:pStyle w:val="49"/>
        <w:snapToGrid w:val="0"/>
        <w:ind w:left="480" w:hanging="480"/>
        <w:jc w:val="center"/>
        <w:rPr>
          <w:rFonts w:ascii="仿宋" w:hAnsi="仿宋" w:eastAsia="仿宋" w:cs="仿宋"/>
          <w:color w:val="auto"/>
          <w:sz w:val="24"/>
          <w:highlight w:val="none"/>
        </w:rPr>
      </w:pPr>
      <w:r>
        <w:rPr>
          <w:rFonts w:hint="eastAsia" w:ascii="仿宋" w:hAnsi="仿宋" w:eastAsia="仿宋" w:cs="仿宋"/>
          <w:color w:val="auto"/>
          <w:sz w:val="24"/>
          <w:highlight w:val="none"/>
        </w:rPr>
        <w:t>供应商类似项目实施情况一览表</w:t>
      </w:r>
    </w:p>
    <w:tbl>
      <w:tblPr>
        <w:tblStyle w:val="63"/>
        <w:tblW w:w="9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842"/>
        <w:gridCol w:w="1267"/>
        <w:gridCol w:w="698"/>
        <w:gridCol w:w="1127"/>
        <w:gridCol w:w="844"/>
        <w:gridCol w:w="700"/>
        <w:gridCol w:w="865"/>
        <w:gridCol w:w="747"/>
        <w:gridCol w:w="1301"/>
      </w:tblGrid>
      <w:tr w14:paraId="7A9B5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vMerge w:val="restart"/>
            <w:tcBorders>
              <w:top w:val="single" w:color="auto" w:sz="4" w:space="0"/>
              <w:left w:val="single" w:color="auto" w:sz="4" w:space="0"/>
              <w:bottom w:val="single" w:color="auto" w:sz="4" w:space="0"/>
              <w:right w:val="single" w:color="auto" w:sz="4" w:space="0"/>
            </w:tcBorders>
            <w:vAlign w:val="center"/>
          </w:tcPr>
          <w:p w14:paraId="47C76FE4">
            <w:pPr>
              <w:snapToGrid w:val="0"/>
              <w:ind w:left="-78" w:leftChars="-37" w:right="-44" w:rightChars="-21"/>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1E346A4F">
            <w:pPr>
              <w:snapToGrid w:val="0"/>
              <w:ind w:left="-78" w:leftChars="-37" w:right="-44" w:rightChars="-21"/>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14:paraId="286F787C">
            <w:pPr>
              <w:snapToGrid w:val="0"/>
              <w:ind w:left="-78" w:leftChars="-37" w:right="-44" w:rightChars="-21"/>
              <w:jc w:val="center"/>
              <w:rPr>
                <w:rFonts w:ascii="仿宋" w:hAnsi="仿宋" w:eastAsia="仿宋" w:cs="仿宋"/>
                <w:color w:val="auto"/>
                <w:sz w:val="24"/>
                <w:highlight w:val="none"/>
              </w:rPr>
            </w:pPr>
            <w:r>
              <w:rPr>
                <w:rFonts w:hint="eastAsia" w:ascii="仿宋" w:hAnsi="仿宋" w:eastAsia="仿宋" w:cs="仿宋"/>
                <w:color w:val="auto"/>
                <w:sz w:val="24"/>
                <w:highlight w:val="none"/>
              </w:rPr>
              <w:t>产品或项目名称</w:t>
            </w:r>
          </w:p>
        </w:tc>
        <w:tc>
          <w:tcPr>
            <w:tcW w:w="698" w:type="dxa"/>
            <w:vMerge w:val="restart"/>
            <w:tcBorders>
              <w:top w:val="single" w:color="auto" w:sz="4" w:space="0"/>
              <w:left w:val="single" w:color="auto" w:sz="4" w:space="0"/>
              <w:bottom w:val="single" w:color="auto" w:sz="4" w:space="0"/>
              <w:right w:val="single" w:color="auto" w:sz="4" w:space="0"/>
            </w:tcBorders>
            <w:vAlign w:val="center"/>
          </w:tcPr>
          <w:p w14:paraId="16149008">
            <w:pPr>
              <w:snapToGrid w:val="0"/>
              <w:ind w:left="-78" w:leftChars="-37" w:right="-44" w:rightChars="-21"/>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采购数量</w:t>
            </w:r>
          </w:p>
        </w:tc>
        <w:tc>
          <w:tcPr>
            <w:tcW w:w="1127" w:type="dxa"/>
            <w:vMerge w:val="restart"/>
            <w:tcBorders>
              <w:top w:val="single" w:color="auto" w:sz="4" w:space="0"/>
              <w:left w:val="single" w:color="auto" w:sz="4" w:space="0"/>
              <w:bottom w:val="single" w:color="auto" w:sz="4" w:space="0"/>
              <w:right w:val="single" w:color="auto" w:sz="4" w:space="0"/>
            </w:tcBorders>
            <w:vAlign w:val="center"/>
          </w:tcPr>
          <w:p w14:paraId="13BD117E">
            <w:pPr>
              <w:snapToGrid w:val="0"/>
              <w:ind w:left="-78" w:leftChars="-37" w:right="-44" w:rightChars="-21"/>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合同金额</w:t>
            </w:r>
          </w:p>
          <w:p w14:paraId="389A5EAF">
            <w:pPr>
              <w:snapToGrid w:val="0"/>
              <w:ind w:left="-78" w:leftChars="-37" w:right="-44" w:rightChars="-21"/>
              <w:jc w:val="center"/>
              <w:rPr>
                <w:rFonts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844" w:type="dxa"/>
            <w:vMerge w:val="restart"/>
            <w:tcBorders>
              <w:top w:val="single" w:color="auto" w:sz="4" w:space="0"/>
              <w:left w:val="single" w:color="auto" w:sz="4" w:space="0"/>
              <w:right w:val="single" w:color="auto" w:sz="4" w:space="0"/>
            </w:tcBorders>
            <w:vAlign w:val="center"/>
          </w:tcPr>
          <w:p w14:paraId="2318C98B">
            <w:pPr>
              <w:snapToGrid w:val="0"/>
              <w:ind w:left="-78" w:leftChars="-37" w:right="-44" w:rightChars="-21"/>
              <w:jc w:val="center"/>
              <w:rPr>
                <w:rFonts w:ascii="仿宋" w:hAnsi="仿宋" w:eastAsia="仿宋" w:cs="仿宋"/>
                <w:color w:val="auto"/>
                <w:sz w:val="24"/>
                <w:highlight w:val="none"/>
              </w:rPr>
            </w:pPr>
            <w:r>
              <w:rPr>
                <w:rFonts w:hint="eastAsia" w:ascii="仿宋" w:hAnsi="仿宋" w:eastAsia="仿宋" w:cs="仿宋"/>
                <w:color w:val="auto"/>
                <w:sz w:val="24"/>
                <w:highlight w:val="none"/>
              </w:rPr>
              <w:t>签约及完成日期</w:t>
            </w:r>
          </w:p>
        </w:tc>
        <w:tc>
          <w:tcPr>
            <w:tcW w:w="2312" w:type="dxa"/>
            <w:gridSpan w:val="3"/>
            <w:tcBorders>
              <w:top w:val="single" w:color="auto" w:sz="4" w:space="0"/>
              <w:left w:val="single" w:color="auto" w:sz="4" w:space="0"/>
              <w:bottom w:val="single" w:color="auto" w:sz="4" w:space="0"/>
              <w:right w:val="single" w:color="auto" w:sz="4" w:space="0"/>
            </w:tcBorders>
            <w:vAlign w:val="center"/>
          </w:tcPr>
          <w:p w14:paraId="2338EE53">
            <w:pPr>
              <w:snapToGrid w:val="0"/>
              <w:ind w:left="-78" w:leftChars="-37" w:right="-44" w:rightChars="-21"/>
              <w:jc w:val="center"/>
              <w:rPr>
                <w:rFonts w:ascii="仿宋" w:hAnsi="仿宋" w:eastAsia="仿宋" w:cs="仿宋"/>
                <w:color w:val="auto"/>
                <w:sz w:val="24"/>
                <w:highlight w:val="none"/>
              </w:rPr>
            </w:pPr>
            <w:r>
              <w:rPr>
                <w:rFonts w:hint="eastAsia" w:ascii="仿宋" w:hAnsi="仿宋" w:eastAsia="仿宋" w:cs="仿宋"/>
                <w:color w:val="auto"/>
                <w:sz w:val="24"/>
                <w:highlight w:val="none"/>
              </w:rPr>
              <w:t>附件页码</w:t>
            </w:r>
          </w:p>
        </w:tc>
        <w:tc>
          <w:tcPr>
            <w:tcW w:w="1301" w:type="dxa"/>
            <w:vMerge w:val="restart"/>
            <w:tcBorders>
              <w:top w:val="single" w:color="auto" w:sz="4" w:space="0"/>
              <w:left w:val="single" w:color="auto" w:sz="4" w:space="0"/>
              <w:bottom w:val="single" w:color="auto" w:sz="4" w:space="0"/>
              <w:right w:val="single" w:color="auto" w:sz="4" w:space="0"/>
            </w:tcBorders>
            <w:vAlign w:val="center"/>
          </w:tcPr>
          <w:p w14:paraId="02CFC182">
            <w:pPr>
              <w:snapToGrid w:val="0"/>
              <w:ind w:left="-78" w:leftChars="-37" w:right="-44" w:rightChars="-21"/>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采购人联系人及联系电话</w:t>
            </w:r>
          </w:p>
        </w:tc>
      </w:tr>
      <w:tr w14:paraId="35980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1AA6756C">
            <w:pPr>
              <w:widowControl/>
              <w:jc w:val="left"/>
              <w:rPr>
                <w:rFonts w:ascii="仿宋" w:hAnsi="仿宋" w:eastAsia="仿宋" w:cs="仿宋"/>
                <w:color w:val="auto"/>
                <w:sz w:val="24"/>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26FC2352">
            <w:pPr>
              <w:widowControl/>
              <w:jc w:val="left"/>
              <w:rPr>
                <w:rFonts w:ascii="仿宋" w:hAnsi="仿宋" w:eastAsia="仿宋" w:cs="仿宋"/>
                <w:color w:val="auto"/>
                <w:sz w:val="24"/>
                <w:highlight w:val="none"/>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14:paraId="357D0E73">
            <w:pPr>
              <w:widowControl/>
              <w:jc w:val="left"/>
              <w:rPr>
                <w:rFonts w:ascii="仿宋" w:hAnsi="仿宋" w:eastAsia="仿宋" w:cs="仿宋"/>
                <w:color w:val="auto"/>
                <w:sz w:val="24"/>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4C3DBF7C">
            <w:pPr>
              <w:widowControl/>
              <w:jc w:val="left"/>
              <w:rPr>
                <w:rFonts w:ascii="仿宋" w:hAnsi="仿宋" w:eastAsia="仿宋" w:cs="仿宋"/>
                <w:color w:val="auto"/>
                <w:sz w:val="24"/>
                <w:highlight w:val="none"/>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14:paraId="25971427">
            <w:pPr>
              <w:widowControl/>
              <w:jc w:val="left"/>
              <w:rPr>
                <w:rFonts w:ascii="仿宋" w:hAnsi="仿宋" w:eastAsia="仿宋" w:cs="仿宋"/>
                <w:color w:val="auto"/>
                <w:sz w:val="24"/>
                <w:highlight w:val="none"/>
              </w:rPr>
            </w:pPr>
          </w:p>
        </w:tc>
        <w:tc>
          <w:tcPr>
            <w:tcW w:w="844" w:type="dxa"/>
            <w:vMerge w:val="continue"/>
            <w:tcBorders>
              <w:left w:val="single" w:color="auto" w:sz="4" w:space="0"/>
              <w:bottom w:val="single" w:color="auto" w:sz="4" w:space="0"/>
              <w:right w:val="single" w:color="auto" w:sz="4" w:space="0"/>
            </w:tcBorders>
            <w:vAlign w:val="center"/>
          </w:tcPr>
          <w:p w14:paraId="2E83A931">
            <w:pPr>
              <w:snapToGrid w:val="0"/>
              <w:jc w:val="center"/>
              <w:rPr>
                <w:rFonts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0E4ACDA6">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w:t>
            </w:r>
          </w:p>
        </w:tc>
        <w:tc>
          <w:tcPr>
            <w:tcW w:w="865" w:type="dxa"/>
            <w:tcBorders>
              <w:top w:val="single" w:color="auto" w:sz="4" w:space="0"/>
              <w:left w:val="single" w:color="auto" w:sz="4" w:space="0"/>
              <w:bottom w:val="single" w:color="auto" w:sz="4" w:space="0"/>
              <w:right w:val="single" w:color="auto" w:sz="4" w:space="0"/>
            </w:tcBorders>
            <w:vAlign w:val="center"/>
          </w:tcPr>
          <w:p w14:paraId="63C35AB8">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验收报告</w:t>
            </w:r>
          </w:p>
        </w:tc>
        <w:tc>
          <w:tcPr>
            <w:tcW w:w="747" w:type="dxa"/>
            <w:tcBorders>
              <w:top w:val="single" w:color="auto" w:sz="4" w:space="0"/>
              <w:left w:val="single" w:color="auto" w:sz="4" w:space="0"/>
              <w:bottom w:val="single" w:color="auto" w:sz="4" w:space="0"/>
              <w:right w:val="single" w:color="auto" w:sz="4" w:space="0"/>
            </w:tcBorders>
            <w:vAlign w:val="center"/>
          </w:tcPr>
          <w:p w14:paraId="1AEACC7E">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用户评价</w:t>
            </w:r>
          </w:p>
        </w:tc>
        <w:tc>
          <w:tcPr>
            <w:tcW w:w="1301" w:type="dxa"/>
            <w:vMerge w:val="continue"/>
            <w:tcBorders>
              <w:top w:val="single" w:color="auto" w:sz="4" w:space="0"/>
              <w:left w:val="single" w:color="auto" w:sz="4" w:space="0"/>
              <w:bottom w:val="single" w:color="auto" w:sz="4" w:space="0"/>
              <w:right w:val="single" w:color="auto" w:sz="4" w:space="0"/>
            </w:tcBorders>
            <w:vAlign w:val="center"/>
          </w:tcPr>
          <w:p w14:paraId="6E0ACF98">
            <w:pPr>
              <w:widowControl/>
              <w:jc w:val="left"/>
              <w:rPr>
                <w:rFonts w:ascii="仿宋" w:hAnsi="仿宋" w:eastAsia="仿宋" w:cs="仿宋"/>
                <w:color w:val="auto"/>
                <w:sz w:val="24"/>
                <w:highlight w:val="none"/>
              </w:rPr>
            </w:pPr>
          </w:p>
        </w:tc>
      </w:tr>
      <w:tr w14:paraId="3D4FC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4C96543">
            <w:pPr>
              <w:snapToGrid w:val="0"/>
              <w:jc w:val="center"/>
              <w:rPr>
                <w:rFonts w:ascii="仿宋" w:hAnsi="仿宋" w:eastAsia="仿宋" w:cs="仿宋"/>
                <w:color w:val="auto"/>
                <w:sz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5205384D">
            <w:pPr>
              <w:snapToGrid w:val="0"/>
              <w:jc w:val="center"/>
              <w:rPr>
                <w:rFonts w:ascii="仿宋" w:hAnsi="仿宋" w:eastAsia="仿宋" w:cs="仿宋"/>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5BD7705E">
            <w:pPr>
              <w:snapToGrid w:val="0"/>
              <w:jc w:val="center"/>
              <w:rPr>
                <w:rFonts w:ascii="仿宋" w:hAnsi="仿宋" w:eastAsia="仿宋" w:cs="仿宋"/>
                <w:color w:val="auto"/>
                <w:sz w:val="24"/>
                <w:highlight w:val="none"/>
              </w:rPr>
            </w:pPr>
          </w:p>
        </w:tc>
        <w:tc>
          <w:tcPr>
            <w:tcW w:w="698" w:type="dxa"/>
            <w:tcBorders>
              <w:top w:val="single" w:color="auto" w:sz="4" w:space="0"/>
              <w:left w:val="single" w:color="auto" w:sz="4" w:space="0"/>
              <w:bottom w:val="single" w:color="auto" w:sz="4" w:space="0"/>
              <w:right w:val="single" w:color="auto" w:sz="4" w:space="0"/>
            </w:tcBorders>
            <w:vAlign w:val="center"/>
          </w:tcPr>
          <w:p w14:paraId="213D7A4C">
            <w:pPr>
              <w:snapToGrid w:val="0"/>
              <w:jc w:val="center"/>
              <w:rPr>
                <w:rFonts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14:paraId="04DBAC04">
            <w:pPr>
              <w:snapToGrid w:val="0"/>
              <w:jc w:val="center"/>
              <w:rPr>
                <w:rFonts w:ascii="仿宋" w:hAnsi="仿宋" w:eastAsia="仿宋" w:cs="仿宋"/>
                <w:color w:val="auto"/>
                <w:sz w:val="24"/>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75D2A893">
            <w:pPr>
              <w:snapToGrid w:val="0"/>
              <w:jc w:val="center"/>
              <w:rPr>
                <w:rFonts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6796C9A1">
            <w:pPr>
              <w:snapToGrid w:val="0"/>
              <w:jc w:val="center"/>
              <w:rPr>
                <w:rFonts w:ascii="仿宋" w:hAnsi="仿宋" w:eastAsia="仿宋" w:cs="仿宋"/>
                <w:color w:val="auto"/>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2C96931">
            <w:pPr>
              <w:snapToGrid w:val="0"/>
              <w:jc w:val="center"/>
              <w:rPr>
                <w:rFonts w:ascii="仿宋" w:hAnsi="仿宋" w:eastAsia="仿宋" w:cs="仿宋"/>
                <w:color w:val="auto"/>
                <w:sz w:val="24"/>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56AAD1E8">
            <w:pPr>
              <w:snapToGrid w:val="0"/>
              <w:jc w:val="center"/>
              <w:rPr>
                <w:rFonts w:ascii="仿宋" w:hAnsi="仿宋" w:eastAsia="仿宋" w:cs="仿宋"/>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5A4B4A46">
            <w:pPr>
              <w:snapToGrid w:val="0"/>
              <w:jc w:val="center"/>
              <w:rPr>
                <w:rFonts w:ascii="仿宋" w:hAnsi="仿宋" w:eastAsia="仿宋" w:cs="仿宋"/>
                <w:color w:val="auto"/>
                <w:sz w:val="24"/>
                <w:highlight w:val="none"/>
              </w:rPr>
            </w:pPr>
          </w:p>
        </w:tc>
      </w:tr>
      <w:tr w14:paraId="10E83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B9FC996">
            <w:pPr>
              <w:snapToGrid w:val="0"/>
              <w:spacing w:before="50" w:after="120" w:after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842" w:type="dxa"/>
            <w:tcBorders>
              <w:top w:val="single" w:color="auto" w:sz="4" w:space="0"/>
              <w:left w:val="single" w:color="auto" w:sz="4" w:space="0"/>
              <w:bottom w:val="single" w:color="auto" w:sz="4" w:space="0"/>
              <w:right w:val="single" w:color="auto" w:sz="4" w:space="0"/>
            </w:tcBorders>
            <w:vAlign w:val="center"/>
          </w:tcPr>
          <w:p w14:paraId="317AD2B4">
            <w:pPr>
              <w:snapToGrid w:val="0"/>
              <w:spacing w:before="50" w:after="120" w:afterLines="50"/>
              <w:jc w:val="center"/>
              <w:rPr>
                <w:rFonts w:ascii="仿宋" w:hAnsi="仿宋" w:eastAsia="仿宋" w:cs="仿宋"/>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1DAB85C5">
            <w:pPr>
              <w:snapToGrid w:val="0"/>
              <w:spacing w:before="50" w:after="120" w:afterLines="50"/>
              <w:jc w:val="center"/>
              <w:rPr>
                <w:rFonts w:ascii="仿宋" w:hAnsi="仿宋" w:eastAsia="仿宋" w:cs="仿宋"/>
                <w:color w:val="auto"/>
                <w:sz w:val="24"/>
                <w:highlight w:val="none"/>
              </w:rPr>
            </w:pPr>
          </w:p>
        </w:tc>
        <w:tc>
          <w:tcPr>
            <w:tcW w:w="698" w:type="dxa"/>
            <w:tcBorders>
              <w:top w:val="single" w:color="auto" w:sz="4" w:space="0"/>
              <w:left w:val="single" w:color="auto" w:sz="4" w:space="0"/>
              <w:bottom w:val="single" w:color="auto" w:sz="4" w:space="0"/>
              <w:right w:val="single" w:color="auto" w:sz="4" w:space="0"/>
            </w:tcBorders>
            <w:vAlign w:val="center"/>
          </w:tcPr>
          <w:p w14:paraId="491AEEA0">
            <w:pPr>
              <w:snapToGrid w:val="0"/>
              <w:spacing w:before="50" w:after="120" w:afterLines="50"/>
              <w:jc w:val="center"/>
              <w:rPr>
                <w:rFonts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14:paraId="7CAF674B">
            <w:pPr>
              <w:snapToGrid w:val="0"/>
              <w:spacing w:before="50" w:after="120" w:afterLines="50"/>
              <w:jc w:val="center"/>
              <w:rPr>
                <w:rFonts w:ascii="仿宋" w:hAnsi="仿宋" w:eastAsia="仿宋" w:cs="仿宋"/>
                <w:color w:val="auto"/>
                <w:sz w:val="24"/>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77057AB2">
            <w:pPr>
              <w:snapToGrid w:val="0"/>
              <w:spacing w:before="50" w:after="120" w:afterLines="50"/>
              <w:jc w:val="center"/>
              <w:rPr>
                <w:rFonts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1F66AB71">
            <w:pPr>
              <w:snapToGrid w:val="0"/>
              <w:spacing w:before="50" w:after="120" w:afterLines="50"/>
              <w:jc w:val="center"/>
              <w:rPr>
                <w:rFonts w:ascii="仿宋" w:hAnsi="仿宋" w:eastAsia="仿宋" w:cs="仿宋"/>
                <w:color w:val="auto"/>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508045C1">
            <w:pPr>
              <w:snapToGrid w:val="0"/>
              <w:spacing w:before="50" w:after="120" w:afterLines="50"/>
              <w:jc w:val="center"/>
              <w:rPr>
                <w:rFonts w:ascii="仿宋" w:hAnsi="仿宋" w:eastAsia="仿宋" w:cs="仿宋"/>
                <w:color w:val="auto"/>
                <w:sz w:val="24"/>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61C3970F">
            <w:pPr>
              <w:snapToGrid w:val="0"/>
              <w:spacing w:before="50" w:after="120" w:afterLines="50"/>
              <w:jc w:val="center"/>
              <w:rPr>
                <w:rFonts w:ascii="仿宋" w:hAnsi="仿宋" w:eastAsia="仿宋" w:cs="仿宋"/>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7EBCEF2A">
            <w:pPr>
              <w:snapToGrid w:val="0"/>
              <w:spacing w:before="50" w:after="120" w:afterLines="50"/>
              <w:jc w:val="center"/>
              <w:rPr>
                <w:rFonts w:ascii="仿宋" w:hAnsi="仿宋" w:eastAsia="仿宋" w:cs="仿宋"/>
                <w:color w:val="auto"/>
                <w:sz w:val="24"/>
                <w:highlight w:val="none"/>
              </w:rPr>
            </w:pPr>
          </w:p>
        </w:tc>
      </w:tr>
    </w:tbl>
    <w:p w14:paraId="15B52AF9">
      <w:pPr>
        <w:pStyle w:val="49"/>
        <w:snapToGrid w:val="0"/>
        <w:ind w:left="480" w:hanging="480"/>
        <w:jc w:val="left"/>
        <w:rPr>
          <w:rFonts w:ascii="仿宋" w:hAnsi="仿宋" w:eastAsia="仿宋" w:cs="仿宋"/>
          <w:color w:val="auto"/>
          <w:sz w:val="24"/>
          <w:highlight w:val="none"/>
        </w:rPr>
      </w:pPr>
      <w:r>
        <w:rPr>
          <w:rFonts w:hint="eastAsia" w:ascii="仿宋" w:hAnsi="仿宋" w:eastAsia="仿宋" w:cs="仿宋"/>
          <w:color w:val="auto"/>
          <w:sz w:val="24"/>
          <w:highlight w:val="none"/>
        </w:rPr>
        <w:t>此表后附合同电子文档等相关证明材料，并提供原件核对。</w:t>
      </w:r>
    </w:p>
    <w:p w14:paraId="12757E69">
      <w:pPr>
        <w:pStyle w:val="49"/>
        <w:snapToGrid w:val="0"/>
        <w:ind w:left="480" w:hanging="480"/>
        <w:jc w:val="left"/>
        <w:rPr>
          <w:rFonts w:ascii="仿宋" w:hAnsi="仿宋" w:eastAsia="仿宋" w:cs="仿宋"/>
          <w:color w:val="auto"/>
          <w:sz w:val="24"/>
          <w:highlight w:val="none"/>
        </w:rPr>
      </w:pPr>
    </w:p>
    <w:p w14:paraId="0FFECE84">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636542C6">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85D197D">
      <w:pPr>
        <w:pStyle w:val="981"/>
        <w:spacing w:line="360" w:lineRule="auto"/>
        <w:rPr>
          <w:rFonts w:ascii="仿宋" w:hAnsi="仿宋" w:eastAsia="仿宋" w:cs="仿宋"/>
          <w:color w:val="auto"/>
          <w:spacing w:val="20"/>
          <w:sz w:val="24"/>
          <w:highlight w:val="none"/>
          <w:u w:val="single"/>
        </w:rPr>
      </w:pPr>
    </w:p>
    <w:p w14:paraId="187977D5">
      <w:pPr>
        <w:pStyle w:val="6"/>
        <w:adjustRightInd/>
        <w:spacing w:before="0" w:after="0" w:line="360" w:lineRule="auto"/>
        <w:ind w:left="0" w:firstLine="0"/>
        <w:jc w:val="center"/>
        <w:rPr>
          <w:rFonts w:ascii="仿宋" w:hAnsi="仿宋" w:eastAsia="仿宋" w:cs="仿宋"/>
          <w:color w:val="auto"/>
          <w:highlight w:val="none"/>
        </w:rPr>
      </w:pPr>
      <w:bookmarkStart w:id="510" w:name="_Toc139797672"/>
      <w:bookmarkStart w:id="511" w:name="_Toc531359061"/>
      <w:bookmarkStart w:id="512" w:name="_Toc96338172"/>
      <w:bookmarkStart w:id="513" w:name="_Toc16440"/>
      <w:bookmarkStart w:id="514" w:name="_Toc7548"/>
      <w:r>
        <w:rPr>
          <w:rFonts w:hint="eastAsia" w:ascii="仿宋" w:hAnsi="仿宋" w:eastAsia="仿宋" w:cs="仿宋"/>
          <w:color w:val="auto"/>
          <w:highlight w:val="none"/>
        </w:rPr>
        <w:t xml:space="preserve">2.5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商务响应表</w:t>
      </w:r>
      <w:bookmarkEnd w:id="508"/>
      <w:bookmarkEnd w:id="509"/>
      <w:bookmarkEnd w:id="510"/>
      <w:bookmarkEnd w:id="511"/>
      <w:bookmarkEnd w:id="512"/>
      <w:bookmarkEnd w:id="513"/>
      <w:bookmarkEnd w:id="514"/>
    </w:p>
    <w:p w14:paraId="6444FBA6">
      <w:pPr>
        <w:pStyle w:val="977"/>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项目编号：</w:t>
      </w:r>
    </w:p>
    <w:p w14:paraId="0845137A">
      <w:pPr>
        <w:pStyle w:val="977"/>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项目名称：                               标项（若有）：</w:t>
      </w:r>
    </w:p>
    <w:tbl>
      <w:tblPr>
        <w:tblStyle w:val="6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3C26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1C78D242">
            <w:pPr>
              <w:pStyle w:val="977"/>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27" w:type="dxa"/>
            <w:shd w:val="clear" w:color="auto" w:fill="auto"/>
            <w:vAlign w:val="center"/>
          </w:tcPr>
          <w:p w14:paraId="0A95FC06">
            <w:pPr>
              <w:pStyle w:val="977"/>
              <w:jc w:val="center"/>
              <w:rPr>
                <w:rFonts w:ascii="仿宋" w:hAnsi="仿宋" w:eastAsia="仿宋" w:cs="仿宋"/>
                <w:color w:val="auto"/>
                <w:sz w:val="24"/>
                <w:highlight w:val="none"/>
              </w:rPr>
            </w:pPr>
            <w:r>
              <w:rPr>
                <w:rFonts w:hint="eastAsia" w:ascii="仿宋" w:hAnsi="仿宋" w:eastAsia="仿宋" w:cs="仿宋"/>
                <w:color w:val="auto"/>
                <w:sz w:val="24"/>
                <w:highlight w:val="none"/>
              </w:rPr>
              <w:t>类别</w:t>
            </w:r>
          </w:p>
        </w:tc>
        <w:tc>
          <w:tcPr>
            <w:tcW w:w="2546" w:type="dxa"/>
            <w:shd w:val="clear" w:color="auto" w:fill="auto"/>
            <w:vAlign w:val="center"/>
          </w:tcPr>
          <w:p w14:paraId="3B80AD7B">
            <w:pPr>
              <w:pStyle w:val="977"/>
              <w:jc w:val="center"/>
              <w:rPr>
                <w:rFonts w:ascii="仿宋" w:hAnsi="仿宋" w:eastAsia="仿宋" w:cs="仿宋"/>
                <w:color w:val="auto"/>
                <w:sz w:val="24"/>
                <w:highlight w:val="none"/>
              </w:rPr>
            </w:pPr>
            <w:r>
              <w:rPr>
                <w:rFonts w:hint="eastAsia" w:ascii="仿宋" w:hAnsi="仿宋" w:eastAsia="仿宋" w:cs="仿宋"/>
                <w:color w:val="auto"/>
                <w:sz w:val="24"/>
                <w:highlight w:val="none"/>
              </w:rPr>
              <w:t>磋商文件要求</w:t>
            </w:r>
          </w:p>
        </w:tc>
        <w:tc>
          <w:tcPr>
            <w:tcW w:w="2694" w:type="dxa"/>
            <w:shd w:val="clear" w:color="auto" w:fill="auto"/>
            <w:vAlign w:val="center"/>
          </w:tcPr>
          <w:p w14:paraId="3D802D5D">
            <w:pPr>
              <w:pStyle w:val="977"/>
              <w:jc w:val="center"/>
              <w:rPr>
                <w:rFonts w:ascii="仿宋" w:hAnsi="仿宋" w:eastAsia="仿宋" w:cs="仿宋"/>
                <w:color w:val="auto"/>
                <w:sz w:val="24"/>
                <w:highlight w:val="none"/>
              </w:rPr>
            </w:pPr>
            <w:r>
              <w:rPr>
                <w:rFonts w:hint="eastAsia" w:ascii="仿宋" w:hAnsi="仿宋" w:eastAsia="仿宋" w:cs="仿宋"/>
                <w:color w:val="auto"/>
                <w:sz w:val="24"/>
                <w:highlight w:val="none"/>
              </w:rPr>
              <w:t>供应商承诺</w:t>
            </w:r>
          </w:p>
        </w:tc>
        <w:tc>
          <w:tcPr>
            <w:tcW w:w="1275" w:type="dxa"/>
            <w:shd w:val="clear" w:color="auto" w:fill="auto"/>
            <w:vAlign w:val="center"/>
          </w:tcPr>
          <w:p w14:paraId="431E45DE">
            <w:pPr>
              <w:pStyle w:val="977"/>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056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4D7C62B7">
            <w:pPr>
              <w:pStyle w:val="977"/>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27" w:type="dxa"/>
            <w:shd w:val="clear" w:color="auto" w:fill="auto"/>
            <w:vAlign w:val="center"/>
          </w:tcPr>
          <w:p w14:paraId="7958A30E">
            <w:pPr>
              <w:pStyle w:val="977"/>
              <w:jc w:val="center"/>
              <w:rPr>
                <w:rFonts w:hint="default" w:ascii="仿宋" w:hAnsi="仿宋" w:eastAsia="仿宋" w:cs="仿宋"/>
                <w:color w:val="auto"/>
                <w:sz w:val="24"/>
                <w:highlight w:val="none"/>
                <w:lang w:val="en-US"/>
              </w:rPr>
            </w:pPr>
            <w:r>
              <w:rPr>
                <w:rFonts w:hint="eastAsia" w:ascii="仿宋" w:hAnsi="仿宋" w:eastAsia="仿宋" w:cs="仿宋"/>
                <w:color w:val="auto"/>
                <w:sz w:val="24"/>
                <w:szCs w:val="24"/>
                <w:highlight w:val="none"/>
                <w:lang w:val="en-US" w:eastAsia="zh-CN"/>
              </w:rPr>
              <w:t>服务内容</w:t>
            </w:r>
          </w:p>
        </w:tc>
        <w:tc>
          <w:tcPr>
            <w:tcW w:w="2546" w:type="dxa"/>
            <w:shd w:val="clear" w:color="auto" w:fill="auto"/>
            <w:vAlign w:val="center"/>
          </w:tcPr>
          <w:p w14:paraId="5A7084EF">
            <w:pPr>
              <w:pStyle w:val="977"/>
              <w:jc w:val="center"/>
              <w:rPr>
                <w:rFonts w:ascii="仿宋" w:hAnsi="仿宋" w:eastAsia="仿宋" w:cs="仿宋"/>
                <w:color w:val="auto"/>
                <w:sz w:val="24"/>
                <w:highlight w:val="none"/>
              </w:rPr>
            </w:pPr>
          </w:p>
        </w:tc>
        <w:tc>
          <w:tcPr>
            <w:tcW w:w="2694" w:type="dxa"/>
            <w:shd w:val="clear" w:color="auto" w:fill="auto"/>
            <w:vAlign w:val="center"/>
          </w:tcPr>
          <w:p w14:paraId="7CE746E8">
            <w:pPr>
              <w:pStyle w:val="977"/>
              <w:jc w:val="center"/>
              <w:rPr>
                <w:rFonts w:ascii="仿宋" w:hAnsi="仿宋" w:eastAsia="仿宋" w:cs="仿宋"/>
                <w:color w:val="auto"/>
                <w:sz w:val="24"/>
                <w:highlight w:val="none"/>
              </w:rPr>
            </w:pPr>
          </w:p>
        </w:tc>
        <w:tc>
          <w:tcPr>
            <w:tcW w:w="1275" w:type="dxa"/>
            <w:shd w:val="clear" w:color="auto" w:fill="auto"/>
            <w:vAlign w:val="center"/>
          </w:tcPr>
          <w:p w14:paraId="25F91B33">
            <w:pPr>
              <w:pStyle w:val="977"/>
              <w:jc w:val="center"/>
              <w:rPr>
                <w:rFonts w:ascii="仿宋" w:hAnsi="仿宋" w:eastAsia="仿宋" w:cs="仿宋"/>
                <w:color w:val="auto"/>
                <w:sz w:val="24"/>
                <w:highlight w:val="none"/>
              </w:rPr>
            </w:pPr>
          </w:p>
        </w:tc>
      </w:tr>
      <w:tr w14:paraId="2A4E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71461514">
            <w:pPr>
              <w:pStyle w:val="977"/>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927" w:type="dxa"/>
            <w:shd w:val="clear" w:color="auto" w:fill="auto"/>
            <w:vAlign w:val="center"/>
          </w:tcPr>
          <w:p w14:paraId="7C15F7C6">
            <w:pPr>
              <w:pStyle w:val="977"/>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服务要求</w:t>
            </w:r>
          </w:p>
        </w:tc>
        <w:tc>
          <w:tcPr>
            <w:tcW w:w="2546" w:type="dxa"/>
            <w:shd w:val="clear" w:color="auto" w:fill="auto"/>
            <w:vAlign w:val="center"/>
          </w:tcPr>
          <w:p w14:paraId="01D5323E">
            <w:pPr>
              <w:pStyle w:val="977"/>
              <w:jc w:val="center"/>
              <w:rPr>
                <w:rFonts w:ascii="仿宋" w:hAnsi="仿宋" w:eastAsia="仿宋" w:cs="仿宋"/>
                <w:color w:val="auto"/>
                <w:sz w:val="24"/>
                <w:highlight w:val="none"/>
              </w:rPr>
            </w:pPr>
          </w:p>
        </w:tc>
        <w:tc>
          <w:tcPr>
            <w:tcW w:w="2694" w:type="dxa"/>
            <w:shd w:val="clear" w:color="auto" w:fill="auto"/>
            <w:vAlign w:val="center"/>
          </w:tcPr>
          <w:p w14:paraId="785F65AF">
            <w:pPr>
              <w:pStyle w:val="977"/>
              <w:jc w:val="center"/>
              <w:rPr>
                <w:rFonts w:ascii="仿宋" w:hAnsi="仿宋" w:eastAsia="仿宋" w:cs="仿宋"/>
                <w:color w:val="auto"/>
                <w:sz w:val="24"/>
                <w:highlight w:val="none"/>
              </w:rPr>
            </w:pPr>
          </w:p>
        </w:tc>
        <w:tc>
          <w:tcPr>
            <w:tcW w:w="1275" w:type="dxa"/>
            <w:shd w:val="clear" w:color="auto" w:fill="auto"/>
            <w:vAlign w:val="center"/>
          </w:tcPr>
          <w:p w14:paraId="6EA691D4">
            <w:pPr>
              <w:pStyle w:val="977"/>
              <w:jc w:val="center"/>
              <w:rPr>
                <w:rFonts w:ascii="仿宋" w:hAnsi="仿宋" w:eastAsia="仿宋" w:cs="仿宋"/>
                <w:color w:val="auto"/>
                <w:sz w:val="24"/>
                <w:highlight w:val="none"/>
              </w:rPr>
            </w:pPr>
          </w:p>
        </w:tc>
      </w:tr>
      <w:tr w14:paraId="7B96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48F2C999">
            <w:pPr>
              <w:pStyle w:val="977"/>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27" w:type="dxa"/>
            <w:shd w:val="clear" w:color="auto" w:fill="auto"/>
            <w:vAlign w:val="center"/>
          </w:tcPr>
          <w:p w14:paraId="62459789">
            <w:pPr>
              <w:pStyle w:val="977"/>
              <w:jc w:val="center"/>
              <w:rPr>
                <w:rFonts w:hint="default" w:ascii="仿宋" w:hAnsi="仿宋" w:eastAsia="仿宋" w:cs="仿宋"/>
                <w:color w:val="auto"/>
                <w:sz w:val="24"/>
                <w:highlight w:val="none"/>
                <w:lang w:val="en-US"/>
              </w:rPr>
            </w:pPr>
            <w:r>
              <w:rPr>
                <w:rFonts w:hint="eastAsia" w:ascii="仿宋" w:hAnsi="仿宋" w:eastAsia="仿宋" w:cs="仿宋"/>
                <w:color w:val="auto"/>
                <w:sz w:val="24"/>
                <w:szCs w:val="24"/>
                <w:highlight w:val="none"/>
                <w:lang w:val="en-US" w:eastAsia="zh-CN"/>
              </w:rPr>
              <w:t>安全保密要求</w:t>
            </w:r>
          </w:p>
        </w:tc>
        <w:tc>
          <w:tcPr>
            <w:tcW w:w="2546" w:type="dxa"/>
            <w:shd w:val="clear" w:color="auto" w:fill="auto"/>
            <w:vAlign w:val="center"/>
          </w:tcPr>
          <w:p w14:paraId="0413F217">
            <w:pPr>
              <w:pStyle w:val="977"/>
              <w:jc w:val="center"/>
              <w:rPr>
                <w:rFonts w:ascii="仿宋" w:hAnsi="仿宋" w:eastAsia="仿宋" w:cs="仿宋"/>
                <w:color w:val="auto"/>
                <w:sz w:val="24"/>
                <w:highlight w:val="none"/>
              </w:rPr>
            </w:pPr>
          </w:p>
        </w:tc>
        <w:tc>
          <w:tcPr>
            <w:tcW w:w="2694" w:type="dxa"/>
            <w:shd w:val="clear" w:color="auto" w:fill="auto"/>
            <w:vAlign w:val="center"/>
          </w:tcPr>
          <w:p w14:paraId="1CBEA93C">
            <w:pPr>
              <w:pStyle w:val="977"/>
              <w:jc w:val="center"/>
              <w:rPr>
                <w:rFonts w:ascii="仿宋" w:hAnsi="仿宋" w:eastAsia="仿宋" w:cs="仿宋"/>
                <w:color w:val="auto"/>
                <w:sz w:val="24"/>
                <w:highlight w:val="none"/>
              </w:rPr>
            </w:pPr>
          </w:p>
        </w:tc>
        <w:tc>
          <w:tcPr>
            <w:tcW w:w="1275" w:type="dxa"/>
            <w:shd w:val="clear" w:color="auto" w:fill="auto"/>
            <w:vAlign w:val="center"/>
          </w:tcPr>
          <w:p w14:paraId="68777AEE">
            <w:pPr>
              <w:pStyle w:val="977"/>
              <w:jc w:val="center"/>
              <w:rPr>
                <w:rFonts w:ascii="仿宋" w:hAnsi="仿宋" w:eastAsia="仿宋" w:cs="仿宋"/>
                <w:color w:val="auto"/>
                <w:sz w:val="24"/>
                <w:highlight w:val="none"/>
              </w:rPr>
            </w:pPr>
          </w:p>
        </w:tc>
      </w:tr>
      <w:tr w14:paraId="40D2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29F0EAAB">
            <w:pPr>
              <w:pStyle w:val="977"/>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7" w:type="dxa"/>
            <w:shd w:val="clear" w:color="auto" w:fill="auto"/>
            <w:vAlign w:val="center"/>
          </w:tcPr>
          <w:p w14:paraId="4E9740D4">
            <w:pPr>
              <w:pStyle w:val="977"/>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服务期</w:t>
            </w:r>
          </w:p>
        </w:tc>
        <w:tc>
          <w:tcPr>
            <w:tcW w:w="2546" w:type="dxa"/>
            <w:shd w:val="clear" w:color="auto" w:fill="auto"/>
            <w:vAlign w:val="center"/>
          </w:tcPr>
          <w:p w14:paraId="60411BBF">
            <w:pPr>
              <w:pStyle w:val="977"/>
              <w:jc w:val="center"/>
              <w:rPr>
                <w:rFonts w:ascii="仿宋" w:hAnsi="仿宋" w:eastAsia="仿宋" w:cs="仿宋"/>
                <w:color w:val="auto"/>
                <w:sz w:val="24"/>
                <w:highlight w:val="none"/>
              </w:rPr>
            </w:pPr>
          </w:p>
        </w:tc>
        <w:tc>
          <w:tcPr>
            <w:tcW w:w="2694" w:type="dxa"/>
            <w:shd w:val="clear" w:color="auto" w:fill="auto"/>
            <w:vAlign w:val="center"/>
          </w:tcPr>
          <w:p w14:paraId="3A4B1B64">
            <w:pPr>
              <w:pStyle w:val="977"/>
              <w:jc w:val="center"/>
              <w:rPr>
                <w:rFonts w:ascii="仿宋" w:hAnsi="仿宋" w:eastAsia="仿宋" w:cs="仿宋"/>
                <w:color w:val="auto"/>
                <w:sz w:val="24"/>
                <w:highlight w:val="none"/>
              </w:rPr>
            </w:pPr>
          </w:p>
        </w:tc>
        <w:tc>
          <w:tcPr>
            <w:tcW w:w="1275" w:type="dxa"/>
            <w:shd w:val="clear" w:color="auto" w:fill="auto"/>
            <w:vAlign w:val="center"/>
          </w:tcPr>
          <w:p w14:paraId="1BB5E56D">
            <w:pPr>
              <w:pStyle w:val="977"/>
              <w:jc w:val="center"/>
              <w:rPr>
                <w:rFonts w:ascii="仿宋" w:hAnsi="仿宋" w:eastAsia="仿宋" w:cs="仿宋"/>
                <w:color w:val="auto"/>
                <w:sz w:val="24"/>
                <w:highlight w:val="none"/>
              </w:rPr>
            </w:pPr>
          </w:p>
        </w:tc>
      </w:tr>
      <w:tr w14:paraId="2D82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247CCA20">
            <w:pPr>
              <w:pStyle w:val="977"/>
              <w:jc w:val="center"/>
              <w:rPr>
                <w:rFonts w:hint="eastAsia" w:ascii="仿宋" w:hAnsi="仿宋" w:eastAsia="仿宋" w:cs="仿宋"/>
                <w:color w:val="auto"/>
                <w:sz w:val="24"/>
                <w:highlight w:val="none"/>
                <w:lang w:val="en-US" w:eastAsia="zh-CN"/>
              </w:rPr>
            </w:pPr>
            <w:bookmarkStart w:id="515" w:name="_Toc493956067"/>
            <w:bookmarkStart w:id="516" w:name="_Toc530551891"/>
            <w:r>
              <w:rPr>
                <w:rFonts w:hint="eastAsia" w:ascii="仿宋" w:hAnsi="仿宋" w:eastAsia="仿宋" w:cs="仿宋"/>
                <w:color w:val="auto"/>
                <w:sz w:val="24"/>
                <w:highlight w:val="none"/>
                <w:lang w:val="en-US" w:eastAsia="zh-CN"/>
              </w:rPr>
              <w:t>5</w:t>
            </w:r>
          </w:p>
        </w:tc>
        <w:tc>
          <w:tcPr>
            <w:tcW w:w="1927" w:type="dxa"/>
            <w:shd w:val="clear" w:color="auto" w:fill="auto"/>
            <w:vAlign w:val="center"/>
          </w:tcPr>
          <w:p w14:paraId="6A617C03">
            <w:pPr>
              <w:pStyle w:val="977"/>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付款方式</w:t>
            </w:r>
          </w:p>
        </w:tc>
        <w:tc>
          <w:tcPr>
            <w:tcW w:w="2546" w:type="dxa"/>
            <w:shd w:val="clear" w:color="auto" w:fill="auto"/>
            <w:vAlign w:val="center"/>
          </w:tcPr>
          <w:p w14:paraId="6E98E982">
            <w:pPr>
              <w:pStyle w:val="977"/>
              <w:jc w:val="center"/>
              <w:rPr>
                <w:rFonts w:ascii="仿宋" w:hAnsi="仿宋" w:eastAsia="仿宋" w:cs="仿宋"/>
                <w:color w:val="auto"/>
                <w:sz w:val="24"/>
                <w:highlight w:val="none"/>
              </w:rPr>
            </w:pPr>
          </w:p>
        </w:tc>
        <w:tc>
          <w:tcPr>
            <w:tcW w:w="2694" w:type="dxa"/>
            <w:shd w:val="clear" w:color="auto" w:fill="auto"/>
            <w:vAlign w:val="center"/>
          </w:tcPr>
          <w:p w14:paraId="0806F6F1">
            <w:pPr>
              <w:pStyle w:val="977"/>
              <w:jc w:val="center"/>
              <w:rPr>
                <w:rFonts w:ascii="仿宋" w:hAnsi="仿宋" w:eastAsia="仿宋" w:cs="仿宋"/>
                <w:color w:val="auto"/>
                <w:sz w:val="24"/>
                <w:highlight w:val="none"/>
              </w:rPr>
            </w:pPr>
          </w:p>
        </w:tc>
        <w:tc>
          <w:tcPr>
            <w:tcW w:w="1275" w:type="dxa"/>
            <w:shd w:val="clear" w:color="auto" w:fill="auto"/>
            <w:vAlign w:val="center"/>
          </w:tcPr>
          <w:p w14:paraId="232B83B5">
            <w:pPr>
              <w:pStyle w:val="977"/>
              <w:jc w:val="center"/>
              <w:rPr>
                <w:rFonts w:ascii="仿宋" w:hAnsi="仿宋" w:eastAsia="仿宋" w:cs="仿宋"/>
                <w:color w:val="auto"/>
                <w:sz w:val="24"/>
                <w:highlight w:val="none"/>
              </w:rPr>
            </w:pPr>
          </w:p>
        </w:tc>
      </w:tr>
    </w:tbl>
    <w:p w14:paraId="4FBCA463">
      <w:pPr>
        <w:pStyle w:val="49"/>
        <w:snapToGrid w:val="0"/>
        <w:ind w:left="480" w:hanging="480"/>
        <w:jc w:val="left"/>
        <w:rPr>
          <w:rFonts w:ascii="仿宋" w:hAnsi="仿宋" w:eastAsia="仿宋" w:cs="仿宋"/>
          <w:color w:val="auto"/>
          <w:sz w:val="24"/>
          <w:highlight w:val="none"/>
        </w:rPr>
      </w:pPr>
    </w:p>
    <w:p w14:paraId="75CDDE40">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5BD307C9">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CBD6FFC">
      <w:pPr>
        <w:pStyle w:val="158"/>
        <w:spacing w:line="360" w:lineRule="auto"/>
        <w:ind w:firstLine="480"/>
        <w:jc w:val="right"/>
        <w:rPr>
          <w:rFonts w:ascii="仿宋" w:hAnsi="仿宋" w:eastAsia="仿宋" w:cs="仿宋"/>
          <w:color w:val="auto"/>
          <w:sz w:val="24"/>
          <w:szCs w:val="21"/>
          <w:highlight w:val="none"/>
          <w:u w:val="single"/>
        </w:rPr>
      </w:pPr>
    </w:p>
    <w:p w14:paraId="702642F3">
      <w:pPr>
        <w:pStyle w:val="158"/>
        <w:spacing w:line="360" w:lineRule="auto"/>
        <w:ind w:firstLine="480"/>
        <w:jc w:val="right"/>
        <w:rPr>
          <w:rFonts w:ascii="仿宋" w:hAnsi="仿宋" w:eastAsia="仿宋" w:cs="仿宋"/>
          <w:color w:val="auto"/>
          <w:sz w:val="24"/>
          <w:szCs w:val="21"/>
          <w:highlight w:val="none"/>
          <w:u w:val="single"/>
        </w:rPr>
      </w:pPr>
    </w:p>
    <w:p w14:paraId="06A976EB">
      <w:pPr>
        <w:pStyle w:val="158"/>
        <w:spacing w:line="360" w:lineRule="auto"/>
        <w:ind w:firstLine="480"/>
        <w:jc w:val="right"/>
        <w:rPr>
          <w:rFonts w:ascii="仿宋" w:hAnsi="仿宋" w:eastAsia="仿宋" w:cs="仿宋"/>
          <w:color w:val="auto"/>
          <w:sz w:val="24"/>
          <w:szCs w:val="21"/>
          <w:highlight w:val="none"/>
          <w:u w:val="single"/>
        </w:rPr>
      </w:pPr>
    </w:p>
    <w:p w14:paraId="5D41A43E">
      <w:pPr>
        <w:pStyle w:val="158"/>
        <w:spacing w:line="360" w:lineRule="auto"/>
        <w:ind w:firstLine="480"/>
        <w:jc w:val="right"/>
        <w:rPr>
          <w:rFonts w:ascii="仿宋" w:hAnsi="仿宋" w:eastAsia="仿宋" w:cs="仿宋"/>
          <w:color w:val="auto"/>
          <w:sz w:val="24"/>
          <w:szCs w:val="21"/>
          <w:highlight w:val="none"/>
          <w:u w:val="single"/>
        </w:rPr>
      </w:pPr>
    </w:p>
    <w:p w14:paraId="5F92C8BD">
      <w:pPr>
        <w:pStyle w:val="158"/>
        <w:spacing w:line="360" w:lineRule="auto"/>
        <w:ind w:firstLine="480"/>
        <w:jc w:val="right"/>
        <w:rPr>
          <w:rFonts w:ascii="仿宋" w:hAnsi="仿宋" w:eastAsia="仿宋" w:cs="仿宋"/>
          <w:color w:val="auto"/>
          <w:sz w:val="24"/>
          <w:szCs w:val="21"/>
          <w:highlight w:val="none"/>
          <w:u w:val="single"/>
        </w:rPr>
      </w:pPr>
    </w:p>
    <w:bookmarkEnd w:id="515"/>
    <w:bookmarkEnd w:id="516"/>
    <w:p w14:paraId="54EDC94D">
      <w:pPr>
        <w:widowControl/>
        <w:rPr>
          <w:rFonts w:ascii="仿宋" w:hAnsi="仿宋" w:eastAsia="仿宋" w:cs="仿宋"/>
          <w:color w:val="auto"/>
          <w:kern w:val="0"/>
          <w:sz w:val="24"/>
          <w:highlight w:val="none"/>
        </w:rPr>
      </w:pPr>
      <w:bookmarkStart w:id="517" w:name="_Toc531359062"/>
      <w:bookmarkStart w:id="518" w:name="_Toc96338067"/>
      <w:bookmarkStart w:id="519" w:name="_Toc96338162"/>
    </w:p>
    <w:bookmarkEnd w:id="517"/>
    <w:bookmarkEnd w:id="518"/>
    <w:p w14:paraId="79BD0A70">
      <w:pPr>
        <w:pStyle w:val="6"/>
        <w:adjustRightInd/>
        <w:spacing w:before="0" w:after="0" w:line="360" w:lineRule="auto"/>
        <w:ind w:left="0" w:firstLine="0"/>
        <w:jc w:val="center"/>
        <w:rPr>
          <w:rFonts w:ascii="仿宋" w:hAnsi="仿宋" w:eastAsia="仿宋" w:cs="仿宋"/>
          <w:color w:val="auto"/>
          <w:highlight w:val="none"/>
        </w:rPr>
      </w:pPr>
      <w:bookmarkStart w:id="520" w:name="_Toc8579"/>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需求理解分析</w:t>
      </w:r>
      <w:bookmarkEnd w:id="520"/>
    </w:p>
    <w:p w14:paraId="127F1181">
      <w:pPr>
        <w:pStyle w:val="97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3E2A1E33">
      <w:pPr>
        <w:pStyle w:val="158"/>
        <w:wordWrap w:val="0"/>
        <w:spacing w:line="360" w:lineRule="auto"/>
        <w:ind w:firstLine="480"/>
        <w:jc w:val="right"/>
        <w:rPr>
          <w:rFonts w:hint="eastAsia" w:ascii="仿宋" w:hAnsi="仿宋" w:eastAsia="仿宋" w:cs="仿宋"/>
          <w:color w:val="auto"/>
          <w:sz w:val="24"/>
          <w:szCs w:val="21"/>
          <w:highlight w:val="none"/>
        </w:rPr>
      </w:pPr>
    </w:p>
    <w:p w14:paraId="7DDD244C">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16D2BA7E">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0DA79EC">
      <w:pPr>
        <w:bidi w:val="0"/>
        <w:rPr>
          <w:rFonts w:hint="eastAsia"/>
          <w:color w:val="auto"/>
          <w:highlight w:val="none"/>
        </w:rPr>
      </w:pPr>
    </w:p>
    <w:p w14:paraId="21869F19">
      <w:pPr>
        <w:bidi w:val="0"/>
        <w:rPr>
          <w:rFonts w:hint="eastAsia"/>
          <w:color w:val="auto"/>
          <w:highlight w:val="none"/>
        </w:rPr>
      </w:pPr>
    </w:p>
    <w:p w14:paraId="00639E4A">
      <w:pPr>
        <w:pStyle w:val="6"/>
        <w:adjustRightInd/>
        <w:spacing w:before="0" w:after="0" w:line="360" w:lineRule="auto"/>
        <w:ind w:left="0" w:firstLine="0"/>
        <w:jc w:val="center"/>
        <w:rPr>
          <w:rFonts w:ascii="仿宋" w:hAnsi="仿宋" w:eastAsia="仿宋" w:cs="仿宋"/>
          <w:color w:val="auto"/>
          <w:highlight w:val="none"/>
        </w:rPr>
      </w:pPr>
      <w:bookmarkStart w:id="521" w:name="_Toc5959"/>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项目实施方案</w:t>
      </w:r>
      <w:bookmarkEnd w:id="521"/>
    </w:p>
    <w:p w14:paraId="7436CCB5">
      <w:pPr>
        <w:pStyle w:val="97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7BECFD4F">
      <w:pPr>
        <w:pStyle w:val="17"/>
        <w:rPr>
          <w:rFonts w:ascii="仿宋" w:hAnsi="仿宋" w:eastAsia="仿宋" w:cs="仿宋"/>
          <w:color w:val="auto"/>
          <w:highlight w:val="none"/>
        </w:rPr>
      </w:pPr>
    </w:p>
    <w:p w14:paraId="50A6382C">
      <w:pPr>
        <w:rPr>
          <w:rFonts w:ascii="仿宋" w:hAnsi="仿宋" w:eastAsia="仿宋" w:cs="仿宋"/>
          <w:color w:val="auto"/>
          <w:highlight w:val="none"/>
        </w:rPr>
      </w:pPr>
    </w:p>
    <w:p w14:paraId="1E7F2D76">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390EC080">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AC7624D">
      <w:pPr>
        <w:pStyle w:val="158"/>
        <w:spacing w:before="48" w:after="48" w:line="360" w:lineRule="auto"/>
        <w:ind w:firstLine="480"/>
        <w:jc w:val="right"/>
        <w:rPr>
          <w:rFonts w:ascii="仿宋" w:hAnsi="仿宋" w:eastAsia="仿宋" w:cs="仿宋"/>
          <w:color w:val="auto"/>
          <w:sz w:val="24"/>
          <w:szCs w:val="21"/>
          <w:highlight w:val="none"/>
          <w:u w:val="single"/>
        </w:rPr>
      </w:pPr>
    </w:p>
    <w:p w14:paraId="54B91E2D">
      <w:pPr>
        <w:pStyle w:val="158"/>
        <w:spacing w:before="48" w:after="48" w:line="360" w:lineRule="auto"/>
        <w:ind w:firstLine="480"/>
        <w:jc w:val="right"/>
        <w:rPr>
          <w:rFonts w:ascii="仿宋" w:hAnsi="仿宋" w:eastAsia="仿宋" w:cs="仿宋"/>
          <w:color w:val="auto"/>
          <w:sz w:val="24"/>
          <w:szCs w:val="21"/>
          <w:highlight w:val="none"/>
          <w:u w:val="single"/>
        </w:rPr>
      </w:pPr>
    </w:p>
    <w:p w14:paraId="20E9C1D5">
      <w:pPr>
        <w:pStyle w:val="158"/>
        <w:spacing w:before="48" w:after="48" w:line="360" w:lineRule="auto"/>
        <w:ind w:firstLine="480"/>
        <w:jc w:val="right"/>
        <w:rPr>
          <w:rFonts w:ascii="仿宋" w:hAnsi="仿宋" w:eastAsia="仿宋" w:cs="仿宋"/>
          <w:color w:val="auto"/>
          <w:sz w:val="24"/>
          <w:szCs w:val="21"/>
          <w:highlight w:val="none"/>
          <w:u w:val="single"/>
        </w:rPr>
      </w:pPr>
    </w:p>
    <w:p w14:paraId="22FBD70B">
      <w:pPr>
        <w:pStyle w:val="158"/>
        <w:spacing w:before="48" w:after="48" w:line="360" w:lineRule="auto"/>
        <w:ind w:firstLine="480"/>
        <w:jc w:val="right"/>
        <w:rPr>
          <w:rFonts w:ascii="仿宋" w:hAnsi="仿宋" w:eastAsia="仿宋" w:cs="仿宋"/>
          <w:color w:val="auto"/>
          <w:sz w:val="24"/>
          <w:szCs w:val="21"/>
          <w:highlight w:val="none"/>
          <w:u w:val="single"/>
        </w:rPr>
      </w:pPr>
    </w:p>
    <w:p w14:paraId="7FF5C52A">
      <w:pPr>
        <w:pStyle w:val="6"/>
        <w:adjustRightInd/>
        <w:spacing w:before="0" w:after="0" w:line="360" w:lineRule="auto"/>
        <w:ind w:left="0" w:firstLine="0"/>
        <w:jc w:val="center"/>
        <w:rPr>
          <w:rFonts w:ascii="仿宋" w:hAnsi="仿宋" w:eastAsia="仿宋" w:cs="仿宋"/>
          <w:color w:val="auto"/>
          <w:highlight w:val="none"/>
        </w:rPr>
      </w:pPr>
      <w:bookmarkStart w:id="522" w:name="_Toc12256"/>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技术服务方案</w:t>
      </w:r>
      <w:bookmarkEnd w:id="522"/>
    </w:p>
    <w:p w14:paraId="10AA9946">
      <w:pPr>
        <w:pStyle w:val="97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05971D5C">
      <w:pPr>
        <w:pStyle w:val="17"/>
        <w:rPr>
          <w:rFonts w:ascii="仿宋" w:hAnsi="仿宋" w:eastAsia="仿宋" w:cs="仿宋"/>
          <w:color w:val="auto"/>
          <w:highlight w:val="none"/>
        </w:rPr>
      </w:pPr>
    </w:p>
    <w:p w14:paraId="6469050D">
      <w:pPr>
        <w:rPr>
          <w:rFonts w:ascii="仿宋" w:hAnsi="仿宋" w:eastAsia="仿宋" w:cs="仿宋"/>
          <w:color w:val="auto"/>
          <w:highlight w:val="none"/>
        </w:rPr>
      </w:pPr>
    </w:p>
    <w:p w14:paraId="0E9D6A5A">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3CD64DF0">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C2547E0">
      <w:pPr>
        <w:pStyle w:val="158"/>
        <w:wordWrap/>
        <w:spacing w:line="360" w:lineRule="auto"/>
        <w:ind w:firstLine="480"/>
        <w:jc w:val="right"/>
        <w:rPr>
          <w:rFonts w:hint="eastAsia" w:ascii="仿宋" w:hAnsi="仿宋" w:eastAsia="仿宋" w:cs="仿宋"/>
          <w:color w:val="auto"/>
          <w:sz w:val="24"/>
          <w:szCs w:val="21"/>
          <w:highlight w:val="none"/>
          <w:u w:val="single"/>
        </w:rPr>
      </w:pPr>
    </w:p>
    <w:p w14:paraId="72690E6A">
      <w:pPr>
        <w:pStyle w:val="158"/>
        <w:wordWrap/>
        <w:spacing w:line="360" w:lineRule="auto"/>
        <w:ind w:firstLine="480"/>
        <w:jc w:val="right"/>
        <w:rPr>
          <w:rFonts w:hint="eastAsia" w:ascii="仿宋" w:hAnsi="仿宋" w:eastAsia="仿宋" w:cs="仿宋"/>
          <w:color w:val="auto"/>
          <w:sz w:val="24"/>
          <w:szCs w:val="21"/>
          <w:highlight w:val="none"/>
          <w:u w:val="single"/>
        </w:rPr>
      </w:pPr>
    </w:p>
    <w:p w14:paraId="2AF1C497">
      <w:pPr>
        <w:pStyle w:val="158"/>
        <w:wordWrap/>
        <w:spacing w:line="360" w:lineRule="auto"/>
        <w:ind w:firstLine="480"/>
        <w:jc w:val="right"/>
        <w:rPr>
          <w:rFonts w:hint="eastAsia" w:ascii="仿宋" w:hAnsi="仿宋" w:eastAsia="仿宋" w:cs="仿宋"/>
          <w:color w:val="auto"/>
          <w:sz w:val="24"/>
          <w:szCs w:val="21"/>
          <w:highlight w:val="none"/>
          <w:u w:val="single"/>
        </w:rPr>
      </w:pPr>
    </w:p>
    <w:p w14:paraId="75B0D51F">
      <w:pPr>
        <w:pStyle w:val="158"/>
        <w:wordWrap/>
        <w:spacing w:line="360" w:lineRule="auto"/>
        <w:ind w:firstLine="480"/>
        <w:jc w:val="right"/>
        <w:rPr>
          <w:rFonts w:hint="eastAsia" w:ascii="仿宋" w:hAnsi="仿宋" w:eastAsia="仿宋" w:cs="仿宋"/>
          <w:color w:val="auto"/>
          <w:sz w:val="24"/>
          <w:szCs w:val="21"/>
          <w:highlight w:val="none"/>
          <w:u w:val="single"/>
        </w:rPr>
      </w:pPr>
    </w:p>
    <w:p w14:paraId="77D4B6CA">
      <w:pPr>
        <w:pStyle w:val="158"/>
        <w:wordWrap/>
        <w:spacing w:line="360" w:lineRule="auto"/>
        <w:ind w:firstLine="480"/>
        <w:jc w:val="right"/>
        <w:rPr>
          <w:rFonts w:hint="eastAsia" w:ascii="仿宋" w:hAnsi="仿宋" w:eastAsia="仿宋" w:cs="仿宋"/>
          <w:color w:val="auto"/>
          <w:sz w:val="24"/>
          <w:szCs w:val="21"/>
          <w:highlight w:val="none"/>
          <w:u w:val="single"/>
        </w:rPr>
      </w:pPr>
    </w:p>
    <w:p w14:paraId="7FC19A9E">
      <w:pPr>
        <w:pStyle w:val="158"/>
        <w:wordWrap/>
        <w:spacing w:line="360" w:lineRule="auto"/>
        <w:ind w:firstLine="480"/>
        <w:jc w:val="right"/>
        <w:rPr>
          <w:rFonts w:hint="eastAsia" w:ascii="仿宋" w:hAnsi="仿宋" w:eastAsia="仿宋" w:cs="仿宋"/>
          <w:color w:val="auto"/>
          <w:sz w:val="24"/>
          <w:szCs w:val="21"/>
          <w:highlight w:val="none"/>
          <w:u w:val="single"/>
        </w:rPr>
      </w:pPr>
    </w:p>
    <w:p w14:paraId="67EF38ED">
      <w:pPr>
        <w:pStyle w:val="158"/>
        <w:wordWrap/>
        <w:spacing w:line="360" w:lineRule="auto"/>
        <w:ind w:firstLine="480"/>
        <w:jc w:val="right"/>
        <w:rPr>
          <w:rFonts w:hint="eastAsia" w:ascii="仿宋" w:hAnsi="仿宋" w:eastAsia="仿宋" w:cs="仿宋"/>
          <w:color w:val="auto"/>
          <w:sz w:val="24"/>
          <w:szCs w:val="21"/>
          <w:highlight w:val="none"/>
          <w:u w:val="single"/>
        </w:rPr>
      </w:pPr>
    </w:p>
    <w:p w14:paraId="588AE807">
      <w:pPr>
        <w:pStyle w:val="6"/>
        <w:adjustRightInd/>
        <w:spacing w:before="0" w:after="0" w:line="360" w:lineRule="auto"/>
        <w:ind w:left="0" w:firstLine="0"/>
        <w:jc w:val="center"/>
        <w:rPr>
          <w:rFonts w:ascii="仿宋" w:hAnsi="仿宋" w:eastAsia="仿宋" w:cs="仿宋"/>
          <w:color w:val="auto"/>
          <w:highlight w:val="none"/>
        </w:rPr>
      </w:pPr>
      <w:bookmarkStart w:id="523" w:name="_Toc14872"/>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质量保证措施</w:t>
      </w:r>
      <w:bookmarkEnd w:id="523"/>
    </w:p>
    <w:p w14:paraId="5A83CD8C">
      <w:pPr>
        <w:pStyle w:val="97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32D5D943">
      <w:pPr>
        <w:pStyle w:val="17"/>
        <w:rPr>
          <w:rFonts w:ascii="仿宋" w:hAnsi="仿宋" w:eastAsia="仿宋" w:cs="仿宋"/>
          <w:color w:val="auto"/>
          <w:highlight w:val="none"/>
        </w:rPr>
      </w:pPr>
    </w:p>
    <w:p w14:paraId="69F03D78">
      <w:pPr>
        <w:rPr>
          <w:rFonts w:ascii="仿宋" w:hAnsi="仿宋" w:eastAsia="仿宋" w:cs="仿宋"/>
          <w:color w:val="auto"/>
          <w:highlight w:val="none"/>
        </w:rPr>
      </w:pPr>
    </w:p>
    <w:p w14:paraId="394A6AD0">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1A417C31">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6743741">
      <w:pPr>
        <w:pStyle w:val="158"/>
        <w:wordWrap/>
        <w:spacing w:line="360" w:lineRule="auto"/>
        <w:ind w:firstLine="480"/>
        <w:jc w:val="right"/>
        <w:rPr>
          <w:rFonts w:hint="eastAsia" w:ascii="仿宋" w:hAnsi="仿宋" w:eastAsia="仿宋" w:cs="仿宋"/>
          <w:color w:val="auto"/>
          <w:sz w:val="24"/>
          <w:szCs w:val="21"/>
          <w:highlight w:val="none"/>
          <w:u w:val="single"/>
        </w:rPr>
      </w:pPr>
    </w:p>
    <w:p w14:paraId="468D2E74">
      <w:pPr>
        <w:pStyle w:val="158"/>
        <w:wordWrap/>
        <w:spacing w:line="360" w:lineRule="auto"/>
        <w:ind w:firstLine="480"/>
        <w:jc w:val="right"/>
        <w:rPr>
          <w:rFonts w:hint="eastAsia" w:ascii="仿宋" w:hAnsi="仿宋" w:eastAsia="仿宋" w:cs="仿宋"/>
          <w:color w:val="auto"/>
          <w:sz w:val="24"/>
          <w:szCs w:val="21"/>
          <w:highlight w:val="none"/>
          <w:u w:val="single"/>
        </w:rPr>
      </w:pPr>
    </w:p>
    <w:p w14:paraId="08716E98">
      <w:pPr>
        <w:pStyle w:val="158"/>
        <w:wordWrap/>
        <w:spacing w:line="360" w:lineRule="auto"/>
        <w:ind w:firstLine="480"/>
        <w:jc w:val="right"/>
        <w:rPr>
          <w:rFonts w:hint="eastAsia" w:ascii="仿宋" w:hAnsi="仿宋" w:eastAsia="仿宋" w:cs="仿宋"/>
          <w:color w:val="auto"/>
          <w:sz w:val="24"/>
          <w:szCs w:val="21"/>
          <w:highlight w:val="none"/>
          <w:u w:val="single"/>
        </w:rPr>
      </w:pPr>
    </w:p>
    <w:p w14:paraId="19A4B72E">
      <w:pPr>
        <w:pStyle w:val="158"/>
        <w:wordWrap/>
        <w:spacing w:line="360" w:lineRule="auto"/>
        <w:ind w:firstLine="480"/>
        <w:jc w:val="right"/>
        <w:rPr>
          <w:rFonts w:hint="eastAsia" w:ascii="仿宋" w:hAnsi="仿宋" w:eastAsia="仿宋" w:cs="仿宋"/>
          <w:color w:val="auto"/>
          <w:sz w:val="24"/>
          <w:szCs w:val="21"/>
          <w:highlight w:val="none"/>
          <w:u w:val="single"/>
        </w:rPr>
      </w:pPr>
    </w:p>
    <w:p w14:paraId="79F63A8E">
      <w:pPr>
        <w:pStyle w:val="6"/>
        <w:adjustRightInd/>
        <w:spacing w:before="0" w:after="0" w:line="360" w:lineRule="auto"/>
        <w:ind w:left="0" w:firstLine="0"/>
        <w:jc w:val="center"/>
        <w:rPr>
          <w:rFonts w:ascii="仿宋" w:hAnsi="仿宋" w:eastAsia="仿宋" w:cs="仿宋"/>
          <w:color w:val="auto"/>
          <w:highlight w:val="none"/>
        </w:rPr>
      </w:pPr>
      <w:bookmarkStart w:id="524" w:name="_Toc13061"/>
      <w:bookmarkStart w:id="525" w:name="_Toc6746"/>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 xml:space="preserve">   </w:t>
      </w:r>
      <w:bookmarkEnd w:id="524"/>
      <w:r>
        <w:rPr>
          <w:rFonts w:hint="eastAsia" w:ascii="仿宋" w:hAnsi="仿宋" w:eastAsia="仿宋" w:cs="仿宋"/>
          <w:color w:val="auto"/>
          <w:highlight w:val="none"/>
          <w:lang w:val="en-US" w:eastAsia="zh-CN"/>
        </w:rPr>
        <w:t>运维服务实施方案</w:t>
      </w:r>
      <w:bookmarkEnd w:id="525"/>
    </w:p>
    <w:p w14:paraId="60F059FD">
      <w:pPr>
        <w:pStyle w:val="979"/>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1CA6C017">
      <w:pPr>
        <w:pStyle w:val="979"/>
        <w:spacing w:line="360" w:lineRule="auto"/>
        <w:jc w:val="left"/>
        <w:rPr>
          <w:rFonts w:ascii="仿宋" w:hAnsi="仿宋" w:eastAsia="仿宋" w:cs="仿宋"/>
          <w:color w:val="auto"/>
          <w:sz w:val="24"/>
          <w:highlight w:val="none"/>
        </w:rPr>
      </w:pPr>
    </w:p>
    <w:p w14:paraId="3062361C">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AC15E2A">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4161BB8">
      <w:pPr>
        <w:pStyle w:val="158"/>
        <w:wordWrap/>
        <w:spacing w:line="360" w:lineRule="auto"/>
        <w:ind w:firstLine="480"/>
        <w:jc w:val="right"/>
        <w:rPr>
          <w:rFonts w:hint="eastAsia" w:ascii="仿宋" w:hAnsi="仿宋" w:eastAsia="仿宋" w:cs="仿宋"/>
          <w:color w:val="auto"/>
          <w:sz w:val="24"/>
          <w:szCs w:val="21"/>
          <w:highlight w:val="none"/>
          <w:u w:val="single"/>
        </w:rPr>
      </w:pPr>
    </w:p>
    <w:p w14:paraId="6163BBAF">
      <w:pPr>
        <w:pStyle w:val="158"/>
        <w:wordWrap/>
        <w:spacing w:line="360" w:lineRule="auto"/>
        <w:ind w:firstLine="480"/>
        <w:jc w:val="right"/>
        <w:rPr>
          <w:rFonts w:hint="eastAsia" w:ascii="仿宋" w:hAnsi="仿宋" w:eastAsia="仿宋" w:cs="仿宋"/>
          <w:color w:val="auto"/>
          <w:sz w:val="24"/>
          <w:szCs w:val="21"/>
          <w:highlight w:val="none"/>
          <w:u w:val="single"/>
        </w:rPr>
      </w:pPr>
    </w:p>
    <w:p w14:paraId="4F476CFB">
      <w:pPr>
        <w:pStyle w:val="158"/>
        <w:wordWrap/>
        <w:spacing w:line="360" w:lineRule="auto"/>
        <w:ind w:firstLine="480"/>
        <w:jc w:val="right"/>
        <w:rPr>
          <w:rFonts w:hint="eastAsia" w:ascii="仿宋" w:hAnsi="仿宋" w:eastAsia="仿宋" w:cs="仿宋"/>
          <w:color w:val="auto"/>
          <w:sz w:val="24"/>
          <w:szCs w:val="21"/>
          <w:highlight w:val="none"/>
          <w:u w:val="single"/>
        </w:rPr>
      </w:pPr>
    </w:p>
    <w:p w14:paraId="5B142394">
      <w:pPr>
        <w:pStyle w:val="6"/>
        <w:adjustRightInd/>
        <w:spacing w:before="0" w:after="0" w:line="360" w:lineRule="auto"/>
        <w:ind w:left="0" w:firstLine="0"/>
        <w:jc w:val="center"/>
        <w:rPr>
          <w:rFonts w:ascii="仿宋" w:hAnsi="仿宋" w:eastAsia="仿宋" w:cs="仿宋"/>
          <w:color w:val="auto"/>
          <w:highlight w:val="none"/>
        </w:rPr>
      </w:pPr>
      <w:bookmarkStart w:id="526" w:name="_Toc19460"/>
      <w:r>
        <w:rPr>
          <w:rFonts w:hint="eastAsia" w:ascii="仿宋" w:hAnsi="仿宋" w:eastAsia="仿宋" w:cs="仿宋"/>
          <w:color w:val="auto"/>
          <w:highlight w:val="none"/>
        </w:rPr>
        <w:t>2.1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运维服务保密方案</w:t>
      </w:r>
      <w:bookmarkEnd w:id="526"/>
    </w:p>
    <w:p w14:paraId="4D7AA4CD">
      <w:pPr>
        <w:pStyle w:val="979"/>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6B8BED86">
      <w:pPr>
        <w:pStyle w:val="979"/>
        <w:spacing w:line="360" w:lineRule="auto"/>
        <w:jc w:val="left"/>
        <w:rPr>
          <w:rFonts w:ascii="仿宋" w:hAnsi="仿宋" w:eastAsia="仿宋" w:cs="仿宋"/>
          <w:color w:val="auto"/>
          <w:sz w:val="24"/>
          <w:highlight w:val="none"/>
        </w:rPr>
      </w:pPr>
    </w:p>
    <w:p w14:paraId="2F875034">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643D73D3">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2209DAC">
      <w:pPr>
        <w:pStyle w:val="158"/>
        <w:wordWrap/>
        <w:spacing w:line="360" w:lineRule="auto"/>
        <w:ind w:firstLine="480"/>
        <w:jc w:val="right"/>
        <w:rPr>
          <w:rFonts w:hint="eastAsia" w:ascii="仿宋" w:hAnsi="仿宋" w:eastAsia="仿宋" w:cs="仿宋"/>
          <w:color w:val="auto"/>
          <w:sz w:val="24"/>
          <w:szCs w:val="21"/>
          <w:highlight w:val="none"/>
          <w:u w:val="single"/>
        </w:rPr>
      </w:pPr>
    </w:p>
    <w:p w14:paraId="228179AA">
      <w:pPr>
        <w:pStyle w:val="158"/>
        <w:wordWrap/>
        <w:spacing w:line="360" w:lineRule="auto"/>
        <w:ind w:firstLine="480"/>
        <w:jc w:val="right"/>
        <w:rPr>
          <w:rFonts w:hint="eastAsia" w:ascii="仿宋" w:hAnsi="仿宋" w:eastAsia="仿宋" w:cs="仿宋"/>
          <w:color w:val="auto"/>
          <w:sz w:val="24"/>
          <w:szCs w:val="21"/>
          <w:highlight w:val="none"/>
          <w:u w:val="single"/>
        </w:rPr>
      </w:pPr>
    </w:p>
    <w:p w14:paraId="091E6AF1">
      <w:pPr>
        <w:pStyle w:val="158"/>
        <w:wordWrap/>
        <w:spacing w:line="360" w:lineRule="auto"/>
        <w:ind w:firstLine="480"/>
        <w:jc w:val="right"/>
        <w:rPr>
          <w:rFonts w:hint="eastAsia" w:ascii="仿宋" w:hAnsi="仿宋" w:eastAsia="仿宋" w:cs="仿宋"/>
          <w:color w:val="auto"/>
          <w:sz w:val="24"/>
          <w:szCs w:val="21"/>
          <w:highlight w:val="none"/>
          <w:u w:val="single"/>
        </w:rPr>
      </w:pPr>
    </w:p>
    <w:p w14:paraId="3F654B9B">
      <w:pPr>
        <w:pStyle w:val="158"/>
        <w:spacing w:before="48" w:after="48" w:line="360" w:lineRule="auto"/>
        <w:ind w:firstLine="480"/>
        <w:jc w:val="right"/>
        <w:rPr>
          <w:rFonts w:ascii="仿宋" w:hAnsi="仿宋" w:eastAsia="仿宋" w:cs="仿宋"/>
          <w:color w:val="auto"/>
          <w:sz w:val="24"/>
          <w:szCs w:val="21"/>
          <w:highlight w:val="none"/>
          <w:u w:val="single"/>
        </w:rPr>
      </w:pPr>
    </w:p>
    <w:p w14:paraId="0732EE72">
      <w:pPr>
        <w:pStyle w:val="158"/>
        <w:spacing w:before="48" w:after="48" w:line="360" w:lineRule="auto"/>
        <w:ind w:firstLine="480"/>
        <w:jc w:val="right"/>
        <w:rPr>
          <w:rFonts w:ascii="仿宋" w:hAnsi="仿宋" w:eastAsia="仿宋" w:cs="仿宋"/>
          <w:color w:val="auto"/>
          <w:sz w:val="24"/>
          <w:szCs w:val="21"/>
          <w:highlight w:val="none"/>
          <w:u w:val="single"/>
        </w:rPr>
      </w:pPr>
    </w:p>
    <w:p w14:paraId="74B62168">
      <w:pPr>
        <w:pStyle w:val="6"/>
        <w:adjustRightInd/>
        <w:spacing w:before="0" w:after="0" w:line="360" w:lineRule="auto"/>
        <w:ind w:left="0" w:firstLine="0"/>
        <w:jc w:val="center"/>
        <w:rPr>
          <w:rFonts w:ascii="仿宋" w:hAnsi="仿宋" w:eastAsia="仿宋" w:cs="仿宋"/>
          <w:color w:val="auto"/>
          <w:highlight w:val="none"/>
        </w:rPr>
      </w:pPr>
      <w:bookmarkStart w:id="527" w:name="_Toc96338069"/>
      <w:bookmarkStart w:id="528" w:name="_Toc9889"/>
      <w:bookmarkStart w:id="529" w:name="_Toc4642"/>
      <w:r>
        <w:rPr>
          <w:rFonts w:hint="eastAsia" w:ascii="仿宋" w:hAnsi="仿宋" w:eastAsia="仿宋" w:cs="仿宋"/>
          <w:color w:val="auto"/>
          <w:highlight w:val="none"/>
        </w:rPr>
        <w:t>2.1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拟投入的项目班子</w:t>
      </w:r>
      <w:bookmarkEnd w:id="527"/>
      <w:bookmarkEnd w:id="528"/>
      <w:bookmarkEnd w:id="529"/>
    </w:p>
    <w:p w14:paraId="5CDFEB5F">
      <w:pPr>
        <w:pStyle w:val="17"/>
        <w:spacing w:line="36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（格式仅供参考）</w:t>
      </w:r>
    </w:p>
    <w:p w14:paraId="0ACCAB92">
      <w:pPr>
        <w:pStyle w:val="17"/>
        <w:ind w:firstLine="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项目负责人简历表</w:t>
      </w:r>
    </w:p>
    <w:tbl>
      <w:tblPr>
        <w:tblStyle w:val="63"/>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2420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1F0B0F8A">
            <w:pPr>
              <w:pStyle w:val="17"/>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165" w:type="dxa"/>
            <w:gridSpan w:val="2"/>
            <w:shd w:val="clear" w:color="auto" w:fill="auto"/>
            <w:vAlign w:val="center"/>
          </w:tcPr>
          <w:p w14:paraId="2C93461C">
            <w:pPr>
              <w:pStyle w:val="17"/>
              <w:ind w:firstLine="0"/>
              <w:jc w:val="center"/>
              <w:rPr>
                <w:rFonts w:ascii="仿宋" w:hAnsi="仿宋" w:eastAsia="仿宋" w:cs="仿宋"/>
                <w:color w:val="auto"/>
                <w:sz w:val="24"/>
                <w:szCs w:val="24"/>
                <w:highlight w:val="none"/>
              </w:rPr>
            </w:pPr>
          </w:p>
        </w:tc>
        <w:tc>
          <w:tcPr>
            <w:tcW w:w="1155" w:type="dxa"/>
            <w:shd w:val="clear" w:color="auto" w:fill="auto"/>
            <w:vAlign w:val="center"/>
          </w:tcPr>
          <w:p w14:paraId="04C461FE">
            <w:pPr>
              <w:pStyle w:val="17"/>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155" w:type="dxa"/>
            <w:gridSpan w:val="2"/>
            <w:shd w:val="clear" w:color="auto" w:fill="auto"/>
            <w:vAlign w:val="center"/>
          </w:tcPr>
          <w:p w14:paraId="0A09BD2E">
            <w:pPr>
              <w:pStyle w:val="17"/>
              <w:ind w:firstLine="0"/>
              <w:jc w:val="center"/>
              <w:rPr>
                <w:rFonts w:ascii="仿宋" w:hAnsi="仿宋" w:eastAsia="仿宋" w:cs="仿宋"/>
                <w:color w:val="auto"/>
                <w:sz w:val="24"/>
                <w:szCs w:val="24"/>
                <w:highlight w:val="none"/>
              </w:rPr>
            </w:pPr>
          </w:p>
        </w:tc>
        <w:tc>
          <w:tcPr>
            <w:tcW w:w="2745" w:type="dxa"/>
            <w:gridSpan w:val="2"/>
            <w:shd w:val="clear" w:color="auto" w:fill="auto"/>
            <w:vAlign w:val="center"/>
          </w:tcPr>
          <w:p w14:paraId="442F1D5A">
            <w:pPr>
              <w:pStyle w:val="17"/>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800" w:type="dxa"/>
            <w:shd w:val="clear" w:color="auto" w:fill="auto"/>
            <w:vAlign w:val="center"/>
          </w:tcPr>
          <w:p w14:paraId="18589C5D">
            <w:pPr>
              <w:pStyle w:val="17"/>
              <w:ind w:firstLine="0"/>
              <w:jc w:val="center"/>
              <w:rPr>
                <w:rFonts w:ascii="仿宋" w:hAnsi="仿宋" w:eastAsia="仿宋" w:cs="仿宋"/>
                <w:color w:val="auto"/>
                <w:sz w:val="24"/>
                <w:szCs w:val="24"/>
                <w:highlight w:val="none"/>
              </w:rPr>
            </w:pPr>
          </w:p>
        </w:tc>
      </w:tr>
      <w:tr w14:paraId="6733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43BB2A60">
            <w:pPr>
              <w:pStyle w:val="17"/>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165" w:type="dxa"/>
            <w:gridSpan w:val="2"/>
            <w:shd w:val="clear" w:color="auto" w:fill="auto"/>
            <w:vAlign w:val="center"/>
          </w:tcPr>
          <w:p w14:paraId="5A4BF30F">
            <w:pPr>
              <w:pStyle w:val="17"/>
              <w:ind w:firstLine="0"/>
              <w:jc w:val="center"/>
              <w:rPr>
                <w:rFonts w:ascii="仿宋" w:hAnsi="仿宋" w:eastAsia="仿宋" w:cs="仿宋"/>
                <w:color w:val="auto"/>
                <w:sz w:val="24"/>
                <w:szCs w:val="24"/>
                <w:highlight w:val="none"/>
              </w:rPr>
            </w:pPr>
          </w:p>
        </w:tc>
        <w:tc>
          <w:tcPr>
            <w:tcW w:w="1155" w:type="dxa"/>
            <w:shd w:val="clear" w:color="auto" w:fill="auto"/>
            <w:vAlign w:val="center"/>
          </w:tcPr>
          <w:p w14:paraId="13EF9AC3">
            <w:pPr>
              <w:pStyle w:val="17"/>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155" w:type="dxa"/>
            <w:gridSpan w:val="2"/>
            <w:shd w:val="clear" w:color="auto" w:fill="auto"/>
            <w:vAlign w:val="center"/>
          </w:tcPr>
          <w:p w14:paraId="44861CAE">
            <w:pPr>
              <w:pStyle w:val="17"/>
              <w:ind w:firstLine="0"/>
              <w:jc w:val="center"/>
              <w:rPr>
                <w:rFonts w:ascii="仿宋" w:hAnsi="仿宋" w:eastAsia="仿宋" w:cs="仿宋"/>
                <w:color w:val="auto"/>
                <w:sz w:val="24"/>
                <w:szCs w:val="24"/>
                <w:highlight w:val="none"/>
              </w:rPr>
            </w:pPr>
          </w:p>
        </w:tc>
        <w:tc>
          <w:tcPr>
            <w:tcW w:w="2745" w:type="dxa"/>
            <w:gridSpan w:val="2"/>
            <w:shd w:val="clear" w:color="auto" w:fill="auto"/>
            <w:vAlign w:val="center"/>
          </w:tcPr>
          <w:p w14:paraId="7A57A4E9">
            <w:pPr>
              <w:pStyle w:val="17"/>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拟在本项目任职</w:t>
            </w:r>
          </w:p>
        </w:tc>
        <w:tc>
          <w:tcPr>
            <w:tcW w:w="1800" w:type="dxa"/>
            <w:shd w:val="clear" w:color="auto" w:fill="auto"/>
            <w:vAlign w:val="center"/>
          </w:tcPr>
          <w:p w14:paraId="11471FF8">
            <w:pPr>
              <w:pStyle w:val="17"/>
              <w:ind w:firstLine="0"/>
              <w:jc w:val="center"/>
              <w:rPr>
                <w:rFonts w:ascii="仿宋" w:hAnsi="仿宋" w:eastAsia="仿宋" w:cs="仿宋"/>
                <w:color w:val="auto"/>
                <w:sz w:val="24"/>
                <w:szCs w:val="24"/>
                <w:highlight w:val="none"/>
              </w:rPr>
            </w:pPr>
          </w:p>
        </w:tc>
      </w:tr>
      <w:tr w14:paraId="493F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22C2F395">
            <w:pPr>
              <w:pStyle w:val="17"/>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8020" w:type="dxa"/>
            <w:gridSpan w:val="8"/>
            <w:shd w:val="clear" w:color="auto" w:fill="auto"/>
            <w:vAlign w:val="center"/>
          </w:tcPr>
          <w:p w14:paraId="768878C7">
            <w:pPr>
              <w:pStyle w:val="17"/>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14:paraId="3EF8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47766070">
            <w:pPr>
              <w:pStyle w:val="17"/>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主要工作履历</w:t>
            </w:r>
          </w:p>
        </w:tc>
      </w:tr>
      <w:tr w14:paraId="3061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6A8F93A1">
            <w:pPr>
              <w:pStyle w:val="17"/>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tc>
        <w:tc>
          <w:tcPr>
            <w:tcW w:w="2297" w:type="dxa"/>
            <w:gridSpan w:val="3"/>
            <w:shd w:val="clear" w:color="auto" w:fill="auto"/>
            <w:vAlign w:val="center"/>
          </w:tcPr>
          <w:p w14:paraId="7B656212">
            <w:pPr>
              <w:pStyle w:val="17"/>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参加过类似项目</w:t>
            </w:r>
          </w:p>
        </w:tc>
        <w:tc>
          <w:tcPr>
            <w:tcW w:w="1701" w:type="dxa"/>
            <w:gridSpan w:val="2"/>
            <w:shd w:val="clear" w:color="auto" w:fill="auto"/>
            <w:vAlign w:val="center"/>
          </w:tcPr>
          <w:p w14:paraId="3B0AE616">
            <w:pPr>
              <w:pStyle w:val="17"/>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担任职务</w:t>
            </w:r>
          </w:p>
        </w:tc>
        <w:tc>
          <w:tcPr>
            <w:tcW w:w="3313" w:type="dxa"/>
            <w:gridSpan w:val="2"/>
            <w:shd w:val="clear" w:color="auto" w:fill="auto"/>
            <w:vAlign w:val="center"/>
          </w:tcPr>
          <w:p w14:paraId="09C28890">
            <w:pPr>
              <w:pStyle w:val="17"/>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业主及联系电话</w:t>
            </w:r>
          </w:p>
        </w:tc>
      </w:tr>
      <w:tr w14:paraId="7ADD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59BD4389">
            <w:pPr>
              <w:pStyle w:val="17"/>
              <w:ind w:firstLine="0"/>
              <w:jc w:val="center"/>
              <w:rPr>
                <w:rFonts w:ascii="仿宋" w:hAnsi="仿宋" w:eastAsia="仿宋" w:cs="仿宋"/>
                <w:color w:val="auto"/>
                <w:sz w:val="24"/>
                <w:szCs w:val="24"/>
                <w:highlight w:val="none"/>
              </w:rPr>
            </w:pPr>
          </w:p>
        </w:tc>
        <w:tc>
          <w:tcPr>
            <w:tcW w:w="2297" w:type="dxa"/>
            <w:gridSpan w:val="3"/>
            <w:shd w:val="clear" w:color="auto" w:fill="auto"/>
            <w:vAlign w:val="center"/>
          </w:tcPr>
          <w:p w14:paraId="70CD0A03">
            <w:pPr>
              <w:pStyle w:val="17"/>
              <w:ind w:firstLine="0"/>
              <w:jc w:val="center"/>
              <w:rPr>
                <w:rFonts w:ascii="仿宋" w:hAnsi="仿宋" w:eastAsia="仿宋" w:cs="仿宋"/>
                <w:color w:val="auto"/>
                <w:sz w:val="24"/>
                <w:szCs w:val="24"/>
                <w:highlight w:val="none"/>
              </w:rPr>
            </w:pPr>
          </w:p>
        </w:tc>
        <w:tc>
          <w:tcPr>
            <w:tcW w:w="1701" w:type="dxa"/>
            <w:gridSpan w:val="2"/>
            <w:shd w:val="clear" w:color="auto" w:fill="auto"/>
            <w:vAlign w:val="center"/>
          </w:tcPr>
          <w:p w14:paraId="1ACBFEB4">
            <w:pPr>
              <w:pStyle w:val="17"/>
              <w:ind w:firstLine="0"/>
              <w:jc w:val="center"/>
              <w:rPr>
                <w:rFonts w:ascii="仿宋" w:hAnsi="仿宋" w:eastAsia="仿宋" w:cs="仿宋"/>
                <w:color w:val="auto"/>
                <w:sz w:val="24"/>
                <w:szCs w:val="24"/>
                <w:highlight w:val="none"/>
              </w:rPr>
            </w:pPr>
          </w:p>
        </w:tc>
        <w:tc>
          <w:tcPr>
            <w:tcW w:w="3313" w:type="dxa"/>
            <w:gridSpan w:val="2"/>
            <w:shd w:val="clear" w:color="auto" w:fill="auto"/>
            <w:vAlign w:val="center"/>
          </w:tcPr>
          <w:p w14:paraId="1F67F591">
            <w:pPr>
              <w:pStyle w:val="17"/>
              <w:ind w:firstLine="0"/>
              <w:jc w:val="center"/>
              <w:rPr>
                <w:rFonts w:ascii="仿宋" w:hAnsi="仿宋" w:eastAsia="仿宋" w:cs="仿宋"/>
                <w:color w:val="auto"/>
                <w:sz w:val="24"/>
                <w:szCs w:val="24"/>
                <w:highlight w:val="none"/>
              </w:rPr>
            </w:pPr>
          </w:p>
        </w:tc>
      </w:tr>
      <w:tr w14:paraId="16E0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12A02F55">
            <w:pPr>
              <w:pStyle w:val="17"/>
              <w:ind w:firstLine="0"/>
              <w:jc w:val="center"/>
              <w:rPr>
                <w:rFonts w:ascii="仿宋" w:hAnsi="仿宋" w:eastAsia="仿宋" w:cs="仿宋"/>
                <w:color w:val="auto"/>
                <w:sz w:val="24"/>
                <w:szCs w:val="24"/>
                <w:highlight w:val="none"/>
              </w:rPr>
            </w:pPr>
          </w:p>
        </w:tc>
        <w:tc>
          <w:tcPr>
            <w:tcW w:w="2297" w:type="dxa"/>
            <w:gridSpan w:val="3"/>
            <w:shd w:val="clear" w:color="auto" w:fill="auto"/>
            <w:vAlign w:val="center"/>
          </w:tcPr>
          <w:p w14:paraId="05ECAB8F">
            <w:pPr>
              <w:pStyle w:val="17"/>
              <w:ind w:firstLine="0"/>
              <w:jc w:val="center"/>
              <w:rPr>
                <w:rFonts w:ascii="仿宋" w:hAnsi="仿宋" w:eastAsia="仿宋" w:cs="仿宋"/>
                <w:color w:val="auto"/>
                <w:sz w:val="24"/>
                <w:szCs w:val="24"/>
                <w:highlight w:val="none"/>
              </w:rPr>
            </w:pPr>
          </w:p>
        </w:tc>
        <w:tc>
          <w:tcPr>
            <w:tcW w:w="1701" w:type="dxa"/>
            <w:gridSpan w:val="2"/>
            <w:shd w:val="clear" w:color="auto" w:fill="auto"/>
            <w:vAlign w:val="center"/>
          </w:tcPr>
          <w:p w14:paraId="0BA71B6C">
            <w:pPr>
              <w:pStyle w:val="17"/>
              <w:ind w:firstLine="0"/>
              <w:jc w:val="center"/>
              <w:rPr>
                <w:rFonts w:ascii="仿宋" w:hAnsi="仿宋" w:eastAsia="仿宋" w:cs="仿宋"/>
                <w:color w:val="auto"/>
                <w:sz w:val="24"/>
                <w:szCs w:val="24"/>
                <w:highlight w:val="none"/>
              </w:rPr>
            </w:pPr>
          </w:p>
        </w:tc>
        <w:tc>
          <w:tcPr>
            <w:tcW w:w="3313" w:type="dxa"/>
            <w:gridSpan w:val="2"/>
            <w:shd w:val="clear" w:color="auto" w:fill="auto"/>
            <w:vAlign w:val="center"/>
          </w:tcPr>
          <w:p w14:paraId="18751010">
            <w:pPr>
              <w:pStyle w:val="17"/>
              <w:ind w:firstLine="0"/>
              <w:jc w:val="center"/>
              <w:rPr>
                <w:rFonts w:ascii="仿宋" w:hAnsi="仿宋" w:eastAsia="仿宋" w:cs="仿宋"/>
                <w:color w:val="auto"/>
                <w:sz w:val="24"/>
                <w:szCs w:val="24"/>
                <w:highlight w:val="none"/>
              </w:rPr>
            </w:pPr>
          </w:p>
        </w:tc>
      </w:tr>
    </w:tbl>
    <w:p w14:paraId="4AA35E59">
      <w:pPr>
        <w:pStyle w:val="17"/>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附：执业资格证书、职称证书、学历证书等电子文档证明材料</w:t>
      </w:r>
    </w:p>
    <w:p w14:paraId="6A2741E6">
      <w:pPr>
        <w:pStyle w:val="17"/>
        <w:ind w:firstLine="0"/>
        <w:rPr>
          <w:rFonts w:ascii="仿宋" w:hAnsi="仿宋" w:eastAsia="仿宋" w:cs="仿宋"/>
          <w:color w:val="auto"/>
          <w:sz w:val="24"/>
          <w:szCs w:val="24"/>
          <w:highlight w:val="none"/>
        </w:rPr>
      </w:pPr>
    </w:p>
    <w:p w14:paraId="68AE4276">
      <w:pPr>
        <w:pStyle w:val="17"/>
        <w:ind w:firstLine="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项目班子一览表</w:t>
      </w:r>
    </w:p>
    <w:tbl>
      <w:tblPr>
        <w:tblStyle w:val="6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0B28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4451208E">
            <w:pPr>
              <w:pStyle w:val="17"/>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418" w:type="dxa"/>
            <w:shd w:val="clear" w:color="auto" w:fill="auto"/>
            <w:vAlign w:val="center"/>
          </w:tcPr>
          <w:p w14:paraId="4936F38E">
            <w:pPr>
              <w:pStyle w:val="17"/>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84" w:type="dxa"/>
            <w:shd w:val="clear" w:color="auto" w:fill="auto"/>
            <w:vAlign w:val="center"/>
          </w:tcPr>
          <w:p w14:paraId="099E34F5">
            <w:pPr>
              <w:pStyle w:val="17"/>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专业技术资格</w:t>
            </w:r>
          </w:p>
        </w:tc>
        <w:tc>
          <w:tcPr>
            <w:tcW w:w="1843" w:type="dxa"/>
            <w:shd w:val="clear" w:color="auto" w:fill="auto"/>
            <w:vAlign w:val="center"/>
          </w:tcPr>
          <w:p w14:paraId="680C3F8E">
            <w:pPr>
              <w:pStyle w:val="17"/>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2755" w:type="dxa"/>
            <w:shd w:val="clear" w:color="auto" w:fill="auto"/>
            <w:vAlign w:val="center"/>
          </w:tcPr>
          <w:p w14:paraId="2D917D8E">
            <w:pPr>
              <w:pStyle w:val="17"/>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实施经验说明</w:t>
            </w:r>
          </w:p>
        </w:tc>
      </w:tr>
      <w:tr w14:paraId="36E7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501E7ADF">
            <w:pPr>
              <w:pStyle w:val="17"/>
              <w:ind w:firstLine="0"/>
              <w:jc w:val="center"/>
              <w:rPr>
                <w:rFonts w:ascii="仿宋" w:hAnsi="仿宋" w:eastAsia="仿宋" w:cs="仿宋"/>
                <w:color w:val="auto"/>
                <w:sz w:val="24"/>
                <w:szCs w:val="24"/>
                <w:highlight w:val="none"/>
              </w:rPr>
            </w:pPr>
          </w:p>
        </w:tc>
        <w:tc>
          <w:tcPr>
            <w:tcW w:w="1418" w:type="dxa"/>
            <w:shd w:val="clear" w:color="auto" w:fill="auto"/>
            <w:vAlign w:val="center"/>
          </w:tcPr>
          <w:p w14:paraId="7B3136D4">
            <w:pPr>
              <w:pStyle w:val="17"/>
              <w:ind w:firstLine="0"/>
              <w:jc w:val="center"/>
              <w:rPr>
                <w:rFonts w:ascii="仿宋" w:hAnsi="仿宋" w:eastAsia="仿宋" w:cs="仿宋"/>
                <w:color w:val="auto"/>
                <w:sz w:val="24"/>
                <w:szCs w:val="24"/>
                <w:highlight w:val="none"/>
              </w:rPr>
            </w:pPr>
          </w:p>
        </w:tc>
        <w:tc>
          <w:tcPr>
            <w:tcW w:w="1984" w:type="dxa"/>
            <w:shd w:val="clear" w:color="auto" w:fill="auto"/>
            <w:vAlign w:val="center"/>
          </w:tcPr>
          <w:p w14:paraId="0761A16F">
            <w:pPr>
              <w:pStyle w:val="17"/>
              <w:ind w:firstLine="0"/>
              <w:jc w:val="center"/>
              <w:rPr>
                <w:rFonts w:ascii="仿宋" w:hAnsi="仿宋" w:eastAsia="仿宋" w:cs="仿宋"/>
                <w:color w:val="auto"/>
                <w:sz w:val="24"/>
                <w:szCs w:val="24"/>
                <w:highlight w:val="none"/>
              </w:rPr>
            </w:pPr>
          </w:p>
        </w:tc>
        <w:tc>
          <w:tcPr>
            <w:tcW w:w="1843" w:type="dxa"/>
            <w:shd w:val="clear" w:color="auto" w:fill="auto"/>
            <w:vAlign w:val="center"/>
          </w:tcPr>
          <w:p w14:paraId="18955B36">
            <w:pPr>
              <w:pStyle w:val="17"/>
              <w:ind w:firstLine="0"/>
              <w:jc w:val="center"/>
              <w:rPr>
                <w:rFonts w:ascii="仿宋" w:hAnsi="仿宋" w:eastAsia="仿宋" w:cs="仿宋"/>
                <w:color w:val="auto"/>
                <w:sz w:val="24"/>
                <w:szCs w:val="24"/>
                <w:highlight w:val="none"/>
              </w:rPr>
            </w:pPr>
          </w:p>
        </w:tc>
        <w:tc>
          <w:tcPr>
            <w:tcW w:w="2755" w:type="dxa"/>
            <w:shd w:val="clear" w:color="auto" w:fill="auto"/>
            <w:vAlign w:val="center"/>
          </w:tcPr>
          <w:p w14:paraId="14411149">
            <w:pPr>
              <w:pStyle w:val="17"/>
              <w:ind w:firstLine="0"/>
              <w:jc w:val="center"/>
              <w:rPr>
                <w:rFonts w:ascii="仿宋" w:hAnsi="仿宋" w:eastAsia="仿宋" w:cs="仿宋"/>
                <w:color w:val="auto"/>
                <w:sz w:val="24"/>
                <w:szCs w:val="24"/>
                <w:highlight w:val="none"/>
              </w:rPr>
            </w:pPr>
          </w:p>
        </w:tc>
      </w:tr>
      <w:tr w14:paraId="44FC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0AC1F6C2">
            <w:pPr>
              <w:pStyle w:val="17"/>
              <w:ind w:firstLine="0"/>
              <w:jc w:val="center"/>
              <w:rPr>
                <w:rFonts w:ascii="仿宋" w:hAnsi="仿宋" w:eastAsia="仿宋" w:cs="仿宋"/>
                <w:color w:val="auto"/>
                <w:sz w:val="24"/>
                <w:szCs w:val="24"/>
                <w:highlight w:val="none"/>
              </w:rPr>
            </w:pPr>
          </w:p>
        </w:tc>
        <w:tc>
          <w:tcPr>
            <w:tcW w:w="1418" w:type="dxa"/>
            <w:shd w:val="clear" w:color="auto" w:fill="auto"/>
            <w:vAlign w:val="center"/>
          </w:tcPr>
          <w:p w14:paraId="7FCFEEFE">
            <w:pPr>
              <w:pStyle w:val="17"/>
              <w:ind w:firstLine="0"/>
              <w:jc w:val="center"/>
              <w:rPr>
                <w:rFonts w:ascii="仿宋" w:hAnsi="仿宋" w:eastAsia="仿宋" w:cs="仿宋"/>
                <w:color w:val="auto"/>
                <w:sz w:val="24"/>
                <w:szCs w:val="24"/>
                <w:highlight w:val="none"/>
              </w:rPr>
            </w:pPr>
          </w:p>
        </w:tc>
        <w:tc>
          <w:tcPr>
            <w:tcW w:w="1984" w:type="dxa"/>
            <w:shd w:val="clear" w:color="auto" w:fill="auto"/>
            <w:vAlign w:val="center"/>
          </w:tcPr>
          <w:p w14:paraId="2127ED2A">
            <w:pPr>
              <w:pStyle w:val="17"/>
              <w:ind w:firstLine="0"/>
              <w:jc w:val="center"/>
              <w:rPr>
                <w:rFonts w:ascii="仿宋" w:hAnsi="仿宋" w:eastAsia="仿宋" w:cs="仿宋"/>
                <w:color w:val="auto"/>
                <w:sz w:val="24"/>
                <w:szCs w:val="24"/>
                <w:highlight w:val="none"/>
              </w:rPr>
            </w:pPr>
          </w:p>
        </w:tc>
        <w:tc>
          <w:tcPr>
            <w:tcW w:w="1843" w:type="dxa"/>
            <w:shd w:val="clear" w:color="auto" w:fill="auto"/>
            <w:vAlign w:val="center"/>
          </w:tcPr>
          <w:p w14:paraId="6D03D69F">
            <w:pPr>
              <w:pStyle w:val="17"/>
              <w:ind w:firstLine="0"/>
              <w:jc w:val="center"/>
              <w:rPr>
                <w:rFonts w:ascii="仿宋" w:hAnsi="仿宋" w:eastAsia="仿宋" w:cs="仿宋"/>
                <w:color w:val="auto"/>
                <w:sz w:val="24"/>
                <w:szCs w:val="24"/>
                <w:highlight w:val="none"/>
              </w:rPr>
            </w:pPr>
          </w:p>
        </w:tc>
        <w:tc>
          <w:tcPr>
            <w:tcW w:w="2755" w:type="dxa"/>
            <w:shd w:val="clear" w:color="auto" w:fill="auto"/>
            <w:vAlign w:val="center"/>
          </w:tcPr>
          <w:p w14:paraId="6BAAEDD7">
            <w:pPr>
              <w:pStyle w:val="17"/>
              <w:ind w:firstLine="0"/>
              <w:jc w:val="center"/>
              <w:rPr>
                <w:rFonts w:ascii="仿宋" w:hAnsi="仿宋" w:eastAsia="仿宋" w:cs="仿宋"/>
                <w:color w:val="auto"/>
                <w:sz w:val="24"/>
                <w:szCs w:val="24"/>
                <w:highlight w:val="none"/>
              </w:rPr>
            </w:pPr>
          </w:p>
        </w:tc>
      </w:tr>
    </w:tbl>
    <w:p w14:paraId="662B474A">
      <w:pPr>
        <w:pStyle w:val="17"/>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附：相关人员的专业技术资格证书电子文档证明材料</w:t>
      </w:r>
    </w:p>
    <w:p w14:paraId="556D0C16">
      <w:pPr>
        <w:pStyle w:val="17"/>
        <w:ind w:firstLine="0"/>
        <w:rPr>
          <w:rFonts w:ascii="仿宋" w:hAnsi="仿宋" w:eastAsia="仿宋" w:cs="仿宋"/>
          <w:color w:val="auto"/>
          <w:sz w:val="24"/>
          <w:szCs w:val="24"/>
          <w:highlight w:val="none"/>
        </w:rPr>
      </w:pPr>
    </w:p>
    <w:p w14:paraId="3543497E">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3EA783B3">
      <w:pPr>
        <w:pStyle w:val="158"/>
        <w:spacing w:line="360" w:lineRule="auto"/>
        <w:ind w:firstLine="480"/>
        <w:jc w:val="center"/>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 xml:space="preserve">                            日      期：</w:t>
      </w:r>
      <w:r>
        <w:rPr>
          <w:rFonts w:hint="eastAsia" w:ascii="仿宋" w:hAnsi="仿宋" w:eastAsia="仿宋" w:cs="仿宋"/>
          <w:color w:val="auto"/>
          <w:sz w:val="24"/>
          <w:szCs w:val="21"/>
          <w:highlight w:val="none"/>
          <w:u w:val="single"/>
        </w:rPr>
        <w:t xml:space="preserve">             </w:t>
      </w:r>
    </w:p>
    <w:p w14:paraId="1D70BB7C">
      <w:pPr>
        <w:pStyle w:val="158"/>
        <w:spacing w:line="360" w:lineRule="auto"/>
        <w:ind w:firstLine="480"/>
        <w:jc w:val="center"/>
        <w:rPr>
          <w:rFonts w:hint="eastAsia" w:ascii="仿宋" w:hAnsi="仿宋" w:eastAsia="仿宋" w:cs="仿宋"/>
          <w:color w:val="auto"/>
          <w:sz w:val="24"/>
          <w:szCs w:val="21"/>
          <w:highlight w:val="none"/>
          <w:u w:val="single"/>
        </w:rPr>
      </w:pPr>
    </w:p>
    <w:p w14:paraId="2364A663">
      <w:pPr>
        <w:pStyle w:val="158"/>
        <w:spacing w:line="360" w:lineRule="auto"/>
        <w:ind w:firstLine="480"/>
        <w:jc w:val="right"/>
        <w:rPr>
          <w:rFonts w:ascii="仿宋" w:hAnsi="仿宋" w:eastAsia="仿宋" w:cs="仿宋"/>
          <w:color w:val="auto"/>
          <w:sz w:val="24"/>
          <w:szCs w:val="21"/>
          <w:highlight w:val="none"/>
          <w:u w:val="single"/>
        </w:rPr>
      </w:pPr>
    </w:p>
    <w:p w14:paraId="141757D5">
      <w:pPr>
        <w:pStyle w:val="6"/>
        <w:adjustRightInd/>
        <w:spacing w:before="0" w:after="0" w:line="360" w:lineRule="auto"/>
        <w:ind w:left="0" w:firstLine="0"/>
        <w:jc w:val="center"/>
        <w:rPr>
          <w:rFonts w:ascii="仿宋" w:hAnsi="仿宋" w:eastAsia="仿宋" w:cs="仿宋"/>
          <w:color w:val="auto"/>
          <w:highlight w:val="none"/>
        </w:rPr>
      </w:pPr>
      <w:bookmarkStart w:id="530" w:name="_Toc34895615"/>
      <w:bookmarkStart w:id="531" w:name="_Toc96338070"/>
      <w:bookmarkStart w:id="532" w:name="_Toc8482"/>
      <w:bookmarkStart w:id="533" w:name="_Toc359934644"/>
      <w:bookmarkStart w:id="534" w:name="_Toc377979050"/>
      <w:bookmarkStart w:id="535" w:name="_Toc531359072"/>
      <w:bookmarkStart w:id="536" w:name="_Toc341260008"/>
      <w:bookmarkStart w:id="537" w:name="_Toc515526271"/>
      <w:bookmarkStart w:id="538" w:name="_Toc303756458"/>
      <w:bookmarkStart w:id="539" w:name="_Toc305144129"/>
      <w:bookmarkStart w:id="540" w:name="_Toc409172377"/>
      <w:bookmarkStart w:id="541" w:name="_Toc30503"/>
      <w:r>
        <w:rPr>
          <w:rFonts w:hint="eastAsia" w:ascii="仿宋" w:hAnsi="仿宋" w:eastAsia="仿宋" w:cs="仿宋"/>
          <w:color w:val="auto"/>
          <w:highlight w:val="none"/>
        </w:rPr>
        <w:t>2.1</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供应商需要说明的其他文件和说明</w:t>
      </w:r>
      <w:bookmarkEnd w:id="530"/>
      <w:bookmarkEnd w:id="531"/>
      <w:bookmarkEnd w:id="532"/>
      <w:bookmarkEnd w:id="533"/>
      <w:bookmarkEnd w:id="534"/>
      <w:bookmarkEnd w:id="535"/>
      <w:bookmarkEnd w:id="536"/>
      <w:bookmarkEnd w:id="537"/>
      <w:bookmarkEnd w:id="538"/>
      <w:bookmarkEnd w:id="539"/>
      <w:bookmarkEnd w:id="540"/>
      <w:bookmarkEnd w:id="541"/>
    </w:p>
    <w:p w14:paraId="580379B8">
      <w:pPr>
        <w:pStyle w:val="979"/>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6EAABA32">
      <w:pPr>
        <w:pStyle w:val="979"/>
        <w:spacing w:line="360" w:lineRule="auto"/>
        <w:jc w:val="left"/>
        <w:rPr>
          <w:rFonts w:ascii="仿宋" w:hAnsi="仿宋" w:eastAsia="仿宋" w:cs="仿宋"/>
          <w:color w:val="auto"/>
          <w:sz w:val="24"/>
          <w:highlight w:val="none"/>
        </w:rPr>
      </w:pPr>
    </w:p>
    <w:p w14:paraId="78924C59">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13EDABA">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12E9284">
      <w:pPr>
        <w:pStyle w:val="158"/>
        <w:spacing w:line="360" w:lineRule="auto"/>
        <w:ind w:firstLine="480"/>
        <w:jc w:val="right"/>
        <w:rPr>
          <w:rFonts w:ascii="仿宋" w:hAnsi="仿宋" w:eastAsia="仿宋" w:cs="仿宋"/>
          <w:color w:val="auto"/>
          <w:sz w:val="24"/>
          <w:szCs w:val="21"/>
          <w:highlight w:val="none"/>
          <w:u w:val="single"/>
        </w:rPr>
      </w:pPr>
    </w:p>
    <w:p w14:paraId="58A6E45B">
      <w:pPr>
        <w:pStyle w:val="60"/>
        <w:spacing w:before="240" w:beforeLines="100" w:after="240" w:afterLines="100"/>
        <w:outlineLvl w:val="1"/>
        <w:rPr>
          <w:rFonts w:ascii="仿宋" w:hAnsi="仿宋" w:eastAsia="仿宋" w:cs="仿宋"/>
          <w:color w:val="auto"/>
          <w:sz w:val="44"/>
          <w:szCs w:val="44"/>
          <w:highlight w:val="none"/>
        </w:rPr>
      </w:pPr>
      <w:bookmarkStart w:id="542" w:name="_Toc2022"/>
      <w:bookmarkStart w:id="543" w:name="_Toc15735"/>
      <w:bookmarkStart w:id="544" w:name="_Toc96338071"/>
      <w:bookmarkStart w:id="545" w:name="_Toc531359073"/>
      <w:bookmarkStart w:id="546" w:name="_Toc530551896"/>
      <w:bookmarkStart w:id="547" w:name="_Toc139797680"/>
      <w:r>
        <w:rPr>
          <w:rFonts w:hint="eastAsia" w:ascii="仿宋" w:hAnsi="仿宋" w:eastAsia="仿宋" w:cs="仿宋"/>
          <w:color w:val="auto"/>
          <w:sz w:val="44"/>
          <w:szCs w:val="44"/>
          <w:highlight w:val="none"/>
        </w:rPr>
        <w:t>三  报价文件格式</w:t>
      </w:r>
      <w:bookmarkEnd w:id="542"/>
      <w:bookmarkEnd w:id="543"/>
      <w:bookmarkEnd w:id="544"/>
      <w:bookmarkEnd w:id="545"/>
      <w:bookmarkEnd w:id="546"/>
      <w:bookmarkEnd w:id="547"/>
    </w:p>
    <w:p w14:paraId="07F63135">
      <w:pPr>
        <w:spacing w:line="360" w:lineRule="auto"/>
        <w:rPr>
          <w:rFonts w:ascii="仿宋" w:hAnsi="仿宋" w:eastAsia="仿宋" w:cs="仿宋"/>
          <w:color w:val="auto"/>
          <w:sz w:val="24"/>
          <w:highlight w:val="none"/>
        </w:rPr>
      </w:pPr>
    </w:p>
    <w:p w14:paraId="45A7932D">
      <w:pPr>
        <w:pStyle w:val="6"/>
        <w:spacing w:before="0" w:after="0"/>
        <w:ind w:firstLine="0"/>
        <w:jc w:val="left"/>
        <w:rPr>
          <w:rFonts w:ascii="仿宋" w:hAnsi="仿宋" w:eastAsia="仿宋" w:cs="仿宋"/>
          <w:color w:val="auto"/>
          <w:sz w:val="24"/>
          <w:szCs w:val="24"/>
          <w:highlight w:val="none"/>
        </w:rPr>
      </w:pPr>
      <w:bookmarkStart w:id="548" w:name="_Toc9329"/>
      <w:bookmarkStart w:id="549" w:name="_Toc96338072"/>
      <w:bookmarkStart w:id="550" w:name="_Toc139797681"/>
      <w:bookmarkStart w:id="551" w:name="_Toc137"/>
      <w:bookmarkStart w:id="552" w:name="_Toc530551897"/>
      <w:bookmarkStart w:id="553" w:name="_Toc531359074"/>
      <w:bookmarkStart w:id="554" w:name="_Toc493956072"/>
      <w:r>
        <w:rPr>
          <w:rFonts w:hint="eastAsia" w:ascii="仿宋" w:hAnsi="仿宋" w:eastAsia="仿宋" w:cs="仿宋"/>
          <w:color w:val="auto"/>
          <w:sz w:val="24"/>
          <w:szCs w:val="24"/>
          <w:highlight w:val="none"/>
        </w:rPr>
        <w:t>3.1    报价文件文件封面格式</w:t>
      </w:r>
      <w:bookmarkEnd w:id="548"/>
      <w:bookmarkEnd w:id="549"/>
      <w:bookmarkEnd w:id="550"/>
      <w:bookmarkEnd w:id="551"/>
    </w:p>
    <w:p w14:paraId="4E23E219">
      <w:pPr>
        <w:pStyle w:val="17"/>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p w14:paraId="73CFA085">
      <w:pPr>
        <w:snapToGrid w:val="0"/>
        <w:jc w:val="center"/>
        <w:rPr>
          <w:rFonts w:ascii="仿宋" w:hAnsi="仿宋" w:eastAsia="仿宋" w:cs="仿宋"/>
          <w:bCs/>
          <w:color w:val="auto"/>
          <w:sz w:val="24"/>
          <w:szCs w:val="20"/>
          <w:highlight w:val="none"/>
        </w:rPr>
      </w:pPr>
    </w:p>
    <w:tbl>
      <w:tblPr>
        <w:tblStyle w:val="63"/>
        <w:tblW w:w="7054" w:type="dxa"/>
        <w:jc w:val="center"/>
        <w:tblLayout w:type="fixed"/>
        <w:tblCellMar>
          <w:top w:w="0" w:type="dxa"/>
          <w:left w:w="108" w:type="dxa"/>
          <w:bottom w:w="0" w:type="dxa"/>
          <w:right w:w="108" w:type="dxa"/>
        </w:tblCellMar>
      </w:tblPr>
      <w:tblGrid>
        <w:gridCol w:w="2518"/>
        <w:gridCol w:w="4536"/>
      </w:tblGrid>
      <w:tr w14:paraId="7FD58FA9">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641E30A0">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磋商响应文件名称：</w:t>
            </w:r>
          </w:p>
        </w:tc>
        <w:tc>
          <w:tcPr>
            <w:tcW w:w="4536" w:type="dxa"/>
            <w:shd w:val="clear" w:color="auto" w:fill="auto"/>
            <w:vAlign w:val="center"/>
          </w:tcPr>
          <w:p w14:paraId="104EEB3E">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报价文件           </w:t>
            </w:r>
          </w:p>
        </w:tc>
      </w:tr>
      <w:tr w14:paraId="65A3E7BF">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0994F90D">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项 目 编 号：</w:t>
            </w:r>
          </w:p>
        </w:tc>
        <w:tc>
          <w:tcPr>
            <w:tcW w:w="4536" w:type="dxa"/>
            <w:shd w:val="clear" w:color="auto" w:fill="auto"/>
            <w:vAlign w:val="center"/>
          </w:tcPr>
          <w:p w14:paraId="44BE1616">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15E05FA3">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42F70C7D">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shd w:val="clear" w:color="auto" w:fill="auto"/>
            <w:vAlign w:val="center"/>
          </w:tcPr>
          <w:p w14:paraId="1D81B2B3">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29955790">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6BCA4D46">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shd w:val="clear" w:color="auto" w:fill="auto"/>
            <w:vAlign w:val="center"/>
          </w:tcPr>
          <w:p w14:paraId="53C59DA5">
            <w:pPr>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（若有）                            </w:t>
            </w:r>
          </w:p>
        </w:tc>
      </w:tr>
      <w:tr w14:paraId="049C7B1E">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2ADA8CF2">
            <w:pPr>
              <w:jc w:val="distribute"/>
              <w:rPr>
                <w:rFonts w:ascii="仿宋" w:hAnsi="仿宋" w:eastAsia="仿宋" w:cs="仿宋"/>
                <w:color w:val="auto"/>
                <w:sz w:val="24"/>
                <w:highlight w:val="none"/>
              </w:rPr>
            </w:pPr>
          </w:p>
        </w:tc>
        <w:tc>
          <w:tcPr>
            <w:tcW w:w="4536" w:type="dxa"/>
            <w:shd w:val="clear" w:color="auto" w:fill="auto"/>
            <w:vAlign w:val="center"/>
          </w:tcPr>
          <w:p w14:paraId="143E219B">
            <w:pPr>
              <w:jc w:val="left"/>
              <w:rPr>
                <w:rFonts w:ascii="仿宋" w:hAnsi="仿宋" w:eastAsia="仿宋" w:cs="仿宋"/>
                <w:color w:val="auto"/>
                <w:sz w:val="24"/>
                <w:highlight w:val="none"/>
              </w:rPr>
            </w:pPr>
          </w:p>
        </w:tc>
      </w:tr>
      <w:tr w14:paraId="3FB67879">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12E6C4CE">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shd w:val="clear" w:color="auto" w:fill="auto"/>
            <w:vAlign w:val="center"/>
          </w:tcPr>
          <w:p w14:paraId="38AEBD4E">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67229335">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34AD87C9">
            <w:pPr>
              <w:jc w:val="distribute"/>
              <w:rPr>
                <w:rFonts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shd w:val="clear" w:color="auto" w:fill="auto"/>
            <w:vAlign w:val="center"/>
          </w:tcPr>
          <w:p w14:paraId="587851BB">
            <w:pPr>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1307970F">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187E68B3">
            <w:pPr>
              <w:jc w:val="left"/>
              <w:rPr>
                <w:rFonts w:ascii="仿宋" w:hAnsi="仿宋" w:eastAsia="仿宋" w:cs="仿宋"/>
                <w:color w:val="auto"/>
                <w:sz w:val="24"/>
                <w:highlight w:val="none"/>
                <w:u w:val="single"/>
              </w:rPr>
            </w:pPr>
          </w:p>
        </w:tc>
      </w:tr>
      <w:tr w14:paraId="74CFD270">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4B694C2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03853D1F">
      <w:pPr>
        <w:spacing w:line="360" w:lineRule="auto"/>
        <w:rPr>
          <w:rFonts w:ascii="仿宋" w:hAnsi="仿宋" w:eastAsia="仿宋" w:cs="仿宋"/>
          <w:color w:val="auto"/>
          <w:sz w:val="24"/>
          <w:highlight w:val="none"/>
        </w:rPr>
      </w:pPr>
    </w:p>
    <w:p w14:paraId="4FE89792">
      <w:pPr>
        <w:spacing w:line="360" w:lineRule="auto"/>
        <w:rPr>
          <w:rFonts w:ascii="仿宋" w:hAnsi="仿宋" w:eastAsia="仿宋" w:cs="仿宋"/>
          <w:color w:val="auto"/>
          <w:sz w:val="24"/>
          <w:highlight w:val="none"/>
        </w:rPr>
      </w:pPr>
    </w:p>
    <w:p w14:paraId="5BE63E36">
      <w:pPr>
        <w:pStyle w:val="6"/>
        <w:spacing w:before="0" w:after="0"/>
        <w:ind w:firstLine="0"/>
        <w:jc w:val="left"/>
        <w:rPr>
          <w:rFonts w:ascii="仿宋" w:hAnsi="仿宋" w:eastAsia="仿宋" w:cs="仿宋"/>
          <w:color w:val="auto"/>
          <w:sz w:val="24"/>
          <w:szCs w:val="24"/>
          <w:highlight w:val="none"/>
        </w:rPr>
      </w:pPr>
      <w:bookmarkStart w:id="555" w:name="_Toc96338073"/>
      <w:bookmarkStart w:id="556" w:name="_Toc6131"/>
      <w:bookmarkStart w:id="557" w:name="_Toc30699"/>
      <w:bookmarkStart w:id="558" w:name="_Toc139797682"/>
      <w:r>
        <w:rPr>
          <w:rFonts w:hint="eastAsia" w:ascii="仿宋" w:hAnsi="仿宋" w:eastAsia="仿宋" w:cs="仿宋"/>
          <w:color w:val="auto"/>
          <w:sz w:val="24"/>
          <w:szCs w:val="24"/>
          <w:highlight w:val="none"/>
        </w:rPr>
        <w:t>3.2    报价文件文件目录</w:t>
      </w:r>
      <w:bookmarkEnd w:id="555"/>
      <w:bookmarkEnd w:id="556"/>
      <w:bookmarkEnd w:id="557"/>
      <w:bookmarkEnd w:id="558"/>
    </w:p>
    <w:p w14:paraId="7BA606DC">
      <w:pPr>
        <w:pStyle w:val="17"/>
        <w:spacing w:line="360" w:lineRule="auto"/>
        <w:ind w:firstLine="0"/>
        <w:rPr>
          <w:rFonts w:ascii="仿宋" w:hAnsi="仿宋" w:eastAsia="仿宋" w:cs="仿宋"/>
          <w:color w:val="auto"/>
          <w:highlight w:val="none"/>
        </w:rPr>
      </w:pPr>
    </w:p>
    <w:p w14:paraId="7ECB9186">
      <w:pPr>
        <w:pStyle w:val="17"/>
        <w:spacing w:line="36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（格式自行设计）</w:t>
      </w:r>
    </w:p>
    <w:p w14:paraId="6F0C3488">
      <w:pPr>
        <w:pStyle w:val="17"/>
        <w:spacing w:line="360" w:lineRule="auto"/>
        <w:ind w:firstLine="0"/>
        <w:rPr>
          <w:rFonts w:ascii="仿宋" w:hAnsi="仿宋" w:eastAsia="仿宋" w:cs="仿宋"/>
          <w:color w:val="auto"/>
          <w:sz w:val="24"/>
          <w:szCs w:val="24"/>
          <w:highlight w:val="none"/>
        </w:rPr>
      </w:pPr>
    </w:p>
    <w:p w14:paraId="2C2F4A98">
      <w:pPr>
        <w:pStyle w:val="6"/>
        <w:spacing w:before="0" w:after="0"/>
        <w:ind w:firstLine="0"/>
        <w:jc w:val="left"/>
        <w:rPr>
          <w:rFonts w:ascii="仿宋" w:hAnsi="仿宋" w:eastAsia="仿宋" w:cs="仿宋"/>
          <w:color w:val="auto"/>
          <w:sz w:val="24"/>
          <w:szCs w:val="24"/>
          <w:highlight w:val="none"/>
        </w:rPr>
        <w:sectPr>
          <w:pgSz w:w="11905" w:h="16838"/>
          <w:pgMar w:top="1440" w:right="1803" w:bottom="1440" w:left="1803" w:header="851" w:footer="992" w:gutter="0"/>
          <w:pgNumType w:fmt="decimal"/>
          <w:cols w:space="0" w:num="1"/>
          <w:titlePg/>
          <w:docGrid w:linePitch="312" w:charSpace="0"/>
        </w:sectPr>
      </w:pPr>
    </w:p>
    <w:p w14:paraId="0214849D">
      <w:pPr>
        <w:pStyle w:val="6"/>
        <w:spacing w:before="0" w:after="0"/>
        <w:ind w:firstLine="0"/>
        <w:jc w:val="left"/>
        <w:rPr>
          <w:rFonts w:ascii="仿宋" w:hAnsi="仿宋" w:eastAsia="仿宋" w:cs="仿宋"/>
          <w:color w:val="auto"/>
          <w:sz w:val="24"/>
          <w:szCs w:val="24"/>
          <w:highlight w:val="none"/>
        </w:rPr>
      </w:pPr>
      <w:bookmarkStart w:id="559" w:name="_Toc473"/>
      <w:bookmarkStart w:id="560" w:name="_Toc96338074"/>
      <w:bookmarkStart w:id="561" w:name="_Toc17605"/>
      <w:bookmarkStart w:id="562" w:name="_Toc139797683"/>
      <w:r>
        <w:rPr>
          <w:rFonts w:hint="eastAsia" w:ascii="仿宋" w:hAnsi="仿宋" w:eastAsia="仿宋" w:cs="仿宋"/>
          <w:color w:val="auto"/>
          <w:sz w:val="24"/>
          <w:szCs w:val="24"/>
          <w:highlight w:val="none"/>
        </w:rPr>
        <w:t>3.3    开标一览表</w:t>
      </w:r>
      <w:bookmarkEnd w:id="552"/>
      <w:bookmarkEnd w:id="553"/>
      <w:bookmarkEnd w:id="554"/>
      <w:r>
        <w:rPr>
          <w:rFonts w:hint="eastAsia" w:ascii="仿宋" w:hAnsi="仿宋" w:eastAsia="仿宋" w:cs="仿宋"/>
          <w:color w:val="auto"/>
          <w:sz w:val="24"/>
          <w:szCs w:val="24"/>
          <w:highlight w:val="none"/>
        </w:rPr>
        <w:t>格式</w:t>
      </w:r>
      <w:bookmarkEnd w:id="559"/>
      <w:bookmarkEnd w:id="560"/>
      <w:bookmarkEnd w:id="561"/>
      <w:bookmarkEnd w:id="562"/>
    </w:p>
    <w:p w14:paraId="01753A3A">
      <w:pPr>
        <w:pStyle w:val="17"/>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开标一览表</w:t>
      </w:r>
    </w:p>
    <w:p w14:paraId="3EF186BE">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4E531FC5">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标项：</w:t>
      </w:r>
      <w:r>
        <w:rPr>
          <w:rFonts w:hint="eastAsia" w:ascii="仿宋" w:hAnsi="仿宋" w:eastAsia="仿宋" w:cs="仿宋"/>
          <w:color w:val="auto"/>
          <w:sz w:val="24"/>
          <w:highlight w:val="none"/>
          <w:u w:val="single"/>
        </w:rPr>
        <w:t>（若有）</w:t>
      </w:r>
    </w:p>
    <w:tbl>
      <w:tblPr>
        <w:tblStyle w:val="63"/>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019C1FD6">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231E5D90">
            <w:pPr>
              <w:pStyle w:val="974"/>
              <w:tabs>
                <w:tab w:val="left" w:pos="420"/>
                <w:tab w:val="center" w:pos="4153"/>
                <w:tab w:val="right" w:pos="8306"/>
              </w:tabs>
              <w:adjustRightInd w:val="0"/>
              <w:jc w:val="center"/>
              <w:rPr>
                <w:rFonts w:ascii="仿宋" w:hAnsi="仿宋" w:eastAsia="仿宋" w:cs="仿宋"/>
                <w:caps/>
                <w:color w:val="auto"/>
                <w:spacing w:val="20"/>
                <w:kern w:val="0"/>
                <w:sz w:val="24"/>
                <w:szCs w:val="20"/>
                <w:highlight w:val="none"/>
              </w:rPr>
            </w:pPr>
            <w:r>
              <w:rPr>
                <w:rFonts w:hint="eastAsia" w:ascii="仿宋" w:hAnsi="仿宋" w:eastAsia="仿宋" w:cs="仿宋"/>
                <w:caps/>
                <w:color w:val="auto"/>
                <w:spacing w:val="20"/>
                <w:kern w:val="0"/>
                <w:sz w:val="24"/>
                <w:szCs w:val="20"/>
                <w:highlight w:val="none"/>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12615263">
            <w:pPr>
              <w:pStyle w:val="974"/>
              <w:jc w:val="center"/>
              <w:rPr>
                <w:rFonts w:ascii="仿宋" w:hAnsi="仿宋" w:eastAsia="仿宋" w:cs="仿宋"/>
                <w:caps/>
                <w:color w:val="auto"/>
                <w:spacing w:val="20"/>
                <w:sz w:val="24"/>
                <w:highlight w:val="none"/>
              </w:rPr>
            </w:pPr>
            <w:r>
              <w:rPr>
                <w:rFonts w:hint="eastAsia" w:ascii="仿宋" w:hAnsi="仿宋" w:eastAsia="仿宋" w:cs="仿宋"/>
                <w:caps/>
                <w:color w:val="auto"/>
                <w:spacing w:val="20"/>
                <w:sz w:val="24"/>
                <w:highlight w:val="none"/>
              </w:rPr>
              <w:t>总报价（元）</w:t>
            </w:r>
          </w:p>
        </w:tc>
      </w:tr>
      <w:tr w14:paraId="59C11D4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14E83A8E">
            <w:pPr>
              <w:pStyle w:val="974"/>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2D886C73">
            <w:pPr>
              <w:pStyle w:val="974"/>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大写                （￥           ）</w:t>
            </w:r>
          </w:p>
        </w:tc>
      </w:tr>
    </w:tbl>
    <w:p w14:paraId="40878F55">
      <w:pPr>
        <w:pStyle w:val="974"/>
        <w:rPr>
          <w:rFonts w:ascii="仿宋" w:hAnsi="仿宋" w:eastAsia="仿宋" w:cs="仿宋"/>
          <w:b/>
          <w:iCs/>
          <w:color w:val="auto"/>
          <w:spacing w:val="20"/>
          <w:sz w:val="24"/>
          <w:highlight w:val="none"/>
        </w:rPr>
      </w:pPr>
      <w:r>
        <w:rPr>
          <w:rFonts w:hint="eastAsia" w:ascii="仿宋" w:hAnsi="仿宋" w:eastAsia="仿宋" w:cs="仿宋"/>
          <w:b/>
          <w:color w:val="auto"/>
          <w:sz w:val="24"/>
          <w:szCs w:val="21"/>
          <w:highlight w:val="none"/>
        </w:rPr>
        <w:t xml:space="preserve"> </w:t>
      </w:r>
      <w:r>
        <w:rPr>
          <w:rFonts w:hint="eastAsia" w:ascii="仿宋" w:hAnsi="仿宋" w:eastAsia="仿宋" w:cs="仿宋"/>
          <w:b/>
          <w:iCs/>
          <w:color w:val="auto"/>
          <w:spacing w:val="20"/>
          <w:sz w:val="24"/>
          <w:highlight w:val="none"/>
        </w:rPr>
        <w:t>注：</w:t>
      </w:r>
    </w:p>
    <w:p w14:paraId="10DF4D3B">
      <w:pPr>
        <w:pStyle w:val="974"/>
        <w:spacing w:line="360" w:lineRule="auto"/>
        <w:ind w:firstLine="480" w:firstLineChars="200"/>
        <w:jc w:val="left"/>
        <w:rPr>
          <w:rFonts w:ascii="仿宋" w:hAnsi="仿宋" w:eastAsia="仿宋" w:cs="仿宋"/>
          <w:iCs/>
          <w:color w:val="auto"/>
          <w:sz w:val="24"/>
          <w:highlight w:val="none"/>
        </w:rPr>
      </w:pPr>
      <w:r>
        <w:rPr>
          <w:rFonts w:hint="eastAsia" w:ascii="仿宋" w:hAnsi="仿宋" w:eastAsia="仿宋" w:cs="仿宋"/>
          <w:iCs/>
          <w:color w:val="auto"/>
          <w:sz w:val="24"/>
          <w:highlight w:val="none"/>
        </w:rPr>
        <w:t>1. 具体价格明细详见《投标分项报价表》</w:t>
      </w:r>
    </w:p>
    <w:p w14:paraId="46099CBC">
      <w:pPr>
        <w:pStyle w:val="974"/>
        <w:spacing w:line="360" w:lineRule="auto"/>
        <w:ind w:firstLine="480" w:firstLineChars="200"/>
        <w:jc w:val="left"/>
        <w:rPr>
          <w:rFonts w:ascii="仿宋" w:hAnsi="仿宋" w:eastAsia="仿宋" w:cs="仿宋"/>
          <w:iCs/>
          <w:color w:val="auto"/>
          <w:sz w:val="24"/>
          <w:highlight w:val="none"/>
        </w:rPr>
      </w:pPr>
      <w:r>
        <w:rPr>
          <w:rFonts w:hint="eastAsia" w:ascii="仿宋" w:hAnsi="仿宋" w:eastAsia="仿宋" w:cs="仿宋"/>
          <w:iCs/>
          <w:color w:val="auto"/>
          <w:sz w:val="24"/>
          <w:highlight w:val="none"/>
        </w:rPr>
        <w:t>2. 总报价一经涂改，应在涂改处加盖单位公章或投标人代表签字（或盖章），否则其投标作无效标处理。</w:t>
      </w:r>
    </w:p>
    <w:p w14:paraId="70B8F7AB">
      <w:pPr>
        <w:pStyle w:val="974"/>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总报价应包括服务内容、人工、</w:t>
      </w:r>
      <w:r>
        <w:rPr>
          <w:rFonts w:hint="eastAsia" w:ascii="仿宋" w:hAnsi="仿宋" w:eastAsia="仿宋" w:cs="仿宋"/>
          <w:color w:val="auto"/>
          <w:sz w:val="24"/>
          <w:highlight w:val="none"/>
          <w:lang w:eastAsia="zh-CN"/>
        </w:rPr>
        <w:t>设备、</w:t>
      </w:r>
      <w:r>
        <w:rPr>
          <w:rFonts w:hint="eastAsia" w:ascii="仿宋" w:hAnsi="仿宋" w:eastAsia="仿宋" w:cs="仿宋"/>
          <w:color w:val="auto"/>
          <w:sz w:val="24"/>
          <w:highlight w:val="none"/>
        </w:rPr>
        <w:t>保险、税金、培训、售后服务费、配套费、以及实施本项目所需的其他一切费用。</w:t>
      </w:r>
    </w:p>
    <w:p w14:paraId="74DDE1F0">
      <w:pPr>
        <w:pStyle w:val="974"/>
        <w:spacing w:line="360" w:lineRule="auto"/>
        <w:rPr>
          <w:rFonts w:ascii="仿宋" w:hAnsi="仿宋" w:eastAsia="仿宋" w:cs="仿宋"/>
          <w:bCs/>
          <w:color w:val="auto"/>
          <w:sz w:val="24"/>
          <w:highlight w:val="none"/>
        </w:rPr>
      </w:pPr>
    </w:p>
    <w:p w14:paraId="527D8771">
      <w:pPr>
        <w:spacing w:line="360" w:lineRule="auto"/>
        <w:jc w:val="left"/>
        <w:rPr>
          <w:rFonts w:ascii="仿宋" w:hAnsi="仿宋" w:eastAsia="仿宋" w:cs="仿宋"/>
          <w:color w:val="auto"/>
          <w:spacing w:val="20"/>
          <w:sz w:val="24"/>
          <w:highlight w:val="none"/>
        </w:rPr>
      </w:pPr>
    </w:p>
    <w:p w14:paraId="085CD212">
      <w:pPr>
        <w:pStyle w:val="158"/>
        <w:wordWrap w:val="0"/>
        <w:spacing w:line="360" w:lineRule="auto"/>
        <w:ind w:firstLine="480"/>
        <w:jc w:val="right"/>
        <w:rPr>
          <w:rFonts w:ascii="仿宋" w:hAnsi="仿宋" w:eastAsia="仿宋" w:cs="仿宋"/>
          <w:color w:val="auto"/>
          <w:sz w:val="24"/>
          <w:szCs w:val="21"/>
          <w:highlight w:val="none"/>
          <w:u w:val="single"/>
        </w:rPr>
      </w:pPr>
      <w:bookmarkStart w:id="563" w:name="_Toc530551898"/>
      <w:bookmarkStart w:id="564" w:name="_Toc531359075"/>
      <w:bookmarkStart w:id="565" w:name="_Toc493956073"/>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70C2043C">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05EE6F0C">
      <w:pPr>
        <w:pStyle w:val="6"/>
        <w:spacing w:before="0" w:after="0"/>
        <w:ind w:firstLine="0"/>
        <w:jc w:val="right"/>
        <w:rPr>
          <w:rFonts w:ascii="仿宋" w:hAnsi="仿宋" w:eastAsia="仿宋" w:cs="仿宋"/>
          <w:color w:val="auto"/>
          <w:sz w:val="28"/>
          <w:szCs w:val="28"/>
          <w:highlight w:val="none"/>
        </w:rPr>
        <w:sectPr>
          <w:pgSz w:w="11905" w:h="16838"/>
          <w:pgMar w:top="1440" w:right="1803" w:bottom="1440" w:left="1803" w:header="851" w:footer="992" w:gutter="0"/>
          <w:pgNumType w:fmt="decimal"/>
          <w:cols w:space="0" w:num="1"/>
          <w:titlePg/>
          <w:docGrid w:linePitch="312" w:charSpace="0"/>
        </w:sectPr>
      </w:pPr>
    </w:p>
    <w:p w14:paraId="68EF1A73">
      <w:pPr>
        <w:pStyle w:val="6"/>
        <w:spacing w:before="0" w:after="0"/>
        <w:ind w:firstLine="0"/>
        <w:jc w:val="left"/>
        <w:rPr>
          <w:rFonts w:ascii="仿宋" w:hAnsi="仿宋" w:eastAsia="仿宋" w:cs="仿宋"/>
          <w:color w:val="auto"/>
          <w:sz w:val="24"/>
          <w:szCs w:val="24"/>
          <w:highlight w:val="none"/>
        </w:rPr>
      </w:pPr>
      <w:bookmarkStart w:id="566" w:name="_Toc6126"/>
      <w:bookmarkStart w:id="567" w:name="_Toc139797684"/>
      <w:bookmarkStart w:id="568" w:name="_Toc96338075"/>
      <w:bookmarkStart w:id="569" w:name="_Toc26195"/>
      <w:r>
        <w:rPr>
          <w:rFonts w:hint="eastAsia" w:ascii="仿宋" w:hAnsi="仿宋" w:eastAsia="仿宋" w:cs="仿宋"/>
          <w:color w:val="auto"/>
          <w:sz w:val="24"/>
          <w:szCs w:val="24"/>
          <w:highlight w:val="none"/>
        </w:rPr>
        <w:t xml:space="preserve">3.4    </w:t>
      </w:r>
      <w:bookmarkEnd w:id="563"/>
      <w:bookmarkEnd w:id="564"/>
      <w:bookmarkEnd w:id="565"/>
      <w:r>
        <w:rPr>
          <w:rFonts w:hint="eastAsia" w:ascii="仿宋" w:hAnsi="仿宋" w:eastAsia="仿宋" w:cs="仿宋"/>
          <w:color w:val="auto"/>
          <w:kern w:val="0"/>
          <w:sz w:val="24"/>
          <w:highlight w:val="none"/>
        </w:rPr>
        <w:t>报价</w:t>
      </w:r>
      <w:r>
        <w:rPr>
          <w:rFonts w:hint="eastAsia" w:ascii="仿宋" w:hAnsi="仿宋" w:eastAsia="仿宋" w:cs="仿宋"/>
          <w:bCs w:val="0"/>
          <w:color w:val="auto"/>
          <w:sz w:val="24"/>
          <w:highlight w:val="none"/>
        </w:rPr>
        <w:t>明细表</w:t>
      </w:r>
      <w:r>
        <w:rPr>
          <w:rFonts w:hint="eastAsia" w:ascii="仿宋" w:hAnsi="仿宋" w:eastAsia="仿宋" w:cs="仿宋"/>
          <w:color w:val="auto"/>
          <w:sz w:val="24"/>
          <w:szCs w:val="24"/>
          <w:highlight w:val="none"/>
        </w:rPr>
        <w:t>格式</w:t>
      </w:r>
      <w:bookmarkEnd w:id="566"/>
      <w:bookmarkEnd w:id="567"/>
      <w:bookmarkEnd w:id="568"/>
      <w:bookmarkEnd w:id="569"/>
    </w:p>
    <w:p w14:paraId="5DDB48F4">
      <w:pPr>
        <w:pStyle w:val="17"/>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报价明细表</w:t>
      </w:r>
    </w:p>
    <w:p w14:paraId="244543E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（格式仅供参考，可以根据实际情况自行设计）</w:t>
      </w:r>
    </w:p>
    <w:p w14:paraId="14876012">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695E070">
      <w:pPr>
        <w:spacing w:line="360" w:lineRule="auto"/>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标项：</w:t>
      </w:r>
      <w:r>
        <w:rPr>
          <w:rFonts w:hint="eastAsia" w:ascii="仿宋" w:hAnsi="仿宋" w:eastAsia="仿宋" w:cs="仿宋"/>
          <w:color w:val="auto"/>
          <w:sz w:val="24"/>
          <w:highlight w:val="none"/>
          <w:u w:val="single"/>
        </w:rPr>
        <w:t>（若有）</w:t>
      </w:r>
    </w:p>
    <w:tbl>
      <w:tblPr>
        <w:tblStyle w:val="63"/>
        <w:tblW w:w="8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1934"/>
        <w:gridCol w:w="1105"/>
        <w:gridCol w:w="1231"/>
        <w:gridCol w:w="1583"/>
        <w:gridCol w:w="1582"/>
      </w:tblGrid>
      <w:tr w14:paraId="6B6EC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B13DAC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34" w:type="dxa"/>
            <w:tcBorders>
              <w:top w:val="single" w:color="auto" w:sz="4" w:space="0"/>
              <w:left w:val="single" w:color="auto" w:sz="4" w:space="0"/>
              <w:bottom w:val="single" w:color="auto" w:sz="4" w:space="0"/>
              <w:right w:val="single" w:color="auto" w:sz="4" w:space="0"/>
            </w:tcBorders>
            <w:vAlign w:val="center"/>
          </w:tcPr>
          <w:p w14:paraId="2213EA0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1105" w:type="dxa"/>
            <w:tcBorders>
              <w:top w:val="single" w:color="auto" w:sz="4" w:space="0"/>
              <w:left w:val="single" w:color="auto" w:sz="4" w:space="0"/>
              <w:bottom w:val="single" w:color="auto" w:sz="4" w:space="0"/>
              <w:right w:val="single" w:color="auto" w:sz="4" w:space="0"/>
            </w:tcBorders>
            <w:vAlign w:val="center"/>
          </w:tcPr>
          <w:p w14:paraId="7DE9837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231" w:type="dxa"/>
            <w:tcBorders>
              <w:top w:val="single" w:color="auto" w:sz="4" w:space="0"/>
              <w:left w:val="single" w:color="auto" w:sz="4" w:space="0"/>
              <w:bottom w:val="single" w:color="auto" w:sz="4" w:space="0"/>
              <w:right w:val="single" w:color="auto" w:sz="4" w:space="0"/>
            </w:tcBorders>
            <w:vAlign w:val="center"/>
          </w:tcPr>
          <w:p w14:paraId="785D5F8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583" w:type="dxa"/>
            <w:tcBorders>
              <w:top w:val="single" w:color="auto" w:sz="4" w:space="0"/>
              <w:left w:val="single" w:color="auto" w:sz="4" w:space="0"/>
              <w:bottom w:val="single" w:color="auto" w:sz="4" w:space="0"/>
              <w:right w:val="single" w:color="auto" w:sz="4" w:space="0"/>
            </w:tcBorders>
            <w:vAlign w:val="center"/>
          </w:tcPr>
          <w:p w14:paraId="038FA67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582" w:type="dxa"/>
            <w:tcBorders>
              <w:top w:val="single" w:color="auto" w:sz="4" w:space="0"/>
              <w:left w:val="single" w:color="auto" w:sz="4" w:space="0"/>
              <w:bottom w:val="single" w:color="auto" w:sz="4" w:space="0"/>
              <w:right w:val="single" w:color="auto" w:sz="4" w:space="0"/>
            </w:tcBorders>
            <w:vAlign w:val="center"/>
          </w:tcPr>
          <w:p w14:paraId="52AA862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合价（元）</w:t>
            </w:r>
          </w:p>
        </w:tc>
      </w:tr>
      <w:tr w14:paraId="4B4B5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9DA620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34" w:type="dxa"/>
            <w:tcBorders>
              <w:top w:val="single" w:color="auto" w:sz="4" w:space="0"/>
              <w:left w:val="single" w:color="auto" w:sz="4" w:space="0"/>
              <w:bottom w:val="single" w:color="auto" w:sz="4" w:space="0"/>
              <w:right w:val="single" w:color="auto" w:sz="4" w:space="0"/>
            </w:tcBorders>
            <w:vAlign w:val="center"/>
          </w:tcPr>
          <w:p w14:paraId="024839E8">
            <w:pPr>
              <w:jc w:val="center"/>
              <w:rPr>
                <w:rFonts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04E10BB5">
            <w:pPr>
              <w:jc w:val="center"/>
              <w:rPr>
                <w:rFonts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121B02ED">
            <w:pPr>
              <w:jc w:val="center"/>
              <w:rPr>
                <w:rFonts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52D3923E">
            <w:pPr>
              <w:jc w:val="center"/>
              <w:rPr>
                <w:rFonts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41924209">
            <w:pPr>
              <w:jc w:val="center"/>
              <w:rPr>
                <w:rFonts w:ascii="仿宋" w:hAnsi="仿宋" w:eastAsia="仿宋" w:cs="仿宋"/>
                <w:color w:val="auto"/>
                <w:sz w:val="24"/>
                <w:highlight w:val="none"/>
              </w:rPr>
            </w:pPr>
          </w:p>
        </w:tc>
      </w:tr>
      <w:tr w14:paraId="38B5A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0749D6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934" w:type="dxa"/>
            <w:tcBorders>
              <w:top w:val="single" w:color="auto" w:sz="4" w:space="0"/>
              <w:left w:val="single" w:color="auto" w:sz="4" w:space="0"/>
              <w:bottom w:val="single" w:color="auto" w:sz="4" w:space="0"/>
              <w:right w:val="single" w:color="auto" w:sz="4" w:space="0"/>
            </w:tcBorders>
            <w:vAlign w:val="center"/>
          </w:tcPr>
          <w:p w14:paraId="68A3C8A1">
            <w:pPr>
              <w:jc w:val="center"/>
              <w:rPr>
                <w:rFonts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250209E8">
            <w:pPr>
              <w:jc w:val="center"/>
              <w:rPr>
                <w:rFonts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79F69909">
            <w:pPr>
              <w:jc w:val="center"/>
              <w:rPr>
                <w:rFonts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495FC06E">
            <w:pPr>
              <w:jc w:val="center"/>
              <w:rPr>
                <w:rFonts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02BB13E">
            <w:pPr>
              <w:jc w:val="center"/>
              <w:rPr>
                <w:rFonts w:ascii="仿宋" w:hAnsi="仿宋" w:eastAsia="仿宋" w:cs="仿宋"/>
                <w:color w:val="auto"/>
                <w:sz w:val="24"/>
                <w:highlight w:val="none"/>
              </w:rPr>
            </w:pPr>
          </w:p>
        </w:tc>
      </w:tr>
      <w:tr w14:paraId="17AB0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1726243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34" w:type="dxa"/>
            <w:tcBorders>
              <w:top w:val="single" w:color="auto" w:sz="4" w:space="0"/>
              <w:left w:val="single" w:color="auto" w:sz="4" w:space="0"/>
              <w:bottom w:val="single" w:color="auto" w:sz="4" w:space="0"/>
              <w:right w:val="single" w:color="auto" w:sz="4" w:space="0"/>
            </w:tcBorders>
            <w:vAlign w:val="center"/>
          </w:tcPr>
          <w:p w14:paraId="4851A145">
            <w:pPr>
              <w:jc w:val="center"/>
              <w:rPr>
                <w:rFonts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617023C0">
            <w:pPr>
              <w:jc w:val="center"/>
              <w:rPr>
                <w:rFonts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19C70367">
            <w:pPr>
              <w:jc w:val="center"/>
              <w:rPr>
                <w:rFonts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72A844E5">
            <w:pPr>
              <w:jc w:val="center"/>
              <w:rPr>
                <w:rFonts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41B486CC">
            <w:pPr>
              <w:jc w:val="center"/>
              <w:rPr>
                <w:rFonts w:ascii="仿宋" w:hAnsi="仿宋" w:eastAsia="仿宋" w:cs="仿宋"/>
                <w:color w:val="auto"/>
                <w:sz w:val="24"/>
                <w:highlight w:val="none"/>
              </w:rPr>
            </w:pPr>
          </w:p>
        </w:tc>
      </w:tr>
      <w:tr w14:paraId="13FF5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1C3967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34" w:type="dxa"/>
            <w:tcBorders>
              <w:top w:val="single" w:color="auto" w:sz="4" w:space="0"/>
              <w:left w:val="single" w:color="auto" w:sz="4" w:space="0"/>
              <w:bottom w:val="single" w:color="auto" w:sz="4" w:space="0"/>
              <w:right w:val="single" w:color="auto" w:sz="4" w:space="0"/>
            </w:tcBorders>
            <w:vAlign w:val="center"/>
          </w:tcPr>
          <w:p w14:paraId="07C8368B">
            <w:pPr>
              <w:jc w:val="center"/>
              <w:rPr>
                <w:rFonts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2A1D47BE">
            <w:pPr>
              <w:jc w:val="center"/>
              <w:rPr>
                <w:rFonts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12C62637">
            <w:pPr>
              <w:jc w:val="center"/>
              <w:rPr>
                <w:rFonts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38B75DEC">
            <w:pPr>
              <w:jc w:val="center"/>
              <w:rPr>
                <w:rFonts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3616F02A">
            <w:pPr>
              <w:jc w:val="center"/>
              <w:rPr>
                <w:rFonts w:ascii="仿宋" w:hAnsi="仿宋" w:eastAsia="仿宋" w:cs="仿宋"/>
                <w:color w:val="auto"/>
                <w:sz w:val="24"/>
                <w:highlight w:val="none"/>
              </w:rPr>
            </w:pPr>
          </w:p>
        </w:tc>
      </w:tr>
      <w:tr w14:paraId="5A4C6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9DB2B9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34" w:type="dxa"/>
            <w:tcBorders>
              <w:top w:val="single" w:color="auto" w:sz="4" w:space="0"/>
              <w:left w:val="single" w:color="auto" w:sz="4" w:space="0"/>
              <w:bottom w:val="single" w:color="auto" w:sz="4" w:space="0"/>
              <w:right w:val="single" w:color="auto" w:sz="4" w:space="0"/>
            </w:tcBorders>
            <w:vAlign w:val="center"/>
          </w:tcPr>
          <w:p w14:paraId="7D6CE5A9">
            <w:pPr>
              <w:jc w:val="center"/>
              <w:rPr>
                <w:rFonts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70A1ED14">
            <w:pPr>
              <w:jc w:val="center"/>
              <w:rPr>
                <w:rFonts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082C90FB">
            <w:pPr>
              <w:jc w:val="center"/>
              <w:rPr>
                <w:rFonts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2FD8273E">
            <w:pPr>
              <w:jc w:val="center"/>
              <w:rPr>
                <w:rFonts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320B3C9">
            <w:pPr>
              <w:jc w:val="center"/>
              <w:rPr>
                <w:rFonts w:ascii="仿宋" w:hAnsi="仿宋" w:eastAsia="仿宋" w:cs="仿宋"/>
                <w:color w:val="auto"/>
                <w:sz w:val="24"/>
                <w:highlight w:val="none"/>
              </w:rPr>
            </w:pPr>
          </w:p>
        </w:tc>
      </w:tr>
      <w:tr w14:paraId="5CB37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A6668B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934" w:type="dxa"/>
            <w:tcBorders>
              <w:top w:val="single" w:color="auto" w:sz="4" w:space="0"/>
              <w:left w:val="single" w:color="auto" w:sz="4" w:space="0"/>
              <w:bottom w:val="single" w:color="auto" w:sz="4" w:space="0"/>
              <w:right w:val="single" w:color="auto" w:sz="4" w:space="0"/>
            </w:tcBorders>
            <w:vAlign w:val="center"/>
          </w:tcPr>
          <w:p w14:paraId="4DB05545">
            <w:pPr>
              <w:jc w:val="center"/>
              <w:rPr>
                <w:rFonts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2EC93791">
            <w:pPr>
              <w:jc w:val="center"/>
              <w:rPr>
                <w:rFonts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33ABE90D">
            <w:pPr>
              <w:jc w:val="center"/>
              <w:rPr>
                <w:rFonts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39C20049">
            <w:pPr>
              <w:jc w:val="center"/>
              <w:rPr>
                <w:rFonts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40F8FFA">
            <w:pPr>
              <w:jc w:val="center"/>
              <w:rPr>
                <w:rFonts w:ascii="仿宋" w:hAnsi="仿宋" w:eastAsia="仿宋" w:cs="仿宋"/>
                <w:color w:val="auto"/>
                <w:sz w:val="24"/>
                <w:highlight w:val="none"/>
              </w:rPr>
            </w:pPr>
          </w:p>
        </w:tc>
      </w:tr>
      <w:tr w14:paraId="0A361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7108B64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934" w:type="dxa"/>
            <w:tcBorders>
              <w:top w:val="single" w:color="auto" w:sz="4" w:space="0"/>
              <w:left w:val="single" w:color="auto" w:sz="4" w:space="0"/>
              <w:bottom w:val="single" w:color="auto" w:sz="4" w:space="0"/>
              <w:right w:val="single" w:color="auto" w:sz="4" w:space="0"/>
            </w:tcBorders>
            <w:vAlign w:val="center"/>
          </w:tcPr>
          <w:p w14:paraId="0B33CC0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105" w:type="dxa"/>
            <w:tcBorders>
              <w:top w:val="single" w:color="auto" w:sz="4" w:space="0"/>
              <w:left w:val="single" w:color="auto" w:sz="4" w:space="0"/>
              <w:bottom w:val="single" w:color="auto" w:sz="4" w:space="0"/>
              <w:right w:val="single" w:color="auto" w:sz="4" w:space="0"/>
            </w:tcBorders>
            <w:vAlign w:val="center"/>
          </w:tcPr>
          <w:p w14:paraId="330B4DDE">
            <w:pPr>
              <w:jc w:val="center"/>
              <w:rPr>
                <w:rFonts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00E1AEC8">
            <w:pPr>
              <w:jc w:val="center"/>
              <w:rPr>
                <w:rFonts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7B5725C9">
            <w:pPr>
              <w:jc w:val="center"/>
              <w:rPr>
                <w:rFonts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68FC8C6">
            <w:pPr>
              <w:jc w:val="center"/>
              <w:rPr>
                <w:rFonts w:ascii="仿宋" w:hAnsi="仿宋" w:eastAsia="仿宋" w:cs="仿宋"/>
                <w:color w:val="auto"/>
                <w:sz w:val="24"/>
                <w:highlight w:val="none"/>
              </w:rPr>
            </w:pPr>
          </w:p>
        </w:tc>
      </w:tr>
    </w:tbl>
    <w:p w14:paraId="65C54A1E">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highlight w:val="none"/>
        </w:rPr>
        <w:t>总报价应包括服务内容、人工、</w:t>
      </w:r>
      <w:r>
        <w:rPr>
          <w:rFonts w:hint="eastAsia" w:ascii="仿宋" w:hAnsi="仿宋" w:eastAsia="仿宋" w:cs="仿宋"/>
          <w:color w:val="auto"/>
          <w:sz w:val="24"/>
          <w:highlight w:val="none"/>
          <w:lang w:eastAsia="zh-CN"/>
        </w:rPr>
        <w:t>设备、</w:t>
      </w:r>
      <w:r>
        <w:rPr>
          <w:rFonts w:hint="eastAsia" w:ascii="仿宋" w:hAnsi="仿宋" w:eastAsia="仿宋" w:cs="仿宋"/>
          <w:color w:val="auto"/>
          <w:sz w:val="24"/>
          <w:highlight w:val="none"/>
        </w:rPr>
        <w:t>保险、税金、培训、售后服务费、配套费、以及实施本项目所需的其他一切费用。</w:t>
      </w:r>
    </w:p>
    <w:p w14:paraId="3C25B2C8">
      <w:pPr>
        <w:rPr>
          <w:rFonts w:ascii="仿宋" w:hAnsi="仿宋" w:eastAsia="仿宋" w:cs="仿宋"/>
          <w:color w:val="auto"/>
          <w:highlight w:val="none"/>
        </w:rPr>
      </w:pPr>
    </w:p>
    <w:p w14:paraId="5E95ABF1">
      <w:pPr>
        <w:spacing w:line="360" w:lineRule="auto"/>
        <w:jc w:val="left"/>
        <w:rPr>
          <w:rFonts w:ascii="仿宋" w:hAnsi="仿宋" w:eastAsia="仿宋" w:cs="仿宋"/>
          <w:color w:val="auto"/>
          <w:spacing w:val="20"/>
          <w:sz w:val="24"/>
          <w:highlight w:val="none"/>
        </w:rPr>
      </w:pPr>
    </w:p>
    <w:p w14:paraId="7A73A738">
      <w:pPr>
        <w:pStyle w:val="158"/>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75608425">
      <w:pPr>
        <w:pStyle w:val="158"/>
        <w:wordWrap w:val="0"/>
        <w:spacing w:line="360" w:lineRule="auto"/>
        <w:ind w:firstLine="480"/>
        <w:jc w:val="right"/>
        <w:rPr>
          <w:rFonts w:ascii="仿宋" w:hAnsi="仿宋" w:eastAsia="仿宋" w:cs="仿宋"/>
          <w:color w:val="auto"/>
          <w:spacing w:val="20"/>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234CAC7C">
      <w:pPr>
        <w:pStyle w:val="158"/>
        <w:spacing w:line="360" w:lineRule="auto"/>
        <w:ind w:firstLine="480"/>
        <w:jc w:val="right"/>
        <w:rPr>
          <w:rFonts w:ascii="仿宋" w:hAnsi="仿宋" w:eastAsia="仿宋" w:cs="仿宋"/>
          <w:color w:val="auto"/>
          <w:spacing w:val="20"/>
          <w:sz w:val="24"/>
          <w:szCs w:val="21"/>
          <w:highlight w:val="none"/>
          <w:u w:val="single"/>
        </w:rPr>
      </w:pPr>
    </w:p>
    <w:p w14:paraId="1E9B3B17">
      <w:pPr>
        <w:pStyle w:val="158"/>
        <w:spacing w:line="360" w:lineRule="auto"/>
        <w:ind w:firstLine="480"/>
        <w:jc w:val="right"/>
        <w:rPr>
          <w:rFonts w:ascii="仿宋" w:hAnsi="仿宋" w:eastAsia="仿宋" w:cs="仿宋"/>
          <w:color w:val="auto"/>
          <w:spacing w:val="20"/>
          <w:sz w:val="24"/>
          <w:szCs w:val="21"/>
          <w:highlight w:val="none"/>
          <w:u w:val="single"/>
        </w:rPr>
      </w:pPr>
    </w:p>
    <w:p w14:paraId="2FACED60">
      <w:pPr>
        <w:pStyle w:val="158"/>
        <w:spacing w:line="360" w:lineRule="auto"/>
        <w:ind w:firstLine="480"/>
        <w:jc w:val="right"/>
        <w:rPr>
          <w:rFonts w:ascii="仿宋" w:hAnsi="仿宋" w:eastAsia="仿宋" w:cs="仿宋"/>
          <w:color w:val="auto"/>
          <w:spacing w:val="20"/>
          <w:sz w:val="24"/>
          <w:szCs w:val="21"/>
          <w:highlight w:val="none"/>
          <w:u w:val="single"/>
        </w:rPr>
      </w:pPr>
    </w:p>
    <w:p w14:paraId="62ED0361">
      <w:pPr>
        <w:pStyle w:val="158"/>
        <w:spacing w:line="360" w:lineRule="auto"/>
        <w:ind w:firstLine="480"/>
        <w:jc w:val="right"/>
        <w:rPr>
          <w:rFonts w:ascii="仿宋" w:hAnsi="仿宋" w:eastAsia="仿宋" w:cs="仿宋"/>
          <w:color w:val="auto"/>
          <w:spacing w:val="20"/>
          <w:sz w:val="24"/>
          <w:szCs w:val="21"/>
          <w:highlight w:val="none"/>
          <w:u w:val="single"/>
        </w:rPr>
      </w:pPr>
    </w:p>
    <w:p w14:paraId="047A9C10">
      <w:pPr>
        <w:pStyle w:val="158"/>
        <w:spacing w:line="360" w:lineRule="auto"/>
        <w:ind w:firstLine="480"/>
        <w:jc w:val="right"/>
        <w:rPr>
          <w:rFonts w:ascii="仿宋" w:hAnsi="仿宋" w:eastAsia="仿宋" w:cs="仿宋"/>
          <w:color w:val="auto"/>
          <w:spacing w:val="20"/>
          <w:sz w:val="24"/>
          <w:szCs w:val="21"/>
          <w:highlight w:val="none"/>
          <w:u w:val="single"/>
        </w:rPr>
      </w:pPr>
    </w:p>
    <w:p w14:paraId="213D984F">
      <w:pPr>
        <w:pStyle w:val="158"/>
        <w:spacing w:line="360" w:lineRule="auto"/>
        <w:ind w:firstLine="480"/>
        <w:jc w:val="right"/>
        <w:rPr>
          <w:rFonts w:ascii="仿宋" w:hAnsi="仿宋" w:eastAsia="仿宋" w:cs="仿宋"/>
          <w:color w:val="auto"/>
          <w:spacing w:val="20"/>
          <w:sz w:val="24"/>
          <w:szCs w:val="21"/>
          <w:highlight w:val="none"/>
          <w:u w:val="single"/>
        </w:rPr>
      </w:pPr>
    </w:p>
    <w:p w14:paraId="5D7AD354">
      <w:pPr>
        <w:pStyle w:val="158"/>
        <w:spacing w:line="360" w:lineRule="auto"/>
        <w:ind w:firstLine="480"/>
        <w:jc w:val="right"/>
        <w:rPr>
          <w:rFonts w:ascii="仿宋" w:hAnsi="仿宋" w:eastAsia="仿宋" w:cs="仿宋"/>
          <w:color w:val="auto"/>
          <w:spacing w:val="20"/>
          <w:sz w:val="24"/>
          <w:szCs w:val="21"/>
          <w:highlight w:val="none"/>
          <w:u w:val="single"/>
        </w:rPr>
      </w:pPr>
    </w:p>
    <w:p w14:paraId="6300C6B9">
      <w:pPr>
        <w:pStyle w:val="158"/>
        <w:spacing w:line="360" w:lineRule="auto"/>
        <w:ind w:firstLine="480"/>
        <w:jc w:val="right"/>
        <w:rPr>
          <w:rFonts w:ascii="仿宋" w:hAnsi="仿宋" w:eastAsia="仿宋" w:cs="仿宋"/>
          <w:color w:val="auto"/>
          <w:spacing w:val="20"/>
          <w:sz w:val="24"/>
          <w:szCs w:val="21"/>
          <w:highlight w:val="none"/>
          <w:u w:val="single"/>
        </w:rPr>
      </w:pPr>
    </w:p>
    <w:p w14:paraId="40B6F5A4">
      <w:pPr>
        <w:pStyle w:val="158"/>
        <w:spacing w:line="360" w:lineRule="auto"/>
        <w:ind w:firstLine="480"/>
        <w:jc w:val="right"/>
        <w:rPr>
          <w:rFonts w:ascii="仿宋" w:hAnsi="仿宋" w:eastAsia="仿宋" w:cs="仿宋"/>
          <w:color w:val="auto"/>
          <w:spacing w:val="20"/>
          <w:sz w:val="24"/>
          <w:szCs w:val="21"/>
          <w:highlight w:val="none"/>
          <w:u w:val="single"/>
        </w:rPr>
      </w:pPr>
    </w:p>
    <w:p w14:paraId="7B8DCCBA">
      <w:pPr>
        <w:pStyle w:val="158"/>
        <w:spacing w:line="360" w:lineRule="auto"/>
        <w:ind w:firstLine="480"/>
        <w:jc w:val="right"/>
        <w:rPr>
          <w:rFonts w:ascii="仿宋" w:hAnsi="仿宋" w:eastAsia="仿宋" w:cs="仿宋"/>
          <w:color w:val="auto"/>
          <w:spacing w:val="20"/>
          <w:sz w:val="24"/>
          <w:szCs w:val="21"/>
          <w:highlight w:val="none"/>
          <w:u w:val="single"/>
        </w:rPr>
      </w:pPr>
    </w:p>
    <w:p w14:paraId="2C0829A3">
      <w:pPr>
        <w:pStyle w:val="158"/>
        <w:spacing w:line="360" w:lineRule="auto"/>
        <w:ind w:firstLine="480"/>
        <w:jc w:val="right"/>
        <w:rPr>
          <w:rFonts w:ascii="仿宋" w:hAnsi="仿宋" w:eastAsia="仿宋" w:cs="仿宋"/>
          <w:color w:val="auto"/>
          <w:spacing w:val="20"/>
          <w:sz w:val="24"/>
          <w:szCs w:val="21"/>
          <w:highlight w:val="none"/>
          <w:u w:val="single"/>
        </w:rPr>
      </w:pPr>
    </w:p>
    <w:p w14:paraId="14AAF942">
      <w:pPr>
        <w:pStyle w:val="6"/>
        <w:adjustRightInd/>
        <w:spacing w:before="0" w:after="0" w:line="360" w:lineRule="auto"/>
        <w:ind w:left="0" w:firstLine="0"/>
        <w:jc w:val="center"/>
        <w:rPr>
          <w:rFonts w:ascii="仿宋" w:hAnsi="仿宋" w:eastAsia="仿宋" w:cs="仿宋"/>
          <w:bCs w:val="0"/>
          <w:color w:val="auto"/>
          <w:highlight w:val="none"/>
        </w:rPr>
      </w:pPr>
      <w:bookmarkStart w:id="570" w:name="_Toc5952"/>
      <w:bookmarkStart w:id="571" w:name="_Toc139797664"/>
      <w:bookmarkStart w:id="572" w:name="_Toc14149"/>
      <w:r>
        <w:rPr>
          <w:rFonts w:hint="eastAsia" w:ascii="仿宋" w:hAnsi="仿宋" w:eastAsia="仿宋" w:cs="仿宋"/>
          <w:bCs w:val="0"/>
          <w:color w:val="auto"/>
          <w:highlight w:val="none"/>
          <w:lang w:val="en-US" w:eastAsia="zh-CN"/>
        </w:rPr>
        <w:t>3.5</w:t>
      </w:r>
      <w:r>
        <w:rPr>
          <w:rFonts w:hint="eastAsia" w:ascii="仿宋" w:hAnsi="仿宋" w:eastAsia="仿宋" w:cs="仿宋"/>
          <w:bCs w:val="0"/>
          <w:color w:val="auto"/>
          <w:highlight w:val="none"/>
        </w:rPr>
        <w:t xml:space="preserve">   </w:t>
      </w:r>
      <w:r>
        <w:rPr>
          <w:rFonts w:hint="eastAsia" w:ascii="仿宋" w:hAnsi="仿宋" w:eastAsia="仿宋" w:cs="仿宋"/>
          <w:bCs w:val="0"/>
          <w:color w:val="auto"/>
          <w:highlight w:val="none"/>
          <w:lang w:val="en-US" w:eastAsia="zh-CN"/>
        </w:rPr>
        <w:t xml:space="preserve"> </w:t>
      </w:r>
      <w:r>
        <w:rPr>
          <w:rFonts w:hint="eastAsia" w:ascii="仿宋" w:hAnsi="仿宋" w:eastAsia="仿宋" w:cs="仿宋"/>
          <w:bCs w:val="0"/>
          <w:color w:val="auto"/>
          <w:highlight w:val="none"/>
        </w:rPr>
        <w:t>中小企业声明函（服务）</w:t>
      </w:r>
      <w:bookmarkEnd w:id="570"/>
      <w:bookmarkEnd w:id="571"/>
      <w:bookmarkEnd w:id="572"/>
    </w:p>
    <w:p w14:paraId="36B3CC16">
      <w:pPr>
        <w:spacing w:line="360" w:lineRule="auto"/>
        <w:ind w:firstLine="560" w:firstLineChars="200"/>
        <w:rPr>
          <w:rFonts w:ascii="仿宋" w:hAnsi="仿宋" w:eastAsia="仿宋" w:cs="仿宋"/>
          <w:color w:val="auto"/>
          <w:sz w:val="28"/>
          <w:szCs w:val="28"/>
          <w:highlight w:val="none"/>
        </w:rPr>
      </w:pPr>
    </w:p>
    <w:p w14:paraId="7BEBDD8B">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本公司（联合体）郑重声明，根据《政府采购促进中小企业发展管理办法》（财库〔2020〕46号）的规定，本公司（联合体）参加</w:t>
      </w:r>
      <w:r>
        <w:rPr>
          <w:rFonts w:hint="eastAsia" w:ascii="仿宋" w:hAnsi="仿宋" w:eastAsia="仿宋" w:cs="仿宋"/>
          <w:color w:val="auto"/>
          <w:sz w:val="28"/>
          <w:szCs w:val="28"/>
          <w:highlight w:val="none"/>
          <w:u w:val="single"/>
        </w:rPr>
        <w:t>（采购人名称）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采购活动，</w:t>
      </w:r>
      <w:r>
        <w:rPr>
          <w:rFonts w:ascii="仿宋_GB2312;仿宋" w:hAnsi="仿宋_GB2312;仿宋" w:eastAsia="仿宋_GB2312;仿宋"/>
          <w:color w:val="auto"/>
          <w:sz w:val="28"/>
          <w:szCs w:val="28"/>
          <w:highlight w:val="none"/>
        </w:rPr>
        <w:t>服务全部由符合政策要求的中小企业承接。相关企业（含联合体中的中小企业、签订分包意向协议的中小企业）的具体情况如下：</w:t>
      </w:r>
    </w:p>
    <w:p w14:paraId="58018744">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 xml:space="preserve">（采购文件中明确的所属行业） </w:t>
      </w:r>
      <w:r>
        <w:rPr>
          <w:rFonts w:hint="eastAsia" w:ascii="仿宋" w:hAnsi="仿宋" w:eastAsia="仿宋" w:cs="仿宋"/>
          <w:color w:val="auto"/>
          <w:sz w:val="28"/>
          <w:szCs w:val="28"/>
          <w:highlight w:val="none"/>
        </w:rPr>
        <w:t>；承接企业为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Fonts w:hint="eastAsia" w:ascii="仿宋" w:hAnsi="仿宋" w:eastAsia="仿宋" w:cs="仿宋"/>
          <w:color w:val="auto"/>
          <w:sz w:val="32"/>
          <w:szCs w:val="28"/>
          <w:highlight w:val="none"/>
          <w:vertAlign w:val="superscript"/>
        </w:rPr>
        <w:fldChar w:fldCharType="begin"/>
      </w:r>
      <w:r>
        <w:rPr>
          <w:rFonts w:hint="eastAsia" w:ascii="仿宋" w:hAnsi="仿宋" w:eastAsia="仿宋" w:cs="仿宋"/>
          <w:color w:val="auto"/>
          <w:sz w:val="32"/>
          <w:szCs w:val="28"/>
          <w:highlight w:val="none"/>
          <w:vertAlign w:val="superscript"/>
        </w:rPr>
        <w:instrText xml:space="preserve"> = 1 \* GB3 </w:instrText>
      </w:r>
      <w:r>
        <w:rPr>
          <w:rFonts w:hint="eastAsia" w:ascii="仿宋" w:hAnsi="仿宋" w:eastAsia="仿宋" w:cs="仿宋"/>
          <w:color w:val="auto"/>
          <w:sz w:val="32"/>
          <w:szCs w:val="28"/>
          <w:highlight w:val="none"/>
          <w:vertAlign w:val="superscript"/>
        </w:rPr>
        <w:fldChar w:fldCharType="separate"/>
      </w:r>
      <w:r>
        <w:rPr>
          <w:rFonts w:hint="eastAsia" w:ascii="仿宋" w:hAnsi="仿宋" w:eastAsia="仿宋" w:cs="仿宋"/>
          <w:color w:val="auto"/>
          <w:sz w:val="32"/>
          <w:szCs w:val="28"/>
          <w:highlight w:val="none"/>
          <w:vertAlign w:val="superscript"/>
        </w:rPr>
        <w:t>①</w:t>
      </w:r>
      <w:r>
        <w:rPr>
          <w:rFonts w:hint="eastAsia" w:ascii="仿宋" w:hAnsi="仿宋" w:eastAsia="仿宋" w:cs="仿宋"/>
          <w:color w:val="auto"/>
          <w:sz w:val="32"/>
          <w:szCs w:val="28"/>
          <w:highlight w:val="none"/>
          <w:vertAlign w:val="superscript"/>
        </w:rPr>
        <w:fldChar w:fldCharType="end"/>
      </w:r>
      <w:r>
        <w:rPr>
          <w:rFonts w:hint="eastAsia" w:ascii="仿宋" w:hAnsi="仿宋" w:eastAsia="仿宋" w:cs="仿宋"/>
          <w:color w:val="auto"/>
          <w:sz w:val="28"/>
          <w:szCs w:val="28"/>
          <w:highlight w:val="none"/>
        </w:rPr>
        <w:t>，属于（中型企业、小型企业、微型企业）；</w:t>
      </w:r>
    </w:p>
    <w:p w14:paraId="3F51BF97">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 xml:space="preserve"> （标的名称）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 xml:space="preserve">（采购文件中明确的所属行业） </w:t>
      </w:r>
      <w:r>
        <w:rPr>
          <w:rFonts w:hint="eastAsia" w:ascii="仿宋" w:hAnsi="仿宋" w:eastAsia="仿宋" w:cs="仿宋"/>
          <w:color w:val="auto"/>
          <w:sz w:val="28"/>
          <w:szCs w:val="28"/>
          <w:highlight w:val="none"/>
        </w:rPr>
        <w:t>；承接企业为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万元，属于（中型企业、小型企业、微型企业）；</w:t>
      </w:r>
    </w:p>
    <w:p w14:paraId="2081DB74">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2953B841">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14:paraId="3B8F2776">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14:paraId="3F946875">
      <w:pPr>
        <w:spacing w:line="360" w:lineRule="auto"/>
        <w:ind w:firstLine="560" w:firstLineChars="200"/>
        <w:rPr>
          <w:rFonts w:ascii="仿宋" w:hAnsi="仿宋" w:eastAsia="仿宋" w:cs="仿宋"/>
          <w:color w:val="auto"/>
          <w:sz w:val="28"/>
          <w:szCs w:val="28"/>
          <w:highlight w:val="none"/>
        </w:rPr>
      </w:pPr>
    </w:p>
    <w:p w14:paraId="409F499A">
      <w:pPr>
        <w:wordWrap w:val="0"/>
        <w:spacing w:line="360" w:lineRule="auto"/>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企业名称（盖章）：        </w:t>
      </w:r>
    </w:p>
    <w:p w14:paraId="49F4A599">
      <w:pPr>
        <w:wordWrap w:val="0"/>
        <w:spacing w:line="360" w:lineRule="auto"/>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 期：              </w:t>
      </w:r>
    </w:p>
    <w:p w14:paraId="0E3C1737">
      <w:pPr>
        <w:spacing w:line="360" w:lineRule="auto"/>
        <w:jc w:val="left"/>
        <w:rPr>
          <w:rFonts w:ascii="仿宋" w:hAnsi="仿宋" w:eastAsia="仿宋" w:cs="仿宋"/>
          <w:color w:val="auto"/>
          <w:sz w:val="28"/>
          <w:szCs w:val="28"/>
          <w:highlight w:val="none"/>
        </w:rPr>
      </w:pPr>
    </w:p>
    <w:p w14:paraId="56D3097D">
      <w:pPr>
        <w:spacing w:line="360" w:lineRule="auto"/>
        <w:rPr>
          <w:rFonts w:ascii="仿宋" w:hAnsi="仿宋" w:eastAsia="仿宋" w:cs="仿宋"/>
          <w:color w:val="auto"/>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4384;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8QhJNIAAAAGAQAADwAAAAAAAAABACAAAAAiAAAAZHJzL2Rvd25yZXYueG1sUEsBAhQAFAAA&#10;AAgAh07iQNEkkxD1AQAA1AMAAA4AAAAAAAAAAQAgAAAAIQEAAGRycy9lMm9Eb2MueG1sUEsFBgAA&#10;AAAGAAYAWQEAAIgFAAAAAA==&#10;">
                <v:fill on="f" focussize="0,0"/>
                <v:stroke weight="1.25pt" color="#000000" miterlimit="8" joinstyle="miter"/>
                <v:imagedata o:title=""/>
                <o:lock v:ext="edit" aspectratio="f"/>
              </v:line>
            </w:pict>
          </mc:Fallback>
        </mc:AlternateContent>
      </w:r>
    </w:p>
    <w:p w14:paraId="4FC5D3BF">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1 \* GB3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①</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从业人员、营业收入、资产总额填报上一年度数据，无上一年度数据的新成立企业可不填报。</w:t>
      </w:r>
    </w:p>
    <w:p w14:paraId="0B3B6D41">
      <w:pPr>
        <w:rPr>
          <w:rFonts w:ascii="仿宋" w:hAnsi="仿宋" w:eastAsia="仿宋" w:cs="仿宋"/>
          <w:color w:val="auto"/>
          <w:highlight w:val="none"/>
        </w:rPr>
      </w:pPr>
    </w:p>
    <w:p w14:paraId="5F61920A">
      <w:pPr>
        <w:rPr>
          <w:rFonts w:ascii="仿宋" w:hAnsi="仿宋" w:eastAsia="仿宋" w:cs="仿宋"/>
          <w:color w:val="auto"/>
          <w:highlight w:val="none"/>
        </w:rPr>
      </w:pPr>
    </w:p>
    <w:p w14:paraId="50F3F9D5">
      <w:pPr>
        <w:rPr>
          <w:rFonts w:ascii="仿宋" w:hAnsi="仿宋" w:eastAsia="仿宋" w:cs="仿宋"/>
          <w:color w:val="auto"/>
          <w:highlight w:val="none"/>
        </w:rPr>
      </w:pPr>
    </w:p>
    <w:p w14:paraId="6ACAA2CE">
      <w:pPr>
        <w:spacing w:line="360" w:lineRule="auto"/>
        <w:ind w:right="420"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备注：</w:t>
      </w:r>
    </w:p>
    <w:p w14:paraId="4C5AF8B5">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b/>
          <w:bCs/>
          <w:color w:val="auto"/>
          <w:sz w:val="24"/>
          <w:highlight w:val="none"/>
        </w:rPr>
        <w:t>④供应商提供的《中小企业声明函》与实际情况不符的或者未按以上要求填写的，中小企业声明函无效，</w:t>
      </w:r>
      <w:r>
        <w:rPr>
          <w:rFonts w:hint="eastAsia" w:ascii="仿宋" w:hAnsi="仿宋" w:eastAsia="仿宋" w:cs="仿宋"/>
          <w:color w:val="auto"/>
          <w:sz w:val="24"/>
          <w:highlight w:val="none"/>
        </w:rPr>
        <w:t>不</w:t>
      </w:r>
      <w:r>
        <w:rPr>
          <w:rFonts w:hint="eastAsia" w:ascii="仿宋" w:hAnsi="仿宋" w:eastAsia="仿宋" w:cs="仿宋"/>
          <w:color w:val="auto"/>
          <w:sz w:val="24"/>
          <w:highlight w:val="none"/>
          <w:lang w:val="en-US" w:eastAsia="zh-CN"/>
        </w:rPr>
        <w:t>享受价格扣除</w:t>
      </w:r>
      <w:r>
        <w:rPr>
          <w:rFonts w:hint="eastAsia" w:ascii="仿宋" w:hAnsi="仿宋" w:eastAsia="仿宋" w:cs="仿宋"/>
          <w:color w:val="auto"/>
          <w:sz w:val="24"/>
          <w:highlight w:val="none"/>
        </w:rPr>
        <w:t>。声明内容不实的，属于提供虚假材料谋取中标、成交的，依法承担法律责任。</w:t>
      </w:r>
    </w:p>
    <w:p w14:paraId="5060538B">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0623A05">
      <w:pPr>
        <w:rPr>
          <w:rFonts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1BABA0CA">
      <w:pPr>
        <w:pStyle w:val="6"/>
        <w:adjustRightInd/>
        <w:spacing w:before="0" w:after="0" w:line="360" w:lineRule="auto"/>
        <w:ind w:left="0" w:firstLine="0"/>
        <w:jc w:val="center"/>
        <w:rPr>
          <w:rFonts w:ascii="仿宋" w:hAnsi="仿宋" w:eastAsia="仿宋" w:cs="仿宋"/>
          <w:bCs w:val="0"/>
          <w:color w:val="auto"/>
          <w:highlight w:val="none"/>
        </w:rPr>
      </w:pPr>
      <w:bookmarkStart w:id="573" w:name="_Toc10159"/>
      <w:bookmarkStart w:id="574" w:name="_Toc139797665"/>
      <w:bookmarkStart w:id="575" w:name="_Toc14280"/>
      <w:r>
        <w:rPr>
          <w:rFonts w:hint="eastAsia" w:ascii="仿宋" w:hAnsi="仿宋" w:eastAsia="仿宋" w:cs="仿宋"/>
          <w:bCs w:val="0"/>
          <w:color w:val="auto"/>
          <w:highlight w:val="none"/>
          <w:lang w:val="en-US" w:eastAsia="zh-CN"/>
        </w:rPr>
        <w:t>3.6</w:t>
      </w:r>
      <w:r>
        <w:rPr>
          <w:rFonts w:hint="eastAsia" w:ascii="仿宋" w:hAnsi="仿宋" w:eastAsia="仿宋" w:cs="仿宋"/>
          <w:bCs w:val="0"/>
          <w:color w:val="auto"/>
          <w:highlight w:val="none"/>
        </w:rPr>
        <w:t xml:space="preserve">   </w:t>
      </w:r>
      <w:r>
        <w:rPr>
          <w:rFonts w:hint="eastAsia" w:ascii="仿宋" w:hAnsi="仿宋" w:eastAsia="仿宋" w:cs="仿宋"/>
          <w:bCs w:val="0"/>
          <w:color w:val="auto"/>
          <w:highlight w:val="none"/>
          <w:lang w:val="en-US" w:eastAsia="zh-CN"/>
        </w:rPr>
        <w:t xml:space="preserve"> </w:t>
      </w:r>
      <w:r>
        <w:rPr>
          <w:rFonts w:hint="eastAsia" w:ascii="仿宋" w:hAnsi="仿宋" w:eastAsia="仿宋" w:cs="仿宋"/>
          <w:bCs w:val="0"/>
          <w:color w:val="auto"/>
          <w:highlight w:val="none"/>
        </w:rPr>
        <w:t>残疾人福利性单位声明函</w:t>
      </w:r>
      <w:bookmarkEnd w:id="573"/>
      <w:bookmarkEnd w:id="574"/>
      <w:bookmarkEnd w:id="575"/>
    </w:p>
    <w:p w14:paraId="4319CF49">
      <w:pPr>
        <w:widowControl/>
        <w:spacing w:line="360" w:lineRule="auto"/>
        <w:jc w:val="center"/>
        <w:rPr>
          <w:rFonts w:ascii="仿宋" w:hAnsi="仿宋" w:eastAsia="仿宋" w:cs="仿宋"/>
          <w:bCs/>
          <w:color w:val="auto"/>
          <w:spacing w:val="6"/>
          <w:kern w:val="0"/>
          <w:sz w:val="36"/>
          <w:szCs w:val="36"/>
          <w:highlight w:val="none"/>
        </w:rPr>
      </w:pPr>
    </w:p>
    <w:p w14:paraId="40905005">
      <w:pPr>
        <w:widowControl/>
        <w:spacing w:line="360" w:lineRule="auto"/>
        <w:ind w:firstLine="60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4"/>
          <w:highlight w:val="none"/>
          <w:u w:val="single"/>
        </w:rPr>
        <w:t xml:space="preserve"> </w:t>
      </w:r>
      <w:r>
        <w:rPr>
          <w:rFonts w:hint="eastAsia" w:ascii="仿宋" w:hAnsi="仿宋" w:eastAsia="仿宋" w:cs="仿宋"/>
          <w:i/>
          <w:color w:val="auto"/>
          <w:sz w:val="28"/>
          <w:szCs w:val="28"/>
          <w:highlight w:val="none"/>
          <w:u w:val="single"/>
        </w:rPr>
        <w:t xml:space="preserve">（采购人名称） </w:t>
      </w:r>
      <w:r>
        <w:rPr>
          <w:rFonts w:hint="eastAsia" w:ascii="仿宋" w:hAnsi="仿宋" w:eastAsia="仿宋" w:cs="仿宋"/>
          <w:i/>
          <w:color w:val="auto"/>
          <w:sz w:val="24"/>
          <w:highlight w:val="none"/>
          <w:u w:val="single"/>
        </w:rPr>
        <w:t xml:space="preserve">   </w:t>
      </w:r>
      <w:r>
        <w:rPr>
          <w:rFonts w:hint="eastAsia" w:ascii="仿宋" w:hAnsi="仿宋" w:eastAsia="仿宋" w:cs="仿宋"/>
          <w:color w:val="auto"/>
          <w:sz w:val="28"/>
          <w:szCs w:val="28"/>
          <w:highlight w:val="none"/>
        </w:rPr>
        <w:t>的项目采购活动提供本单位制造的货物（由本单位承担工程/提供服务），或者提供其他残疾人福利性单位制造的货物（不包括使用非残疾人福利性单位注册商标的货物）。</w:t>
      </w:r>
    </w:p>
    <w:p w14:paraId="592D016B">
      <w:pPr>
        <w:widowControl/>
        <w:spacing w:line="360" w:lineRule="auto"/>
        <w:ind w:firstLine="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本单位对上述声明的真实性负责。如有虚假，将依法承担相应责任。</w:t>
      </w:r>
    </w:p>
    <w:p w14:paraId="2E0A3680">
      <w:pPr>
        <w:widowControl/>
        <w:spacing w:line="360" w:lineRule="auto"/>
        <w:rPr>
          <w:rFonts w:ascii="仿宋" w:hAnsi="仿宋" w:eastAsia="仿宋" w:cs="仿宋"/>
          <w:color w:val="auto"/>
          <w:spacing w:val="6"/>
          <w:kern w:val="0"/>
          <w:sz w:val="30"/>
          <w:szCs w:val="30"/>
          <w:highlight w:val="none"/>
        </w:rPr>
      </w:pPr>
    </w:p>
    <w:p w14:paraId="3D27836A">
      <w:pPr>
        <w:widowControl/>
        <w:spacing w:line="360" w:lineRule="auto"/>
        <w:ind w:right="1420" w:firstLine="6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单位名称（盖章）：</w:t>
      </w:r>
    </w:p>
    <w:p w14:paraId="149F45C2">
      <w:pPr>
        <w:widowControl/>
        <w:spacing w:line="360" w:lineRule="auto"/>
        <w:ind w:right="2680" w:firstLine="6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2E1AFE0D">
      <w:pPr>
        <w:widowControl/>
        <w:spacing w:line="360" w:lineRule="auto"/>
        <w:ind w:right="2960"/>
        <w:jc w:val="left"/>
        <w:rPr>
          <w:rFonts w:ascii="仿宋" w:hAnsi="仿宋" w:eastAsia="仿宋" w:cs="仿宋"/>
          <w:color w:val="auto"/>
          <w:kern w:val="0"/>
          <w:sz w:val="28"/>
          <w:szCs w:val="28"/>
          <w:highlight w:val="none"/>
        </w:rPr>
      </w:pPr>
    </w:p>
    <w:p w14:paraId="1C253328">
      <w:pPr>
        <w:widowControl/>
        <w:spacing w:line="360" w:lineRule="auto"/>
        <w:ind w:right="2960"/>
        <w:jc w:val="left"/>
        <w:rPr>
          <w:rFonts w:ascii="仿宋" w:hAnsi="仿宋" w:eastAsia="仿宋" w:cs="仿宋"/>
          <w:color w:val="auto"/>
          <w:kern w:val="0"/>
          <w:sz w:val="28"/>
          <w:szCs w:val="28"/>
          <w:highlight w:val="none"/>
        </w:rPr>
      </w:pPr>
    </w:p>
    <w:p w14:paraId="22B4402A">
      <w:pPr>
        <w:widowControl/>
        <w:spacing w:line="360" w:lineRule="auto"/>
        <w:ind w:right="2960"/>
        <w:jc w:val="left"/>
        <w:rPr>
          <w:rFonts w:ascii="仿宋" w:hAnsi="仿宋" w:eastAsia="仿宋" w:cs="仿宋"/>
          <w:color w:val="auto"/>
          <w:kern w:val="0"/>
          <w:sz w:val="28"/>
          <w:szCs w:val="28"/>
          <w:highlight w:val="none"/>
        </w:rPr>
      </w:pPr>
    </w:p>
    <w:p w14:paraId="0339BFDD">
      <w:pPr>
        <w:widowControl/>
        <w:spacing w:line="360" w:lineRule="auto"/>
        <w:ind w:right="2960"/>
        <w:jc w:val="left"/>
        <w:rPr>
          <w:rFonts w:ascii="仿宋" w:hAnsi="仿宋" w:eastAsia="仿宋" w:cs="仿宋"/>
          <w:color w:val="auto"/>
          <w:kern w:val="0"/>
          <w:sz w:val="28"/>
          <w:szCs w:val="28"/>
          <w:highlight w:val="none"/>
        </w:rPr>
      </w:pPr>
    </w:p>
    <w:p w14:paraId="334C58BF">
      <w:pPr>
        <w:widowControl/>
        <w:spacing w:line="360" w:lineRule="auto"/>
        <w:ind w:right="2960"/>
        <w:jc w:val="left"/>
        <w:rPr>
          <w:rFonts w:ascii="仿宋" w:hAnsi="仿宋" w:eastAsia="仿宋" w:cs="仿宋"/>
          <w:color w:val="auto"/>
          <w:kern w:val="0"/>
          <w:sz w:val="28"/>
          <w:szCs w:val="28"/>
          <w:highlight w:val="none"/>
        </w:rPr>
      </w:pPr>
    </w:p>
    <w:p w14:paraId="5A5B1B73">
      <w:pPr>
        <w:widowControl/>
        <w:spacing w:line="360" w:lineRule="auto"/>
        <w:ind w:right="2960"/>
        <w:jc w:val="left"/>
        <w:rPr>
          <w:rFonts w:ascii="仿宋" w:hAnsi="仿宋" w:eastAsia="仿宋" w:cs="仿宋"/>
          <w:color w:val="auto"/>
          <w:kern w:val="0"/>
          <w:sz w:val="28"/>
          <w:szCs w:val="28"/>
          <w:highlight w:val="none"/>
        </w:rPr>
      </w:pPr>
    </w:p>
    <w:p w14:paraId="3836D261">
      <w:pPr>
        <w:widowControl/>
        <w:spacing w:line="360" w:lineRule="auto"/>
        <w:ind w:right="2960"/>
        <w:jc w:val="left"/>
        <w:rPr>
          <w:rFonts w:ascii="仿宋" w:hAnsi="仿宋" w:eastAsia="仿宋" w:cs="仿宋"/>
          <w:color w:val="auto"/>
          <w:kern w:val="0"/>
          <w:sz w:val="28"/>
          <w:szCs w:val="28"/>
          <w:highlight w:val="none"/>
        </w:rPr>
      </w:pPr>
    </w:p>
    <w:p w14:paraId="28CFF793">
      <w:pPr>
        <w:widowControl/>
        <w:spacing w:line="360" w:lineRule="auto"/>
        <w:ind w:right="2960"/>
        <w:jc w:val="left"/>
        <w:rPr>
          <w:rFonts w:ascii="仿宋" w:hAnsi="仿宋" w:eastAsia="仿宋" w:cs="仿宋"/>
          <w:color w:val="auto"/>
          <w:kern w:val="0"/>
          <w:sz w:val="28"/>
          <w:szCs w:val="28"/>
          <w:highlight w:val="none"/>
        </w:rPr>
      </w:pPr>
    </w:p>
    <w:p w14:paraId="3F4FCA51">
      <w:pPr>
        <w:widowControl/>
        <w:spacing w:line="360" w:lineRule="auto"/>
        <w:ind w:right="2960"/>
        <w:jc w:val="left"/>
        <w:rPr>
          <w:rFonts w:ascii="仿宋" w:hAnsi="仿宋" w:eastAsia="仿宋" w:cs="仿宋"/>
          <w:color w:val="auto"/>
          <w:kern w:val="0"/>
          <w:sz w:val="28"/>
          <w:szCs w:val="28"/>
          <w:highlight w:val="none"/>
        </w:rPr>
      </w:pPr>
    </w:p>
    <w:p w14:paraId="60E27C65">
      <w:pPr>
        <w:widowControl/>
        <w:spacing w:line="360" w:lineRule="auto"/>
        <w:ind w:right="2960"/>
        <w:jc w:val="left"/>
        <w:rPr>
          <w:rFonts w:ascii="仿宋" w:hAnsi="仿宋" w:eastAsia="仿宋" w:cs="仿宋"/>
          <w:color w:val="auto"/>
          <w:kern w:val="0"/>
          <w:sz w:val="28"/>
          <w:szCs w:val="28"/>
          <w:highlight w:val="none"/>
        </w:rPr>
      </w:pPr>
    </w:p>
    <w:p w14:paraId="64B74C3E">
      <w:pPr>
        <w:widowControl/>
        <w:spacing w:line="360" w:lineRule="auto"/>
        <w:ind w:right="2960"/>
        <w:jc w:val="left"/>
        <w:rPr>
          <w:rFonts w:ascii="仿宋" w:hAnsi="仿宋" w:eastAsia="仿宋" w:cs="仿宋"/>
          <w:color w:val="auto"/>
          <w:kern w:val="0"/>
          <w:sz w:val="28"/>
          <w:szCs w:val="28"/>
          <w:highlight w:val="none"/>
        </w:rPr>
      </w:pPr>
    </w:p>
    <w:p w14:paraId="4C2EA166">
      <w:pPr>
        <w:pStyle w:val="6"/>
        <w:adjustRightInd/>
        <w:spacing w:before="0" w:after="0" w:line="360" w:lineRule="auto"/>
        <w:ind w:left="0" w:firstLine="0"/>
        <w:jc w:val="center"/>
        <w:rPr>
          <w:rFonts w:ascii="仿宋" w:hAnsi="仿宋" w:eastAsia="仿宋" w:cs="仿宋"/>
          <w:bCs w:val="0"/>
          <w:color w:val="auto"/>
          <w:highlight w:val="none"/>
        </w:rPr>
      </w:pPr>
      <w:bookmarkStart w:id="576" w:name="_Toc16441"/>
      <w:bookmarkStart w:id="577" w:name="_Toc28597"/>
      <w:bookmarkStart w:id="578" w:name="_Toc139797666"/>
      <w:r>
        <w:rPr>
          <w:rFonts w:hint="eastAsia" w:ascii="仿宋" w:hAnsi="仿宋" w:eastAsia="仿宋" w:cs="仿宋"/>
          <w:bCs w:val="0"/>
          <w:color w:val="auto"/>
          <w:highlight w:val="none"/>
          <w:lang w:val="en-US" w:eastAsia="zh-CN"/>
        </w:rPr>
        <w:t>3.7</w:t>
      </w:r>
      <w:r>
        <w:rPr>
          <w:rFonts w:hint="eastAsia" w:ascii="仿宋" w:hAnsi="仿宋" w:eastAsia="仿宋" w:cs="仿宋"/>
          <w:bCs w:val="0"/>
          <w:color w:val="auto"/>
          <w:highlight w:val="none"/>
        </w:rPr>
        <w:t xml:space="preserve">   </w:t>
      </w:r>
      <w:r>
        <w:rPr>
          <w:rFonts w:hint="eastAsia" w:ascii="仿宋" w:hAnsi="仿宋" w:eastAsia="仿宋" w:cs="仿宋"/>
          <w:bCs w:val="0"/>
          <w:color w:val="auto"/>
          <w:highlight w:val="none"/>
          <w:lang w:val="en-US" w:eastAsia="zh-CN"/>
        </w:rPr>
        <w:t xml:space="preserve"> </w:t>
      </w:r>
      <w:r>
        <w:rPr>
          <w:rFonts w:hint="eastAsia" w:ascii="仿宋" w:hAnsi="仿宋" w:eastAsia="仿宋" w:cs="仿宋"/>
          <w:bCs w:val="0"/>
          <w:color w:val="auto"/>
          <w:highlight w:val="none"/>
        </w:rPr>
        <w:t>监狱企业证明</w:t>
      </w:r>
      <w:bookmarkEnd w:id="576"/>
      <w:bookmarkEnd w:id="577"/>
      <w:bookmarkEnd w:id="578"/>
    </w:p>
    <w:p w14:paraId="4F5FC851">
      <w:pPr>
        <w:spacing w:line="360" w:lineRule="auto"/>
        <w:jc w:val="center"/>
        <w:rPr>
          <w:rFonts w:ascii="仿宋" w:hAnsi="仿宋" w:eastAsia="仿宋" w:cs="仿宋"/>
          <w:color w:val="auto"/>
          <w:sz w:val="24"/>
          <w:highlight w:val="none"/>
        </w:rPr>
      </w:pPr>
    </w:p>
    <w:p w14:paraId="10780D9E">
      <w:pPr>
        <w:spacing w:line="360" w:lineRule="auto"/>
        <w:ind w:firstLine="562" w:firstLineChars="200"/>
        <w:jc w:val="left"/>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注：</w:t>
      </w:r>
      <w:r>
        <w:rPr>
          <w:rFonts w:hint="eastAsia" w:ascii="仿宋" w:hAnsi="仿宋" w:eastAsia="仿宋" w:cs="仿宋"/>
          <w:color w:val="auto"/>
          <w:sz w:val="28"/>
          <w:szCs w:val="28"/>
          <w:highlight w:val="none"/>
        </w:rPr>
        <w:t>须提供省级以上监狱管理局、戒毒管理局（含新疆生产建设兵团）出具的属于监狱企业的证明文件</w:t>
      </w:r>
    </w:p>
    <w:p w14:paraId="48C8455A">
      <w:pPr>
        <w:pStyle w:val="158"/>
        <w:spacing w:line="360" w:lineRule="auto"/>
        <w:ind w:firstLine="480"/>
        <w:jc w:val="right"/>
        <w:rPr>
          <w:rFonts w:ascii="仿宋" w:hAnsi="仿宋" w:eastAsia="仿宋" w:cs="仿宋"/>
          <w:color w:val="auto"/>
          <w:spacing w:val="20"/>
          <w:sz w:val="24"/>
          <w:szCs w:val="21"/>
          <w:highlight w:val="none"/>
          <w:u w:val="single"/>
        </w:rPr>
      </w:pPr>
    </w:p>
    <w:p w14:paraId="2FDD50F1">
      <w:pPr>
        <w:pStyle w:val="158"/>
        <w:spacing w:line="360" w:lineRule="auto"/>
        <w:ind w:firstLine="480"/>
        <w:jc w:val="right"/>
        <w:rPr>
          <w:rFonts w:ascii="仿宋" w:hAnsi="仿宋" w:eastAsia="仿宋" w:cs="仿宋"/>
          <w:color w:val="auto"/>
          <w:spacing w:val="20"/>
          <w:sz w:val="24"/>
          <w:szCs w:val="21"/>
          <w:highlight w:val="none"/>
          <w:u w:val="single"/>
        </w:rPr>
      </w:pPr>
    </w:p>
    <w:p w14:paraId="4D606FCF">
      <w:pPr>
        <w:pStyle w:val="158"/>
        <w:spacing w:line="360" w:lineRule="auto"/>
        <w:ind w:firstLine="480"/>
        <w:jc w:val="right"/>
        <w:rPr>
          <w:rFonts w:ascii="仿宋" w:hAnsi="仿宋" w:eastAsia="仿宋" w:cs="仿宋"/>
          <w:color w:val="auto"/>
          <w:spacing w:val="20"/>
          <w:sz w:val="24"/>
          <w:szCs w:val="21"/>
          <w:highlight w:val="none"/>
          <w:u w:val="single"/>
        </w:rPr>
      </w:pPr>
    </w:p>
    <w:p w14:paraId="39F6E5BC">
      <w:pPr>
        <w:pStyle w:val="158"/>
        <w:spacing w:line="360" w:lineRule="auto"/>
        <w:ind w:firstLine="480"/>
        <w:jc w:val="right"/>
        <w:rPr>
          <w:rFonts w:ascii="仿宋" w:hAnsi="仿宋" w:eastAsia="仿宋" w:cs="仿宋"/>
          <w:color w:val="auto"/>
          <w:spacing w:val="20"/>
          <w:sz w:val="24"/>
          <w:szCs w:val="21"/>
          <w:highlight w:val="none"/>
          <w:u w:val="single"/>
        </w:rPr>
      </w:pPr>
    </w:p>
    <w:p w14:paraId="51BAF4E2">
      <w:pPr>
        <w:pStyle w:val="158"/>
        <w:spacing w:line="360" w:lineRule="auto"/>
        <w:ind w:firstLine="480"/>
        <w:jc w:val="right"/>
        <w:rPr>
          <w:rFonts w:ascii="仿宋" w:hAnsi="仿宋" w:eastAsia="仿宋" w:cs="仿宋"/>
          <w:color w:val="auto"/>
          <w:spacing w:val="20"/>
          <w:sz w:val="24"/>
          <w:szCs w:val="21"/>
          <w:highlight w:val="none"/>
          <w:u w:val="single"/>
        </w:rPr>
      </w:pPr>
    </w:p>
    <w:p w14:paraId="2DB3BEFC">
      <w:pPr>
        <w:pStyle w:val="158"/>
        <w:spacing w:line="360" w:lineRule="auto"/>
        <w:ind w:firstLine="480"/>
        <w:jc w:val="right"/>
        <w:rPr>
          <w:rFonts w:ascii="仿宋" w:hAnsi="仿宋" w:eastAsia="仿宋" w:cs="仿宋"/>
          <w:color w:val="auto"/>
          <w:spacing w:val="20"/>
          <w:sz w:val="24"/>
          <w:szCs w:val="21"/>
          <w:highlight w:val="none"/>
          <w:u w:val="single"/>
        </w:rPr>
      </w:pPr>
    </w:p>
    <w:p w14:paraId="146AC969">
      <w:pPr>
        <w:pStyle w:val="158"/>
        <w:spacing w:line="360" w:lineRule="auto"/>
        <w:ind w:firstLine="480"/>
        <w:jc w:val="right"/>
        <w:rPr>
          <w:rFonts w:ascii="仿宋" w:hAnsi="仿宋" w:eastAsia="仿宋" w:cs="仿宋"/>
          <w:color w:val="auto"/>
          <w:spacing w:val="20"/>
          <w:sz w:val="24"/>
          <w:szCs w:val="21"/>
          <w:highlight w:val="none"/>
          <w:u w:val="single"/>
        </w:rPr>
      </w:pPr>
    </w:p>
    <w:p w14:paraId="78F1DD46">
      <w:pPr>
        <w:pStyle w:val="158"/>
        <w:spacing w:line="360" w:lineRule="auto"/>
        <w:ind w:firstLine="480"/>
        <w:jc w:val="right"/>
        <w:rPr>
          <w:rFonts w:ascii="仿宋" w:hAnsi="仿宋" w:eastAsia="仿宋" w:cs="仿宋"/>
          <w:color w:val="auto"/>
          <w:spacing w:val="20"/>
          <w:sz w:val="24"/>
          <w:szCs w:val="21"/>
          <w:highlight w:val="none"/>
          <w:u w:val="single"/>
        </w:rPr>
      </w:pPr>
    </w:p>
    <w:p w14:paraId="5D17AA16">
      <w:pPr>
        <w:pStyle w:val="158"/>
        <w:spacing w:line="360" w:lineRule="auto"/>
        <w:ind w:firstLine="480"/>
        <w:jc w:val="right"/>
        <w:rPr>
          <w:rFonts w:ascii="仿宋" w:hAnsi="仿宋" w:eastAsia="仿宋" w:cs="仿宋"/>
          <w:color w:val="auto"/>
          <w:spacing w:val="20"/>
          <w:sz w:val="24"/>
          <w:szCs w:val="21"/>
          <w:highlight w:val="none"/>
          <w:u w:val="single"/>
        </w:rPr>
      </w:pPr>
    </w:p>
    <w:p w14:paraId="27FD7821">
      <w:pPr>
        <w:pStyle w:val="158"/>
        <w:spacing w:line="360" w:lineRule="auto"/>
        <w:ind w:firstLine="480"/>
        <w:jc w:val="right"/>
        <w:rPr>
          <w:rFonts w:ascii="仿宋" w:hAnsi="仿宋" w:eastAsia="仿宋" w:cs="仿宋"/>
          <w:color w:val="auto"/>
          <w:spacing w:val="20"/>
          <w:sz w:val="24"/>
          <w:szCs w:val="21"/>
          <w:highlight w:val="none"/>
          <w:u w:val="single"/>
        </w:rPr>
      </w:pPr>
    </w:p>
    <w:p w14:paraId="7A32FEC8">
      <w:pPr>
        <w:pStyle w:val="158"/>
        <w:spacing w:line="360" w:lineRule="auto"/>
        <w:ind w:firstLine="480"/>
        <w:jc w:val="right"/>
        <w:rPr>
          <w:rFonts w:ascii="仿宋" w:hAnsi="仿宋" w:eastAsia="仿宋" w:cs="仿宋"/>
          <w:color w:val="auto"/>
          <w:spacing w:val="20"/>
          <w:sz w:val="24"/>
          <w:szCs w:val="21"/>
          <w:highlight w:val="none"/>
          <w:u w:val="single"/>
        </w:rPr>
      </w:pPr>
    </w:p>
    <w:p w14:paraId="2BA8CBDF">
      <w:pPr>
        <w:pStyle w:val="158"/>
        <w:spacing w:line="360" w:lineRule="auto"/>
        <w:ind w:firstLine="480"/>
        <w:jc w:val="right"/>
        <w:rPr>
          <w:rFonts w:ascii="仿宋" w:hAnsi="仿宋" w:eastAsia="仿宋" w:cs="仿宋"/>
          <w:color w:val="auto"/>
          <w:spacing w:val="20"/>
          <w:sz w:val="24"/>
          <w:szCs w:val="21"/>
          <w:highlight w:val="none"/>
          <w:u w:val="single"/>
        </w:rPr>
      </w:pPr>
    </w:p>
    <w:p w14:paraId="5CA05D15">
      <w:pPr>
        <w:pStyle w:val="158"/>
        <w:spacing w:line="360" w:lineRule="auto"/>
        <w:ind w:firstLine="480"/>
        <w:jc w:val="right"/>
        <w:rPr>
          <w:rFonts w:ascii="仿宋" w:hAnsi="仿宋" w:eastAsia="仿宋" w:cs="仿宋"/>
          <w:color w:val="auto"/>
          <w:spacing w:val="20"/>
          <w:sz w:val="24"/>
          <w:szCs w:val="21"/>
          <w:highlight w:val="none"/>
          <w:u w:val="single"/>
        </w:rPr>
      </w:pPr>
    </w:p>
    <w:p w14:paraId="112DCC5A">
      <w:pPr>
        <w:pStyle w:val="158"/>
        <w:spacing w:line="360" w:lineRule="auto"/>
        <w:ind w:firstLine="480"/>
        <w:jc w:val="right"/>
        <w:rPr>
          <w:rFonts w:ascii="仿宋" w:hAnsi="仿宋" w:eastAsia="仿宋" w:cs="仿宋"/>
          <w:color w:val="auto"/>
          <w:spacing w:val="20"/>
          <w:sz w:val="24"/>
          <w:szCs w:val="21"/>
          <w:highlight w:val="none"/>
          <w:u w:val="single"/>
        </w:rPr>
      </w:pPr>
    </w:p>
    <w:p w14:paraId="29517780">
      <w:pPr>
        <w:pStyle w:val="158"/>
        <w:spacing w:line="360" w:lineRule="auto"/>
        <w:ind w:firstLine="480"/>
        <w:jc w:val="right"/>
        <w:rPr>
          <w:rFonts w:ascii="仿宋" w:hAnsi="仿宋" w:eastAsia="仿宋" w:cs="仿宋"/>
          <w:color w:val="auto"/>
          <w:spacing w:val="20"/>
          <w:sz w:val="24"/>
          <w:szCs w:val="21"/>
          <w:highlight w:val="none"/>
          <w:u w:val="single"/>
        </w:rPr>
      </w:pPr>
    </w:p>
    <w:p w14:paraId="6549854E">
      <w:pPr>
        <w:pStyle w:val="158"/>
        <w:spacing w:line="360" w:lineRule="auto"/>
        <w:ind w:firstLine="480"/>
        <w:jc w:val="right"/>
        <w:rPr>
          <w:rFonts w:ascii="仿宋" w:hAnsi="仿宋" w:eastAsia="仿宋" w:cs="仿宋"/>
          <w:color w:val="auto"/>
          <w:spacing w:val="20"/>
          <w:sz w:val="24"/>
          <w:szCs w:val="21"/>
          <w:highlight w:val="none"/>
          <w:u w:val="single"/>
        </w:rPr>
      </w:pPr>
    </w:p>
    <w:p w14:paraId="7451B9A3">
      <w:pPr>
        <w:pStyle w:val="158"/>
        <w:spacing w:line="360" w:lineRule="auto"/>
        <w:ind w:firstLine="480"/>
        <w:jc w:val="right"/>
        <w:rPr>
          <w:rFonts w:ascii="仿宋" w:hAnsi="仿宋" w:eastAsia="仿宋" w:cs="仿宋"/>
          <w:color w:val="auto"/>
          <w:spacing w:val="20"/>
          <w:sz w:val="24"/>
          <w:szCs w:val="21"/>
          <w:highlight w:val="none"/>
          <w:u w:val="single"/>
        </w:rPr>
      </w:pPr>
    </w:p>
    <w:p w14:paraId="39488163">
      <w:pPr>
        <w:pStyle w:val="158"/>
        <w:spacing w:line="360" w:lineRule="auto"/>
        <w:ind w:firstLine="480"/>
        <w:jc w:val="right"/>
        <w:rPr>
          <w:rFonts w:ascii="仿宋" w:hAnsi="仿宋" w:eastAsia="仿宋" w:cs="仿宋"/>
          <w:color w:val="auto"/>
          <w:spacing w:val="20"/>
          <w:sz w:val="24"/>
          <w:szCs w:val="21"/>
          <w:highlight w:val="none"/>
          <w:u w:val="single"/>
        </w:rPr>
      </w:pPr>
    </w:p>
    <w:p w14:paraId="5B80474F">
      <w:pPr>
        <w:pStyle w:val="158"/>
        <w:spacing w:line="360" w:lineRule="auto"/>
        <w:ind w:firstLine="480"/>
        <w:jc w:val="right"/>
        <w:rPr>
          <w:rFonts w:ascii="仿宋" w:hAnsi="仿宋" w:eastAsia="仿宋" w:cs="仿宋"/>
          <w:color w:val="auto"/>
          <w:spacing w:val="20"/>
          <w:sz w:val="24"/>
          <w:szCs w:val="21"/>
          <w:highlight w:val="none"/>
          <w:u w:val="single"/>
        </w:rPr>
      </w:pPr>
    </w:p>
    <w:p w14:paraId="2C6CC6D2">
      <w:pPr>
        <w:pStyle w:val="158"/>
        <w:spacing w:line="360" w:lineRule="auto"/>
        <w:ind w:firstLine="480"/>
        <w:jc w:val="right"/>
        <w:rPr>
          <w:rFonts w:ascii="仿宋" w:hAnsi="仿宋" w:eastAsia="仿宋" w:cs="仿宋"/>
          <w:color w:val="auto"/>
          <w:spacing w:val="20"/>
          <w:sz w:val="24"/>
          <w:szCs w:val="21"/>
          <w:highlight w:val="none"/>
          <w:u w:val="single"/>
        </w:rPr>
      </w:pPr>
    </w:p>
    <w:p w14:paraId="1DDCF3C3">
      <w:pPr>
        <w:pStyle w:val="158"/>
        <w:spacing w:line="360" w:lineRule="auto"/>
        <w:ind w:firstLine="480"/>
        <w:jc w:val="right"/>
        <w:rPr>
          <w:rFonts w:ascii="仿宋" w:hAnsi="仿宋" w:eastAsia="仿宋" w:cs="仿宋"/>
          <w:color w:val="auto"/>
          <w:spacing w:val="20"/>
          <w:sz w:val="24"/>
          <w:szCs w:val="21"/>
          <w:highlight w:val="none"/>
          <w:u w:val="single"/>
        </w:rPr>
      </w:pPr>
    </w:p>
    <w:p w14:paraId="1CB90B91">
      <w:pPr>
        <w:pStyle w:val="158"/>
        <w:spacing w:line="360" w:lineRule="auto"/>
        <w:ind w:firstLine="480"/>
        <w:jc w:val="right"/>
        <w:rPr>
          <w:rFonts w:ascii="仿宋" w:hAnsi="仿宋" w:eastAsia="仿宋" w:cs="仿宋"/>
          <w:color w:val="auto"/>
          <w:spacing w:val="20"/>
          <w:sz w:val="24"/>
          <w:szCs w:val="21"/>
          <w:highlight w:val="none"/>
          <w:u w:val="single"/>
        </w:rPr>
      </w:pPr>
    </w:p>
    <w:p w14:paraId="795DEC87">
      <w:pPr>
        <w:pStyle w:val="158"/>
        <w:spacing w:line="360" w:lineRule="auto"/>
        <w:ind w:firstLine="480"/>
        <w:jc w:val="right"/>
        <w:rPr>
          <w:rFonts w:ascii="仿宋" w:hAnsi="仿宋" w:eastAsia="仿宋" w:cs="仿宋"/>
          <w:color w:val="auto"/>
          <w:spacing w:val="20"/>
          <w:sz w:val="24"/>
          <w:szCs w:val="21"/>
          <w:highlight w:val="none"/>
          <w:u w:val="single"/>
        </w:rPr>
      </w:pPr>
    </w:p>
    <w:p w14:paraId="67D8C5FD">
      <w:pPr>
        <w:pStyle w:val="158"/>
        <w:spacing w:line="360" w:lineRule="auto"/>
        <w:jc w:val="both"/>
        <w:rPr>
          <w:rFonts w:ascii="仿宋" w:hAnsi="仿宋" w:eastAsia="仿宋" w:cs="仿宋"/>
          <w:color w:val="auto"/>
          <w:spacing w:val="20"/>
          <w:sz w:val="24"/>
          <w:szCs w:val="21"/>
          <w:highlight w:val="none"/>
          <w:u w:val="single"/>
        </w:rPr>
      </w:pPr>
    </w:p>
    <w:bookmarkEnd w:id="519"/>
    <w:p w14:paraId="7E1112EA">
      <w:pPr>
        <w:pStyle w:val="4"/>
        <w:spacing w:before="0" w:after="0" w:line="480" w:lineRule="auto"/>
        <w:ind w:left="431" w:hanging="431"/>
        <w:jc w:val="center"/>
        <w:rPr>
          <w:rFonts w:ascii="仿宋" w:hAnsi="仿宋" w:eastAsia="仿宋" w:cs="仿宋"/>
          <w:color w:val="auto"/>
          <w:sz w:val="36"/>
          <w:szCs w:val="36"/>
          <w:highlight w:val="none"/>
        </w:rPr>
      </w:pPr>
      <w:bookmarkStart w:id="579" w:name="_Toc139797642"/>
      <w:bookmarkStart w:id="580" w:name="_Toc19654"/>
      <w:bookmarkStart w:id="581" w:name="_Toc18494"/>
      <w:r>
        <w:rPr>
          <w:rFonts w:hint="eastAsia" w:ascii="仿宋" w:hAnsi="仿宋" w:eastAsia="仿宋" w:cs="仿宋"/>
          <w:color w:val="auto"/>
          <w:sz w:val="36"/>
          <w:szCs w:val="36"/>
          <w:highlight w:val="none"/>
        </w:rPr>
        <w:t>第七部分</w:t>
      </w:r>
      <w:bookmarkStart w:id="582" w:name="_Toc184313300"/>
      <w:bookmarkEnd w:id="582"/>
      <w:bookmarkStart w:id="583" w:name="_Toc184310292"/>
      <w:bookmarkEnd w:id="583"/>
      <w:bookmarkStart w:id="584" w:name="_Toc184313299"/>
      <w:bookmarkEnd w:id="584"/>
      <w:bookmarkStart w:id="585" w:name="_Toc184314456"/>
      <w:bookmarkEnd w:id="585"/>
      <w:bookmarkStart w:id="586" w:name="_Toc184314481"/>
      <w:bookmarkEnd w:id="586"/>
      <w:bookmarkStart w:id="587" w:name="_Toc184313250"/>
      <w:bookmarkEnd w:id="587"/>
      <w:bookmarkStart w:id="588" w:name="_Toc184313245"/>
      <w:bookmarkEnd w:id="588"/>
      <w:bookmarkStart w:id="589" w:name="_Toc184313268"/>
      <w:bookmarkEnd w:id="589"/>
      <w:bookmarkStart w:id="590" w:name="_Toc184314451"/>
      <w:bookmarkEnd w:id="590"/>
      <w:bookmarkStart w:id="591" w:name="_Toc184314425"/>
      <w:bookmarkEnd w:id="591"/>
      <w:bookmarkStart w:id="592" w:name="_Toc184313282"/>
      <w:bookmarkEnd w:id="592"/>
      <w:bookmarkStart w:id="593" w:name="_Toc184313294"/>
      <w:bookmarkEnd w:id="593"/>
      <w:bookmarkStart w:id="594" w:name="_Toc184313271"/>
      <w:bookmarkEnd w:id="594"/>
      <w:bookmarkStart w:id="595" w:name="_Toc184310303"/>
      <w:bookmarkEnd w:id="595"/>
      <w:bookmarkStart w:id="596" w:name="_Toc184314465"/>
      <w:bookmarkEnd w:id="596"/>
      <w:bookmarkStart w:id="597" w:name="_Toc184310312"/>
      <w:bookmarkEnd w:id="597"/>
      <w:bookmarkStart w:id="598" w:name="_Toc184310326"/>
      <w:bookmarkEnd w:id="598"/>
      <w:bookmarkStart w:id="599" w:name="_Toc184308053"/>
      <w:bookmarkEnd w:id="599"/>
      <w:bookmarkStart w:id="600" w:name="_Toc184312067"/>
      <w:bookmarkEnd w:id="600"/>
      <w:bookmarkStart w:id="601" w:name="_Toc184312103"/>
      <w:bookmarkEnd w:id="601"/>
      <w:bookmarkStart w:id="602" w:name="_Toc184313243"/>
      <w:bookmarkEnd w:id="602"/>
      <w:bookmarkStart w:id="603" w:name="_Toc184313287"/>
      <w:bookmarkEnd w:id="603"/>
      <w:bookmarkStart w:id="604" w:name="_Toc184312089"/>
      <w:bookmarkEnd w:id="604"/>
      <w:bookmarkStart w:id="605" w:name="_Toc184313303"/>
      <w:bookmarkEnd w:id="605"/>
      <w:bookmarkStart w:id="606" w:name="_Toc184314423"/>
      <w:bookmarkEnd w:id="606"/>
      <w:bookmarkStart w:id="607" w:name="_Toc184310340"/>
      <w:bookmarkEnd w:id="607"/>
      <w:bookmarkStart w:id="608" w:name="_Toc184314467"/>
      <w:bookmarkEnd w:id="608"/>
      <w:bookmarkStart w:id="609" w:name="_Toc184313256"/>
      <w:bookmarkEnd w:id="609"/>
      <w:bookmarkStart w:id="610" w:name="_Toc184314439"/>
      <w:bookmarkEnd w:id="610"/>
      <w:bookmarkStart w:id="611" w:name="_Toc184308091"/>
      <w:bookmarkEnd w:id="611"/>
      <w:bookmarkStart w:id="612" w:name="_Toc184313293"/>
      <w:bookmarkEnd w:id="612"/>
      <w:bookmarkStart w:id="613" w:name="_Toc184312117"/>
      <w:bookmarkEnd w:id="613"/>
      <w:bookmarkStart w:id="614" w:name="_Toc184313280"/>
      <w:bookmarkEnd w:id="614"/>
      <w:bookmarkStart w:id="615" w:name="_Toc184314447"/>
      <w:bookmarkEnd w:id="615"/>
      <w:bookmarkStart w:id="616" w:name="_Toc184314434"/>
      <w:bookmarkEnd w:id="616"/>
      <w:bookmarkStart w:id="617" w:name="_Toc184310316"/>
      <w:bookmarkEnd w:id="617"/>
      <w:bookmarkStart w:id="618" w:name="_Toc184310304"/>
      <w:bookmarkEnd w:id="618"/>
      <w:bookmarkStart w:id="619" w:name="_Toc184310286"/>
      <w:bookmarkEnd w:id="619"/>
      <w:bookmarkStart w:id="620" w:name="_Toc184308040"/>
      <w:bookmarkEnd w:id="620"/>
      <w:bookmarkStart w:id="621" w:name="_Toc184308087"/>
      <w:bookmarkEnd w:id="621"/>
      <w:bookmarkStart w:id="622" w:name="_Toc184312121"/>
      <w:bookmarkEnd w:id="622"/>
      <w:bookmarkStart w:id="623" w:name="_Toc184310277"/>
      <w:bookmarkEnd w:id="623"/>
      <w:bookmarkStart w:id="624" w:name="_Toc184312136"/>
      <w:bookmarkEnd w:id="624"/>
      <w:bookmarkStart w:id="625" w:name="_Toc184314473"/>
      <w:bookmarkEnd w:id="625"/>
      <w:bookmarkStart w:id="626" w:name="_Toc184312072"/>
      <w:bookmarkEnd w:id="626"/>
      <w:bookmarkStart w:id="627" w:name="_Toc184308059"/>
      <w:bookmarkEnd w:id="627"/>
      <w:bookmarkStart w:id="628" w:name="_Toc184312120"/>
      <w:bookmarkEnd w:id="628"/>
      <w:bookmarkStart w:id="629" w:name="_Toc184312105"/>
      <w:bookmarkEnd w:id="629"/>
      <w:bookmarkStart w:id="630" w:name="_Toc184312100"/>
      <w:bookmarkEnd w:id="630"/>
      <w:bookmarkStart w:id="631" w:name="_Toc184313270"/>
      <w:bookmarkEnd w:id="631"/>
      <w:bookmarkStart w:id="632" w:name="_Toc184308108"/>
      <w:bookmarkEnd w:id="632"/>
      <w:bookmarkStart w:id="633" w:name="_Toc184308065"/>
      <w:bookmarkEnd w:id="633"/>
      <w:bookmarkStart w:id="634" w:name="_Toc184314461"/>
      <w:bookmarkEnd w:id="634"/>
      <w:bookmarkStart w:id="635" w:name="_Toc184308066"/>
      <w:bookmarkEnd w:id="635"/>
      <w:bookmarkStart w:id="636" w:name="_Toc184308047"/>
      <w:bookmarkEnd w:id="636"/>
      <w:bookmarkStart w:id="637" w:name="_Toc184313306"/>
      <w:bookmarkEnd w:id="637"/>
      <w:bookmarkStart w:id="638" w:name="_Toc184312096"/>
      <w:bookmarkEnd w:id="638"/>
      <w:bookmarkStart w:id="639" w:name="_Toc184310297"/>
      <w:bookmarkEnd w:id="639"/>
      <w:bookmarkStart w:id="640" w:name="_Toc184310289"/>
      <w:bookmarkEnd w:id="640"/>
      <w:bookmarkStart w:id="641" w:name="_Toc184314468"/>
      <w:bookmarkEnd w:id="641"/>
      <w:bookmarkStart w:id="642" w:name="_Toc184314446"/>
      <w:bookmarkEnd w:id="642"/>
      <w:bookmarkStart w:id="643" w:name="_Toc184312070"/>
      <w:bookmarkEnd w:id="643"/>
      <w:bookmarkStart w:id="644" w:name="_Toc184312099"/>
      <w:bookmarkEnd w:id="644"/>
      <w:bookmarkStart w:id="645" w:name="_Toc184310281"/>
      <w:bookmarkEnd w:id="645"/>
      <w:bookmarkStart w:id="646" w:name="_Toc184312131"/>
      <w:bookmarkEnd w:id="646"/>
      <w:bookmarkStart w:id="647" w:name="_Toc184314477"/>
      <w:bookmarkEnd w:id="647"/>
      <w:bookmarkStart w:id="648" w:name="_Toc184310288"/>
      <w:bookmarkEnd w:id="648"/>
      <w:bookmarkStart w:id="649" w:name="_Toc184314413"/>
      <w:bookmarkEnd w:id="649"/>
      <w:bookmarkStart w:id="650" w:name="_Toc184308052"/>
      <w:bookmarkEnd w:id="650"/>
      <w:bookmarkStart w:id="651" w:name="_Toc184310273"/>
      <w:bookmarkEnd w:id="651"/>
      <w:bookmarkStart w:id="652" w:name="_Toc184314459"/>
      <w:bookmarkEnd w:id="652"/>
      <w:bookmarkStart w:id="653" w:name="_Toc184314419"/>
      <w:bookmarkEnd w:id="653"/>
      <w:bookmarkStart w:id="654" w:name="_Toc184308073"/>
      <w:bookmarkEnd w:id="654"/>
      <w:bookmarkStart w:id="655" w:name="_Toc184308078"/>
      <w:bookmarkEnd w:id="655"/>
      <w:bookmarkStart w:id="656" w:name="_Toc184308084"/>
      <w:bookmarkEnd w:id="656"/>
      <w:bookmarkStart w:id="657" w:name="_Toc184313289"/>
      <w:bookmarkEnd w:id="657"/>
      <w:bookmarkStart w:id="658" w:name="_Toc184308080"/>
      <w:bookmarkEnd w:id="658"/>
      <w:bookmarkStart w:id="659" w:name="_Toc184314453"/>
      <w:bookmarkEnd w:id="659"/>
      <w:bookmarkStart w:id="660" w:name="_Toc184312083"/>
      <w:bookmarkEnd w:id="660"/>
      <w:bookmarkStart w:id="661" w:name="_Toc184314415"/>
      <w:bookmarkEnd w:id="661"/>
      <w:bookmarkStart w:id="662" w:name="_Toc184312125"/>
      <w:bookmarkEnd w:id="662"/>
      <w:bookmarkStart w:id="663" w:name="_Toc184308077"/>
      <w:bookmarkEnd w:id="663"/>
      <w:bookmarkStart w:id="664" w:name="_Toc184314417"/>
      <w:bookmarkEnd w:id="664"/>
      <w:bookmarkStart w:id="665" w:name="_Toc184310287"/>
      <w:bookmarkEnd w:id="665"/>
      <w:bookmarkStart w:id="666" w:name="_Toc184308076"/>
      <w:bookmarkEnd w:id="666"/>
      <w:bookmarkStart w:id="667" w:name="_Toc184313297"/>
      <w:bookmarkEnd w:id="667"/>
      <w:bookmarkStart w:id="668" w:name="_Toc184308045"/>
      <w:bookmarkEnd w:id="668"/>
      <w:bookmarkStart w:id="669" w:name="_Toc184314475"/>
      <w:bookmarkEnd w:id="669"/>
      <w:bookmarkStart w:id="670" w:name="_Toc184314422"/>
      <w:bookmarkEnd w:id="670"/>
      <w:bookmarkStart w:id="671" w:name="_Toc184314444"/>
      <w:bookmarkEnd w:id="671"/>
      <w:bookmarkStart w:id="672" w:name="_Toc184310272"/>
      <w:bookmarkEnd w:id="672"/>
      <w:bookmarkStart w:id="673" w:name="_Toc184310283"/>
      <w:bookmarkEnd w:id="673"/>
      <w:bookmarkStart w:id="674" w:name="_Toc184312098"/>
      <w:bookmarkEnd w:id="674"/>
      <w:bookmarkStart w:id="675" w:name="_Toc184313307"/>
      <w:bookmarkEnd w:id="675"/>
      <w:bookmarkStart w:id="676" w:name="_Toc184312119"/>
      <w:bookmarkEnd w:id="676"/>
      <w:bookmarkStart w:id="677" w:name="_Toc184313242"/>
      <w:bookmarkEnd w:id="677"/>
      <w:bookmarkStart w:id="678" w:name="_Toc184312079"/>
      <w:bookmarkEnd w:id="678"/>
      <w:bookmarkStart w:id="679" w:name="_Toc184312068"/>
      <w:bookmarkEnd w:id="679"/>
      <w:bookmarkStart w:id="680" w:name="_Toc184314455"/>
      <w:bookmarkEnd w:id="680"/>
      <w:bookmarkStart w:id="681" w:name="_Toc184310321"/>
      <w:bookmarkEnd w:id="681"/>
      <w:bookmarkStart w:id="682" w:name="_Toc184310308"/>
      <w:bookmarkEnd w:id="682"/>
      <w:bookmarkStart w:id="683" w:name="_Toc184310305"/>
      <w:bookmarkEnd w:id="683"/>
      <w:bookmarkStart w:id="684" w:name="_Toc184308106"/>
      <w:bookmarkEnd w:id="684"/>
      <w:bookmarkStart w:id="685" w:name="_Toc184308081"/>
      <w:bookmarkEnd w:id="685"/>
      <w:bookmarkStart w:id="686" w:name="_Toc184308036"/>
      <w:bookmarkEnd w:id="686"/>
      <w:bookmarkStart w:id="687" w:name="_Toc184310317"/>
      <w:bookmarkEnd w:id="687"/>
      <w:bookmarkStart w:id="688" w:name="_Toc184308050"/>
      <w:bookmarkEnd w:id="688"/>
      <w:bookmarkStart w:id="689" w:name="_Toc184310285"/>
      <w:bookmarkEnd w:id="689"/>
      <w:bookmarkStart w:id="690" w:name="_Toc184314464"/>
      <w:bookmarkEnd w:id="690"/>
      <w:bookmarkStart w:id="691" w:name="_Toc184310336"/>
      <w:bookmarkEnd w:id="691"/>
      <w:bookmarkStart w:id="692" w:name="_Toc184314445"/>
      <w:bookmarkEnd w:id="692"/>
      <w:bookmarkStart w:id="693" w:name="_Toc184312088"/>
      <w:bookmarkEnd w:id="693"/>
      <w:bookmarkStart w:id="694" w:name="_Toc184312127"/>
      <w:bookmarkEnd w:id="694"/>
      <w:bookmarkStart w:id="695" w:name="_Toc184312134"/>
      <w:bookmarkEnd w:id="695"/>
      <w:bookmarkStart w:id="696" w:name="_Toc184314437"/>
      <w:bookmarkEnd w:id="696"/>
      <w:bookmarkStart w:id="697" w:name="_Toc184313255"/>
      <w:bookmarkEnd w:id="697"/>
      <w:bookmarkStart w:id="698" w:name="_Toc184313248"/>
      <w:bookmarkEnd w:id="698"/>
      <w:bookmarkStart w:id="699" w:name="_Toc184308058"/>
      <w:bookmarkEnd w:id="699"/>
      <w:bookmarkStart w:id="700" w:name="_Toc184314478"/>
      <w:bookmarkEnd w:id="700"/>
      <w:bookmarkStart w:id="701" w:name="_Toc184312073"/>
      <w:bookmarkEnd w:id="701"/>
      <w:bookmarkStart w:id="702" w:name="_Toc184310306"/>
      <w:bookmarkEnd w:id="702"/>
      <w:bookmarkStart w:id="703" w:name="_Toc184312081"/>
      <w:bookmarkEnd w:id="703"/>
      <w:bookmarkStart w:id="704" w:name="_Toc184310325"/>
      <w:bookmarkEnd w:id="704"/>
      <w:bookmarkStart w:id="705" w:name="_Toc184313240"/>
      <w:bookmarkEnd w:id="705"/>
      <w:bookmarkStart w:id="706" w:name="_Toc184310329"/>
      <w:bookmarkEnd w:id="706"/>
      <w:bookmarkStart w:id="707" w:name="_Toc184310313"/>
      <w:bookmarkEnd w:id="707"/>
      <w:bookmarkStart w:id="708" w:name="_Toc184313251"/>
      <w:bookmarkEnd w:id="708"/>
      <w:bookmarkStart w:id="709" w:name="_Toc184313305"/>
      <w:bookmarkEnd w:id="709"/>
      <w:bookmarkStart w:id="710" w:name="_Toc184312109"/>
      <w:bookmarkEnd w:id="710"/>
      <w:bookmarkStart w:id="711" w:name="_Toc184308046"/>
      <w:bookmarkEnd w:id="711"/>
      <w:bookmarkStart w:id="712" w:name="_Toc184310311"/>
      <w:bookmarkEnd w:id="712"/>
      <w:bookmarkStart w:id="713" w:name="_Toc184312124"/>
      <w:bookmarkEnd w:id="713"/>
      <w:bookmarkStart w:id="714" w:name="_Toc184314458"/>
      <w:bookmarkEnd w:id="714"/>
      <w:bookmarkStart w:id="715" w:name="_Toc184312095"/>
      <w:bookmarkEnd w:id="715"/>
      <w:bookmarkStart w:id="716" w:name="_Toc184310333"/>
      <w:bookmarkEnd w:id="716"/>
      <w:bookmarkStart w:id="717" w:name="_Toc184310343"/>
      <w:bookmarkEnd w:id="717"/>
      <w:bookmarkStart w:id="718" w:name="_Toc184313252"/>
      <w:bookmarkEnd w:id="718"/>
      <w:bookmarkStart w:id="719" w:name="_Toc184313241"/>
      <w:bookmarkEnd w:id="719"/>
      <w:bookmarkStart w:id="720" w:name="_Toc184308062"/>
      <w:bookmarkEnd w:id="720"/>
      <w:bookmarkStart w:id="721" w:name="_Toc184313246"/>
      <w:bookmarkEnd w:id="721"/>
      <w:bookmarkStart w:id="722" w:name="_Toc184313292"/>
      <w:bookmarkEnd w:id="722"/>
      <w:bookmarkStart w:id="723" w:name="_Toc184314452"/>
      <w:bookmarkEnd w:id="723"/>
      <w:bookmarkStart w:id="724" w:name="_Toc184310300"/>
      <w:bookmarkEnd w:id="724"/>
      <w:bookmarkStart w:id="725" w:name="_Toc184312074"/>
      <w:bookmarkEnd w:id="725"/>
      <w:bookmarkStart w:id="726" w:name="_Toc184310314"/>
      <w:bookmarkEnd w:id="726"/>
      <w:bookmarkStart w:id="727" w:name="_Toc184314463"/>
      <w:bookmarkEnd w:id="727"/>
      <w:bookmarkStart w:id="728" w:name="_Toc184312130"/>
      <w:bookmarkEnd w:id="728"/>
      <w:bookmarkStart w:id="729" w:name="_Toc184310319"/>
      <w:bookmarkEnd w:id="729"/>
      <w:bookmarkStart w:id="730" w:name="_Toc184313257"/>
      <w:bookmarkEnd w:id="730"/>
      <w:bookmarkStart w:id="731" w:name="_Toc184313249"/>
      <w:bookmarkEnd w:id="731"/>
      <w:bookmarkStart w:id="732" w:name="_Toc184310331"/>
      <w:bookmarkEnd w:id="732"/>
      <w:bookmarkStart w:id="733" w:name="_Toc184308095"/>
      <w:bookmarkEnd w:id="733"/>
      <w:bookmarkStart w:id="734" w:name="_Toc184308044"/>
      <w:bookmarkEnd w:id="734"/>
      <w:bookmarkStart w:id="735" w:name="_Toc184314441"/>
      <w:bookmarkEnd w:id="735"/>
      <w:bookmarkStart w:id="736" w:name="_Toc184308051"/>
      <w:bookmarkEnd w:id="736"/>
      <w:bookmarkStart w:id="737" w:name="_Toc184314424"/>
      <w:bookmarkEnd w:id="737"/>
      <w:bookmarkStart w:id="738" w:name="_Toc184312128"/>
      <w:bookmarkEnd w:id="738"/>
      <w:bookmarkStart w:id="739" w:name="_Toc184308070"/>
      <w:bookmarkEnd w:id="739"/>
      <w:bookmarkStart w:id="740" w:name="_Toc184308097"/>
      <w:bookmarkEnd w:id="740"/>
      <w:bookmarkStart w:id="741" w:name="_Toc184310301"/>
      <w:bookmarkEnd w:id="741"/>
      <w:bookmarkStart w:id="742" w:name="_Toc184308107"/>
      <w:bookmarkEnd w:id="742"/>
      <w:bookmarkStart w:id="743" w:name="_Toc184312082"/>
      <w:bookmarkEnd w:id="743"/>
      <w:bookmarkStart w:id="744" w:name="_Toc184308102"/>
      <w:bookmarkEnd w:id="744"/>
      <w:bookmarkStart w:id="745" w:name="_Toc184312087"/>
      <w:bookmarkEnd w:id="745"/>
      <w:bookmarkStart w:id="746" w:name="_Toc184313291"/>
      <w:bookmarkEnd w:id="746"/>
      <w:bookmarkStart w:id="747" w:name="_Toc184308054"/>
      <w:bookmarkEnd w:id="747"/>
      <w:bookmarkStart w:id="748" w:name="_Toc184310338"/>
      <w:bookmarkEnd w:id="748"/>
      <w:bookmarkStart w:id="749" w:name="_Toc184313276"/>
      <w:bookmarkEnd w:id="749"/>
      <w:bookmarkStart w:id="750" w:name="_Toc184312132"/>
      <w:bookmarkEnd w:id="750"/>
      <w:bookmarkStart w:id="751" w:name="_Toc184308079"/>
      <w:bookmarkEnd w:id="751"/>
      <w:bookmarkStart w:id="752" w:name="_Toc184313264"/>
      <w:bookmarkEnd w:id="752"/>
      <w:bookmarkStart w:id="753" w:name="_Toc184313298"/>
      <w:bookmarkEnd w:id="753"/>
      <w:bookmarkStart w:id="754" w:name="_Toc184313290"/>
      <w:bookmarkEnd w:id="754"/>
      <w:bookmarkStart w:id="755" w:name="_Toc184310295"/>
      <w:bookmarkEnd w:id="755"/>
      <w:bookmarkStart w:id="756" w:name="_Toc184313261"/>
      <w:bookmarkEnd w:id="756"/>
      <w:bookmarkStart w:id="757" w:name="_Toc184313269"/>
      <w:bookmarkEnd w:id="757"/>
      <w:bookmarkStart w:id="758" w:name="_Toc184310275"/>
      <w:bookmarkEnd w:id="758"/>
      <w:bookmarkStart w:id="759" w:name="_Toc184310296"/>
      <w:bookmarkEnd w:id="759"/>
      <w:bookmarkStart w:id="760" w:name="_Toc184312111"/>
      <w:bookmarkEnd w:id="760"/>
      <w:bookmarkStart w:id="761" w:name="_Toc184310323"/>
      <w:bookmarkEnd w:id="761"/>
      <w:bookmarkStart w:id="762" w:name="_Toc184314482"/>
      <w:bookmarkEnd w:id="762"/>
      <w:bookmarkStart w:id="763" w:name="_Toc184313285"/>
      <w:bookmarkEnd w:id="763"/>
      <w:bookmarkStart w:id="764" w:name="_Toc184310341"/>
      <w:bookmarkEnd w:id="764"/>
      <w:bookmarkStart w:id="765" w:name="_Toc184310330"/>
      <w:bookmarkEnd w:id="765"/>
      <w:bookmarkStart w:id="766" w:name="_Toc184308041"/>
      <w:bookmarkEnd w:id="766"/>
      <w:bookmarkStart w:id="767" w:name="_Toc184310309"/>
      <w:bookmarkEnd w:id="767"/>
      <w:bookmarkStart w:id="768" w:name="_Toc184310274"/>
      <w:bookmarkEnd w:id="768"/>
      <w:bookmarkStart w:id="769" w:name="_Toc184310299"/>
      <w:bookmarkEnd w:id="769"/>
      <w:bookmarkStart w:id="770" w:name="_Toc184314450"/>
      <w:bookmarkEnd w:id="770"/>
      <w:bookmarkStart w:id="771" w:name="_Toc184314440"/>
      <w:bookmarkEnd w:id="771"/>
      <w:bookmarkStart w:id="772" w:name="_Toc184314448"/>
      <w:bookmarkEnd w:id="772"/>
      <w:bookmarkStart w:id="773" w:name="_Toc184312090"/>
      <w:bookmarkEnd w:id="773"/>
      <w:bookmarkStart w:id="774" w:name="_Toc184314416"/>
      <w:bookmarkEnd w:id="774"/>
      <w:bookmarkStart w:id="775" w:name="_Toc184314410"/>
      <w:bookmarkEnd w:id="775"/>
      <w:bookmarkStart w:id="776" w:name="_Toc184310339"/>
      <w:bookmarkEnd w:id="776"/>
      <w:bookmarkStart w:id="777" w:name="_Toc184313273"/>
      <w:bookmarkEnd w:id="777"/>
      <w:bookmarkStart w:id="778" w:name="_Toc184313272"/>
      <w:bookmarkEnd w:id="778"/>
      <w:bookmarkStart w:id="779" w:name="_Toc184310302"/>
      <w:bookmarkEnd w:id="779"/>
      <w:bookmarkStart w:id="780" w:name="_Toc184312114"/>
      <w:bookmarkEnd w:id="780"/>
      <w:bookmarkStart w:id="781" w:name="_Toc184312138"/>
      <w:bookmarkEnd w:id="781"/>
      <w:bookmarkStart w:id="782" w:name="_Toc184308089"/>
      <w:bookmarkEnd w:id="782"/>
      <w:bookmarkStart w:id="783" w:name="_Toc184312104"/>
      <w:bookmarkEnd w:id="783"/>
      <w:bookmarkStart w:id="784" w:name="_Toc184314430"/>
      <w:bookmarkEnd w:id="784"/>
      <w:bookmarkStart w:id="785" w:name="_Toc184312085"/>
      <w:bookmarkEnd w:id="785"/>
      <w:bookmarkStart w:id="786" w:name="_Toc184313265"/>
      <w:bookmarkEnd w:id="786"/>
      <w:bookmarkStart w:id="787" w:name="_Toc184313283"/>
      <w:bookmarkEnd w:id="787"/>
      <w:bookmarkStart w:id="788" w:name="_Toc184310276"/>
      <w:bookmarkEnd w:id="788"/>
      <w:bookmarkStart w:id="789" w:name="_Toc184312078"/>
      <w:bookmarkEnd w:id="789"/>
      <w:bookmarkStart w:id="790" w:name="_Toc184314471"/>
      <w:bookmarkEnd w:id="790"/>
      <w:bookmarkStart w:id="791" w:name="_Toc184312118"/>
      <w:bookmarkEnd w:id="791"/>
      <w:bookmarkStart w:id="792" w:name="_Toc184308100"/>
      <w:bookmarkEnd w:id="792"/>
      <w:bookmarkStart w:id="793" w:name="_Toc184313258"/>
      <w:bookmarkEnd w:id="793"/>
      <w:bookmarkStart w:id="794" w:name="_Toc184308043"/>
      <w:bookmarkEnd w:id="794"/>
      <w:bookmarkStart w:id="795" w:name="_Toc184314476"/>
      <w:bookmarkEnd w:id="795"/>
      <w:bookmarkStart w:id="796" w:name="_Toc184313262"/>
      <w:bookmarkEnd w:id="796"/>
      <w:bookmarkStart w:id="797" w:name="_Toc184314457"/>
      <w:bookmarkEnd w:id="797"/>
      <w:bookmarkStart w:id="798" w:name="_Toc184308056"/>
      <w:bookmarkEnd w:id="798"/>
      <w:bookmarkStart w:id="799" w:name="_Toc184314418"/>
      <w:bookmarkEnd w:id="799"/>
      <w:bookmarkStart w:id="800" w:name="_Toc184314412"/>
      <w:bookmarkEnd w:id="800"/>
      <w:bookmarkStart w:id="801" w:name="_Toc184308071"/>
      <w:bookmarkEnd w:id="801"/>
      <w:bookmarkStart w:id="802" w:name="_Toc184312076"/>
      <w:bookmarkEnd w:id="802"/>
      <w:bookmarkStart w:id="803" w:name="_Toc184310282"/>
      <w:bookmarkEnd w:id="803"/>
      <w:bookmarkStart w:id="804" w:name="_Toc184310332"/>
      <w:bookmarkEnd w:id="804"/>
      <w:bookmarkStart w:id="805" w:name="_Toc184313309"/>
      <w:bookmarkEnd w:id="805"/>
      <w:bookmarkStart w:id="806" w:name="_Toc184314420"/>
      <w:bookmarkEnd w:id="806"/>
      <w:bookmarkStart w:id="807" w:name="_Toc184308083"/>
      <w:bookmarkEnd w:id="807"/>
      <w:bookmarkStart w:id="808" w:name="_Toc184312093"/>
      <w:bookmarkEnd w:id="808"/>
      <w:bookmarkStart w:id="809" w:name="_Toc184314433"/>
      <w:bookmarkEnd w:id="809"/>
      <w:bookmarkStart w:id="810" w:name="_Toc184308039"/>
      <w:bookmarkEnd w:id="810"/>
      <w:bookmarkStart w:id="811" w:name="_Toc184314429"/>
      <w:bookmarkEnd w:id="811"/>
      <w:bookmarkStart w:id="812" w:name="_Toc184312102"/>
      <w:bookmarkEnd w:id="812"/>
      <w:bookmarkStart w:id="813" w:name="_Toc184308099"/>
      <w:bookmarkEnd w:id="813"/>
      <w:bookmarkStart w:id="814" w:name="_Toc184312094"/>
      <w:bookmarkEnd w:id="814"/>
      <w:bookmarkStart w:id="815" w:name="_Toc184308063"/>
      <w:bookmarkEnd w:id="815"/>
      <w:bookmarkStart w:id="816" w:name="_Toc184308088"/>
      <w:bookmarkEnd w:id="816"/>
      <w:bookmarkStart w:id="817" w:name="_Toc184313310"/>
      <w:bookmarkEnd w:id="817"/>
      <w:bookmarkStart w:id="818" w:name="_Toc184308085"/>
      <w:bookmarkEnd w:id="818"/>
      <w:bookmarkStart w:id="819" w:name="_Toc184312115"/>
      <w:bookmarkEnd w:id="819"/>
      <w:bookmarkStart w:id="820" w:name="_Toc184314480"/>
      <w:bookmarkEnd w:id="820"/>
      <w:bookmarkStart w:id="821" w:name="_Toc184308075"/>
      <w:bookmarkEnd w:id="821"/>
      <w:bookmarkStart w:id="822" w:name="_Toc184312135"/>
      <w:bookmarkEnd w:id="822"/>
      <w:bookmarkStart w:id="823" w:name="_Toc184310290"/>
      <w:bookmarkEnd w:id="823"/>
      <w:bookmarkStart w:id="824" w:name="_Toc184310327"/>
      <w:bookmarkEnd w:id="824"/>
      <w:bookmarkStart w:id="825" w:name="_Toc184308068"/>
      <w:bookmarkEnd w:id="825"/>
      <w:bookmarkStart w:id="826" w:name="_Toc184312069"/>
      <w:bookmarkEnd w:id="826"/>
      <w:bookmarkStart w:id="827" w:name="_Toc184314438"/>
      <w:bookmarkEnd w:id="827"/>
      <w:bookmarkStart w:id="828" w:name="_Toc184308067"/>
      <w:bookmarkEnd w:id="828"/>
      <w:bookmarkStart w:id="829" w:name="_Toc184314479"/>
      <w:bookmarkEnd w:id="829"/>
      <w:bookmarkStart w:id="830" w:name="_Toc184313295"/>
      <w:bookmarkEnd w:id="830"/>
      <w:bookmarkStart w:id="831" w:name="_Toc184314454"/>
      <w:bookmarkEnd w:id="831"/>
      <w:bookmarkStart w:id="832" w:name="_Toc184310307"/>
      <w:bookmarkEnd w:id="832"/>
      <w:bookmarkStart w:id="833" w:name="_Toc184310280"/>
      <w:bookmarkEnd w:id="833"/>
      <w:bookmarkStart w:id="834" w:name="_Toc184312139"/>
      <w:bookmarkEnd w:id="834"/>
      <w:bookmarkStart w:id="835" w:name="_Toc184313275"/>
      <w:bookmarkEnd w:id="835"/>
      <w:bookmarkStart w:id="836" w:name="_Toc184308103"/>
      <w:bookmarkEnd w:id="836"/>
      <w:bookmarkStart w:id="837" w:name="_Toc184312101"/>
      <w:bookmarkEnd w:id="837"/>
      <w:bookmarkStart w:id="838" w:name="_Toc184313244"/>
      <w:bookmarkEnd w:id="838"/>
      <w:bookmarkStart w:id="839" w:name="_Toc184314472"/>
      <w:bookmarkEnd w:id="839"/>
      <w:bookmarkStart w:id="840" w:name="_Toc184308072"/>
      <w:bookmarkEnd w:id="840"/>
      <w:bookmarkStart w:id="841" w:name="_Toc184314449"/>
      <w:bookmarkEnd w:id="841"/>
      <w:bookmarkStart w:id="842" w:name="_Toc184314411"/>
      <w:bookmarkEnd w:id="842"/>
      <w:bookmarkStart w:id="843" w:name="_Toc184313279"/>
      <w:bookmarkEnd w:id="843"/>
      <w:bookmarkStart w:id="844" w:name="_Toc184308049"/>
      <w:bookmarkEnd w:id="844"/>
      <w:bookmarkStart w:id="845" w:name="_Toc184313239"/>
      <w:bookmarkEnd w:id="845"/>
      <w:bookmarkStart w:id="846" w:name="_Toc184308101"/>
      <w:bookmarkEnd w:id="846"/>
      <w:bookmarkStart w:id="847" w:name="_Toc184308096"/>
      <w:bookmarkEnd w:id="847"/>
      <w:bookmarkStart w:id="848" w:name="_Toc184314462"/>
      <w:bookmarkEnd w:id="848"/>
      <w:bookmarkStart w:id="849" w:name="_Toc184314442"/>
      <w:bookmarkEnd w:id="849"/>
      <w:bookmarkStart w:id="850" w:name="_Toc184312080"/>
      <w:bookmarkEnd w:id="850"/>
      <w:bookmarkStart w:id="851" w:name="_Toc184313277"/>
      <w:bookmarkEnd w:id="851"/>
      <w:bookmarkStart w:id="852" w:name="_Toc184312110"/>
      <w:bookmarkEnd w:id="852"/>
      <w:bookmarkStart w:id="853" w:name="_Toc184308037"/>
      <w:bookmarkEnd w:id="853"/>
      <w:bookmarkStart w:id="854" w:name="_Toc184312106"/>
      <w:bookmarkEnd w:id="854"/>
      <w:bookmarkStart w:id="855" w:name="_Toc184308098"/>
      <w:bookmarkEnd w:id="855"/>
      <w:bookmarkStart w:id="856" w:name="_Toc184312077"/>
      <w:bookmarkEnd w:id="856"/>
      <w:bookmarkStart w:id="857" w:name="_Toc184308082"/>
      <w:bookmarkEnd w:id="857"/>
      <w:bookmarkStart w:id="858" w:name="_Toc184308055"/>
      <w:bookmarkEnd w:id="858"/>
      <w:bookmarkStart w:id="859" w:name="_Toc184308074"/>
      <w:bookmarkEnd w:id="859"/>
      <w:bookmarkStart w:id="860" w:name="_Toc184308105"/>
      <w:bookmarkEnd w:id="860"/>
      <w:bookmarkStart w:id="861" w:name="_Toc184313253"/>
      <w:bookmarkEnd w:id="861"/>
      <w:bookmarkStart w:id="862" w:name="_Toc184314421"/>
      <w:bookmarkEnd w:id="862"/>
      <w:bookmarkStart w:id="863" w:name="_Toc184313254"/>
      <w:bookmarkEnd w:id="863"/>
      <w:bookmarkStart w:id="864" w:name="_Toc184310278"/>
      <w:bookmarkEnd w:id="864"/>
      <w:bookmarkStart w:id="865" w:name="_Toc184308069"/>
      <w:bookmarkEnd w:id="865"/>
      <w:bookmarkStart w:id="866" w:name="_Toc184312112"/>
      <w:bookmarkEnd w:id="866"/>
      <w:bookmarkStart w:id="867" w:name="_Toc184312137"/>
      <w:bookmarkEnd w:id="867"/>
      <w:bookmarkStart w:id="868" w:name="_Toc184308048"/>
      <w:bookmarkEnd w:id="868"/>
      <w:bookmarkStart w:id="869" w:name="_Toc184312075"/>
      <w:bookmarkEnd w:id="869"/>
      <w:bookmarkStart w:id="870" w:name="_Toc184313281"/>
      <w:bookmarkEnd w:id="870"/>
      <w:bookmarkStart w:id="871" w:name="_Toc184313302"/>
      <w:bookmarkEnd w:id="871"/>
      <w:bookmarkStart w:id="872" w:name="_Toc184313286"/>
      <w:bookmarkEnd w:id="872"/>
      <w:bookmarkStart w:id="873" w:name="_Toc184314469"/>
      <w:bookmarkEnd w:id="873"/>
      <w:bookmarkStart w:id="874" w:name="_Toc184312107"/>
      <w:bookmarkEnd w:id="874"/>
      <w:bookmarkStart w:id="875" w:name="_Toc184312091"/>
      <w:bookmarkEnd w:id="875"/>
      <w:bookmarkStart w:id="876" w:name="_Toc184313304"/>
      <w:bookmarkEnd w:id="876"/>
      <w:bookmarkStart w:id="877" w:name="_Toc184314428"/>
      <w:bookmarkEnd w:id="877"/>
      <w:bookmarkStart w:id="878" w:name="_Toc184312116"/>
      <w:bookmarkEnd w:id="878"/>
      <w:bookmarkStart w:id="879" w:name="_Toc184310324"/>
      <w:bookmarkEnd w:id="879"/>
      <w:bookmarkStart w:id="880" w:name="_Toc184313267"/>
      <w:bookmarkEnd w:id="880"/>
      <w:bookmarkStart w:id="881" w:name="_Toc184310315"/>
      <w:bookmarkEnd w:id="881"/>
      <w:bookmarkStart w:id="882" w:name="_Toc184314470"/>
      <w:bookmarkEnd w:id="882"/>
      <w:bookmarkStart w:id="883" w:name="_Toc184310342"/>
      <w:bookmarkEnd w:id="883"/>
      <w:bookmarkStart w:id="884" w:name="_Toc184310318"/>
      <w:bookmarkEnd w:id="884"/>
      <w:bookmarkStart w:id="885" w:name="_Toc184312084"/>
      <w:bookmarkEnd w:id="885"/>
      <w:bookmarkStart w:id="886" w:name="_Toc184313278"/>
      <w:bookmarkEnd w:id="886"/>
      <w:bookmarkStart w:id="887" w:name="_Toc184312122"/>
      <w:bookmarkEnd w:id="887"/>
      <w:bookmarkStart w:id="888" w:name="_Toc184308094"/>
      <w:bookmarkEnd w:id="888"/>
      <w:bookmarkStart w:id="889" w:name="_Toc184310291"/>
      <w:bookmarkEnd w:id="889"/>
      <w:bookmarkStart w:id="890" w:name="_Toc184313260"/>
      <w:bookmarkEnd w:id="890"/>
      <w:bookmarkStart w:id="891" w:name="_Toc184308093"/>
      <w:bookmarkEnd w:id="891"/>
      <w:bookmarkStart w:id="892" w:name="_Toc184313247"/>
      <w:bookmarkEnd w:id="892"/>
      <w:bookmarkStart w:id="893" w:name="_Toc184312108"/>
      <w:bookmarkEnd w:id="893"/>
      <w:bookmarkStart w:id="894" w:name="_Toc184308060"/>
      <w:bookmarkEnd w:id="894"/>
      <w:bookmarkStart w:id="895" w:name="_Toc184314466"/>
      <w:bookmarkEnd w:id="895"/>
      <w:bookmarkStart w:id="896" w:name="_Toc184308092"/>
      <w:bookmarkEnd w:id="896"/>
      <w:bookmarkStart w:id="897" w:name="_Toc184313274"/>
      <w:bookmarkEnd w:id="897"/>
      <w:bookmarkStart w:id="898" w:name="_Toc184310294"/>
      <w:bookmarkEnd w:id="898"/>
      <w:bookmarkStart w:id="899" w:name="_Toc184314427"/>
      <w:bookmarkEnd w:id="899"/>
      <w:bookmarkStart w:id="900" w:name="_Toc184312092"/>
      <w:bookmarkEnd w:id="900"/>
      <w:bookmarkStart w:id="901" w:name="_Toc184312123"/>
      <w:bookmarkEnd w:id="901"/>
      <w:bookmarkStart w:id="902" w:name="_Toc184308042"/>
      <w:bookmarkEnd w:id="902"/>
      <w:bookmarkStart w:id="903" w:name="_Toc184312086"/>
      <w:bookmarkEnd w:id="903"/>
      <w:bookmarkStart w:id="904" w:name="_Toc184314431"/>
      <w:bookmarkEnd w:id="904"/>
      <w:bookmarkStart w:id="905" w:name="_Toc184314435"/>
      <w:bookmarkEnd w:id="905"/>
      <w:bookmarkStart w:id="906" w:name="_Toc184314414"/>
      <w:bookmarkEnd w:id="906"/>
      <w:bookmarkStart w:id="907" w:name="_Toc184308064"/>
      <w:bookmarkEnd w:id="907"/>
      <w:bookmarkStart w:id="908" w:name="_Toc184312097"/>
      <w:bookmarkEnd w:id="908"/>
      <w:bookmarkStart w:id="909" w:name="_Toc184308090"/>
      <w:bookmarkEnd w:id="909"/>
      <w:bookmarkStart w:id="910" w:name="_Toc184312071"/>
      <w:bookmarkEnd w:id="910"/>
      <w:bookmarkStart w:id="911" w:name="_Toc184313263"/>
      <w:bookmarkEnd w:id="911"/>
      <w:bookmarkStart w:id="912" w:name="_Toc184314443"/>
      <w:bookmarkEnd w:id="912"/>
      <w:bookmarkStart w:id="913" w:name="_Toc184308086"/>
      <w:bookmarkEnd w:id="913"/>
      <w:bookmarkStart w:id="914" w:name="_Toc184308057"/>
      <w:bookmarkEnd w:id="914"/>
      <w:bookmarkStart w:id="915" w:name="_Toc184312113"/>
      <w:bookmarkEnd w:id="915"/>
      <w:bookmarkStart w:id="916" w:name="_Toc184310335"/>
      <w:bookmarkEnd w:id="916"/>
      <w:bookmarkStart w:id="917" w:name="_Toc184313266"/>
      <w:bookmarkEnd w:id="917"/>
      <w:bookmarkStart w:id="918" w:name="_Toc184313259"/>
      <w:bookmarkEnd w:id="918"/>
      <w:bookmarkStart w:id="919" w:name="_Toc184313296"/>
      <w:bookmarkEnd w:id="919"/>
      <w:bookmarkStart w:id="920" w:name="_Toc184310284"/>
      <w:bookmarkEnd w:id="920"/>
      <w:bookmarkStart w:id="921" w:name="_Toc184310320"/>
      <w:bookmarkEnd w:id="921"/>
      <w:bookmarkStart w:id="922" w:name="_Toc184314474"/>
      <w:bookmarkEnd w:id="922"/>
      <w:bookmarkStart w:id="923" w:name="_Toc184310293"/>
      <w:bookmarkEnd w:id="923"/>
      <w:bookmarkStart w:id="924" w:name="_Toc184312126"/>
      <w:bookmarkEnd w:id="924"/>
      <w:bookmarkStart w:id="925" w:name="_Toc184310328"/>
      <w:bookmarkEnd w:id="925"/>
      <w:bookmarkStart w:id="926" w:name="_Toc184313238"/>
      <w:bookmarkEnd w:id="926"/>
      <w:bookmarkStart w:id="927" w:name="_Toc184310337"/>
      <w:bookmarkEnd w:id="927"/>
      <w:bookmarkStart w:id="928" w:name="_Toc184313301"/>
      <w:bookmarkEnd w:id="928"/>
      <w:bookmarkStart w:id="929" w:name="_Toc184310279"/>
      <w:bookmarkEnd w:id="929"/>
      <w:bookmarkStart w:id="930" w:name="_Toc184308104"/>
      <w:bookmarkEnd w:id="930"/>
      <w:bookmarkStart w:id="931" w:name="_Toc184314432"/>
      <w:bookmarkEnd w:id="931"/>
      <w:bookmarkStart w:id="932" w:name="_Toc184313308"/>
      <w:bookmarkEnd w:id="932"/>
      <w:bookmarkStart w:id="933" w:name="_Toc184312133"/>
      <w:bookmarkEnd w:id="933"/>
      <w:bookmarkStart w:id="934" w:name="_Toc184314426"/>
      <w:bookmarkEnd w:id="934"/>
      <w:bookmarkStart w:id="935" w:name="_Toc184310344"/>
      <w:bookmarkEnd w:id="935"/>
      <w:bookmarkStart w:id="936" w:name="_Toc184310334"/>
      <w:bookmarkEnd w:id="936"/>
      <w:bookmarkStart w:id="937" w:name="_Toc184312129"/>
      <w:bookmarkEnd w:id="937"/>
      <w:bookmarkStart w:id="938" w:name="_Toc184308038"/>
      <w:bookmarkEnd w:id="938"/>
      <w:bookmarkStart w:id="939" w:name="_Toc184310322"/>
      <w:bookmarkEnd w:id="939"/>
      <w:bookmarkStart w:id="940" w:name="_Toc184308061"/>
      <w:bookmarkEnd w:id="940"/>
      <w:bookmarkStart w:id="941" w:name="_Toc184310310"/>
      <w:bookmarkEnd w:id="941"/>
      <w:bookmarkStart w:id="942" w:name="_Toc184313288"/>
      <w:bookmarkEnd w:id="942"/>
      <w:bookmarkStart w:id="943" w:name="_Toc184314460"/>
      <w:bookmarkEnd w:id="943"/>
      <w:bookmarkStart w:id="944" w:name="_Toc184313284"/>
      <w:bookmarkEnd w:id="944"/>
      <w:bookmarkStart w:id="945" w:name="_Toc184314436"/>
      <w:bookmarkEnd w:id="945"/>
      <w:bookmarkStart w:id="946" w:name="_Toc184310298"/>
      <w:bookmarkEnd w:id="946"/>
      <w:r>
        <w:rPr>
          <w:rFonts w:hint="eastAsia" w:ascii="仿宋" w:hAnsi="仿宋" w:eastAsia="仿宋" w:cs="仿宋"/>
          <w:color w:val="auto"/>
          <w:sz w:val="36"/>
          <w:szCs w:val="36"/>
          <w:highlight w:val="none"/>
        </w:rPr>
        <w:t xml:space="preserve"> 评审办法</w:t>
      </w:r>
      <w:bookmarkEnd w:id="579"/>
      <w:bookmarkEnd w:id="580"/>
      <w:bookmarkEnd w:id="581"/>
    </w:p>
    <w:p w14:paraId="11E570C7">
      <w:pPr>
        <w:pStyle w:val="60"/>
        <w:widowControl w:val="0"/>
        <w:numPr>
          <w:ilvl w:val="0"/>
          <w:numId w:val="7"/>
        </w:numPr>
        <w:overflowPunct/>
        <w:autoSpaceDE/>
        <w:autoSpaceDN/>
        <w:adjustRightInd/>
        <w:spacing w:before="240" w:beforeLines="100" w:after="240" w:afterLines="100"/>
        <w:jc w:val="left"/>
        <w:textAlignment w:val="auto"/>
        <w:outlineLvl w:val="1"/>
        <w:rPr>
          <w:rFonts w:ascii="仿宋" w:hAnsi="仿宋" w:eastAsia="仿宋" w:cs="仿宋"/>
          <w:bCs/>
          <w:color w:val="auto"/>
          <w:kern w:val="2"/>
          <w:sz w:val="30"/>
          <w:szCs w:val="30"/>
          <w:highlight w:val="none"/>
          <w:lang w:val="en-US"/>
        </w:rPr>
      </w:pPr>
      <w:bookmarkStart w:id="947" w:name="_Toc139797643"/>
      <w:bookmarkStart w:id="948" w:name="_Toc11547"/>
      <w:bookmarkStart w:id="949" w:name="_Toc9908"/>
      <w:r>
        <w:rPr>
          <w:rFonts w:hint="eastAsia" w:ascii="仿宋" w:hAnsi="仿宋" w:eastAsia="仿宋" w:cs="仿宋"/>
          <w:bCs/>
          <w:color w:val="auto"/>
          <w:kern w:val="2"/>
          <w:sz w:val="30"/>
          <w:szCs w:val="30"/>
          <w:highlight w:val="none"/>
          <w:lang w:val="en-US"/>
        </w:rPr>
        <w:t>评审方法</w:t>
      </w:r>
      <w:bookmarkEnd w:id="947"/>
      <w:bookmarkEnd w:id="948"/>
      <w:bookmarkEnd w:id="949"/>
    </w:p>
    <w:p w14:paraId="43A699BC">
      <w:pPr>
        <w:adjustRightInd/>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1.1本项目采用综合评分法。</w:t>
      </w:r>
      <w:r>
        <w:rPr>
          <w:rFonts w:hint="eastAsia" w:ascii="仿宋" w:hAnsi="仿宋" w:eastAsia="仿宋" w:cs="仿宋"/>
          <w:color w:val="auto"/>
          <w:kern w:val="0"/>
          <w:sz w:val="24"/>
          <w:highlight w:val="none"/>
        </w:rPr>
        <w:t>综合评分法，是指响应文件满足磋商文件全部</w:t>
      </w:r>
    </w:p>
    <w:p w14:paraId="3589BC98">
      <w:pPr>
        <w:adjustRightInd/>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实质性要求且按评审因素的量化指标评审得分最高的供应商为成交候选供应商的评审方法。</w:t>
      </w:r>
    </w:p>
    <w:p w14:paraId="6BA95EB5">
      <w:pPr>
        <w:pStyle w:val="17"/>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1.2磋商小组组建</w:t>
      </w:r>
      <w:r>
        <w:rPr>
          <w:rFonts w:hint="eastAsia" w:ascii="仿宋" w:hAnsi="仿宋" w:eastAsia="仿宋" w:cs="仿宋"/>
          <w:color w:val="auto"/>
          <w:sz w:val="24"/>
          <w:highlight w:val="none"/>
        </w:rPr>
        <w:t>：磋商小组由评审专家或采购人代表和评审专家组成，成</w:t>
      </w:r>
    </w:p>
    <w:p w14:paraId="3A69D23B">
      <w:pPr>
        <w:pStyle w:val="17"/>
        <w:spacing w:line="360" w:lineRule="auto"/>
        <w:ind w:firstLine="0"/>
        <w:rPr>
          <w:rFonts w:ascii="仿宋" w:hAnsi="仿宋" w:eastAsia="仿宋" w:cs="仿宋"/>
          <w:color w:val="auto"/>
          <w:sz w:val="24"/>
          <w:highlight w:val="none"/>
        </w:rPr>
      </w:pPr>
      <w:r>
        <w:rPr>
          <w:rFonts w:hint="eastAsia" w:ascii="仿宋" w:hAnsi="仿宋" w:eastAsia="仿宋" w:cs="仿宋"/>
          <w:color w:val="auto"/>
          <w:sz w:val="24"/>
          <w:highlight w:val="none"/>
        </w:rPr>
        <w:t>员人数为3人以上单数，其中评审专家不少于成员总数的三分之二。评审专家按规定从评审专家库中随机抽取。如有特殊情况的，按相关规定组建磋商小组；</w:t>
      </w:r>
    </w:p>
    <w:p w14:paraId="3AAA44C1">
      <w:pPr>
        <w:pStyle w:val="17"/>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1B6007A">
      <w:pPr>
        <w:snapToGrid w:val="0"/>
        <w:spacing w:line="360" w:lineRule="auto"/>
        <w:ind w:firstLine="482" w:firstLineChars="200"/>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1.3.磋商小组的组成人员的回避。</w:t>
      </w:r>
    </w:p>
    <w:p w14:paraId="4AD218DB">
      <w:pPr>
        <w:pStyle w:val="140"/>
        <w:spacing w:before="0"/>
        <w:ind w:firstLine="480"/>
        <w:rPr>
          <w:rFonts w:ascii="仿宋" w:hAnsi="仿宋" w:eastAsia="仿宋" w:cs="仿宋"/>
          <w:color w:val="auto"/>
          <w:highlight w:val="none"/>
        </w:rPr>
      </w:pPr>
      <w:r>
        <w:rPr>
          <w:rFonts w:hint="eastAsia" w:ascii="仿宋" w:hAnsi="仿宋" w:eastAsia="仿宋" w:cs="仿宋"/>
          <w:color w:val="auto"/>
          <w:highlight w:val="none"/>
        </w:rPr>
        <w:t>在政府采购活动中，磋商小组的组成人员与供应商有下列利害关系之一的，应当回避：</w:t>
      </w:r>
    </w:p>
    <w:p w14:paraId="0B1D5349">
      <w:pPr>
        <w:pStyle w:val="140"/>
        <w:spacing w:before="0"/>
        <w:ind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　　1.3.1参加采购活动前3年内与供应商存在劳动关系；</w:t>
      </w:r>
    </w:p>
    <w:p w14:paraId="41734CE5">
      <w:pPr>
        <w:pStyle w:val="140"/>
        <w:spacing w:before="0"/>
        <w:ind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　　1.3.2参加采购活动前3年内担任供应商的董事、监事；</w:t>
      </w:r>
    </w:p>
    <w:p w14:paraId="0F63B71B">
      <w:pPr>
        <w:pStyle w:val="140"/>
        <w:spacing w:before="0"/>
        <w:ind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　　1.3.3参加采购活动前3年内是供应商的控股股东或者实际控制人；</w:t>
      </w:r>
    </w:p>
    <w:p w14:paraId="02CDF56C">
      <w:pPr>
        <w:pStyle w:val="140"/>
        <w:spacing w:before="0"/>
        <w:ind w:firstLine="480" w:firstLineChars="0"/>
        <w:rPr>
          <w:rFonts w:ascii="仿宋" w:hAnsi="仿宋" w:eastAsia="仿宋" w:cs="仿宋"/>
          <w:color w:val="auto"/>
          <w:kern w:val="0"/>
          <w:highlight w:val="none"/>
        </w:rPr>
      </w:pPr>
      <w:r>
        <w:rPr>
          <w:rFonts w:hint="eastAsia" w:ascii="仿宋" w:hAnsi="仿宋" w:eastAsia="仿宋" w:cs="仿宋"/>
          <w:color w:val="auto"/>
          <w:kern w:val="0"/>
          <w:highlight w:val="none"/>
        </w:rPr>
        <w:t>1.4.4与供应商的法定代表人或者负责人有夫妻、直系血亲、三代以内旁系血亲或者近姻亲关系；</w:t>
      </w:r>
    </w:p>
    <w:p w14:paraId="0087631D">
      <w:pPr>
        <w:pStyle w:val="140"/>
        <w:spacing w:before="0"/>
        <w:ind w:firstLine="480" w:firstLineChars="0"/>
        <w:rPr>
          <w:rFonts w:ascii="仿宋" w:hAnsi="仿宋" w:eastAsia="仿宋" w:cs="仿宋"/>
          <w:color w:val="auto"/>
          <w:kern w:val="0"/>
          <w:highlight w:val="none"/>
        </w:rPr>
      </w:pPr>
      <w:r>
        <w:rPr>
          <w:rFonts w:hint="eastAsia" w:ascii="仿宋" w:hAnsi="仿宋" w:eastAsia="仿宋" w:cs="仿宋"/>
          <w:color w:val="auto"/>
          <w:kern w:val="0"/>
          <w:highlight w:val="none"/>
        </w:rPr>
        <w:t>1.5.5与供应商有其他可能影响政府采购活动公平、公正进行的关系。</w:t>
      </w:r>
    </w:p>
    <w:p w14:paraId="3FEC72CA">
      <w:pPr>
        <w:snapToGrid w:val="0"/>
        <w:spacing w:line="360" w:lineRule="auto"/>
        <w:ind w:firstLine="482" w:firstLineChars="200"/>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1.4、磋商小组的职责</w:t>
      </w:r>
    </w:p>
    <w:p w14:paraId="79BC659C">
      <w:pPr>
        <w:pStyle w:val="140"/>
        <w:spacing w:before="0"/>
        <w:ind w:firstLine="482"/>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1.4.1磋商小组负责具体评审事务，并独立履行下列职责：</w:t>
      </w:r>
    </w:p>
    <w:p w14:paraId="6CEB7537">
      <w:pPr>
        <w:pStyle w:val="140"/>
        <w:spacing w:before="0"/>
        <w:ind w:firstLine="480"/>
        <w:rPr>
          <w:rFonts w:ascii="仿宋" w:hAnsi="仿宋" w:eastAsia="仿宋" w:cs="仿宋"/>
          <w:color w:val="auto"/>
          <w:highlight w:val="none"/>
        </w:rPr>
      </w:pPr>
      <w:r>
        <w:rPr>
          <w:rFonts w:hint="eastAsia" w:ascii="仿宋" w:hAnsi="仿宋" w:eastAsia="仿宋" w:cs="仿宋"/>
          <w:color w:val="auto"/>
          <w:highlight w:val="none"/>
        </w:rPr>
        <w:t>1.4.1.1对响应文件的有效性、完整性和响应程度进行审查；</w:t>
      </w:r>
    </w:p>
    <w:p w14:paraId="22CF7F41">
      <w:pPr>
        <w:pStyle w:val="140"/>
        <w:spacing w:before="0"/>
        <w:ind w:firstLine="480"/>
        <w:rPr>
          <w:rFonts w:ascii="仿宋" w:hAnsi="仿宋" w:eastAsia="仿宋" w:cs="仿宋"/>
          <w:color w:val="auto"/>
          <w:highlight w:val="none"/>
        </w:rPr>
      </w:pPr>
      <w:r>
        <w:rPr>
          <w:rFonts w:hint="eastAsia" w:ascii="仿宋" w:hAnsi="仿宋" w:eastAsia="仿宋" w:cs="仿宋"/>
          <w:color w:val="auto"/>
          <w:highlight w:val="none"/>
        </w:rPr>
        <w:t>1.4.1.2审查、评价响应文件是否符合磋商文件的商务、技术等实质性要求；</w:t>
      </w:r>
    </w:p>
    <w:p w14:paraId="6A73B230">
      <w:pPr>
        <w:pStyle w:val="140"/>
        <w:spacing w:before="0"/>
        <w:ind w:firstLine="480"/>
        <w:rPr>
          <w:rFonts w:ascii="仿宋" w:hAnsi="仿宋" w:eastAsia="仿宋" w:cs="仿宋"/>
          <w:color w:val="auto"/>
          <w:highlight w:val="none"/>
        </w:rPr>
      </w:pPr>
      <w:r>
        <w:rPr>
          <w:rFonts w:hint="eastAsia" w:ascii="仿宋" w:hAnsi="仿宋" w:eastAsia="仿宋" w:cs="仿宋"/>
          <w:color w:val="auto"/>
          <w:highlight w:val="none"/>
        </w:rPr>
        <w:t>1.4.1.3要求供应商对响应文件有关事项作出澄清、说明或者更正；</w:t>
      </w:r>
    </w:p>
    <w:p w14:paraId="23CEDAFA">
      <w:pPr>
        <w:pStyle w:val="140"/>
        <w:spacing w:before="0"/>
        <w:ind w:firstLine="480"/>
        <w:rPr>
          <w:rFonts w:ascii="仿宋" w:hAnsi="仿宋" w:eastAsia="仿宋" w:cs="仿宋"/>
          <w:color w:val="auto"/>
          <w:highlight w:val="none"/>
        </w:rPr>
      </w:pPr>
      <w:r>
        <w:rPr>
          <w:rFonts w:hint="eastAsia" w:ascii="仿宋" w:hAnsi="仿宋" w:eastAsia="仿宋" w:cs="仿宋"/>
          <w:color w:val="auto"/>
          <w:highlight w:val="none"/>
        </w:rPr>
        <w:t>1.4.1.4磋商小组集中与单一供应商分别进行磋商；</w:t>
      </w:r>
    </w:p>
    <w:p w14:paraId="77FEF867">
      <w:pPr>
        <w:pStyle w:val="140"/>
        <w:spacing w:before="0"/>
        <w:ind w:firstLine="480"/>
        <w:rPr>
          <w:rFonts w:ascii="仿宋" w:hAnsi="仿宋" w:eastAsia="仿宋" w:cs="仿宋"/>
          <w:color w:val="auto"/>
          <w:highlight w:val="none"/>
        </w:rPr>
      </w:pPr>
      <w:r>
        <w:rPr>
          <w:rFonts w:hint="eastAsia" w:ascii="仿宋" w:hAnsi="仿宋" w:eastAsia="仿宋" w:cs="仿宋"/>
          <w:color w:val="auto"/>
          <w:highlight w:val="none"/>
        </w:rPr>
        <w:t>1.4.1.5确定磋商文件的变动情况，并确定提交最后报价的供应商；</w:t>
      </w:r>
    </w:p>
    <w:p w14:paraId="231C45C8">
      <w:pPr>
        <w:pStyle w:val="140"/>
        <w:spacing w:before="0"/>
        <w:ind w:firstLine="480"/>
        <w:rPr>
          <w:rFonts w:ascii="仿宋" w:hAnsi="仿宋" w:eastAsia="仿宋" w:cs="仿宋"/>
          <w:color w:val="auto"/>
          <w:highlight w:val="none"/>
        </w:rPr>
      </w:pPr>
      <w:r>
        <w:rPr>
          <w:rFonts w:hint="eastAsia" w:ascii="仿宋" w:hAnsi="仿宋" w:eastAsia="仿宋" w:cs="仿宋"/>
          <w:color w:val="auto"/>
          <w:highlight w:val="none"/>
        </w:rPr>
        <w:t>1.4.1.6根据磋商文件确定的评审办法及评审标准对提交最后报价的供应商的响应文件和最后报价采用综合评分法进行综合评分；</w:t>
      </w:r>
    </w:p>
    <w:p w14:paraId="45812AF3">
      <w:pPr>
        <w:pStyle w:val="140"/>
        <w:spacing w:before="0"/>
        <w:ind w:firstLine="480"/>
        <w:rPr>
          <w:rFonts w:ascii="仿宋" w:hAnsi="仿宋" w:eastAsia="仿宋" w:cs="仿宋"/>
          <w:color w:val="auto"/>
          <w:highlight w:val="none"/>
        </w:rPr>
      </w:pPr>
      <w:r>
        <w:rPr>
          <w:rFonts w:hint="eastAsia" w:ascii="仿宋" w:hAnsi="仿宋" w:eastAsia="仿宋" w:cs="仿宋"/>
          <w:color w:val="auto"/>
          <w:highlight w:val="none"/>
        </w:rPr>
        <w:t>1.4.1.7编制评审报告，确定成交候选人名单，以及根据采购人委托直接确定成交人；</w:t>
      </w:r>
    </w:p>
    <w:p w14:paraId="01E7D9D5">
      <w:pPr>
        <w:pStyle w:val="140"/>
        <w:spacing w:before="0"/>
        <w:ind w:firstLine="480"/>
        <w:rPr>
          <w:rFonts w:ascii="仿宋" w:hAnsi="仿宋" w:eastAsia="仿宋" w:cs="仿宋"/>
          <w:color w:val="auto"/>
          <w:highlight w:val="none"/>
        </w:rPr>
      </w:pPr>
      <w:r>
        <w:rPr>
          <w:rFonts w:hint="eastAsia" w:ascii="仿宋" w:hAnsi="仿宋" w:eastAsia="仿宋" w:cs="仿宋"/>
          <w:color w:val="auto"/>
          <w:highlight w:val="none"/>
        </w:rPr>
        <w:t>1.4.1.8向采购人、采购代理机构或者有关部门报告评审中发现的违法行为；</w:t>
      </w:r>
    </w:p>
    <w:p w14:paraId="763D9150">
      <w:pPr>
        <w:pStyle w:val="140"/>
        <w:spacing w:before="0"/>
        <w:ind w:firstLine="480"/>
        <w:rPr>
          <w:rFonts w:ascii="仿宋" w:hAnsi="仿宋" w:eastAsia="仿宋" w:cs="仿宋"/>
          <w:color w:val="auto"/>
          <w:highlight w:val="none"/>
        </w:rPr>
      </w:pPr>
      <w:r>
        <w:rPr>
          <w:rFonts w:hint="eastAsia" w:ascii="仿宋" w:hAnsi="仿宋" w:eastAsia="仿宋" w:cs="仿宋"/>
          <w:color w:val="auto"/>
          <w:highlight w:val="none"/>
        </w:rPr>
        <w:t>1.4.1.9法律、法规、规章、磋商文件等规定的其它事项。</w:t>
      </w:r>
    </w:p>
    <w:p w14:paraId="2C72212D">
      <w:pPr>
        <w:pStyle w:val="140"/>
        <w:spacing w:before="0"/>
        <w:ind w:firstLine="482"/>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1.4.2.磋商小组及其成员不得有下列行为：</w:t>
      </w:r>
    </w:p>
    <w:p w14:paraId="277A4E59">
      <w:pPr>
        <w:pStyle w:val="140"/>
        <w:spacing w:before="0"/>
        <w:ind w:firstLine="480"/>
        <w:rPr>
          <w:rFonts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2.1确定参与本项目至评审结束前私自接触供应商；</w:t>
      </w:r>
    </w:p>
    <w:p w14:paraId="74F5DF44">
      <w:pPr>
        <w:pStyle w:val="140"/>
        <w:spacing w:before="0"/>
        <w:ind w:firstLine="480"/>
        <w:rPr>
          <w:rFonts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 xml:space="preserve">2.2接受供应商提出的“超出响应文件的范围或者改变响应文件的实质性内容”的澄清、说明或者更正； </w:t>
      </w:r>
    </w:p>
    <w:p w14:paraId="076AE23C">
      <w:pPr>
        <w:pStyle w:val="140"/>
        <w:spacing w:before="0"/>
        <w:ind w:firstLine="480"/>
        <w:rPr>
          <w:rFonts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2.3违反评审纪律发表倾向性意见或者征询采购人的倾向性意见；</w:t>
      </w:r>
    </w:p>
    <w:p w14:paraId="45FB04A7">
      <w:pPr>
        <w:pStyle w:val="140"/>
        <w:spacing w:before="0"/>
        <w:ind w:firstLine="480"/>
        <w:rPr>
          <w:rFonts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2.4对需要专业判断的主观评审因素协商评分；</w:t>
      </w:r>
    </w:p>
    <w:p w14:paraId="2E9D847B">
      <w:pPr>
        <w:pStyle w:val="140"/>
        <w:spacing w:before="0"/>
        <w:ind w:firstLine="480"/>
        <w:rPr>
          <w:rFonts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2.5在评审过程中擅离职守，影响评审程序正常进行的；</w:t>
      </w:r>
    </w:p>
    <w:p w14:paraId="714F029E">
      <w:pPr>
        <w:pStyle w:val="140"/>
        <w:spacing w:before="0"/>
        <w:ind w:firstLine="480"/>
        <w:rPr>
          <w:rFonts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2.6记录、复制或者带走任何评审资料；</w:t>
      </w:r>
    </w:p>
    <w:p w14:paraId="1D4A194D">
      <w:pPr>
        <w:pStyle w:val="140"/>
        <w:spacing w:before="0"/>
        <w:ind w:firstLine="480"/>
        <w:rPr>
          <w:rFonts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2.7其他不遵守评审纪律的行为。</w:t>
      </w:r>
    </w:p>
    <w:p w14:paraId="0DA04A2A">
      <w:pPr>
        <w:pStyle w:val="140"/>
        <w:spacing w:before="0"/>
        <w:ind w:firstLine="480"/>
        <w:rPr>
          <w:rFonts w:ascii="仿宋" w:hAnsi="仿宋" w:eastAsia="仿宋" w:cs="仿宋"/>
          <w:color w:val="auto"/>
          <w:highlight w:val="none"/>
        </w:rPr>
      </w:pPr>
      <w:r>
        <w:rPr>
          <w:rFonts w:hint="eastAsia" w:ascii="仿宋" w:hAnsi="仿宋" w:eastAsia="仿宋" w:cs="仿宋"/>
          <w:color w:val="auto"/>
          <w:highlight w:val="none"/>
        </w:rPr>
        <w:t>磋商小组成员有</w:t>
      </w: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2.1-</w:t>
      </w: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2.5行为之一的，其评审意见无效，并不得获取评审劳务报酬和报销异地评审差旅费。</w:t>
      </w:r>
    </w:p>
    <w:p w14:paraId="4D3786F4">
      <w:pPr>
        <w:rPr>
          <w:rFonts w:ascii="仿宋" w:hAnsi="仿宋" w:eastAsia="仿宋" w:cs="仿宋"/>
          <w:color w:val="auto"/>
          <w:highlight w:val="none"/>
        </w:rPr>
      </w:pPr>
    </w:p>
    <w:p w14:paraId="5818E3A2">
      <w:pPr>
        <w:pStyle w:val="60"/>
        <w:widowControl w:val="0"/>
        <w:numPr>
          <w:ilvl w:val="0"/>
          <w:numId w:val="7"/>
        </w:numPr>
        <w:overflowPunct/>
        <w:autoSpaceDE/>
        <w:autoSpaceDN/>
        <w:adjustRightInd/>
        <w:spacing w:before="240" w:beforeLines="100" w:after="240" w:afterLines="100"/>
        <w:jc w:val="left"/>
        <w:textAlignment w:val="auto"/>
        <w:outlineLvl w:val="1"/>
        <w:rPr>
          <w:rFonts w:ascii="仿宋" w:hAnsi="仿宋" w:eastAsia="仿宋" w:cs="仿宋"/>
          <w:bCs/>
          <w:color w:val="auto"/>
          <w:kern w:val="2"/>
          <w:sz w:val="30"/>
          <w:szCs w:val="30"/>
          <w:highlight w:val="none"/>
          <w:lang w:val="en-US"/>
        </w:rPr>
      </w:pPr>
      <w:bookmarkStart w:id="950" w:name="_Toc139797644"/>
      <w:bookmarkStart w:id="951" w:name="_Toc9591"/>
      <w:bookmarkStart w:id="952" w:name="_Toc20778"/>
      <w:r>
        <w:rPr>
          <w:rFonts w:hint="eastAsia" w:ascii="仿宋" w:hAnsi="仿宋" w:eastAsia="仿宋" w:cs="仿宋"/>
          <w:bCs/>
          <w:color w:val="auto"/>
          <w:kern w:val="2"/>
          <w:sz w:val="30"/>
          <w:szCs w:val="30"/>
          <w:highlight w:val="none"/>
          <w:lang w:val="en-US"/>
        </w:rPr>
        <w:t>评审标准</w:t>
      </w:r>
      <w:bookmarkEnd w:id="950"/>
      <w:bookmarkEnd w:id="951"/>
      <w:bookmarkEnd w:id="952"/>
    </w:p>
    <w:p w14:paraId="772E7E85">
      <w:pPr>
        <w:pStyle w:val="37"/>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  本次评审采用综合评分法，总分100分。</w:t>
      </w:r>
    </w:p>
    <w:p w14:paraId="7A7649B2">
      <w:pPr>
        <w:pStyle w:val="37"/>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  资信商务及技术分的权重为</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%，评审分值为</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14:paraId="45AE2D4D">
      <w:pPr>
        <w:pStyle w:val="37"/>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  报价分的权重为1</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%，评审分值为</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分，由磋商小组按各供应商报价统一计算。</w:t>
      </w:r>
    </w:p>
    <w:p w14:paraId="1F3BD1AF">
      <w:pPr>
        <w:pStyle w:val="37"/>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  供应商总得分=资信商务及技术得分+报价得分。</w:t>
      </w:r>
    </w:p>
    <w:p w14:paraId="7C8EEFFF">
      <w:pPr>
        <w:pStyle w:val="37"/>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  评审专家在规定的分值范围内打分，评分保留两位小数。</w:t>
      </w:r>
    </w:p>
    <w:p w14:paraId="78A5B89B">
      <w:pPr>
        <w:pStyle w:val="60"/>
        <w:widowControl w:val="0"/>
        <w:numPr>
          <w:ilvl w:val="0"/>
          <w:numId w:val="7"/>
        </w:numPr>
        <w:overflowPunct/>
        <w:autoSpaceDE/>
        <w:autoSpaceDN/>
        <w:adjustRightInd/>
        <w:spacing w:before="240" w:beforeLines="100" w:after="240" w:afterLines="100"/>
        <w:jc w:val="left"/>
        <w:textAlignment w:val="auto"/>
        <w:outlineLvl w:val="1"/>
        <w:rPr>
          <w:rFonts w:ascii="仿宋" w:hAnsi="仿宋" w:eastAsia="仿宋" w:cs="仿宋"/>
          <w:bCs/>
          <w:color w:val="auto"/>
          <w:kern w:val="2"/>
          <w:sz w:val="30"/>
          <w:szCs w:val="30"/>
          <w:highlight w:val="none"/>
          <w:lang w:val="en-US"/>
        </w:rPr>
      </w:pPr>
      <w:bookmarkStart w:id="953" w:name="_Toc139797645"/>
      <w:bookmarkStart w:id="954" w:name="_Toc96338195"/>
      <w:bookmarkStart w:id="955" w:name="_Toc8622"/>
      <w:bookmarkStart w:id="956" w:name="_Toc12552"/>
      <w:r>
        <w:rPr>
          <w:rFonts w:hint="eastAsia" w:ascii="仿宋" w:hAnsi="仿宋" w:eastAsia="仿宋" w:cs="仿宋"/>
          <w:bCs/>
          <w:color w:val="auto"/>
          <w:kern w:val="2"/>
          <w:sz w:val="30"/>
          <w:szCs w:val="30"/>
          <w:highlight w:val="none"/>
          <w:lang w:val="en-US"/>
        </w:rPr>
        <w:t>评审内容及标准</w:t>
      </w:r>
      <w:bookmarkEnd w:id="953"/>
      <w:bookmarkEnd w:id="954"/>
      <w:bookmarkEnd w:id="955"/>
      <w:bookmarkEnd w:id="956"/>
    </w:p>
    <w:p w14:paraId="13EEAD98">
      <w:pPr>
        <w:pStyle w:val="37"/>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   报价分（10分）</w:t>
      </w:r>
    </w:p>
    <w:p w14:paraId="463B159B">
      <w:pPr>
        <w:pStyle w:val="37"/>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3.1.1 报价分按供应商最后报价的价格进行评分，报价得分采用低价优先法计算，即满足磋商文件要求且最后报价最低的磋商最后报价为评审基准价，其他供应商的价格分按照下列公式计算：</w:t>
      </w:r>
    </w:p>
    <w:p w14:paraId="38ECDCF6">
      <w:pPr>
        <w:pStyle w:val="37"/>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价格分=（评审基准价/</w:t>
      </w:r>
      <w:r>
        <w:rPr>
          <w:rFonts w:hint="eastAsia" w:ascii="仿宋" w:hAnsi="仿宋" w:eastAsia="仿宋" w:cs="仿宋"/>
          <w:color w:val="auto"/>
          <w:sz w:val="24"/>
          <w:highlight w:val="none"/>
        </w:rPr>
        <w:t>评审价格</w:t>
      </w:r>
      <w:r>
        <w:rPr>
          <w:rFonts w:hint="eastAsia" w:ascii="仿宋" w:hAnsi="仿宋" w:eastAsia="仿宋" w:cs="仿宋"/>
          <w:color w:val="auto"/>
          <w:sz w:val="24"/>
          <w:szCs w:val="24"/>
          <w:highlight w:val="none"/>
        </w:rPr>
        <w:t>）×报价权重×100</w:t>
      </w:r>
    </w:p>
    <w:p w14:paraId="7DFDFE58">
      <w:pPr>
        <w:pStyle w:val="37"/>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3.3.1  价格扣除：因落实政府采购政策进行价格调整的，以调整后的价格计算评审基准价和磋商最后报价。</w:t>
      </w:r>
    </w:p>
    <w:p w14:paraId="72526039">
      <w:pPr>
        <w:pStyle w:val="37"/>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调整后的磋商最后报价＝</w:t>
      </w:r>
      <w:r>
        <w:rPr>
          <w:rFonts w:hint="eastAsia" w:ascii="仿宋" w:hAnsi="仿宋" w:eastAsia="仿宋" w:cs="仿宋"/>
          <w:color w:val="auto"/>
          <w:sz w:val="24"/>
          <w:szCs w:val="24"/>
          <w:highlight w:val="none"/>
          <w:lang w:eastAsia="zh-CN"/>
        </w:rPr>
        <w:t>调整前</w:t>
      </w:r>
      <w:r>
        <w:rPr>
          <w:rFonts w:hint="eastAsia" w:ascii="仿宋" w:hAnsi="仿宋" w:eastAsia="仿宋" w:cs="仿宋"/>
          <w:color w:val="auto"/>
          <w:sz w:val="24"/>
          <w:szCs w:val="24"/>
          <w:highlight w:val="none"/>
        </w:rPr>
        <w:t>报价×（1-扣除率）</w:t>
      </w:r>
    </w:p>
    <w:p w14:paraId="0D28C875">
      <w:pPr>
        <w:pStyle w:val="37"/>
        <w:tabs>
          <w:tab w:val="left" w:pos="7288"/>
        </w:tabs>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资信商务及技术分</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分</w:t>
      </w:r>
    </w:p>
    <w:tbl>
      <w:tblPr>
        <w:tblStyle w:val="63"/>
        <w:tblW w:w="9280" w:type="dxa"/>
        <w:tblInd w:w="0" w:type="dxa"/>
        <w:tblLayout w:type="fixed"/>
        <w:tblCellMar>
          <w:top w:w="0" w:type="dxa"/>
          <w:left w:w="108" w:type="dxa"/>
          <w:bottom w:w="0" w:type="dxa"/>
          <w:right w:w="108" w:type="dxa"/>
        </w:tblCellMar>
      </w:tblPr>
      <w:tblGrid>
        <w:gridCol w:w="666"/>
        <w:gridCol w:w="990"/>
        <w:gridCol w:w="6699"/>
        <w:gridCol w:w="925"/>
      </w:tblGrid>
      <w:tr w14:paraId="19AB2674">
        <w:tblPrEx>
          <w:tblCellMar>
            <w:top w:w="0" w:type="dxa"/>
            <w:left w:w="108" w:type="dxa"/>
            <w:bottom w:w="0" w:type="dxa"/>
            <w:right w:w="108" w:type="dxa"/>
          </w:tblCellMar>
        </w:tblPrEx>
        <w:trPr>
          <w:trHeight w:val="285"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100E65A0">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名称</w:t>
            </w:r>
          </w:p>
        </w:tc>
        <w:tc>
          <w:tcPr>
            <w:tcW w:w="990" w:type="dxa"/>
            <w:tcBorders>
              <w:top w:val="single" w:color="000000" w:sz="4" w:space="0"/>
              <w:left w:val="single" w:color="000000" w:sz="4" w:space="0"/>
              <w:bottom w:val="single" w:color="000000" w:sz="4" w:space="0"/>
              <w:right w:val="single" w:color="000000" w:sz="4" w:space="0"/>
            </w:tcBorders>
            <w:vAlign w:val="center"/>
          </w:tcPr>
          <w:p w14:paraId="2F62262E">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评分 因素</w:t>
            </w:r>
          </w:p>
        </w:tc>
        <w:tc>
          <w:tcPr>
            <w:tcW w:w="6699" w:type="dxa"/>
            <w:tcBorders>
              <w:top w:val="single" w:color="000000" w:sz="4" w:space="0"/>
              <w:left w:val="single" w:color="000000" w:sz="4" w:space="0"/>
              <w:bottom w:val="single" w:color="000000" w:sz="4" w:space="0"/>
              <w:right w:val="single" w:color="000000" w:sz="4" w:space="0"/>
            </w:tcBorders>
            <w:vAlign w:val="center"/>
          </w:tcPr>
          <w:p w14:paraId="1D00932B">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评分标准</w:t>
            </w:r>
          </w:p>
        </w:tc>
        <w:tc>
          <w:tcPr>
            <w:tcW w:w="925" w:type="dxa"/>
            <w:tcBorders>
              <w:top w:val="single" w:color="000000" w:sz="4" w:space="0"/>
              <w:left w:val="single" w:color="000000" w:sz="4" w:space="0"/>
              <w:bottom w:val="single" w:color="000000" w:sz="4" w:space="0"/>
              <w:right w:val="single" w:color="000000" w:sz="4" w:space="0"/>
            </w:tcBorders>
            <w:vAlign w:val="center"/>
          </w:tcPr>
          <w:p w14:paraId="5D51092E">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分值</w:t>
            </w:r>
          </w:p>
        </w:tc>
      </w:tr>
      <w:tr w14:paraId="26B5DEEF">
        <w:tblPrEx>
          <w:tblCellMar>
            <w:top w:w="0" w:type="dxa"/>
            <w:left w:w="108" w:type="dxa"/>
            <w:bottom w:w="0" w:type="dxa"/>
            <w:right w:w="108" w:type="dxa"/>
          </w:tblCellMar>
        </w:tblPrEx>
        <w:trPr>
          <w:trHeight w:val="1425" w:hRule="atLeast"/>
        </w:trPr>
        <w:tc>
          <w:tcPr>
            <w:tcW w:w="666" w:type="dxa"/>
            <w:vMerge w:val="restart"/>
            <w:tcBorders>
              <w:left w:val="single" w:color="000000" w:sz="4" w:space="0"/>
              <w:right w:val="single" w:color="000000" w:sz="4" w:space="0"/>
            </w:tcBorders>
            <w:vAlign w:val="center"/>
          </w:tcPr>
          <w:p w14:paraId="13068D71">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资信商务部分</w:t>
            </w:r>
          </w:p>
        </w:tc>
        <w:tc>
          <w:tcPr>
            <w:tcW w:w="990" w:type="dxa"/>
            <w:tcBorders>
              <w:top w:val="single" w:color="000000" w:sz="4" w:space="0"/>
              <w:left w:val="single" w:color="000000" w:sz="4" w:space="0"/>
              <w:bottom w:val="single" w:color="000000" w:sz="4" w:space="0"/>
              <w:right w:val="single" w:color="000000" w:sz="4" w:space="0"/>
            </w:tcBorders>
            <w:vAlign w:val="center"/>
          </w:tcPr>
          <w:p w14:paraId="3B72A4A2">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类似</w:t>
            </w:r>
          </w:p>
          <w:p w14:paraId="46905812">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业绩</w:t>
            </w:r>
          </w:p>
        </w:tc>
        <w:tc>
          <w:tcPr>
            <w:tcW w:w="6699" w:type="dxa"/>
            <w:tcBorders>
              <w:top w:val="single" w:color="000000" w:sz="4" w:space="0"/>
              <w:left w:val="single" w:color="000000" w:sz="4" w:space="0"/>
              <w:bottom w:val="single" w:color="000000" w:sz="4" w:space="0"/>
              <w:right w:val="single" w:color="000000" w:sz="4" w:space="0"/>
            </w:tcBorders>
            <w:vAlign w:val="center"/>
          </w:tcPr>
          <w:p w14:paraId="24CF15BF">
            <w:pPr>
              <w:keepNext w:val="0"/>
              <w:keepLines w:val="0"/>
              <w:pageBreakBefore w:val="0"/>
              <w:widowControl/>
              <w:kinsoku/>
              <w:wordWrap/>
              <w:overflowPunct/>
              <w:topLinePunct w:val="0"/>
              <w:bidi w:val="0"/>
              <w:adjustRightInd w:val="0"/>
              <w:spacing w:line="312" w:lineRule="auto"/>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供应商自202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年1月1日至</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截止时间止（以合同签订时间为准）提供</w:t>
            </w: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项目业绩的，每提供1个得0.5分，最高得1分。业绩认定由评标委员会根据合同的内容、特点以及与本项目的类似程度等进行认定</w:t>
            </w:r>
            <w:r>
              <w:rPr>
                <w:rFonts w:hint="eastAsia" w:ascii="仿宋" w:hAnsi="仿宋" w:eastAsia="仿宋" w:cs="仿宋"/>
                <w:color w:val="auto"/>
                <w:sz w:val="24"/>
                <w:szCs w:val="24"/>
                <w:highlight w:val="none"/>
                <w:lang w:eastAsia="zh-CN"/>
              </w:rPr>
              <w:t>。</w:t>
            </w:r>
          </w:p>
          <w:p w14:paraId="6080A1C8">
            <w:pPr>
              <w:keepNext w:val="0"/>
              <w:keepLines w:val="0"/>
              <w:pageBreakBefore w:val="0"/>
              <w:widowControl/>
              <w:kinsoku/>
              <w:wordWrap/>
              <w:overflowPunct/>
              <w:topLinePunct w:val="0"/>
              <w:bidi w:val="0"/>
              <w:adjustRightInd w:val="0"/>
              <w:spacing w:line="312" w:lineRule="auto"/>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注：（提供合同扫描件</w:t>
            </w:r>
            <w:r>
              <w:rPr>
                <w:rFonts w:hint="eastAsia" w:ascii="仿宋" w:hAnsi="仿宋" w:eastAsia="仿宋" w:cs="仿宋"/>
                <w:b/>
                <w:bCs/>
                <w:color w:val="auto"/>
                <w:sz w:val="24"/>
                <w:szCs w:val="24"/>
                <w:highlight w:val="none"/>
              </w:rPr>
              <w:t>并加盖供应商公章进入资信及商务文件，不提供不得分</w:t>
            </w:r>
            <w:r>
              <w:rPr>
                <w:rFonts w:hint="eastAsia" w:ascii="仿宋" w:hAnsi="仿宋" w:eastAsia="仿宋" w:cs="仿宋"/>
                <w:b/>
                <w:bCs/>
                <w:color w:val="auto"/>
                <w:kern w:val="0"/>
                <w:sz w:val="24"/>
                <w:szCs w:val="24"/>
                <w:highlight w:val="none"/>
                <w:lang w:bidi="ar"/>
              </w:rPr>
              <w:t>。</w:t>
            </w:r>
            <w:r>
              <w:rPr>
                <w:rFonts w:hint="eastAsia" w:ascii="仿宋" w:hAnsi="仿宋" w:eastAsia="仿宋" w:cs="仿宋"/>
                <w:color w:val="auto"/>
                <w:kern w:val="0"/>
                <w:sz w:val="24"/>
                <w:szCs w:val="24"/>
                <w:highlight w:val="none"/>
                <w:lang w:bidi="ar"/>
              </w:rPr>
              <w:t>）</w:t>
            </w:r>
          </w:p>
        </w:tc>
        <w:tc>
          <w:tcPr>
            <w:tcW w:w="925" w:type="dxa"/>
            <w:tcBorders>
              <w:top w:val="single" w:color="000000" w:sz="4" w:space="0"/>
              <w:left w:val="single" w:color="000000" w:sz="4" w:space="0"/>
              <w:bottom w:val="single" w:color="000000" w:sz="4" w:space="0"/>
              <w:right w:val="single" w:color="000000" w:sz="4" w:space="0"/>
            </w:tcBorders>
            <w:vAlign w:val="center"/>
          </w:tcPr>
          <w:p w14:paraId="50303D12">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1分</w:t>
            </w:r>
          </w:p>
        </w:tc>
      </w:tr>
      <w:tr w14:paraId="574EEFBE">
        <w:tblPrEx>
          <w:tblCellMar>
            <w:top w:w="0" w:type="dxa"/>
            <w:left w:w="108" w:type="dxa"/>
            <w:bottom w:w="0" w:type="dxa"/>
            <w:right w:w="108" w:type="dxa"/>
          </w:tblCellMar>
        </w:tblPrEx>
        <w:trPr>
          <w:trHeight w:val="1425" w:hRule="atLeast"/>
        </w:trPr>
        <w:tc>
          <w:tcPr>
            <w:tcW w:w="666" w:type="dxa"/>
            <w:vMerge w:val="continue"/>
            <w:tcBorders>
              <w:left w:val="single" w:color="000000" w:sz="4" w:space="0"/>
              <w:right w:val="single" w:color="000000" w:sz="4" w:space="0"/>
            </w:tcBorders>
            <w:vAlign w:val="center"/>
          </w:tcPr>
          <w:p w14:paraId="2B9076C5">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36E982EF">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认证</w:t>
            </w:r>
          </w:p>
          <w:p w14:paraId="56B7DE70">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sz w:val="24"/>
                <w:szCs w:val="24"/>
                <w:highlight w:val="none"/>
              </w:rPr>
              <w:t>证书</w:t>
            </w:r>
          </w:p>
        </w:tc>
        <w:tc>
          <w:tcPr>
            <w:tcW w:w="6699" w:type="dxa"/>
            <w:tcBorders>
              <w:top w:val="single" w:color="000000" w:sz="4" w:space="0"/>
              <w:left w:val="single" w:color="000000" w:sz="4" w:space="0"/>
              <w:bottom w:val="single" w:color="000000" w:sz="4" w:space="0"/>
              <w:right w:val="single" w:color="000000" w:sz="4" w:space="0"/>
            </w:tcBorders>
            <w:vAlign w:val="center"/>
          </w:tcPr>
          <w:p w14:paraId="45DA7AD3">
            <w:pPr>
              <w:pStyle w:val="2"/>
              <w:keepNext w:val="0"/>
              <w:keepLines w:val="0"/>
              <w:pageBreakBefore w:val="0"/>
              <w:tabs>
                <w:tab w:val="left" w:pos="208"/>
              </w:tabs>
              <w:kinsoku/>
              <w:wordWrap/>
              <w:overflowPunct/>
              <w:topLinePunct w:val="0"/>
              <w:bidi w:val="0"/>
              <w:adjustRightInd w:val="0"/>
              <w:spacing w:line="312"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供应商具有质量管理体系认证证书、环境管理体系认证证书、职业健康管理系统认证证书，每提供一个认证得1分，最多得3分。</w:t>
            </w:r>
          </w:p>
          <w:p w14:paraId="7511EBAF">
            <w:pPr>
              <w:pStyle w:val="2"/>
              <w:keepNext w:val="0"/>
              <w:keepLines w:val="0"/>
              <w:pageBreakBefore w:val="0"/>
              <w:tabs>
                <w:tab w:val="left" w:pos="208"/>
              </w:tabs>
              <w:kinsoku/>
              <w:wordWrap/>
              <w:overflowPunct/>
              <w:topLinePunct w:val="0"/>
              <w:bidi w:val="0"/>
              <w:adjustRightInd w:val="0"/>
              <w:spacing w:line="312" w:lineRule="auto"/>
              <w:ind w:firstLine="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注：须提供认证证书扫描件并附带全国认证认可信息公共服务平台（http://cx.cnca.cn/）查询截图加盖供应商公章进入响应文件，否则不得分。</w:t>
            </w:r>
          </w:p>
        </w:tc>
        <w:tc>
          <w:tcPr>
            <w:tcW w:w="925" w:type="dxa"/>
            <w:tcBorders>
              <w:top w:val="single" w:color="000000" w:sz="4" w:space="0"/>
              <w:left w:val="single" w:color="000000" w:sz="4" w:space="0"/>
              <w:bottom w:val="single" w:color="000000" w:sz="4" w:space="0"/>
              <w:right w:val="single" w:color="000000" w:sz="4" w:space="0"/>
            </w:tcBorders>
            <w:vAlign w:val="center"/>
          </w:tcPr>
          <w:p w14:paraId="301B5EF3">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分</w:t>
            </w:r>
          </w:p>
        </w:tc>
      </w:tr>
      <w:tr w14:paraId="31181219">
        <w:tblPrEx>
          <w:tblCellMar>
            <w:top w:w="0" w:type="dxa"/>
            <w:left w:w="108" w:type="dxa"/>
            <w:bottom w:w="0" w:type="dxa"/>
            <w:right w:w="108" w:type="dxa"/>
          </w:tblCellMar>
        </w:tblPrEx>
        <w:trPr>
          <w:trHeight w:val="451" w:hRule="atLeast"/>
        </w:trPr>
        <w:tc>
          <w:tcPr>
            <w:tcW w:w="666" w:type="dxa"/>
            <w:vMerge w:val="restart"/>
            <w:tcBorders>
              <w:left w:val="single" w:color="000000" w:sz="4" w:space="0"/>
              <w:right w:val="single" w:color="000000" w:sz="4" w:space="0"/>
            </w:tcBorders>
            <w:vAlign w:val="center"/>
          </w:tcPr>
          <w:p w14:paraId="44A6E2E3">
            <w:pPr>
              <w:keepNext w:val="0"/>
              <w:keepLines w:val="0"/>
              <w:pageBreakBefore w:val="0"/>
              <w:widowControl/>
              <w:kinsoku/>
              <w:wordWrap/>
              <w:overflowPunct/>
              <w:topLinePunct w:val="0"/>
              <w:bidi w:val="0"/>
              <w:adjustRightInd w:val="0"/>
              <w:spacing w:line="312" w:lineRule="auto"/>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技术部分</w:t>
            </w:r>
          </w:p>
        </w:tc>
        <w:tc>
          <w:tcPr>
            <w:tcW w:w="990" w:type="dxa"/>
            <w:tcBorders>
              <w:top w:val="single" w:color="000000" w:sz="4" w:space="0"/>
              <w:left w:val="single" w:color="000000" w:sz="4" w:space="0"/>
              <w:bottom w:val="single" w:color="000000" w:sz="4" w:space="0"/>
              <w:right w:val="single" w:color="000000" w:sz="4" w:space="0"/>
            </w:tcBorders>
            <w:vAlign w:val="center"/>
          </w:tcPr>
          <w:p w14:paraId="116D4D07">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需求理解分析</w:t>
            </w:r>
          </w:p>
        </w:tc>
        <w:tc>
          <w:tcPr>
            <w:tcW w:w="6699" w:type="dxa"/>
            <w:tcBorders>
              <w:top w:val="single" w:color="000000" w:sz="4" w:space="0"/>
              <w:left w:val="single" w:color="000000" w:sz="4" w:space="0"/>
              <w:bottom w:val="single" w:color="000000" w:sz="4" w:space="0"/>
              <w:right w:val="single" w:color="000000" w:sz="4" w:space="0"/>
            </w:tcBorders>
            <w:vAlign w:val="center"/>
          </w:tcPr>
          <w:p w14:paraId="65EBEB84">
            <w:pPr>
              <w:keepNext w:val="0"/>
              <w:keepLines w:val="0"/>
              <w:pageBreakBefore w:val="0"/>
              <w:kinsoku/>
              <w:wordWrap/>
              <w:overflowPunct/>
              <w:topLinePunct w:val="0"/>
              <w:bidi w:val="0"/>
              <w:adjustRightIn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需求理解分析：</w:t>
            </w:r>
          </w:p>
          <w:p w14:paraId="2C557427">
            <w:pPr>
              <w:pStyle w:val="2"/>
              <w:keepNext w:val="0"/>
              <w:keepLines w:val="0"/>
              <w:pageBreakBefore w:val="0"/>
              <w:tabs>
                <w:tab w:val="left" w:pos="208"/>
              </w:tabs>
              <w:kinsoku/>
              <w:wordWrap/>
              <w:overflowPunct/>
              <w:topLinePunct w:val="0"/>
              <w:bidi w:val="0"/>
              <w:adjustRightInd w:val="0"/>
              <w:spacing w:line="312" w:lineRule="auto"/>
              <w:ind w:firstLine="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根据供应商对本项目服务范围的了解情况和整体服务需求</w:t>
            </w:r>
            <w:r>
              <w:rPr>
                <w:rFonts w:hint="eastAsia" w:ascii="仿宋" w:hAnsi="仿宋" w:eastAsia="仿宋" w:cs="仿宋"/>
                <w:color w:val="auto"/>
                <w:sz w:val="24"/>
                <w:szCs w:val="24"/>
                <w:highlight w:val="none"/>
                <w:lang w:eastAsia="zh-CN"/>
              </w:rPr>
              <w:t>结合景宁县的实际情况，</w:t>
            </w:r>
            <w:r>
              <w:rPr>
                <w:rFonts w:hint="eastAsia" w:ascii="仿宋" w:hAnsi="仿宋" w:eastAsia="仿宋" w:cs="仿宋"/>
                <w:color w:val="auto"/>
                <w:sz w:val="24"/>
                <w:szCs w:val="24"/>
                <w:highlight w:val="none"/>
              </w:rPr>
              <w:t>理解、分析的合理性和全面性，内容完整、切实可行，思路清晰的最高得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bidi="ar"/>
              </w:rPr>
              <w:t>每有一项缺失或内容不切合本项目实际的该项不得分；每有一处内容无法满足本项目需求或有缺陷的扣0-0.5分，多处偏离的累计扣分，扣完为止。</w:t>
            </w:r>
          </w:p>
        </w:tc>
        <w:tc>
          <w:tcPr>
            <w:tcW w:w="925" w:type="dxa"/>
            <w:tcBorders>
              <w:top w:val="single" w:color="000000" w:sz="4" w:space="0"/>
              <w:left w:val="single" w:color="000000" w:sz="4" w:space="0"/>
              <w:bottom w:val="single" w:color="000000" w:sz="4" w:space="0"/>
              <w:right w:val="single" w:color="000000" w:sz="4" w:space="0"/>
            </w:tcBorders>
            <w:vAlign w:val="center"/>
          </w:tcPr>
          <w:p w14:paraId="5DD4D0A6">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5分</w:t>
            </w:r>
          </w:p>
        </w:tc>
      </w:tr>
      <w:tr w14:paraId="5A8FFEE3">
        <w:tblPrEx>
          <w:tblCellMar>
            <w:top w:w="0" w:type="dxa"/>
            <w:left w:w="108" w:type="dxa"/>
            <w:bottom w:w="0" w:type="dxa"/>
            <w:right w:w="108" w:type="dxa"/>
          </w:tblCellMar>
        </w:tblPrEx>
        <w:trPr>
          <w:trHeight w:val="750" w:hRule="atLeast"/>
        </w:trPr>
        <w:tc>
          <w:tcPr>
            <w:tcW w:w="666" w:type="dxa"/>
            <w:vMerge w:val="continue"/>
            <w:tcBorders>
              <w:left w:val="single" w:color="000000" w:sz="4" w:space="0"/>
              <w:right w:val="single" w:color="000000" w:sz="4" w:space="0"/>
            </w:tcBorders>
            <w:vAlign w:val="center"/>
          </w:tcPr>
          <w:p w14:paraId="2168ED44">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p>
        </w:tc>
        <w:tc>
          <w:tcPr>
            <w:tcW w:w="990" w:type="dxa"/>
            <w:vMerge w:val="restart"/>
            <w:tcBorders>
              <w:top w:val="single" w:color="000000" w:sz="4" w:space="0"/>
              <w:left w:val="single" w:color="000000" w:sz="4" w:space="0"/>
              <w:right w:val="single" w:color="000000" w:sz="4" w:space="0"/>
            </w:tcBorders>
            <w:vAlign w:val="center"/>
          </w:tcPr>
          <w:p w14:paraId="43F30774">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p>
          <w:p w14:paraId="519905D8">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服务  方案</w:t>
            </w:r>
          </w:p>
        </w:tc>
        <w:tc>
          <w:tcPr>
            <w:tcW w:w="6699" w:type="dxa"/>
            <w:tcBorders>
              <w:top w:val="single" w:color="000000" w:sz="4" w:space="0"/>
              <w:left w:val="single" w:color="000000" w:sz="4" w:space="0"/>
              <w:bottom w:val="single" w:color="auto" w:sz="4" w:space="0"/>
              <w:right w:val="single" w:color="000000" w:sz="4" w:space="0"/>
            </w:tcBorders>
            <w:vAlign w:val="center"/>
          </w:tcPr>
          <w:p w14:paraId="4F4A71ED">
            <w:pPr>
              <w:keepNext w:val="0"/>
              <w:keepLines w:val="0"/>
              <w:pageBreakBefore w:val="0"/>
              <w:kinsoku/>
              <w:wordWrap/>
              <w:overflowPunct/>
              <w:topLinePunct w:val="0"/>
              <w:bidi w:val="0"/>
              <w:adjustRightInd w:val="0"/>
              <w:spacing w:line="312"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总体设计</w:t>
            </w:r>
            <w:r>
              <w:rPr>
                <w:rFonts w:hint="eastAsia" w:ascii="仿宋" w:hAnsi="仿宋" w:eastAsia="仿宋" w:cs="仿宋"/>
                <w:b/>
                <w:bCs/>
                <w:color w:val="auto"/>
                <w:sz w:val="24"/>
                <w:szCs w:val="24"/>
                <w:highlight w:val="none"/>
                <w:lang w:eastAsia="zh-CN"/>
              </w:rPr>
              <w:t>：</w:t>
            </w:r>
          </w:p>
          <w:p w14:paraId="42EB5BE0">
            <w:pPr>
              <w:keepNext w:val="0"/>
              <w:keepLines w:val="0"/>
              <w:pageBreakBefore w:val="0"/>
              <w:kinsoku/>
              <w:wordWrap/>
              <w:overflowPunct/>
              <w:topLinePunct w:val="0"/>
              <w:bidi w:val="0"/>
              <w:adjustRightInd w:val="0"/>
              <w:spacing w:line="312"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根据供应商提供的项目总体服务思路及项目总体架构设计方案（包含层级架构、一体化平台逻辑架构、整体服务方案）的完整、合理、详尽、清晰、准确、可行等情况综合打分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bidi="ar"/>
              </w:rPr>
              <w:t>每有一项缺失或内容不切合本项目实际的该项不得分；每有一处内容无法满足本项目需求或有缺陷的扣0-0.5分，多处偏离的累计扣分，扣完为止。</w:t>
            </w:r>
          </w:p>
        </w:tc>
        <w:tc>
          <w:tcPr>
            <w:tcW w:w="925" w:type="dxa"/>
            <w:tcBorders>
              <w:top w:val="single" w:color="000000" w:sz="4" w:space="0"/>
              <w:left w:val="single" w:color="000000" w:sz="4" w:space="0"/>
              <w:bottom w:val="single" w:color="auto" w:sz="4" w:space="0"/>
              <w:right w:val="single" w:color="000000" w:sz="4" w:space="0"/>
            </w:tcBorders>
            <w:vAlign w:val="center"/>
          </w:tcPr>
          <w:p w14:paraId="2A52DC40">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4分</w:t>
            </w:r>
          </w:p>
        </w:tc>
      </w:tr>
      <w:tr w14:paraId="30CFE3CE">
        <w:tblPrEx>
          <w:tblCellMar>
            <w:top w:w="0" w:type="dxa"/>
            <w:left w:w="108" w:type="dxa"/>
            <w:bottom w:w="0" w:type="dxa"/>
            <w:right w:w="108" w:type="dxa"/>
          </w:tblCellMar>
        </w:tblPrEx>
        <w:trPr>
          <w:trHeight w:val="750" w:hRule="atLeast"/>
        </w:trPr>
        <w:tc>
          <w:tcPr>
            <w:tcW w:w="666" w:type="dxa"/>
            <w:vMerge w:val="continue"/>
            <w:tcBorders>
              <w:left w:val="single" w:color="000000" w:sz="4" w:space="0"/>
              <w:right w:val="single" w:color="000000" w:sz="4" w:space="0"/>
            </w:tcBorders>
            <w:vAlign w:val="center"/>
          </w:tcPr>
          <w:p w14:paraId="7059FAF7">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p>
        </w:tc>
        <w:tc>
          <w:tcPr>
            <w:tcW w:w="990" w:type="dxa"/>
            <w:vMerge w:val="continue"/>
            <w:tcBorders>
              <w:left w:val="single" w:color="000000" w:sz="4" w:space="0"/>
              <w:right w:val="single" w:color="000000" w:sz="4" w:space="0"/>
            </w:tcBorders>
            <w:vAlign w:val="center"/>
          </w:tcPr>
          <w:p w14:paraId="25E6BF8F">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p>
        </w:tc>
        <w:tc>
          <w:tcPr>
            <w:tcW w:w="6699" w:type="dxa"/>
            <w:tcBorders>
              <w:top w:val="single" w:color="000000" w:sz="4" w:space="0"/>
              <w:left w:val="single" w:color="000000" w:sz="4" w:space="0"/>
              <w:bottom w:val="single" w:color="auto" w:sz="4" w:space="0"/>
              <w:right w:val="single" w:color="000000" w:sz="4" w:space="0"/>
            </w:tcBorders>
            <w:vAlign w:val="center"/>
          </w:tcPr>
          <w:p w14:paraId="20917ED2">
            <w:pPr>
              <w:keepNext w:val="0"/>
              <w:keepLines w:val="0"/>
              <w:pageBreakBefore w:val="0"/>
              <w:kinsoku/>
              <w:wordWrap/>
              <w:overflowPunct/>
              <w:topLinePunct w:val="0"/>
              <w:bidi w:val="0"/>
              <w:adjustRightIn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项目统筹服务方案：</w:t>
            </w:r>
          </w:p>
          <w:p w14:paraId="2949CE3B">
            <w:pPr>
              <w:keepNext w:val="0"/>
              <w:keepLines w:val="0"/>
              <w:pageBreakBefore w:val="0"/>
              <w:kinsoku/>
              <w:wordWrap/>
              <w:overflowPunct/>
              <w:topLinePunct w:val="0"/>
              <w:bidi w:val="0"/>
              <w:adjustRightIn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val="en-US" w:eastAsia="zh-CN"/>
              </w:rPr>
              <w:t>依据相关文件要求进行项目管理实操、项目与应用建设绩效评价、项目管理使用支持的具体服务方案</w:t>
            </w:r>
            <w:r>
              <w:rPr>
                <w:rFonts w:hint="eastAsia" w:ascii="仿宋" w:hAnsi="仿宋" w:eastAsia="仿宋" w:cs="仿宋"/>
                <w:color w:val="auto"/>
                <w:sz w:val="24"/>
                <w:szCs w:val="24"/>
                <w:highlight w:val="none"/>
              </w:rPr>
              <w:t>是否是否满足采购需求，根据阐述内容完整、切实可行，思路清晰的最高得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bidi="ar"/>
              </w:rPr>
              <w:t>每有一项缺失或内容不切合本项目实际的该项不得分；每有一处内容无法满足本项目需求或有缺陷的扣0-0.5分，多处偏离的累计扣分，扣完为止。</w:t>
            </w:r>
          </w:p>
        </w:tc>
        <w:tc>
          <w:tcPr>
            <w:tcW w:w="925" w:type="dxa"/>
            <w:tcBorders>
              <w:top w:val="single" w:color="000000" w:sz="4" w:space="0"/>
              <w:left w:val="single" w:color="000000" w:sz="4" w:space="0"/>
              <w:bottom w:val="single" w:color="auto" w:sz="4" w:space="0"/>
              <w:right w:val="single" w:color="000000" w:sz="4" w:space="0"/>
            </w:tcBorders>
            <w:vAlign w:val="center"/>
          </w:tcPr>
          <w:p w14:paraId="54938425">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6</w:t>
            </w:r>
            <w:r>
              <w:rPr>
                <w:rFonts w:hint="eastAsia" w:ascii="仿宋" w:hAnsi="仿宋" w:eastAsia="仿宋" w:cs="仿宋"/>
                <w:color w:val="auto"/>
                <w:kern w:val="0"/>
                <w:sz w:val="24"/>
                <w:szCs w:val="24"/>
                <w:highlight w:val="none"/>
                <w:lang w:bidi="ar"/>
              </w:rPr>
              <w:t>分</w:t>
            </w:r>
          </w:p>
        </w:tc>
      </w:tr>
      <w:tr w14:paraId="7F8F20D8">
        <w:tblPrEx>
          <w:tblCellMar>
            <w:top w:w="0" w:type="dxa"/>
            <w:left w:w="108" w:type="dxa"/>
            <w:bottom w:w="0" w:type="dxa"/>
            <w:right w:w="108" w:type="dxa"/>
          </w:tblCellMar>
        </w:tblPrEx>
        <w:trPr>
          <w:trHeight w:val="1219" w:hRule="atLeast"/>
        </w:trPr>
        <w:tc>
          <w:tcPr>
            <w:tcW w:w="666" w:type="dxa"/>
            <w:vMerge w:val="continue"/>
            <w:tcBorders>
              <w:left w:val="single" w:color="000000" w:sz="4" w:space="0"/>
              <w:right w:val="single" w:color="000000" w:sz="4" w:space="0"/>
            </w:tcBorders>
            <w:vAlign w:val="center"/>
          </w:tcPr>
          <w:p w14:paraId="534415CF">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p>
        </w:tc>
        <w:tc>
          <w:tcPr>
            <w:tcW w:w="990" w:type="dxa"/>
            <w:vMerge w:val="continue"/>
            <w:tcBorders>
              <w:left w:val="single" w:color="000000" w:sz="4" w:space="0"/>
              <w:right w:val="single" w:color="000000" w:sz="4" w:space="0"/>
            </w:tcBorders>
            <w:vAlign w:val="center"/>
          </w:tcPr>
          <w:p w14:paraId="5DA49261">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p>
        </w:tc>
        <w:tc>
          <w:tcPr>
            <w:tcW w:w="6699" w:type="dxa"/>
            <w:tcBorders>
              <w:top w:val="single" w:color="000000" w:sz="4" w:space="0"/>
              <w:left w:val="single" w:color="000000" w:sz="4" w:space="0"/>
              <w:bottom w:val="single" w:color="auto" w:sz="4" w:space="0"/>
              <w:right w:val="single" w:color="000000" w:sz="4" w:space="0"/>
            </w:tcBorders>
            <w:vAlign w:val="center"/>
          </w:tcPr>
          <w:p w14:paraId="0495FAB6">
            <w:pPr>
              <w:keepNext w:val="0"/>
              <w:keepLines w:val="0"/>
              <w:pageBreakBefore w:val="0"/>
              <w:kinsoku/>
              <w:wordWrap/>
              <w:overflowPunct/>
              <w:topLinePunct w:val="0"/>
              <w:bidi w:val="0"/>
              <w:adjustRightInd w:val="0"/>
              <w:spacing w:line="312"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IRS运营服务方案</w:t>
            </w:r>
            <w:r>
              <w:rPr>
                <w:rFonts w:hint="eastAsia" w:ascii="仿宋" w:hAnsi="仿宋" w:eastAsia="仿宋" w:cs="仿宋"/>
                <w:color w:val="auto"/>
                <w:sz w:val="24"/>
                <w:szCs w:val="24"/>
                <w:highlight w:val="none"/>
              </w:rPr>
              <w:t>：</w:t>
            </w:r>
          </w:p>
          <w:p w14:paraId="5F372575">
            <w:pPr>
              <w:keepNext w:val="0"/>
              <w:keepLines w:val="0"/>
              <w:pageBreakBefore w:val="0"/>
              <w:kinsoku/>
              <w:wordWrap/>
              <w:overflowPunct/>
              <w:topLinePunct w:val="0"/>
              <w:bidi w:val="0"/>
              <w:adjustRightIn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根据供应商所提供的IRS培训和指导、重要指标监测分析、云资源管理服务方案是否是否满足采购需求，根据阐述内容完整、切实可行，思路清晰的最高得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bidi="ar"/>
              </w:rPr>
              <w:t>每有一项缺失或内容不切合本项目实际的该项不得分；每有一处内容无法满足本项目需求或有缺陷的扣0-0.5分，多处偏离的累计扣分，扣完为止。</w:t>
            </w:r>
          </w:p>
        </w:tc>
        <w:tc>
          <w:tcPr>
            <w:tcW w:w="925" w:type="dxa"/>
            <w:tcBorders>
              <w:top w:val="single" w:color="000000" w:sz="4" w:space="0"/>
              <w:left w:val="single" w:color="000000" w:sz="4" w:space="0"/>
              <w:bottom w:val="single" w:color="auto" w:sz="4" w:space="0"/>
              <w:right w:val="single" w:color="000000" w:sz="4" w:space="0"/>
            </w:tcBorders>
            <w:vAlign w:val="center"/>
          </w:tcPr>
          <w:p w14:paraId="60DE6993">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分</w:t>
            </w:r>
          </w:p>
        </w:tc>
      </w:tr>
      <w:tr w14:paraId="398DF77A">
        <w:tblPrEx>
          <w:tblCellMar>
            <w:top w:w="0" w:type="dxa"/>
            <w:left w:w="108" w:type="dxa"/>
            <w:bottom w:w="0" w:type="dxa"/>
            <w:right w:w="108" w:type="dxa"/>
          </w:tblCellMar>
        </w:tblPrEx>
        <w:trPr>
          <w:trHeight w:val="1219" w:hRule="atLeast"/>
        </w:trPr>
        <w:tc>
          <w:tcPr>
            <w:tcW w:w="666" w:type="dxa"/>
            <w:vMerge w:val="continue"/>
            <w:tcBorders>
              <w:left w:val="single" w:color="000000" w:sz="4" w:space="0"/>
              <w:right w:val="single" w:color="000000" w:sz="4" w:space="0"/>
            </w:tcBorders>
            <w:vAlign w:val="center"/>
          </w:tcPr>
          <w:p w14:paraId="32E8A370">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p>
        </w:tc>
        <w:tc>
          <w:tcPr>
            <w:tcW w:w="990" w:type="dxa"/>
            <w:vMerge w:val="continue"/>
            <w:tcBorders>
              <w:left w:val="single" w:color="000000" w:sz="4" w:space="0"/>
              <w:right w:val="single" w:color="000000" w:sz="4" w:space="0"/>
            </w:tcBorders>
            <w:vAlign w:val="center"/>
          </w:tcPr>
          <w:p w14:paraId="43E767C4">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p>
        </w:tc>
        <w:tc>
          <w:tcPr>
            <w:tcW w:w="6699" w:type="dxa"/>
            <w:tcBorders>
              <w:top w:val="single" w:color="000000" w:sz="4" w:space="0"/>
              <w:left w:val="single" w:color="000000" w:sz="4" w:space="0"/>
              <w:bottom w:val="single" w:color="auto" w:sz="4" w:space="0"/>
              <w:right w:val="single" w:color="000000" w:sz="4" w:space="0"/>
            </w:tcBorders>
            <w:vAlign w:val="center"/>
          </w:tcPr>
          <w:p w14:paraId="52DAA85A">
            <w:pPr>
              <w:keepNext w:val="0"/>
              <w:keepLines w:val="0"/>
              <w:pageBreakBefore w:val="0"/>
              <w:kinsoku/>
              <w:wordWrap/>
              <w:overflowPunct/>
              <w:topLinePunct w:val="0"/>
              <w:bidi w:val="0"/>
              <w:adjustRightInd w:val="0"/>
              <w:spacing w:line="312"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数据编目、数据归集运营服务</w:t>
            </w:r>
            <w:r>
              <w:rPr>
                <w:rFonts w:hint="eastAsia" w:ascii="仿宋" w:hAnsi="仿宋" w:eastAsia="仿宋" w:cs="仿宋"/>
                <w:b/>
                <w:bCs/>
                <w:color w:val="auto"/>
                <w:sz w:val="24"/>
                <w:szCs w:val="24"/>
                <w:highlight w:val="none"/>
                <w:lang w:eastAsia="zh-CN"/>
              </w:rPr>
              <w:t>：</w:t>
            </w:r>
          </w:p>
          <w:p w14:paraId="2CC9D90E">
            <w:pPr>
              <w:keepNext w:val="0"/>
              <w:keepLines w:val="0"/>
              <w:pageBreakBefore w:val="0"/>
              <w:kinsoku/>
              <w:wordWrap/>
              <w:overflowPunct/>
              <w:topLinePunct w:val="0"/>
              <w:bidi w:val="0"/>
              <w:adjustRightIn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根据供应商所提供的数据编目、数据归集运营服务</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，依据本项目的特点和景宁县具体实际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服务方案</w:t>
            </w:r>
            <w:r>
              <w:rPr>
                <w:rFonts w:hint="eastAsia" w:ascii="仿宋" w:hAnsi="仿宋" w:eastAsia="仿宋" w:cs="仿宋"/>
                <w:color w:val="auto"/>
                <w:sz w:val="24"/>
                <w:szCs w:val="24"/>
                <w:highlight w:val="none"/>
              </w:rPr>
              <w:t>是否是否满足采购需求，根据阐述内容完整、切实可行，思路清晰的最高得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bidi="ar"/>
              </w:rPr>
              <w:t>每有一项缺失或内容不切合本项目实际的该项不得分；每有一处内容无法满足本项目需求或有缺陷的扣0-0.5分，多处偏离的累计扣分，扣完为止。</w:t>
            </w:r>
          </w:p>
        </w:tc>
        <w:tc>
          <w:tcPr>
            <w:tcW w:w="925" w:type="dxa"/>
            <w:tcBorders>
              <w:top w:val="single" w:color="000000" w:sz="4" w:space="0"/>
              <w:left w:val="single" w:color="000000" w:sz="4" w:space="0"/>
              <w:bottom w:val="single" w:color="auto" w:sz="4" w:space="0"/>
              <w:right w:val="single" w:color="000000" w:sz="4" w:space="0"/>
            </w:tcBorders>
            <w:vAlign w:val="center"/>
          </w:tcPr>
          <w:p w14:paraId="41A88E14">
            <w:pPr>
              <w:keepNext w:val="0"/>
              <w:keepLines w:val="0"/>
              <w:pageBreakBefore w:val="0"/>
              <w:widowControl/>
              <w:kinsoku/>
              <w:wordWrap/>
              <w:overflowPunct/>
              <w:topLinePunct w:val="0"/>
              <w:bidi w:val="0"/>
              <w:adjustRightInd w:val="0"/>
              <w:spacing w:line="312" w:lineRule="auto"/>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5分</w:t>
            </w:r>
          </w:p>
        </w:tc>
      </w:tr>
      <w:tr w14:paraId="3B5FB341">
        <w:tblPrEx>
          <w:tblCellMar>
            <w:top w:w="0" w:type="dxa"/>
            <w:left w:w="108" w:type="dxa"/>
            <w:bottom w:w="0" w:type="dxa"/>
            <w:right w:w="108" w:type="dxa"/>
          </w:tblCellMar>
        </w:tblPrEx>
        <w:trPr>
          <w:trHeight w:val="1219" w:hRule="atLeast"/>
        </w:trPr>
        <w:tc>
          <w:tcPr>
            <w:tcW w:w="666" w:type="dxa"/>
            <w:vMerge w:val="continue"/>
            <w:tcBorders>
              <w:left w:val="single" w:color="000000" w:sz="4" w:space="0"/>
              <w:right w:val="single" w:color="000000" w:sz="4" w:space="0"/>
            </w:tcBorders>
            <w:vAlign w:val="center"/>
          </w:tcPr>
          <w:p w14:paraId="52695B5F">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p>
        </w:tc>
        <w:tc>
          <w:tcPr>
            <w:tcW w:w="990" w:type="dxa"/>
            <w:vMerge w:val="continue"/>
            <w:tcBorders>
              <w:left w:val="single" w:color="000000" w:sz="4" w:space="0"/>
              <w:right w:val="single" w:color="000000" w:sz="4" w:space="0"/>
            </w:tcBorders>
            <w:vAlign w:val="center"/>
          </w:tcPr>
          <w:p w14:paraId="0D0A32DE">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p>
        </w:tc>
        <w:tc>
          <w:tcPr>
            <w:tcW w:w="6699" w:type="dxa"/>
            <w:tcBorders>
              <w:top w:val="single" w:color="000000" w:sz="4" w:space="0"/>
              <w:left w:val="single" w:color="000000" w:sz="4" w:space="0"/>
              <w:bottom w:val="single" w:color="auto" w:sz="4" w:space="0"/>
              <w:right w:val="single" w:color="000000" w:sz="4" w:space="0"/>
            </w:tcBorders>
            <w:vAlign w:val="center"/>
          </w:tcPr>
          <w:p w14:paraId="2898A865">
            <w:pPr>
              <w:keepNext w:val="0"/>
              <w:keepLines w:val="0"/>
              <w:pageBreakBefore w:val="0"/>
              <w:kinsoku/>
              <w:wordWrap/>
              <w:overflowPunct/>
              <w:topLinePunct w:val="0"/>
              <w:bidi w:val="0"/>
              <w:adjustRightInd w:val="0"/>
              <w:spacing w:line="312"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数据治理运营服务</w:t>
            </w:r>
            <w:r>
              <w:rPr>
                <w:rFonts w:hint="eastAsia" w:ascii="仿宋" w:hAnsi="仿宋" w:eastAsia="仿宋" w:cs="仿宋"/>
                <w:b/>
                <w:bCs/>
                <w:color w:val="auto"/>
                <w:sz w:val="24"/>
                <w:szCs w:val="24"/>
                <w:highlight w:val="none"/>
                <w:lang w:eastAsia="zh-CN"/>
              </w:rPr>
              <w:t>：</w:t>
            </w:r>
          </w:p>
          <w:p w14:paraId="562564C5">
            <w:pPr>
              <w:pStyle w:val="2"/>
              <w:keepNext w:val="0"/>
              <w:keepLines w:val="0"/>
              <w:pageBreakBefore w:val="0"/>
              <w:kinsoku/>
              <w:wordWrap/>
              <w:overflowPunct/>
              <w:topLinePunct w:val="0"/>
              <w:bidi w:val="0"/>
              <w:adjustRightInd w:val="0"/>
              <w:spacing w:line="312" w:lineRule="auto"/>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根据供应商所提供的数据治理运营服务方案，依据本项目的特点和景宁县具体实际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服务方案</w:t>
            </w:r>
            <w:r>
              <w:rPr>
                <w:rFonts w:hint="eastAsia" w:ascii="仿宋" w:hAnsi="仿宋" w:eastAsia="仿宋" w:cs="仿宋"/>
                <w:color w:val="auto"/>
                <w:sz w:val="24"/>
                <w:szCs w:val="24"/>
                <w:highlight w:val="none"/>
              </w:rPr>
              <w:t>是否是否满足采购需求，根据阐述内容完整、切实可行，思路清晰的最高得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bidi="ar"/>
              </w:rPr>
              <w:t>每有一项缺失或内容不切合本项目实际的该项不得分；每有一处内容无法满足本项目需求或有缺陷的扣0-0.5分，多处偏离的累计扣分，扣完为止。</w:t>
            </w:r>
          </w:p>
        </w:tc>
        <w:tc>
          <w:tcPr>
            <w:tcW w:w="925" w:type="dxa"/>
            <w:tcBorders>
              <w:top w:val="single" w:color="000000" w:sz="4" w:space="0"/>
              <w:left w:val="single" w:color="000000" w:sz="4" w:space="0"/>
              <w:bottom w:val="single" w:color="auto" w:sz="4" w:space="0"/>
              <w:right w:val="single" w:color="000000" w:sz="4" w:space="0"/>
            </w:tcBorders>
            <w:vAlign w:val="center"/>
          </w:tcPr>
          <w:p w14:paraId="61BE2FD8">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5分</w:t>
            </w:r>
          </w:p>
        </w:tc>
      </w:tr>
      <w:tr w14:paraId="09096495">
        <w:tblPrEx>
          <w:tblCellMar>
            <w:top w:w="0" w:type="dxa"/>
            <w:left w:w="108" w:type="dxa"/>
            <w:bottom w:w="0" w:type="dxa"/>
            <w:right w:w="108" w:type="dxa"/>
          </w:tblCellMar>
        </w:tblPrEx>
        <w:trPr>
          <w:trHeight w:val="1023" w:hRule="atLeast"/>
        </w:trPr>
        <w:tc>
          <w:tcPr>
            <w:tcW w:w="666" w:type="dxa"/>
            <w:vMerge w:val="continue"/>
            <w:tcBorders>
              <w:left w:val="single" w:color="000000" w:sz="4" w:space="0"/>
              <w:right w:val="single" w:color="000000" w:sz="4" w:space="0"/>
            </w:tcBorders>
            <w:vAlign w:val="center"/>
          </w:tcPr>
          <w:p w14:paraId="211A8ACF">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p>
        </w:tc>
        <w:tc>
          <w:tcPr>
            <w:tcW w:w="990" w:type="dxa"/>
            <w:vMerge w:val="continue"/>
            <w:tcBorders>
              <w:left w:val="single" w:color="000000" w:sz="4" w:space="0"/>
              <w:right w:val="single" w:color="000000" w:sz="4" w:space="0"/>
            </w:tcBorders>
            <w:vAlign w:val="center"/>
          </w:tcPr>
          <w:p w14:paraId="5D7975A3">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p>
        </w:tc>
        <w:tc>
          <w:tcPr>
            <w:tcW w:w="6699" w:type="dxa"/>
            <w:tcBorders>
              <w:top w:val="single" w:color="000000" w:sz="4" w:space="0"/>
              <w:left w:val="single" w:color="000000" w:sz="4" w:space="0"/>
              <w:bottom w:val="single" w:color="auto" w:sz="4" w:space="0"/>
              <w:right w:val="single" w:color="000000" w:sz="4" w:space="0"/>
            </w:tcBorders>
            <w:vAlign w:val="center"/>
          </w:tcPr>
          <w:p w14:paraId="36EB29D7">
            <w:pPr>
              <w:keepNext w:val="0"/>
              <w:keepLines w:val="0"/>
              <w:pageBreakBefore w:val="0"/>
              <w:kinsoku/>
              <w:wordWrap/>
              <w:overflowPunct/>
              <w:topLinePunct w:val="0"/>
              <w:bidi w:val="0"/>
              <w:adjustRightInd w:val="0"/>
              <w:spacing w:line="312"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数据共享服务</w:t>
            </w:r>
            <w:r>
              <w:rPr>
                <w:rFonts w:hint="eastAsia" w:ascii="仿宋" w:hAnsi="仿宋" w:eastAsia="仿宋" w:cs="仿宋"/>
                <w:b/>
                <w:bCs/>
                <w:color w:val="auto"/>
                <w:sz w:val="24"/>
                <w:szCs w:val="24"/>
                <w:highlight w:val="none"/>
                <w:lang w:eastAsia="zh-CN"/>
              </w:rPr>
              <w:t>：</w:t>
            </w:r>
          </w:p>
          <w:p w14:paraId="063DC5FC">
            <w:pPr>
              <w:pStyle w:val="2"/>
              <w:keepNext w:val="0"/>
              <w:keepLines w:val="0"/>
              <w:pageBreakBefore w:val="0"/>
              <w:kinsoku/>
              <w:wordWrap/>
              <w:overflowPunct/>
              <w:topLinePunct w:val="0"/>
              <w:bidi w:val="0"/>
              <w:adjustRightInd w:val="0"/>
              <w:spacing w:line="312" w:lineRule="auto"/>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根据供应商所提供的数据共享服务方案，依据本项目的特点和景宁县具体实际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服务方案</w:t>
            </w:r>
            <w:r>
              <w:rPr>
                <w:rFonts w:hint="eastAsia" w:ascii="仿宋" w:hAnsi="仿宋" w:eastAsia="仿宋" w:cs="仿宋"/>
                <w:color w:val="auto"/>
                <w:sz w:val="24"/>
                <w:szCs w:val="24"/>
                <w:highlight w:val="none"/>
              </w:rPr>
              <w:t>是否是否满足采购需求，根据阐述内容完整、切实可行，思路清晰的最高得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bidi="ar"/>
              </w:rPr>
              <w:t>每有一项缺失或内容不切合本项目实际的该项不得分；每有一处内容无法满足本项目需求或有缺陷的扣0-0.5分，多处偏离的累计扣分，扣完为止。</w:t>
            </w:r>
          </w:p>
        </w:tc>
        <w:tc>
          <w:tcPr>
            <w:tcW w:w="925" w:type="dxa"/>
            <w:tcBorders>
              <w:top w:val="single" w:color="000000" w:sz="4" w:space="0"/>
              <w:left w:val="single" w:color="000000" w:sz="4" w:space="0"/>
              <w:bottom w:val="single" w:color="auto" w:sz="4" w:space="0"/>
              <w:right w:val="single" w:color="000000" w:sz="4" w:space="0"/>
            </w:tcBorders>
            <w:vAlign w:val="center"/>
          </w:tcPr>
          <w:p w14:paraId="576C1C68">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5分</w:t>
            </w:r>
          </w:p>
        </w:tc>
      </w:tr>
      <w:tr w14:paraId="211234EF">
        <w:tblPrEx>
          <w:tblCellMar>
            <w:top w:w="0" w:type="dxa"/>
            <w:left w:w="108" w:type="dxa"/>
            <w:bottom w:w="0" w:type="dxa"/>
            <w:right w:w="108" w:type="dxa"/>
          </w:tblCellMar>
        </w:tblPrEx>
        <w:trPr>
          <w:trHeight w:val="1219" w:hRule="atLeast"/>
        </w:trPr>
        <w:tc>
          <w:tcPr>
            <w:tcW w:w="666" w:type="dxa"/>
            <w:vMerge w:val="continue"/>
            <w:tcBorders>
              <w:left w:val="single" w:color="000000" w:sz="4" w:space="0"/>
              <w:right w:val="single" w:color="000000" w:sz="4" w:space="0"/>
            </w:tcBorders>
            <w:vAlign w:val="center"/>
          </w:tcPr>
          <w:p w14:paraId="76FBB23B">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p>
        </w:tc>
        <w:tc>
          <w:tcPr>
            <w:tcW w:w="990" w:type="dxa"/>
            <w:vMerge w:val="continue"/>
            <w:tcBorders>
              <w:left w:val="single" w:color="000000" w:sz="4" w:space="0"/>
              <w:right w:val="single" w:color="000000" w:sz="4" w:space="0"/>
            </w:tcBorders>
            <w:vAlign w:val="center"/>
          </w:tcPr>
          <w:p w14:paraId="58B59F1A">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p>
        </w:tc>
        <w:tc>
          <w:tcPr>
            <w:tcW w:w="6699" w:type="dxa"/>
            <w:tcBorders>
              <w:top w:val="single" w:color="000000" w:sz="4" w:space="0"/>
              <w:left w:val="single" w:color="000000" w:sz="4" w:space="0"/>
              <w:bottom w:val="single" w:color="auto" w:sz="4" w:space="0"/>
              <w:right w:val="single" w:color="000000" w:sz="4" w:space="0"/>
            </w:tcBorders>
            <w:vAlign w:val="center"/>
          </w:tcPr>
          <w:p w14:paraId="5D48E35B">
            <w:pPr>
              <w:keepNext w:val="0"/>
              <w:keepLines w:val="0"/>
              <w:pageBreakBefore w:val="0"/>
              <w:kinsoku/>
              <w:wordWrap/>
              <w:overflowPunct/>
              <w:topLinePunct w:val="0"/>
              <w:bidi w:val="0"/>
              <w:adjustRightInd w:val="0"/>
              <w:spacing w:line="312"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数据分析服务</w:t>
            </w:r>
            <w:r>
              <w:rPr>
                <w:rFonts w:hint="eastAsia" w:ascii="仿宋" w:hAnsi="仿宋" w:eastAsia="仿宋" w:cs="仿宋"/>
                <w:b/>
                <w:bCs/>
                <w:color w:val="auto"/>
                <w:sz w:val="24"/>
                <w:szCs w:val="24"/>
                <w:highlight w:val="none"/>
                <w:lang w:eastAsia="zh-CN"/>
              </w:rPr>
              <w:t>：</w:t>
            </w:r>
          </w:p>
          <w:p w14:paraId="5FA8A281">
            <w:pPr>
              <w:pStyle w:val="2"/>
              <w:keepNext w:val="0"/>
              <w:keepLines w:val="0"/>
              <w:pageBreakBefore w:val="0"/>
              <w:kinsoku/>
              <w:wordWrap/>
              <w:overflowPunct/>
              <w:topLinePunct w:val="0"/>
              <w:bidi w:val="0"/>
              <w:adjustRightInd w:val="0"/>
              <w:spacing w:line="312" w:lineRule="auto"/>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根据供应商所提供的数据分析服务方案，依据本项目的特点和景宁县具体实际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服务方案</w:t>
            </w:r>
            <w:r>
              <w:rPr>
                <w:rFonts w:hint="eastAsia" w:ascii="仿宋" w:hAnsi="仿宋" w:eastAsia="仿宋" w:cs="仿宋"/>
                <w:color w:val="auto"/>
                <w:sz w:val="24"/>
                <w:szCs w:val="24"/>
                <w:highlight w:val="none"/>
              </w:rPr>
              <w:t>是否是否满足采购需求，根据阐述内容完整、切实可行，思路清晰的最高得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bidi="ar"/>
              </w:rPr>
              <w:t>每有一项缺失或内容不切合本项目实际的该项不得分；每有一处内容无法满足本项目需求或有缺陷的扣0-0.5分，多处偏离的累计扣分，扣完为止。</w:t>
            </w:r>
          </w:p>
        </w:tc>
        <w:tc>
          <w:tcPr>
            <w:tcW w:w="925" w:type="dxa"/>
            <w:tcBorders>
              <w:top w:val="single" w:color="000000" w:sz="4" w:space="0"/>
              <w:left w:val="single" w:color="000000" w:sz="4" w:space="0"/>
              <w:bottom w:val="single" w:color="auto" w:sz="4" w:space="0"/>
              <w:right w:val="single" w:color="000000" w:sz="4" w:space="0"/>
            </w:tcBorders>
            <w:vAlign w:val="center"/>
          </w:tcPr>
          <w:p w14:paraId="7CFC078B">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4分</w:t>
            </w:r>
          </w:p>
        </w:tc>
      </w:tr>
      <w:tr w14:paraId="404BEF09">
        <w:tblPrEx>
          <w:tblCellMar>
            <w:top w:w="0" w:type="dxa"/>
            <w:left w:w="108" w:type="dxa"/>
            <w:bottom w:w="0" w:type="dxa"/>
            <w:right w:w="108" w:type="dxa"/>
          </w:tblCellMar>
        </w:tblPrEx>
        <w:trPr>
          <w:trHeight w:val="695" w:hRule="atLeast"/>
        </w:trPr>
        <w:tc>
          <w:tcPr>
            <w:tcW w:w="666" w:type="dxa"/>
            <w:vMerge w:val="continue"/>
            <w:tcBorders>
              <w:left w:val="single" w:color="000000" w:sz="4" w:space="0"/>
              <w:right w:val="single" w:color="000000" w:sz="4" w:space="0"/>
            </w:tcBorders>
            <w:vAlign w:val="center"/>
          </w:tcPr>
          <w:p w14:paraId="39DBD2B0">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p>
        </w:tc>
        <w:tc>
          <w:tcPr>
            <w:tcW w:w="990" w:type="dxa"/>
            <w:vMerge w:val="continue"/>
            <w:tcBorders>
              <w:left w:val="single" w:color="000000" w:sz="4" w:space="0"/>
              <w:bottom w:val="single" w:color="auto" w:sz="4" w:space="0"/>
              <w:right w:val="single" w:color="000000" w:sz="4" w:space="0"/>
            </w:tcBorders>
            <w:vAlign w:val="center"/>
          </w:tcPr>
          <w:p w14:paraId="66628A71">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p>
        </w:tc>
        <w:tc>
          <w:tcPr>
            <w:tcW w:w="6699" w:type="dxa"/>
            <w:tcBorders>
              <w:top w:val="single" w:color="auto" w:sz="4" w:space="0"/>
              <w:left w:val="single" w:color="auto" w:sz="4" w:space="0"/>
              <w:bottom w:val="single" w:color="auto" w:sz="4" w:space="0"/>
              <w:right w:val="single" w:color="auto" w:sz="4" w:space="0"/>
            </w:tcBorders>
            <w:vAlign w:val="center"/>
          </w:tcPr>
          <w:p w14:paraId="4E771CFD">
            <w:pPr>
              <w:keepNext w:val="0"/>
              <w:keepLines w:val="0"/>
              <w:pageBreakBefore w:val="0"/>
              <w:kinsoku/>
              <w:wordWrap/>
              <w:overflowPunct/>
              <w:topLinePunct w:val="0"/>
              <w:bidi w:val="0"/>
              <w:adjustRightInd w:val="0"/>
              <w:spacing w:line="312"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其他相关任务服务</w:t>
            </w:r>
            <w:r>
              <w:rPr>
                <w:rFonts w:hint="eastAsia" w:ascii="仿宋" w:hAnsi="仿宋" w:eastAsia="仿宋" w:cs="仿宋"/>
                <w:b/>
                <w:bCs/>
                <w:color w:val="auto"/>
                <w:sz w:val="24"/>
                <w:szCs w:val="24"/>
                <w:highlight w:val="none"/>
                <w:lang w:eastAsia="zh-CN"/>
              </w:rPr>
              <w:t>：</w:t>
            </w:r>
          </w:p>
          <w:p w14:paraId="11A2DC52">
            <w:pPr>
              <w:pStyle w:val="2"/>
              <w:keepNext w:val="0"/>
              <w:keepLines w:val="0"/>
              <w:pageBreakBefore w:val="0"/>
              <w:kinsoku/>
              <w:wordWrap/>
              <w:overflowPunct/>
              <w:topLinePunct w:val="0"/>
              <w:bidi w:val="0"/>
              <w:adjustRightInd w:val="0"/>
              <w:spacing w:line="312" w:lineRule="auto"/>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供应商根据投标人所提供的省、市、县大数据要求的其他相关任务方案（包含数据授权运营、数据要素X场景建设、数据指标专项提升工程、重点任务涉及的相关数据工作）进行综合评议，根据阐述内容完整、切实可行，思路清晰的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bidi="ar"/>
              </w:rPr>
              <w:t>每有一项缺失或内容不切合本项目实际的该项不得分；每有一处内容无法满足本项目需求或有缺陷的扣0-0.5分，多处偏离的累计扣分，扣完为止。</w:t>
            </w:r>
          </w:p>
        </w:tc>
        <w:tc>
          <w:tcPr>
            <w:tcW w:w="925" w:type="dxa"/>
            <w:tcBorders>
              <w:top w:val="single" w:color="auto" w:sz="4" w:space="0"/>
              <w:left w:val="single" w:color="auto" w:sz="4" w:space="0"/>
              <w:bottom w:val="single" w:color="auto" w:sz="4" w:space="0"/>
              <w:right w:val="single" w:color="auto" w:sz="4" w:space="0"/>
            </w:tcBorders>
            <w:vAlign w:val="center"/>
          </w:tcPr>
          <w:p w14:paraId="6BE81B95">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14:paraId="235C421B">
        <w:tblPrEx>
          <w:tblCellMar>
            <w:top w:w="0" w:type="dxa"/>
            <w:left w:w="108" w:type="dxa"/>
            <w:bottom w:w="0" w:type="dxa"/>
            <w:right w:w="108" w:type="dxa"/>
          </w:tblCellMar>
        </w:tblPrEx>
        <w:trPr>
          <w:trHeight w:val="610" w:hRule="atLeast"/>
        </w:trPr>
        <w:tc>
          <w:tcPr>
            <w:tcW w:w="666" w:type="dxa"/>
            <w:vMerge w:val="continue"/>
            <w:tcBorders>
              <w:left w:val="single" w:color="000000" w:sz="4" w:space="0"/>
              <w:right w:val="single" w:color="000000" w:sz="4" w:space="0"/>
            </w:tcBorders>
            <w:vAlign w:val="center"/>
          </w:tcPr>
          <w:p w14:paraId="33613280">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p>
        </w:tc>
        <w:tc>
          <w:tcPr>
            <w:tcW w:w="990" w:type="dxa"/>
            <w:tcBorders>
              <w:top w:val="single" w:color="auto" w:sz="4" w:space="0"/>
              <w:left w:val="single" w:color="auto" w:sz="4" w:space="0"/>
              <w:bottom w:val="single" w:color="auto" w:sz="4" w:space="0"/>
              <w:right w:val="single" w:color="auto" w:sz="4" w:space="0"/>
            </w:tcBorders>
            <w:vAlign w:val="center"/>
          </w:tcPr>
          <w:p w14:paraId="01173302">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质量保证措施</w:t>
            </w:r>
          </w:p>
        </w:tc>
        <w:tc>
          <w:tcPr>
            <w:tcW w:w="6699" w:type="dxa"/>
            <w:tcBorders>
              <w:top w:val="single" w:color="auto" w:sz="4" w:space="0"/>
              <w:left w:val="single" w:color="auto" w:sz="4" w:space="0"/>
              <w:bottom w:val="single" w:color="auto" w:sz="4" w:space="0"/>
              <w:right w:val="single" w:color="auto" w:sz="4" w:space="0"/>
            </w:tcBorders>
            <w:vAlign w:val="center"/>
          </w:tcPr>
          <w:p w14:paraId="4A33BB59">
            <w:pPr>
              <w:keepNext w:val="0"/>
              <w:keepLines w:val="0"/>
              <w:pageBreakBefore w:val="0"/>
              <w:kinsoku/>
              <w:wordWrap/>
              <w:overflowPunct/>
              <w:topLinePunct w:val="0"/>
              <w:bidi w:val="0"/>
              <w:adjustRightIn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根据供应商提供的质量保证措施是否符合采购需求，质量保证措施详细全面、先进及有利于项目实施的最高得5分，</w:t>
            </w:r>
            <w:r>
              <w:rPr>
                <w:rFonts w:hint="eastAsia" w:ascii="仿宋" w:hAnsi="仿宋" w:eastAsia="仿宋" w:cs="仿宋"/>
                <w:color w:val="auto"/>
                <w:kern w:val="0"/>
                <w:sz w:val="24"/>
                <w:szCs w:val="24"/>
                <w:highlight w:val="none"/>
                <w:lang w:bidi="ar"/>
              </w:rPr>
              <w:t>每有一处内容无法满足本项目需求或有缺陷的扣0-0.5分，多处偏离的累计扣分，扣完为止。</w:t>
            </w:r>
          </w:p>
        </w:tc>
        <w:tc>
          <w:tcPr>
            <w:tcW w:w="925" w:type="dxa"/>
            <w:tcBorders>
              <w:top w:val="single" w:color="auto" w:sz="4" w:space="0"/>
              <w:left w:val="single" w:color="auto" w:sz="4" w:space="0"/>
              <w:bottom w:val="single" w:color="auto" w:sz="4" w:space="0"/>
              <w:right w:val="single" w:color="auto" w:sz="4" w:space="0"/>
            </w:tcBorders>
            <w:vAlign w:val="center"/>
          </w:tcPr>
          <w:p w14:paraId="34EF2162">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5分</w:t>
            </w:r>
          </w:p>
        </w:tc>
      </w:tr>
      <w:tr w14:paraId="3676B7E6">
        <w:tblPrEx>
          <w:tblCellMar>
            <w:top w:w="0" w:type="dxa"/>
            <w:left w:w="108" w:type="dxa"/>
            <w:bottom w:w="0" w:type="dxa"/>
            <w:right w:w="108" w:type="dxa"/>
          </w:tblCellMar>
        </w:tblPrEx>
        <w:trPr>
          <w:trHeight w:val="90" w:hRule="atLeast"/>
        </w:trPr>
        <w:tc>
          <w:tcPr>
            <w:tcW w:w="666" w:type="dxa"/>
            <w:vMerge w:val="continue"/>
            <w:tcBorders>
              <w:left w:val="single" w:color="000000" w:sz="4" w:space="0"/>
              <w:right w:val="single" w:color="000000" w:sz="4" w:space="0"/>
            </w:tcBorders>
            <w:vAlign w:val="center"/>
          </w:tcPr>
          <w:p w14:paraId="7A1BC4BB">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p>
        </w:tc>
        <w:tc>
          <w:tcPr>
            <w:tcW w:w="990" w:type="dxa"/>
            <w:tcBorders>
              <w:top w:val="single" w:color="auto" w:sz="4" w:space="0"/>
              <w:left w:val="single" w:color="auto" w:sz="4" w:space="0"/>
              <w:bottom w:val="single" w:color="auto" w:sz="4" w:space="0"/>
              <w:right w:val="single" w:color="auto" w:sz="4" w:space="0"/>
            </w:tcBorders>
            <w:vAlign w:val="center"/>
          </w:tcPr>
          <w:p w14:paraId="43FFA88A">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运维服务实施方案</w:t>
            </w:r>
          </w:p>
        </w:tc>
        <w:tc>
          <w:tcPr>
            <w:tcW w:w="6699" w:type="dxa"/>
            <w:tcBorders>
              <w:top w:val="single" w:color="auto" w:sz="4" w:space="0"/>
              <w:left w:val="single" w:color="auto" w:sz="4" w:space="0"/>
              <w:bottom w:val="single" w:color="auto" w:sz="4" w:space="0"/>
              <w:right w:val="single" w:color="auto" w:sz="4" w:space="0"/>
            </w:tcBorders>
            <w:vAlign w:val="center"/>
          </w:tcPr>
          <w:p w14:paraId="2F5CA8A3">
            <w:pPr>
              <w:keepNext w:val="0"/>
              <w:keepLines w:val="0"/>
              <w:pageBreakBefore w:val="0"/>
              <w:widowControl/>
              <w:numPr>
                <w:ilvl w:val="0"/>
                <w:numId w:val="8"/>
              </w:numPr>
              <w:kinsoku/>
              <w:wordWrap/>
              <w:overflowPunct/>
              <w:topLinePunct w:val="0"/>
              <w:bidi w:val="0"/>
              <w:adjustRightInd w:val="0"/>
              <w:spacing w:line="312" w:lineRule="auto"/>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TW"/>
              </w:rPr>
              <w:t>建立完善的服务工作机制，工作机制可行、运转合理，最高得</w:t>
            </w:r>
            <w:r>
              <w:rPr>
                <w:rFonts w:hint="eastAsia" w:ascii="仿宋" w:hAnsi="仿宋" w:eastAsia="仿宋" w:cs="仿宋"/>
                <w:bCs/>
                <w:color w:val="auto"/>
                <w:sz w:val="24"/>
                <w:szCs w:val="24"/>
                <w:highlight w:val="none"/>
              </w:rPr>
              <w:t>4分。</w:t>
            </w:r>
          </w:p>
          <w:p w14:paraId="6D4EF73A">
            <w:pPr>
              <w:keepNext w:val="0"/>
              <w:keepLines w:val="0"/>
              <w:pageBreakBefore w:val="0"/>
              <w:widowControl/>
              <w:numPr>
                <w:ilvl w:val="0"/>
                <w:numId w:val="8"/>
              </w:numPr>
              <w:kinsoku/>
              <w:wordWrap/>
              <w:overflowPunct/>
              <w:topLinePunct w:val="0"/>
              <w:bidi w:val="0"/>
              <w:adjustRightInd w:val="0"/>
              <w:spacing w:line="312" w:lineRule="auto"/>
              <w:textAlignment w:val="center"/>
              <w:rPr>
                <w:rFonts w:hint="eastAsia" w:ascii="仿宋" w:hAnsi="仿宋" w:eastAsia="仿宋" w:cs="仿宋"/>
                <w:bCs/>
                <w:color w:val="auto"/>
                <w:sz w:val="24"/>
                <w:szCs w:val="24"/>
                <w:highlight w:val="none"/>
                <w:lang w:val="zh-TW"/>
              </w:rPr>
            </w:pPr>
            <w:r>
              <w:rPr>
                <w:rFonts w:hint="eastAsia" w:ascii="仿宋" w:hAnsi="仿宋" w:eastAsia="仿宋" w:cs="仿宋"/>
                <w:bCs/>
                <w:color w:val="auto"/>
                <w:sz w:val="24"/>
                <w:szCs w:val="24"/>
                <w:highlight w:val="none"/>
                <w:lang w:val="zh-TW"/>
              </w:rPr>
              <w:t>提供安全制度、值班制度、考核制度、台帐制度、汇报制度、保障措施、服务质量等，制度和机制</w:t>
            </w:r>
            <w:r>
              <w:rPr>
                <w:rFonts w:hint="eastAsia" w:ascii="仿宋" w:hAnsi="仿宋" w:eastAsia="仿宋" w:cs="仿宋"/>
                <w:bCs/>
                <w:color w:val="auto"/>
                <w:sz w:val="24"/>
                <w:szCs w:val="24"/>
                <w:highlight w:val="none"/>
              </w:rPr>
              <w:t>方案措施</w:t>
            </w:r>
            <w:r>
              <w:rPr>
                <w:rFonts w:hint="eastAsia" w:ascii="仿宋" w:hAnsi="仿宋" w:eastAsia="仿宋" w:cs="仿宋"/>
                <w:bCs/>
                <w:color w:val="auto"/>
                <w:sz w:val="24"/>
                <w:szCs w:val="24"/>
                <w:highlight w:val="none"/>
                <w:lang w:val="zh-TW"/>
              </w:rPr>
              <w:t>可行合理、</w:t>
            </w:r>
            <w:r>
              <w:rPr>
                <w:rFonts w:hint="eastAsia" w:ascii="仿宋" w:hAnsi="仿宋" w:eastAsia="仿宋" w:cs="仿宋"/>
                <w:bCs/>
                <w:color w:val="auto"/>
                <w:sz w:val="24"/>
                <w:szCs w:val="24"/>
                <w:highlight w:val="none"/>
              </w:rPr>
              <w:t>科学，最高得4分。</w:t>
            </w:r>
          </w:p>
          <w:p w14:paraId="7A88E645">
            <w:pPr>
              <w:keepNext w:val="0"/>
              <w:keepLines w:val="0"/>
              <w:pageBreakBefore w:val="0"/>
              <w:kinsoku/>
              <w:wordWrap/>
              <w:overflowPunct/>
              <w:topLinePunct w:val="0"/>
              <w:bidi w:val="0"/>
              <w:adjustRightInd w:val="0"/>
              <w:spacing w:line="312"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TW"/>
              </w:rPr>
              <w:t>描述细致且完全满足本项目需求的得</w:t>
            </w:r>
            <w:r>
              <w:rPr>
                <w:rFonts w:hint="eastAsia" w:ascii="仿宋" w:hAnsi="仿宋" w:eastAsia="仿宋" w:cs="仿宋"/>
                <w:bCs/>
                <w:color w:val="auto"/>
                <w:sz w:val="24"/>
                <w:szCs w:val="24"/>
                <w:highlight w:val="none"/>
              </w:rPr>
              <w:t>8</w:t>
            </w:r>
            <w:r>
              <w:rPr>
                <w:rFonts w:hint="eastAsia" w:ascii="仿宋" w:hAnsi="仿宋" w:eastAsia="仿宋" w:cs="仿宋"/>
                <w:bCs/>
                <w:color w:val="auto"/>
                <w:sz w:val="24"/>
                <w:szCs w:val="24"/>
                <w:highlight w:val="none"/>
                <w:lang w:val="zh-TW"/>
              </w:rPr>
              <w:t>分；每有一项缺失或内容与本项目无关的该项不得分；每有一处内容无法满足本项目需求或有缺陷的扣</w:t>
            </w:r>
            <w:r>
              <w:rPr>
                <w:rFonts w:hint="eastAsia" w:ascii="仿宋" w:hAnsi="仿宋" w:eastAsia="仿宋" w:cs="仿宋"/>
                <w:bCs/>
                <w:color w:val="auto"/>
                <w:sz w:val="24"/>
                <w:szCs w:val="24"/>
                <w:highlight w:val="none"/>
                <w:lang w:val="zh-TW" w:eastAsia="zh-TW"/>
              </w:rPr>
              <w:t>0-0.5</w:t>
            </w:r>
            <w:r>
              <w:rPr>
                <w:rFonts w:hint="eastAsia" w:ascii="仿宋" w:hAnsi="仿宋" w:eastAsia="仿宋" w:cs="仿宋"/>
                <w:bCs/>
                <w:color w:val="auto"/>
                <w:sz w:val="24"/>
                <w:szCs w:val="24"/>
                <w:highlight w:val="none"/>
                <w:lang w:val="zh-TW"/>
              </w:rPr>
              <w:t>分，扣完为止。</w:t>
            </w:r>
          </w:p>
        </w:tc>
        <w:tc>
          <w:tcPr>
            <w:tcW w:w="925" w:type="dxa"/>
            <w:tcBorders>
              <w:top w:val="single" w:color="auto" w:sz="4" w:space="0"/>
              <w:left w:val="single" w:color="auto" w:sz="4" w:space="0"/>
              <w:bottom w:val="single" w:color="auto" w:sz="4" w:space="0"/>
              <w:right w:val="single" w:color="auto" w:sz="4" w:space="0"/>
            </w:tcBorders>
            <w:vAlign w:val="center"/>
          </w:tcPr>
          <w:p w14:paraId="596F5E0D">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8分</w:t>
            </w:r>
          </w:p>
        </w:tc>
      </w:tr>
      <w:tr w14:paraId="4593F9E1">
        <w:tblPrEx>
          <w:tblCellMar>
            <w:top w:w="0" w:type="dxa"/>
            <w:left w:w="108" w:type="dxa"/>
            <w:bottom w:w="0" w:type="dxa"/>
            <w:right w:w="108" w:type="dxa"/>
          </w:tblCellMar>
        </w:tblPrEx>
        <w:trPr>
          <w:trHeight w:val="90" w:hRule="atLeast"/>
        </w:trPr>
        <w:tc>
          <w:tcPr>
            <w:tcW w:w="666" w:type="dxa"/>
            <w:vMerge w:val="continue"/>
            <w:tcBorders>
              <w:left w:val="single" w:color="000000" w:sz="4" w:space="0"/>
              <w:right w:val="single" w:color="000000" w:sz="4" w:space="0"/>
            </w:tcBorders>
            <w:vAlign w:val="center"/>
          </w:tcPr>
          <w:p w14:paraId="17757578">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p>
        </w:tc>
        <w:tc>
          <w:tcPr>
            <w:tcW w:w="990" w:type="dxa"/>
            <w:tcBorders>
              <w:top w:val="single" w:color="auto" w:sz="4" w:space="0"/>
              <w:left w:val="single" w:color="auto" w:sz="4" w:space="0"/>
              <w:bottom w:val="single" w:color="auto" w:sz="4" w:space="0"/>
              <w:right w:val="single" w:color="auto" w:sz="4" w:space="0"/>
            </w:tcBorders>
            <w:vAlign w:val="center"/>
          </w:tcPr>
          <w:p w14:paraId="1B59B3FB">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运维服务保密方案</w:t>
            </w:r>
          </w:p>
        </w:tc>
        <w:tc>
          <w:tcPr>
            <w:tcW w:w="6699" w:type="dxa"/>
            <w:tcBorders>
              <w:top w:val="single" w:color="auto" w:sz="4" w:space="0"/>
              <w:left w:val="single" w:color="auto" w:sz="4" w:space="0"/>
              <w:bottom w:val="single" w:color="auto" w:sz="4" w:space="0"/>
              <w:right w:val="single" w:color="auto" w:sz="4" w:space="0"/>
            </w:tcBorders>
            <w:vAlign w:val="center"/>
          </w:tcPr>
          <w:p w14:paraId="1B189ED1">
            <w:pPr>
              <w:keepNext w:val="0"/>
              <w:keepLines w:val="0"/>
              <w:pageBreakBefore w:val="0"/>
              <w:kinsoku/>
              <w:wordWrap/>
              <w:overflowPunct/>
              <w:topLinePunct w:val="0"/>
              <w:bidi w:val="0"/>
              <w:adjustRightIn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根据供应商提供的运维保密措施和保密方案是否满足采购需求,方案详细全面、先进及有利于项目实施的，最高得5分，</w:t>
            </w:r>
            <w:r>
              <w:rPr>
                <w:rFonts w:hint="eastAsia" w:ascii="仿宋" w:hAnsi="仿宋" w:eastAsia="仿宋" w:cs="仿宋"/>
                <w:color w:val="auto"/>
                <w:kern w:val="0"/>
                <w:sz w:val="24"/>
                <w:szCs w:val="24"/>
                <w:highlight w:val="none"/>
                <w:lang w:bidi="ar"/>
              </w:rPr>
              <w:t>每有一处内容无法满足本项目需求或有缺陷的扣0-0.5分，多处偏离的累计扣分，扣完为止。</w:t>
            </w:r>
          </w:p>
        </w:tc>
        <w:tc>
          <w:tcPr>
            <w:tcW w:w="925" w:type="dxa"/>
            <w:tcBorders>
              <w:top w:val="single" w:color="auto" w:sz="4" w:space="0"/>
              <w:left w:val="single" w:color="auto" w:sz="4" w:space="0"/>
              <w:bottom w:val="single" w:color="auto" w:sz="4" w:space="0"/>
              <w:right w:val="single" w:color="auto" w:sz="4" w:space="0"/>
            </w:tcBorders>
            <w:vAlign w:val="center"/>
          </w:tcPr>
          <w:p w14:paraId="3992DDF2">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5分</w:t>
            </w:r>
          </w:p>
        </w:tc>
      </w:tr>
      <w:tr w14:paraId="47601634">
        <w:tblPrEx>
          <w:tblCellMar>
            <w:top w:w="0" w:type="dxa"/>
            <w:left w:w="108" w:type="dxa"/>
            <w:bottom w:w="0" w:type="dxa"/>
            <w:right w:w="108" w:type="dxa"/>
          </w:tblCellMar>
        </w:tblPrEx>
        <w:trPr>
          <w:trHeight w:val="699" w:hRule="atLeast"/>
        </w:trPr>
        <w:tc>
          <w:tcPr>
            <w:tcW w:w="666" w:type="dxa"/>
            <w:vMerge w:val="continue"/>
            <w:tcBorders>
              <w:left w:val="single" w:color="000000" w:sz="4" w:space="0"/>
              <w:right w:val="single" w:color="000000" w:sz="4" w:space="0"/>
            </w:tcBorders>
            <w:vAlign w:val="center"/>
          </w:tcPr>
          <w:p w14:paraId="5E99B603">
            <w:pPr>
              <w:keepNext w:val="0"/>
              <w:keepLines w:val="0"/>
              <w:pageBreakBefore w:val="0"/>
              <w:kinsoku/>
              <w:wordWrap/>
              <w:overflowPunct/>
              <w:topLinePunct w:val="0"/>
              <w:bidi w:val="0"/>
              <w:adjustRightInd w:val="0"/>
              <w:spacing w:line="312" w:lineRule="auto"/>
              <w:jc w:val="center"/>
              <w:rPr>
                <w:rFonts w:hint="eastAsia" w:ascii="仿宋" w:hAnsi="仿宋" w:eastAsia="仿宋" w:cs="仿宋"/>
                <w:color w:val="auto"/>
                <w:sz w:val="24"/>
                <w:szCs w:val="24"/>
                <w:highlight w:val="none"/>
              </w:rPr>
            </w:pPr>
          </w:p>
        </w:tc>
        <w:tc>
          <w:tcPr>
            <w:tcW w:w="990" w:type="dxa"/>
            <w:vMerge w:val="restart"/>
            <w:tcBorders>
              <w:top w:val="single" w:color="auto" w:sz="4" w:space="0"/>
              <w:left w:val="single" w:color="auto" w:sz="4" w:space="0"/>
              <w:bottom w:val="single" w:color="auto" w:sz="4" w:space="0"/>
              <w:right w:val="single" w:color="auto" w:sz="4" w:space="0"/>
            </w:tcBorders>
            <w:vAlign w:val="center"/>
          </w:tcPr>
          <w:p w14:paraId="7913F903">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投入本项目相适应的专业技术服务力量</w:t>
            </w:r>
          </w:p>
        </w:tc>
        <w:tc>
          <w:tcPr>
            <w:tcW w:w="6699" w:type="dxa"/>
            <w:tcBorders>
              <w:top w:val="single" w:color="auto" w:sz="4" w:space="0"/>
              <w:left w:val="single" w:color="auto" w:sz="4" w:space="0"/>
              <w:bottom w:val="single" w:color="auto" w:sz="4" w:space="0"/>
              <w:right w:val="single" w:color="auto" w:sz="4" w:space="0"/>
            </w:tcBorders>
            <w:vAlign w:val="center"/>
          </w:tcPr>
          <w:p w14:paraId="66D74B2B">
            <w:pPr>
              <w:pStyle w:val="81"/>
              <w:keepNext w:val="0"/>
              <w:keepLines w:val="0"/>
              <w:pageBreakBefore w:val="0"/>
              <w:kinsoku/>
              <w:wordWrap/>
              <w:overflowPunct/>
              <w:topLinePunct w:val="0"/>
              <w:bidi w:val="0"/>
              <w:adjustRightInd w:val="0"/>
              <w:spacing w:line="312"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信息系统项目管理师证书</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b/>
                <w:color w:val="auto"/>
                <w:sz w:val="24"/>
                <w:szCs w:val="24"/>
                <w:highlight w:val="none"/>
              </w:rPr>
              <w:t>（注：提供以上证书扫描件及投标截止日前3个月中任一月的本单位社保证明扫描件进</w:t>
            </w:r>
            <w:r>
              <w:rPr>
                <w:rFonts w:hint="eastAsia" w:ascii="仿宋" w:hAnsi="仿宋" w:eastAsia="仿宋" w:cs="仿宋"/>
                <w:b/>
                <w:bCs/>
                <w:color w:val="auto"/>
                <w:sz w:val="24"/>
                <w:szCs w:val="24"/>
                <w:highlight w:val="none"/>
              </w:rPr>
              <w:t>入响应文件并加盖供应商公章，如依法不需要提供社保证明的，应提供相关证明材料</w:t>
            </w:r>
            <w:r>
              <w:rPr>
                <w:rFonts w:hint="eastAsia" w:ascii="仿宋" w:hAnsi="仿宋" w:eastAsia="仿宋" w:cs="仿宋"/>
                <w:b/>
                <w:color w:val="auto"/>
                <w:sz w:val="24"/>
                <w:szCs w:val="24"/>
                <w:highlight w:val="none"/>
              </w:rPr>
              <w:t>）</w:t>
            </w:r>
          </w:p>
        </w:tc>
        <w:tc>
          <w:tcPr>
            <w:tcW w:w="925" w:type="dxa"/>
            <w:tcBorders>
              <w:top w:val="single" w:color="auto" w:sz="4" w:space="0"/>
              <w:left w:val="single" w:color="auto" w:sz="4" w:space="0"/>
              <w:bottom w:val="single" w:color="auto" w:sz="4" w:space="0"/>
              <w:right w:val="single" w:color="auto" w:sz="4" w:space="0"/>
            </w:tcBorders>
            <w:vAlign w:val="center"/>
          </w:tcPr>
          <w:p w14:paraId="07E14F16">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268856DF">
        <w:tblPrEx>
          <w:tblCellMar>
            <w:top w:w="0" w:type="dxa"/>
            <w:left w:w="108" w:type="dxa"/>
            <w:bottom w:w="0" w:type="dxa"/>
            <w:right w:w="108" w:type="dxa"/>
          </w:tblCellMar>
        </w:tblPrEx>
        <w:trPr>
          <w:trHeight w:val="786" w:hRule="atLeast"/>
        </w:trPr>
        <w:tc>
          <w:tcPr>
            <w:tcW w:w="666" w:type="dxa"/>
            <w:vMerge w:val="continue"/>
            <w:tcBorders>
              <w:left w:val="single" w:color="000000" w:sz="4" w:space="0"/>
              <w:right w:val="single" w:color="000000" w:sz="4" w:space="0"/>
            </w:tcBorders>
            <w:vAlign w:val="center"/>
          </w:tcPr>
          <w:p w14:paraId="371BF184">
            <w:pPr>
              <w:keepNext w:val="0"/>
              <w:keepLines w:val="0"/>
              <w:pageBreakBefore w:val="0"/>
              <w:kinsoku/>
              <w:wordWrap/>
              <w:overflowPunct/>
              <w:topLinePunct w:val="0"/>
              <w:bidi w:val="0"/>
              <w:adjustRightInd w:val="0"/>
              <w:spacing w:line="312" w:lineRule="auto"/>
              <w:jc w:val="center"/>
              <w:rPr>
                <w:rFonts w:hint="eastAsia" w:ascii="仿宋" w:hAnsi="仿宋" w:eastAsia="仿宋" w:cs="仿宋"/>
                <w:color w:val="auto"/>
                <w:sz w:val="24"/>
                <w:szCs w:val="24"/>
                <w:highlight w:val="none"/>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14:paraId="7113E2C8">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p>
        </w:tc>
        <w:tc>
          <w:tcPr>
            <w:tcW w:w="6699" w:type="dxa"/>
            <w:tcBorders>
              <w:top w:val="single" w:color="auto" w:sz="4" w:space="0"/>
              <w:left w:val="single" w:color="auto" w:sz="4" w:space="0"/>
              <w:bottom w:val="single" w:color="auto" w:sz="4" w:space="0"/>
              <w:right w:val="single" w:color="auto" w:sz="4" w:space="0"/>
            </w:tcBorders>
            <w:vAlign w:val="center"/>
          </w:tcPr>
          <w:p w14:paraId="1FED8E49">
            <w:pPr>
              <w:pStyle w:val="81"/>
              <w:keepNext w:val="0"/>
              <w:keepLines w:val="0"/>
              <w:pageBreakBefore w:val="0"/>
              <w:kinsoku/>
              <w:wordWrap/>
              <w:overflowPunct/>
              <w:topLinePunct w:val="0"/>
              <w:bidi w:val="0"/>
              <w:adjustRightInd w:val="0"/>
              <w:spacing w:line="312"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组</w:t>
            </w:r>
            <w:r>
              <w:rPr>
                <w:rFonts w:hint="eastAsia" w:ascii="仿宋" w:hAnsi="仿宋" w:eastAsia="仿宋" w:cs="仿宋"/>
                <w:color w:val="auto"/>
                <w:sz w:val="24"/>
                <w:szCs w:val="24"/>
                <w:highlight w:val="none"/>
              </w:rPr>
              <w:t>成员（项目负责人除外）：</w:t>
            </w:r>
          </w:p>
          <w:p w14:paraId="50690C30">
            <w:pPr>
              <w:pStyle w:val="81"/>
              <w:keepNext w:val="0"/>
              <w:keepLines w:val="0"/>
              <w:pageBreakBefore w:val="0"/>
              <w:kinsoku/>
              <w:wordWrap/>
              <w:overflowPunct/>
              <w:topLinePunct w:val="0"/>
              <w:bidi w:val="0"/>
              <w:adjustRightInd w:val="0"/>
              <w:spacing w:line="312"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具有具有计算机技术与软件专业技术资格中级资格证书的，每人得1分，最高得4分。(包括计算机软件类、计算机网络类、计算机应用技术类、信息系统类、信息服务类)。</w:t>
            </w:r>
            <w:r>
              <w:rPr>
                <w:rFonts w:hint="eastAsia" w:ascii="仿宋" w:hAnsi="仿宋" w:eastAsia="仿宋" w:cs="仿宋"/>
                <w:b/>
                <w:color w:val="auto"/>
                <w:sz w:val="24"/>
                <w:szCs w:val="24"/>
                <w:highlight w:val="none"/>
              </w:rPr>
              <w:t>（注：项目</w:t>
            </w:r>
            <w:r>
              <w:rPr>
                <w:rFonts w:hint="eastAsia" w:ascii="仿宋" w:hAnsi="仿宋" w:eastAsia="仿宋" w:cs="仿宋"/>
                <w:b/>
                <w:color w:val="auto"/>
                <w:sz w:val="24"/>
                <w:szCs w:val="24"/>
                <w:highlight w:val="none"/>
                <w:lang w:val="en-US" w:eastAsia="zh-CN"/>
              </w:rPr>
              <w:t>组</w:t>
            </w:r>
            <w:r>
              <w:rPr>
                <w:rFonts w:hint="eastAsia" w:ascii="仿宋" w:hAnsi="仿宋" w:eastAsia="仿宋" w:cs="仿宋"/>
                <w:b/>
                <w:color w:val="auto"/>
                <w:sz w:val="24"/>
                <w:szCs w:val="24"/>
                <w:highlight w:val="none"/>
              </w:rPr>
              <w:t>成员</w:t>
            </w:r>
            <w:r>
              <w:rPr>
                <w:rFonts w:hint="eastAsia" w:ascii="仿宋" w:hAnsi="仿宋" w:eastAsia="仿宋" w:cs="仿宋"/>
                <w:b/>
                <w:color w:val="auto"/>
                <w:sz w:val="24"/>
                <w:szCs w:val="24"/>
                <w:highlight w:val="none"/>
                <w:lang w:val="en-US" w:eastAsia="zh-CN"/>
              </w:rPr>
              <w:t>同一人多证</w:t>
            </w:r>
            <w:r>
              <w:rPr>
                <w:rFonts w:hint="eastAsia" w:ascii="仿宋" w:hAnsi="仿宋" w:eastAsia="仿宋" w:cs="仿宋"/>
                <w:b/>
                <w:color w:val="auto"/>
                <w:sz w:val="24"/>
                <w:szCs w:val="24"/>
                <w:highlight w:val="none"/>
              </w:rPr>
              <w:t>不重复计分，提供以上人员相关证明材料扫描件及投标截止日前3个月中任一月的本单位社保证明扫描件进</w:t>
            </w:r>
            <w:r>
              <w:rPr>
                <w:rFonts w:hint="eastAsia" w:ascii="仿宋" w:hAnsi="仿宋" w:eastAsia="仿宋" w:cs="仿宋"/>
                <w:b/>
                <w:bCs/>
                <w:color w:val="auto"/>
                <w:sz w:val="24"/>
                <w:szCs w:val="24"/>
                <w:highlight w:val="none"/>
              </w:rPr>
              <w:t>入响应文件并加盖供应商公章，如依法不需要提供社保证明的，应提供相关证明材料，</w:t>
            </w:r>
            <w:r>
              <w:rPr>
                <w:rFonts w:hint="eastAsia" w:ascii="仿宋" w:hAnsi="仿宋" w:eastAsia="仿宋" w:cs="仿宋"/>
                <w:b/>
                <w:color w:val="auto"/>
                <w:sz w:val="24"/>
                <w:szCs w:val="24"/>
                <w:highlight w:val="none"/>
              </w:rPr>
              <w:t>否则不得分）</w:t>
            </w:r>
          </w:p>
        </w:tc>
        <w:tc>
          <w:tcPr>
            <w:tcW w:w="925" w:type="dxa"/>
            <w:tcBorders>
              <w:top w:val="single" w:color="auto" w:sz="4" w:space="0"/>
              <w:left w:val="single" w:color="auto" w:sz="4" w:space="0"/>
              <w:bottom w:val="single" w:color="auto" w:sz="4" w:space="0"/>
              <w:right w:val="single" w:color="auto" w:sz="4" w:space="0"/>
            </w:tcBorders>
            <w:vAlign w:val="center"/>
          </w:tcPr>
          <w:p w14:paraId="6CD95B05">
            <w:pPr>
              <w:keepNext w:val="0"/>
              <w:keepLines w:val="0"/>
              <w:pageBreakBefore w:val="0"/>
              <w:widowControl/>
              <w:kinsoku/>
              <w:wordWrap/>
              <w:overflowPunct/>
              <w:topLinePunct w:val="0"/>
              <w:bidi w:val="0"/>
              <w:adjustRightInd w:val="0"/>
              <w:spacing w:line="312"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14:paraId="2E2344E8">
        <w:tblPrEx>
          <w:tblCellMar>
            <w:top w:w="0" w:type="dxa"/>
            <w:left w:w="108" w:type="dxa"/>
            <w:bottom w:w="0" w:type="dxa"/>
            <w:right w:w="108" w:type="dxa"/>
          </w:tblCellMar>
        </w:tblPrEx>
        <w:trPr>
          <w:trHeight w:val="836" w:hRule="atLeast"/>
        </w:trPr>
        <w:tc>
          <w:tcPr>
            <w:tcW w:w="666" w:type="dxa"/>
            <w:vMerge w:val="continue"/>
            <w:tcBorders>
              <w:left w:val="single" w:color="000000" w:sz="4" w:space="0"/>
              <w:bottom w:val="single" w:color="auto" w:sz="4" w:space="0"/>
              <w:right w:val="single" w:color="000000" w:sz="4" w:space="0"/>
            </w:tcBorders>
            <w:vAlign w:val="center"/>
          </w:tcPr>
          <w:p w14:paraId="1904ADB1">
            <w:pPr>
              <w:keepNext w:val="0"/>
              <w:keepLines w:val="0"/>
              <w:pageBreakBefore w:val="0"/>
              <w:kinsoku/>
              <w:wordWrap/>
              <w:overflowPunct/>
              <w:topLinePunct w:val="0"/>
              <w:bidi w:val="0"/>
              <w:adjustRightInd w:val="0"/>
              <w:spacing w:line="312" w:lineRule="auto"/>
              <w:jc w:val="center"/>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021A7FD2">
            <w:pPr>
              <w:pStyle w:val="81"/>
              <w:keepNext w:val="0"/>
              <w:keepLines w:val="0"/>
              <w:pageBreakBefore w:val="0"/>
              <w:kinsoku/>
              <w:wordWrap/>
              <w:overflowPunct/>
              <w:topLinePunct w:val="0"/>
              <w:bidi w:val="0"/>
              <w:adjustRightIn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w:t>
            </w:r>
          </w:p>
          <w:p w14:paraId="330DDC65">
            <w:pPr>
              <w:pStyle w:val="81"/>
              <w:keepNext w:val="0"/>
              <w:keepLines w:val="0"/>
              <w:pageBreakBefore w:val="0"/>
              <w:kinsoku/>
              <w:wordWrap/>
              <w:overflowPunct/>
              <w:topLinePunct w:val="0"/>
              <w:bidi w:val="0"/>
              <w:adjustRightIn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演示</w:t>
            </w:r>
          </w:p>
        </w:tc>
        <w:tc>
          <w:tcPr>
            <w:tcW w:w="6699" w:type="dxa"/>
            <w:tcBorders>
              <w:top w:val="single" w:color="auto" w:sz="4" w:space="0"/>
              <w:left w:val="single" w:color="auto" w:sz="4" w:space="0"/>
              <w:bottom w:val="single" w:color="auto" w:sz="4" w:space="0"/>
              <w:right w:val="single" w:color="auto" w:sz="4" w:space="0"/>
            </w:tcBorders>
            <w:vAlign w:val="center"/>
          </w:tcPr>
          <w:p w14:paraId="4CD99628">
            <w:pPr>
              <w:pStyle w:val="81"/>
              <w:keepNext w:val="0"/>
              <w:keepLines w:val="0"/>
              <w:pageBreakBefore w:val="0"/>
              <w:kinsoku/>
              <w:wordWrap/>
              <w:overflowPunct/>
              <w:topLinePunct w:val="0"/>
              <w:bidi w:val="0"/>
              <w:adjustRightInd w:val="0"/>
              <w:spacing w:line="312"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委员会根据供应商的演示内容和讲解进行综合评分：</w:t>
            </w:r>
          </w:p>
          <w:p w14:paraId="252FFC5E">
            <w:pPr>
              <w:pStyle w:val="95"/>
              <w:keepNext w:val="0"/>
              <w:keepLines w:val="0"/>
              <w:pageBreakBefore w:val="0"/>
              <w:kinsoku/>
              <w:wordWrap/>
              <w:overflowPunct/>
              <w:topLinePunct w:val="0"/>
              <w:bidi w:val="0"/>
              <w:adjustRightInd w:val="0"/>
              <w:spacing w:line="312" w:lineRule="auto"/>
              <w:ind w:firstLine="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（1）数据编目、数据归集交换服务内容讲解演示：</w:t>
            </w:r>
          </w:p>
          <w:p w14:paraId="50D6983C">
            <w:pPr>
              <w:pStyle w:val="95"/>
              <w:keepNext w:val="0"/>
              <w:keepLines w:val="0"/>
              <w:pageBreakBefore w:val="0"/>
              <w:kinsoku/>
              <w:wordWrap/>
              <w:overflowPunct/>
              <w:topLinePunct w:val="0"/>
              <w:bidi w:val="0"/>
              <w:adjustRightInd w:val="0"/>
              <w:spacing w:line="312" w:lineRule="auto"/>
              <w:ind w:firstLine="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根据投标人提供的数据编目服务、数据归集与交换服务演示内容和讲解，依据景宁县实际情况进行综合评分，</w:t>
            </w:r>
            <w:r>
              <w:rPr>
                <w:rFonts w:hint="eastAsia" w:ascii="仿宋" w:hAnsi="仿宋" w:eastAsia="仿宋" w:cs="仿宋"/>
                <w:b w:val="0"/>
                <w:bCs w:val="0"/>
                <w:color w:val="auto"/>
                <w:sz w:val="24"/>
                <w:szCs w:val="24"/>
                <w:highlight w:val="none"/>
                <w:lang w:val="en-US" w:eastAsia="zh-CN"/>
              </w:rPr>
              <w:t>最高得5分；</w:t>
            </w:r>
          </w:p>
          <w:p w14:paraId="4ED49020">
            <w:pPr>
              <w:pStyle w:val="95"/>
              <w:keepNext w:val="0"/>
              <w:keepLines w:val="0"/>
              <w:pageBreakBefore w:val="0"/>
              <w:kinsoku/>
              <w:wordWrap/>
              <w:overflowPunct/>
              <w:topLinePunct w:val="0"/>
              <w:bidi w:val="0"/>
              <w:adjustRightInd w:val="0"/>
              <w:spacing w:line="312" w:lineRule="auto"/>
              <w:ind w:firstLine="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（2）数据治理服务、数据分析服务讲解演示：</w:t>
            </w:r>
          </w:p>
          <w:p w14:paraId="472CEC2B">
            <w:pPr>
              <w:pStyle w:val="95"/>
              <w:keepNext w:val="0"/>
              <w:keepLines w:val="0"/>
              <w:pageBreakBefore w:val="0"/>
              <w:kinsoku/>
              <w:wordWrap/>
              <w:overflowPunct/>
              <w:topLinePunct w:val="0"/>
              <w:bidi w:val="0"/>
              <w:adjustRightInd w:val="0"/>
              <w:spacing w:line="312" w:lineRule="auto"/>
              <w:ind w:firstLine="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根据投标人提供的数据治理服务、数据分析服务讲解演示，依据景宁县实际情况进行综合评分，</w:t>
            </w:r>
            <w:r>
              <w:rPr>
                <w:rFonts w:hint="eastAsia" w:ascii="仿宋" w:hAnsi="仿宋" w:eastAsia="仿宋" w:cs="仿宋"/>
                <w:b w:val="0"/>
                <w:bCs w:val="0"/>
                <w:color w:val="auto"/>
                <w:sz w:val="24"/>
                <w:szCs w:val="24"/>
                <w:highlight w:val="none"/>
                <w:lang w:val="en-US" w:eastAsia="zh-CN"/>
              </w:rPr>
              <w:t>最高得5分；</w:t>
            </w:r>
          </w:p>
          <w:p w14:paraId="12C69439">
            <w:pPr>
              <w:pStyle w:val="95"/>
              <w:keepNext w:val="0"/>
              <w:keepLines w:val="0"/>
              <w:pageBreakBefore w:val="0"/>
              <w:kinsoku/>
              <w:wordWrap/>
              <w:overflowPunct/>
              <w:topLinePunct w:val="0"/>
              <w:bidi w:val="0"/>
              <w:adjustRightInd w:val="0"/>
              <w:spacing w:line="312" w:lineRule="auto"/>
              <w:ind w:firstLine="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（3）数据共享服务、供需对接服务讲解演示：</w:t>
            </w:r>
          </w:p>
          <w:p w14:paraId="774B95AA">
            <w:pPr>
              <w:pStyle w:val="95"/>
              <w:keepNext w:val="0"/>
              <w:keepLines w:val="0"/>
              <w:pageBreakBefore w:val="0"/>
              <w:kinsoku/>
              <w:wordWrap/>
              <w:overflowPunct/>
              <w:topLinePunct w:val="0"/>
              <w:bidi w:val="0"/>
              <w:adjustRightInd w:val="0"/>
              <w:spacing w:line="312" w:lineRule="auto"/>
              <w:ind w:firstLine="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根据投标人提供的数据共享服务、供需对接服务演示内容和讲解，依据景宁县实际情况进行综合评分，</w:t>
            </w:r>
            <w:r>
              <w:rPr>
                <w:rFonts w:hint="eastAsia" w:ascii="仿宋" w:hAnsi="仿宋" w:eastAsia="仿宋" w:cs="仿宋"/>
                <w:b w:val="0"/>
                <w:bCs w:val="0"/>
                <w:color w:val="auto"/>
                <w:sz w:val="24"/>
                <w:szCs w:val="24"/>
                <w:highlight w:val="none"/>
                <w:lang w:val="en-US" w:eastAsia="zh-CN"/>
              </w:rPr>
              <w:t>最高得5分；</w:t>
            </w:r>
          </w:p>
          <w:p w14:paraId="0FD696AE">
            <w:pPr>
              <w:pStyle w:val="95"/>
              <w:keepNext w:val="0"/>
              <w:keepLines w:val="0"/>
              <w:pageBreakBefore w:val="0"/>
              <w:kinsoku/>
              <w:wordWrap/>
              <w:overflowPunct/>
              <w:topLinePunct w:val="0"/>
              <w:bidi w:val="0"/>
              <w:adjustRightInd w:val="0"/>
              <w:spacing w:line="312" w:lineRule="auto"/>
              <w:ind w:firstLine="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（4）IRS运营服务讲解演示：</w:t>
            </w:r>
          </w:p>
          <w:p w14:paraId="7DF71351">
            <w:pPr>
              <w:pStyle w:val="95"/>
              <w:keepNext w:val="0"/>
              <w:keepLines w:val="0"/>
              <w:pageBreakBefore w:val="0"/>
              <w:kinsoku/>
              <w:wordWrap/>
              <w:overflowPunct/>
              <w:topLinePunct w:val="0"/>
              <w:bidi w:val="0"/>
              <w:adjustRightInd w:val="0"/>
              <w:spacing w:line="312" w:lineRule="auto"/>
              <w:ind w:firstLine="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根据投标人提供的IRS运营服务演示内容和讲解，包含应用注册、数据申请、云资源申请、指标关注、组件上架，有充分理解和讲述的</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最高得5分；</w:t>
            </w:r>
          </w:p>
          <w:p w14:paraId="22D96F6C">
            <w:pPr>
              <w:pStyle w:val="95"/>
              <w:keepNext w:val="0"/>
              <w:keepLines w:val="0"/>
              <w:pageBreakBefore w:val="0"/>
              <w:kinsoku/>
              <w:wordWrap/>
              <w:overflowPunct/>
              <w:topLinePunct w:val="0"/>
              <w:bidi w:val="0"/>
              <w:adjustRightInd w:val="0"/>
              <w:spacing w:line="312" w:lineRule="auto"/>
              <w:ind w:firstLine="0"/>
              <w:rPr>
                <w:rFonts w:hint="eastAsia" w:ascii="仿宋" w:hAnsi="仿宋" w:eastAsia="仿宋" w:cs="仿宋"/>
                <w:b/>
                <w:bCs/>
                <w:color w:val="auto"/>
                <w:sz w:val="24"/>
                <w:szCs w:val="24"/>
                <w:highlight w:val="none"/>
              </w:rPr>
            </w:pPr>
          </w:p>
          <w:p w14:paraId="42DEB607">
            <w:pPr>
              <w:pStyle w:val="95"/>
              <w:keepNext w:val="0"/>
              <w:keepLines w:val="0"/>
              <w:pageBreakBefore w:val="0"/>
              <w:kinsoku/>
              <w:wordWrap/>
              <w:overflowPunct/>
              <w:topLinePunct w:val="0"/>
              <w:bidi w:val="0"/>
              <w:adjustRightInd w:val="0"/>
              <w:spacing w:line="312" w:lineRule="auto"/>
              <w:ind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应将演示内容提前拍摄成视频并压缩加密（密码由供应商自行保管），视频播放时间控制在10分钟以内，并在开标时间截止前将加密视频文件一次性（限时内多次发送的，以最后一次为准，其余无效）发送至代理机指定邮箱（596722349@qq.com)，讲解开始后，代理机构按照讲解顺序分别向各供应商获取视频密码，未在规定时间内发送讲解视频或视频无法打开的，此项不得分。</w:t>
            </w:r>
          </w:p>
          <w:p w14:paraId="2C245696">
            <w:pPr>
              <w:pStyle w:val="95"/>
              <w:keepNext w:val="0"/>
              <w:keepLines w:val="0"/>
              <w:pageBreakBefore w:val="0"/>
              <w:kinsoku/>
              <w:wordWrap/>
              <w:overflowPunct/>
              <w:topLinePunct w:val="0"/>
              <w:bidi w:val="0"/>
              <w:adjustRightInd w:val="0"/>
              <w:spacing w:line="312" w:lineRule="auto"/>
              <w:ind w:firstLine="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c>
          <w:tcPr>
            <w:tcW w:w="925" w:type="dxa"/>
            <w:tcBorders>
              <w:top w:val="single" w:color="auto" w:sz="4" w:space="0"/>
              <w:left w:val="single" w:color="auto" w:sz="4" w:space="0"/>
              <w:bottom w:val="single" w:color="auto" w:sz="4" w:space="0"/>
              <w:right w:val="single" w:color="auto" w:sz="4" w:space="0"/>
            </w:tcBorders>
            <w:vAlign w:val="center"/>
          </w:tcPr>
          <w:p w14:paraId="1504D1FA">
            <w:pPr>
              <w:pStyle w:val="81"/>
              <w:keepNext w:val="0"/>
              <w:keepLines w:val="0"/>
              <w:pageBreakBefore w:val="0"/>
              <w:kinsoku/>
              <w:wordWrap/>
              <w:overflowPunct/>
              <w:topLinePunct w:val="0"/>
              <w:bidi w:val="0"/>
              <w:adjustRightInd w:val="0"/>
              <w:spacing w:line="312" w:lineRule="auto"/>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r>
    </w:tbl>
    <w:p w14:paraId="7DE0FE20">
      <w:pPr>
        <w:pStyle w:val="60"/>
        <w:widowControl w:val="0"/>
        <w:numPr>
          <w:ilvl w:val="0"/>
          <w:numId w:val="7"/>
        </w:numPr>
        <w:overflowPunct/>
        <w:autoSpaceDE/>
        <w:autoSpaceDN/>
        <w:adjustRightInd/>
        <w:spacing w:before="240" w:beforeLines="100" w:after="240" w:afterLines="100"/>
        <w:jc w:val="left"/>
        <w:textAlignment w:val="auto"/>
        <w:outlineLvl w:val="1"/>
        <w:rPr>
          <w:rFonts w:ascii="仿宋" w:hAnsi="仿宋" w:eastAsia="仿宋" w:cs="仿宋"/>
          <w:bCs/>
          <w:color w:val="auto"/>
          <w:kern w:val="2"/>
          <w:sz w:val="30"/>
          <w:szCs w:val="30"/>
          <w:highlight w:val="none"/>
          <w:lang w:val="en-US"/>
        </w:rPr>
      </w:pPr>
      <w:bookmarkStart w:id="957" w:name="_Toc139797646"/>
      <w:bookmarkStart w:id="958" w:name="_Toc11957"/>
      <w:bookmarkStart w:id="959" w:name="_Toc7107"/>
      <w:r>
        <w:rPr>
          <w:rFonts w:hint="eastAsia" w:ascii="仿宋" w:hAnsi="仿宋" w:eastAsia="仿宋" w:cs="仿宋"/>
          <w:bCs/>
          <w:color w:val="auto"/>
          <w:kern w:val="2"/>
          <w:sz w:val="30"/>
          <w:szCs w:val="30"/>
          <w:highlight w:val="none"/>
          <w:lang w:val="en-US"/>
        </w:rPr>
        <w:t>评审程序</w:t>
      </w:r>
      <w:bookmarkEnd w:id="957"/>
      <w:bookmarkEnd w:id="958"/>
      <w:bookmarkEnd w:id="959"/>
    </w:p>
    <w:p w14:paraId="299DA441">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w:t>
      </w:r>
      <w:r>
        <w:rPr>
          <w:rFonts w:hint="eastAsia" w:ascii="仿宋" w:hAnsi="仿宋" w:eastAsia="仿宋" w:cs="仿宋"/>
          <w:b/>
          <w:bCs/>
          <w:color w:val="auto"/>
          <w:kern w:val="0"/>
          <w:sz w:val="24"/>
          <w:highlight w:val="none"/>
        </w:rPr>
        <w:t>不满足采购文件的实质性要求的，响应文件无效，并告知该供应商。</w:t>
      </w:r>
    </w:p>
    <w:p w14:paraId="6C25D66D">
      <w:pPr>
        <w:spacing w:line="360" w:lineRule="auto"/>
        <w:ind w:firstLine="472" w:firstLineChars="196"/>
        <w:rPr>
          <w:rFonts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4D7ADE0F">
      <w:pPr>
        <w:spacing w:line="360" w:lineRule="auto"/>
        <w:ind w:firstLine="470" w:firstLineChars="196"/>
        <w:rPr>
          <w:rFonts w:ascii="仿宋" w:hAnsi="仿宋" w:eastAsia="仿宋" w:cs="仿宋"/>
          <w:bCs/>
          <w:color w:val="auto"/>
          <w:sz w:val="24"/>
          <w:highlight w:val="none"/>
        </w:rPr>
      </w:pPr>
      <w:r>
        <w:rPr>
          <w:rFonts w:hint="eastAsia" w:ascii="仿宋" w:hAnsi="仿宋" w:eastAsia="仿宋" w:cs="仿宋"/>
          <w:bCs/>
          <w:color w:val="auto"/>
          <w:sz w:val="24"/>
          <w:highlight w:val="none"/>
        </w:rPr>
        <w:t>3.2.1 磋商小组与符合要求的供应商进行磋商。磋商小组所有成员按照响应文件解密次序集中与单一供应商分别进行磋商，并给予所有参加磋商的供应商平等的磋商机会。磋商过程中，磋商小组可以根据磋商情况调整轮次。磋商小组可通过三种方式与供应商进行磋商（A视频会议 B发送磋商问题函 C备注和附件），以视频会议方式的，供应商通过政采云“在线评审室”进行远程视频磋商。供应商使用CA数字证书登录政采云平台——收到视频评审邀请——点击“视频评审”进入“视频评审系统”——开始远程磋商活动;以发送磋商问题函磋商的，供应商只需在线对磋商问题函进行回复;以备注和附件形式磋商的，供应商可通过在线系统进行查看或确认。</w:t>
      </w:r>
    </w:p>
    <w:p w14:paraId="49CD0694">
      <w:pPr>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3.2.2经磋商确定磋商文件的变动情况。对磋商文件作出的实质性变动是磋商文件的有效组成部分，磋商小组应当及时以书面形式同时通知所有参加磋商的供应商。</w:t>
      </w:r>
    </w:p>
    <w:p w14:paraId="48BAB61B">
      <w:pPr>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3.2.3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C858291">
      <w:pPr>
        <w:spacing w:line="360" w:lineRule="auto"/>
        <w:ind w:firstLine="472" w:firstLineChars="196"/>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535D35F3">
      <w:pPr>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符合《政府采购竞争性磋商采购方式管理暂行办法》的通知(财库〔2014〕214号)第二十一条第三款规定的情形的除外）。</w:t>
      </w:r>
    </w:p>
    <w:p w14:paraId="4C8D981A">
      <w:pPr>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18AF097">
      <w:pPr>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3.3.3 已提交响应文件的供应商，在提交最后报价之前，可以根据磋商情况退出磋商。</w:t>
      </w:r>
    </w:p>
    <w:p w14:paraId="502FF00A">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058F25E5">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69B4C835">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20057FE1">
      <w:pPr>
        <w:pStyle w:val="14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3.6.1响应文件报价出现前后不一致的，按照下列规定修正：</w:t>
      </w:r>
    </w:p>
    <w:p w14:paraId="1BA3181B">
      <w:pPr>
        <w:pStyle w:val="14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3.6.1.1响应文件中已标价工程量清单内容与响应文件中相应内容不一致的，以已标价工程量清单为准;</w:t>
      </w:r>
    </w:p>
    <w:p w14:paraId="27CB3A1E">
      <w:pPr>
        <w:pStyle w:val="14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3.6.1.2</w:t>
      </w:r>
      <w:r>
        <w:rPr>
          <w:rFonts w:hint="eastAsia" w:ascii="仿宋" w:hAnsi="仿宋" w:eastAsia="仿宋" w:cs="仿宋"/>
          <w:color w:val="auto"/>
          <w:kern w:val="0"/>
          <w:highlight w:val="none"/>
        </w:rPr>
        <w:t>报价文件</w:t>
      </w:r>
      <w:r>
        <w:rPr>
          <w:rFonts w:hint="eastAsia" w:ascii="仿宋" w:hAnsi="仿宋" w:eastAsia="仿宋" w:cs="仿宋"/>
          <w:color w:val="auto"/>
          <w:highlight w:val="none"/>
        </w:rPr>
        <w:t>中《报价一览表》内容与</w:t>
      </w:r>
      <w:r>
        <w:rPr>
          <w:rFonts w:hint="eastAsia" w:ascii="仿宋" w:hAnsi="仿宋" w:eastAsia="仿宋" w:cs="仿宋"/>
          <w:color w:val="auto"/>
          <w:kern w:val="0"/>
          <w:highlight w:val="none"/>
        </w:rPr>
        <w:t>报价</w:t>
      </w:r>
      <w:r>
        <w:rPr>
          <w:rFonts w:hint="eastAsia" w:ascii="仿宋" w:hAnsi="仿宋" w:eastAsia="仿宋" w:cs="仿宋"/>
          <w:color w:val="auto"/>
          <w:highlight w:val="none"/>
        </w:rPr>
        <w:t>明细表相应内容不一致的，以《报价一览表》为准；</w:t>
      </w:r>
    </w:p>
    <w:p w14:paraId="11715C74">
      <w:pPr>
        <w:pStyle w:val="14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3.6.1.3</w:t>
      </w:r>
      <w:r>
        <w:rPr>
          <w:rFonts w:hint="eastAsia" w:ascii="仿宋" w:hAnsi="仿宋" w:eastAsia="仿宋" w:cs="仿宋"/>
          <w:color w:val="auto"/>
          <w:kern w:val="0"/>
          <w:highlight w:val="none"/>
        </w:rPr>
        <w:t>报价文件</w:t>
      </w:r>
      <w:r>
        <w:rPr>
          <w:rFonts w:hint="eastAsia" w:ascii="仿宋" w:hAnsi="仿宋" w:eastAsia="仿宋" w:cs="仿宋"/>
          <w:color w:val="auto"/>
          <w:highlight w:val="none"/>
        </w:rPr>
        <w:t>中</w:t>
      </w:r>
      <w:r>
        <w:rPr>
          <w:rFonts w:hint="eastAsia" w:ascii="仿宋" w:hAnsi="仿宋" w:eastAsia="仿宋" w:cs="仿宋"/>
          <w:color w:val="auto"/>
          <w:kern w:val="0"/>
          <w:szCs w:val="24"/>
          <w:highlight w:val="none"/>
        </w:rPr>
        <w:t>大写金额和小写金额不一致的，以大写金额为准;</w:t>
      </w:r>
    </w:p>
    <w:p w14:paraId="0F3B24A3">
      <w:pPr>
        <w:pStyle w:val="14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3.6.1.4单价金额小数点或者百分比有明显错位的，以</w:t>
      </w:r>
      <w:r>
        <w:rPr>
          <w:rFonts w:hint="eastAsia" w:ascii="仿宋" w:hAnsi="仿宋" w:eastAsia="仿宋" w:cs="仿宋"/>
          <w:color w:val="auto"/>
          <w:highlight w:val="none"/>
        </w:rPr>
        <w:t>《报价一览表》</w:t>
      </w:r>
      <w:r>
        <w:rPr>
          <w:rFonts w:hint="eastAsia" w:ascii="仿宋" w:hAnsi="仿宋" w:eastAsia="仿宋" w:cs="仿宋"/>
          <w:color w:val="auto"/>
          <w:kern w:val="0"/>
          <w:szCs w:val="24"/>
          <w:highlight w:val="none"/>
        </w:rPr>
        <w:t>的总价为准，并修改单价;</w:t>
      </w:r>
    </w:p>
    <w:p w14:paraId="7923E4FF">
      <w:pPr>
        <w:pStyle w:val="14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3.6.1.5总价金额与按单价汇总金额不一致的，以单价金额计算结果为准。</w:t>
      </w:r>
    </w:p>
    <w:p w14:paraId="2370E711">
      <w:pPr>
        <w:pStyle w:val="14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3.6.1.6同时出现两种以上不一致的，按照3.6.1规定的顺序修正。修正后的报价经供应商确认后产生约束力。</w:t>
      </w:r>
    </w:p>
    <w:p w14:paraId="7CA529F6">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3.6.2响应文件出现不是唯一的、有选择性最后报价的，响应文件无效。</w:t>
      </w:r>
    </w:p>
    <w:p w14:paraId="4DF229A0">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3.6.3最后报价超过采购文件中规定的预算金额或者最高限价的，响应文件无效。</w:t>
      </w:r>
    </w:p>
    <w:p w14:paraId="14F26A43">
      <w:pPr>
        <w:spacing w:line="360" w:lineRule="auto"/>
        <w:ind w:firstLine="482" w:firstLineChars="200"/>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▲供应商对根据修正原则修正后的最后报价不确认的，响应无效。</w:t>
      </w:r>
    </w:p>
    <w:p w14:paraId="2F05167F">
      <w:pPr>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color w:val="auto"/>
          <w:kern w:val="0"/>
          <w:sz w:val="24"/>
          <w:highlight w:val="none"/>
        </w:rPr>
        <w:t>磋商小组应当根据综合评分情况，按照评审得分由高到低顺序推荐3名以上成交候选供应商，并编写评审报告。符合</w:t>
      </w:r>
      <w:r>
        <w:rPr>
          <w:rFonts w:hint="eastAsia" w:ascii="仿宋" w:hAnsi="仿宋" w:eastAsia="仿宋" w:cs="仿宋"/>
          <w:color w:val="auto"/>
          <w:sz w:val="24"/>
          <w:highlight w:val="none"/>
        </w:rPr>
        <w:t>财库〔2014〕214号</w:t>
      </w:r>
      <w:r>
        <w:rPr>
          <w:rFonts w:hint="eastAsia" w:ascii="仿宋" w:hAnsi="仿宋" w:eastAsia="仿宋" w:cs="仿宋"/>
          <w:color w:val="auto"/>
          <w:kern w:val="0"/>
          <w:sz w:val="24"/>
          <w:highlight w:val="none"/>
        </w:rPr>
        <w:t>第二十一条第三款情形的，可以推荐2家成交候选供应商。评审得分相同的，按照最后报价由低到高的顺序推荐。评审得分且最后报价相同的，按照技术指标优劣顺序推荐。</w:t>
      </w:r>
    </w:p>
    <w:p w14:paraId="59669242">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A3FD652">
      <w:pPr>
        <w:pStyle w:val="60"/>
        <w:widowControl w:val="0"/>
        <w:numPr>
          <w:ilvl w:val="0"/>
          <w:numId w:val="7"/>
        </w:numPr>
        <w:overflowPunct/>
        <w:autoSpaceDE/>
        <w:autoSpaceDN/>
        <w:adjustRightInd/>
        <w:spacing w:before="240" w:beforeLines="100" w:after="240" w:afterLines="100"/>
        <w:jc w:val="left"/>
        <w:textAlignment w:val="auto"/>
        <w:outlineLvl w:val="1"/>
        <w:rPr>
          <w:rFonts w:ascii="仿宋" w:hAnsi="仿宋" w:eastAsia="仿宋" w:cs="仿宋"/>
          <w:bCs/>
          <w:color w:val="auto"/>
          <w:kern w:val="2"/>
          <w:sz w:val="30"/>
          <w:szCs w:val="30"/>
          <w:highlight w:val="none"/>
          <w:lang w:val="en-US"/>
        </w:rPr>
      </w:pPr>
      <w:bookmarkStart w:id="960" w:name="_Toc139797647"/>
      <w:bookmarkStart w:id="961" w:name="_Toc266"/>
      <w:bookmarkStart w:id="962" w:name="_Toc12608"/>
      <w:r>
        <w:rPr>
          <w:rFonts w:hint="eastAsia" w:ascii="仿宋" w:hAnsi="仿宋" w:eastAsia="仿宋" w:cs="仿宋"/>
          <w:bCs/>
          <w:color w:val="auto"/>
          <w:kern w:val="2"/>
          <w:sz w:val="30"/>
          <w:szCs w:val="30"/>
          <w:highlight w:val="none"/>
          <w:lang w:val="en-US"/>
        </w:rPr>
        <w:t>评审中的其他事项</w:t>
      </w:r>
      <w:bookmarkEnd w:id="960"/>
      <w:bookmarkEnd w:id="961"/>
      <w:bookmarkEnd w:id="962"/>
    </w:p>
    <w:p w14:paraId="24FDF54A">
      <w:pPr>
        <w:pStyle w:val="140"/>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95872C6">
      <w:pPr>
        <w:pStyle w:val="25"/>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4.2响应文件无效。</w:t>
      </w:r>
    </w:p>
    <w:p w14:paraId="3485CD66">
      <w:pPr>
        <w:spacing w:line="360" w:lineRule="auto"/>
        <w:ind w:firstLine="482" w:firstLineChars="200"/>
        <w:rPr>
          <w:rFonts w:ascii="仿宋" w:hAnsi="仿宋" w:eastAsia="仿宋" w:cs="仿宋"/>
          <w:b/>
          <w:bCs/>
          <w:color w:val="auto"/>
          <w:sz w:val="24"/>
          <w:szCs w:val="32"/>
          <w:highlight w:val="none"/>
        </w:rPr>
      </w:pPr>
      <w:bookmarkStart w:id="963" w:name="_Toc13716"/>
      <w:r>
        <w:rPr>
          <w:rFonts w:hint="eastAsia" w:ascii="仿宋" w:hAnsi="仿宋" w:eastAsia="仿宋" w:cs="仿宋"/>
          <w:b/>
          <w:bCs/>
          <w:color w:val="auto"/>
          <w:sz w:val="24"/>
          <w:szCs w:val="32"/>
          <w:highlight w:val="none"/>
        </w:rPr>
        <w:t>4.2.1 在符合性审查时，如发现下列情形之一的，其响应无效</w:t>
      </w:r>
      <w:bookmarkEnd w:id="963"/>
    </w:p>
    <w:p w14:paraId="5F6582ED">
      <w:pPr>
        <w:numPr>
          <w:ilvl w:val="0"/>
          <w:numId w:val="9"/>
        </w:numPr>
        <w:spacing w:line="360" w:lineRule="auto"/>
        <w:ind w:left="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单位负责人为同一人或者存在直接控股、管理关系的不同供应商参加同一合同项下的政府采购活动的（均无效）；</w:t>
      </w:r>
    </w:p>
    <w:p w14:paraId="00CACD9A">
      <w:pPr>
        <w:numPr>
          <w:ilvl w:val="0"/>
          <w:numId w:val="9"/>
        </w:numPr>
        <w:spacing w:line="360" w:lineRule="auto"/>
        <w:ind w:left="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 xml:space="preserve">为采购项目提供整体设计、规范编制或者项目管理、监理、检测等服务的供应商再参加该采购项目的其他采购活动的； </w:t>
      </w:r>
    </w:p>
    <w:p w14:paraId="6E072249">
      <w:pPr>
        <w:numPr>
          <w:ilvl w:val="0"/>
          <w:numId w:val="9"/>
        </w:numPr>
        <w:spacing w:line="360" w:lineRule="auto"/>
        <w:ind w:left="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供应商不具备磋商文件中规定的资格要求的（供应商未提供有效的资格证明文件的，视为供应商不具备磋商文件中规定的资格要求）；</w:t>
      </w:r>
    </w:p>
    <w:p w14:paraId="18B83448">
      <w:pPr>
        <w:numPr>
          <w:ilvl w:val="0"/>
          <w:numId w:val="9"/>
        </w:numPr>
        <w:spacing w:line="360" w:lineRule="auto"/>
        <w:ind w:left="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如以联合体形式参加政府采购活动的，联合协议不符合磋商文件规定的联合协议要求的；</w:t>
      </w:r>
    </w:p>
    <w:p w14:paraId="4541D31F">
      <w:pPr>
        <w:numPr>
          <w:ilvl w:val="0"/>
          <w:numId w:val="9"/>
        </w:numPr>
        <w:spacing w:line="360" w:lineRule="auto"/>
        <w:ind w:left="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响应文件未按磋商文件的澄清、修改的内容编制，又不符合实质性要求的；</w:t>
      </w:r>
    </w:p>
    <w:p w14:paraId="6A42B43C">
      <w:pPr>
        <w:numPr>
          <w:ilvl w:val="0"/>
          <w:numId w:val="9"/>
        </w:numPr>
        <w:spacing w:line="360" w:lineRule="auto"/>
        <w:ind w:left="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响应文件组成漏项，内容不全或内容字迹模糊辨认不清的；</w:t>
      </w:r>
    </w:p>
    <w:p w14:paraId="6213DA44">
      <w:pPr>
        <w:numPr>
          <w:ilvl w:val="0"/>
          <w:numId w:val="9"/>
        </w:numPr>
        <w:spacing w:line="360" w:lineRule="auto"/>
        <w:ind w:left="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未按磋商文件规定进行盖章、签字的；</w:t>
      </w:r>
    </w:p>
    <w:p w14:paraId="1228DBEC">
      <w:pPr>
        <w:numPr>
          <w:ilvl w:val="0"/>
          <w:numId w:val="9"/>
        </w:numPr>
        <w:spacing w:line="360" w:lineRule="auto"/>
        <w:ind w:left="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未实质响应磋商文件中带“▲”条款要求的磋商响应文件；</w:t>
      </w:r>
    </w:p>
    <w:p w14:paraId="27DE6029">
      <w:pPr>
        <w:numPr>
          <w:ilvl w:val="0"/>
          <w:numId w:val="9"/>
        </w:numPr>
        <w:spacing w:line="360" w:lineRule="auto"/>
        <w:ind w:left="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存在一个或一个以上备选（替代）响应方案的；</w:t>
      </w:r>
    </w:p>
    <w:p w14:paraId="24D51A25">
      <w:pPr>
        <w:spacing w:line="360" w:lineRule="auto"/>
        <w:ind w:left="368" w:leftChars="175"/>
        <w:rPr>
          <w:rFonts w:ascii="仿宋" w:hAnsi="仿宋" w:eastAsia="仿宋" w:cs="仿宋"/>
          <w:color w:val="auto"/>
          <w:sz w:val="24"/>
          <w:highlight w:val="none"/>
        </w:rPr>
      </w:pPr>
      <w:r>
        <w:rPr>
          <w:rFonts w:hint="eastAsia" w:ascii="仿宋" w:hAnsi="仿宋" w:eastAsia="仿宋" w:cs="仿宋"/>
          <w:color w:val="auto"/>
          <w:sz w:val="24"/>
          <w:highlight w:val="none"/>
        </w:rPr>
        <w:t>(10)供应商提交两份或两份以上内容不同的磋商响应文件，未声明哪一份有效的。</w:t>
      </w:r>
    </w:p>
    <w:p w14:paraId="3DE3C1D2">
      <w:pPr>
        <w:spacing w:line="360" w:lineRule="auto"/>
        <w:ind w:left="368" w:leftChars="175"/>
        <w:rPr>
          <w:rFonts w:ascii="仿宋" w:hAnsi="仿宋" w:eastAsia="仿宋" w:cs="仿宋"/>
          <w:color w:val="auto"/>
          <w:sz w:val="24"/>
          <w:highlight w:val="none"/>
        </w:rPr>
      </w:pPr>
      <w:r>
        <w:rPr>
          <w:rFonts w:hint="eastAsia" w:ascii="仿宋" w:hAnsi="仿宋" w:eastAsia="仿宋" w:cs="仿宋"/>
          <w:color w:val="auto"/>
          <w:sz w:val="24"/>
          <w:highlight w:val="none"/>
        </w:rPr>
        <w:t>(11)采购人拟采购的产品属于政府强制采购的节能产品品目清单范围的，供应商未按采购文件要求提供国家确定的认证机构出具的、处于有效期之内的节能产品认证证书的；</w:t>
      </w:r>
    </w:p>
    <w:p w14:paraId="18178330">
      <w:pPr>
        <w:spacing w:line="360" w:lineRule="auto"/>
        <w:ind w:left="368" w:leftChars="175"/>
        <w:rPr>
          <w:rFonts w:ascii="仿宋" w:hAnsi="仿宋" w:eastAsia="仿宋" w:cs="仿宋"/>
          <w:color w:val="auto"/>
          <w:sz w:val="24"/>
          <w:highlight w:val="none"/>
        </w:rPr>
      </w:pPr>
      <w:r>
        <w:rPr>
          <w:rFonts w:hint="eastAsia" w:ascii="仿宋" w:hAnsi="仿宋" w:eastAsia="仿宋" w:cs="仿宋"/>
          <w:color w:val="auto"/>
          <w:sz w:val="24"/>
          <w:highlight w:val="none"/>
        </w:rPr>
        <w:t>(12)响应文件中承诺的响应文件有效期少于采购文件中载明的响应文件有效期的；</w:t>
      </w:r>
    </w:p>
    <w:p w14:paraId="3DCC280D">
      <w:pPr>
        <w:spacing w:line="360" w:lineRule="auto"/>
        <w:ind w:firstLine="482" w:firstLineChars="200"/>
        <w:rPr>
          <w:rFonts w:ascii="仿宋" w:hAnsi="仿宋" w:eastAsia="仿宋" w:cs="仿宋"/>
          <w:b/>
          <w:bCs/>
          <w:color w:val="auto"/>
          <w:sz w:val="24"/>
          <w:szCs w:val="32"/>
          <w:highlight w:val="none"/>
        </w:rPr>
      </w:pPr>
      <w:bookmarkStart w:id="964" w:name="_Toc23358"/>
      <w:r>
        <w:rPr>
          <w:rFonts w:hint="eastAsia" w:ascii="仿宋" w:hAnsi="仿宋" w:eastAsia="仿宋" w:cs="仿宋"/>
          <w:b/>
          <w:bCs/>
          <w:color w:val="auto"/>
          <w:sz w:val="24"/>
          <w:szCs w:val="32"/>
          <w:highlight w:val="none"/>
        </w:rPr>
        <w:t>4.2.2 在资信商务技术评审时，如发现下列情形之一的，其响应无效</w:t>
      </w:r>
      <w:bookmarkEnd w:id="964"/>
    </w:p>
    <w:p w14:paraId="6AD4989B">
      <w:pPr>
        <w:numPr>
          <w:ilvl w:val="0"/>
          <w:numId w:val="10"/>
        </w:numPr>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磋商响应文件含有采购人不能接受的附加条款的；</w:t>
      </w:r>
    </w:p>
    <w:p w14:paraId="33F15E34">
      <w:pPr>
        <w:numPr>
          <w:ilvl w:val="0"/>
          <w:numId w:val="10"/>
        </w:numPr>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磋商响应文件中提供赠品、回扣或者与采购无关的其他商品、服务的；</w:t>
      </w:r>
    </w:p>
    <w:p w14:paraId="0FE90683">
      <w:pPr>
        <w:numPr>
          <w:ilvl w:val="0"/>
          <w:numId w:val="10"/>
        </w:numPr>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磋商小组评定有非实质性条款负偏离超过磋商文件规定项数的，项数要</w:t>
      </w:r>
    </w:p>
    <w:p w14:paraId="4C438B6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求见供应商须知前附表（一）；</w:t>
      </w:r>
    </w:p>
    <w:p w14:paraId="157F2CF4">
      <w:pPr>
        <w:numPr>
          <w:ilvl w:val="0"/>
          <w:numId w:val="10"/>
        </w:numPr>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供应商已明知采购期间或之后企业将发生兼并改制，或提供的产品将停</w:t>
      </w:r>
    </w:p>
    <w:p w14:paraId="0815C77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产、淘汰，或必须有偿使用专供的备品备件和试剂耗材的，及其他应当告知采购人可能影响采购项目实施或损害采购人利益的信息，不在磋商响应文件中予以特别说明的；</w:t>
      </w:r>
    </w:p>
    <w:p w14:paraId="37324AF3">
      <w:pPr>
        <w:numPr>
          <w:ilvl w:val="0"/>
          <w:numId w:val="10"/>
        </w:numPr>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磋商响应文件内容不全或内容字迹模糊辨认不清的而导致评审无法正常</w:t>
      </w:r>
    </w:p>
    <w:p w14:paraId="1A50400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进行（经磋商小组认定并允许其当场更正的笔误除外的）；</w:t>
      </w:r>
    </w:p>
    <w:p w14:paraId="7F5590C5">
      <w:pPr>
        <w:numPr>
          <w:ilvl w:val="0"/>
          <w:numId w:val="10"/>
        </w:numPr>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违反国家及政府部门相关法律、法规、文件规定或经评审委员认定的其</w:t>
      </w:r>
    </w:p>
    <w:p w14:paraId="1566F61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他属于重大偏离的。</w:t>
      </w:r>
    </w:p>
    <w:p w14:paraId="4BE82693">
      <w:pPr>
        <w:spacing w:line="360" w:lineRule="auto"/>
        <w:ind w:firstLine="482" w:firstLineChars="200"/>
        <w:rPr>
          <w:rFonts w:ascii="仿宋" w:hAnsi="仿宋" w:eastAsia="仿宋" w:cs="仿宋"/>
          <w:b/>
          <w:bCs/>
          <w:color w:val="auto"/>
          <w:sz w:val="24"/>
          <w:szCs w:val="32"/>
          <w:highlight w:val="none"/>
        </w:rPr>
      </w:pPr>
      <w:bookmarkStart w:id="965" w:name="_Toc26362"/>
      <w:r>
        <w:rPr>
          <w:rFonts w:hint="eastAsia" w:ascii="仿宋" w:hAnsi="仿宋" w:eastAsia="仿宋" w:cs="仿宋"/>
          <w:b/>
          <w:bCs/>
          <w:color w:val="auto"/>
          <w:sz w:val="24"/>
          <w:szCs w:val="32"/>
          <w:highlight w:val="none"/>
        </w:rPr>
        <w:t>4.3.3在报价评审时，如发现下列情形之一的，其响应无效</w:t>
      </w:r>
      <w:bookmarkEnd w:id="965"/>
    </w:p>
    <w:p w14:paraId="178D1CC0">
      <w:pPr>
        <w:numPr>
          <w:ilvl w:val="0"/>
          <w:numId w:val="11"/>
        </w:numPr>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所提交的《最后报价一览表》中出现不是唯一的、有选择性的报价的；</w:t>
      </w:r>
    </w:p>
    <w:p w14:paraId="0E2A719B">
      <w:pPr>
        <w:numPr>
          <w:ilvl w:val="0"/>
          <w:numId w:val="11"/>
        </w:numPr>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报价超过磋商文件中规定的</w:t>
      </w:r>
      <w:r>
        <w:rPr>
          <w:rFonts w:hint="eastAsia" w:ascii="仿宋" w:hAnsi="仿宋" w:eastAsia="仿宋" w:cs="仿宋"/>
          <w:color w:val="auto"/>
          <w:kern w:val="0"/>
          <w:sz w:val="24"/>
          <w:highlight w:val="none"/>
        </w:rPr>
        <w:t>预算金额或者最高限价</w:t>
      </w:r>
      <w:r>
        <w:rPr>
          <w:rFonts w:hint="eastAsia" w:ascii="仿宋" w:hAnsi="仿宋" w:eastAsia="仿宋" w:cs="仿宋"/>
          <w:color w:val="auto"/>
          <w:sz w:val="24"/>
          <w:highlight w:val="none"/>
        </w:rPr>
        <w:t>的；</w:t>
      </w:r>
    </w:p>
    <w:p w14:paraId="5E7A5EA1">
      <w:pPr>
        <w:numPr>
          <w:ilvl w:val="0"/>
          <w:numId w:val="11"/>
        </w:numPr>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响应报价存在漏项或报价数量少于采购要求的，报价文件内容与对应资</w:t>
      </w:r>
    </w:p>
    <w:p w14:paraId="20BA5E6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信商务及技术文件内容不一致的；</w:t>
      </w:r>
    </w:p>
    <w:p w14:paraId="0A7339FD">
      <w:pPr>
        <w:numPr>
          <w:ilvl w:val="0"/>
          <w:numId w:val="11"/>
        </w:numPr>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磋商报价明显低于其他通过符合性审查供应商的报价，有可能影响产品</w:t>
      </w:r>
    </w:p>
    <w:p w14:paraId="5C1FC91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质量或者不能诚信履约的，未能按要求提供书面说明或者提交相关证明材料，不能证明其报价合理性的；</w:t>
      </w:r>
    </w:p>
    <w:p w14:paraId="0A80D255">
      <w:pPr>
        <w:numPr>
          <w:ilvl w:val="0"/>
          <w:numId w:val="11"/>
        </w:numPr>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拒不接受报价错误修正或报价错误修正后不在线确认的。</w:t>
      </w:r>
    </w:p>
    <w:p w14:paraId="3A560A17">
      <w:pPr>
        <w:spacing w:line="360" w:lineRule="auto"/>
        <w:ind w:firstLine="482" w:firstLineChars="200"/>
        <w:rPr>
          <w:rFonts w:ascii="仿宋" w:hAnsi="仿宋" w:eastAsia="仿宋" w:cs="仿宋"/>
          <w:b/>
          <w:bCs/>
          <w:color w:val="auto"/>
          <w:sz w:val="24"/>
          <w:szCs w:val="32"/>
          <w:highlight w:val="none"/>
        </w:rPr>
      </w:pPr>
      <w:bookmarkStart w:id="966" w:name="_Toc330"/>
      <w:r>
        <w:rPr>
          <w:rFonts w:hint="eastAsia" w:ascii="仿宋" w:hAnsi="仿宋" w:eastAsia="仿宋" w:cs="仿宋"/>
          <w:b/>
          <w:bCs/>
          <w:color w:val="auto"/>
          <w:sz w:val="24"/>
          <w:szCs w:val="32"/>
          <w:highlight w:val="none"/>
        </w:rPr>
        <w:t>4.3.4如有下列情形之一的，其响应无效</w:t>
      </w:r>
      <w:bookmarkEnd w:id="966"/>
    </w:p>
    <w:p w14:paraId="17EDC1D7">
      <w:pPr>
        <w:numPr>
          <w:ilvl w:val="0"/>
          <w:numId w:val="12"/>
        </w:numPr>
        <w:spacing w:line="360" w:lineRule="auto"/>
        <w:ind w:leftChars="200" w:hanging="5"/>
        <w:rPr>
          <w:rFonts w:ascii="仿宋" w:hAnsi="仿宋" w:eastAsia="仿宋" w:cs="仿宋"/>
          <w:color w:val="auto"/>
          <w:sz w:val="24"/>
          <w:highlight w:val="none"/>
        </w:rPr>
      </w:pPr>
      <w:r>
        <w:rPr>
          <w:rFonts w:hint="eastAsia" w:ascii="仿宋" w:hAnsi="仿宋" w:eastAsia="仿宋" w:cs="仿宋"/>
          <w:color w:val="auto"/>
          <w:sz w:val="24"/>
          <w:highlight w:val="none"/>
        </w:rPr>
        <w:t>供应商直接或者间接从采购人或者采购代理机构处获得其他供应商的相</w:t>
      </w:r>
    </w:p>
    <w:p w14:paraId="6079FE9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关情况并修改其磋商响应文件；</w:t>
      </w:r>
    </w:p>
    <w:p w14:paraId="0B2839FF">
      <w:pPr>
        <w:numPr>
          <w:ilvl w:val="0"/>
          <w:numId w:val="12"/>
        </w:numPr>
        <w:spacing w:line="360" w:lineRule="auto"/>
        <w:ind w:leftChars="200" w:hanging="5"/>
        <w:rPr>
          <w:rFonts w:ascii="仿宋" w:hAnsi="仿宋" w:eastAsia="仿宋" w:cs="仿宋"/>
          <w:color w:val="auto"/>
          <w:sz w:val="24"/>
          <w:highlight w:val="none"/>
        </w:rPr>
      </w:pPr>
      <w:r>
        <w:rPr>
          <w:rFonts w:hint="eastAsia" w:ascii="仿宋" w:hAnsi="仿宋" w:eastAsia="仿宋" w:cs="仿宋"/>
          <w:color w:val="auto"/>
          <w:sz w:val="24"/>
          <w:highlight w:val="none"/>
        </w:rPr>
        <w:t>供应商按照采购人或者采购代理机构的授意撤换、修改磋商响应文件；</w:t>
      </w:r>
    </w:p>
    <w:p w14:paraId="64121320">
      <w:pPr>
        <w:numPr>
          <w:ilvl w:val="0"/>
          <w:numId w:val="12"/>
        </w:numPr>
        <w:spacing w:line="360" w:lineRule="auto"/>
        <w:ind w:leftChars="200" w:hanging="5"/>
        <w:rPr>
          <w:rFonts w:ascii="仿宋" w:hAnsi="仿宋" w:eastAsia="仿宋" w:cs="仿宋"/>
          <w:color w:val="auto"/>
          <w:sz w:val="24"/>
          <w:highlight w:val="none"/>
        </w:rPr>
      </w:pPr>
      <w:r>
        <w:rPr>
          <w:rFonts w:hint="eastAsia" w:ascii="仿宋" w:hAnsi="仿宋" w:eastAsia="仿宋" w:cs="仿宋"/>
          <w:color w:val="auto"/>
          <w:sz w:val="24"/>
          <w:highlight w:val="none"/>
        </w:rPr>
        <w:t>供应商之间协商磋商响应文件的实质性内容；</w:t>
      </w:r>
    </w:p>
    <w:p w14:paraId="58BFF303">
      <w:pPr>
        <w:numPr>
          <w:ilvl w:val="0"/>
          <w:numId w:val="12"/>
        </w:numPr>
        <w:spacing w:line="360" w:lineRule="auto"/>
        <w:ind w:leftChars="200" w:hanging="5"/>
        <w:rPr>
          <w:rFonts w:ascii="仿宋" w:hAnsi="仿宋" w:eastAsia="仿宋" w:cs="仿宋"/>
          <w:color w:val="auto"/>
          <w:sz w:val="24"/>
          <w:highlight w:val="none"/>
        </w:rPr>
      </w:pPr>
      <w:r>
        <w:rPr>
          <w:rFonts w:hint="eastAsia" w:ascii="仿宋" w:hAnsi="仿宋" w:eastAsia="仿宋" w:cs="仿宋"/>
          <w:color w:val="auto"/>
          <w:sz w:val="24"/>
          <w:highlight w:val="none"/>
        </w:rPr>
        <w:t>属于同一集团、协会、商会等组织成员的供应商按照该组织要求协同参</w:t>
      </w:r>
    </w:p>
    <w:p w14:paraId="6EDC9FF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加政府采购活动；</w:t>
      </w:r>
    </w:p>
    <w:p w14:paraId="5B6FAE04">
      <w:pPr>
        <w:numPr>
          <w:ilvl w:val="0"/>
          <w:numId w:val="12"/>
        </w:numPr>
        <w:spacing w:line="360" w:lineRule="auto"/>
        <w:ind w:leftChars="200" w:hanging="5"/>
        <w:rPr>
          <w:rFonts w:ascii="仿宋" w:hAnsi="仿宋" w:eastAsia="仿宋" w:cs="仿宋"/>
          <w:color w:val="auto"/>
          <w:sz w:val="24"/>
          <w:highlight w:val="none"/>
        </w:rPr>
      </w:pPr>
      <w:r>
        <w:rPr>
          <w:rFonts w:hint="eastAsia" w:ascii="仿宋" w:hAnsi="仿宋" w:eastAsia="仿宋" w:cs="仿宋"/>
          <w:color w:val="auto"/>
          <w:sz w:val="24"/>
          <w:highlight w:val="none"/>
        </w:rPr>
        <w:t>供应商之间事先约定由某一特定供应商中标、成交；</w:t>
      </w:r>
    </w:p>
    <w:p w14:paraId="25872D7B">
      <w:pPr>
        <w:numPr>
          <w:ilvl w:val="0"/>
          <w:numId w:val="12"/>
        </w:numPr>
        <w:spacing w:line="360" w:lineRule="auto"/>
        <w:ind w:leftChars="200" w:hanging="5"/>
        <w:rPr>
          <w:rFonts w:ascii="仿宋" w:hAnsi="仿宋" w:eastAsia="仿宋" w:cs="仿宋"/>
          <w:color w:val="auto"/>
          <w:sz w:val="24"/>
          <w:highlight w:val="none"/>
        </w:rPr>
      </w:pPr>
      <w:r>
        <w:rPr>
          <w:rFonts w:hint="eastAsia" w:ascii="仿宋" w:hAnsi="仿宋" w:eastAsia="仿宋" w:cs="仿宋"/>
          <w:color w:val="auto"/>
          <w:sz w:val="24"/>
          <w:highlight w:val="none"/>
        </w:rPr>
        <w:t>供应商之间商定部分供应商放弃参加政府采购活动或者放弃中标、成交；</w:t>
      </w:r>
    </w:p>
    <w:p w14:paraId="74AB4B54">
      <w:pPr>
        <w:numPr>
          <w:ilvl w:val="0"/>
          <w:numId w:val="12"/>
        </w:numPr>
        <w:spacing w:line="360" w:lineRule="auto"/>
        <w:ind w:leftChars="200" w:hanging="5"/>
        <w:rPr>
          <w:rFonts w:ascii="仿宋" w:hAnsi="仿宋" w:eastAsia="仿宋" w:cs="仿宋"/>
          <w:color w:val="auto"/>
          <w:sz w:val="24"/>
          <w:highlight w:val="none"/>
        </w:rPr>
      </w:pPr>
      <w:r>
        <w:rPr>
          <w:rFonts w:hint="eastAsia" w:ascii="仿宋" w:hAnsi="仿宋" w:eastAsia="仿宋" w:cs="仿宋"/>
          <w:color w:val="auto"/>
          <w:sz w:val="24"/>
          <w:highlight w:val="none"/>
        </w:rPr>
        <w:t>供应商与采购人或者采购代理机构之间、供应商相互之间，为谋求特定</w:t>
      </w:r>
    </w:p>
    <w:p w14:paraId="26EAB55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供应商中标、成交或者排斥其他供应商的其他串通行为；</w:t>
      </w:r>
    </w:p>
    <w:p w14:paraId="3C8790F9">
      <w:pPr>
        <w:numPr>
          <w:ilvl w:val="0"/>
          <w:numId w:val="12"/>
        </w:numPr>
        <w:spacing w:line="360" w:lineRule="auto"/>
        <w:ind w:leftChars="200" w:hanging="5"/>
        <w:rPr>
          <w:rFonts w:ascii="仿宋" w:hAnsi="仿宋" w:eastAsia="仿宋" w:cs="仿宋"/>
          <w:color w:val="auto"/>
          <w:sz w:val="24"/>
          <w:highlight w:val="none"/>
        </w:rPr>
      </w:pPr>
      <w:r>
        <w:rPr>
          <w:rFonts w:hint="eastAsia" w:ascii="仿宋" w:hAnsi="仿宋" w:eastAsia="仿宋" w:cs="仿宋"/>
          <w:color w:val="auto"/>
          <w:sz w:val="24"/>
          <w:highlight w:val="none"/>
        </w:rPr>
        <w:t>不同供应商的磋商响应文件由同一单位或者个人编制；</w:t>
      </w:r>
    </w:p>
    <w:p w14:paraId="535EE4C2">
      <w:pPr>
        <w:numPr>
          <w:ilvl w:val="0"/>
          <w:numId w:val="12"/>
        </w:numPr>
        <w:spacing w:line="360" w:lineRule="auto"/>
        <w:ind w:leftChars="200" w:hanging="5"/>
        <w:rPr>
          <w:rFonts w:ascii="仿宋" w:hAnsi="仿宋" w:eastAsia="仿宋" w:cs="仿宋"/>
          <w:color w:val="auto"/>
          <w:sz w:val="24"/>
          <w:highlight w:val="none"/>
        </w:rPr>
      </w:pPr>
      <w:r>
        <w:rPr>
          <w:rFonts w:hint="eastAsia" w:ascii="仿宋" w:hAnsi="仿宋" w:eastAsia="仿宋" w:cs="仿宋"/>
          <w:color w:val="auto"/>
          <w:sz w:val="24"/>
          <w:highlight w:val="none"/>
        </w:rPr>
        <w:t>不同供应商委托同一单位或者个人办理磋商事宜；</w:t>
      </w:r>
    </w:p>
    <w:p w14:paraId="18554EF5">
      <w:pPr>
        <w:spacing w:line="360" w:lineRule="auto"/>
        <w:ind w:left="368" w:leftChars="175"/>
        <w:rPr>
          <w:rFonts w:ascii="仿宋" w:hAnsi="仿宋" w:eastAsia="仿宋" w:cs="仿宋"/>
          <w:color w:val="auto"/>
          <w:sz w:val="24"/>
          <w:highlight w:val="none"/>
        </w:rPr>
      </w:pPr>
      <w:r>
        <w:rPr>
          <w:rFonts w:hint="eastAsia" w:ascii="仿宋" w:hAnsi="仿宋" w:eastAsia="仿宋" w:cs="仿宋"/>
          <w:color w:val="auto"/>
          <w:sz w:val="24"/>
          <w:highlight w:val="none"/>
        </w:rPr>
        <w:t>(10)不同供应商的磋商响应文件载明的项目管理成员或者联系人员为同</w:t>
      </w:r>
    </w:p>
    <w:p w14:paraId="0525FD19">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一人；</w:t>
      </w:r>
    </w:p>
    <w:p w14:paraId="71DEF3ED">
      <w:pPr>
        <w:spacing w:line="360" w:lineRule="auto"/>
        <w:ind w:left="368" w:leftChars="175"/>
        <w:rPr>
          <w:rFonts w:ascii="仿宋" w:hAnsi="仿宋" w:eastAsia="仿宋" w:cs="仿宋"/>
          <w:color w:val="auto"/>
          <w:sz w:val="24"/>
          <w:highlight w:val="none"/>
        </w:rPr>
      </w:pPr>
      <w:r>
        <w:rPr>
          <w:rFonts w:hint="eastAsia" w:ascii="仿宋" w:hAnsi="仿宋" w:eastAsia="仿宋" w:cs="仿宋"/>
          <w:color w:val="auto"/>
          <w:sz w:val="24"/>
          <w:highlight w:val="none"/>
        </w:rPr>
        <w:t>(11)不同供应商的磋商响应文件异常一致或者响应报价呈规律性差异；</w:t>
      </w:r>
    </w:p>
    <w:p w14:paraId="35921970">
      <w:pPr>
        <w:spacing w:line="360" w:lineRule="auto"/>
        <w:ind w:left="368" w:leftChars="175"/>
        <w:rPr>
          <w:rFonts w:ascii="仿宋" w:hAnsi="仿宋" w:eastAsia="仿宋" w:cs="仿宋"/>
          <w:color w:val="auto"/>
          <w:sz w:val="24"/>
          <w:highlight w:val="none"/>
        </w:rPr>
      </w:pPr>
      <w:r>
        <w:rPr>
          <w:rFonts w:hint="eastAsia" w:ascii="仿宋" w:hAnsi="仿宋" w:eastAsia="仿宋" w:cs="仿宋"/>
          <w:color w:val="auto"/>
          <w:sz w:val="24"/>
          <w:highlight w:val="none"/>
        </w:rPr>
        <w:t>(12)提供虚假材料谋取成交的。</w:t>
      </w:r>
    </w:p>
    <w:p w14:paraId="23C1201B">
      <w:pPr>
        <w:spacing w:line="360" w:lineRule="auto"/>
        <w:ind w:left="368" w:leftChars="175"/>
        <w:rPr>
          <w:rFonts w:ascii="仿宋" w:hAnsi="仿宋" w:eastAsia="仿宋" w:cs="仿宋"/>
          <w:color w:val="auto"/>
          <w:sz w:val="24"/>
          <w:highlight w:val="none"/>
        </w:rPr>
      </w:pPr>
      <w:r>
        <w:rPr>
          <w:rFonts w:hint="eastAsia" w:ascii="仿宋" w:hAnsi="仿宋" w:eastAsia="仿宋" w:cs="仿宋"/>
          <w:color w:val="auto"/>
          <w:sz w:val="24"/>
          <w:highlight w:val="none"/>
        </w:rPr>
        <w:t>(13)供应商仅提交备份响应文件，未在电子交易平台传输递交响应文件的，响应文件无效；</w:t>
      </w:r>
    </w:p>
    <w:p w14:paraId="659BAFA2">
      <w:pPr>
        <w:spacing w:line="360" w:lineRule="auto"/>
        <w:ind w:left="368" w:leftChars="175"/>
        <w:rPr>
          <w:rFonts w:ascii="仿宋" w:hAnsi="仿宋" w:eastAsia="仿宋" w:cs="仿宋"/>
          <w:color w:val="auto"/>
          <w:sz w:val="24"/>
          <w:highlight w:val="none"/>
        </w:rPr>
      </w:pPr>
      <w:r>
        <w:rPr>
          <w:rFonts w:hint="eastAsia" w:ascii="仿宋" w:hAnsi="仿宋" w:eastAsia="仿宋" w:cs="仿宋"/>
          <w:color w:val="auto"/>
          <w:sz w:val="24"/>
          <w:highlight w:val="none"/>
        </w:rPr>
        <w:t>(14)响应文件不满足采购文件的其它实质性要求的；</w:t>
      </w:r>
    </w:p>
    <w:p w14:paraId="15E4F67D">
      <w:pPr>
        <w:spacing w:line="360" w:lineRule="auto"/>
        <w:ind w:left="368" w:leftChars="175"/>
        <w:rPr>
          <w:rFonts w:ascii="仿宋" w:hAnsi="仿宋" w:eastAsia="仿宋" w:cs="仿宋"/>
          <w:color w:val="auto"/>
          <w:sz w:val="24"/>
          <w:highlight w:val="none"/>
        </w:rPr>
      </w:pPr>
      <w:r>
        <w:rPr>
          <w:rFonts w:hint="eastAsia" w:ascii="仿宋" w:hAnsi="仿宋" w:eastAsia="仿宋" w:cs="仿宋"/>
          <w:color w:val="auto"/>
          <w:sz w:val="24"/>
          <w:highlight w:val="none"/>
        </w:rPr>
        <w:t>(15)法律、法规、规章及省级以上规范性文件规定的其他无效情形。</w:t>
      </w:r>
    </w:p>
    <w:p w14:paraId="1CAC6335">
      <w:pPr>
        <w:pStyle w:val="25"/>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5.终止竞争性磋商采购活动。</w:t>
      </w:r>
      <w:r>
        <w:rPr>
          <w:rFonts w:hint="eastAsia" w:ascii="仿宋" w:hAnsi="仿宋" w:eastAsia="仿宋" w:cs="仿宋"/>
          <w:color w:val="auto"/>
          <w:highlight w:val="none"/>
        </w:rPr>
        <w:t>出现下列情形之一的，采购人或者采购代理机构应当终止竞争性磋商采购活动，发布项目终止公告并说明原因，重新开展采购活动：</w:t>
      </w:r>
    </w:p>
    <w:p w14:paraId="65C0FB97">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5.1因情况变化，不再符合规定的竞争性磋商采购方式适用情形的；</w:t>
      </w:r>
    </w:p>
    <w:p w14:paraId="69308F0C">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19FCC8C">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5.3除符合《政府采购竞争性磋商采购方式管理暂行办法》的通知(财库〔2014〕214号)第二十一条第三款规定的情形外，在采购过程中符合要求的供应商或者报价未超过采购预算的供应商不足3家的。</w:t>
      </w:r>
    </w:p>
    <w:p w14:paraId="73E26886">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C838EC8">
      <w:pPr>
        <w:pStyle w:val="25"/>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309253AD">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14:paraId="713D8C6F">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14:paraId="2C43F103">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14:paraId="6DAA4D4B">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14:paraId="047305A9">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52462619">
      <w:pPr>
        <w:pStyle w:val="60"/>
        <w:widowControl w:val="0"/>
        <w:numPr>
          <w:ilvl w:val="0"/>
          <w:numId w:val="7"/>
        </w:numPr>
        <w:overflowPunct/>
        <w:autoSpaceDE/>
        <w:autoSpaceDN/>
        <w:adjustRightInd/>
        <w:spacing w:before="240" w:beforeLines="100" w:after="240" w:afterLines="100"/>
        <w:jc w:val="left"/>
        <w:textAlignment w:val="auto"/>
        <w:outlineLvl w:val="1"/>
        <w:rPr>
          <w:rFonts w:ascii="仿宋" w:hAnsi="仿宋" w:eastAsia="仿宋" w:cs="仿宋"/>
          <w:bCs/>
          <w:color w:val="auto"/>
          <w:kern w:val="2"/>
          <w:sz w:val="30"/>
          <w:szCs w:val="30"/>
          <w:highlight w:val="none"/>
          <w:lang w:val="en-US"/>
        </w:rPr>
      </w:pPr>
      <w:bookmarkStart w:id="967" w:name="_Toc25213"/>
      <w:bookmarkStart w:id="968" w:name="_Toc139797648"/>
      <w:bookmarkStart w:id="969" w:name="_Toc20908"/>
      <w:r>
        <w:rPr>
          <w:rFonts w:hint="eastAsia" w:ascii="仿宋" w:hAnsi="仿宋" w:eastAsia="仿宋" w:cs="仿宋"/>
          <w:bCs/>
          <w:color w:val="auto"/>
          <w:kern w:val="2"/>
          <w:sz w:val="30"/>
          <w:szCs w:val="30"/>
          <w:highlight w:val="none"/>
          <w:lang w:val="en-US"/>
        </w:rPr>
        <w:t>评审过程的保密与录像</w:t>
      </w:r>
      <w:bookmarkEnd w:id="967"/>
      <w:bookmarkEnd w:id="968"/>
      <w:bookmarkEnd w:id="969"/>
    </w:p>
    <w:p w14:paraId="53B99A4F">
      <w:pPr>
        <w:widowControl/>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0F79A1C">
      <w:pPr>
        <w:widowControl/>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rPr>
        <w:t>采购代理机构对评审工作现场进行全过程录音录像，录音录像资料作为采购项目文件随其他文件一并存档。</w:t>
      </w:r>
    </w:p>
    <w:p w14:paraId="1B9B5D6E">
      <w:pPr>
        <w:rPr>
          <w:rFonts w:ascii="仿宋" w:hAnsi="仿宋" w:eastAsia="仿宋" w:cs="仿宋"/>
          <w:color w:val="auto"/>
          <w:highlight w:val="none"/>
        </w:rPr>
        <w:sectPr>
          <w:pgSz w:w="11905" w:h="16838"/>
          <w:pgMar w:top="1440" w:right="1803" w:bottom="1440" w:left="1803" w:header="851" w:footer="992" w:gutter="0"/>
          <w:pgNumType w:fmt="decimal"/>
          <w:cols w:space="0" w:num="1"/>
          <w:titlePg/>
        </w:sectPr>
      </w:pPr>
    </w:p>
    <w:p w14:paraId="1F006207">
      <w:pPr>
        <w:pStyle w:val="6"/>
        <w:spacing w:before="0" w:after="0"/>
        <w:ind w:left="901"/>
        <w:rPr>
          <w:rFonts w:ascii="仿宋" w:hAnsi="仿宋" w:eastAsia="仿宋" w:cs="仿宋"/>
          <w:color w:val="auto"/>
          <w:sz w:val="28"/>
          <w:szCs w:val="28"/>
          <w:highlight w:val="none"/>
        </w:rPr>
      </w:pPr>
      <w:bookmarkStart w:id="970" w:name="_Toc9914"/>
      <w:r>
        <w:rPr>
          <w:rFonts w:hint="eastAsia" w:ascii="仿宋" w:hAnsi="仿宋" w:eastAsia="仿宋" w:cs="仿宋"/>
          <w:color w:val="auto"/>
          <w:sz w:val="28"/>
          <w:szCs w:val="28"/>
          <w:highlight w:val="none"/>
        </w:rPr>
        <w:t>附件1：质疑函范本及制作说明</w:t>
      </w:r>
      <w:bookmarkEnd w:id="970"/>
    </w:p>
    <w:p w14:paraId="799821C4">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3325A52">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D52168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DA1FD0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AF3B7D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05B325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B74B73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61C98F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514D32B">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D8F98E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CF80C9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13B375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4F0D13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CDCD347">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17BAE7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E0B015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64B3F7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19913A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9B6E14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558B4C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AA9B7F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B47D872">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FC2924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2F8FA9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A0B03F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2042A5E">
      <w:pPr>
        <w:spacing w:line="360" w:lineRule="auto"/>
        <w:jc w:val="center"/>
        <w:rPr>
          <w:rFonts w:ascii="仿宋" w:hAnsi="仿宋" w:eastAsia="仿宋" w:cs="仿宋"/>
          <w:b/>
          <w:bCs/>
          <w:color w:val="auto"/>
          <w:sz w:val="24"/>
          <w:highlight w:val="none"/>
        </w:rPr>
      </w:pPr>
    </w:p>
    <w:p w14:paraId="7AE5B728">
      <w:pPr>
        <w:spacing w:line="360" w:lineRule="auto"/>
        <w:rPr>
          <w:rFonts w:ascii="仿宋" w:hAnsi="仿宋" w:eastAsia="仿宋" w:cs="仿宋"/>
          <w:b/>
          <w:color w:val="auto"/>
          <w:sz w:val="24"/>
          <w:highlight w:val="none"/>
        </w:rPr>
      </w:pPr>
    </w:p>
    <w:p w14:paraId="51A02D48">
      <w:pPr>
        <w:spacing w:line="360" w:lineRule="auto"/>
        <w:rPr>
          <w:rFonts w:ascii="仿宋" w:hAnsi="仿宋" w:eastAsia="仿宋" w:cs="仿宋"/>
          <w:b/>
          <w:color w:val="auto"/>
          <w:sz w:val="24"/>
          <w:highlight w:val="none"/>
        </w:rPr>
      </w:pPr>
    </w:p>
    <w:p w14:paraId="123DB84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06D4EE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CFBF49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8897E4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8594FE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0D6F22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7539AD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54D4B45">
      <w:pPr>
        <w:widowControl/>
        <w:spacing w:line="360" w:lineRule="auto"/>
        <w:ind w:firstLine="600" w:firstLineChars="200"/>
        <w:jc w:val="left"/>
        <w:rPr>
          <w:rFonts w:ascii="仿宋" w:hAnsi="仿宋" w:eastAsia="仿宋" w:cs="仿宋"/>
          <w:color w:val="auto"/>
          <w:sz w:val="30"/>
          <w:szCs w:val="30"/>
          <w:highlight w:val="none"/>
        </w:rPr>
      </w:pPr>
    </w:p>
    <w:p w14:paraId="6B52A625">
      <w:pPr>
        <w:spacing w:line="360" w:lineRule="auto"/>
        <w:jc w:val="center"/>
        <w:rPr>
          <w:rFonts w:ascii="仿宋" w:hAnsi="仿宋" w:eastAsia="仿宋" w:cs="仿宋"/>
          <w:b/>
          <w:color w:val="auto"/>
          <w:spacing w:val="6"/>
          <w:sz w:val="32"/>
          <w:szCs w:val="32"/>
          <w:highlight w:val="none"/>
        </w:rPr>
      </w:pPr>
    </w:p>
    <w:p w14:paraId="5B0D5CFB">
      <w:pPr>
        <w:spacing w:line="360" w:lineRule="auto"/>
        <w:jc w:val="center"/>
        <w:rPr>
          <w:rFonts w:ascii="仿宋" w:hAnsi="仿宋" w:eastAsia="仿宋" w:cs="仿宋"/>
          <w:b/>
          <w:color w:val="auto"/>
          <w:spacing w:val="6"/>
          <w:sz w:val="32"/>
          <w:szCs w:val="32"/>
          <w:highlight w:val="none"/>
        </w:rPr>
      </w:pPr>
    </w:p>
    <w:p w14:paraId="7F0641EE">
      <w:pPr>
        <w:spacing w:line="360" w:lineRule="auto"/>
        <w:jc w:val="center"/>
        <w:rPr>
          <w:rFonts w:ascii="仿宋" w:hAnsi="仿宋" w:eastAsia="仿宋" w:cs="仿宋"/>
          <w:b/>
          <w:color w:val="auto"/>
          <w:spacing w:val="6"/>
          <w:sz w:val="32"/>
          <w:szCs w:val="32"/>
          <w:highlight w:val="none"/>
        </w:rPr>
      </w:pPr>
    </w:p>
    <w:p w14:paraId="3A2DAD45">
      <w:pPr>
        <w:spacing w:line="360" w:lineRule="auto"/>
        <w:jc w:val="center"/>
        <w:rPr>
          <w:rFonts w:ascii="仿宋" w:hAnsi="仿宋" w:eastAsia="仿宋" w:cs="仿宋"/>
          <w:b/>
          <w:color w:val="auto"/>
          <w:spacing w:val="6"/>
          <w:sz w:val="32"/>
          <w:szCs w:val="32"/>
          <w:highlight w:val="none"/>
        </w:rPr>
      </w:pPr>
    </w:p>
    <w:p w14:paraId="1C5FD702">
      <w:pPr>
        <w:spacing w:line="360" w:lineRule="auto"/>
        <w:jc w:val="center"/>
        <w:rPr>
          <w:rFonts w:ascii="仿宋" w:hAnsi="仿宋" w:eastAsia="仿宋" w:cs="仿宋"/>
          <w:b/>
          <w:color w:val="auto"/>
          <w:spacing w:val="6"/>
          <w:sz w:val="32"/>
          <w:szCs w:val="32"/>
          <w:highlight w:val="none"/>
        </w:rPr>
      </w:pPr>
    </w:p>
    <w:p w14:paraId="4B60237F">
      <w:pPr>
        <w:spacing w:line="360" w:lineRule="auto"/>
        <w:jc w:val="center"/>
        <w:rPr>
          <w:rFonts w:ascii="仿宋" w:hAnsi="仿宋" w:eastAsia="仿宋" w:cs="仿宋"/>
          <w:b/>
          <w:color w:val="auto"/>
          <w:spacing w:val="6"/>
          <w:sz w:val="32"/>
          <w:szCs w:val="32"/>
          <w:highlight w:val="none"/>
        </w:rPr>
      </w:pPr>
    </w:p>
    <w:p w14:paraId="73013F60">
      <w:pPr>
        <w:spacing w:line="360" w:lineRule="auto"/>
        <w:jc w:val="center"/>
        <w:rPr>
          <w:rFonts w:ascii="仿宋" w:hAnsi="仿宋" w:eastAsia="仿宋" w:cs="仿宋"/>
          <w:b/>
          <w:color w:val="auto"/>
          <w:spacing w:val="6"/>
          <w:sz w:val="32"/>
          <w:szCs w:val="32"/>
          <w:highlight w:val="none"/>
        </w:rPr>
      </w:pPr>
    </w:p>
    <w:p w14:paraId="7FEA86C3">
      <w:pPr>
        <w:spacing w:line="360" w:lineRule="auto"/>
        <w:jc w:val="center"/>
        <w:rPr>
          <w:rFonts w:ascii="仿宋" w:hAnsi="仿宋" w:eastAsia="仿宋" w:cs="仿宋"/>
          <w:b/>
          <w:color w:val="auto"/>
          <w:spacing w:val="6"/>
          <w:sz w:val="32"/>
          <w:szCs w:val="32"/>
          <w:highlight w:val="none"/>
        </w:rPr>
      </w:pPr>
    </w:p>
    <w:p w14:paraId="6F5BE598">
      <w:pPr>
        <w:spacing w:line="360" w:lineRule="auto"/>
        <w:jc w:val="center"/>
        <w:rPr>
          <w:rFonts w:ascii="仿宋" w:hAnsi="仿宋" w:eastAsia="仿宋" w:cs="仿宋"/>
          <w:b/>
          <w:color w:val="auto"/>
          <w:spacing w:val="6"/>
          <w:sz w:val="32"/>
          <w:szCs w:val="32"/>
          <w:highlight w:val="none"/>
        </w:rPr>
      </w:pPr>
    </w:p>
    <w:p w14:paraId="77CBC344">
      <w:pPr>
        <w:spacing w:line="360" w:lineRule="auto"/>
        <w:jc w:val="center"/>
        <w:rPr>
          <w:rFonts w:ascii="仿宋" w:hAnsi="仿宋" w:eastAsia="仿宋" w:cs="仿宋"/>
          <w:b/>
          <w:color w:val="auto"/>
          <w:spacing w:val="6"/>
          <w:sz w:val="32"/>
          <w:szCs w:val="32"/>
          <w:highlight w:val="none"/>
        </w:rPr>
      </w:pPr>
    </w:p>
    <w:p w14:paraId="5456751C">
      <w:pPr>
        <w:spacing w:line="360" w:lineRule="auto"/>
        <w:jc w:val="center"/>
        <w:rPr>
          <w:rFonts w:ascii="仿宋" w:hAnsi="仿宋" w:eastAsia="仿宋" w:cs="仿宋"/>
          <w:b/>
          <w:color w:val="auto"/>
          <w:spacing w:val="6"/>
          <w:sz w:val="32"/>
          <w:szCs w:val="32"/>
          <w:highlight w:val="none"/>
        </w:rPr>
      </w:pPr>
    </w:p>
    <w:p w14:paraId="2C5B3D1B">
      <w:pPr>
        <w:spacing w:line="360" w:lineRule="auto"/>
        <w:jc w:val="center"/>
        <w:rPr>
          <w:rFonts w:ascii="仿宋" w:hAnsi="仿宋" w:eastAsia="仿宋" w:cs="仿宋"/>
          <w:b/>
          <w:color w:val="auto"/>
          <w:spacing w:val="6"/>
          <w:sz w:val="32"/>
          <w:szCs w:val="32"/>
          <w:highlight w:val="none"/>
        </w:rPr>
      </w:pPr>
    </w:p>
    <w:p w14:paraId="51EA8336">
      <w:pPr>
        <w:spacing w:line="360" w:lineRule="auto"/>
        <w:jc w:val="left"/>
        <w:rPr>
          <w:rFonts w:ascii="仿宋" w:hAnsi="仿宋" w:eastAsia="仿宋" w:cs="仿宋"/>
          <w:b/>
          <w:color w:val="auto"/>
          <w:spacing w:val="6"/>
          <w:sz w:val="32"/>
          <w:szCs w:val="32"/>
          <w:highlight w:val="none"/>
        </w:rPr>
      </w:pPr>
    </w:p>
    <w:p w14:paraId="2E81B637">
      <w:pPr>
        <w:pStyle w:val="6"/>
        <w:spacing w:before="0" w:after="0"/>
        <w:ind w:left="901"/>
        <w:rPr>
          <w:rFonts w:ascii="仿宋" w:hAnsi="仿宋" w:eastAsia="仿宋" w:cs="仿宋"/>
          <w:color w:val="auto"/>
          <w:sz w:val="28"/>
          <w:szCs w:val="28"/>
          <w:highlight w:val="none"/>
        </w:rPr>
      </w:pPr>
      <w:bookmarkStart w:id="971" w:name="_Toc2677"/>
      <w:r>
        <w:rPr>
          <w:rFonts w:hint="eastAsia" w:ascii="仿宋" w:hAnsi="仿宋" w:eastAsia="仿宋" w:cs="仿宋"/>
          <w:color w:val="auto"/>
          <w:sz w:val="28"/>
          <w:szCs w:val="28"/>
          <w:highlight w:val="none"/>
        </w:rPr>
        <w:t>附件2：投诉书范本及制作说明</w:t>
      </w:r>
      <w:bookmarkEnd w:id="971"/>
    </w:p>
    <w:p w14:paraId="0DF30C72">
      <w:pPr>
        <w:spacing w:line="360" w:lineRule="auto"/>
        <w:jc w:val="center"/>
        <w:rPr>
          <w:rFonts w:ascii="仿宋" w:hAnsi="仿宋" w:eastAsia="仿宋" w:cs="仿宋"/>
          <w:b/>
          <w:color w:val="auto"/>
          <w:sz w:val="24"/>
          <w:highlight w:val="none"/>
        </w:rPr>
      </w:pPr>
    </w:p>
    <w:p w14:paraId="186A0AB3">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B4E77F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A179B4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AF7078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E79B308">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2C3E74">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6D91B6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95886F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07D4F0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D89C91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06CF9B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80E529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4C9F38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323871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CB95B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6B2E7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283F3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D93656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C9DD4D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094E38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83D0C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3DB768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284A61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EA5127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4A9A58D">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CD182B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E08FEC3">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BD513E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91A157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FE844F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BE57DA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1148D5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4A64B2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E3FF37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F4E439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0D54F2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DF7AC7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215B03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D49C7E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15E2C4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F350150">
      <w:pPr>
        <w:spacing w:line="360" w:lineRule="auto"/>
        <w:rPr>
          <w:rFonts w:ascii="仿宋" w:hAnsi="仿宋" w:eastAsia="仿宋" w:cs="仿宋"/>
          <w:b/>
          <w:color w:val="auto"/>
          <w:sz w:val="24"/>
          <w:highlight w:val="none"/>
        </w:rPr>
      </w:pPr>
    </w:p>
    <w:p w14:paraId="37D95696">
      <w:pPr>
        <w:spacing w:line="360" w:lineRule="auto"/>
        <w:rPr>
          <w:rFonts w:ascii="仿宋" w:hAnsi="仿宋" w:eastAsia="仿宋" w:cs="仿宋"/>
          <w:b/>
          <w:color w:val="auto"/>
          <w:sz w:val="24"/>
          <w:highlight w:val="none"/>
        </w:rPr>
      </w:pPr>
    </w:p>
    <w:p w14:paraId="7238E5A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9E0C1B1">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DB79A17">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C60326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6414DC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E1E71C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50921B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9A862B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0F16618">
      <w:pPr>
        <w:pStyle w:val="2"/>
        <w:rPr>
          <w:rFonts w:hint="eastAsia" w:ascii="仿宋" w:hAnsi="仿宋" w:eastAsia="仿宋" w:cs="仿宋"/>
          <w:color w:val="auto"/>
          <w:sz w:val="24"/>
          <w:highlight w:val="none"/>
        </w:rPr>
      </w:pPr>
    </w:p>
    <w:p w14:paraId="078BC1F9">
      <w:pPr>
        <w:pStyle w:val="2"/>
        <w:rPr>
          <w:rFonts w:hint="eastAsia" w:ascii="仿宋" w:hAnsi="仿宋" w:eastAsia="仿宋" w:cs="仿宋"/>
          <w:color w:val="auto"/>
          <w:sz w:val="24"/>
          <w:highlight w:val="none"/>
        </w:rPr>
      </w:pPr>
    </w:p>
    <w:p w14:paraId="76B95E72">
      <w:pPr>
        <w:pStyle w:val="2"/>
        <w:rPr>
          <w:rFonts w:hint="eastAsia" w:ascii="仿宋" w:hAnsi="仿宋" w:eastAsia="仿宋" w:cs="仿宋"/>
          <w:color w:val="auto"/>
          <w:sz w:val="24"/>
          <w:highlight w:val="none"/>
        </w:rPr>
      </w:pPr>
    </w:p>
    <w:p w14:paraId="627018F7">
      <w:pPr>
        <w:pStyle w:val="2"/>
        <w:rPr>
          <w:rFonts w:hint="eastAsia" w:ascii="仿宋" w:hAnsi="仿宋" w:eastAsia="仿宋" w:cs="仿宋"/>
          <w:color w:val="auto"/>
          <w:sz w:val="24"/>
          <w:highlight w:val="none"/>
        </w:rPr>
      </w:pPr>
    </w:p>
    <w:p w14:paraId="6B19671A">
      <w:pPr>
        <w:pStyle w:val="2"/>
        <w:rPr>
          <w:rFonts w:hint="eastAsia" w:ascii="仿宋" w:hAnsi="仿宋" w:eastAsia="仿宋" w:cs="仿宋"/>
          <w:color w:val="auto"/>
          <w:sz w:val="24"/>
          <w:highlight w:val="none"/>
        </w:rPr>
      </w:pPr>
    </w:p>
    <w:p w14:paraId="14DF1EE1">
      <w:pPr>
        <w:pStyle w:val="2"/>
        <w:rPr>
          <w:rFonts w:hint="eastAsia" w:ascii="仿宋" w:hAnsi="仿宋" w:eastAsia="仿宋" w:cs="仿宋"/>
          <w:color w:val="auto"/>
          <w:sz w:val="24"/>
          <w:highlight w:val="none"/>
        </w:rPr>
      </w:pPr>
    </w:p>
    <w:p w14:paraId="04AC41E7">
      <w:pPr>
        <w:pStyle w:val="2"/>
        <w:rPr>
          <w:rFonts w:hint="eastAsia" w:ascii="仿宋" w:hAnsi="仿宋" w:eastAsia="仿宋" w:cs="仿宋"/>
          <w:color w:val="auto"/>
          <w:sz w:val="24"/>
          <w:highlight w:val="none"/>
        </w:rPr>
      </w:pPr>
    </w:p>
    <w:p w14:paraId="150CA7CE">
      <w:pPr>
        <w:pStyle w:val="2"/>
        <w:rPr>
          <w:rFonts w:hint="eastAsia" w:ascii="仿宋" w:hAnsi="仿宋" w:eastAsia="仿宋" w:cs="仿宋"/>
          <w:color w:val="auto"/>
          <w:sz w:val="24"/>
          <w:highlight w:val="none"/>
        </w:rPr>
      </w:pPr>
    </w:p>
    <w:p w14:paraId="10CAB39A">
      <w:pPr>
        <w:pStyle w:val="2"/>
        <w:rPr>
          <w:rFonts w:hint="eastAsia" w:ascii="仿宋" w:hAnsi="仿宋" w:eastAsia="仿宋" w:cs="仿宋"/>
          <w:color w:val="auto"/>
          <w:sz w:val="24"/>
          <w:highlight w:val="none"/>
        </w:rPr>
      </w:pPr>
    </w:p>
    <w:p w14:paraId="604700C4">
      <w:pPr>
        <w:pStyle w:val="2"/>
        <w:rPr>
          <w:rFonts w:hint="eastAsia" w:ascii="仿宋" w:hAnsi="仿宋" w:eastAsia="仿宋" w:cs="仿宋"/>
          <w:color w:val="auto"/>
          <w:sz w:val="24"/>
          <w:highlight w:val="none"/>
        </w:rPr>
      </w:pPr>
    </w:p>
    <w:p w14:paraId="52E22AE0">
      <w:pPr>
        <w:pStyle w:val="2"/>
        <w:rPr>
          <w:rFonts w:hint="eastAsia" w:ascii="仿宋" w:hAnsi="仿宋" w:eastAsia="仿宋" w:cs="仿宋"/>
          <w:color w:val="auto"/>
          <w:sz w:val="24"/>
          <w:highlight w:val="none"/>
        </w:rPr>
      </w:pPr>
    </w:p>
    <w:p w14:paraId="65451147">
      <w:pPr>
        <w:pStyle w:val="2"/>
        <w:rPr>
          <w:rFonts w:hint="eastAsia" w:ascii="仿宋" w:hAnsi="仿宋" w:eastAsia="仿宋" w:cs="仿宋"/>
          <w:color w:val="auto"/>
          <w:sz w:val="24"/>
          <w:highlight w:val="none"/>
        </w:rPr>
      </w:pPr>
    </w:p>
    <w:p w14:paraId="643ABB7E">
      <w:pPr>
        <w:pStyle w:val="2"/>
        <w:rPr>
          <w:rFonts w:hint="eastAsia" w:ascii="仿宋" w:hAnsi="仿宋" w:eastAsia="仿宋" w:cs="仿宋"/>
          <w:color w:val="auto"/>
          <w:sz w:val="24"/>
          <w:highlight w:val="none"/>
        </w:rPr>
      </w:pPr>
    </w:p>
    <w:p w14:paraId="25DF1089">
      <w:pPr>
        <w:pStyle w:val="2"/>
        <w:rPr>
          <w:rFonts w:hint="eastAsia" w:ascii="仿宋" w:hAnsi="仿宋" w:eastAsia="仿宋" w:cs="仿宋"/>
          <w:color w:val="auto"/>
          <w:sz w:val="24"/>
          <w:highlight w:val="none"/>
        </w:rPr>
      </w:pPr>
    </w:p>
    <w:p w14:paraId="47527EAA">
      <w:pPr>
        <w:pStyle w:val="2"/>
        <w:rPr>
          <w:rFonts w:hint="eastAsia" w:ascii="仿宋" w:hAnsi="仿宋" w:eastAsia="仿宋" w:cs="仿宋"/>
          <w:color w:val="auto"/>
          <w:sz w:val="24"/>
          <w:highlight w:val="none"/>
        </w:rPr>
      </w:pPr>
    </w:p>
    <w:p w14:paraId="2903F0F6">
      <w:pPr>
        <w:pStyle w:val="2"/>
        <w:rPr>
          <w:rFonts w:hint="eastAsia" w:ascii="仿宋" w:hAnsi="仿宋" w:eastAsia="仿宋" w:cs="仿宋"/>
          <w:color w:val="auto"/>
          <w:sz w:val="24"/>
          <w:highlight w:val="none"/>
        </w:rPr>
      </w:pPr>
    </w:p>
    <w:p w14:paraId="234D311C">
      <w:pPr>
        <w:pStyle w:val="2"/>
        <w:rPr>
          <w:rFonts w:hint="eastAsia" w:ascii="仿宋" w:hAnsi="仿宋" w:eastAsia="仿宋" w:cs="仿宋"/>
          <w:color w:val="auto"/>
          <w:sz w:val="24"/>
          <w:highlight w:val="none"/>
        </w:rPr>
      </w:pPr>
    </w:p>
    <w:p w14:paraId="32574332">
      <w:pPr>
        <w:pStyle w:val="2"/>
        <w:rPr>
          <w:rFonts w:hint="eastAsia" w:ascii="仿宋" w:hAnsi="仿宋" w:eastAsia="仿宋" w:cs="仿宋"/>
          <w:color w:val="auto"/>
          <w:sz w:val="24"/>
          <w:highlight w:val="none"/>
        </w:rPr>
      </w:pPr>
    </w:p>
    <w:p w14:paraId="38C57661">
      <w:pPr>
        <w:pStyle w:val="2"/>
        <w:rPr>
          <w:rFonts w:hint="eastAsia" w:ascii="仿宋" w:hAnsi="仿宋" w:eastAsia="仿宋" w:cs="仿宋"/>
          <w:color w:val="auto"/>
          <w:sz w:val="24"/>
          <w:highlight w:val="none"/>
        </w:rPr>
      </w:pPr>
    </w:p>
    <w:p w14:paraId="1F78961D">
      <w:pPr>
        <w:pStyle w:val="2"/>
        <w:rPr>
          <w:rFonts w:hint="eastAsia" w:ascii="仿宋" w:hAnsi="仿宋" w:eastAsia="仿宋" w:cs="仿宋"/>
          <w:color w:val="auto"/>
          <w:sz w:val="24"/>
          <w:highlight w:val="none"/>
        </w:rPr>
      </w:pPr>
    </w:p>
    <w:p w14:paraId="7D143BFF">
      <w:pPr>
        <w:pStyle w:val="2"/>
        <w:rPr>
          <w:rFonts w:hint="eastAsia" w:ascii="仿宋" w:hAnsi="仿宋" w:eastAsia="仿宋" w:cs="仿宋"/>
          <w:color w:val="auto"/>
          <w:sz w:val="24"/>
          <w:highlight w:val="none"/>
        </w:rPr>
      </w:pPr>
    </w:p>
    <w:p w14:paraId="497FB8C2">
      <w:pPr>
        <w:pStyle w:val="2"/>
        <w:rPr>
          <w:rFonts w:hint="eastAsia" w:ascii="仿宋" w:hAnsi="仿宋" w:eastAsia="仿宋" w:cs="仿宋"/>
          <w:color w:val="auto"/>
          <w:sz w:val="24"/>
          <w:highlight w:val="none"/>
        </w:rPr>
      </w:pPr>
    </w:p>
    <w:p w14:paraId="465BCA58">
      <w:pPr>
        <w:pStyle w:val="2"/>
        <w:rPr>
          <w:rFonts w:hint="eastAsia" w:ascii="仿宋" w:hAnsi="仿宋" w:eastAsia="仿宋" w:cs="仿宋"/>
          <w:color w:val="auto"/>
          <w:sz w:val="24"/>
          <w:highlight w:val="none"/>
        </w:rPr>
      </w:pPr>
    </w:p>
    <w:p w14:paraId="5606D5CE">
      <w:pPr>
        <w:pStyle w:val="2"/>
        <w:rPr>
          <w:rFonts w:hint="eastAsia" w:ascii="仿宋" w:hAnsi="仿宋" w:eastAsia="仿宋" w:cs="仿宋"/>
          <w:color w:val="auto"/>
          <w:sz w:val="24"/>
          <w:highlight w:val="none"/>
        </w:rPr>
      </w:pPr>
    </w:p>
    <w:p w14:paraId="30410282">
      <w:pPr>
        <w:pStyle w:val="2"/>
        <w:rPr>
          <w:rFonts w:hint="eastAsia" w:ascii="仿宋" w:hAnsi="仿宋" w:eastAsia="仿宋" w:cs="仿宋"/>
          <w:color w:val="auto"/>
          <w:sz w:val="24"/>
          <w:highlight w:val="none"/>
        </w:rPr>
      </w:pPr>
    </w:p>
    <w:p w14:paraId="7D18F184">
      <w:pPr>
        <w:widowControl/>
        <w:spacing w:line="360" w:lineRule="auto"/>
        <w:ind w:firstLine="480" w:firstLineChars="200"/>
        <w:jc w:val="left"/>
        <w:rPr>
          <w:rFonts w:ascii="仿宋" w:hAnsi="仿宋" w:eastAsia="仿宋" w:cs="仿宋"/>
          <w:color w:val="auto"/>
          <w:sz w:val="24"/>
          <w:highlight w:val="none"/>
        </w:rPr>
      </w:pPr>
    </w:p>
    <w:p w14:paraId="72E0C880">
      <w:pPr>
        <w:pStyle w:val="6"/>
        <w:spacing w:before="0" w:after="0"/>
        <w:ind w:left="901"/>
        <w:rPr>
          <w:rFonts w:ascii="仿宋" w:hAnsi="仿宋" w:eastAsia="仿宋" w:cs="仿宋"/>
          <w:color w:val="auto"/>
          <w:sz w:val="28"/>
          <w:szCs w:val="28"/>
          <w:highlight w:val="none"/>
        </w:rPr>
      </w:pPr>
      <w:bookmarkStart w:id="972" w:name="_Toc27580"/>
      <w:bookmarkStart w:id="973" w:name="_Toc20059"/>
      <w:bookmarkStart w:id="974" w:name="_Toc20319"/>
      <w:r>
        <w:rPr>
          <w:rFonts w:hint="eastAsia" w:ascii="仿宋" w:hAnsi="仿宋" w:eastAsia="仿宋" w:cs="仿宋"/>
          <w:color w:val="auto"/>
          <w:sz w:val="28"/>
          <w:szCs w:val="28"/>
          <w:highlight w:val="none"/>
        </w:rPr>
        <w:t>附件3:</w:t>
      </w:r>
      <w:bookmarkEnd w:id="972"/>
      <w:bookmarkEnd w:id="973"/>
      <w:r>
        <w:rPr>
          <w:rFonts w:hint="eastAsia" w:ascii="仿宋" w:hAnsi="仿宋" w:eastAsia="仿宋" w:cs="仿宋"/>
          <w:color w:val="auto"/>
          <w:sz w:val="28"/>
          <w:szCs w:val="28"/>
          <w:highlight w:val="none"/>
        </w:rPr>
        <w:t xml:space="preserve"> 政府采购活动现场确认书</w:t>
      </w:r>
      <w:bookmarkEnd w:id="974"/>
    </w:p>
    <w:p w14:paraId="474D053B">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0E853C9F">
      <w:pPr>
        <w:pStyle w:val="25"/>
        <w:rPr>
          <w:rFonts w:ascii="仿宋" w:hAnsi="仿宋" w:eastAsia="仿宋" w:cs="仿宋"/>
          <w:color w:val="auto"/>
          <w:highlight w:val="none"/>
        </w:rPr>
      </w:pPr>
    </w:p>
    <w:p w14:paraId="7A884E37">
      <w:pPr>
        <w:spacing w:line="360" w:lineRule="auto"/>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（采购代理机构名称）：</w:t>
      </w:r>
    </w:p>
    <w:p w14:paraId="239CCFA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本人经由</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，合法授权参加</w:t>
      </w:r>
      <w:r>
        <w:rPr>
          <w:rFonts w:hint="eastAsia" w:ascii="仿宋" w:hAnsi="仿宋" w:eastAsia="仿宋" w:cs="仿宋"/>
          <w:color w:val="auto"/>
          <w:sz w:val="24"/>
          <w:highlight w:val="none"/>
          <w:u w:val="single"/>
        </w:rPr>
        <w:t>（项目名称）（项目编号：XXXX） 政府</w:t>
      </w:r>
      <w:r>
        <w:rPr>
          <w:rFonts w:hint="eastAsia" w:ascii="仿宋" w:hAnsi="仿宋" w:eastAsia="仿宋" w:cs="仿宋"/>
          <w:color w:val="auto"/>
          <w:sz w:val="24"/>
          <w:highlight w:val="none"/>
        </w:rPr>
        <w:t>采购活动，经与本单位法人代表（负责人）联系确认，现就有关公平竞争事项郑重声明如下：</w:t>
      </w:r>
    </w:p>
    <w:p w14:paraId="0B8AE88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一、本单位与采购人之间 □不存在利害关系 □存在下列利害关系</w:t>
      </w:r>
      <w:r>
        <w:rPr>
          <w:rFonts w:hint="eastAsia" w:ascii="仿宋" w:hAnsi="仿宋" w:eastAsia="仿宋" w:cs="仿宋"/>
          <w:color w:val="auto"/>
          <w:sz w:val="24"/>
          <w:highlight w:val="none"/>
          <w:u w:val="single"/>
        </w:rPr>
        <w:t xml:space="preserve">         ：</w:t>
      </w:r>
    </w:p>
    <w:p w14:paraId="22A7B9F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A.投资关系    B.行政隶属关系    C.业务指导关系</w:t>
      </w:r>
    </w:p>
    <w:p w14:paraId="1EE17EC5">
      <w:pPr>
        <w:spacing w:line="360" w:lineRule="auto"/>
        <w:ind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rPr>
        <w:t>D.其他可能影响采购公正的利害关系（如有，请如实说明）</w:t>
      </w:r>
      <w:r>
        <w:rPr>
          <w:rFonts w:hint="eastAsia" w:ascii="仿宋" w:hAnsi="仿宋" w:eastAsia="仿宋" w:cs="仿宋"/>
          <w:color w:val="auto"/>
          <w:sz w:val="24"/>
          <w:highlight w:val="none"/>
          <w:u w:val="single"/>
        </w:rPr>
        <w:t xml:space="preserve">         </w:t>
      </w:r>
    </w:p>
    <w:p w14:paraId="6C3690A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二、现已清楚知道参加本项目采购活动的其他所有供应商名称，本单位</w:t>
      </w:r>
    </w:p>
    <w:p w14:paraId="43D0EC40">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□与其他所有供应商之间均不存在利害关系  □与</w:t>
      </w:r>
      <w:r>
        <w:rPr>
          <w:rFonts w:hint="eastAsia" w:ascii="仿宋" w:hAnsi="仿宋" w:eastAsia="仿宋" w:cs="仿宋"/>
          <w:color w:val="auto"/>
          <w:sz w:val="24"/>
          <w:highlight w:val="none"/>
          <w:u w:val="single"/>
        </w:rPr>
        <w:t xml:space="preserve">（供应商名称）     </w:t>
      </w:r>
      <w:r>
        <w:rPr>
          <w:rFonts w:hint="eastAsia" w:ascii="仿宋" w:hAnsi="仿宋" w:eastAsia="仿宋" w:cs="仿宋"/>
          <w:color w:val="auto"/>
          <w:sz w:val="24"/>
          <w:highlight w:val="none"/>
        </w:rPr>
        <w:t>之间存在下列利害关系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F17E2C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A.法定代表人或负责人或实际控制人是同一人</w:t>
      </w:r>
    </w:p>
    <w:p w14:paraId="7833336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B.法定代表人或负责人或实际控制人是夫妻关系</w:t>
      </w:r>
    </w:p>
    <w:p w14:paraId="46F03B4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C.法定代表人或负责人或实际控制人是直系血亲关系</w:t>
      </w:r>
    </w:p>
    <w:p w14:paraId="43E95EC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D.法定代表人或负责人或实际控制人存在三代以内旁系血亲关系</w:t>
      </w:r>
    </w:p>
    <w:p w14:paraId="0392B07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E.法定代表人或负责人或实际控制人存在近姻亲关系</w:t>
      </w:r>
    </w:p>
    <w:p w14:paraId="02F3C8F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F.法定代表人或负责人或实际控制人存在股份控制或实际控制关系</w:t>
      </w:r>
    </w:p>
    <w:p w14:paraId="104DD3D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G.存在共同直接或间接投资设立子公司、联营企业和合营企业情况</w:t>
      </w:r>
    </w:p>
    <w:p w14:paraId="4BEF9B2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H.存在分级代理或代销关系、同一生产制造商关系、管理关系、重要业务（占主营业务收入50%以上）或重要财务往来关系（如融资）等其他实质性控制关系</w:t>
      </w:r>
    </w:p>
    <w:p w14:paraId="5016FC7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I.其他利害关系情况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405FD30D">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三、现已清楚知道并严格遵守政府采购法律法规和现场纪律。</w:t>
      </w:r>
    </w:p>
    <w:p w14:paraId="3A664905">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四、我发现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供应商之间存在或可能存在上述第二条第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项利害关系。 </w:t>
      </w:r>
    </w:p>
    <w:p w14:paraId="2B250B57">
      <w:pPr>
        <w:spacing w:line="360" w:lineRule="auto"/>
        <w:ind w:firstLine="480"/>
        <w:rPr>
          <w:rFonts w:ascii="仿宋" w:hAnsi="仿宋" w:eastAsia="仿宋" w:cs="仿宋"/>
          <w:color w:val="auto"/>
          <w:sz w:val="24"/>
          <w:highlight w:val="none"/>
        </w:rPr>
      </w:pPr>
    </w:p>
    <w:p w14:paraId="1C7211FD">
      <w:pPr>
        <w:spacing w:line="360" w:lineRule="auto"/>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（供应商代表签名）：                                             </w:t>
      </w:r>
    </w:p>
    <w:p w14:paraId="0EC3C6EB">
      <w:pPr>
        <w:spacing w:line="360" w:lineRule="auto"/>
        <w:jc w:val="right"/>
        <w:rPr>
          <w:rFonts w:ascii="仿宋" w:hAnsi="仿宋" w:eastAsia="仿宋" w:cs="仿宋"/>
          <w:color w:val="auto"/>
          <w:sz w:val="28"/>
          <w:szCs w:val="28"/>
          <w:highlight w:val="none"/>
        </w:rPr>
      </w:pPr>
      <w:r>
        <w:rPr>
          <w:rFonts w:hint="eastAsia" w:ascii="仿宋" w:hAnsi="仿宋" w:eastAsia="仿宋" w:cs="仿宋"/>
          <w:color w:val="auto"/>
          <w:sz w:val="24"/>
          <w:highlight w:val="none"/>
        </w:rPr>
        <w:t xml:space="preserve">        年   月   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ab/>
      </w:r>
    </w:p>
    <w:p w14:paraId="4CF04C4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注：1、供应商认为有利害关系和需要回避的人员，应提供相关证明材料，与本声明书一同提交。由采购代理机构和财政监督部门负责询问核查；</w:t>
      </w:r>
    </w:p>
    <w:p w14:paraId="4FF1C18C">
      <w:pPr>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color w:val="auto"/>
          <w:highlight w:val="none"/>
        </w:rPr>
        <w:fldChar w:fldCharType="begin"/>
      </w:r>
      <w:r>
        <w:rPr>
          <w:color w:val="auto"/>
          <w:highlight w:val="none"/>
        </w:rPr>
        <w:instrText xml:space="preserve"> HYPERLINK "mailto:该声明书在投标文件解密后30分钟内以邮件方式发送至邮箱lssggzyjyzx@163.com" </w:instrText>
      </w:r>
      <w:r>
        <w:rPr>
          <w:color w:val="auto"/>
          <w:highlight w:val="none"/>
        </w:rPr>
        <w:fldChar w:fldCharType="separate"/>
      </w:r>
      <w:r>
        <w:rPr>
          <w:rStyle w:val="77"/>
          <w:rFonts w:hint="eastAsia" w:ascii="仿宋" w:hAnsi="仿宋" w:eastAsia="仿宋" w:cs="仿宋"/>
          <w:b/>
          <w:color w:val="auto"/>
          <w:sz w:val="24"/>
          <w:highlight w:val="none"/>
        </w:rPr>
        <w:t>该声明书在投标文件解密后30分钟内以邮件方式发送至邮箱596722349 @qq.com</w:t>
      </w:r>
      <w:r>
        <w:rPr>
          <w:rStyle w:val="77"/>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4571D296">
      <w:pPr>
        <w:spacing w:line="360" w:lineRule="auto"/>
        <w:ind w:firstLine="482"/>
        <w:rPr>
          <w:rFonts w:ascii="仿宋" w:hAnsi="仿宋" w:eastAsia="仿宋" w:cs="仿宋"/>
          <w:b/>
          <w:color w:val="auto"/>
          <w:highlight w:val="none"/>
        </w:rPr>
      </w:pPr>
      <w:r>
        <w:rPr>
          <w:rFonts w:hint="eastAsia" w:ascii="仿宋" w:hAnsi="仿宋" w:eastAsia="仿宋" w:cs="仿宋"/>
          <w:b/>
          <w:color w:val="auto"/>
          <w:sz w:val="24"/>
          <w:highlight w:val="none"/>
        </w:rPr>
        <w:t>3、该声明书请各供应商在开标前提前准备好。</w:t>
      </w:r>
    </w:p>
    <w:p w14:paraId="02BC7CFA">
      <w:pPr>
        <w:widowControl/>
        <w:spacing w:line="360" w:lineRule="auto"/>
        <w:ind w:firstLine="480" w:firstLineChars="200"/>
        <w:jc w:val="left"/>
        <w:rPr>
          <w:rFonts w:ascii="仿宋" w:hAnsi="仿宋" w:eastAsia="仿宋" w:cs="仿宋"/>
          <w:color w:val="auto"/>
          <w:sz w:val="24"/>
          <w:highlight w:val="none"/>
        </w:rPr>
      </w:pPr>
    </w:p>
    <w:sectPr>
      <w:footerReference r:id="rId15" w:type="first"/>
      <w:headerReference r:id="rId14" w:type="default"/>
      <w:pgSz w:w="11905" w:h="16838"/>
      <w:pgMar w:top="1440" w:right="1803" w:bottom="1440" w:left="1803"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Times New Roman"/>
    <w:panose1 w:val="02020503050405090304"/>
    <w:charset w:val="00"/>
    <w:family w:val="modern"/>
    <w:pitch w:val="default"/>
    <w:sig w:usb0="00000000" w:usb1="00000000" w:usb2="00000001" w:usb3="00000000" w:csb0="400001BF" w:csb1="DFF70000"/>
  </w:font>
  <w:font w:name="???|CS?o｡ﾀ?">
    <w:altName w:val="MS Mincho"/>
    <w:panose1 w:val="00000000000000000000"/>
    <w:charset w:val="80"/>
    <w:family w:val="modern"/>
    <w:pitch w:val="default"/>
    <w:sig w:usb0="00000000" w:usb1="00000000" w:usb2="00000010" w:usb3="00000000" w:csb0="00020000" w:csb1="00000000"/>
  </w:font>
  <w:font w:name="仿宋_GB2312;仿宋">
    <w:altName w:val="仿宋"/>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NumberOnly">
    <w:panose1 w:val="020B0500000000000000"/>
    <w:charset w:val="00"/>
    <w:family w:val="auto"/>
    <w:pitch w:val="default"/>
    <w:sig w:usb0="8000002F" w:usb1="10000048" w:usb2="00000000" w:usb3="00000000" w:csb0="00000111" w:csb1="40000000"/>
  </w:font>
  <w:font w:name="hakuyoxingshu7000">
    <w:panose1 w:val="02000600000000000000"/>
    <w:charset w:val="86"/>
    <w:family w:val="auto"/>
    <w:pitch w:val="default"/>
    <w:sig w:usb0="FFFFFFFF" w:usb1="E9FFFFFF" w:usb2="0000003F" w:usb3="00000000" w:csb0="603F00FF" w:csb1="FFFF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B5FD0">
    <w:pPr>
      <w:pStyle w:val="40"/>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D015B">
    <w:pPr>
      <w:pStyle w:val="40"/>
      <w:framePr w:wrap="around" w:vAnchor="text" w:hAnchor="margin" w:xAlign="right" w:y="1"/>
      <w:rPr>
        <w:rStyle w:val="73"/>
      </w:rPr>
    </w:pPr>
    <w:r>
      <w:fldChar w:fldCharType="begin"/>
    </w:r>
    <w:r>
      <w:rPr>
        <w:rStyle w:val="73"/>
      </w:rPr>
      <w:instrText xml:space="preserve">PAGE  </w:instrText>
    </w:r>
    <w:r>
      <w:fldChar w:fldCharType="end"/>
    </w:r>
  </w:p>
  <w:p w14:paraId="0D20ABB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99497">
    <w:pPr>
      <w:pStyle w:val="4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84256">
    <w:pPr>
      <w:pStyle w:val="40"/>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p w14:paraId="503E93A0">
    <w:pPr>
      <w:pStyle w:val="40"/>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82A71">
    <w:pPr>
      <w:pStyle w:val="40"/>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p w14:paraId="260ACCEF">
    <w:pPr>
      <w:pStyle w:val="40"/>
      <w:jc w:val="center"/>
      <w:rPr>
        <w:rFonts w:ascii="仿宋_GB2312" w:eastAsia="仿宋_GB2312"/>
      </w:rPr>
    </w:pPr>
  </w:p>
  <w:p w14:paraId="4532CC5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97727">
    <w:pPr>
      <w:pStyle w:val="40"/>
      <w:jc w:val="center"/>
      <w:rPr>
        <w:rFonts w:ascii="仿宋_GB2312" w:eastAsia="仿宋_GB2312"/>
      </w:rPr>
    </w:pPr>
  </w:p>
  <w:p w14:paraId="4174BB5D">
    <w:pPr>
      <w:pStyle w:val="40"/>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p w14:paraId="7FC0156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DEB22">
    <w:pPr>
      <w:pStyle w:val="40"/>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47053">
    <w:pPr>
      <w:pStyle w:val="41"/>
      <w:pBdr>
        <w:bottom w:val="thinThickSmallGap" w:color="auto" w:sz="12" w:space="0"/>
      </w:pBdr>
      <w:jc w:val="left"/>
      <w:rPr>
        <w:rFonts w:ascii="仿宋_GB2312" w:eastAsia="仿宋_GB2312"/>
        <w:iCs/>
      </w:rPr>
    </w:pPr>
    <w:r>
      <w:rPr>
        <w:rFonts w:hint="eastAsia" w:ascii="仿宋_GB2312" w:eastAsia="仿宋_GB2312"/>
        <w:iCs/>
        <w:lang w:eastAsia="zh-CN"/>
      </w:rPr>
      <w:t>2024年度大数据发展中心数据仓运维服务项目(第二次）</w:t>
    </w:r>
    <w:r>
      <w:rPr>
        <w:rFonts w:hint="eastAsia" w:ascii="仿宋_GB2312" w:eastAsia="仿宋_GB2312"/>
        <w:iCs/>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91629">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77636">
    <w:pPr>
      <w:pStyle w:val="41"/>
      <w:pBdr>
        <w:bottom w:val="thinThickSmallGap" w:color="auto" w:sz="12" w:space="0"/>
      </w:pBdr>
      <w:tabs>
        <w:tab w:val="right" w:pos="8334"/>
        <w:tab w:val="clear" w:pos="4153"/>
      </w:tabs>
      <w:jc w:val="left"/>
      <w:rPr>
        <w:rFonts w:ascii="仿宋" w:hAnsi="仿宋" w:eastAsia="仿宋" w:cs="仿宋"/>
        <w:iCs/>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A8960">
                          <w:pPr>
                            <w:pStyle w:val="41"/>
                          </w:pPr>
                          <w:r>
                            <w:t xml:space="preserve">第 </w:t>
                          </w:r>
                          <w:r>
                            <w:fldChar w:fldCharType="begin"/>
                          </w:r>
                          <w:r>
                            <w:instrText xml:space="preserve"> PAGE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C3A8960">
                    <w:pPr>
                      <w:pStyle w:val="41"/>
                    </w:pPr>
                    <w:r>
                      <w:t xml:space="preserve">第 </w:t>
                    </w:r>
                    <w:r>
                      <w:fldChar w:fldCharType="begin"/>
                    </w:r>
                    <w:r>
                      <w:instrText xml:space="preserve"> PAGE  \* MERGEFORMAT </w:instrText>
                    </w:r>
                    <w:r>
                      <w:fldChar w:fldCharType="separate"/>
                    </w:r>
                    <w:r>
                      <w:t>81</w:t>
                    </w:r>
                    <w:r>
                      <w:fldChar w:fldCharType="end"/>
                    </w:r>
                    <w:r>
                      <w:t xml:space="preserve"> 页</w:t>
                    </w:r>
                  </w:p>
                </w:txbxContent>
              </v:textbox>
            </v:shape>
          </w:pict>
        </mc:Fallback>
      </mc:AlternateContent>
    </w:r>
    <w:r>
      <w:rPr>
        <w:rFonts w:hint="eastAsia" w:ascii="仿宋" w:hAnsi="仿宋" w:eastAsia="仿宋" w:cs="仿宋"/>
        <w:lang w:eastAsia="zh-CN"/>
      </w:rPr>
      <w:t>2024年度大数据发展中心数据仓运维服务项目(第二次）</w:t>
    </w:r>
    <w:r>
      <w:rPr>
        <w:rFonts w:hint="eastAsia" w:ascii="仿宋" w:hAnsi="仿宋" w:eastAsia="仿宋" w:cs="仿宋"/>
      </w:rPr>
      <w:t>竞</w:t>
    </w:r>
    <w:r>
      <w:rPr>
        <w:rFonts w:hint="eastAsia" w:ascii="仿宋" w:hAnsi="仿宋" w:eastAsia="仿宋" w:cs="仿宋"/>
        <w:iCs/>
      </w:rPr>
      <w:t>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D62B0">
    <w:pPr>
      <w:pBdr>
        <w:bottom w:val="thinThickSmallGap" w:color="auto" w:sz="12" w:space="0"/>
      </w:pBdr>
    </w:pPr>
    <w:r>
      <w:rPr>
        <w:rFonts w:hint="eastAsia" w:ascii="仿宋" w:hAnsi="仿宋" w:eastAsia="仿宋" w:cs="仿宋"/>
        <w:lang w:eastAsia="zh-CN"/>
      </w:rPr>
      <w:t>2024年度大数据发展中心数据仓运维服务项目(第二次）</w:t>
    </w:r>
    <w:r>
      <w:rPr>
        <w:rFonts w:hint="eastAsia" w:ascii="仿宋" w:hAnsi="仿宋" w:eastAsia="仿宋" w:cs="仿宋"/>
      </w:rPr>
      <w:t>竞</w:t>
    </w:r>
    <w:r>
      <w:rPr>
        <w:rFonts w:hint="eastAsia" w:ascii="仿宋" w:hAnsi="仿宋" w:eastAsia="仿宋" w:cs="仿宋"/>
        <w:iCs/>
      </w:rPr>
      <w:t>争性磋商文件</w: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C2B5D">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A7C2B5D">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FAF80">
    <w:pPr>
      <w:pStyle w:val="41"/>
      <w:pBdr>
        <w:bottom w:val="thinThickSmallGap" w:color="auto" w:sz="12" w:space="0"/>
      </w:pBdr>
      <w:tabs>
        <w:tab w:val="right" w:pos="8334"/>
        <w:tab w:val="clear" w:pos="4153"/>
      </w:tabs>
      <w:jc w:val="left"/>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2D9CA">
                          <w:pPr>
                            <w:pStyle w:val="41"/>
                            <w:jc w:val="both"/>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352D9CA">
                    <w:pPr>
                      <w:pStyle w:val="41"/>
                      <w:jc w:val="both"/>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r>
      <w:rPr>
        <w:rFonts w:hint="eastAsia" w:ascii="仿宋" w:hAnsi="仿宋" w:eastAsia="仿宋" w:cs="仿宋"/>
        <w:lang w:eastAsia="zh-CN"/>
      </w:rPr>
      <w:t>2024年度大数据发展中心数据仓运维服务项目(第二次）</w:t>
    </w:r>
    <w:r>
      <w:rPr>
        <w:rFonts w:hint="eastAsia" w:ascii="仿宋" w:hAnsi="仿宋" w:eastAsia="仿宋" w:cs="仿宋"/>
      </w:rPr>
      <w:t>竞</w:t>
    </w:r>
    <w:r>
      <w:rPr>
        <w:rFonts w:hint="eastAsia" w:ascii="仿宋" w:hAnsi="仿宋" w:eastAsia="仿宋" w:cs="仿宋"/>
        <w:iCs/>
      </w:rPr>
      <w:t>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1A5B6">
    <w:pPr>
      <w:pStyle w:val="41"/>
      <w:pBdr>
        <w:bottom w:val="thinThickSmallGap" w:color="auto" w:sz="12" w:space="0"/>
      </w:pBdr>
      <w:tabs>
        <w:tab w:val="right" w:pos="8334"/>
        <w:tab w:val="clear" w:pos="4153"/>
      </w:tabs>
      <w:jc w:val="left"/>
      <w:rPr>
        <w:rFonts w:ascii="仿宋_GB2312"/>
        <w:b/>
        <w:i/>
        <w:iCs/>
        <w:u w:val="single"/>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09A50">
                          <w:pPr>
                            <w:pStyle w:val="41"/>
                            <w:jc w:val="both"/>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3D09A50">
                    <w:pPr>
                      <w:pStyle w:val="41"/>
                      <w:jc w:val="both"/>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r>
      <w:rPr>
        <w:rFonts w:hint="eastAsia" w:ascii="仿宋" w:hAnsi="仿宋" w:eastAsia="仿宋" w:cs="仿宋"/>
        <w:lang w:eastAsia="zh-CN"/>
      </w:rPr>
      <w:t>2024年度大数据发展中心数据仓运维服务项目(第二次）</w:t>
    </w:r>
    <w:r>
      <w:rPr>
        <w:rFonts w:hint="eastAsia" w:ascii="仿宋" w:hAnsi="仿宋" w:eastAsia="仿宋" w:cs="仿宋"/>
      </w:rPr>
      <w:t>竞</w:t>
    </w:r>
    <w:r>
      <w:rPr>
        <w:rFonts w:hint="eastAsia" w:ascii="仿宋" w:hAnsi="仿宋" w:eastAsia="仿宋" w:cs="仿宋"/>
        <w:iCs/>
      </w:rPr>
      <w:t>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73F7F"/>
    <w:multiLevelType w:val="singleLevel"/>
    <w:tmpl w:val="B2273F7F"/>
    <w:lvl w:ilvl="0" w:tentative="0">
      <w:start w:val="1"/>
      <w:numFmt w:val="decimal"/>
      <w:lvlText w:val="(%1)"/>
      <w:lvlJc w:val="left"/>
      <w:pPr>
        <w:ind w:left="425" w:hanging="425"/>
      </w:pPr>
      <w:rPr>
        <w:rFonts w:hint="default"/>
      </w:rPr>
    </w:lvl>
  </w:abstractNum>
  <w:abstractNum w:abstractNumId="1">
    <w:nsid w:val="BB6E15C3"/>
    <w:multiLevelType w:val="singleLevel"/>
    <w:tmpl w:val="BB6E15C3"/>
    <w:lvl w:ilvl="0" w:tentative="0">
      <w:start w:val="4"/>
      <w:numFmt w:val="decimal"/>
      <w:lvlText w:val="%1."/>
      <w:lvlJc w:val="left"/>
      <w:pPr>
        <w:tabs>
          <w:tab w:val="left" w:pos="312"/>
        </w:tabs>
      </w:pPr>
    </w:lvl>
  </w:abstractNum>
  <w:abstractNum w:abstractNumId="2">
    <w:nsid w:val="BE157DAF"/>
    <w:multiLevelType w:val="singleLevel"/>
    <w:tmpl w:val="BE157DAF"/>
    <w:lvl w:ilvl="0" w:tentative="0">
      <w:start w:val="1"/>
      <w:numFmt w:val="decimal"/>
      <w:lvlText w:val="(%1)"/>
      <w:lvlJc w:val="left"/>
      <w:pPr>
        <w:ind w:left="425" w:hanging="425"/>
      </w:pPr>
      <w:rPr>
        <w:rFonts w:hint="default"/>
      </w:rPr>
    </w:lvl>
  </w:abstractNum>
  <w:abstractNum w:abstractNumId="3">
    <w:nsid w:val="C060F535"/>
    <w:multiLevelType w:val="singleLevel"/>
    <w:tmpl w:val="C060F535"/>
    <w:lvl w:ilvl="0" w:tentative="0">
      <w:start w:val="1"/>
      <w:numFmt w:val="chineseCounting"/>
      <w:suff w:val="nothing"/>
      <w:lvlText w:val="%1、"/>
      <w:lvlJc w:val="left"/>
      <w:pPr>
        <w:ind w:left="0" w:firstLine="420"/>
      </w:pPr>
      <w:rPr>
        <w:rFonts w:hint="eastAsia"/>
      </w:rPr>
    </w:lvl>
  </w:abstractNum>
  <w:abstractNum w:abstractNumId="4">
    <w:nsid w:val="C9753495"/>
    <w:multiLevelType w:val="singleLevel"/>
    <w:tmpl w:val="C9753495"/>
    <w:lvl w:ilvl="0" w:tentative="0">
      <w:start w:val="1"/>
      <w:numFmt w:val="decimal"/>
      <w:suff w:val="nothing"/>
      <w:lvlText w:val="（%1）"/>
      <w:lvlJc w:val="left"/>
    </w:lvl>
  </w:abstractNum>
  <w:abstractNum w:abstractNumId="5">
    <w:nsid w:val="E37B5785"/>
    <w:multiLevelType w:val="singleLevel"/>
    <w:tmpl w:val="E37B5785"/>
    <w:lvl w:ilvl="0" w:tentative="0">
      <w:start w:val="1"/>
      <w:numFmt w:val="decimal"/>
      <w:suff w:val="nothing"/>
      <w:lvlText w:val="%1、"/>
      <w:lvlJc w:val="left"/>
    </w:lvl>
  </w:abstractNum>
  <w:abstractNum w:abstractNumId="6">
    <w:nsid w:val="E86C7D13"/>
    <w:multiLevelType w:val="singleLevel"/>
    <w:tmpl w:val="E86C7D13"/>
    <w:lvl w:ilvl="0" w:tentative="0">
      <w:start w:val="1"/>
      <w:numFmt w:val="chineseCounting"/>
      <w:suff w:val="nothing"/>
      <w:lvlText w:val="%1、"/>
      <w:lvlJc w:val="left"/>
      <w:pPr>
        <w:ind w:left="0" w:firstLine="420"/>
      </w:pPr>
      <w:rPr>
        <w:rFonts w:hint="eastAsia"/>
      </w:rPr>
    </w:lvl>
  </w:abstractNum>
  <w:abstractNum w:abstractNumId="7">
    <w:nsid w:val="15938F0E"/>
    <w:multiLevelType w:val="singleLevel"/>
    <w:tmpl w:val="15938F0E"/>
    <w:lvl w:ilvl="0" w:tentative="0">
      <w:start w:val="1"/>
      <w:numFmt w:val="decimal"/>
      <w:suff w:val="nothing"/>
      <w:lvlText w:val="（%1）"/>
      <w:lvlJc w:val="left"/>
    </w:lvl>
  </w:abstractNum>
  <w:abstractNum w:abstractNumId="8">
    <w:nsid w:val="1F45F06F"/>
    <w:multiLevelType w:val="singleLevel"/>
    <w:tmpl w:val="1F45F06F"/>
    <w:lvl w:ilvl="0" w:tentative="0">
      <w:start w:val="1"/>
      <w:numFmt w:val="decimal"/>
      <w:lvlText w:val="(%1)"/>
      <w:lvlJc w:val="left"/>
      <w:pPr>
        <w:ind w:left="425" w:hanging="425"/>
      </w:pPr>
      <w:rPr>
        <w:rFonts w:hint="default"/>
      </w:rPr>
    </w:lvl>
  </w:abstractNum>
  <w:abstractNum w:abstractNumId="9">
    <w:nsid w:val="21C47489"/>
    <w:multiLevelType w:val="singleLevel"/>
    <w:tmpl w:val="21C47489"/>
    <w:lvl w:ilvl="0" w:tentative="0">
      <w:start w:val="1"/>
      <w:numFmt w:val="decimal"/>
      <w:lvlText w:val="%1."/>
      <w:lvlJc w:val="left"/>
      <w:pPr>
        <w:ind w:left="425" w:hanging="425"/>
      </w:pPr>
      <w:rPr>
        <w:rFonts w:hint="default"/>
      </w:rPr>
    </w:lvl>
  </w:abstractNum>
  <w:abstractNum w:abstractNumId="10">
    <w:nsid w:val="619FE73C"/>
    <w:multiLevelType w:val="singleLevel"/>
    <w:tmpl w:val="619FE73C"/>
    <w:lvl w:ilvl="0" w:tentative="0">
      <w:start w:val="1"/>
      <w:numFmt w:val="decimal"/>
      <w:lvlText w:val="(%1)"/>
      <w:lvlJc w:val="left"/>
      <w:pPr>
        <w:ind w:left="425" w:hanging="425"/>
      </w:pPr>
      <w:rPr>
        <w:rFonts w:hint="default"/>
      </w:rPr>
    </w:lvl>
  </w:abstractNum>
  <w:abstractNum w:abstractNumId="11">
    <w:nsid w:val="669D30B4"/>
    <w:multiLevelType w:val="singleLevel"/>
    <w:tmpl w:val="669D30B4"/>
    <w:lvl w:ilvl="0" w:tentative="0">
      <w:start w:val="1"/>
      <w:numFmt w:val="decimal"/>
      <w:lvlText w:val="(%1)"/>
      <w:lvlJc w:val="left"/>
      <w:pPr>
        <w:ind w:left="425" w:hanging="425"/>
      </w:pPr>
      <w:rPr>
        <w:rFonts w:hint="default"/>
      </w:rPr>
    </w:lvl>
  </w:abstractNum>
  <w:num w:numId="1">
    <w:abstractNumId w:val="1"/>
  </w:num>
  <w:num w:numId="2">
    <w:abstractNumId w:val="7"/>
  </w:num>
  <w:num w:numId="3">
    <w:abstractNumId w:val="4"/>
  </w:num>
  <w:num w:numId="4">
    <w:abstractNumId w:val="3"/>
  </w:num>
  <w:num w:numId="5">
    <w:abstractNumId w:val="9"/>
  </w:num>
  <w:num w:numId="6">
    <w:abstractNumId w:val="8"/>
  </w:num>
  <w:num w:numId="7">
    <w:abstractNumId w:val="6"/>
  </w:num>
  <w:num w:numId="8">
    <w:abstractNumId w:val="5"/>
  </w:num>
  <w:num w:numId="9">
    <w:abstractNumId w:val="11"/>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mNjkyZThiZTc4YTIwODkyOGY4NzQxMTZmMjQ4N2UifQ=="/>
  </w:docVars>
  <w:rsids>
    <w:rsidRoot w:val="00FF56B7"/>
    <w:rsid w:val="00040992"/>
    <w:rsid w:val="00066217"/>
    <w:rsid w:val="0008248C"/>
    <w:rsid w:val="00114BF2"/>
    <w:rsid w:val="0019769B"/>
    <w:rsid w:val="001D7DF6"/>
    <w:rsid w:val="001E0300"/>
    <w:rsid w:val="0020202D"/>
    <w:rsid w:val="0024509D"/>
    <w:rsid w:val="002D592B"/>
    <w:rsid w:val="003100DB"/>
    <w:rsid w:val="00351D69"/>
    <w:rsid w:val="0035697E"/>
    <w:rsid w:val="00377F73"/>
    <w:rsid w:val="003E1E62"/>
    <w:rsid w:val="00403E05"/>
    <w:rsid w:val="00432EE2"/>
    <w:rsid w:val="00474444"/>
    <w:rsid w:val="0049574F"/>
    <w:rsid w:val="00507CC4"/>
    <w:rsid w:val="005532ED"/>
    <w:rsid w:val="00555D20"/>
    <w:rsid w:val="005678FB"/>
    <w:rsid w:val="005B30F7"/>
    <w:rsid w:val="005C39B5"/>
    <w:rsid w:val="00607384"/>
    <w:rsid w:val="00612A48"/>
    <w:rsid w:val="007E0F8B"/>
    <w:rsid w:val="008378C5"/>
    <w:rsid w:val="0089111C"/>
    <w:rsid w:val="008B43A4"/>
    <w:rsid w:val="008B4747"/>
    <w:rsid w:val="008D13DE"/>
    <w:rsid w:val="008D7073"/>
    <w:rsid w:val="009411F4"/>
    <w:rsid w:val="00954BC2"/>
    <w:rsid w:val="00981246"/>
    <w:rsid w:val="009A4F9F"/>
    <w:rsid w:val="009F02D8"/>
    <w:rsid w:val="00A027DD"/>
    <w:rsid w:val="00A22300"/>
    <w:rsid w:val="00A35215"/>
    <w:rsid w:val="00A957B9"/>
    <w:rsid w:val="00BC757B"/>
    <w:rsid w:val="00BE749D"/>
    <w:rsid w:val="00BF0E19"/>
    <w:rsid w:val="00C467A8"/>
    <w:rsid w:val="00C64D93"/>
    <w:rsid w:val="00D20B35"/>
    <w:rsid w:val="00D578A1"/>
    <w:rsid w:val="00D7241D"/>
    <w:rsid w:val="00D76180"/>
    <w:rsid w:val="00D94BAA"/>
    <w:rsid w:val="00DC0AB9"/>
    <w:rsid w:val="00E574B1"/>
    <w:rsid w:val="00F008A3"/>
    <w:rsid w:val="00F23218"/>
    <w:rsid w:val="00F7331B"/>
    <w:rsid w:val="00F910D4"/>
    <w:rsid w:val="00FF56B7"/>
    <w:rsid w:val="01136015"/>
    <w:rsid w:val="01441F4D"/>
    <w:rsid w:val="017A79F4"/>
    <w:rsid w:val="01ED0254"/>
    <w:rsid w:val="02046A9F"/>
    <w:rsid w:val="02403D91"/>
    <w:rsid w:val="02513505"/>
    <w:rsid w:val="0265015E"/>
    <w:rsid w:val="02846BC6"/>
    <w:rsid w:val="02D05560"/>
    <w:rsid w:val="02D727EA"/>
    <w:rsid w:val="03C82CA8"/>
    <w:rsid w:val="03E41EE5"/>
    <w:rsid w:val="04200857"/>
    <w:rsid w:val="049C777A"/>
    <w:rsid w:val="06A44DE2"/>
    <w:rsid w:val="072A4877"/>
    <w:rsid w:val="07682976"/>
    <w:rsid w:val="077566D6"/>
    <w:rsid w:val="08125C67"/>
    <w:rsid w:val="08485FB2"/>
    <w:rsid w:val="086F75C9"/>
    <w:rsid w:val="08D053F3"/>
    <w:rsid w:val="09951334"/>
    <w:rsid w:val="09A432A2"/>
    <w:rsid w:val="09DE67B4"/>
    <w:rsid w:val="0A163734"/>
    <w:rsid w:val="0AFF3EBD"/>
    <w:rsid w:val="0B0F299D"/>
    <w:rsid w:val="0B114967"/>
    <w:rsid w:val="0B416FFB"/>
    <w:rsid w:val="0B523A65"/>
    <w:rsid w:val="0B7078E0"/>
    <w:rsid w:val="0BB30957"/>
    <w:rsid w:val="0C8024E5"/>
    <w:rsid w:val="0CA737D5"/>
    <w:rsid w:val="0D7C22B2"/>
    <w:rsid w:val="0DB40405"/>
    <w:rsid w:val="0DFE1C26"/>
    <w:rsid w:val="0E5B7312"/>
    <w:rsid w:val="0F290405"/>
    <w:rsid w:val="0F8C78C2"/>
    <w:rsid w:val="0FC90D71"/>
    <w:rsid w:val="0FEE018A"/>
    <w:rsid w:val="0FEE34C9"/>
    <w:rsid w:val="10CE1D47"/>
    <w:rsid w:val="10D7448E"/>
    <w:rsid w:val="11230F50"/>
    <w:rsid w:val="114C6BFF"/>
    <w:rsid w:val="126E0A05"/>
    <w:rsid w:val="137D0DEC"/>
    <w:rsid w:val="139B74C4"/>
    <w:rsid w:val="13F60697"/>
    <w:rsid w:val="14FB79FC"/>
    <w:rsid w:val="152B7D4C"/>
    <w:rsid w:val="158815C5"/>
    <w:rsid w:val="15D1043A"/>
    <w:rsid w:val="15E2762C"/>
    <w:rsid w:val="162E2693"/>
    <w:rsid w:val="16BF025A"/>
    <w:rsid w:val="16D77B64"/>
    <w:rsid w:val="16F072C1"/>
    <w:rsid w:val="174560C4"/>
    <w:rsid w:val="17487963"/>
    <w:rsid w:val="17DF6D90"/>
    <w:rsid w:val="17FB6783"/>
    <w:rsid w:val="18491BE4"/>
    <w:rsid w:val="185B476E"/>
    <w:rsid w:val="18870857"/>
    <w:rsid w:val="18AB5014"/>
    <w:rsid w:val="18D25C67"/>
    <w:rsid w:val="190255BA"/>
    <w:rsid w:val="1AAA559A"/>
    <w:rsid w:val="1B593EEC"/>
    <w:rsid w:val="1B644E00"/>
    <w:rsid w:val="1BCB46BE"/>
    <w:rsid w:val="1C722E7D"/>
    <w:rsid w:val="1C9F1DD3"/>
    <w:rsid w:val="1CA218C3"/>
    <w:rsid w:val="1CFC774C"/>
    <w:rsid w:val="1D377C49"/>
    <w:rsid w:val="1D7E7C3A"/>
    <w:rsid w:val="1D943902"/>
    <w:rsid w:val="1D9751A0"/>
    <w:rsid w:val="1E80662E"/>
    <w:rsid w:val="1E8121FA"/>
    <w:rsid w:val="1EE7180F"/>
    <w:rsid w:val="1EF26B32"/>
    <w:rsid w:val="1F42113B"/>
    <w:rsid w:val="1FAF1F36"/>
    <w:rsid w:val="21251365"/>
    <w:rsid w:val="2128213A"/>
    <w:rsid w:val="21624585"/>
    <w:rsid w:val="22561186"/>
    <w:rsid w:val="22B97967"/>
    <w:rsid w:val="22FA55C2"/>
    <w:rsid w:val="23404CD9"/>
    <w:rsid w:val="237E4E58"/>
    <w:rsid w:val="23C44B6A"/>
    <w:rsid w:val="23E43FF3"/>
    <w:rsid w:val="23F94D0B"/>
    <w:rsid w:val="23FD2D87"/>
    <w:rsid w:val="240537E2"/>
    <w:rsid w:val="24DF57E1"/>
    <w:rsid w:val="25055A76"/>
    <w:rsid w:val="25B032A3"/>
    <w:rsid w:val="25C54854"/>
    <w:rsid w:val="26536AFF"/>
    <w:rsid w:val="27233601"/>
    <w:rsid w:val="273B3040"/>
    <w:rsid w:val="281E2B95"/>
    <w:rsid w:val="28362939"/>
    <w:rsid w:val="28C124B3"/>
    <w:rsid w:val="292950F1"/>
    <w:rsid w:val="292E37B9"/>
    <w:rsid w:val="29634188"/>
    <w:rsid w:val="29CD0232"/>
    <w:rsid w:val="2A24600D"/>
    <w:rsid w:val="2B31457F"/>
    <w:rsid w:val="2B3E6C5B"/>
    <w:rsid w:val="2B9842C5"/>
    <w:rsid w:val="2C5B55EB"/>
    <w:rsid w:val="2CBD1357"/>
    <w:rsid w:val="2E496043"/>
    <w:rsid w:val="2F062F2C"/>
    <w:rsid w:val="2F0A6A51"/>
    <w:rsid w:val="30411E4F"/>
    <w:rsid w:val="307C26FF"/>
    <w:rsid w:val="30A51F7E"/>
    <w:rsid w:val="310D3357"/>
    <w:rsid w:val="311741D6"/>
    <w:rsid w:val="315D7394"/>
    <w:rsid w:val="31EF5153"/>
    <w:rsid w:val="31F04533"/>
    <w:rsid w:val="320676C1"/>
    <w:rsid w:val="320E382B"/>
    <w:rsid w:val="32436F45"/>
    <w:rsid w:val="32694853"/>
    <w:rsid w:val="33BE302F"/>
    <w:rsid w:val="33EF3049"/>
    <w:rsid w:val="341228A0"/>
    <w:rsid w:val="342E3961"/>
    <w:rsid w:val="3484747A"/>
    <w:rsid w:val="34B66A14"/>
    <w:rsid w:val="34E42621"/>
    <w:rsid w:val="350E6F0D"/>
    <w:rsid w:val="35A40F62"/>
    <w:rsid w:val="35CD1307"/>
    <w:rsid w:val="35F259C3"/>
    <w:rsid w:val="364B38A4"/>
    <w:rsid w:val="36F32FEF"/>
    <w:rsid w:val="370C2303"/>
    <w:rsid w:val="38716194"/>
    <w:rsid w:val="38A15859"/>
    <w:rsid w:val="38AC2881"/>
    <w:rsid w:val="38BA692E"/>
    <w:rsid w:val="39176E6F"/>
    <w:rsid w:val="39240522"/>
    <w:rsid w:val="395B30CE"/>
    <w:rsid w:val="39B44725"/>
    <w:rsid w:val="39C87CA0"/>
    <w:rsid w:val="3A2D05C6"/>
    <w:rsid w:val="3A3C7A91"/>
    <w:rsid w:val="3A59659D"/>
    <w:rsid w:val="3A5C534F"/>
    <w:rsid w:val="3AA30888"/>
    <w:rsid w:val="3B1672AC"/>
    <w:rsid w:val="3B8C756F"/>
    <w:rsid w:val="3BA24FE4"/>
    <w:rsid w:val="3C0C222A"/>
    <w:rsid w:val="3C3F2833"/>
    <w:rsid w:val="3C62545E"/>
    <w:rsid w:val="3CCD1D80"/>
    <w:rsid w:val="3E3208A1"/>
    <w:rsid w:val="3F3B591A"/>
    <w:rsid w:val="3F8D2662"/>
    <w:rsid w:val="40B21EF4"/>
    <w:rsid w:val="42C95C2E"/>
    <w:rsid w:val="42FD6CE8"/>
    <w:rsid w:val="439C056B"/>
    <w:rsid w:val="43B21B3C"/>
    <w:rsid w:val="43B43B06"/>
    <w:rsid w:val="43CD7CAA"/>
    <w:rsid w:val="441F5424"/>
    <w:rsid w:val="442953C5"/>
    <w:rsid w:val="44D576D0"/>
    <w:rsid w:val="45594FEB"/>
    <w:rsid w:val="455F7AA2"/>
    <w:rsid w:val="45617CBE"/>
    <w:rsid w:val="45660E30"/>
    <w:rsid w:val="45D36D62"/>
    <w:rsid w:val="45D87DB4"/>
    <w:rsid w:val="45F215A5"/>
    <w:rsid w:val="45FB7614"/>
    <w:rsid w:val="46164604"/>
    <w:rsid w:val="46210829"/>
    <w:rsid w:val="463011A6"/>
    <w:rsid w:val="469A7E7A"/>
    <w:rsid w:val="46AE74A4"/>
    <w:rsid w:val="47060B1D"/>
    <w:rsid w:val="47281997"/>
    <w:rsid w:val="4799373F"/>
    <w:rsid w:val="47FA4784"/>
    <w:rsid w:val="48217291"/>
    <w:rsid w:val="487335E8"/>
    <w:rsid w:val="48DD58AD"/>
    <w:rsid w:val="48F76AE6"/>
    <w:rsid w:val="48F90E05"/>
    <w:rsid w:val="490051AC"/>
    <w:rsid w:val="493F3410"/>
    <w:rsid w:val="494F67AB"/>
    <w:rsid w:val="498644E9"/>
    <w:rsid w:val="4A484FA8"/>
    <w:rsid w:val="4A78588E"/>
    <w:rsid w:val="4A9F659E"/>
    <w:rsid w:val="4AD25E68"/>
    <w:rsid w:val="4AD85567"/>
    <w:rsid w:val="4AE71B9B"/>
    <w:rsid w:val="4AEC002A"/>
    <w:rsid w:val="4B090BDC"/>
    <w:rsid w:val="4B390D42"/>
    <w:rsid w:val="4B521A67"/>
    <w:rsid w:val="4B58121B"/>
    <w:rsid w:val="4B8A1D1C"/>
    <w:rsid w:val="4C03562B"/>
    <w:rsid w:val="4C0F5405"/>
    <w:rsid w:val="4C4E7B16"/>
    <w:rsid w:val="4CA932AC"/>
    <w:rsid w:val="4CF226BB"/>
    <w:rsid w:val="4D2E66D8"/>
    <w:rsid w:val="4D4E6D7A"/>
    <w:rsid w:val="4D5967C7"/>
    <w:rsid w:val="4DAE4DE4"/>
    <w:rsid w:val="4E465927"/>
    <w:rsid w:val="4E5008D0"/>
    <w:rsid w:val="4E516290"/>
    <w:rsid w:val="4E9662D6"/>
    <w:rsid w:val="4EA55B38"/>
    <w:rsid w:val="4EC42F28"/>
    <w:rsid w:val="4F4915A7"/>
    <w:rsid w:val="4F8D77AB"/>
    <w:rsid w:val="50393420"/>
    <w:rsid w:val="50470832"/>
    <w:rsid w:val="5067190B"/>
    <w:rsid w:val="507F724A"/>
    <w:rsid w:val="52375D14"/>
    <w:rsid w:val="52595FA5"/>
    <w:rsid w:val="5285323E"/>
    <w:rsid w:val="52CD24EF"/>
    <w:rsid w:val="532A1F6B"/>
    <w:rsid w:val="532C3163"/>
    <w:rsid w:val="533D4098"/>
    <w:rsid w:val="535B06BB"/>
    <w:rsid w:val="537B7DBC"/>
    <w:rsid w:val="548B08B3"/>
    <w:rsid w:val="54D264E2"/>
    <w:rsid w:val="54D45666"/>
    <w:rsid w:val="562037F9"/>
    <w:rsid w:val="566E3FE9"/>
    <w:rsid w:val="56DB0C92"/>
    <w:rsid w:val="57672F12"/>
    <w:rsid w:val="577E2F7A"/>
    <w:rsid w:val="57A67AD5"/>
    <w:rsid w:val="580A7D41"/>
    <w:rsid w:val="586C44B8"/>
    <w:rsid w:val="58CD4FF7"/>
    <w:rsid w:val="59367040"/>
    <w:rsid w:val="59AD549D"/>
    <w:rsid w:val="5A946B2A"/>
    <w:rsid w:val="5B136F0D"/>
    <w:rsid w:val="5B56738F"/>
    <w:rsid w:val="5C7CBBA5"/>
    <w:rsid w:val="5CAC586B"/>
    <w:rsid w:val="5CB94110"/>
    <w:rsid w:val="5CC826A5"/>
    <w:rsid w:val="5CF05758"/>
    <w:rsid w:val="5D3661B0"/>
    <w:rsid w:val="5D955C59"/>
    <w:rsid w:val="5E3A0228"/>
    <w:rsid w:val="5E852D1B"/>
    <w:rsid w:val="5EA52572"/>
    <w:rsid w:val="5ECC5D50"/>
    <w:rsid w:val="5F463D55"/>
    <w:rsid w:val="5F645E9F"/>
    <w:rsid w:val="5FDA1BBE"/>
    <w:rsid w:val="60884935"/>
    <w:rsid w:val="60984569"/>
    <w:rsid w:val="60DD030B"/>
    <w:rsid w:val="616B7A89"/>
    <w:rsid w:val="61922E92"/>
    <w:rsid w:val="62626C04"/>
    <w:rsid w:val="62B632A2"/>
    <w:rsid w:val="62BF3AC1"/>
    <w:rsid w:val="62CF5554"/>
    <w:rsid w:val="63723CE7"/>
    <w:rsid w:val="640B71DB"/>
    <w:rsid w:val="645A0C80"/>
    <w:rsid w:val="649B500D"/>
    <w:rsid w:val="64C42464"/>
    <w:rsid w:val="65593C6A"/>
    <w:rsid w:val="655B1BDC"/>
    <w:rsid w:val="65BA6903"/>
    <w:rsid w:val="65BB414B"/>
    <w:rsid w:val="65CE6F06"/>
    <w:rsid w:val="65F81CA0"/>
    <w:rsid w:val="674A63AC"/>
    <w:rsid w:val="687D4876"/>
    <w:rsid w:val="68BC5088"/>
    <w:rsid w:val="68D4719C"/>
    <w:rsid w:val="69F04FE9"/>
    <w:rsid w:val="6A2829D5"/>
    <w:rsid w:val="6A3A2708"/>
    <w:rsid w:val="6A982C9A"/>
    <w:rsid w:val="6B3B2228"/>
    <w:rsid w:val="6B9D58D7"/>
    <w:rsid w:val="6BAE6460"/>
    <w:rsid w:val="6BBA19C6"/>
    <w:rsid w:val="6C0C3C30"/>
    <w:rsid w:val="6C234457"/>
    <w:rsid w:val="6C5432D6"/>
    <w:rsid w:val="6C865790"/>
    <w:rsid w:val="6D6E074D"/>
    <w:rsid w:val="6DAF6F69"/>
    <w:rsid w:val="6DEA7461"/>
    <w:rsid w:val="6E575B2F"/>
    <w:rsid w:val="6E6715F2"/>
    <w:rsid w:val="6E9D5013"/>
    <w:rsid w:val="6F382CA3"/>
    <w:rsid w:val="6F821EB7"/>
    <w:rsid w:val="703B2D36"/>
    <w:rsid w:val="709D12FB"/>
    <w:rsid w:val="712F289B"/>
    <w:rsid w:val="718B54AD"/>
    <w:rsid w:val="719721EE"/>
    <w:rsid w:val="71E75FF6"/>
    <w:rsid w:val="721844FB"/>
    <w:rsid w:val="7265409A"/>
    <w:rsid w:val="73033418"/>
    <w:rsid w:val="739E0A6C"/>
    <w:rsid w:val="746C45AA"/>
    <w:rsid w:val="74982CA0"/>
    <w:rsid w:val="758E0B93"/>
    <w:rsid w:val="75A9058C"/>
    <w:rsid w:val="762A3631"/>
    <w:rsid w:val="765849D5"/>
    <w:rsid w:val="766E0C9F"/>
    <w:rsid w:val="7682346D"/>
    <w:rsid w:val="76D174CF"/>
    <w:rsid w:val="76FF2D0F"/>
    <w:rsid w:val="770E6AAE"/>
    <w:rsid w:val="773A78A3"/>
    <w:rsid w:val="77420E4E"/>
    <w:rsid w:val="77EC70A3"/>
    <w:rsid w:val="78450BF6"/>
    <w:rsid w:val="78467DA2"/>
    <w:rsid w:val="78A16FC8"/>
    <w:rsid w:val="78A32D1E"/>
    <w:rsid w:val="78A81581"/>
    <w:rsid w:val="79EB30D7"/>
    <w:rsid w:val="7A3031E0"/>
    <w:rsid w:val="7AEA338E"/>
    <w:rsid w:val="7AFC0B01"/>
    <w:rsid w:val="7B5212AE"/>
    <w:rsid w:val="7BED0A82"/>
    <w:rsid w:val="7C297A15"/>
    <w:rsid w:val="7CCE0618"/>
    <w:rsid w:val="7D8E551D"/>
    <w:rsid w:val="7D913CC2"/>
    <w:rsid w:val="7E8805DF"/>
    <w:rsid w:val="7EB7CCEF"/>
    <w:rsid w:val="7FFB0761"/>
    <w:rsid w:val="ABFECFBD"/>
    <w:rsid w:val="DF67D7F4"/>
    <w:rsid w:val="EAFDFF81"/>
    <w:rsid w:val="F7FD812F"/>
    <w:rsid w:val="FDFB074E"/>
    <w:rsid w:val="FEFB59D9"/>
    <w:rsid w:val="FF7FD2D7"/>
    <w:rsid w:val="FFEE37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25"/>
    <w:qFormat/>
    <w:uiPriority w:val="0"/>
    <w:pPr>
      <w:ind w:firstLine="420"/>
    </w:pPr>
    <w:rPr>
      <w:rFonts w:hAnsi="Calibri" w:cs="Times New Roman"/>
      <w:snapToGrid/>
      <w:szCs w:val="20"/>
    </w:rPr>
  </w:style>
  <w:style w:type="paragraph" w:styleId="3">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39"/>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5"/>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8"/>
    <w:qFormat/>
    <w:uiPriority w:val="0"/>
    <w:pPr>
      <w:shd w:val="clear" w:color="auto" w:fill="000080"/>
    </w:pPr>
  </w:style>
  <w:style w:type="paragraph" w:styleId="21">
    <w:name w:val="annotation text"/>
    <w:basedOn w:val="1"/>
    <w:link w:val="348"/>
    <w:qFormat/>
    <w:uiPriority w:val="99"/>
    <w:pPr>
      <w:jc w:val="left"/>
    </w:pPr>
  </w:style>
  <w:style w:type="paragraph" w:styleId="22">
    <w:name w:val="Salutation"/>
    <w:basedOn w:val="1"/>
    <w:next w:val="1"/>
    <w:link w:val="303"/>
    <w:qFormat/>
    <w:uiPriority w:val="0"/>
    <w:rPr>
      <w:rFonts w:ascii="仿宋_GB2312" w:eastAsia="仿宋_GB2312"/>
      <w:sz w:val="28"/>
      <w:szCs w:val="20"/>
    </w:rPr>
  </w:style>
  <w:style w:type="paragraph" w:styleId="23">
    <w:name w:val="Body Text 3"/>
    <w:basedOn w:val="1"/>
    <w:link w:val="334"/>
    <w:qFormat/>
    <w:uiPriority w:val="0"/>
    <w:pPr>
      <w:jc w:val="center"/>
    </w:pPr>
    <w:rPr>
      <w:szCs w:val="20"/>
    </w:rPr>
  </w:style>
  <w:style w:type="paragraph" w:styleId="24">
    <w:name w:val="List Bullet 3"/>
    <w:basedOn w:val="1"/>
    <w:qFormat/>
    <w:uiPriority w:val="0"/>
    <w:pPr>
      <w:snapToGrid w:val="0"/>
      <w:spacing w:line="360" w:lineRule="auto"/>
      <w:ind w:left="360" w:right="238" w:hanging="360"/>
      <w:contextualSpacing/>
    </w:pPr>
    <w:rPr>
      <w:sz w:val="24"/>
    </w:rPr>
  </w:style>
  <w:style w:type="paragraph" w:styleId="25">
    <w:name w:val="Body Text Indent"/>
    <w:basedOn w:val="1"/>
    <w:link w:val="271"/>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link w:val="13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39"/>
    <w:pPr>
      <w:ind w:left="2940" w:leftChars="1400"/>
    </w:pPr>
  </w:style>
  <w:style w:type="paragraph" w:styleId="36">
    <w:name w:val="Date"/>
    <w:basedOn w:val="1"/>
    <w:next w:val="1"/>
    <w:link w:val="188"/>
    <w:qFormat/>
    <w:uiPriority w:val="0"/>
    <w:pPr>
      <w:ind w:left="100" w:leftChars="2500"/>
    </w:pPr>
    <w:rPr>
      <w:rFonts w:ascii="宋体"/>
      <w:sz w:val="24"/>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4"/>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39"/>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4"/>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39"/>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able of figures"/>
    <w:basedOn w:val="1"/>
    <w:next w:val="1"/>
    <w:unhideWhenUsed/>
    <w:qFormat/>
    <w:uiPriority w:val="99"/>
    <w:pPr>
      <w:ind w:left="200" w:leftChars="200" w:hanging="200" w:hangingChars="200"/>
    </w:pPr>
  </w:style>
  <w:style w:type="paragraph" w:styleId="55">
    <w:name w:val="toc 2"/>
    <w:basedOn w:val="1"/>
    <w:next w:val="1"/>
    <w:qFormat/>
    <w:uiPriority w:val="39"/>
    <w:pPr>
      <w:ind w:left="420" w:leftChars="200"/>
    </w:pPr>
  </w:style>
  <w:style w:type="paragraph" w:styleId="56">
    <w:name w:val="toc 9"/>
    <w:basedOn w:val="1"/>
    <w:next w:val="1"/>
    <w:qFormat/>
    <w:uiPriority w:val="39"/>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2"/>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6"/>
    <w:qFormat/>
    <w:uiPriority w:val="0"/>
    <w:rPr>
      <w:b/>
      <w:bCs/>
    </w:rPr>
  </w:style>
  <w:style w:type="paragraph" w:styleId="62">
    <w:name w:val="Body Text First Indent 2"/>
    <w:basedOn w:val="25"/>
    <w:link w:val="13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customStyle="1" w:styleId="81">
    <w:name w:val="表格样式"/>
    <w:basedOn w:val="1"/>
    <w:qFormat/>
    <w:uiPriority w:val="0"/>
    <w:pPr>
      <w:jc w:val="center"/>
    </w:pPr>
    <w:rPr>
      <w:rFonts w:hint="eastAsia" w:eastAsia="仿宋_GB2312" w:cs="仿宋_GB2312"/>
      <w:sz w:val="24"/>
      <w:szCs w:val="21"/>
    </w:rPr>
  </w:style>
  <w:style w:type="character" w:customStyle="1" w:styleId="82">
    <w:name w:val="标题 5 字符"/>
    <w:link w:val="8"/>
    <w:qFormat/>
    <w:uiPriority w:val="9"/>
    <w:rPr>
      <w:b/>
      <w:bCs/>
      <w:kern w:val="2"/>
      <w:sz w:val="28"/>
      <w:szCs w:val="28"/>
    </w:rPr>
  </w:style>
  <w:style w:type="character" w:customStyle="1" w:styleId="83">
    <w:name w:val="标题 6 字符"/>
    <w:link w:val="9"/>
    <w:qFormat/>
    <w:uiPriority w:val="0"/>
    <w:rPr>
      <w:rFonts w:ascii="Arial" w:hAnsi="Arial" w:eastAsia="黑体"/>
      <w:b/>
      <w:bCs/>
      <w:kern w:val="2"/>
      <w:sz w:val="24"/>
      <w:szCs w:val="24"/>
    </w:rPr>
  </w:style>
  <w:style w:type="paragraph" w:customStyle="1" w:styleId="84">
    <w:name w:val="表格"/>
    <w:basedOn w:val="1"/>
    <w:qFormat/>
    <w:uiPriority w:val="0"/>
    <w:pPr>
      <w:snapToGrid w:val="0"/>
      <w:ind w:firstLine="42" w:firstLineChars="21"/>
    </w:pPr>
    <w:rPr>
      <w:rFonts w:ascii="宋体" w:hAnsi="宋体"/>
      <w:kern w:val="0"/>
      <w:sz w:val="20"/>
      <w:szCs w:val="20"/>
    </w:rPr>
  </w:style>
  <w:style w:type="character" w:customStyle="1" w:styleId="85">
    <w:name w:val="标题 3 字符"/>
    <w:qFormat/>
    <w:uiPriority w:val="9"/>
    <w:rPr>
      <w:b/>
      <w:bCs/>
      <w:kern w:val="2"/>
      <w:sz w:val="32"/>
      <w:szCs w:val="32"/>
    </w:rPr>
  </w:style>
  <w:style w:type="character" w:customStyle="1" w:styleId="86">
    <w:name w:val="标题 4 字符"/>
    <w:qFormat/>
    <w:uiPriority w:val="9"/>
    <w:rPr>
      <w:rFonts w:ascii="等线 Light" w:hAnsi="等线 Light" w:eastAsia="等线 Light" w:cs="Times New Roman"/>
      <w:b/>
      <w:bCs/>
      <w:snapToGrid w:val="0"/>
      <w:kern w:val="0"/>
      <w:sz w:val="28"/>
      <w:szCs w:val="28"/>
    </w:rPr>
  </w:style>
  <w:style w:type="character" w:customStyle="1" w:styleId="87">
    <w:name w:val="标题 7 字符"/>
    <w:link w:val="10"/>
    <w:qFormat/>
    <w:uiPriority w:val="0"/>
    <w:rPr>
      <w:b/>
      <w:bCs/>
      <w:kern w:val="2"/>
      <w:sz w:val="24"/>
      <w:szCs w:val="24"/>
    </w:rPr>
  </w:style>
  <w:style w:type="character" w:customStyle="1" w:styleId="88">
    <w:name w:val="标题 8 字符"/>
    <w:link w:val="11"/>
    <w:qFormat/>
    <w:uiPriority w:val="0"/>
    <w:rPr>
      <w:rFonts w:ascii="Arial" w:hAnsi="Arial" w:eastAsia="黑体"/>
      <w:kern w:val="2"/>
      <w:sz w:val="24"/>
      <w:szCs w:val="24"/>
    </w:rPr>
  </w:style>
  <w:style w:type="character" w:customStyle="1" w:styleId="89">
    <w:name w:val="标题 9 字符"/>
    <w:link w:val="12"/>
    <w:qFormat/>
    <w:uiPriority w:val="0"/>
    <w:rPr>
      <w:rFonts w:ascii="Arial" w:hAnsi="Arial" w:eastAsia="黑体"/>
      <w:kern w:val="2"/>
      <w:sz w:val="21"/>
      <w:szCs w:val="21"/>
    </w:rPr>
  </w:style>
  <w:style w:type="paragraph" w:customStyle="1" w:styleId="9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91">
    <w:name w:val="**正文"/>
    <w:basedOn w:val="1"/>
    <w:qFormat/>
    <w:uiPriority w:val="99"/>
    <w:pPr>
      <w:ind w:firstLine="480" w:firstLineChars="200"/>
    </w:pPr>
    <w:rPr>
      <w:rFonts w:ascii="Calibri" w:hAnsi="Calibri" w:eastAsia="仿宋_GB2312"/>
      <w:kern w:val="0"/>
      <w:sz w:val="24"/>
      <w:szCs w:val="32"/>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_38d22601-c435-438d-9820-70916fd89f5b"/>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sz w:val="24"/>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字符"/>
    <w:link w:val="61"/>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 w:val="24"/>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_5d946b71-05ae-41bd-a073-2276af16cdb2"/>
    <w:qFormat/>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62"/>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0"/>
    <w:qFormat/>
    <w:uiPriority w:val="0"/>
    <w:rPr>
      <w:rFonts w:ascii="Arial" w:hAnsi="Arial" w:eastAsia="黑体" w:cs="Arial"/>
      <w:snapToGrid w:val="0"/>
      <w:kern w:val="0"/>
      <w:szCs w:val="21"/>
    </w:rPr>
  </w:style>
  <w:style w:type="character" w:customStyle="1" w:styleId="13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字符"/>
    <w:link w:val="47"/>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uiPriority w:val="0"/>
    <w:rPr>
      <w:rFonts w:ascii="宋体" w:hAnsi="宋体" w:eastAsia="宋体"/>
      <w:kern w:val="2"/>
      <w:sz w:val="24"/>
      <w:lang w:val="en-US" w:eastAsia="zh-CN" w:bidi="ar-SA"/>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5"/>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36"/>
    <w:qFormat/>
    <w:uiPriority w:val="0"/>
    <w:rPr>
      <w:rFonts w:ascii="宋体"/>
      <w:kern w:val="2"/>
      <w:sz w:val="24"/>
      <w:szCs w:val="21"/>
      <w:lang w:val="zh-CN"/>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qFormat/>
    <w:uiPriority w:val="99"/>
    <w:rPr>
      <w:rFonts w:ascii="Times New Roman" w:hAnsi="Times New Roman" w:eastAsia="宋体" w:cs="Times New Roman"/>
      <w:szCs w:val="24"/>
    </w:rPr>
  </w:style>
  <w:style w:type="character" w:customStyle="1" w:styleId="194">
    <w:name w:val="批注框文本 字符1"/>
    <w:link w:val="39"/>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17"/>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20"/>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6"/>
    <w:qFormat/>
    <w:uiPriority w:val="0"/>
    <w:rPr>
      <w:rFonts w:ascii="仿宋_GB2312" w:hAnsi="仿宋" w:eastAsia="仿宋_GB2312" w:cs="仿宋_GB2312"/>
      <w:sz w:val="32"/>
      <w:szCs w:val="30"/>
      <w:lang w:val="zh-CN"/>
    </w:rPr>
  </w:style>
  <w:style w:type="character" w:customStyle="1" w:styleId="225">
    <w:name w:val="HTML 地址 字符"/>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7"/>
    <w:link w:val="228"/>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_f8b0c4a8-3a36-4237-9383-1fb955de0bb8"/>
    <w:qFormat/>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8"/>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4">
    <w:name w:val="列出段落1"/>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5"/>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_7a51d9d0-0967-4a0b-9f36-466b70e8ade9"/>
    <w:qFormat/>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4"/>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60"/>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2"/>
    <w:qFormat/>
    <w:uiPriority w:val="0"/>
    <w:rPr>
      <w:rFonts w:ascii="仿宋_GB2312" w:eastAsia="仿宋_GB2312"/>
      <w:kern w:val="2"/>
      <w:sz w:val="28"/>
    </w:rPr>
  </w:style>
  <w:style w:type="character" w:customStyle="1" w:styleId="304">
    <w:name w:val="文本正文 Char Char"/>
    <w:qFormat/>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8"/>
    <w:qFormat/>
    <w:uiPriority w:val="0"/>
    <w:rPr>
      <w:rFonts w:ascii="黑体" w:hAnsi="Courier New" w:eastAsia="黑体"/>
    </w:rPr>
  </w:style>
  <w:style w:type="character" w:customStyle="1" w:styleId="307">
    <w:name w:val="正文文本 2 字符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7"/>
    <w:link w:val="415"/>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正文文本缩进 2 字符"/>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0"/>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2"/>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3"/>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1"/>
    <w:qFormat/>
    <w:uiPriority w:val="99"/>
    <w:rPr>
      <w:kern w:val="2"/>
      <w:sz w:val="21"/>
      <w:szCs w:val="24"/>
    </w:rPr>
  </w:style>
  <w:style w:type="character" w:customStyle="1" w:styleId="349">
    <w:name w:val="签名 字符"/>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41"/>
    <w:next w:val="241"/>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41"/>
    <w:next w:val="241"/>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59"/>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after="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6"/>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4"/>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5"/>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qFormat/>
    <w:uiPriority w:val="99"/>
    <w:rPr>
      <w:rFonts w:ascii="Times New Roman" w:hAnsi="Times New Roman" w:eastAsia="宋体" w:cs="Times New Roman"/>
      <w:kern w:val="2"/>
      <w:sz w:val="21"/>
      <w:szCs w:val="24"/>
      <w:lang w:val="en-US" w:eastAsia="zh-CN" w:bidi="ar-SA"/>
    </w:rPr>
  </w:style>
  <w:style w:type="paragraph" w:customStyle="1" w:styleId="967">
    <w:name w:val="样式 标题 31.1.1标题 333rd levelBOD 0Bold HeadCTH3H31Heading ...1"/>
    <w:basedOn w:val="6"/>
    <w:qFormat/>
    <w:uiPriority w:val="0"/>
    <w:pPr>
      <w:spacing w:before="0" w:after="0"/>
      <w:ind w:firstLine="0"/>
    </w:pPr>
    <w:rPr>
      <w:rFonts w:hAnsi="宋体" w:cs="宋体"/>
      <w:sz w:val="24"/>
    </w:rPr>
  </w:style>
  <w:style w:type="paragraph" w:customStyle="1" w:styleId="96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0">
    <w:name w:val="纯文本_3"/>
    <w:basedOn w:val="968"/>
    <w:qFormat/>
    <w:uiPriority w:val="0"/>
    <w:rPr>
      <w:rFonts w:ascii="宋体" w:hAnsi="Courier New"/>
      <w:szCs w:val="20"/>
    </w:rPr>
  </w:style>
  <w:style w:type="paragraph" w:customStyle="1" w:styleId="97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2">
    <w:name w:val="纯文本_0"/>
    <w:basedOn w:val="973"/>
    <w:qFormat/>
    <w:uiPriority w:val="0"/>
    <w:rPr>
      <w:rFonts w:ascii="宋体" w:hAnsi="Courier New"/>
      <w:kern w:val="0"/>
      <w:sz w:val="20"/>
      <w:szCs w:val="20"/>
    </w:rPr>
  </w:style>
  <w:style w:type="paragraph" w:customStyle="1" w:styleId="973">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4">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5">
    <w:name w:val="纯文本_1"/>
    <w:basedOn w:val="976"/>
    <w:qFormat/>
    <w:uiPriority w:val="0"/>
    <w:rPr>
      <w:rFonts w:ascii="宋体" w:hAnsi="Courier New"/>
      <w:szCs w:val="20"/>
    </w:rPr>
  </w:style>
  <w:style w:type="paragraph" w:customStyle="1" w:styleId="97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9">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0">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1">
    <w:name w:val="纯文本_4_0"/>
    <w:basedOn w:val="982"/>
    <w:qFormat/>
    <w:uiPriority w:val="0"/>
    <w:rPr>
      <w:rFonts w:ascii="宋体" w:hAnsi="Courier New"/>
      <w:szCs w:val="20"/>
    </w:rPr>
  </w:style>
  <w:style w:type="paragraph" w:customStyle="1" w:styleId="982">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3">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4">
    <w:name w:val="NormalCharacter"/>
    <w:link w:val="985"/>
    <w:qFormat/>
    <w:uiPriority w:val="0"/>
    <w:rPr>
      <w:rFonts w:ascii="仿宋_GB2312" w:hAnsi="宋体" w:eastAsia="仿宋_GB2312"/>
      <w:color w:val="000000"/>
      <w:sz w:val="24"/>
    </w:rPr>
  </w:style>
  <w:style w:type="paragraph" w:customStyle="1" w:styleId="985">
    <w:name w:val="UserStyle_73"/>
    <w:basedOn w:val="1"/>
    <w:link w:val="984"/>
    <w:qFormat/>
    <w:uiPriority w:val="0"/>
    <w:pPr>
      <w:textAlignment w:val="baseline"/>
    </w:pPr>
    <w:rPr>
      <w:rFonts w:ascii="仿宋_GB2312" w:hAnsi="宋体" w:eastAsia="仿宋_GB2312"/>
      <w:color w:val="000000"/>
      <w:sz w:val="24"/>
    </w:rPr>
  </w:style>
  <w:style w:type="paragraph" w:customStyle="1" w:styleId="98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987">
    <w:name w:val="普通(网站)_0"/>
    <w:basedOn w:val="988"/>
    <w:qFormat/>
    <w:uiPriority w:val="0"/>
    <w:pPr>
      <w:widowControl/>
      <w:spacing w:before="100" w:beforeAutospacing="1" w:after="100" w:afterAutospacing="1"/>
      <w:jc w:val="left"/>
    </w:pPr>
    <w:rPr>
      <w:rFonts w:ascii="宋体" w:hAnsi="宋体"/>
      <w:kern w:val="0"/>
      <w:sz w:val="24"/>
      <w:szCs w:val="22"/>
    </w:rPr>
  </w:style>
  <w:style w:type="paragraph" w:customStyle="1" w:styleId="98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89">
    <w:name w:val="List Paragraph"/>
    <w:basedOn w:val="1"/>
    <w:unhideWhenUsed/>
    <w:qFormat/>
    <w:uiPriority w:val="99"/>
    <w:pPr>
      <w:ind w:firstLine="420" w:firstLineChars="200"/>
    </w:pPr>
  </w:style>
  <w:style w:type="character" w:customStyle="1" w:styleId="990">
    <w:name w:val="未处理的提及2"/>
    <w:basedOn w:val="70"/>
    <w:semiHidden/>
    <w:unhideWhenUsed/>
    <w:qFormat/>
    <w:uiPriority w:val="99"/>
    <w:rPr>
      <w:color w:val="605E5C"/>
      <w:shd w:val="clear" w:color="auto" w:fill="E1DFDD"/>
    </w:rPr>
  </w:style>
  <w:style w:type="paragraph" w:customStyle="1" w:styleId="991">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92">
    <w:name w:val="正文文本缩进 21"/>
    <w:basedOn w:val="1"/>
    <w:qFormat/>
    <w:uiPriority w:val="0"/>
    <w:pPr>
      <w:snapToGrid w:val="0"/>
      <w:spacing w:line="400" w:lineRule="exact"/>
    </w:pPr>
    <w:rPr>
      <w:rFonts w:eastAsia="仿宋_GB2312;仿宋"/>
      <w:sz w:val="24"/>
    </w:rPr>
  </w:style>
  <w:style w:type="character" w:customStyle="1" w:styleId="993">
    <w:name w:val="10"/>
    <w:basedOn w:val="70"/>
    <w:qFormat/>
    <w:uiPriority w:val="0"/>
    <w:rPr>
      <w:rFonts w:hint="default" w:ascii="Times New Roman" w:hAnsi="Times New Roman" w:cs="Times New Roman"/>
    </w:rPr>
  </w:style>
  <w:style w:type="paragraph" w:customStyle="1" w:styleId="994">
    <w:name w:val="0- 正文"/>
    <w:basedOn w:val="1"/>
    <w:qFormat/>
    <w:uiPriority w:val="0"/>
    <w:pPr>
      <w:widowControl/>
      <w:spacing w:line="360" w:lineRule="auto"/>
      <w:ind w:firstLine="482"/>
      <w:jc w:val="left"/>
    </w:pPr>
    <w:rPr>
      <w:sz w:val="24"/>
    </w:rPr>
  </w:style>
  <w:style w:type="paragraph" w:customStyle="1" w:styleId="995">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96">
    <w:name w:val="修订7"/>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88</Pages>
  <Words>10030</Words>
  <Characters>10999</Characters>
  <Lines>431</Lines>
  <Paragraphs>121</Paragraphs>
  <TotalTime>28</TotalTime>
  <ScaleCrop>false</ScaleCrop>
  <LinksUpToDate>false</LinksUpToDate>
  <CharactersWithSpaces>11693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2024-03-07T10:31:00Z</dcterms:created>
  <dc:creator>玥</dc:creator>
  <cp:lastModifiedBy>A-雨中散步</cp:lastModifiedBy>
  <cp:lastPrinted>2024-09-19T23:46:00Z</cp:lastPrinted>
  <dcterms:modified xsi:type="dcterms:W3CDTF">2024-10-12T12:45:33Z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75D2CA8A87EE5C42C645F86519544453_43</vt:lpwstr>
  </property>
  <property fmtid="{D5CDD505-2E9C-101B-9397-08002B2CF9AE}" pid="5" name="commondata">
    <vt:lpwstr>eyJoZGlkIjoiNGNlMmFkMDQ1NDY0ZmRiM2Q0NjY4NTFjN2IwMTllYjMifQ==</vt:lpwstr>
  </property>
</Properties>
</file>