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BEF93C3">
      <w:pPr>
        <w:jc w:val="center"/>
        <w:rPr>
          <w:rFonts w:ascii="宋体" w:hAnsi="宋体" w:cs="宋体"/>
          <w:b/>
          <w:bCs/>
          <w:color w:val="auto"/>
          <w:spacing w:val="40"/>
          <w:sz w:val="52"/>
          <w:szCs w:val="52"/>
          <w:highlight w:val="none"/>
        </w:rPr>
      </w:pPr>
      <w:r>
        <w:rPr>
          <w:rFonts w:hint="eastAsia" w:ascii="宋体" w:hAnsi="宋体" w:cs="宋体"/>
          <w:color w:val="auto"/>
          <w:spacing w:val="40"/>
          <w:sz w:val="84"/>
          <w:szCs w:val="84"/>
          <w:highlight w:val="none"/>
        </w:rPr>
        <w:t>温 州 医 科 大 学</w:t>
      </w:r>
    </w:p>
    <w:p w14:paraId="2FA240C4">
      <w:pPr>
        <w:jc w:val="center"/>
        <w:rPr>
          <w:rFonts w:ascii="宋体" w:hAnsi="宋体" w:cs="宋体"/>
          <w:b/>
          <w:bCs/>
          <w:color w:val="auto"/>
          <w:spacing w:val="26"/>
          <w:sz w:val="52"/>
          <w:highlight w:val="none"/>
        </w:rPr>
      </w:pPr>
    </w:p>
    <w:p w14:paraId="4514A4DD">
      <w:pPr>
        <w:rPr>
          <w:rFonts w:ascii="宋体" w:hAnsi="宋体" w:cs="宋体"/>
          <w:b/>
          <w:bCs/>
          <w:color w:val="auto"/>
          <w:spacing w:val="140"/>
          <w:sz w:val="72"/>
          <w:highlight w:val="none"/>
        </w:rPr>
      </w:pPr>
    </w:p>
    <w:p w14:paraId="1C171E1B">
      <w:pPr>
        <w:adjustRightInd w:val="0"/>
        <w:snapToGrid w:val="0"/>
        <w:spacing w:line="480" w:lineRule="auto"/>
        <w:ind w:right="361"/>
        <w:jc w:val="center"/>
        <w:rPr>
          <w:rFonts w:ascii="宋体" w:hAnsi="宋体" w:cs="宋体"/>
          <w:b/>
          <w:bCs/>
          <w:color w:val="auto"/>
          <w:sz w:val="84"/>
          <w:szCs w:val="84"/>
          <w:highlight w:val="none"/>
        </w:rPr>
      </w:pPr>
      <w:r>
        <w:rPr>
          <w:rFonts w:hint="eastAsia" w:ascii="宋体" w:hAnsi="宋体" w:cs="宋体"/>
          <w:color w:val="auto"/>
          <w:sz w:val="84"/>
          <w:szCs w:val="84"/>
          <w:highlight w:val="none"/>
        </w:rPr>
        <w:t>磋 商 文 件</w:t>
      </w:r>
    </w:p>
    <w:p w14:paraId="18DBE76C">
      <w:pPr>
        <w:spacing w:line="800" w:lineRule="exact"/>
        <w:jc w:val="left"/>
        <w:rPr>
          <w:rFonts w:ascii="宋体" w:hAnsi="宋体" w:cs="宋体"/>
          <w:color w:val="auto"/>
          <w:highlight w:val="none"/>
        </w:rPr>
      </w:pPr>
    </w:p>
    <w:p w14:paraId="095EC066">
      <w:pPr>
        <w:pStyle w:val="2"/>
        <w:rPr>
          <w:color w:val="auto"/>
          <w:highlight w:val="none"/>
        </w:rPr>
      </w:pPr>
    </w:p>
    <w:tbl>
      <w:tblPr>
        <w:tblStyle w:val="52"/>
        <w:tblW w:w="0" w:type="auto"/>
        <w:tblInd w:w="3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8"/>
        <w:gridCol w:w="6812"/>
      </w:tblGrid>
      <w:tr w14:paraId="1BC95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tcBorders>
              <w:top w:val="nil"/>
              <w:left w:val="nil"/>
              <w:bottom w:val="nil"/>
              <w:right w:val="nil"/>
            </w:tcBorders>
          </w:tcPr>
          <w:p w14:paraId="7499C487">
            <w:pPr>
              <w:spacing w:line="600" w:lineRule="exact"/>
              <w:jc w:val="center"/>
              <w:rPr>
                <w:rFonts w:ascii="宋体" w:hAnsi="宋体" w:cs="宋体"/>
                <w:color w:val="auto"/>
                <w:spacing w:val="30"/>
                <w:sz w:val="30"/>
                <w:szCs w:val="30"/>
                <w:highlight w:val="none"/>
              </w:rPr>
            </w:pPr>
            <w:r>
              <w:rPr>
                <w:rFonts w:hint="eastAsia" w:ascii="宋体" w:hAnsi="宋体" w:cs="宋体"/>
                <w:color w:val="auto"/>
                <w:spacing w:val="40"/>
                <w:sz w:val="30"/>
                <w:szCs w:val="30"/>
                <w:highlight w:val="none"/>
              </w:rPr>
              <w:t>项 目 编 号：</w:t>
            </w:r>
          </w:p>
        </w:tc>
        <w:tc>
          <w:tcPr>
            <w:tcW w:w="6812" w:type="dxa"/>
            <w:tcBorders>
              <w:top w:val="nil"/>
              <w:left w:val="nil"/>
              <w:bottom w:val="nil"/>
              <w:right w:val="nil"/>
            </w:tcBorders>
          </w:tcPr>
          <w:p w14:paraId="74C86FA3">
            <w:pPr>
              <w:spacing w:line="600" w:lineRule="exact"/>
              <w:jc w:val="center"/>
              <w:rPr>
                <w:rFonts w:hint="eastAsia" w:ascii="宋体" w:hAnsi="宋体" w:eastAsia="宋体" w:cs="宋体"/>
                <w:color w:val="auto"/>
                <w:spacing w:val="40"/>
                <w:sz w:val="30"/>
                <w:szCs w:val="30"/>
                <w:highlight w:val="none"/>
                <w:lang w:eastAsia="zh-CN"/>
              </w:rPr>
            </w:pPr>
            <w:r>
              <w:rPr>
                <w:rFonts w:hint="eastAsia" w:ascii="宋体" w:hAnsi="宋体" w:cs="宋体"/>
                <w:color w:val="auto"/>
                <w:spacing w:val="40"/>
                <w:sz w:val="30"/>
                <w:szCs w:val="30"/>
                <w:highlight w:val="none"/>
                <w:lang w:eastAsia="zh-CN"/>
              </w:rPr>
              <w:t>WMU- 2024CS919</w:t>
            </w:r>
          </w:p>
        </w:tc>
      </w:tr>
      <w:tr w14:paraId="7141E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tcBorders>
              <w:top w:val="nil"/>
              <w:left w:val="nil"/>
              <w:bottom w:val="nil"/>
              <w:right w:val="nil"/>
            </w:tcBorders>
          </w:tcPr>
          <w:p w14:paraId="207CB063">
            <w:pPr>
              <w:spacing w:line="600" w:lineRule="exact"/>
              <w:jc w:val="center"/>
              <w:rPr>
                <w:rFonts w:ascii="宋体" w:hAnsi="宋体" w:cs="宋体"/>
                <w:color w:val="auto"/>
                <w:spacing w:val="30"/>
                <w:sz w:val="30"/>
                <w:szCs w:val="30"/>
                <w:highlight w:val="none"/>
              </w:rPr>
            </w:pPr>
            <w:r>
              <w:rPr>
                <w:rFonts w:hint="eastAsia" w:ascii="宋体" w:hAnsi="宋体" w:cs="宋体"/>
                <w:color w:val="auto"/>
                <w:spacing w:val="40"/>
                <w:sz w:val="30"/>
                <w:szCs w:val="30"/>
                <w:highlight w:val="none"/>
              </w:rPr>
              <w:t>项 目 名 称：</w:t>
            </w:r>
          </w:p>
        </w:tc>
        <w:tc>
          <w:tcPr>
            <w:tcW w:w="6812" w:type="dxa"/>
            <w:tcBorders>
              <w:top w:val="nil"/>
              <w:left w:val="nil"/>
              <w:bottom w:val="nil"/>
              <w:right w:val="nil"/>
            </w:tcBorders>
          </w:tcPr>
          <w:p w14:paraId="1DE862CC">
            <w:pPr>
              <w:spacing w:line="600" w:lineRule="exact"/>
              <w:jc w:val="center"/>
              <w:rPr>
                <w:rFonts w:hint="eastAsia" w:ascii="宋体" w:hAnsi="宋体" w:eastAsia="宋体" w:cs="宋体"/>
                <w:color w:val="auto"/>
                <w:spacing w:val="40"/>
                <w:sz w:val="30"/>
                <w:szCs w:val="30"/>
                <w:highlight w:val="none"/>
                <w:lang w:eastAsia="zh-CN"/>
              </w:rPr>
            </w:pPr>
            <w:r>
              <w:rPr>
                <w:rFonts w:hint="eastAsia" w:ascii="宋体" w:hAnsi="宋体" w:cs="宋体"/>
                <w:color w:val="auto"/>
                <w:spacing w:val="40"/>
                <w:sz w:val="30"/>
                <w:szCs w:val="30"/>
                <w:highlight w:val="none"/>
                <w:lang w:eastAsia="zh-CN"/>
              </w:rPr>
              <w:t>双人课桌、单人椅子（重）</w:t>
            </w:r>
          </w:p>
        </w:tc>
      </w:tr>
      <w:tr w14:paraId="560C0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88" w:type="dxa"/>
            <w:tcBorders>
              <w:top w:val="nil"/>
              <w:left w:val="nil"/>
              <w:bottom w:val="nil"/>
              <w:right w:val="nil"/>
            </w:tcBorders>
          </w:tcPr>
          <w:p w14:paraId="5917794A">
            <w:pPr>
              <w:spacing w:line="600" w:lineRule="exact"/>
              <w:jc w:val="center"/>
              <w:rPr>
                <w:rFonts w:ascii="宋体" w:hAnsi="宋体" w:cs="宋体"/>
                <w:color w:val="auto"/>
                <w:spacing w:val="30"/>
                <w:sz w:val="30"/>
                <w:szCs w:val="30"/>
                <w:highlight w:val="none"/>
              </w:rPr>
            </w:pPr>
            <w:r>
              <w:rPr>
                <w:rFonts w:hint="eastAsia" w:ascii="宋体" w:hAnsi="宋体" w:cs="宋体"/>
                <w:color w:val="auto"/>
                <w:spacing w:val="40"/>
                <w:sz w:val="30"/>
                <w:szCs w:val="30"/>
                <w:highlight w:val="none"/>
              </w:rPr>
              <w:t>采 购 方 式：</w:t>
            </w:r>
          </w:p>
        </w:tc>
        <w:tc>
          <w:tcPr>
            <w:tcW w:w="6812" w:type="dxa"/>
            <w:tcBorders>
              <w:top w:val="nil"/>
              <w:left w:val="nil"/>
              <w:bottom w:val="nil"/>
              <w:right w:val="nil"/>
            </w:tcBorders>
          </w:tcPr>
          <w:p w14:paraId="38EED6BE">
            <w:pPr>
              <w:spacing w:line="600" w:lineRule="exact"/>
              <w:jc w:val="center"/>
              <w:rPr>
                <w:rFonts w:ascii="宋体" w:hAnsi="宋体" w:cs="宋体"/>
                <w:color w:val="auto"/>
                <w:spacing w:val="40"/>
                <w:sz w:val="30"/>
                <w:szCs w:val="30"/>
                <w:highlight w:val="none"/>
              </w:rPr>
            </w:pPr>
            <w:r>
              <w:rPr>
                <w:rFonts w:hint="eastAsia" w:ascii="宋体" w:hAnsi="宋体" w:cs="宋体"/>
                <w:color w:val="auto"/>
                <w:spacing w:val="40"/>
                <w:sz w:val="30"/>
                <w:szCs w:val="30"/>
                <w:highlight w:val="none"/>
              </w:rPr>
              <w:t>竞争性磋商（非政府采购）</w:t>
            </w:r>
          </w:p>
        </w:tc>
      </w:tr>
      <w:tr w14:paraId="1059F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tcBorders>
              <w:top w:val="nil"/>
              <w:left w:val="nil"/>
              <w:bottom w:val="nil"/>
              <w:right w:val="nil"/>
            </w:tcBorders>
          </w:tcPr>
          <w:p w14:paraId="517C62BB">
            <w:pPr>
              <w:spacing w:line="600" w:lineRule="exact"/>
              <w:jc w:val="center"/>
              <w:rPr>
                <w:rFonts w:ascii="宋体" w:hAnsi="宋体" w:cs="宋体"/>
                <w:color w:val="auto"/>
                <w:spacing w:val="30"/>
                <w:sz w:val="30"/>
                <w:szCs w:val="30"/>
                <w:highlight w:val="none"/>
              </w:rPr>
            </w:pPr>
            <w:r>
              <w:rPr>
                <w:rFonts w:hint="eastAsia" w:ascii="宋体" w:hAnsi="宋体" w:cs="宋体"/>
                <w:color w:val="auto"/>
                <w:spacing w:val="40"/>
                <w:sz w:val="30"/>
                <w:szCs w:val="30"/>
                <w:highlight w:val="none"/>
              </w:rPr>
              <w:t>评 审 方 式：</w:t>
            </w:r>
          </w:p>
        </w:tc>
        <w:tc>
          <w:tcPr>
            <w:tcW w:w="6812" w:type="dxa"/>
            <w:tcBorders>
              <w:top w:val="nil"/>
              <w:left w:val="nil"/>
              <w:bottom w:val="nil"/>
              <w:right w:val="nil"/>
            </w:tcBorders>
          </w:tcPr>
          <w:p w14:paraId="5FD040FB">
            <w:pPr>
              <w:spacing w:line="600" w:lineRule="exact"/>
              <w:jc w:val="center"/>
              <w:rPr>
                <w:rFonts w:ascii="宋体" w:hAnsi="宋体" w:cs="宋体"/>
                <w:color w:val="auto"/>
                <w:spacing w:val="40"/>
                <w:sz w:val="30"/>
                <w:szCs w:val="30"/>
                <w:highlight w:val="none"/>
              </w:rPr>
            </w:pPr>
            <w:r>
              <w:rPr>
                <w:rFonts w:hint="eastAsia" w:ascii="宋体" w:hAnsi="宋体" w:cs="宋体"/>
                <w:color w:val="auto"/>
                <w:spacing w:val="40"/>
                <w:sz w:val="30"/>
                <w:szCs w:val="30"/>
                <w:highlight w:val="none"/>
              </w:rPr>
              <w:t>线上电子评审</w:t>
            </w:r>
          </w:p>
        </w:tc>
      </w:tr>
    </w:tbl>
    <w:p w14:paraId="5374B989">
      <w:pPr>
        <w:spacing w:line="600" w:lineRule="exact"/>
        <w:ind w:firstLine="1620" w:firstLineChars="450"/>
        <w:rPr>
          <w:rFonts w:ascii="宋体" w:hAnsi="宋体" w:cs="宋体"/>
          <w:color w:val="auto"/>
          <w:spacing w:val="30"/>
          <w:sz w:val="30"/>
          <w:highlight w:val="none"/>
        </w:rPr>
      </w:pPr>
    </w:p>
    <w:p w14:paraId="653C4F69">
      <w:pPr>
        <w:pStyle w:val="298"/>
        <w:ind w:firstLine="720"/>
        <w:rPr>
          <w:rFonts w:ascii="宋体" w:hAnsi="宋体" w:cs="宋体"/>
          <w:color w:val="auto"/>
          <w:spacing w:val="30"/>
          <w:sz w:val="30"/>
          <w:highlight w:val="none"/>
        </w:rPr>
      </w:pPr>
    </w:p>
    <w:p w14:paraId="21C5CB49">
      <w:pPr>
        <w:rPr>
          <w:rFonts w:ascii="宋体" w:hAnsi="宋体" w:cs="宋体"/>
          <w:color w:val="auto"/>
          <w:spacing w:val="30"/>
          <w:sz w:val="30"/>
          <w:highlight w:val="none"/>
        </w:rPr>
      </w:pPr>
    </w:p>
    <w:p w14:paraId="3D1B08F1">
      <w:pPr>
        <w:rPr>
          <w:rFonts w:ascii="宋体" w:hAnsi="宋体" w:cs="宋体"/>
          <w:color w:val="auto"/>
          <w:spacing w:val="30"/>
          <w:sz w:val="30"/>
          <w:highlight w:val="none"/>
        </w:rPr>
      </w:pPr>
    </w:p>
    <w:p w14:paraId="1F07041F">
      <w:pPr>
        <w:pStyle w:val="2"/>
        <w:rPr>
          <w:color w:val="auto"/>
          <w:highlight w:val="none"/>
        </w:rPr>
      </w:pPr>
    </w:p>
    <w:p w14:paraId="25E3F182">
      <w:pPr>
        <w:pStyle w:val="298"/>
        <w:rPr>
          <w:rFonts w:ascii="宋体" w:hAnsi="宋体" w:cs="宋体"/>
          <w:color w:val="auto"/>
          <w:highlight w:val="none"/>
        </w:rPr>
      </w:pPr>
    </w:p>
    <w:tbl>
      <w:tblPr>
        <w:tblStyle w:val="52"/>
        <w:tblW w:w="0" w:type="auto"/>
        <w:tblInd w:w="939" w:type="dxa"/>
        <w:tblLayout w:type="fixed"/>
        <w:tblCellMar>
          <w:top w:w="0" w:type="dxa"/>
          <w:left w:w="108" w:type="dxa"/>
          <w:bottom w:w="0" w:type="dxa"/>
          <w:right w:w="108" w:type="dxa"/>
        </w:tblCellMar>
      </w:tblPr>
      <w:tblGrid>
        <w:gridCol w:w="3068"/>
        <w:gridCol w:w="5381"/>
      </w:tblGrid>
      <w:tr w14:paraId="0A72A013">
        <w:tblPrEx>
          <w:tblCellMar>
            <w:top w:w="0" w:type="dxa"/>
            <w:left w:w="108" w:type="dxa"/>
            <w:bottom w:w="0" w:type="dxa"/>
            <w:right w:w="108" w:type="dxa"/>
          </w:tblCellMar>
        </w:tblPrEx>
        <w:trPr>
          <w:trHeight w:val="537" w:hRule="atLeast"/>
        </w:trPr>
        <w:tc>
          <w:tcPr>
            <w:tcW w:w="3068" w:type="dxa"/>
          </w:tcPr>
          <w:p w14:paraId="218368F5">
            <w:pPr>
              <w:jc w:val="distribute"/>
              <w:rPr>
                <w:rFonts w:ascii="宋体" w:hAnsi="宋体" w:cs="宋体"/>
                <w:color w:val="auto"/>
                <w:spacing w:val="30"/>
                <w:sz w:val="30"/>
                <w:highlight w:val="none"/>
              </w:rPr>
            </w:pPr>
            <w:r>
              <w:rPr>
                <w:rFonts w:hint="eastAsia" w:ascii="宋体" w:hAnsi="宋体" w:cs="宋体"/>
                <w:color w:val="auto"/>
                <w:spacing w:val="30"/>
                <w:sz w:val="30"/>
                <w:highlight w:val="none"/>
              </w:rPr>
              <w:t>采购人：</w:t>
            </w:r>
          </w:p>
        </w:tc>
        <w:tc>
          <w:tcPr>
            <w:tcW w:w="5381" w:type="dxa"/>
          </w:tcPr>
          <w:p w14:paraId="691EBA7F">
            <w:pPr>
              <w:jc w:val="center"/>
              <w:rPr>
                <w:rFonts w:ascii="宋体" w:hAnsi="宋体" w:cs="宋体"/>
                <w:color w:val="auto"/>
                <w:spacing w:val="30"/>
                <w:sz w:val="30"/>
                <w:highlight w:val="none"/>
              </w:rPr>
            </w:pPr>
            <w:r>
              <w:rPr>
                <w:rFonts w:hint="eastAsia" w:ascii="宋体" w:hAnsi="宋体" w:cs="宋体"/>
                <w:color w:val="auto"/>
                <w:sz w:val="30"/>
                <w:highlight w:val="none"/>
              </w:rPr>
              <w:t>温州医科大学</w:t>
            </w:r>
          </w:p>
        </w:tc>
      </w:tr>
      <w:tr w14:paraId="658A0881">
        <w:tblPrEx>
          <w:tblCellMar>
            <w:top w:w="0" w:type="dxa"/>
            <w:left w:w="108" w:type="dxa"/>
            <w:bottom w:w="0" w:type="dxa"/>
            <w:right w:w="108" w:type="dxa"/>
          </w:tblCellMar>
        </w:tblPrEx>
        <w:trPr>
          <w:trHeight w:val="491" w:hRule="atLeast"/>
        </w:trPr>
        <w:tc>
          <w:tcPr>
            <w:tcW w:w="3068" w:type="dxa"/>
          </w:tcPr>
          <w:p w14:paraId="54CD40FF">
            <w:pPr>
              <w:jc w:val="distribute"/>
              <w:rPr>
                <w:rFonts w:ascii="宋体" w:hAnsi="宋体" w:cs="宋体"/>
                <w:color w:val="auto"/>
                <w:spacing w:val="30"/>
                <w:sz w:val="30"/>
                <w:highlight w:val="none"/>
              </w:rPr>
            </w:pPr>
            <w:r>
              <w:rPr>
                <w:rFonts w:hint="eastAsia" w:ascii="宋体" w:hAnsi="宋体" w:cs="宋体"/>
                <w:color w:val="auto"/>
                <w:spacing w:val="30"/>
                <w:sz w:val="30"/>
                <w:highlight w:val="none"/>
              </w:rPr>
              <w:t>采购代理机构：</w:t>
            </w:r>
          </w:p>
        </w:tc>
        <w:tc>
          <w:tcPr>
            <w:tcW w:w="5381" w:type="dxa"/>
          </w:tcPr>
          <w:p w14:paraId="6EA1278E">
            <w:pPr>
              <w:jc w:val="center"/>
              <w:rPr>
                <w:rFonts w:ascii="宋体" w:hAnsi="宋体" w:cs="宋体"/>
                <w:color w:val="auto"/>
                <w:spacing w:val="30"/>
                <w:sz w:val="30"/>
                <w:highlight w:val="none"/>
              </w:rPr>
            </w:pPr>
            <w:r>
              <w:rPr>
                <w:rFonts w:hint="eastAsia" w:ascii="宋体" w:hAnsi="宋体" w:cs="宋体"/>
                <w:color w:val="auto"/>
                <w:spacing w:val="30"/>
                <w:sz w:val="30"/>
                <w:highlight w:val="none"/>
              </w:rPr>
              <w:t>温州历程招标有限公司</w:t>
            </w:r>
          </w:p>
        </w:tc>
      </w:tr>
      <w:tr w14:paraId="7BA62ABB">
        <w:tblPrEx>
          <w:tblCellMar>
            <w:top w:w="0" w:type="dxa"/>
            <w:left w:w="108" w:type="dxa"/>
            <w:bottom w:w="0" w:type="dxa"/>
            <w:right w:w="108" w:type="dxa"/>
          </w:tblCellMar>
        </w:tblPrEx>
        <w:tc>
          <w:tcPr>
            <w:tcW w:w="3068" w:type="dxa"/>
          </w:tcPr>
          <w:p w14:paraId="032E9FCD">
            <w:pPr>
              <w:jc w:val="distribute"/>
              <w:rPr>
                <w:rFonts w:ascii="宋体" w:hAnsi="宋体" w:cs="宋体"/>
                <w:color w:val="auto"/>
                <w:spacing w:val="30"/>
                <w:sz w:val="30"/>
                <w:highlight w:val="none"/>
              </w:rPr>
            </w:pPr>
            <w:r>
              <w:rPr>
                <w:rFonts w:hint="eastAsia" w:ascii="宋体" w:hAnsi="宋体" w:cs="宋体"/>
                <w:color w:val="auto"/>
                <w:spacing w:val="30"/>
                <w:sz w:val="30"/>
                <w:highlight w:val="none"/>
              </w:rPr>
              <w:t>日       期：</w:t>
            </w:r>
          </w:p>
        </w:tc>
        <w:tc>
          <w:tcPr>
            <w:tcW w:w="5381" w:type="dxa"/>
          </w:tcPr>
          <w:p w14:paraId="5E288D26">
            <w:pPr>
              <w:spacing w:line="600" w:lineRule="exact"/>
              <w:jc w:val="center"/>
              <w:rPr>
                <w:rFonts w:ascii="宋体" w:hAnsi="宋体" w:cs="宋体"/>
                <w:color w:val="auto"/>
                <w:spacing w:val="30"/>
                <w:sz w:val="30"/>
                <w:highlight w:val="none"/>
              </w:rPr>
            </w:pPr>
            <w:r>
              <w:rPr>
                <w:rFonts w:hint="eastAsia" w:ascii="宋体" w:hAnsi="宋体" w:cs="宋体"/>
                <w:color w:val="auto"/>
                <w:spacing w:val="30"/>
                <w:sz w:val="30"/>
                <w:highlight w:val="none"/>
              </w:rPr>
              <w:t>二〇二四年</w:t>
            </w:r>
            <w:r>
              <w:rPr>
                <w:rFonts w:hint="eastAsia" w:ascii="宋体" w:hAnsi="宋体" w:cs="宋体"/>
                <w:color w:val="auto"/>
                <w:spacing w:val="30"/>
                <w:sz w:val="30"/>
                <w:highlight w:val="none"/>
                <w:lang w:val="en-US" w:eastAsia="zh-CN"/>
              </w:rPr>
              <w:t>八</w:t>
            </w:r>
            <w:r>
              <w:rPr>
                <w:rFonts w:hint="eastAsia" w:ascii="宋体" w:hAnsi="宋体" w:cs="宋体"/>
                <w:color w:val="auto"/>
                <w:spacing w:val="30"/>
                <w:sz w:val="30"/>
                <w:highlight w:val="none"/>
              </w:rPr>
              <w:t>月</w:t>
            </w:r>
          </w:p>
        </w:tc>
      </w:tr>
    </w:tbl>
    <w:p w14:paraId="63E32FEF">
      <w:pPr>
        <w:spacing w:line="360" w:lineRule="auto"/>
        <w:jc w:val="center"/>
        <w:rPr>
          <w:rFonts w:ascii="宋体" w:hAnsi="宋体"/>
          <w:b/>
          <w:bCs/>
          <w:color w:val="auto"/>
          <w:sz w:val="28"/>
          <w:szCs w:val="36"/>
          <w:highlight w:val="none"/>
        </w:rPr>
      </w:pPr>
    </w:p>
    <w:p w14:paraId="38618752">
      <w:pPr>
        <w:spacing w:line="360" w:lineRule="auto"/>
        <w:jc w:val="center"/>
        <w:rPr>
          <w:rFonts w:ascii="宋体" w:hAnsi="宋体"/>
          <w:b/>
          <w:bCs/>
          <w:color w:val="auto"/>
          <w:sz w:val="28"/>
          <w:szCs w:val="36"/>
          <w:highlight w:val="none"/>
        </w:rPr>
      </w:pPr>
    </w:p>
    <w:p w14:paraId="77D4D85E">
      <w:pPr>
        <w:spacing w:line="360" w:lineRule="auto"/>
        <w:jc w:val="center"/>
        <w:rPr>
          <w:b/>
          <w:bCs/>
          <w:color w:val="auto"/>
          <w:sz w:val="22"/>
          <w:szCs w:val="28"/>
          <w:highlight w:val="none"/>
        </w:rPr>
      </w:pPr>
      <w:r>
        <w:rPr>
          <w:rFonts w:ascii="宋体" w:hAnsi="宋体"/>
          <w:b/>
          <w:bCs/>
          <w:color w:val="auto"/>
          <w:sz w:val="28"/>
          <w:szCs w:val="36"/>
          <w:highlight w:val="none"/>
        </w:rPr>
        <w:br w:type="page"/>
      </w:r>
      <w:r>
        <w:rPr>
          <w:rFonts w:ascii="宋体" w:hAnsi="宋体"/>
          <w:b/>
          <w:bCs/>
          <w:color w:val="auto"/>
          <w:sz w:val="28"/>
          <w:szCs w:val="36"/>
          <w:highlight w:val="none"/>
        </w:rPr>
        <w:t>目</w:t>
      </w:r>
      <w:r>
        <w:rPr>
          <w:rFonts w:hint="eastAsia" w:ascii="宋体" w:hAnsi="宋体"/>
          <w:b/>
          <w:bCs/>
          <w:color w:val="auto"/>
          <w:sz w:val="28"/>
          <w:szCs w:val="36"/>
          <w:highlight w:val="none"/>
        </w:rPr>
        <w:t xml:space="preserve">   </w:t>
      </w:r>
      <w:r>
        <w:rPr>
          <w:rFonts w:ascii="宋体" w:hAnsi="宋体"/>
          <w:b/>
          <w:bCs/>
          <w:color w:val="auto"/>
          <w:sz w:val="28"/>
          <w:szCs w:val="36"/>
          <w:highlight w:val="none"/>
        </w:rPr>
        <w:t>录</w:t>
      </w:r>
    </w:p>
    <w:p w14:paraId="103939FE">
      <w:pPr>
        <w:pStyle w:val="39"/>
        <w:tabs>
          <w:tab w:val="right" w:leader="dot" w:pos="9639"/>
        </w:tabs>
        <w:spacing w:line="460" w:lineRule="exact"/>
        <w:rPr>
          <w:rFonts w:ascii="新宋体" w:hAnsi="新宋体" w:eastAsia="新宋体" w:cs="新宋体"/>
          <w:color w:val="auto"/>
          <w:sz w:val="22"/>
          <w:szCs w:val="22"/>
          <w:highlight w:val="none"/>
        </w:rPr>
      </w:pPr>
      <w:r>
        <w:rPr>
          <w:rFonts w:hint="eastAsia" w:ascii="宋体" w:hAnsi="宋体" w:cs="宋体"/>
          <w:color w:val="auto"/>
          <w:sz w:val="22"/>
          <w:highlight w:val="none"/>
        </w:rPr>
        <w:fldChar w:fldCharType="begin"/>
      </w:r>
      <w:r>
        <w:rPr>
          <w:rFonts w:hint="eastAsia" w:ascii="宋体" w:hAnsi="宋体" w:cs="宋体"/>
          <w:color w:val="auto"/>
          <w:sz w:val="22"/>
          <w:highlight w:val="none"/>
        </w:rPr>
        <w:instrText xml:space="preserve">TOC \o "1-3" \h \u </w:instrText>
      </w:r>
      <w:r>
        <w:rPr>
          <w:rFonts w:hint="eastAsia" w:ascii="宋体" w:hAnsi="宋体" w:cs="宋体"/>
          <w:color w:val="auto"/>
          <w:sz w:val="22"/>
          <w:highlight w:val="none"/>
        </w:rPr>
        <w:fldChar w:fldCharType="separate"/>
      </w:r>
      <w:r>
        <w:rPr>
          <w:color w:val="auto"/>
          <w:highlight w:val="none"/>
        </w:rPr>
        <w:fldChar w:fldCharType="begin"/>
      </w:r>
      <w:r>
        <w:rPr>
          <w:color w:val="auto"/>
          <w:highlight w:val="none"/>
        </w:rPr>
        <w:instrText xml:space="preserve"> HYPERLINK \l "_Toc11687" </w:instrText>
      </w:r>
      <w:r>
        <w:rPr>
          <w:color w:val="auto"/>
          <w:highlight w:val="none"/>
        </w:rPr>
        <w:fldChar w:fldCharType="separate"/>
      </w:r>
      <w:r>
        <w:rPr>
          <w:rFonts w:hint="eastAsia" w:ascii="新宋体" w:hAnsi="新宋体" w:eastAsia="新宋体" w:cs="新宋体"/>
          <w:color w:val="auto"/>
          <w:sz w:val="22"/>
          <w:szCs w:val="22"/>
          <w:highlight w:val="none"/>
        </w:rPr>
        <w:t>电子交易须知</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_Toc11687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4</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3EC4B50D">
      <w:pPr>
        <w:pStyle w:val="39"/>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"_Toc15384" </w:instrText>
      </w:r>
      <w:r>
        <w:rPr>
          <w:color w:val="auto"/>
          <w:highlight w:val="none"/>
        </w:rPr>
        <w:fldChar w:fldCharType="separate"/>
      </w:r>
      <w:r>
        <w:rPr>
          <w:rFonts w:hint="eastAsia" w:ascii="新宋体" w:hAnsi="新宋体" w:eastAsia="新宋体" w:cs="新宋体"/>
          <w:color w:val="auto"/>
          <w:sz w:val="22"/>
          <w:szCs w:val="22"/>
          <w:highlight w:val="none"/>
        </w:rPr>
        <w:t>竞争性磋商公告</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_Toc15384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5</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5B0FDC45">
      <w:pPr>
        <w:pStyle w:val="39"/>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"_Toc1210" </w:instrText>
      </w:r>
      <w:r>
        <w:rPr>
          <w:color w:val="auto"/>
          <w:highlight w:val="none"/>
        </w:rPr>
        <w:fldChar w:fldCharType="separate"/>
      </w:r>
      <w:r>
        <w:rPr>
          <w:rFonts w:hint="eastAsia" w:ascii="新宋体" w:hAnsi="新宋体" w:eastAsia="新宋体" w:cs="新宋体"/>
          <w:color w:val="auto"/>
          <w:sz w:val="22"/>
          <w:szCs w:val="22"/>
          <w:highlight w:val="none"/>
        </w:rPr>
        <w:t>第一部分    磋商供应商须知</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_Toc1210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8</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3C80475D">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"_Toc5283" </w:instrText>
      </w:r>
      <w:r>
        <w:rPr>
          <w:color w:val="auto"/>
          <w:highlight w:val="none"/>
        </w:rPr>
        <w:fldChar w:fldCharType="separate"/>
      </w:r>
      <w:r>
        <w:rPr>
          <w:rFonts w:hint="eastAsia" w:ascii="新宋体" w:hAnsi="新宋体" w:eastAsia="新宋体" w:cs="新宋体"/>
          <w:bCs/>
          <w:color w:val="auto"/>
          <w:sz w:val="22"/>
          <w:szCs w:val="22"/>
          <w:highlight w:val="none"/>
        </w:rPr>
        <w:t>磋商供应商须知前附表</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_Toc5283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8</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6CC8CB8F">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"_Toc5738" </w:instrText>
      </w:r>
      <w:r>
        <w:rPr>
          <w:color w:val="auto"/>
          <w:highlight w:val="none"/>
        </w:rPr>
        <w:fldChar w:fldCharType="separate"/>
      </w:r>
      <w:r>
        <w:rPr>
          <w:rFonts w:hint="eastAsia" w:ascii="新宋体" w:hAnsi="新宋体" w:eastAsia="新宋体" w:cs="新宋体"/>
          <w:bCs/>
          <w:color w:val="auto"/>
          <w:sz w:val="22"/>
          <w:szCs w:val="22"/>
          <w:highlight w:val="none"/>
        </w:rPr>
        <w:t>一、 说   明</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_Toc5738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13</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7F24FA08">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"_Toc28606" </w:instrText>
      </w:r>
      <w:r>
        <w:rPr>
          <w:color w:val="auto"/>
          <w:highlight w:val="none"/>
        </w:rPr>
        <w:fldChar w:fldCharType="separate"/>
      </w:r>
      <w:r>
        <w:rPr>
          <w:rFonts w:hint="eastAsia" w:ascii="新宋体" w:hAnsi="新宋体" w:eastAsia="新宋体" w:cs="新宋体"/>
          <w:bCs/>
          <w:color w:val="auto"/>
          <w:sz w:val="22"/>
          <w:szCs w:val="22"/>
          <w:highlight w:val="none"/>
        </w:rPr>
        <w:t>二、 磋商文件</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_Toc28606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13</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0C317F04">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"_Toc11838" </w:instrText>
      </w:r>
      <w:r>
        <w:rPr>
          <w:color w:val="auto"/>
          <w:highlight w:val="none"/>
        </w:rPr>
        <w:fldChar w:fldCharType="separate"/>
      </w:r>
      <w:r>
        <w:rPr>
          <w:rFonts w:hint="eastAsia" w:ascii="新宋体" w:hAnsi="新宋体" w:eastAsia="新宋体" w:cs="新宋体"/>
          <w:bCs/>
          <w:color w:val="auto"/>
          <w:sz w:val="22"/>
          <w:szCs w:val="22"/>
          <w:highlight w:val="none"/>
        </w:rPr>
        <w:t>三、 磋商响应文件的编制</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_Toc11838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14</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46B71F87">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"_Toc8187" </w:instrText>
      </w:r>
      <w:r>
        <w:rPr>
          <w:color w:val="auto"/>
          <w:highlight w:val="none"/>
        </w:rPr>
        <w:fldChar w:fldCharType="separate"/>
      </w:r>
      <w:r>
        <w:rPr>
          <w:rFonts w:hint="eastAsia" w:ascii="新宋体" w:hAnsi="新宋体" w:eastAsia="新宋体" w:cs="新宋体"/>
          <w:bCs/>
          <w:color w:val="auto"/>
          <w:sz w:val="22"/>
          <w:szCs w:val="22"/>
          <w:highlight w:val="none"/>
        </w:rPr>
        <w:t>四、 磋商响应文件的递交</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_Toc8187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18</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56A87BDC">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"_Toc23803" </w:instrText>
      </w:r>
      <w:r>
        <w:rPr>
          <w:color w:val="auto"/>
          <w:highlight w:val="none"/>
        </w:rPr>
        <w:fldChar w:fldCharType="separate"/>
      </w:r>
      <w:r>
        <w:rPr>
          <w:rFonts w:hint="eastAsia" w:ascii="新宋体" w:hAnsi="新宋体" w:eastAsia="新宋体" w:cs="新宋体"/>
          <w:bCs/>
          <w:color w:val="auto"/>
          <w:sz w:val="22"/>
          <w:szCs w:val="22"/>
          <w:highlight w:val="none"/>
        </w:rPr>
        <w:t>五、 磋商和评审</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_Toc23803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18</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7410247F">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"_Toc24964" </w:instrText>
      </w:r>
      <w:r>
        <w:rPr>
          <w:color w:val="auto"/>
          <w:highlight w:val="none"/>
        </w:rPr>
        <w:fldChar w:fldCharType="separate"/>
      </w:r>
      <w:r>
        <w:rPr>
          <w:rFonts w:hint="eastAsia" w:ascii="新宋体" w:hAnsi="新宋体" w:eastAsia="新宋体" w:cs="新宋体"/>
          <w:bCs/>
          <w:color w:val="auto"/>
          <w:sz w:val="22"/>
          <w:szCs w:val="22"/>
          <w:highlight w:val="none"/>
        </w:rPr>
        <w:t>六、 授予合同</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_Toc24964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23</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7CAB6D06">
      <w:pPr>
        <w:pStyle w:val="39"/>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"_Toc2742" </w:instrText>
      </w:r>
      <w:r>
        <w:rPr>
          <w:color w:val="auto"/>
          <w:highlight w:val="none"/>
        </w:rPr>
        <w:fldChar w:fldCharType="separate"/>
      </w:r>
      <w:r>
        <w:rPr>
          <w:rFonts w:hint="eastAsia" w:ascii="新宋体" w:hAnsi="新宋体" w:eastAsia="新宋体" w:cs="新宋体"/>
          <w:color w:val="auto"/>
          <w:sz w:val="22"/>
          <w:szCs w:val="22"/>
          <w:highlight w:val="none"/>
        </w:rPr>
        <w:t>第二部分    合同主要条款</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_Toc2742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25</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577187AA">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"_Toc28265" </w:instrText>
      </w:r>
      <w:r>
        <w:rPr>
          <w:color w:val="auto"/>
          <w:highlight w:val="none"/>
        </w:rPr>
        <w:fldChar w:fldCharType="separate"/>
      </w:r>
      <w:r>
        <w:rPr>
          <w:rFonts w:hint="eastAsia" w:ascii="新宋体" w:hAnsi="新宋体" w:eastAsia="新宋体" w:cs="新宋体"/>
          <w:bCs/>
          <w:color w:val="auto"/>
          <w:sz w:val="22"/>
          <w:szCs w:val="22"/>
          <w:highlight w:val="none"/>
        </w:rPr>
        <w:t>一、本合同签订依据</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_Toc28265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25</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452B5492">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"_Toc23143" </w:instrText>
      </w:r>
      <w:r>
        <w:rPr>
          <w:color w:val="auto"/>
          <w:highlight w:val="none"/>
        </w:rPr>
        <w:fldChar w:fldCharType="separate"/>
      </w:r>
      <w:r>
        <w:rPr>
          <w:rFonts w:hint="eastAsia" w:ascii="新宋体" w:hAnsi="新宋体" w:eastAsia="新宋体" w:cs="新宋体"/>
          <w:color w:val="auto"/>
          <w:sz w:val="22"/>
          <w:szCs w:val="22"/>
          <w:highlight w:val="none"/>
        </w:rPr>
        <w:t>二、合同文件的优先次序</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_Toc23143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25</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0527A7A7">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"_Toc29274" </w:instrText>
      </w:r>
      <w:r>
        <w:rPr>
          <w:color w:val="auto"/>
          <w:highlight w:val="none"/>
        </w:rPr>
        <w:fldChar w:fldCharType="separate"/>
      </w:r>
      <w:r>
        <w:rPr>
          <w:rFonts w:hint="eastAsia" w:ascii="新宋体" w:hAnsi="新宋体" w:eastAsia="新宋体" w:cs="新宋体"/>
          <w:color w:val="auto"/>
          <w:sz w:val="22"/>
          <w:szCs w:val="22"/>
          <w:highlight w:val="none"/>
        </w:rPr>
        <w:t>三、采购内容</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_Toc29274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25</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1BC8FE3B">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"_Toc16738" </w:instrText>
      </w:r>
      <w:r>
        <w:rPr>
          <w:color w:val="auto"/>
          <w:highlight w:val="none"/>
        </w:rPr>
        <w:fldChar w:fldCharType="separate"/>
      </w:r>
      <w:r>
        <w:rPr>
          <w:rFonts w:hint="eastAsia" w:ascii="新宋体" w:hAnsi="新宋体" w:eastAsia="新宋体" w:cs="新宋体"/>
          <w:color w:val="auto"/>
          <w:sz w:val="22"/>
          <w:szCs w:val="22"/>
          <w:highlight w:val="none"/>
        </w:rPr>
        <w:t>四、交货</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_Toc16738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26</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7E8C53A8">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"_Toc18179" </w:instrText>
      </w:r>
      <w:r>
        <w:rPr>
          <w:color w:val="auto"/>
          <w:highlight w:val="none"/>
        </w:rPr>
        <w:fldChar w:fldCharType="separate"/>
      </w:r>
      <w:r>
        <w:rPr>
          <w:rFonts w:hint="eastAsia" w:ascii="新宋体" w:hAnsi="新宋体" w:eastAsia="新宋体" w:cs="新宋体"/>
          <w:color w:val="auto"/>
          <w:sz w:val="22"/>
          <w:szCs w:val="22"/>
          <w:highlight w:val="none"/>
        </w:rPr>
        <w:t>五、付款方式与结算</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_Toc18179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26</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3D09C3E7">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"_Toc13393" </w:instrText>
      </w:r>
      <w:r>
        <w:rPr>
          <w:color w:val="auto"/>
          <w:highlight w:val="none"/>
        </w:rPr>
        <w:fldChar w:fldCharType="separate"/>
      </w:r>
      <w:r>
        <w:rPr>
          <w:rFonts w:hint="eastAsia" w:ascii="新宋体" w:hAnsi="新宋体" w:eastAsia="新宋体" w:cs="新宋体"/>
          <w:color w:val="auto"/>
          <w:sz w:val="22"/>
          <w:szCs w:val="22"/>
          <w:highlight w:val="none"/>
        </w:rPr>
        <w:t>六、质量要求</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_Toc13393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27</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1528C45C">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"_Toc31939" </w:instrText>
      </w:r>
      <w:r>
        <w:rPr>
          <w:color w:val="auto"/>
          <w:highlight w:val="none"/>
        </w:rPr>
        <w:fldChar w:fldCharType="separate"/>
      </w:r>
      <w:r>
        <w:rPr>
          <w:rFonts w:hint="eastAsia" w:ascii="新宋体" w:hAnsi="新宋体" w:eastAsia="新宋体" w:cs="新宋体"/>
          <w:color w:val="auto"/>
          <w:sz w:val="22"/>
          <w:szCs w:val="22"/>
          <w:highlight w:val="none"/>
        </w:rPr>
        <w:t>七、验收</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_Toc31939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27</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4FB6F0AD">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"_Toc27446" </w:instrText>
      </w:r>
      <w:r>
        <w:rPr>
          <w:color w:val="auto"/>
          <w:highlight w:val="none"/>
        </w:rPr>
        <w:fldChar w:fldCharType="separate"/>
      </w:r>
      <w:r>
        <w:rPr>
          <w:rFonts w:hint="eastAsia" w:ascii="新宋体" w:hAnsi="新宋体" w:eastAsia="新宋体" w:cs="新宋体"/>
          <w:color w:val="auto"/>
          <w:sz w:val="22"/>
          <w:szCs w:val="22"/>
          <w:highlight w:val="none"/>
        </w:rPr>
        <w:t>八、双方责任</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_Toc27446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27</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23C5C3A8">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"_Toc7537" </w:instrText>
      </w:r>
      <w:r>
        <w:rPr>
          <w:color w:val="auto"/>
          <w:highlight w:val="none"/>
        </w:rPr>
        <w:fldChar w:fldCharType="separate"/>
      </w:r>
      <w:r>
        <w:rPr>
          <w:rFonts w:hint="eastAsia" w:ascii="新宋体" w:hAnsi="新宋体" w:eastAsia="新宋体" w:cs="新宋体"/>
          <w:color w:val="auto"/>
          <w:sz w:val="22"/>
          <w:szCs w:val="22"/>
          <w:highlight w:val="none"/>
        </w:rPr>
        <w:t>九、乙方履约延误</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_Toc7537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27</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26BA479C">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"_Toc31148" </w:instrText>
      </w:r>
      <w:r>
        <w:rPr>
          <w:color w:val="auto"/>
          <w:highlight w:val="none"/>
        </w:rPr>
        <w:fldChar w:fldCharType="separate"/>
      </w:r>
      <w:r>
        <w:rPr>
          <w:rFonts w:hint="eastAsia" w:ascii="新宋体" w:hAnsi="新宋体" w:eastAsia="新宋体" w:cs="新宋体"/>
          <w:color w:val="auto"/>
          <w:sz w:val="22"/>
          <w:szCs w:val="22"/>
          <w:highlight w:val="none"/>
        </w:rPr>
        <w:t>十、误期赔偿费</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_Toc31148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28</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7D819DA4">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"_Toc3407" </w:instrText>
      </w:r>
      <w:r>
        <w:rPr>
          <w:color w:val="auto"/>
          <w:highlight w:val="none"/>
        </w:rPr>
        <w:fldChar w:fldCharType="separate"/>
      </w:r>
      <w:r>
        <w:rPr>
          <w:rFonts w:hint="eastAsia" w:ascii="新宋体" w:hAnsi="新宋体" w:eastAsia="新宋体" w:cs="新宋体"/>
          <w:color w:val="auto"/>
          <w:sz w:val="22"/>
          <w:szCs w:val="22"/>
          <w:highlight w:val="none"/>
        </w:rPr>
        <w:t>十一、不可抗力</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_Toc3407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28</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2C70388B">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"_Toc6400" </w:instrText>
      </w:r>
      <w:r>
        <w:rPr>
          <w:color w:val="auto"/>
          <w:highlight w:val="none"/>
        </w:rPr>
        <w:fldChar w:fldCharType="separate"/>
      </w:r>
      <w:r>
        <w:rPr>
          <w:rFonts w:hint="eastAsia" w:ascii="新宋体" w:hAnsi="新宋体" w:eastAsia="新宋体" w:cs="新宋体"/>
          <w:color w:val="auto"/>
          <w:sz w:val="22"/>
          <w:szCs w:val="22"/>
          <w:highlight w:val="none"/>
        </w:rPr>
        <w:t>十二、税费</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_Toc6400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28</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54C69063">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"_Toc3239" </w:instrText>
      </w:r>
      <w:r>
        <w:rPr>
          <w:color w:val="auto"/>
          <w:highlight w:val="none"/>
        </w:rPr>
        <w:fldChar w:fldCharType="separate"/>
      </w:r>
      <w:r>
        <w:rPr>
          <w:rFonts w:hint="eastAsia" w:ascii="新宋体" w:hAnsi="新宋体" w:eastAsia="新宋体" w:cs="新宋体"/>
          <w:color w:val="auto"/>
          <w:sz w:val="22"/>
          <w:szCs w:val="22"/>
          <w:highlight w:val="none"/>
        </w:rPr>
        <w:t>十三、违约终止合同</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_Toc3239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28</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3878F798">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"_Toc9079" </w:instrText>
      </w:r>
      <w:r>
        <w:rPr>
          <w:color w:val="auto"/>
          <w:highlight w:val="none"/>
        </w:rPr>
        <w:fldChar w:fldCharType="separate"/>
      </w:r>
      <w:r>
        <w:rPr>
          <w:rFonts w:hint="eastAsia" w:ascii="新宋体" w:hAnsi="新宋体" w:eastAsia="新宋体" w:cs="新宋体"/>
          <w:color w:val="auto"/>
          <w:sz w:val="22"/>
          <w:szCs w:val="22"/>
          <w:highlight w:val="none"/>
        </w:rPr>
        <w:t>十四、履约保证金的罚没</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_Toc9079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28</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6457ECD7">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"_Toc25468" </w:instrText>
      </w:r>
      <w:r>
        <w:rPr>
          <w:color w:val="auto"/>
          <w:highlight w:val="none"/>
        </w:rPr>
        <w:fldChar w:fldCharType="separate"/>
      </w:r>
      <w:r>
        <w:rPr>
          <w:rFonts w:hint="eastAsia" w:ascii="新宋体" w:hAnsi="新宋体" w:eastAsia="新宋体" w:cs="新宋体"/>
          <w:color w:val="auto"/>
          <w:sz w:val="22"/>
          <w:szCs w:val="22"/>
          <w:highlight w:val="none"/>
        </w:rPr>
        <w:t>十五、争端的解决</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_Toc25468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29</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47D19347">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"_Toc21440" </w:instrText>
      </w:r>
      <w:r>
        <w:rPr>
          <w:color w:val="auto"/>
          <w:highlight w:val="none"/>
        </w:rPr>
        <w:fldChar w:fldCharType="separate"/>
      </w:r>
      <w:r>
        <w:rPr>
          <w:rFonts w:hint="eastAsia" w:ascii="新宋体" w:hAnsi="新宋体" w:eastAsia="新宋体" w:cs="新宋体"/>
          <w:color w:val="auto"/>
          <w:sz w:val="22"/>
          <w:szCs w:val="22"/>
          <w:highlight w:val="none"/>
        </w:rPr>
        <w:t>十六、转让和分包及货物不可替代</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_Toc21440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29</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45F07823">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"_Toc30950" </w:instrText>
      </w:r>
      <w:r>
        <w:rPr>
          <w:color w:val="auto"/>
          <w:highlight w:val="none"/>
        </w:rPr>
        <w:fldChar w:fldCharType="separate"/>
      </w:r>
      <w:r>
        <w:rPr>
          <w:rFonts w:hint="eastAsia" w:ascii="新宋体" w:hAnsi="新宋体" w:eastAsia="新宋体" w:cs="新宋体"/>
          <w:color w:val="auto"/>
          <w:sz w:val="22"/>
          <w:szCs w:val="22"/>
          <w:highlight w:val="none"/>
        </w:rPr>
        <w:t>十七、适用法律</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_Toc30950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29</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45AD1B60">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"_Toc21202" </w:instrText>
      </w:r>
      <w:r>
        <w:rPr>
          <w:color w:val="auto"/>
          <w:highlight w:val="none"/>
        </w:rPr>
        <w:fldChar w:fldCharType="separate"/>
      </w:r>
      <w:r>
        <w:rPr>
          <w:rFonts w:hint="eastAsia" w:ascii="新宋体" w:hAnsi="新宋体" w:eastAsia="新宋体" w:cs="新宋体"/>
          <w:color w:val="auto"/>
          <w:sz w:val="22"/>
          <w:szCs w:val="22"/>
          <w:highlight w:val="none"/>
        </w:rPr>
        <w:t>十八、合同生效及其他</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_Toc21202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29</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5788ED4E">
      <w:pPr>
        <w:pStyle w:val="39"/>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"_Toc1867" </w:instrText>
      </w:r>
      <w:r>
        <w:rPr>
          <w:color w:val="auto"/>
          <w:highlight w:val="none"/>
        </w:rPr>
        <w:fldChar w:fldCharType="separate"/>
      </w:r>
      <w:r>
        <w:rPr>
          <w:rFonts w:hint="eastAsia" w:ascii="新宋体" w:hAnsi="新宋体" w:eastAsia="新宋体" w:cs="新宋体"/>
          <w:color w:val="auto"/>
          <w:sz w:val="22"/>
          <w:szCs w:val="22"/>
          <w:highlight w:val="none"/>
        </w:rPr>
        <w:t>第三部分    附件</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_Toc1867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30</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17B91D9F">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"_Toc29627" </w:instrText>
      </w:r>
      <w:r>
        <w:rPr>
          <w:color w:val="auto"/>
          <w:highlight w:val="none"/>
        </w:rPr>
        <w:fldChar w:fldCharType="separate"/>
      </w:r>
      <w:r>
        <w:rPr>
          <w:rFonts w:hint="eastAsia" w:ascii="新宋体" w:hAnsi="新宋体" w:eastAsia="新宋体" w:cs="新宋体"/>
          <w:color w:val="auto"/>
          <w:sz w:val="22"/>
          <w:szCs w:val="22"/>
          <w:highlight w:val="none"/>
        </w:rPr>
        <w:t>附件一</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_Toc29627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30</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65286C78">
      <w:pPr>
        <w:pStyle w:val="29"/>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"_Toc16000" </w:instrText>
      </w:r>
      <w:r>
        <w:rPr>
          <w:color w:val="auto"/>
          <w:highlight w:val="none"/>
        </w:rPr>
        <w:fldChar w:fldCharType="separate"/>
      </w:r>
      <w:r>
        <w:rPr>
          <w:rFonts w:hint="eastAsia" w:ascii="新宋体" w:hAnsi="新宋体" w:eastAsia="新宋体" w:cs="新宋体"/>
          <w:bCs/>
          <w:color w:val="auto"/>
          <w:sz w:val="22"/>
          <w:szCs w:val="22"/>
          <w:highlight w:val="none"/>
        </w:rPr>
        <w:t>报价文件</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_Toc16000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30</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00B54049">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"_Toc28095" </w:instrText>
      </w:r>
      <w:r>
        <w:rPr>
          <w:color w:val="auto"/>
          <w:highlight w:val="none"/>
        </w:rPr>
        <w:fldChar w:fldCharType="separate"/>
      </w:r>
      <w:r>
        <w:rPr>
          <w:rFonts w:hint="eastAsia" w:ascii="新宋体" w:hAnsi="新宋体" w:eastAsia="新宋体" w:cs="新宋体"/>
          <w:color w:val="auto"/>
          <w:sz w:val="22"/>
          <w:szCs w:val="22"/>
          <w:highlight w:val="none"/>
        </w:rPr>
        <w:t>附件二</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_Toc28095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34</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28762765">
      <w:pPr>
        <w:pStyle w:val="29"/>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"_Toc32327" </w:instrText>
      </w:r>
      <w:r>
        <w:rPr>
          <w:color w:val="auto"/>
          <w:highlight w:val="none"/>
        </w:rPr>
        <w:fldChar w:fldCharType="separate"/>
      </w:r>
      <w:r>
        <w:rPr>
          <w:rFonts w:hint="eastAsia" w:ascii="新宋体" w:hAnsi="新宋体" w:eastAsia="新宋体" w:cs="新宋体"/>
          <w:bCs/>
          <w:color w:val="auto"/>
          <w:sz w:val="22"/>
          <w:szCs w:val="22"/>
          <w:highlight w:val="none"/>
        </w:rPr>
        <w:t>资格证明文件</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_Toc32327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34</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43401397">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"_Toc19217" </w:instrText>
      </w:r>
      <w:r>
        <w:rPr>
          <w:color w:val="auto"/>
          <w:highlight w:val="none"/>
        </w:rPr>
        <w:fldChar w:fldCharType="separate"/>
      </w:r>
      <w:r>
        <w:rPr>
          <w:rFonts w:hint="eastAsia" w:ascii="新宋体" w:hAnsi="新宋体" w:eastAsia="新宋体" w:cs="新宋体"/>
          <w:bCs/>
          <w:color w:val="auto"/>
          <w:sz w:val="22"/>
          <w:szCs w:val="22"/>
          <w:highlight w:val="none"/>
        </w:rPr>
        <w:t>附件三</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_Toc19217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38</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24168BE6">
      <w:pPr>
        <w:pStyle w:val="29"/>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"_Toc7676" </w:instrText>
      </w:r>
      <w:r>
        <w:rPr>
          <w:color w:val="auto"/>
          <w:highlight w:val="none"/>
        </w:rPr>
        <w:fldChar w:fldCharType="separate"/>
      </w:r>
      <w:r>
        <w:rPr>
          <w:rFonts w:hint="eastAsia" w:ascii="新宋体" w:hAnsi="新宋体" w:eastAsia="新宋体" w:cs="新宋体"/>
          <w:bCs/>
          <w:color w:val="auto"/>
          <w:sz w:val="22"/>
          <w:szCs w:val="22"/>
          <w:highlight w:val="none"/>
        </w:rPr>
        <w:t>商务技术文件</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_Toc7676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38</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39E83A7F">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"_Toc7185" </w:instrText>
      </w:r>
      <w:r>
        <w:rPr>
          <w:color w:val="auto"/>
          <w:highlight w:val="none"/>
        </w:rPr>
        <w:fldChar w:fldCharType="separate"/>
      </w:r>
      <w:r>
        <w:rPr>
          <w:rFonts w:hint="eastAsia" w:ascii="新宋体" w:hAnsi="新宋体" w:eastAsia="新宋体" w:cs="新宋体"/>
          <w:bCs/>
          <w:color w:val="auto"/>
          <w:sz w:val="22"/>
          <w:szCs w:val="22"/>
          <w:highlight w:val="none"/>
        </w:rPr>
        <w:t>附件四</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_Toc7185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46</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2B0EBF85">
      <w:pPr>
        <w:pStyle w:val="29"/>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"_Toc5443" </w:instrText>
      </w:r>
      <w:r>
        <w:rPr>
          <w:color w:val="auto"/>
          <w:highlight w:val="none"/>
        </w:rPr>
        <w:fldChar w:fldCharType="separate"/>
      </w:r>
      <w:r>
        <w:rPr>
          <w:rFonts w:hint="eastAsia" w:ascii="新宋体" w:hAnsi="新宋体" w:eastAsia="新宋体" w:cs="新宋体"/>
          <w:bCs/>
          <w:color w:val="auto"/>
          <w:sz w:val="22"/>
          <w:szCs w:val="22"/>
          <w:highlight w:val="none"/>
          <w:lang w:val="zh-CN"/>
        </w:rPr>
        <w:t>预付款保函示范文本</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_Toc5443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46</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63056AAB">
      <w:pPr>
        <w:pStyle w:val="39"/>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"_Toc1931" </w:instrText>
      </w:r>
      <w:r>
        <w:rPr>
          <w:color w:val="auto"/>
          <w:highlight w:val="none"/>
        </w:rPr>
        <w:fldChar w:fldCharType="separate"/>
      </w:r>
      <w:r>
        <w:rPr>
          <w:rFonts w:hint="eastAsia" w:ascii="新宋体" w:hAnsi="新宋体" w:eastAsia="新宋体" w:cs="新宋体"/>
          <w:color w:val="auto"/>
          <w:sz w:val="22"/>
          <w:szCs w:val="22"/>
          <w:highlight w:val="none"/>
        </w:rPr>
        <w:t>第四部分   项目技术规范和服务要求</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_Toc1931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48</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418DF727">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"_Toc11910" </w:instrText>
      </w:r>
      <w:r>
        <w:rPr>
          <w:color w:val="auto"/>
          <w:highlight w:val="none"/>
        </w:rPr>
        <w:fldChar w:fldCharType="separate"/>
      </w:r>
      <w:r>
        <w:rPr>
          <w:rFonts w:hint="eastAsia" w:ascii="新宋体" w:hAnsi="新宋体" w:eastAsia="新宋体" w:cs="新宋体"/>
          <w:bCs/>
          <w:color w:val="auto"/>
          <w:sz w:val="22"/>
          <w:szCs w:val="22"/>
          <w:highlight w:val="none"/>
        </w:rPr>
        <w:t>一、总则</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_Toc11910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48</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0B78A6C4">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"_Toc14799" </w:instrText>
      </w:r>
      <w:r>
        <w:rPr>
          <w:color w:val="auto"/>
          <w:highlight w:val="none"/>
        </w:rPr>
        <w:fldChar w:fldCharType="separate"/>
      </w:r>
      <w:r>
        <w:rPr>
          <w:rFonts w:hint="eastAsia" w:ascii="新宋体" w:hAnsi="新宋体" w:eastAsia="新宋体" w:cs="新宋体"/>
          <w:bCs/>
          <w:color w:val="auto"/>
          <w:sz w:val="22"/>
          <w:szCs w:val="22"/>
          <w:highlight w:val="none"/>
        </w:rPr>
        <w:t>二、基本要求</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_Toc14799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49</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52916AEE">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"_Toc27196" </w:instrText>
      </w:r>
      <w:r>
        <w:rPr>
          <w:color w:val="auto"/>
          <w:highlight w:val="none"/>
        </w:rPr>
        <w:fldChar w:fldCharType="separate"/>
      </w:r>
      <w:r>
        <w:rPr>
          <w:rFonts w:hint="eastAsia" w:ascii="新宋体" w:hAnsi="新宋体" w:eastAsia="新宋体" w:cs="新宋体"/>
          <w:bCs/>
          <w:color w:val="auto"/>
          <w:sz w:val="22"/>
          <w:szCs w:val="22"/>
          <w:highlight w:val="none"/>
        </w:rPr>
        <w:t>三、样品</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_Toc27196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49</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7CCFA67A">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"_Toc10572" </w:instrText>
      </w:r>
      <w:r>
        <w:rPr>
          <w:color w:val="auto"/>
          <w:highlight w:val="none"/>
        </w:rPr>
        <w:fldChar w:fldCharType="separate"/>
      </w:r>
      <w:r>
        <w:rPr>
          <w:rFonts w:hint="eastAsia" w:ascii="新宋体" w:hAnsi="新宋体" w:eastAsia="新宋体" w:cs="新宋体"/>
          <w:bCs/>
          <w:color w:val="auto"/>
          <w:sz w:val="22"/>
          <w:szCs w:val="22"/>
          <w:highlight w:val="none"/>
        </w:rPr>
        <w:t>四、技术参数及配置</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_Toc10572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50</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307B6DF0">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"_Toc25987" </w:instrText>
      </w:r>
      <w:r>
        <w:rPr>
          <w:color w:val="auto"/>
          <w:highlight w:val="none"/>
        </w:rPr>
        <w:fldChar w:fldCharType="separate"/>
      </w:r>
      <w:r>
        <w:rPr>
          <w:rFonts w:hint="eastAsia" w:ascii="新宋体" w:hAnsi="新宋体" w:eastAsia="新宋体" w:cs="新宋体"/>
          <w:bCs/>
          <w:color w:val="auto"/>
          <w:sz w:val="22"/>
          <w:szCs w:val="22"/>
          <w:highlight w:val="none"/>
        </w:rPr>
        <w:t>五、服务标准、期限、效率等要求</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_Toc25987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53</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51277856">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"_Toc17749" </w:instrText>
      </w:r>
      <w:r>
        <w:rPr>
          <w:color w:val="auto"/>
          <w:highlight w:val="none"/>
        </w:rPr>
        <w:fldChar w:fldCharType="separate"/>
      </w:r>
      <w:r>
        <w:rPr>
          <w:rFonts w:hint="eastAsia" w:ascii="新宋体" w:hAnsi="新宋体" w:eastAsia="新宋体" w:cs="新宋体"/>
          <w:bCs/>
          <w:color w:val="auto"/>
          <w:sz w:val="22"/>
          <w:szCs w:val="22"/>
          <w:highlight w:val="none"/>
        </w:rPr>
        <w:t>六、验收标准</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_Toc17749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53</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68700103">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"_Toc9835" </w:instrText>
      </w:r>
      <w:r>
        <w:rPr>
          <w:color w:val="auto"/>
          <w:highlight w:val="none"/>
        </w:rPr>
        <w:fldChar w:fldCharType="separate"/>
      </w:r>
      <w:r>
        <w:rPr>
          <w:rFonts w:hint="eastAsia" w:ascii="新宋体" w:hAnsi="新宋体" w:eastAsia="新宋体" w:cs="新宋体"/>
          <w:bCs/>
          <w:color w:val="auto"/>
          <w:sz w:val="22"/>
          <w:szCs w:val="22"/>
          <w:highlight w:val="none"/>
        </w:rPr>
        <w:t>七、工作范围</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_Toc9835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53</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398A4E82">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"_Toc1976" </w:instrText>
      </w:r>
      <w:r>
        <w:rPr>
          <w:color w:val="auto"/>
          <w:highlight w:val="none"/>
        </w:rPr>
        <w:fldChar w:fldCharType="separate"/>
      </w:r>
      <w:r>
        <w:rPr>
          <w:rFonts w:hint="eastAsia" w:ascii="新宋体" w:hAnsi="新宋体" w:eastAsia="新宋体" w:cs="新宋体"/>
          <w:bCs/>
          <w:color w:val="auto"/>
          <w:sz w:val="22"/>
          <w:szCs w:val="22"/>
          <w:highlight w:val="none"/>
        </w:rPr>
        <w:t>八、付款方式</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_Toc1976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54</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4BC92CE5">
      <w:pPr>
        <w:pStyle w:val="39"/>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"_Toc922" </w:instrText>
      </w:r>
      <w:r>
        <w:rPr>
          <w:color w:val="auto"/>
          <w:highlight w:val="none"/>
        </w:rPr>
        <w:fldChar w:fldCharType="separate"/>
      </w:r>
      <w:r>
        <w:rPr>
          <w:rFonts w:hint="eastAsia" w:ascii="新宋体" w:hAnsi="新宋体" w:eastAsia="新宋体" w:cs="新宋体"/>
          <w:color w:val="auto"/>
          <w:sz w:val="22"/>
          <w:szCs w:val="22"/>
          <w:highlight w:val="none"/>
        </w:rPr>
        <w:t>第五部分   磋商原则及方法</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_Toc922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55</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19A95C2F">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"_Toc26692" </w:instrText>
      </w:r>
      <w:r>
        <w:rPr>
          <w:color w:val="auto"/>
          <w:highlight w:val="none"/>
        </w:rPr>
        <w:fldChar w:fldCharType="separate"/>
      </w:r>
      <w:r>
        <w:rPr>
          <w:rFonts w:hint="eastAsia" w:ascii="新宋体" w:hAnsi="新宋体" w:eastAsia="新宋体" w:cs="新宋体"/>
          <w:color w:val="auto"/>
          <w:sz w:val="22"/>
          <w:szCs w:val="22"/>
          <w:highlight w:val="none"/>
        </w:rPr>
        <w:t>一、总 则</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_Toc26692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55</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6E8E2D5F">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"_Toc19010" </w:instrText>
      </w:r>
      <w:r>
        <w:rPr>
          <w:color w:val="auto"/>
          <w:highlight w:val="none"/>
        </w:rPr>
        <w:fldChar w:fldCharType="separate"/>
      </w:r>
      <w:r>
        <w:rPr>
          <w:rFonts w:hint="eastAsia" w:ascii="新宋体" w:hAnsi="新宋体" w:eastAsia="新宋体" w:cs="新宋体"/>
          <w:color w:val="auto"/>
          <w:sz w:val="22"/>
          <w:szCs w:val="22"/>
          <w:highlight w:val="none"/>
        </w:rPr>
        <w:t>二、磋商组织</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_Toc19010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55</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4642041C">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"_Toc27013" </w:instrText>
      </w:r>
      <w:r>
        <w:rPr>
          <w:color w:val="auto"/>
          <w:highlight w:val="none"/>
        </w:rPr>
        <w:fldChar w:fldCharType="separate"/>
      </w:r>
      <w:r>
        <w:rPr>
          <w:rFonts w:hint="eastAsia" w:ascii="新宋体" w:hAnsi="新宋体" w:eastAsia="新宋体" w:cs="新宋体"/>
          <w:color w:val="auto"/>
          <w:sz w:val="22"/>
          <w:szCs w:val="22"/>
          <w:highlight w:val="none"/>
        </w:rPr>
        <w:t>三、评审程序</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_Toc27013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55</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4355B3A5">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"_Toc7284" </w:instrText>
      </w:r>
      <w:r>
        <w:rPr>
          <w:color w:val="auto"/>
          <w:highlight w:val="none"/>
        </w:rPr>
        <w:fldChar w:fldCharType="separate"/>
      </w:r>
      <w:r>
        <w:rPr>
          <w:rFonts w:hint="eastAsia" w:ascii="新宋体" w:hAnsi="新宋体" w:eastAsia="新宋体" w:cs="新宋体"/>
          <w:color w:val="auto"/>
          <w:sz w:val="22"/>
          <w:szCs w:val="22"/>
          <w:highlight w:val="none"/>
        </w:rPr>
        <w:t>四、综合评审</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_Toc7284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55</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6AA355D3">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"_Toc28720" </w:instrText>
      </w:r>
      <w:r>
        <w:rPr>
          <w:color w:val="auto"/>
          <w:highlight w:val="none"/>
        </w:rPr>
        <w:fldChar w:fldCharType="separate"/>
      </w:r>
      <w:r>
        <w:rPr>
          <w:rFonts w:hint="eastAsia" w:ascii="新宋体" w:hAnsi="新宋体" w:eastAsia="新宋体" w:cs="新宋体"/>
          <w:color w:val="auto"/>
          <w:sz w:val="22"/>
          <w:szCs w:val="22"/>
          <w:highlight w:val="none"/>
        </w:rPr>
        <w:t>五、</w:t>
      </w:r>
      <w:r>
        <w:rPr>
          <w:rFonts w:hint="eastAsia" w:ascii="新宋体" w:hAnsi="新宋体" w:eastAsia="新宋体" w:cs="新宋体"/>
          <w:bCs/>
          <w:color w:val="auto"/>
          <w:sz w:val="22"/>
          <w:szCs w:val="22"/>
          <w:highlight w:val="none"/>
        </w:rPr>
        <w:t>评分</w:t>
      </w:r>
      <w:r>
        <w:rPr>
          <w:rFonts w:hint="eastAsia" w:ascii="新宋体" w:hAnsi="新宋体" w:eastAsia="新宋体" w:cs="新宋体"/>
          <w:color w:val="auto"/>
          <w:sz w:val="22"/>
          <w:szCs w:val="22"/>
          <w:highlight w:val="none"/>
        </w:rPr>
        <w:t>细则</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_Toc28720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55</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55A455E1">
      <w:pPr>
        <w:pStyle w:val="24"/>
        <w:tabs>
          <w:tab w:val="right" w:leader="dot" w:pos="9639"/>
        </w:tabs>
        <w:spacing w:line="460" w:lineRule="exact"/>
        <w:rPr>
          <w:rFonts w:ascii="新宋体" w:hAnsi="新宋体" w:eastAsia="新宋体" w:cs="新宋体"/>
          <w:color w:val="auto"/>
          <w:sz w:val="22"/>
          <w:szCs w:val="22"/>
          <w:highlight w:val="none"/>
        </w:rPr>
      </w:pPr>
      <w:r>
        <w:rPr>
          <w:color w:val="auto"/>
          <w:highlight w:val="none"/>
        </w:rPr>
        <w:fldChar w:fldCharType="begin"/>
      </w:r>
      <w:r>
        <w:rPr>
          <w:color w:val="auto"/>
          <w:highlight w:val="none"/>
        </w:rPr>
        <w:instrText xml:space="preserve"> HYPERLINK \l "_Toc25365" </w:instrText>
      </w:r>
      <w:r>
        <w:rPr>
          <w:color w:val="auto"/>
          <w:highlight w:val="none"/>
        </w:rPr>
        <w:fldChar w:fldCharType="separate"/>
      </w:r>
      <w:r>
        <w:rPr>
          <w:rFonts w:hint="eastAsia" w:ascii="新宋体" w:hAnsi="新宋体" w:eastAsia="新宋体" w:cs="新宋体"/>
          <w:color w:val="auto"/>
          <w:sz w:val="22"/>
          <w:szCs w:val="22"/>
          <w:highlight w:val="none"/>
        </w:rPr>
        <w:t>六、定标办法</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_Toc25365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59</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6F708F89">
      <w:pPr>
        <w:pStyle w:val="24"/>
        <w:tabs>
          <w:tab w:val="right" w:leader="dot" w:pos="9639"/>
        </w:tabs>
        <w:spacing w:line="460" w:lineRule="exact"/>
        <w:rPr>
          <w:color w:val="auto"/>
          <w:highlight w:val="none"/>
        </w:rPr>
      </w:pPr>
      <w:r>
        <w:rPr>
          <w:color w:val="auto"/>
          <w:highlight w:val="none"/>
        </w:rPr>
        <w:fldChar w:fldCharType="begin"/>
      </w:r>
      <w:r>
        <w:rPr>
          <w:color w:val="auto"/>
          <w:highlight w:val="none"/>
        </w:rPr>
        <w:instrText xml:space="preserve"> HYPERLINK \l "_Toc19392" </w:instrText>
      </w:r>
      <w:r>
        <w:rPr>
          <w:color w:val="auto"/>
          <w:highlight w:val="none"/>
        </w:rPr>
        <w:fldChar w:fldCharType="separate"/>
      </w:r>
      <w:r>
        <w:rPr>
          <w:rFonts w:hint="eastAsia" w:ascii="新宋体" w:hAnsi="新宋体" w:eastAsia="新宋体" w:cs="新宋体"/>
          <w:color w:val="auto"/>
          <w:sz w:val="22"/>
          <w:szCs w:val="22"/>
          <w:highlight w:val="none"/>
        </w:rPr>
        <w:t>七、磋商供应商义务</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fldChar w:fldCharType="begin"/>
      </w:r>
      <w:r>
        <w:rPr>
          <w:rFonts w:hint="eastAsia" w:ascii="新宋体" w:hAnsi="新宋体" w:eastAsia="新宋体" w:cs="新宋体"/>
          <w:color w:val="auto"/>
          <w:sz w:val="22"/>
          <w:szCs w:val="22"/>
          <w:highlight w:val="none"/>
        </w:rPr>
        <w:instrText xml:space="preserve"> PAGEREF _Toc19392 \h </w:instrText>
      </w:r>
      <w:r>
        <w:rPr>
          <w:rFonts w:hint="eastAsia" w:ascii="新宋体" w:hAnsi="新宋体" w:eastAsia="新宋体" w:cs="新宋体"/>
          <w:color w:val="auto"/>
          <w:sz w:val="22"/>
          <w:szCs w:val="22"/>
          <w:highlight w:val="none"/>
        </w:rPr>
        <w:fldChar w:fldCharType="separate"/>
      </w:r>
      <w:r>
        <w:rPr>
          <w:rFonts w:hint="eastAsia" w:ascii="新宋体" w:hAnsi="新宋体" w:eastAsia="新宋体" w:cs="新宋体"/>
          <w:color w:val="auto"/>
          <w:sz w:val="22"/>
          <w:szCs w:val="22"/>
          <w:highlight w:val="none"/>
        </w:rPr>
        <w:t>60</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fldChar w:fldCharType="end"/>
      </w:r>
    </w:p>
    <w:p w14:paraId="08989BAA">
      <w:pPr>
        <w:spacing w:line="460" w:lineRule="exact"/>
        <w:rPr>
          <w:rFonts w:ascii="宋体" w:hAnsi="宋体" w:cs="宋体"/>
          <w:color w:val="auto"/>
          <w:sz w:val="22"/>
          <w:highlight w:val="none"/>
        </w:rPr>
      </w:pPr>
      <w:r>
        <w:rPr>
          <w:rFonts w:hint="eastAsia" w:ascii="宋体" w:hAnsi="宋体" w:cs="宋体"/>
          <w:color w:val="auto"/>
          <w:highlight w:val="none"/>
        </w:rPr>
        <w:fldChar w:fldCharType="end"/>
      </w:r>
    </w:p>
    <w:p w14:paraId="54284769">
      <w:pPr>
        <w:pStyle w:val="2"/>
        <w:ind w:left="440" w:hanging="440"/>
        <w:rPr>
          <w:rFonts w:ascii="宋体" w:hAnsi="宋体" w:cs="宋体"/>
          <w:color w:val="auto"/>
          <w:sz w:val="22"/>
          <w:highlight w:val="none"/>
        </w:rPr>
      </w:pPr>
    </w:p>
    <w:p w14:paraId="16C82A2E">
      <w:pPr>
        <w:rPr>
          <w:rFonts w:ascii="宋体" w:hAnsi="宋体" w:cs="宋体"/>
          <w:color w:val="auto"/>
          <w:sz w:val="22"/>
          <w:highlight w:val="none"/>
        </w:rPr>
      </w:pPr>
    </w:p>
    <w:p w14:paraId="4C3EBF9A">
      <w:pPr>
        <w:pStyle w:val="2"/>
        <w:ind w:left="440" w:hanging="440"/>
        <w:rPr>
          <w:rFonts w:ascii="宋体" w:hAnsi="宋体" w:cs="宋体"/>
          <w:color w:val="auto"/>
          <w:sz w:val="22"/>
          <w:highlight w:val="none"/>
        </w:rPr>
      </w:pPr>
    </w:p>
    <w:p w14:paraId="3A22D590">
      <w:pPr>
        <w:rPr>
          <w:rFonts w:ascii="宋体" w:hAnsi="宋体" w:cs="宋体"/>
          <w:color w:val="auto"/>
          <w:sz w:val="22"/>
          <w:highlight w:val="none"/>
        </w:rPr>
      </w:pPr>
    </w:p>
    <w:p w14:paraId="64394B45">
      <w:pPr>
        <w:pStyle w:val="2"/>
        <w:ind w:left="440" w:hanging="440"/>
        <w:rPr>
          <w:rFonts w:ascii="宋体" w:hAnsi="宋体" w:cs="宋体"/>
          <w:color w:val="auto"/>
          <w:sz w:val="22"/>
          <w:highlight w:val="none"/>
        </w:rPr>
      </w:pPr>
    </w:p>
    <w:p w14:paraId="399FBE35">
      <w:pPr>
        <w:rPr>
          <w:rFonts w:ascii="宋体" w:hAnsi="宋体" w:cs="宋体"/>
          <w:color w:val="auto"/>
          <w:sz w:val="22"/>
          <w:highlight w:val="none"/>
        </w:rPr>
      </w:pPr>
    </w:p>
    <w:p w14:paraId="6494FE93">
      <w:pPr>
        <w:pStyle w:val="2"/>
        <w:ind w:left="440" w:hanging="440"/>
        <w:rPr>
          <w:rFonts w:ascii="宋体" w:hAnsi="宋体" w:cs="宋体"/>
          <w:color w:val="auto"/>
          <w:sz w:val="22"/>
          <w:highlight w:val="none"/>
        </w:rPr>
      </w:pPr>
    </w:p>
    <w:p w14:paraId="2076B96B">
      <w:pPr>
        <w:rPr>
          <w:rFonts w:ascii="宋体" w:hAnsi="宋体" w:cs="宋体"/>
          <w:color w:val="auto"/>
          <w:sz w:val="22"/>
          <w:highlight w:val="none"/>
        </w:rPr>
      </w:pPr>
    </w:p>
    <w:p w14:paraId="393ABD94">
      <w:pPr>
        <w:pStyle w:val="2"/>
        <w:ind w:left="440" w:hanging="440"/>
        <w:rPr>
          <w:rFonts w:ascii="宋体" w:hAnsi="宋体" w:cs="宋体"/>
          <w:color w:val="auto"/>
          <w:sz w:val="22"/>
          <w:highlight w:val="none"/>
        </w:rPr>
      </w:pPr>
    </w:p>
    <w:p w14:paraId="0293D695">
      <w:pPr>
        <w:pStyle w:val="2"/>
        <w:spacing w:line="460" w:lineRule="exact"/>
        <w:ind w:left="433" w:leftChars="206" w:firstLine="0" w:firstLineChars="0"/>
        <w:jc w:val="center"/>
        <w:outlineLvl w:val="0"/>
        <w:rPr>
          <w:rStyle w:val="66"/>
          <w:rFonts w:ascii="宋体" w:hAnsi="宋体" w:eastAsia="宋体" w:cs="宋体"/>
          <w:color w:val="auto"/>
          <w:highlight w:val="none"/>
        </w:rPr>
      </w:pPr>
      <w:bookmarkStart w:id="0" w:name="_Toc17251"/>
      <w:bookmarkStart w:id="1" w:name="_Toc8683"/>
      <w:bookmarkStart w:id="2" w:name="_Toc17512"/>
      <w:bookmarkStart w:id="3" w:name="_Toc35199976"/>
      <w:bookmarkStart w:id="4" w:name="_Toc11687"/>
      <w:bookmarkStart w:id="5" w:name="_Toc9283"/>
      <w:bookmarkStart w:id="6" w:name="_Toc29826"/>
      <w:r>
        <w:rPr>
          <w:rStyle w:val="66"/>
          <w:rFonts w:hint="eastAsia" w:ascii="宋体" w:hAnsi="宋体" w:eastAsia="宋体" w:cs="宋体"/>
          <w:color w:val="auto"/>
          <w:highlight w:val="none"/>
        </w:rPr>
        <w:t>电子交易须知</w:t>
      </w:r>
      <w:bookmarkEnd w:id="0"/>
      <w:bookmarkEnd w:id="1"/>
      <w:bookmarkEnd w:id="2"/>
      <w:bookmarkEnd w:id="3"/>
      <w:bookmarkEnd w:id="4"/>
      <w:bookmarkEnd w:id="5"/>
      <w:bookmarkEnd w:id="6"/>
    </w:p>
    <w:p w14:paraId="3285145D">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1、本次采购采用电子交易方式，电子交易平台为“政府采购云平台（www.zcygov.cn）”。供应商参与本项目电子交易活动前，应通过浙江政府采购网“浙江政府采购供应商信息登记管理系统”进行信息登记，获得线上政府采购活动操作权限。编制电子磋商响应文件前还需申领CA证书并绑定帐号，供应商应充分考虑完成登记、申领CA证书等所需的时间。</w:t>
      </w:r>
    </w:p>
    <w:p w14:paraId="3F028245">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2、供应商编制电子磋商响应文件应安装“电子交易客户端”软件，并按照本磋商文件和电子交易平台的要求编制并加密磋商响应文件。未按规定加密的磋商响应文件，将被电子交易平台拒收。“电子交易客户端”请供应商自行前往“浙江政府采购网（zfcg.czt.zj.gov.cn）— 下载专区 — 电子交易客户端”版块获取。</w:t>
      </w:r>
    </w:p>
    <w:p w14:paraId="66A49F54">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3、供应商应当在磋商响应文件递交截止时间前，将“电子交易客户端”生成的“电子加密磋商响应文件”上传电子交易平台。</w:t>
      </w:r>
    </w:p>
    <w:p w14:paraId="2CC36911">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4、“电子备份磋商响应文件”是指与“电子加密磋商响应文件”同时生成的数据电文形式的磋商响应文件。供应商在电子交易平台上传“电子加密磋商响应文件”后，还可以邮寄或送达的方式在磋商响应文件截止时间前提交以介质（U盘）存储的“电子备份磋商响应文件”。“电子备份磋商响应文件”应当密封包装并在包装上标注采购项目编号、项目名称、磋商单位名称等并加盖公章。</w:t>
      </w:r>
    </w:p>
    <w:p w14:paraId="46B35756">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5、开标时，通过“政府采购云平台”递交的“电子加密磋商响应文件”如无法按时解密的，如供应商提交了“电子备份磋商响应文件”的，则由采购组织机构按“政府采购云平台”操作规范将“电子备份磋商响应文件”上传至“政府采购云平台”。上传成功后，以“电子备份磋商响应文件”参与评标，“电子加密磋商响应文件”自动失效; 在“政府采购云平台”正常运行情况下，“电子备份磋商响应文件”无法上传至“政府采购云平台”的，视为磋商响应文件撤回。供应商未按规定递交“电子备份磋商响应文件”的，视为磋商响应文件撤回。未上传“电子加密磋商响应文件”，仅提交“电子备份磋商响应文件”的，磋商及报价无效。</w:t>
      </w:r>
    </w:p>
    <w:p w14:paraId="6F8F504F">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6、供应商在参加电子交易过程中,可登录电子交易平台“帮助文档”版面获取《电子交易管理操作指南》，或致电平台400-881-7190获取相关服务支持。</w:t>
      </w:r>
    </w:p>
    <w:p w14:paraId="1985537F">
      <w:pPr>
        <w:pStyle w:val="2"/>
        <w:spacing w:line="460" w:lineRule="exact"/>
        <w:ind w:left="433" w:leftChars="206" w:firstLine="0" w:firstLineChars="0"/>
        <w:jc w:val="center"/>
        <w:outlineLvl w:val="0"/>
        <w:rPr>
          <w:rFonts w:ascii="宋体" w:hAnsi="宋体" w:cs="宋体"/>
          <w:b/>
          <w:color w:val="auto"/>
          <w:sz w:val="30"/>
          <w:highlight w:val="none"/>
        </w:rPr>
      </w:pPr>
      <w:r>
        <w:rPr>
          <w:rFonts w:hint="eastAsia" w:ascii="宋体" w:hAnsi="宋体" w:cs="宋体"/>
          <w:b/>
          <w:color w:val="auto"/>
          <w:sz w:val="30"/>
          <w:highlight w:val="none"/>
        </w:rPr>
        <w:br w:type="page"/>
      </w:r>
      <w:bookmarkStart w:id="7" w:name="_Toc28353"/>
      <w:bookmarkStart w:id="8" w:name="_Toc18319"/>
      <w:bookmarkStart w:id="9" w:name="_Toc25069"/>
      <w:bookmarkStart w:id="10" w:name="_Toc8390"/>
      <w:bookmarkStart w:id="11" w:name="_Toc15384"/>
      <w:bookmarkStart w:id="12" w:name="_Toc4546"/>
      <w:r>
        <w:rPr>
          <w:rStyle w:val="66"/>
          <w:rFonts w:hint="eastAsia" w:ascii="宋体" w:hAnsi="宋体" w:eastAsia="宋体" w:cs="宋体"/>
          <w:color w:val="auto"/>
          <w:highlight w:val="none"/>
        </w:rPr>
        <w:t>竞争性磋商公告</w:t>
      </w:r>
      <w:bookmarkEnd w:id="7"/>
      <w:bookmarkEnd w:id="8"/>
      <w:bookmarkEnd w:id="9"/>
      <w:bookmarkEnd w:id="10"/>
      <w:bookmarkEnd w:id="11"/>
      <w:bookmarkEnd w:id="12"/>
    </w:p>
    <w:p w14:paraId="6CA26FD1">
      <w:pPr>
        <w:pStyle w:val="2"/>
        <w:spacing w:line="460" w:lineRule="exact"/>
        <w:ind w:left="643" w:hanging="643"/>
        <w:jc w:val="center"/>
        <w:rPr>
          <w:rStyle w:val="66"/>
          <w:rFonts w:ascii="宋体" w:hAnsi="宋体" w:eastAsia="宋体" w:cs="宋体"/>
          <w:color w:val="auto"/>
          <w:highlight w:val="none"/>
        </w:rPr>
      </w:pPr>
    </w:p>
    <w:p w14:paraId="7352A8DA">
      <w:pPr>
        <w:tabs>
          <w:tab w:val="left" w:pos="360"/>
        </w:tabs>
        <w:spacing w:line="460" w:lineRule="exact"/>
        <w:rPr>
          <w:rFonts w:ascii="宋体" w:hAnsi="宋体" w:cs="宋体"/>
          <w:color w:val="auto"/>
          <w:sz w:val="22"/>
          <w:highlight w:val="none"/>
        </w:rPr>
      </w:pPr>
      <w:r>
        <w:rPr>
          <w:b/>
          <w:bCs/>
          <w:color w:val="auto"/>
          <w:sz w:val="22"/>
          <w:highlight w:val="none"/>
        </w:rPr>
        <mc:AlternateContent>
          <mc:Choice Requires="wps">
            <w:drawing>
              <wp:anchor distT="0" distB="0" distL="114300" distR="114300" simplePos="0" relativeHeight="251661312" behindDoc="0" locked="0" layoutInCell="1" allowOverlap="1">
                <wp:simplePos x="0" y="0"/>
                <wp:positionH relativeFrom="column">
                  <wp:posOffset>-125730</wp:posOffset>
                </wp:positionH>
                <wp:positionV relativeFrom="paragraph">
                  <wp:posOffset>19050</wp:posOffset>
                </wp:positionV>
                <wp:extent cx="6499225" cy="1194435"/>
                <wp:effectExtent l="6350" t="6350" r="9525" b="18415"/>
                <wp:wrapNone/>
                <wp:docPr id="3" name="矩形 1"/>
                <wp:cNvGraphicFramePr/>
                <a:graphic xmlns:a="http://schemas.openxmlformats.org/drawingml/2006/main">
                  <a:graphicData uri="http://schemas.microsoft.com/office/word/2010/wordprocessingShape">
                    <wps:wsp>
                      <wps:cNvSpPr/>
                      <wps:spPr>
                        <a:xfrm>
                          <a:off x="0" y="0"/>
                          <a:ext cx="6499225" cy="1194435"/>
                        </a:xfrm>
                        <a:prstGeom prst="rect">
                          <a:avLst/>
                        </a:prstGeom>
                        <a:noFill/>
                        <a:ln w="12700" cap="flat" cmpd="sng">
                          <a:solidFill>
                            <a:srgbClr val="000000"/>
                          </a:solidFill>
                          <a:prstDash val="solid"/>
                          <a:round/>
                          <a:headEnd type="none" w="med" len="med"/>
                          <a:tailEnd type="none" w="med" len="med"/>
                        </a:ln>
                      </wps:spPr>
                      <wps:bodyPr wrap="square" anchor="ctr" anchorCtr="0" upright="1"/>
                    </wps:wsp>
                  </a:graphicData>
                </a:graphic>
              </wp:anchor>
            </w:drawing>
          </mc:Choice>
          <mc:Fallback>
            <w:pict>
              <v:rect id="矩形 1" o:spid="_x0000_s1026" o:spt="1" style="position:absolute;left:0pt;margin-left:-9.9pt;margin-top:1.5pt;height:94.05pt;width:511.75pt;z-index:251661312;v-text-anchor:middle;mso-width-relative:page;mso-height-relative:page;" filled="f" stroked="t" coordsize="21600,21600" o:gfxdata="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w6yCdgAAAAKAQAADwAAAAAAAAABACAA&#10;AAAiAAAAZHJzL2Rvd25yZXYueG1sUEsBAhQAFAAAAAgAh07iQLx+3PINAgAAIAQAAA4AAAAAAAAA&#10;AQAgAAAAJwEAAGRycy9lMm9Eb2MueG1sUEsFBgAAAAAGAAYAWQEAAKYFAAAAAA==&#10;">
                <v:fill on="f" focussize="0,0"/>
                <v:stroke weight="1pt" color="#000000" joinstyle="round"/>
                <v:imagedata o:title=""/>
                <o:lock v:ext="edit" aspectratio="f"/>
              </v:rect>
            </w:pict>
          </mc:Fallback>
        </mc:AlternateContent>
      </w:r>
      <w:r>
        <w:rPr>
          <w:rFonts w:hint="eastAsia" w:ascii="宋体" w:hAnsi="宋体" w:cs="宋体"/>
          <w:b/>
          <w:bCs/>
          <w:color w:val="auto"/>
          <w:sz w:val="22"/>
          <w:highlight w:val="none"/>
        </w:rPr>
        <w:t>项目概况 </w:t>
      </w:r>
      <w:r>
        <w:rPr>
          <w:rFonts w:hint="eastAsia" w:ascii="宋体" w:hAnsi="宋体" w:cs="宋体"/>
          <w:color w:val="auto"/>
          <w:sz w:val="22"/>
          <w:highlight w:val="none"/>
        </w:rPr>
        <w:t>                                                   </w:t>
      </w:r>
    </w:p>
    <w:p w14:paraId="1787E88A">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lang w:eastAsia="zh-CN"/>
        </w:rPr>
        <w:t>双人课桌、单人椅子（重）</w:t>
      </w:r>
      <w:r>
        <w:rPr>
          <w:rFonts w:hint="eastAsia" w:ascii="宋体" w:hAnsi="宋体" w:cs="宋体"/>
          <w:color w:val="auto"/>
          <w:sz w:val="22"/>
          <w:highlight w:val="none"/>
        </w:rPr>
        <w:t>采购项目的潜在供应商应在政采云平台（http://zfcg.czt.zj.gov.cn）获取（下载）磋商文件，并于</w:t>
      </w:r>
      <w:r>
        <w:rPr>
          <w:rFonts w:hint="eastAsia" w:ascii="宋体" w:hAnsi="宋体" w:cs="宋体"/>
          <w:color w:val="auto"/>
          <w:sz w:val="22"/>
          <w:highlight w:val="none"/>
          <w:lang w:eastAsia="zh-CN"/>
        </w:rPr>
        <w:t>2024年08月</w:t>
      </w:r>
      <w:r>
        <w:rPr>
          <w:rFonts w:hint="eastAsia" w:ascii="宋体" w:hAnsi="宋体" w:cs="宋体"/>
          <w:color w:val="auto"/>
          <w:sz w:val="22"/>
          <w:highlight w:val="none"/>
          <w:lang w:val="en-US" w:eastAsia="zh-CN"/>
        </w:rPr>
        <w:t>14</w:t>
      </w:r>
      <w:r>
        <w:rPr>
          <w:rFonts w:hint="eastAsia" w:ascii="宋体" w:hAnsi="宋体" w:cs="宋体"/>
          <w:color w:val="auto"/>
          <w:sz w:val="22"/>
          <w:highlight w:val="none"/>
          <w:lang w:eastAsia="zh-CN"/>
        </w:rPr>
        <w:t>日</w:t>
      </w:r>
      <w:r>
        <w:rPr>
          <w:rFonts w:hint="eastAsia" w:ascii="宋体" w:hAnsi="宋体" w:cs="宋体"/>
          <w:color w:val="auto"/>
          <w:sz w:val="22"/>
          <w:highlight w:val="none"/>
          <w:lang w:val="en-US" w:eastAsia="zh-CN"/>
        </w:rPr>
        <w:t>14</w:t>
      </w:r>
      <w:r>
        <w:rPr>
          <w:rFonts w:hint="eastAsia" w:ascii="宋体" w:hAnsi="宋体" w:cs="宋体"/>
          <w:color w:val="auto"/>
          <w:sz w:val="22"/>
          <w:highlight w:val="none"/>
        </w:rPr>
        <w:t>:</w:t>
      </w:r>
      <w:r>
        <w:rPr>
          <w:rFonts w:hint="eastAsia" w:ascii="宋体" w:hAnsi="宋体" w:cs="宋体"/>
          <w:color w:val="auto"/>
          <w:sz w:val="22"/>
          <w:highlight w:val="none"/>
          <w:lang w:val="en-US" w:eastAsia="zh-CN"/>
        </w:rPr>
        <w:t>30</w:t>
      </w:r>
      <w:r>
        <w:rPr>
          <w:rFonts w:hint="eastAsia" w:ascii="宋体" w:hAnsi="宋体" w:cs="宋体"/>
          <w:color w:val="auto"/>
          <w:sz w:val="22"/>
          <w:highlight w:val="none"/>
        </w:rPr>
        <w:t>（北京时间）前提交（上传）响应文件。                            </w:t>
      </w:r>
    </w:p>
    <w:p w14:paraId="78707A48">
      <w:pPr>
        <w:tabs>
          <w:tab w:val="left" w:pos="360"/>
        </w:tabs>
        <w:spacing w:line="460" w:lineRule="exact"/>
        <w:rPr>
          <w:rFonts w:ascii="宋体" w:hAnsi="宋体" w:cs="宋体"/>
          <w:b/>
          <w:bCs/>
          <w:color w:val="auto"/>
          <w:sz w:val="22"/>
          <w:highlight w:val="none"/>
        </w:rPr>
      </w:pPr>
      <w:r>
        <w:rPr>
          <w:rFonts w:hint="eastAsia" w:ascii="宋体" w:hAnsi="宋体" w:cs="宋体"/>
          <w:b/>
          <w:bCs/>
          <w:color w:val="auto"/>
          <w:sz w:val="22"/>
          <w:highlight w:val="none"/>
        </w:rPr>
        <w:t>一、项目基本情况</w:t>
      </w:r>
    </w:p>
    <w:p w14:paraId="7F4F9EA7">
      <w:pPr>
        <w:tabs>
          <w:tab w:val="left" w:pos="360"/>
        </w:tabs>
        <w:spacing w:line="460" w:lineRule="exact"/>
        <w:ind w:firstLine="440" w:firstLineChars="200"/>
        <w:rPr>
          <w:rFonts w:ascii="宋体" w:hAnsi="宋体" w:cs="宋体"/>
          <w:color w:val="auto"/>
          <w:sz w:val="22"/>
          <w:highlight w:val="none"/>
        </w:rPr>
      </w:pPr>
      <w:r>
        <w:rPr>
          <w:rFonts w:hint="eastAsia" w:ascii="宋体" w:hAnsi="宋体" w:cs="宋体"/>
          <w:color w:val="auto"/>
          <w:sz w:val="22"/>
          <w:highlight w:val="none"/>
        </w:rPr>
        <w:t>项目编号：</w:t>
      </w:r>
      <w:bookmarkStart w:id="342" w:name="_GoBack"/>
      <w:bookmarkEnd w:id="342"/>
      <w:r>
        <w:rPr>
          <w:rFonts w:hint="eastAsia" w:ascii="宋体" w:hAnsi="宋体" w:cs="宋体"/>
          <w:color w:val="auto"/>
          <w:sz w:val="22"/>
          <w:highlight w:val="none"/>
          <w:lang w:eastAsia="zh-CN"/>
        </w:rPr>
        <w:t>WMU- 2024CS919</w:t>
      </w:r>
      <w:r>
        <w:rPr>
          <w:rFonts w:hint="eastAsia" w:ascii="宋体" w:hAnsi="宋体" w:cs="宋体"/>
          <w:color w:val="auto"/>
          <w:sz w:val="22"/>
          <w:highlight w:val="none"/>
        </w:rPr>
        <w:t> </w:t>
      </w:r>
    </w:p>
    <w:p w14:paraId="39D47CD3">
      <w:pPr>
        <w:tabs>
          <w:tab w:val="left" w:pos="360"/>
        </w:tabs>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highlight w:val="none"/>
        </w:rPr>
        <w:t>项目名称：</w:t>
      </w:r>
      <w:r>
        <w:rPr>
          <w:rFonts w:hint="eastAsia"/>
          <w:color w:val="auto"/>
          <w:sz w:val="22"/>
          <w:szCs w:val="22"/>
          <w:highlight w:val="none"/>
          <w:lang w:eastAsia="zh-CN"/>
        </w:rPr>
        <w:t>双人课桌、单人椅子（重）</w:t>
      </w:r>
      <w:r>
        <w:rPr>
          <w:rFonts w:hint="eastAsia" w:ascii="宋体" w:hAnsi="宋体" w:cs="宋体"/>
          <w:color w:val="auto"/>
          <w:sz w:val="22"/>
          <w:szCs w:val="22"/>
          <w:highlight w:val="none"/>
        </w:rPr>
        <w:t> </w:t>
      </w:r>
    </w:p>
    <w:p w14:paraId="6F5994DF">
      <w:pPr>
        <w:tabs>
          <w:tab w:val="left" w:pos="360"/>
        </w:tabs>
        <w:spacing w:line="460" w:lineRule="exact"/>
        <w:ind w:firstLine="440" w:firstLineChars="200"/>
        <w:rPr>
          <w:rFonts w:ascii="宋体" w:hAnsi="宋体" w:cs="宋体"/>
          <w:color w:val="auto"/>
          <w:sz w:val="22"/>
          <w:highlight w:val="none"/>
        </w:rPr>
      </w:pPr>
      <w:r>
        <w:rPr>
          <w:rFonts w:hint="eastAsia" w:ascii="宋体" w:hAnsi="宋体" w:cs="宋体"/>
          <w:color w:val="auto"/>
          <w:sz w:val="22"/>
          <w:highlight w:val="none"/>
        </w:rPr>
        <w:t>采购方式：竞争性磋商（非政府采购）</w:t>
      </w:r>
    </w:p>
    <w:p w14:paraId="387D4F41">
      <w:pPr>
        <w:tabs>
          <w:tab w:val="left" w:pos="360"/>
        </w:tabs>
        <w:spacing w:line="460" w:lineRule="exact"/>
        <w:ind w:firstLine="440" w:firstLineChars="200"/>
        <w:rPr>
          <w:rFonts w:ascii="宋体" w:hAnsi="宋体" w:cs="宋体"/>
          <w:color w:val="auto"/>
          <w:sz w:val="22"/>
          <w:highlight w:val="none"/>
        </w:rPr>
      </w:pPr>
      <w:r>
        <w:rPr>
          <w:rFonts w:hint="eastAsia" w:ascii="宋体" w:hAnsi="宋体" w:cs="宋体"/>
          <w:color w:val="auto"/>
          <w:sz w:val="22"/>
          <w:highlight w:val="none"/>
        </w:rPr>
        <w:t>预算金额（元）：272000   </w:t>
      </w:r>
    </w:p>
    <w:p w14:paraId="41E6652B">
      <w:pPr>
        <w:tabs>
          <w:tab w:val="left" w:pos="360"/>
        </w:tabs>
        <w:spacing w:line="460" w:lineRule="exact"/>
        <w:ind w:firstLine="440" w:firstLineChars="200"/>
        <w:rPr>
          <w:rFonts w:ascii="宋体" w:hAnsi="宋体" w:cs="宋体"/>
          <w:color w:val="auto"/>
          <w:sz w:val="22"/>
          <w:highlight w:val="none"/>
        </w:rPr>
      </w:pPr>
      <w:r>
        <w:rPr>
          <w:rFonts w:hint="eastAsia" w:ascii="宋体" w:hAnsi="宋体" w:cs="宋体"/>
          <w:color w:val="auto"/>
          <w:sz w:val="22"/>
          <w:highlight w:val="none"/>
        </w:rPr>
        <w:t>最高限价（元）：272000  </w:t>
      </w:r>
    </w:p>
    <w:p w14:paraId="593C227A">
      <w:pPr>
        <w:tabs>
          <w:tab w:val="left" w:pos="360"/>
        </w:tabs>
        <w:spacing w:line="460" w:lineRule="exact"/>
        <w:ind w:firstLine="440" w:firstLineChars="200"/>
        <w:rPr>
          <w:rFonts w:ascii="宋体" w:hAnsi="宋体" w:cs="宋体"/>
          <w:color w:val="auto"/>
          <w:sz w:val="22"/>
          <w:highlight w:val="none"/>
        </w:rPr>
      </w:pPr>
      <w:r>
        <w:rPr>
          <w:rFonts w:hint="eastAsia" w:ascii="宋体" w:hAnsi="宋体" w:cs="宋体"/>
          <w:color w:val="auto"/>
          <w:sz w:val="22"/>
          <w:highlight w:val="none"/>
        </w:rPr>
        <w:t>采购需求：</w:t>
      </w:r>
    </w:p>
    <w:p w14:paraId="4E5CCF4F">
      <w:pPr>
        <w:tabs>
          <w:tab w:val="left" w:pos="360"/>
        </w:tabs>
        <w:spacing w:line="460" w:lineRule="exact"/>
        <w:rPr>
          <w:rFonts w:ascii="宋体" w:hAnsi="宋体" w:cs="宋体"/>
          <w:color w:val="auto"/>
          <w:sz w:val="22"/>
          <w:highlight w:val="none"/>
        </w:rPr>
      </w:pPr>
      <w:r>
        <w:rPr>
          <w:rFonts w:hint="eastAsia" w:ascii="宋体" w:hAnsi="宋体" w:cs="宋体"/>
          <w:color w:val="auto"/>
          <w:sz w:val="22"/>
          <w:highlight w:val="none"/>
        </w:rPr>
        <w:t>   数量：1 </w:t>
      </w:r>
    </w:p>
    <w:p w14:paraId="5DB48929">
      <w:pPr>
        <w:tabs>
          <w:tab w:val="left" w:pos="360"/>
        </w:tabs>
        <w:spacing w:line="460" w:lineRule="exact"/>
        <w:ind w:firstLine="440" w:firstLineChars="200"/>
        <w:rPr>
          <w:rFonts w:ascii="宋体" w:hAnsi="宋体" w:cs="宋体"/>
          <w:color w:val="auto"/>
          <w:sz w:val="22"/>
          <w:highlight w:val="none"/>
        </w:rPr>
      </w:pPr>
      <w:r>
        <w:rPr>
          <w:rFonts w:hint="eastAsia" w:ascii="宋体" w:hAnsi="宋体" w:cs="宋体"/>
          <w:color w:val="auto"/>
          <w:sz w:val="22"/>
          <w:highlight w:val="none"/>
        </w:rPr>
        <w:t>预算金额（元）：272000  </w:t>
      </w:r>
    </w:p>
    <w:p w14:paraId="27A29C97">
      <w:pPr>
        <w:tabs>
          <w:tab w:val="left" w:pos="360"/>
        </w:tabs>
        <w:spacing w:line="460" w:lineRule="exact"/>
        <w:ind w:firstLine="440" w:firstLineChars="200"/>
        <w:rPr>
          <w:rFonts w:ascii="宋体" w:hAnsi="宋体" w:cs="宋体"/>
          <w:color w:val="auto"/>
          <w:sz w:val="22"/>
          <w:highlight w:val="none"/>
        </w:rPr>
      </w:pPr>
      <w:r>
        <w:rPr>
          <w:rFonts w:hint="eastAsia" w:ascii="宋体" w:hAnsi="宋体" w:cs="宋体"/>
          <w:color w:val="auto"/>
          <w:sz w:val="22"/>
          <w:highlight w:val="none"/>
        </w:rPr>
        <w:t>单位：项 </w:t>
      </w:r>
    </w:p>
    <w:p w14:paraId="132BEC3D">
      <w:pPr>
        <w:tabs>
          <w:tab w:val="left" w:pos="360"/>
        </w:tabs>
        <w:spacing w:line="460" w:lineRule="exact"/>
        <w:ind w:firstLine="440" w:firstLineChars="200"/>
        <w:rPr>
          <w:rFonts w:ascii="宋体" w:hAnsi="宋体" w:cs="宋体"/>
          <w:color w:val="auto"/>
          <w:sz w:val="22"/>
          <w:highlight w:val="none"/>
        </w:rPr>
      </w:pPr>
      <w:r>
        <w:rPr>
          <w:rFonts w:hint="eastAsia" w:ascii="宋体" w:hAnsi="宋体" w:cs="宋体"/>
          <w:color w:val="auto"/>
          <w:sz w:val="22"/>
          <w:highlight w:val="none"/>
        </w:rPr>
        <w:t>简要规格描述：具体详见磋商文件 </w:t>
      </w:r>
    </w:p>
    <w:p w14:paraId="72F023CD">
      <w:pPr>
        <w:tabs>
          <w:tab w:val="left" w:pos="360"/>
        </w:tabs>
        <w:spacing w:line="460" w:lineRule="exact"/>
        <w:ind w:firstLine="440" w:firstLineChars="200"/>
        <w:rPr>
          <w:rFonts w:ascii="宋体" w:hAnsi="宋体" w:cs="宋体"/>
          <w:color w:val="auto"/>
          <w:sz w:val="22"/>
          <w:highlight w:val="none"/>
        </w:rPr>
      </w:pPr>
      <w:r>
        <w:rPr>
          <w:rFonts w:hint="eastAsia" w:ascii="宋体" w:hAnsi="宋体" w:cs="宋体"/>
          <w:color w:val="auto"/>
          <w:sz w:val="22"/>
          <w:highlight w:val="none"/>
        </w:rPr>
        <w:t>备注：   </w:t>
      </w:r>
    </w:p>
    <w:p w14:paraId="5EAF6271">
      <w:pPr>
        <w:tabs>
          <w:tab w:val="left" w:pos="360"/>
        </w:tabs>
        <w:spacing w:line="460" w:lineRule="exact"/>
        <w:ind w:firstLine="440" w:firstLineChars="200"/>
        <w:rPr>
          <w:rFonts w:ascii="宋体" w:hAnsi="宋体" w:cs="宋体"/>
          <w:color w:val="auto"/>
          <w:sz w:val="22"/>
          <w:highlight w:val="none"/>
        </w:rPr>
      </w:pPr>
      <w:r>
        <w:rPr>
          <w:rFonts w:hint="eastAsia" w:ascii="宋体" w:hAnsi="宋体" w:cs="宋体"/>
          <w:color w:val="auto"/>
          <w:sz w:val="22"/>
          <w:highlight w:val="none"/>
        </w:rPr>
        <w:t>合同履约期限：合同签订后30日内完成供货</w:t>
      </w:r>
      <w:r>
        <w:rPr>
          <w:rFonts w:hint="eastAsia" w:ascii="新宋体" w:hAnsi="新宋体" w:eastAsia="新宋体"/>
          <w:b/>
          <w:color w:val="auto"/>
          <w:sz w:val="22"/>
          <w:highlight w:val="none"/>
        </w:rPr>
        <w:t>。</w:t>
      </w:r>
      <w:r>
        <w:rPr>
          <w:rFonts w:hint="eastAsia" w:ascii="宋体" w:hAnsi="宋体" w:cs="宋体"/>
          <w:color w:val="auto"/>
          <w:sz w:val="22"/>
          <w:highlight w:val="none"/>
        </w:rPr>
        <w:t>  </w:t>
      </w:r>
    </w:p>
    <w:p w14:paraId="706BE116">
      <w:pPr>
        <w:tabs>
          <w:tab w:val="left" w:pos="360"/>
        </w:tabs>
        <w:spacing w:line="460" w:lineRule="exact"/>
        <w:ind w:firstLine="440" w:firstLineChars="200"/>
        <w:rPr>
          <w:rFonts w:ascii="宋体" w:hAnsi="宋体" w:cs="宋体"/>
          <w:color w:val="auto"/>
          <w:sz w:val="22"/>
          <w:highlight w:val="none"/>
        </w:rPr>
      </w:pPr>
      <w:r>
        <w:rPr>
          <w:rFonts w:hint="eastAsia"/>
          <w:color w:val="auto"/>
          <w:sz w:val="22"/>
          <w:szCs w:val="22"/>
          <w:highlight w:val="none"/>
        </w:rPr>
        <w:t>本项目（否）接受联合体</w:t>
      </w:r>
      <w:r>
        <w:rPr>
          <w:rFonts w:hint="eastAsia" w:ascii="宋体" w:hAnsi="宋体" w:cs="宋体"/>
          <w:color w:val="auto"/>
          <w:sz w:val="22"/>
          <w:highlight w:val="none"/>
        </w:rPr>
        <w:t>。  </w:t>
      </w:r>
    </w:p>
    <w:p w14:paraId="3C771CD9">
      <w:pPr>
        <w:tabs>
          <w:tab w:val="left" w:pos="360"/>
        </w:tabs>
        <w:spacing w:line="460" w:lineRule="exact"/>
        <w:rPr>
          <w:rFonts w:ascii="宋体" w:hAnsi="宋体" w:cs="宋体"/>
          <w:b/>
          <w:bCs/>
          <w:color w:val="auto"/>
          <w:sz w:val="22"/>
          <w:highlight w:val="none"/>
        </w:rPr>
      </w:pPr>
      <w:r>
        <w:rPr>
          <w:rFonts w:hint="eastAsia" w:ascii="宋体" w:hAnsi="宋体" w:cs="宋体"/>
          <w:b/>
          <w:bCs/>
          <w:color w:val="auto"/>
          <w:sz w:val="22"/>
          <w:highlight w:val="none"/>
        </w:rPr>
        <w:t>二、申请人的资格要求：</w:t>
      </w:r>
    </w:p>
    <w:p w14:paraId="41386EC2">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1C24A066">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2、落实政府采购政策需满足的资格要求：无</w:t>
      </w:r>
    </w:p>
    <w:p w14:paraId="15DB11A6">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3、本项目的特定资格要求：无 </w:t>
      </w:r>
    </w:p>
    <w:p w14:paraId="5E70E380">
      <w:pPr>
        <w:tabs>
          <w:tab w:val="left" w:pos="360"/>
        </w:tabs>
        <w:spacing w:line="460" w:lineRule="exact"/>
        <w:rPr>
          <w:rFonts w:ascii="宋体" w:hAnsi="宋体" w:cs="宋体"/>
          <w:color w:val="auto"/>
          <w:sz w:val="22"/>
          <w:highlight w:val="none"/>
        </w:rPr>
      </w:pPr>
      <w:r>
        <w:rPr>
          <w:rFonts w:hint="eastAsia" w:ascii="宋体" w:hAnsi="宋体" w:cs="宋体"/>
          <w:b/>
          <w:bCs/>
          <w:color w:val="auto"/>
          <w:sz w:val="22"/>
          <w:highlight w:val="none"/>
        </w:rPr>
        <w:t>三、获取（下载）磋商文件</w:t>
      </w:r>
    </w:p>
    <w:p w14:paraId="67BB5E56">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时间：</w:t>
      </w:r>
      <w:r>
        <w:rPr>
          <w:rFonts w:hint="eastAsia"/>
          <w:color w:val="auto"/>
          <w:sz w:val="22"/>
          <w:szCs w:val="22"/>
          <w:highlight w:val="none"/>
          <w:lang w:val="en-US" w:eastAsia="zh-CN"/>
        </w:rPr>
        <w:t>2024年08月03日</w:t>
      </w:r>
      <w:r>
        <w:rPr>
          <w:rFonts w:hint="eastAsia"/>
          <w:color w:val="auto"/>
          <w:sz w:val="22"/>
          <w:szCs w:val="22"/>
          <w:highlight w:val="none"/>
        </w:rPr>
        <w:t>至</w:t>
      </w:r>
      <w:r>
        <w:rPr>
          <w:rFonts w:hint="eastAsia"/>
          <w:color w:val="auto"/>
          <w:sz w:val="22"/>
          <w:szCs w:val="22"/>
          <w:highlight w:val="none"/>
          <w:lang w:eastAsia="zh-CN"/>
        </w:rPr>
        <w:t>2024年08月</w:t>
      </w:r>
      <w:r>
        <w:rPr>
          <w:rFonts w:hint="eastAsia"/>
          <w:color w:val="auto"/>
          <w:sz w:val="22"/>
          <w:szCs w:val="22"/>
          <w:highlight w:val="none"/>
          <w:lang w:val="en-US" w:eastAsia="zh-CN"/>
        </w:rPr>
        <w:t>14</w:t>
      </w:r>
      <w:r>
        <w:rPr>
          <w:rFonts w:hint="eastAsia"/>
          <w:color w:val="auto"/>
          <w:sz w:val="22"/>
          <w:szCs w:val="22"/>
          <w:highlight w:val="none"/>
          <w:lang w:eastAsia="zh-CN"/>
        </w:rPr>
        <w:t>日</w:t>
      </w:r>
      <w:r>
        <w:rPr>
          <w:rFonts w:hint="eastAsia"/>
          <w:color w:val="auto"/>
          <w:sz w:val="22"/>
          <w:szCs w:val="22"/>
          <w:highlight w:val="none"/>
        </w:rPr>
        <w:t>，每天上午00:00至12:00，下午12:00至23:59（北京时间，线上获取法定节假日均可，线下获取文件法定节假日除外）</w:t>
      </w:r>
    </w:p>
    <w:p w14:paraId="287F08CA">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地点（网址）：浙江政府采购网（https://zfcg.czt.zj.gov.cn/） </w:t>
      </w:r>
    </w:p>
    <w:p w14:paraId="5EB567C2">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方式：供应商登录政采云平台https://www.zcygov.cn/在线申请获取磋商文件（进入“项目采购”应用，在获取磋商文件菜单中选择项目，申请获取磋商文件）</w:t>
      </w:r>
    </w:p>
    <w:p w14:paraId="33A74B52">
      <w:pPr>
        <w:pStyle w:val="48"/>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售价（元）：0 </w:t>
      </w:r>
    </w:p>
    <w:p w14:paraId="69CEE856">
      <w:pPr>
        <w:tabs>
          <w:tab w:val="left" w:pos="360"/>
        </w:tabs>
        <w:spacing w:line="460" w:lineRule="exact"/>
        <w:rPr>
          <w:rFonts w:ascii="宋体" w:hAnsi="宋体" w:cs="宋体"/>
          <w:color w:val="auto"/>
          <w:sz w:val="22"/>
          <w:highlight w:val="none"/>
        </w:rPr>
      </w:pPr>
      <w:r>
        <w:rPr>
          <w:rFonts w:hint="eastAsia" w:ascii="宋体" w:hAnsi="宋体" w:cs="宋体"/>
          <w:b/>
          <w:bCs/>
          <w:color w:val="auto"/>
          <w:sz w:val="22"/>
          <w:highlight w:val="none"/>
        </w:rPr>
        <w:t>四、响应文件提交（上传）</w:t>
      </w:r>
      <w:r>
        <w:rPr>
          <w:rFonts w:hint="eastAsia" w:ascii="宋体" w:hAnsi="宋体" w:cs="宋体"/>
          <w:color w:val="auto"/>
          <w:sz w:val="22"/>
          <w:highlight w:val="none"/>
        </w:rPr>
        <w:t> </w:t>
      </w:r>
    </w:p>
    <w:p w14:paraId="177F01FC">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截止时间：</w:t>
      </w:r>
      <w:r>
        <w:rPr>
          <w:rFonts w:hint="eastAsia" w:ascii="宋体" w:hAnsi="宋体" w:cs="宋体"/>
          <w:color w:val="auto"/>
          <w:sz w:val="22"/>
          <w:highlight w:val="none"/>
          <w:lang w:eastAsia="zh-CN"/>
        </w:rPr>
        <w:t>2024年08月</w:t>
      </w:r>
      <w:r>
        <w:rPr>
          <w:rFonts w:hint="eastAsia" w:ascii="宋体" w:hAnsi="宋体" w:cs="宋体"/>
          <w:color w:val="auto"/>
          <w:sz w:val="22"/>
          <w:highlight w:val="none"/>
          <w:lang w:val="en-US" w:eastAsia="zh-CN"/>
        </w:rPr>
        <w:t>14</w:t>
      </w:r>
      <w:r>
        <w:rPr>
          <w:rFonts w:hint="eastAsia" w:ascii="宋体" w:hAnsi="宋体" w:cs="宋体"/>
          <w:color w:val="auto"/>
          <w:sz w:val="22"/>
          <w:highlight w:val="none"/>
          <w:lang w:eastAsia="zh-CN"/>
        </w:rPr>
        <w:t>日</w:t>
      </w:r>
      <w:r>
        <w:rPr>
          <w:rFonts w:hint="eastAsia" w:ascii="宋体" w:hAnsi="宋体" w:cs="宋体"/>
          <w:color w:val="auto"/>
          <w:sz w:val="22"/>
          <w:highlight w:val="none"/>
          <w:lang w:val="en-US" w:eastAsia="zh-CN"/>
        </w:rPr>
        <w:t>14</w:t>
      </w:r>
      <w:r>
        <w:rPr>
          <w:rFonts w:hint="eastAsia" w:ascii="宋体" w:hAnsi="宋体" w:cs="宋体"/>
          <w:color w:val="auto"/>
          <w:sz w:val="22"/>
          <w:highlight w:val="none"/>
          <w:lang w:eastAsia="zh-CN"/>
        </w:rPr>
        <w:t>:30</w:t>
      </w:r>
      <w:r>
        <w:rPr>
          <w:rFonts w:hint="eastAsia" w:ascii="宋体" w:hAnsi="宋体" w:cs="宋体"/>
          <w:color w:val="auto"/>
          <w:sz w:val="22"/>
          <w:highlight w:val="none"/>
        </w:rPr>
        <w:t>（北京时间）</w:t>
      </w:r>
    </w:p>
    <w:p w14:paraId="59A74110">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地点（网址）：温州市鹿城区勤民路鹿城壹号18幢803室（政采云平台：http://zfcg.czt.zj.gov.cn）  </w:t>
      </w:r>
    </w:p>
    <w:p w14:paraId="6A38B2DF">
      <w:pPr>
        <w:tabs>
          <w:tab w:val="left" w:pos="360"/>
        </w:tabs>
        <w:spacing w:line="460" w:lineRule="exact"/>
        <w:rPr>
          <w:rFonts w:ascii="宋体" w:hAnsi="宋体" w:cs="宋体"/>
          <w:color w:val="auto"/>
          <w:sz w:val="22"/>
          <w:highlight w:val="none"/>
        </w:rPr>
      </w:pPr>
      <w:r>
        <w:rPr>
          <w:rFonts w:hint="eastAsia" w:ascii="宋体" w:hAnsi="宋体" w:cs="宋体"/>
          <w:b/>
          <w:bCs/>
          <w:color w:val="auto"/>
          <w:sz w:val="22"/>
          <w:highlight w:val="none"/>
        </w:rPr>
        <w:t>五、响应文件开启</w:t>
      </w:r>
      <w:r>
        <w:rPr>
          <w:rFonts w:hint="eastAsia" w:ascii="宋体" w:hAnsi="宋体" w:cs="宋体"/>
          <w:color w:val="auto"/>
          <w:sz w:val="22"/>
          <w:highlight w:val="none"/>
        </w:rPr>
        <w:t> </w:t>
      </w:r>
    </w:p>
    <w:p w14:paraId="00901C2F">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开启时间：</w:t>
      </w:r>
      <w:r>
        <w:rPr>
          <w:rFonts w:hint="eastAsia" w:ascii="宋体" w:hAnsi="宋体" w:cs="宋体"/>
          <w:color w:val="auto"/>
          <w:sz w:val="22"/>
          <w:highlight w:val="none"/>
          <w:lang w:eastAsia="zh-CN"/>
        </w:rPr>
        <w:t>2024年08月</w:t>
      </w:r>
      <w:r>
        <w:rPr>
          <w:rFonts w:hint="eastAsia" w:ascii="宋体" w:hAnsi="宋体" w:cs="宋体"/>
          <w:color w:val="auto"/>
          <w:sz w:val="22"/>
          <w:highlight w:val="none"/>
          <w:lang w:val="en-US" w:eastAsia="zh-CN"/>
        </w:rPr>
        <w:t>14</w:t>
      </w:r>
      <w:r>
        <w:rPr>
          <w:rFonts w:hint="eastAsia" w:ascii="宋体" w:hAnsi="宋体" w:cs="宋体"/>
          <w:color w:val="auto"/>
          <w:sz w:val="22"/>
          <w:highlight w:val="none"/>
          <w:lang w:eastAsia="zh-CN"/>
        </w:rPr>
        <w:t>日</w:t>
      </w:r>
      <w:r>
        <w:rPr>
          <w:rFonts w:hint="eastAsia" w:ascii="宋体" w:hAnsi="宋体" w:cs="宋体"/>
          <w:color w:val="auto"/>
          <w:sz w:val="22"/>
          <w:highlight w:val="none"/>
          <w:lang w:val="en-US" w:eastAsia="zh-CN"/>
        </w:rPr>
        <w:t>14</w:t>
      </w:r>
      <w:r>
        <w:rPr>
          <w:rFonts w:hint="eastAsia" w:ascii="宋体" w:hAnsi="宋体" w:cs="宋体"/>
          <w:color w:val="auto"/>
          <w:sz w:val="22"/>
          <w:highlight w:val="none"/>
          <w:lang w:eastAsia="zh-CN"/>
        </w:rPr>
        <w:t>:30</w:t>
      </w:r>
      <w:r>
        <w:rPr>
          <w:rFonts w:hint="eastAsia" w:ascii="宋体" w:hAnsi="宋体" w:cs="宋体"/>
          <w:color w:val="auto"/>
          <w:sz w:val="22"/>
          <w:highlight w:val="none"/>
        </w:rPr>
        <w:t>（北京时间）</w:t>
      </w:r>
    </w:p>
    <w:p w14:paraId="42FE37BE">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地点（网址）：温州市鹿城区勤民路鹿城壹号18幢803室（政采云平台：http://zfcg.czt.zj.gov.cn） </w:t>
      </w:r>
    </w:p>
    <w:p w14:paraId="183B8A34">
      <w:pPr>
        <w:tabs>
          <w:tab w:val="left" w:pos="360"/>
        </w:tabs>
        <w:spacing w:line="460" w:lineRule="exact"/>
        <w:rPr>
          <w:rFonts w:ascii="宋体" w:hAnsi="宋体" w:cs="宋体"/>
          <w:color w:val="auto"/>
          <w:sz w:val="22"/>
          <w:highlight w:val="none"/>
        </w:rPr>
      </w:pPr>
      <w:r>
        <w:rPr>
          <w:rFonts w:hint="eastAsia" w:ascii="宋体" w:hAnsi="宋体" w:cs="宋体"/>
          <w:b/>
          <w:bCs/>
          <w:color w:val="auto"/>
          <w:sz w:val="22"/>
          <w:highlight w:val="none"/>
        </w:rPr>
        <w:t>六、公告期限</w:t>
      </w:r>
    </w:p>
    <w:p w14:paraId="41432EC2">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自本公告发布之日起3个工作日。</w:t>
      </w:r>
    </w:p>
    <w:p w14:paraId="0B067C7D">
      <w:pPr>
        <w:tabs>
          <w:tab w:val="left" w:pos="360"/>
        </w:tabs>
        <w:spacing w:line="460" w:lineRule="exact"/>
        <w:rPr>
          <w:rFonts w:ascii="宋体" w:hAnsi="宋体" w:cs="宋体"/>
          <w:color w:val="auto"/>
          <w:sz w:val="22"/>
          <w:highlight w:val="none"/>
        </w:rPr>
      </w:pPr>
      <w:r>
        <w:rPr>
          <w:rFonts w:hint="eastAsia" w:ascii="宋体" w:hAnsi="宋体" w:cs="宋体"/>
          <w:b/>
          <w:bCs/>
          <w:color w:val="auto"/>
          <w:sz w:val="22"/>
          <w:highlight w:val="none"/>
        </w:rPr>
        <w:t>七、其他补充事宜</w:t>
      </w:r>
      <w:r>
        <w:rPr>
          <w:rFonts w:hint="eastAsia" w:ascii="宋体" w:hAnsi="宋体" w:cs="宋体"/>
          <w:color w:val="auto"/>
          <w:sz w:val="22"/>
          <w:highlight w:val="none"/>
        </w:rPr>
        <w:t> </w:t>
      </w:r>
    </w:p>
    <w:p w14:paraId="5F31545A">
      <w:pPr>
        <w:pStyle w:val="48"/>
        <w:spacing w:before="0" w:beforeAutospacing="0" w:after="0" w:afterAutospacing="0" w:line="460" w:lineRule="exact"/>
        <w:ind w:firstLine="440" w:firstLineChars="200"/>
        <w:rPr>
          <w:rFonts w:ascii="新宋体" w:hAnsi="新宋体" w:eastAsia="新宋体" w:cs="新宋体"/>
          <w:color w:val="auto"/>
          <w:sz w:val="22"/>
          <w:highlight w:val="none"/>
        </w:rPr>
      </w:pPr>
      <w:r>
        <w:rPr>
          <w:rFonts w:hint="eastAsia" w:ascii="新宋体" w:hAnsi="新宋体" w:eastAsia="新宋体" w:cs="新宋体"/>
          <w:color w:val="auto"/>
          <w:sz w:val="22"/>
          <w:highlight w:val="none"/>
        </w:rPr>
        <w:t>本项目通过“政府采购云平台（www.zcygov.cn）”实行在线响应（电子磋商），供应商应先安装“政采云电子交易客户端”，并按照本磋商文件和“政府采购云平台”的要求，通过“政采云电子交易客户端”编制并加密磋商响应文件。供应商未按规定加密的磋商响应文件，“政府采购云平台”将予以拒收。 “政采云电子交易客户端”请自行前往“浙江政府采购网-下载专区-电子交易客户端”进行下载；电子磋商具体操作流程详见本公告附件《供应商项目采购-电子招投标操作指南》；通过“政府采购云平台”参与在线磋商时如遇平台技术问题详询400-881-7190。（2）为确保网上操作合法、有效和安全，磋商供应商应当在磋商响应文件递交截止时间前完成在“政府采购云平台”的身份认证，确保在电子磋商过程中能够对相关数据电文进行加密和使用电子签章。使用“政采云电子交易客户端”需要提前申领CA数字证书，申领流程请自行前往“浙江政府采购网-下载专区-电子交易客户端-CA驱动和申领流程”进行查阅；（3）磋商供应商应当在磋商响应文件递交截止时间前，将生成的“电子加密磋商响应文件”上传递交至“政府采购云平台”。磋商响应文件递交截止时间以后上传递交的磋商响应文件将被“政府采购云平台”拒收。（4）磋商供应商在“政府采购云平台”完成“电子加密磋商响应文件”的上传递交后，还可以在磋商响应文件递交截止时间前递交以介质（U盘）存储的数据电文形式的“备份磋商响应文件”，“备份磋商响应文件”应当密封包装并在包装上标注项目名称、磋商供应商名称并加盖公章。（可以（邮寄形式，建议顺丰）在磋商响应文件递交截止时间前递交，并需采购代理机构确认是否收到）（5）通过“政府采购云平台”上传递交的“电子加密磋商响应文件”无法按时解密，磋商供应商递交了备份磋商响应文件的，以备份磋商响应文件为依据，否则视为磋商响应文件撤回。通过“政府采购云平台”上传递交的“电子加密磋商响应文件”已按时解密的，“备份磋商响应文件”自动失效。磋商供应商仅递交备份磋商响应文件的，磋商及报价无效。</w:t>
      </w:r>
    </w:p>
    <w:p w14:paraId="36EF5D69">
      <w:pPr>
        <w:tabs>
          <w:tab w:val="left" w:pos="360"/>
        </w:tabs>
        <w:spacing w:line="460" w:lineRule="exact"/>
        <w:rPr>
          <w:rFonts w:ascii="宋体" w:hAnsi="宋体" w:cs="宋体"/>
          <w:b/>
          <w:bCs/>
          <w:color w:val="auto"/>
          <w:sz w:val="22"/>
          <w:highlight w:val="none"/>
        </w:rPr>
      </w:pPr>
      <w:r>
        <w:rPr>
          <w:rFonts w:hint="eastAsia" w:ascii="宋体" w:hAnsi="宋体" w:cs="宋体"/>
          <w:b/>
          <w:bCs/>
          <w:color w:val="auto"/>
          <w:sz w:val="22"/>
          <w:highlight w:val="none"/>
        </w:rPr>
        <w:t>八、凡对本次招标提出询问、质疑、投诉，请按以下方式联系</w:t>
      </w:r>
    </w:p>
    <w:p w14:paraId="2DE81A8A">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1.采购人信息</w:t>
      </w:r>
    </w:p>
    <w:p w14:paraId="79C011AF">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名    称：温州医科大学 </w:t>
      </w:r>
    </w:p>
    <w:p w14:paraId="09522E8B">
      <w:pPr>
        <w:tabs>
          <w:tab w:val="left" w:pos="360"/>
        </w:tabs>
        <w:spacing w:line="460" w:lineRule="exact"/>
        <w:ind w:firstLine="550" w:firstLineChars="250"/>
        <w:rPr>
          <w:rFonts w:ascii="宋体" w:hAnsi="宋体" w:cs="宋体"/>
          <w:color w:val="auto"/>
          <w:sz w:val="22"/>
          <w:szCs w:val="22"/>
          <w:highlight w:val="none"/>
        </w:rPr>
      </w:pPr>
      <w:r>
        <w:rPr>
          <w:rFonts w:hint="eastAsia" w:ascii="宋体" w:hAnsi="宋体" w:cs="宋体"/>
          <w:color w:val="auto"/>
          <w:sz w:val="22"/>
          <w:highlight w:val="none"/>
        </w:rPr>
        <w:t>地    址：</w:t>
      </w:r>
      <w:r>
        <w:rPr>
          <w:rFonts w:hint="eastAsia" w:ascii="宋体" w:hAnsi="宋体" w:cs="宋体"/>
          <w:color w:val="auto"/>
          <w:sz w:val="22"/>
          <w:szCs w:val="22"/>
          <w:highlight w:val="none"/>
          <w:lang w:bidi="ar"/>
        </w:rPr>
        <w:t>温州医科大学茶山校区中心北路</w:t>
      </w:r>
      <w:r>
        <w:rPr>
          <w:rFonts w:hint="eastAsia" w:ascii="宋体" w:hAnsi="宋体" w:cs="宋体"/>
          <w:color w:val="auto"/>
          <w:sz w:val="22"/>
          <w:szCs w:val="22"/>
          <w:highlight w:val="none"/>
        </w:rPr>
        <w:t> </w:t>
      </w:r>
    </w:p>
    <w:p w14:paraId="50D34664">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 xml:space="preserve">项目联系人（询问）： </w:t>
      </w:r>
      <w:r>
        <w:rPr>
          <w:rFonts w:ascii="宋体" w:hAnsi="宋体" w:cs="宋体"/>
          <w:color w:val="auto"/>
          <w:sz w:val="22"/>
          <w:highlight w:val="none"/>
        </w:rPr>
        <w:t>王老</w:t>
      </w:r>
      <w:r>
        <w:rPr>
          <w:rFonts w:hint="eastAsia" w:ascii="宋体" w:hAnsi="宋体" w:cs="宋体"/>
          <w:color w:val="auto"/>
          <w:sz w:val="22"/>
          <w:highlight w:val="none"/>
        </w:rPr>
        <w:t>师</w:t>
      </w:r>
    </w:p>
    <w:p w14:paraId="1810121D">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项目联系方式（询问）：0577-</w:t>
      </w:r>
      <w:r>
        <w:rPr>
          <w:rFonts w:ascii="宋体" w:hAnsi="宋体" w:cs="宋体"/>
          <w:color w:val="auto"/>
          <w:sz w:val="22"/>
          <w:highlight w:val="none"/>
        </w:rPr>
        <w:t>86689891</w:t>
      </w:r>
    </w:p>
    <w:p w14:paraId="2F723E99">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 xml:space="preserve">质疑联系人： </w:t>
      </w:r>
      <w:r>
        <w:rPr>
          <w:rFonts w:ascii="宋体" w:hAnsi="宋体" w:cs="宋体"/>
          <w:color w:val="auto"/>
          <w:sz w:val="22"/>
          <w:highlight w:val="none"/>
        </w:rPr>
        <w:t>郑</w:t>
      </w:r>
      <w:r>
        <w:rPr>
          <w:rFonts w:hint="eastAsia" w:ascii="宋体" w:hAnsi="宋体" w:cs="宋体"/>
          <w:color w:val="auto"/>
          <w:sz w:val="22"/>
          <w:highlight w:val="none"/>
        </w:rPr>
        <w:t>老师</w:t>
      </w:r>
    </w:p>
    <w:p w14:paraId="096FA91F">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 xml:space="preserve">质疑联系方式：0577- </w:t>
      </w:r>
      <w:r>
        <w:rPr>
          <w:rFonts w:ascii="宋体" w:hAnsi="宋体" w:cs="宋体"/>
          <w:color w:val="auto"/>
          <w:sz w:val="22"/>
          <w:highlight w:val="none"/>
        </w:rPr>
        <w:t>86699623</w:t>
      </w:r>
    </w:p>
    <w:p w14:paraId="2A44C366">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2.采购代理机构信息</w:t>
      </w:r>
    </w:p>
    <w:p w14:paraId="6ACFA36A">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名    称：温州历程招标有限公司 </w:t>
      </w:r>
    </w:p>
    <w:p w14:paraId="5F4E963F">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地    址：温州市鹿城区勤民路鹿城壹号18幢803室 </w:t>
      </w:r>
    </w:p>
    <w:p w14:paraId="0825917A">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传    真：  </w:t>
      </w:r>
    </w:p>
    <w:p w14:paraId="3A317A17">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项目联系人（询问）： 郑永强 </w:t>
      </w:r>
    </w:p>
    <w:p w14:paraId="39E49238">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项目联系方式（询问）：0577-89887322、13757727199 </w:t>
      </w:r>
    </w:p>
    <w:p w14:paraId="54FF8536">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质疑联系人：肖忠文 </w:t>
      </w:r>
    </w:p>
    <w:p w14:paraId="00C0579C">
      <w:pPr>
        <w:widowControl/>
        <w:spacing w:line="440" w:lineRule="exact"/>
        <w:ind w:firstLine="440" w:firstLineChars="200"/>
        <w:jc w:val="left"/>
        <w:rPr>
          <w:rFonts w:ascii="宋体" w:hAnsi="宋体" w:cs="宋体"/>
          <w:color w:val="auto"/>
          <w:sz w:val="22"/>
          <w:highlight w:val="none"/>
        </w:rPr>
      </w:pPr>
      <w:r>
        <w:rPr>
          <w:rFonts w:hint="eastAsia" w:ascii="宋体" w:hAnsi="宋体" w:cs="宋体"/>
          <w:color w:val="auto"/>
          <w:sz w:val="22"/>
          <w:highlight w:val="none"/>
        </w:rPr>
        <w:t>质疑联系方式：13757727199  </w:t>
      </w:r>
    </w:p>
    <w:p w14:paraId="2B9BC476">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3. 监督单位：中共温州医科大学纪律检查委员会、浙江省监察委员会驻温州医科大学监察专员办公室纪检监察室</w:t>
      </w:r>
    </w:p>
    <w:p w14:paraId="07AC9BD9">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联系地址：温州医科大学茶山校区同心楼518室</w:t>
      </w:r>
    </w:p>
    <w:p w14:paraId="681D9DD5">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联系电话：0577-86689702</w:t>
      </w:r>
    </w:p>
    <w:p w14:paraId="62257632">
      <w:pPr>
        <w:tabs>
          <w:tab w:val="left" w:pos="360"/>
        </w:tabs>
        <w:spacing w:line="460" w:lineRule="exact"/>
        <w:ind w:firstLine="550" w:firstLineChars="250"/>
        <w:rPr>
          <w:rFonts w:ascii="宋体" w:hAnsi="宋体" w:cs="宋体"/>
          <w:color w:val="auto"/>
          <w:sz w:val="22"/>
          <w:highlight w:val="none"/>
        </w:rPr>
      </w:pPr>
    </w:p>
    <w:p w14:paraId="1119A3B7">
      <w:pPr>
        <w:tabs>
          <w:tab w:val="left" w:pos="360"/>
        </w:tabs>
        <w:spacing w:line="460" w:lineRule="exact"/>
        <w:ind w:firstLine="550" w:firstLineChars="250"/>
        <w:rPr>
          <w:rFonts w:ascii="宋体" w:hAnsi="宋体" w:cs="宋体"/>
          <w:color w:val="auto"/>
          <w:sz w:val="22"/>
          <w:highlight w:val="none"/>
        </w:rPr>
      </w:pPr>
    </w:p>
    <w:p w14:paraId="6C88E09B">
      <w:pPr>
        <w:pStyle w:val="11"/>
        <w:rPr>
          <w:rFonts w:ascii="宋体" w:hAnsi="宋体" w:cs="宋体"/>
          <w:color w:val="auto"/>
          <w:highlight w:val="none"/>
        </w:rPr>
      </w:pPr>
      <w:r>
        <w:rPr>
          <w:rFonts w:hint="eastAsia" w:ascii="宋体" w:hAnsi="宋体" w:cs="宋体"/>
          <w:color w:val="auto"/>
          <w:sz w:val="22"/>
          <w:highlight w:val="none"/>
        </w:rPr>
        <w:t xml:space="preserve"> </w:t>
      </w:r>
      <w:r>
        <w:rPr>
          <w:rFonts w:hint="eastAsia" w:ascii="宋体" w:hAnsi="宋体" w:cs="宋体"/>
          <w:color w:val="auto"/>
          <w:highlight w:val="none"/>
        </w:rPr>
        <w:t xml:space="preserve"> </w:t>
      </w:r>
    </w:p>
    <w:p w14:paraId="17CC0AF6">
      <w:pPr>
        <w:rPr>
          <w:rFonts w:ascii="宋体" w:hAnsi="宋体" w:cs="宋体"/>
          <w:color w:val="auto"/>
          <w:highlight w:val="none"/>
        </w:rPr>
      </w:pPr>
    </w:p>
    <w:p w14:paraId="68CB7572">
      <w:pPr>
        <w:adjustRightInd w:val="0"/>
        <w:snapToGrid w:val="0"/>
        <w:spacing w:line="400" w:lineRule="exact"/>
        <w:ind w:firstLine="658"/>
        <w:rPr>
          <w:rFonts w:ascii="宋体" w:hAnsi="宋体" w:cs="宋体"/>
          <w:color w:val="auto"/>
          <w:sz w:val="22"/>
          <w:szCs w:val="22"/>
          <w:highlight w:val="none"/>
        </w:rPr>
      </w:pPr>
      <w:r>
        <w:rPr>
          <w:rFonts w:hint="eastAsia" w:ascii="宋体" w:hAnsi="宋体" w:cs="宋体"/>
          <w:color w:val="auto"/>
          <w:sz w:val="22"/>
          <w:szCs w:val="22"/>
          <w:highlight w:val="none"/>
        </w:rPr>
        <w:t>若对项目采购电子交易系统操作有疑问，可登录政采云（https://www.zcygov.cn/），点击右侧咨询小采，获取采小蜜智能服务管家帮助，或拨打政采云服务热线400-881-7190获取热线服务帮助。</w:t>
      </w:r>
    </w:p>
    <w:p w14:paraId="000CF10E">
      <w:pPr>
        <w:adjustRightInd w:val="0"/>
        <w:snapToGrid w:val="0"/>
        <w:spacing w:line="400" w:lineRule="exact"/>
        <w:ind w:firstLine="658"/>
        <w:rPr>
          <w:rFonts w:ascii="宋体" w:hAnsi="宋体" w:cs="宋体"/>
          <w:color w:val="auto"/>
          <w:sz w:val="22"/>
          <w:szCs w:val="22"/>
          <w:highlight w:val="none"/>
        </w:rPr>
      </w:pPr>
      <w:r>
        <w:rPr>
          <w:rFonts w:hint="eastAsia" w:ascii="宋体" w:hAnsi="宋体" w:cs="宋体"/>
          <w:color w:val="auto"/>
          <w:sz w:val="22"/>
          <w:szCs w:val="22"/>
          <w:highlight w:val="none"/>
        </w:rPr>
        <w:t>CA问题联系电话（人工）：汇信CA 400-888-4636；天谷CA 400-087-8198。</w:t>
      </w:r>
    </w:p>
    <w:p w14:paraId="1DBE2424">
      <w:pPr>
        <w:rPr>
          <w:rFonts w:ascii="宋体" w:hAnsi="宋体" w:cs="宋体"/>
          <w:color w:val="auto"/>
          <w:highlight w:val="none"/>
        </w:rPr>
      </w:pPr>
    </w:p>
    <w:p w14:paraId="72B6CE7C">
      <w:pPr>
        <w:rPr>
          <w:rFonts w:ascii="宋体" w:hAnsi="宋体" w:cs="宋体"/>
          <w:color w:val="auto"/>
          <w:highlight w:val="none"/>
        </w:rPr>
      </w:pPr>
    </w:p>
    <w:p w14:paraId="5876023A">
      <w:pPr>
        <w:pStyle w:val="5"/>
        <w:rPr>
          <w:rFonts w:ascii="宋体" w:hAnsi="宋体" w:eastAsia="宋体" w:cs="宋体"/>
          <w:b w:val="0"/>
          <w:color w:val="auto"/>
          <w:highlight w:val="none"/>
        </w:rPr>
      </w:pPr>
      <w:bookmarkStart w:id="13" w:name="_Toc31483"/>
      <w:r>
        <w:rPr>
          <w:rFonts w:hint="eastAsia" w:ascii="宋体" w:hAnsi="宋体" w:eastAsia="宋体" w:cs="宋体"/>
          <w:color w:val="auto"/>
          <w:highlight w:val="none"/>
        </w:rPr>
        <w:br w:type="page"/>
      </w:r>
      <w:bookmarkStart w:id="14" w:name="_Toc13085"/>
      <w:bookmarkStart w:id="15" w:name="_Toc27914"/>
      <w:bookmarkStart w:id="16" w:name="_Toc32766"/>
      <w:bookmarkStart w:id="17" w:name="_Toc1210"/>
      <w:bookmarkStart w:id="18" w:name="_Toc29049"/>
      <w:r>
        <w:rPr>
          <w:rFonts w:hint="eastAsia" w:ascii="宋体" w:hAnsi="宋体" w:eastAsia="宋体" w:cs="宋体"/>
          <w:color w:val="auto"/>
          <w:highlight w:val="none"/>
        </w:rPr>
        <w:t>第一部分    磋商供应商须知</w:t>
      </w:r>
      <w:bookmarkEnd w:id="13"/>
      <w:bookmarkEnd w:id="14"/>
      <w:bookmarkEnd w:id="15"/>
      <w:bookmarkEnd w:id="16"/>
      <w:bookmarkEnd w:id="17"/>
      <w:bookmarkEnd w:id="18"/>
    </w:p>
    <w:p w14:paraId="183995EC">
      <w:pPr>
        <w:keepNext/>
        <w:keepLines/>
        <w:shd w:val="clear" w:color="auto" w:fill="FFFFFF"/>
        <w:tabs>
          <w:tab w:val="left" w:pos="706"/>
        </w:tabs>
        <w:snapToGrid w:val="0"/>
        <w:spacing w:line="460" w:lineRule="exact"/>
        <w:jc w:val="center"/>
        <w:outlineLvl w:val="1"/>
        <w:rPr>
          <w:rFonts w:ascii="宋体" w:hAnsi="宋体" w:cs="宋体"/>
          <w:b/>
          <w:bCs/>
          <w:color w:val="auto"/>
          <w:sz w:val="22"/>
          <w:szCs w:val="22"/>
          <w:highlight w:val="none"/>
        </w:rPr>
      </w:pPr>
      <w:bookmarkStart w:id="19" w:name="_Toc5283"/>
      <w:bookmarkStart w:id="20" w:name="_Toc29489"/>
      <w:bookmarkStart w:id="21" w:name="_Toc233618971"/>
      <w:bookmarkStart w:id="22" w:name="_Toc164"/>
      <w:bookmarkStart w:id="23" w:name="_Toc949"/>
      <w:bookmarkStart w:id="24" w:name="_Toc354996695"/>
      <w:bookmarkStart w:id="25" w:name="_Toc33194387"/>
      <w:bookmarkStart w:id="26" w:name="_Toc20804"/>
      <w:bookmarkStart w:id="27" w:name="_Toc1682"/>
      <w:r>
        <w:rPr>
          <w:rFonts w:hint="eastAsia" w:ascii="宋体" w:hAnsi="宋体" w:cs="宋体"/>
          <w:b/>
          <w:bCs/>
          <w:color w:val="auto"/>
          <w:sz w:val="22"/>
          <w:szCs w:val="22"/>
          <w:highlight w:val="none"/>
        </w:rPr>
        <w:t>磋商供应商须知前附表</w:t>
      </w:r>
      <w:bookmarkEnd w:id="19"/>
      <w:bookmarkEnd w:id="20"/>
      <w:bookmarkEnd w:id="21"/>
      <w:bookmarkEnd w:id="22"/>
      <w:bookmarkEnd w:id="23"/>
      <w:bookmarkEnd w:id="24"/>
      <w:bookmarkEnd w:id="25"/>
      <w:bookmarkEnd w:id="26"/>
      <w:bookmarkEnd w:id="27"/>
    </w:p>
    <w:tbl>
      <w:tblPr>
        <w:tblStyle w:val="52"/>
        <w:tblW w:w="9864" w:type="dxa"/>
        <w:tblInd w:w="-11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60"/>
        <w:gridCol w:w="1440"/>
        <w:gridCol w:w="7564"/>
      </w:tblGrid>
      <w:tr w14:paraId="7A955A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43579258">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序号</w:t>
            </w:r>
          </w:p>
        </w:tc>
        <w:tc>
          <w:tcPr>
            <w:tcW w:w="1440" w:type="dxa"/>
            <w:tcBorders>
              <w:top w:val="single" w:color="auto" w:sz="4" w:space="0"/>
              <w:left w:val="single" w:color="auto" w:sz="4" w:space="0"/>
              <w:bottom w:val="single" w:color="auto" w:sz="4" w:space="0"/>
              <w:right w:val="single" w:color="auto" w:sz="4" w:space="0"/>
            </w:tcBorders>
            <w:vAlign w:val="center"/>
          </w:tcPr>
          <w:p w14:paraId="790FE3F3">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名  称</w:t>
            </w:r>
          </w:p>
        </w:tc>
        <w:tc>
          <w:tcPr>
            <w:tcW w:w="7564" w:type="dxa"/>
            <w:tcBorders>
              <w:top w:val="single" w:color="auto" w:sz="4" w:space="0"/>
              <w:left w:val="single" w:color="auto" w:sz="4" w:space="0"/>
              <w:bottom w:val="single" w:color="auto" w:sz="4" w:space="0"/>
              <w:right w:val="single" w:color="auto" w:sz="4" w:space="0"/>
            </w:tcBorders>
            <w:vAlign w:val="center"/>
          </w:tcPr>
          <w:p w14:paraId="0F415B3D">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内   容</w:t>
            </w:r>
          </w:p>
        </w:tc>
      </w:tr>
      <w:tr w14:paraId="434B0C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216DBB91">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w:t>
            </w:r>
          </w:p>
        </w:tc>
        <w:tc>
          <w:tcPr>
            <w:tcW w:w="1440" w:type="dxa"/>
            <w:tcBorders>
              <w:top w:val="single" w:color="auto" w:sz="4" w:space="0"/>
              <w:left w:val="single" w:color="auto" w:sz="4" w:space="0"/>
              <w:bottom w:val="single" w:color="auto" w:sz="4" w:space="0"/>
              <w:right w:val="single" w:color="auto" w:sz="4" w:space="0"/>
            </w:tcBorders>
            <w:vAlign w:val="center"/>
          </w:tcPr>
          <w:p w14:paraId="3EDB41B5">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项目名称</w:t>
            </w:r>
          </w:p>
        </w:tc>
        <w:tc>
          <w:tcPr>
            <w:tcW w:w="7564" w:type="dxa"/>
            <w:tcBorders>
              <w:top w:val="single" w:color="auto" w:sz="4" w:space="0"/>
              <w:left w:val="single" w:color="auto" w:sz="4" w:space="0"/>
              <w:bottom w:val="single" w:color="auto" w:sz="4" w:space="0"/>
              <w:right w:val="single" w:color="auto" w:sz="4" w:space="0"/>
            </w:tcBorders>
            <w:vAlign w:val="center"/>
          </w:tcPr>
          <w:p w14:paraId="67642E3E">
            <w:pPr>
              <w:snapToGrid w:val="0"/>
              <w:spacing w:line="460" w:lineRule="exact"/>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lang w:eastAsia="zh-CN"/>
              </w:rPr>
              <w:t>双人课桌、单人椅子（重）</w:t>
            </w:r>
          </w:p>
        </w:tc>
      </w:tr>
      <w:tr w14:paraId="6B4FA0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4A60E903">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w:t>
            </w:r>
          </w:p>
        </w:tc>
        <w:tc>
          <w:tcPr>
            <w:tcW w:w="1440" w:type="dxa"/>
            <w:tcBorders>
              <w:top w:val="single" w:color="auto" w:sz="4" w:space="0"/>
              <w:left w:val="single" w:color="auto" w:sz="4" w:space="0"/>
              <w:bottom w:val="single" w:color="auto" w:sz="4" w:space="0"/>
              <w:right w:val="single" w:color="auto" w:sz="4" w:space="0"/>
            </w:tcBorders>
            <w:vAlign w:val="center"/>
          </w:tcPr>
          <w:p w14:paraId="5701D126">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项目编号</w:t>
            </w:r>
          </w:p>
        </w:tc>
        <w:tc>
          <w:tcPr>
            <w:tcW w:w="7564" w:type="dxa"/>
            <w:tcBorders>
              <w:top w:val="single" w:color="auto" w:sz="4" w:space="0"/>
              <w:left w:val="single" w:color="auto" w:sz="4" w:space="0"/>
              <w:bottom w:val="single" w:color="auto" w:sz="4" w:space="0"/>
              <w:right w:val="single" w:color="auto" w:sz="4" w:space="0"/>
            </w:tcBorders>
            <w:vAlign w:val="center"/>
          </w:tcPr>
          <w:p w14:paraId="4DA38888">
            <w:pPr>
              <w:snapToGrid w:val="0"/>
              <w:spacing w:line="460" w:lineRule="exact"/>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lang w:eastAsia="zh-CN"/>
              </w:rPr>
              <w:t>WMU- 2024CS919</w:t>
            </w:r>
          </w:p>
        </w:tc>
      </w:tr>
      <w:tr w14:paraId="3CEE79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66E6F9AF">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w:t>
            </w:r>
          </w:p>
        </w:tc>
        <w:tc>
          <w:tcPr>
            <w:tcW w:w="1440" w:type="dxa"/>
            <w:tcBorders>
              <w:top w:val="single" w:color="auto" w:sz="4" w:space="0"/>
              <w:left w:val="single" w:color="auto" w:sz="4" w:space="0"/>
              <w:bottom w:val="single" w:color="auto" w:sz="4" w:space="0"/>
              <w:right w:val="single" w:color="auto" w:sz="4" w:space="0"/>
            </w:tcBorders>
            <w:vAlign w:val="center"/>
          </w:tcPr>
          <w:p w14:paraId="5B920DBA">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采购内容及数量</w:t>
            </w:r>
          </w:p>
        </w:tc>
        <w:tc>
          <w:tcPr>
            <w:tcW w:w="7564" w:type="dxa"/>
            <w:tcBorders>
              <w:top w:val="single" w:color="auto" w:sz="4" w:space="0"/>
              <w:left w:val="single" w:color="auto" w:sz="4" w:space="0"/>
              <w:bottom w:val="single" w:color="auto" w:sz="4" w:space="0"/>
              <w:right w:val="single" w:color="auto" w:sz="4" w:space="0"/>
            </w:tcBorders>
            <w:vAlign w:val="center"/>
          </w:tcPr>
          <w:p w14:paraId="4CDA307C">
            <w:pPr>
              <w:snapToGrid w:val="0"/>
              <w:spacing w:line="460" w:lineRule="exact"/>
              <w:rPr>
                <w:rFonts w:hint="eastAsia" w:ascii="新宋体" w:hAnsi="新宋体" w:eastAsia="新宋体" w:cs="新宋体"/>
                <w:b/>
                <w:color w:val="auto"/>
                <w:sz w:val="22"/>
                <w:szCs w:val="22"/>
                <w:highlight w:val="none"/>
                <w:lang w:eastAsia="zh-CN"/>
              </w:rPr>
            </w:pPr>
            <w:r>
              <w:rPr>
                <w:rFonts w:hint="eastAsia" w:ascii="新宋体" w:hAnsi="新宋体" w:eastAsia="新宋体" w:cs="新宋体"/>
                <w:color w:val="auto"/>
                <w:sz w:val="22"/>
                <w:szCs w:val="22"/>
                <w:highlight w:val="none"/>
                <w:lang w:eastAsia="zh-CN"/>
              </w:rPr>
              <w:t>双人课桌、单人椅子</w:t>
            </w:r>
          </w:p>
        </w:tc>
      </w:tr>
      <w:tr w14:paraId="5D5B77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454240DF">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w:t>
            </w:r>
          </w:p>
        </w:tc>
        <w:tc>
          <w:tcPr>
            <w:tcW w:w="1440" w:type="dxa"/>
            <w:tcBorders>
              <w:top w:val="single" w:color="auto" w:sz="4" w:space="0"/>
              <w:left w:val="single" w:color="auto" w:sz="4" w:space="0"/>
              <w:bottom w:val="single" w:color="auto" w:sz="4" w:space="0"/>
              <w:right w:val="single" w:color="auto" w:sz="4" w:space="0"/>
            </w:tcBorders>
            <w:vAlign w:val="center"/>
          </w:tcPr>
          <w:p w14:paraId="7AA3D646">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预算金额</w:t>
            </w:r>
          </w:p>
        </w:tc>
        <w:tc>
          <w:tcPr>
            <w:tcW w:w="7564" w:type="dxa"/>
            <w:tcBorders>
              <w:top w:val="single" w:color="auto" w:sz="4" w:space="0"/>
              <w:left w:val="single" w:color="auto" w:sz="4" w:space="0"/>
              <w:bottom w:val="single" w:color="auto" w:sz="4" w:space="0"/>
              <w:right w:val="single" w:color="auto" w:sz="4" w:space="0"/>
            </w:tcBorders>
            <w:vAlign w:val="center"/>
          </w:tcPr>
          <w:p w14:paraId="117AA91C">
            <w:pPr>
              <w:snapToGrid w:val="0"/>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预算金额27.2万元，最高限价27.2万元。</w:t>
            </w:r>
          </w:p>
        </w:tc>
      </w:tr>
      <w:tr w14:paraId="1A58B5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00AC0F8D">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w:t>
            </w:r>
          </w:p>
        </w:tc>
        <w:tc>
          <w:tcPr>
            <w:tcW w:w="1440" w:type="dxa"/>
            <w:tcBorders>
              <w:top w:val="single" w:color="auto" w:sz="4" w:space="0"/>
              <w:left w:val="single" w:color="auto" w:sz="4" w:space="0"/>
              <w:bottom w:val="single" w:color="auto" w:sz="4" w:space="0"/>
              <w:right w:val="single" w:color="auto" w:sz="4" w:space="0"/>
            </w:tcBorders>
            <w:vAlign w:val="center"/>
          </w:tcPr>
          <w:p w14:paraId="7DF7F90A">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供货期</w:t>
            </w:r>
          </w:p>
        </w:tc>
        <w:tc>
          <w:tcPr>
            <w:tcW w:w="7564" w:type="dxa"/>
            <w:tcBorders>
              <w:top w:val="single" w:color="auto" w:sz="4" w:space="0"/>
              <w:left w:val="single" w:color="auto" w:sz="4" w:space="0"/>
              <w:bottom w:val="single" w:color="auto" w:sz="4" w:space="0"/>
              <w:right w:val="single" w:color="auto" w:sz="4" w:space="0"/>
            </w:tcBorders>
            <w:vAlign w:val="center"/>
          </w:tcPr>
          <w:p w14:paraId="5240F1A3">
            <w:pPr>
              <w:snapToGrid w:val="0"/>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合同签订后30日内完成供货，具体安装、调试时间由采购人使用部门通知，保证使用方可正常使用</w:t>
            </w:r>
          </w:p>
        </w:tc>
      </w:tr>
      <w:tr w14:paraId="7E3EB1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2C3DAD8F">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w:t>
            </w:r>
          </w:p>
        </w:tc>
        <w:tc>
          <w:tcPr>
            <w:tcW w:w="1440" w:type="dxa"/>
            <w:tcBorders>
              <w:top w:val="single" w:color="auto" w:sz="4" w:space="0"/>
              <w:left w:val="single" w:color="auto" w:sz="4" w:space="0"/>
              <w:bottom w:val="single" w:color="auto" w:sz="4" w:space="0"/>
              <w:right w:val="single" w:color="auto" w:sz="4" w:space="0"/>
            </w:tcBorders>
            <w:vAlign w:val="center"/>
          </w:tcPr>
          <w:p w14:paraId="4B0AB3D8">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磋商供应商资格要求</w:t>
            </w:r>
          </w:p>
        </w:tc>
        <w:tc>
          <w:tcPr>
            <w:tcW w:w="7564" w:type="dxa"/>
            <w:tcBorders>
              <w:top w:val="single" w:color="auto" w:sz="4" w:space="0"/>
              <w:left w:val="single" w:color="auto" w:sz="4" w:space="0"/>
              <w:bottom w:val="single" w:color="auto" w:sz="4" w:space="0"/>
              <w:right w:val="single" w:color="auto" w:sz="4" w:space="0"/>
            </w:tcBorders>
            <w:vAlign w:val="center"/>
          </w:tcPr>
          <w:p w14:paraId="062D864F">
            <w:pPr>
              <w:snapToGrid w:val="0"/>
              <w:spacing w:line="460" w:lineRule="exact"/>
              <w:rPr>
                <w:rFonts w:ascii="新宋体" w:hAnsi="新宋体" w:eastAsia="新宋体" w:cs="新宋体"/>
                <w:color w:val="auto"/>
                <w:sz w:val="22"/>
                <w:szCs w:val="22"/>
                <w:highlight w:val="none"/>
              </w:rPr>
            </w:pPr>
            <w:r>
              <w:rPr>
                <w:rFonts w:hint="eastAsia" w:ascii="宋体" w:hAnsi="宋体" w:cs="宋体"/>
                <w:color w:val="auto"/>
                <w:kern w:val="0"/>
                <w:sz w:val="22"/>
                <w:szCs w:val="22"/>
                <w:highlight w:val="none"/>
              </w:rPr>
              <w:t>见“磋商公告”</w:t>
            </w:r>
          </w:p>
        </w:tc>
      </w:tr>
      <w:tr w14:paraId="71242C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36252E7F">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7</w:t>
            </w:r>
          </w:p>
        </w:tc>
        <w:tc>
          <w:tcPr>
            <w:tcW w:w="1440" w:type="dxa"/>
            <w:tcBorders>
              <w:top w:val="single" w:color="auto" w:sz="4" w:space="0"/>
              <w:left w:val="single" w:color="auto" w:sz="4" w:space="0"/>
              <w:bottom w:val="single" w:color="auto" w:sz="4" w:space="0"/>
              <w:right w:val="single" w:color="auto" w:sz="4" w:space="0"/>
            </w:tcBorders>
            <w:vAlign w:val="center"/>
          </w:tcPr>
          <w:p w14:paraId="7E996E44">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rPr>
              <w:t>是否接受联合体</w:t>
            </w:r>
          </w:p>
        </w:tc>
        <w:tc>
          <w:tcPr>
            <w:tcW w:w="7564" w:type="dxa"/>
            <w:tcBorders>
              <w:top w:val="single" w:color="auto" w:sz="4" w:space="0"/>
              <w:left w:val="single" w:color="auto" w:sz="4" w:space="0"/>
              <w:bottom w:val="single" w:color="auto" w:sz="4" w:space="0"/>
              <w:right w:val="single" w:color="auto" w:sz="4" w:space="0"/>
            </w:tcBorders>
            <w:vAlign w:val="center"/>
          </w:tcPr>
          <w:p w14:paraId="352346CD">
            <w:pPr>
              <w:spacing w:line="460" w:lineRule="exact"/>
              <w:rPr>
                <w:rFonts w:ascii="新宋体" w:hAnsi="新宋体" w:eastAsia="新宋体" w:cs="新宋体"/>
                <w:color w:val="auto"/>
                <w:kern w:val="0"/>
                <w:sz w:val="22"/>
                <w:szCs w:val="22"/>
                <w:highlight w:val="none"/>
              </w:rPr>
            </w:pPr>
            <w:r>
              <w:rPr>
                <w:rFonts w:hint="eastAsia" w:ascii="新宋体" w:hAnsi="新宋体" w:eastAsia="新宋体" w:cs="新宋体"/>
                <w:color w:val="auto"/>
                <w:sz w:val="22"/>
                <w:szCs w:val="22"/>
                <w:highlight w:val="none"/>
              </w:rPr>
              <w:sym w:font="Wingdings" w:char="00FE"/>
            </w:r>
            <w:r>
              <w:rPr>
                <w:rFonts w:hint="eastAsia" w:ascii="新宋体" w:hAnsi="新宋体" w:eastAsia="新宋体" w:cs="新宋体"/>
                <w:color w:val="auto"/>
                <w:kern w:val="0"/>
                <w:sz w:val="22"/>
                <w:szCs w:val="22"/>
                <w:highlight w:val="none"/>
              </w:rPr>
              <w:t>不接受</w:t>
            </w:r>
          </w:p>
          <w:p w14:paraId="16C23650">
            <w:pPr>
              <w:snapToGrid w:val="0"/>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sym w:font="Wingdings" w:char="00A8"/>
            </w:r>
            <w:r>
              <w:rPr>
                <w:rFonts w:hint="eastAsia" w:ascii="新宋体" w:hAnsi="新宋体" w:eastAsia="新宋体" w:cs="新宋体"/>
                <w:color w:val="auto"/>
                <w:kern w:val="0"/>
                <w:sz w:val="22"/>
                <w:szCs w:val="22"/>
                <w:highlight w:val="none"/>
              </w:rPr>
              <w:t>接受，应满足下列要求：无。</w:t>
            </w:r>
          </w:p>
        </w:tc>
      </w:tr>
      <w:tr w14:paraId="2ED1E8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760683AE">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8</w:t>
            </w:r>
          </w:p>
        </w:tc>
        <w:tc>
          <w:tcPr>
            <w:tcW w:w="1440" w:type="dxa"/>
            <w:tcBorders>
              <w:top w:val="single" w:color="auto" w:sz="4" w:space="0"/>
              <w:left w:val="single" w:color="auto" w:sz="4" w:space="0"/>
              <w:bottom w:val="single" w:color="auto" w:sz="4" w:space="0"/>
              <w:right w:val="single" w:color="auto" w:sz="4" w:space="0"/>
            </w:tcBorders>
            <w:vAlign w:val="center"/>
          </w:tcPr>
          <w:p w14:paraId="38AFBD27">
            <w:pPr>
              <w:snapToGrid w:val="0"/>
              <w:spacing w:line="460" w:lineRule="exact"/>
              <w:jc w:val="center"/>
              <w:rPr>
                <w:rFonts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合同形式</w:t>
            </w:r>
          </w:p>
        </w:tc>
        <w:tc>
          <w:tcPr>
            <w:tcW w:w="7564" w:type="dxa"/>
            <w:tcBorders>
              <w:top w:val="single" w:color="auto" w:sz="4" w:space="0"/>
              <w:left w:val="single" w:color="auto" w:sz="4" w:space="0"/>
              <w:bottom w:val="single" w:color="auto" w:sz="4" w:space="0"/>
              <w:right w:val="single" w:color="auto" w:sz="4" w:space="0"/>
            </w:tcBorders>
            <w:vAlign w:val="center"/>
          </w:tcPr>
          <w:p w14:paraId="2E79A677">
            <w:pPr>
              <w:snapToGrid w:val="0"/>
              <w:spacing w:line="460" w:lineRule="exact"/>
              <w:rPr>
                <w:rFonts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总价合同。</w:t>
            </w:r>
          </w:p>
        </w:tc>
      </w:tr>
      <w:tr w14:paraId="0BCA39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4376503C">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9</w:t>
            </w:r>
          </w:p>
        </w:tc>
        <w:tc>
          <w:tcPr>
            <w:tcW w:w="1440" w:type="dxa"/>
            <w:tcBorders>
              <w:top w:val="single" w:color="auto" w:sz="4" w:space="0"/>
              <w:left w:val="single" w:color="auto" w:sz="4" w:space="0"/>
              <w:bottom w:val="single" w:color="auto" w:sz="4" w:space="0"/>
              <w:right w:val="single" w:color="auto" w:sz="4" w:space="0"/>
            </w:tcBorders>
            <w:vAlign w:val="center"/>
          </w:tcPr>
          <w:p w14:paraId="13D0151E">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公告媒体</w:t>
            </w:r>
          </w:p>
        </w:tc>
        <w:tc>
          <w:tcPr>
            <w:tcW w:w="7564" w:type="dxa"/>
            <w:tcBorders>
              <w:top w:val="single" w:color="auto" w:sz="4" w:space="0"/>
              <w:left w:val="single" w:color="auto" w:sz="4" w:space="0"/>
              <w:bottom w:val="single" w:color="auto" w:sz="4" w:space="0"/>
              <w:right w:val="single" w:color="auto" w:sz="4" w:space="0"/>
            </w:tcBorders>
            <w:vAlign w:val="center"/>
          </w:tcPr>
          <w:p w14:paraId="1C5C7E58">
            <w:pPr>
              <w:snapToGrid w:val="0"/>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浙江政府采购网（</w:t>
            </w:r>
            <w:r>
              <w:rPr>
                <w:color w:val="auto"/>
                <w:highlight w:val="none"/>
              </w:rPr>
              <w:fldChar w:fldCharType="begin"/>
            </w:r>
            <w:r>
              <w:rPr>
                <w:color w:val="auto"/>
                <w:highlight w:val="none"/>
              </w:rPr>
              <w:instrText xml:space="preserve"> HYPERLINK "http://zfcg.czt.zj.gov.cn" </w:instrText>
            </w:r>
            <w:r>
              <w:rPr>
                <w:color w:val="auto"/>
                <w:highlight w:val="none"/>
              </w:rPr>
              <w:fldChar w:fldCharType="separate"/>
            </w:r>
            <w:r>
              <w:rPr>
                <w:rFonts w:hint="eastAsia" w:ascii="新宋体" w:hAnsi="新宋体" w:eastAsia="新宋体" w:cs="新宋体"/>
                <w:color w:val="auto"/>
                <w:sz w:val="22"/>
                <w:szCs w:val="22"/>
                <w:highlight w:val="none"/>
              </w:rPr>
              <w:t>http://zfcg.czt.zj.gov.cn</w:t>
            </w:r>
            <w:r>
              <w:rPr>
                <w:rFonts w:hint="eastAsia" w:ascii="新宋体" w:hAnsi="新宋体" w:eastAsia="新宋体" w:cs="新宋体"/>
                <w:color w:val="auto"/>
                <w:sz w:val="22"/>
                <w:szCs w:val="22"/>
                <w:highlight w:val="none"/>
              </w:rPr>
              <w:fldChar w:fldCharType="end"/>
            </w:r>
            <w:r>
              <w:rPr>
                <w:rFonts w:hint="eastAsia" w:ascii="新宋体" w:hAnsi="新宋体" w:eastAsia="新宋体" w:cs="新宋体"/>
                <w:color w:val="auto"/>
                <w:sz w:val="22"/>
                <w:szCs w:val="22"/>
                <w:highlight w:val="none"/>
              </w:rPr>
              <w:t>）</w:t>
            </w:r>
          </w:p>
        </w:tc>
      </w:tr>
      <w:tr w14:paraId="36056F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77CAED64">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10</w:t>
            </w:r>
          </w:p>
        </w:tc>
        <w:tc>
          <w:tcPr>
            <w:tcW w:w="1440" w:type="dxa"/>
            <w:tcBorders>
              <w:top w:val="single" w:color="auto" w:sz="4" w:space="0"/>
              <w:left w:val="single" w:color="auto" w:sz="4" w:space="0"/>
              <w:bottom w:val="single" w:color="auto" w:sz="4" w:space="0"/>
              <w:right w:val="single" w:color="auto" w:sz="4" w:space="0"/>
            </w:tcBorders>
            <w:vAlign w:val="center"/>
          </w:tcPr>
          <w:p w14:paraId="387798D2">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电子交易</w:t>
            </w:r>
          </w:p>
          <w:p w14:paraId="46128391">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平台</w:t>
            </w:r>
          </w:p>
        </w:tc>
        <w:tc>
          <w:tcPr>
            <w:tcW w:w="7564" w:type="dxa"/>
            <w:tcBorders>
              <w:top w:val="single" w:color="auto" w:sz="4" w:space="0"/>
              <w:left w:val="single" w:color="auto" w:sz="4" w:space="0"/>
              <w:bottom w:val="single" w:color="auto" w:sz="4" w:space="0"/>
              <w:right w:val="single" w:color="auto" w:sz="4" w:space="0"/>
            </w:tcBorders>
            <w:vAlign w:val="center"/>
          </w:tcPr>
          <w:p w14:paraId="7B5CB15A">
            <w:pPr>
              <w:snapToGrid w:val="0"/>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政府采购云平台（www.zcygov.cn）</w:t>
            </w:r>
          </w:p>
        </w:tc>
      </w:tr>
      <w:tr w14:paraId="79BEBA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037022B3">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11</w:t>
            </w:r>
          </w:p>
        </w:tc>
        <w:tc>
          <w:tcPr>
            <w:tcW w:w="1440" w:type="dxa"/>
            <w:tcBorders>
              <w:top w:val="single" w:color="auto" w:sz="4" w:space="0"/>
              <w:left w:val="single" w:color="auto" w:sz="4" w:space="0"/>
              <w:bottom w:val="single" w:color="auto" w:sz="4" w:space="0"/>
              <w:right w:val="single" w:color="auto" w:sz="4" w:space="0"/>
            </w:tcBorders>
            <w:vAlign w:val="center"/>
          </w:tcPr>
          <w:p w14:paraId="11866C76">
            <w:pPr>
              <w:adjustRightIn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磋商货币</w:t>
            </w:r>
          </w:p>
        </w:tc>
        <w:tc>
          <w:tcPr>
            <w:tcW w:w="7564" w:type="dxa"/>
            <w:tcBorders>
              <w:top w:val="single" w:color="auto" w:sz="4" w:space="0"/>
              <w:left w:val="single" w:color="auto" w:sz="4" w:space="0"/>
              <w:bottom w:val="single" w:color="auto" w:sz="4" w:space="0"/>
              <w:right w:val="single" w:color="auto" w:sz="4" w:space="0"/>
            </w:tcBorders>
            <w:vAlign w:val="center"/>
          </w:tcPr>
          <w:p w14:paraId="1888070B">
            <w:pPr>
              <w:adjustRightInd w:val="0"/>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人民币</w:t>
            </w:r>
          </w:p>
        </w:tc>
      </w:tr>
      <w:tr w14:paraId="512160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13B26E90">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12</w:t>
            </w:r>
          </w:p>
        </w:tc>
        <w:tc>
          <w:tcPr>
            <w:tcW w:w="1440" w:type="dxa"/>
            <w:tcBorders>
              <w:top w:val="single" w:color="auto" w:sz="4" w:space="0"/>
              <w:left w:val="single" w:color="auto" w:sz="4" w:space="0"/>
              <w:bottom w:val="single" w:color="auto" w:sz="4" w:space="0"/>
              <w:right w:val="single" w:color="auto" w:sz="4" w:space="0"/>
            </w:tcBorders>
            <w:vAlign w:val="center"/>
          </w:tcPr>
          <w:p w14:paraId="098E5694">
            <w:pPr>
              <w:adjustRightIn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磋商语言</w:t>
            </w:r>
          </w:p>
        </w:tc>
        <w:tc>
          <w:tcPr>
            <w:tcW w:w="7564" w:type="dxa"/>
            <w:tcBorders>
              <w:top w:val="single" w:color="auto" w:sz="4" w:space="0"/>
              <w:left w:val="single" w:color="auto" w:sz="4" w:space="0"/>
              <w:bottom w:val="single" w:color="auto" w:sz="4" w:space="0"/>
              <w:right w:val="single" w:color="auto" w:sz="4" w:space="0"/>
            </w:tcBorders>
            <w:vAlign w:val="center"/>
          </w:tcPr>
          <w:p w14:paraId="517E09A0">
            <w:pPr>
              <w:adjustRightInd w:val="0"/>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中文</w:t>
            </w:r>
          </w:p>
        </w:tc>
      </w:tr>
      <w:tr w14:paraId="0F02B0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537914B3">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13</w:t>
            </w:r>
          </w:p>
        </w:tc>
        <w:tc>
          <w:tcPr>
            <w:tcW w:w="1440" w:type="dxa"/>
            <w:tcBorders>
              <w:top w:val="single" w:color="auto" w:sz="4" w:space="0"/>
              <w:left w:val="single" w:color="auto" w:sz="4" w:space="0"/>
              <w:bottom w:val="single" w:color="auto" w:sz="4" w:space="0"/>
              <w:right w:val="single" w:color="auto" w:sz="4" w:space="0"/>
            </w:tcBorders>
            <w:vAlign w:val="center"/>
          </w:tcPr>
          <w:p w14:paraId="3D1C41F4">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报价</w:t>
            </w:r>
          </w:p>
        </w:tc>
        <w:tc>
          <w:tcPr>
            <w:tcW w:w="7564" w:type="dxa"/>
            <w:tcBorders>
              <w:top w:val="single" w:color="auto" w:sz="4" w:space="0"/>
              <w:left w:val="single" w:color="auto" w:sz="4" w:space="0"/>
              <w:bottom w:val="single" w:color="auto" w:sz="4" w:space="0"/>
              <w:right w:val="single" w:color="auto" w:sz="4" w:space="0"/>
            </w:tcBorders>
            <w:vAlign w:val="center"/>
          </w:tcPr>
          <w:p w14:paraId="23DC7AD3">
            <w:pPr>
              <w:spacing w:line="460" w:lineRule="exact"/>
              <w:rPr>
                <w:rFonts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1、</w:t>
            </w:r>
            <w:r>
              <w:rPr>
                <w:rFonts w:hint="eastAsia" w:ascii="新宋体" w:hAnsi="新宋体" w:eastAsia="新宋体" w:cs="新宋体"/>
                <w:b/>
                <w:bCs/>
                <w:color w:val="auto"/>
                <w:sz w:val="22"/>
                <w:szCs w:val="22"/>
                <w:highlight w:val="none"/>
              </w:rPr>
              <w:t>报价是指成交供应商在正确地完全履行合同义务后采购人应支付给成交供应商所有的价款，即所有</w:t>
            </w:r>
            <w:r>
              <w:rPr>
                <w:rFonts w:hint="eastAsia" w:ascii="新宋体" w:hAnsi="新宋体" w:eastAsia="新宋体" w:cs="新宋体"/>
                <w:b/>
                <w:bCs/>
                <w:color w:val="auto"/>
                <w:sz w:val="22"/>
                <w:szCs w:val="22"/>
                <w:highlight w:val="none"/>
                <w:lang w:eastAsia="zh-CN"/>
              </w:rPr>
              <w:t>双人课桌、单人椅子</w:t>
            </w:r>
            <w:r>
              <w:rPr>
                <w:rFonts w:hint="eastAsia" w:ascii="新宋体" w:hAnsi="新宋体" w:eastAsia="新宋体" w:cs="新宋体"/>
                <w:b/>
                <w:bCs/>
                <w:color w:val="auto"/>
                <w:sz w:val="22"/>
                <w:szCs w:val="22"/>
                <w:highlight w:val="none"/>
              </w:rPr>
              <w:t>的供货、税金、包装、运输、装卸、安装、验收（含第三方验收）、技术服务、售后服务、材料等完成合同所需的一切本身和不可或缺的所有工作开支、政策性文件规定及合同包含的所有风险、责任等各项全部费用，磋商供应商应根据上述因素自行考虑含入报价</w:t>
            </w:r>
            <w:r>
              <w:rPr>
                <w:rFonts w:hint="eastAsia" w:ascii="新宋体" w:hAnsi="新宋体" w:eastAsia="新宋体"/>
                <w:b/>
                <w:bCs/>
                <w:color w:val="auto"/>
                <w:sz w:val="22"/>
                <w:szCs w:val="22"/>
                <w:highlight w:val="none"/>
              </w:rPr>
              <w:t>。</w:t>
            </w:r>
          </w:p>
          <w:p w14:paraId="4FB56BCC">
            <w:pPr>
              <w:snapToGrid w:val="0"/>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2、不论采购结果如何，磋商供应商均应自行承担所有与磋商有关的全部费用。</w:t>
            </w:r>
          </w:p>
        </w:tc>
      </w:tr>
      <w:tr w14:paraId="59E5FD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54D16F10">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14</w:t>
            </w:r>
          </w:p>
        </w:tc>
        <w:tc>
          <w:tcPr>
            <w:tcW w:w="1440" w:type="dxa"/>
            <w:tcBorders>
              <w:top w:val="single" w:color="auto" w:sz="4" w:space="0"/>
              <w:left w:val="single" w:color="auto" w:sz="4" w:space="0"/>
              <w:bottom w:val="single" w:color="auto" w:sz="4" w:space="0"/>
              <w:right w:val="single" w:color="auto" w:sz="4" w:space="0"/>
            </w:tcBorders>
            <w:vAlign w:val="center"/>
          </w:tcPr>
          <w:p w14:paraId="0EC02F99">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磋商保证金数额</w:t>
            </w:r>
          </w:p>
        </w:tc>
        <w:tc>
          <w:tcPr>
            <w:tcW w:w="7564" w:type="dxa"/>
            <w:tcBorders>
              <w:top w:val="single" w:color="auto" w:sz="4" w:space="0"/>
              <w:left w:val="single" w:color="auto" w:sz="4" w:space="0"/>
              <w:bottom w:val="single" w:color="auto" w:sz="4" w:space="0"/>
              <w:right w:val="single" w:color="auto" w:sz="4" w:space="0"/>
            </w:tcBorders>
            <w:vAlign w:val="center"/>
          </w:tcPr>
          <w:p w14:paraId="1CFBFBB6">
            <w:pPr>
              <w:snapToGrid w:val="0"/>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无</w:t>
            </w:r>
          </w:p>
        </w:tc>
      </w:tr>
      <w:tr w14:paraId="68A59C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0E10EB64">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15</w:t>
            </w:r>
          </w:p>
        </w:tc>
        <w:tc>
          <w:tcPr>
            <w:tcW w:w="1440" w:type="dxa"/>
            <w:tcBorders>
              <w:top w:val="single" w:color="auto" w:sz="4" w:space="0"/>
              <w:left w:val="single" w:color="auto" w:sz="4" w:space="0"/>
              <w:bottom w:val="single" w:color="auto" w:sz="4" w:space="0"/>
              <w:right w:val="single" w:color="auto" w:sz="4" w:space="0"/>
            </w:tcBorders>
            <w:vAlign w:val="center"/>
          </w:tcPr>
          <w:p w14:paraId="37014B10">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踏勘现场</w:t>
            </w:r>
          </w:p>
        </w:tc>
        <w:tc>
          <w:tcPr>
            <w:tcW w:w="7564" w:type="dxa"/>
            <w:tcBorders>
              <w:top w:val="single" w:color="auto" w:sz="4" w:space="0"/>
              <w:left w:val="single" w:color="auto" w:sz="4" w:space="0"/>
              <w:bottom w:val="single" w:color="auto" w:sz="4" w:space="0"/>
              <w:right w:val="single" w:color="auto" w:sz="4" w:space="0"/>
            </w:tcBorders>
            <w:vAlign w:val="center"/>
          </w:tcPr>
          <w:p w14:paraId="60E5E69D">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□组织，</w:t>
            </w:r>
            <w:r>
              <w:rPr>
                <w:rFonts w:hint="eastAsia" w:ascii="新宋体" w:hAnsi="新宋体" w:eastAsia="新宋体" w:cs="新宋体"/>
                <w:color w:val="auto"/>
                <w:kern w:val="0"/>
                <w:sz w:val="22"/>
                <w:szCs w:val="22"/>
                <w:highlight w:val="none"/>
              </w:rPr>
              <w:t>时间：</w:t>
            </w:r>
            <w:r>
              <w:rPr>
                <w:rFonts w:hint="eastAsia" w:ascii="新宋体" w:hAnsi="新宋体" w:eastAsia="新宋体" w:cs="新宋体"/>
                <w:color w:val="auto"/>
                <w:kern w:val="0"/>
                <w:sz w:val="22"/>
                <w:szCs w:val="22"/>
                <w:highlight w:val="none"/>
                <w:u w:val="single"/>
              </w:rPr>
              <w:t xml:space="preserve">      </w:t>
            </w:r>
            <w:r>
              <w:rPr>
                <w:rFonts w:hint="eastAsia" w:ascii="新宋体" w:hAnsi="新宋体" w:eastAsia="新宋体" w:cs="新宋体"/>
                <w:color w:val="auto"/>
                <w:kern w:val="0"/>
                <w:sz w:val="22"/>
                <w:szCs w:val="22"/>
                <w:highlight w:val="none"/>
              </w:rPr>
              <w:t>,地点：</w:t>
            </w:r>
            <w:r>
              <w:rPr>
                <w:rFonts w:hint="eastAsia" w:ascii="新宋体" w:hAnsi="新宋体" w:eastAsia="新宋体" w:cs="新宋体"/>
                <w:color w:val="auto"/>
                <w:kern w:val="0"/>
                <w:sz w:val="22"/>
                <w:szCs w:val="22"/>
                <w:highlight w:val="none"/>
                <w:u w:val="single"/>
              </w:rPr>
              <w:t xml:space="preserve">      </w:t>
            </w:r>
            <w:r>
              <w:rPr>
                <w:rFonts w:hint="eastAsia" w:ascii="新宋体" w:hAnsi="新宋体" w:eastAsia="新宋体" w:cs="新宋体"/>
                <w:color w:val="auto"/>
                <w:kern w:val="0"/>
                <w:sz w:val="22"/>
                <w:szCs w:val="22"/>
                <w:highlight w:val="none"/>
              </w:rPr>
              <w:t>，联系人：</w:t>
            </w:r>
            <w:r>
              <w:rPr>
                <w:rFonts w:hint="eastAsia" w:ascii="新宋体" w:hAnsi="新宋体" w:eastAsia="新宋体" w:cs="新宋体"/>
                <w:color w:val="auto"/>
                <w:kern w:val="0"/>
                <w:sz w:val="22"/>
                <w:szCs w:val="22"/>
                <w:highlight w:val="none"/>
                <w:u w:val="single"/>
              </w:rPr>
              <w:t xml:space="preserve">      </w:t>
            </w:r>
            <w:r>
              <w:rPr>
                <w:rFonts w:hint="eastAsia" w:ascii="新宋体" w:hAnsi="新宋体" w:eastAsia="新宋体" w:cs="新宋体"/>
                <w:color w:val="auto"/>
                <w:kern w:val="0"/>
                <w:sz w:val="22"/>
                <w:szCs w:val="22"/>
                <w:highlight w:val="none"/>
              </w:rPr>
              <w:t>，联系方式</w:t>
            </w:r>
            <w:r>
              <w:rPr>
                <w:rFonts w:hint="eastAsia" w:ascii="新宋体" w:hAnsi="新宋体" w:eastAsia="新宋体" w:cs="新宋体"/>
                <w:color w:val="auto"/>
                <w:kern w:val="0"/>
                <w:sz w:val="22"/>
                <w:szCs w:val="22"/>
                <w:highlight w:val="none"/>
                <w:u w:val="single"/>
              </w:rPr>
              <w:t xml:space="preserve">：      </w:t>
            </w:r>
            <w:r>
              <w:rPr>
                <w:rFonts w:hint="eastAsia" w:ascii="新宋体" w:hAnsi="新宋体" w:eastAsia="新宋体" w:cs="新宋体"/>
                <w:color w:val="auto"/>
                <w:kern w:val="0"/>
                <w:sz w:val="22"/>
                <w:szCs w:val="22"/>
                <w:highlight w:val="none"/>
              </w:rPr>
              <w:t>。</w:t>
            </w:r>
          </w:p>
          <w:p w14:paraId="4D393FC0">
            <w:pPr>
              <w:snapToGrid w:val="0"/>
              <w:spacing w:line="460" w:lineRule="exact"/>
              <w:rPr>
                <w:rFonts w:ascii="新宋体" w:hAnsi="新宋体" w:eastAsia="新宋体" w:cs="新宋体"/>
                <w:color w:val="auto"/>
                <w:sz w:val="22"/>
                <w:szCs w:val="22"/>
                <w:highlight w:val="none"/>
              </w:rPr>
            </w:pPr>
            <w:r>
              <w:rPr>
                <w:rFonts w:hint="eastAsia" w:ascii="新宋体" w:hAnsi="新宋体" w:eastAsia="新宋体" w:cs="新宋体"/>
                <w:bCs/>
                <w:snapToGrid w:val="0"/>
                <w:color w:val="auto"/>
                <w:sz w:val="22"/>
                <w:szCs w:val="22"/>
                <w:highlight w:val="none"/>
              </w:rPr>
              <w:sym w:font="Wingdings" w:char="F0FE"/>
            </w:r>
            <w:r>
              <w:rPr>
                <w:rFonts w:hint="eastAsia" w:ascii="新宋体" w:hAnsi="新宋体" w:eastAsia="新宋体" w:cs="新宋体"/>
                <w:color w:val="auto"/>
                <w:sz w:val="22"/>
                <w:szCs w:val="22"/>
                <w:highlight w:val="none"/>
              </w:rPr>
              <w:t>不组织</w:t>
            </w:r>
          </w:p>
        </w:tc>
      </w:tr>
      <w:tr w14:paraId="11B92F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6D7D0581">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16</w:t>
            </w:r>
          </w:p>
        </w:tc>
        <w:tc>
          <w:tcPr>
            <w:tcW w:w="1440" w:type="dxa"/>
            <w:tcBorders>
              <w:top w:val="single" w:color="auto" w:sz="4" w:space="0"/>
              <w:left w:val="single" w:color="auto" w:sz="4" w:space="0"/>
              <w:bottom w:val="single" w:color="auto" w:sz="4" w:space="0"/>
              <w:right w:val="single" w:color="auto" w:sz="4" w:space="0"/>
            </w:tcBorders>
            <w:vAlign w:val="center"/>
          </w:tcPr>
          <w:p w14:paraId="5D58049D">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rPr>
              <w:t>磋商预备会</w:t>
            </w:r>
          </w:p>
        </w:tc>
        <w:tc>
          <w:tcPr>
            <w:tcW w:w="7564" w:type="dxa"/>
            <w:tcBorders>
              <w:top w:val="single" w:color="auto" w:sz="4" w:space="0"/>
              <w:left w:val="single" w:color="auto" w:sz="4" w:space="0"/>
              <w:bottom w:val="single" w:color="auto" w:sz="4" w:space="0"/>
              <w:right w:val="single" w:color="auto" w:sz="4" w:space="0"/>
            </w:tcBorders>
            <w:vAlign w:val="center"/>
          </w:tcPr>
          <w:p w14:paraId="5FC3934B">
            <w:pPr>
              <w:spacing w:line="460" w:lineRule="exac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□召开</w:t>
            </w:r>
          </w:p>
          <w:p w14:paraId="3A0550BB">
            <w:pPr>
              <w:snapToGrid w:val="0"/>
              <w:spacing w:line="460" w:lineRule="exact"/>
              <w:rPr>
                <w:rFonts w:ascii="新宋体" w:hAnsi="新宋体" w:eastAsia="新宋体" w:cs="新宋体"/>
                <w:bCs/>
                <w:snapToGrid w:val="0"/>
                <w:color w:val="auto"/>
                <w:sz w:val="22"/>
                <w:szCs w:val="22"/>
                <w:highlight w:val="none"/>
              </w:rPr>
            </w:pPr>
            <w:r>
              <w:rPr>
                <w:rFonts w:hint="eastAsia" w:ascii="新宋体" w:hAnsi="新宋体" w:eastAsia="新宋体" w:cs="新宋体"/>
                <w:color w:val="auto"/>
                <w:kern w:val="0"/>
                <w:sz w:val="22"/>
                <w:szCs w:val="22"/>
                <w:highlight w:val="none"/>
              </w:rPr>
              <w:sym w:font="Wingdings 2" w:char="0052"/>
            </w:r>
            <w:r>
              <w:rPr>
                <w:rFonts w:hint="eastAsia" w:ascii="新宋体" w:hAnsi="新宋体" w:eastAsia="新宋体" w:cs="新宋体"/>
                <w:color w:val="auto"/>
                <w:kern w:val="0"/>
                <w:sz w:val="22"/>
                <w:szCs w:val="22"/>
                <w:highlight w:val="none"/>
              </w:rPr>
              <w:t>不召开</w:t>
            </w:r>
          </w:p>
        </w:tc>
      </w:tr>
      <w:tr w14:paraId="230915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31A0CB9F">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17</w:t>
            </w:r>
          </w:p>
        </w:tc>
        <w:tc>
          <w:tcPr>
            <w:tcW w:w="1440" w:type="dxa"/>
            <w:tcBorders>
              <w:top w:val="single" w:color="auto" w:sz="4" w:space="0"/>
              <w:left w:val="single" w:color="auto" w:sz="4" w:space="0"/>
              <w:bottom w:val="single" w:color="auto" w:sz="4" w:space="0"/>
              <w:right w:val="single" w:color="auto" w:sz="4" w:space="0"/>
            </w:tcBorders>
            <w:vAlign w:val="center"/>
          </w:tcPr>
          <w:p w14:paraId="1B295D64">
            <w:pPr>
              <w:spacing w:line="46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bCs/>
                <w:color w:val="auto"/>
                <w:sz w:val="22"/>
                <w:szCs w:val="22"/>
                <w:highlight w:val="none"/>
              </w:rPr>
              <w:t>分包与转包</w:t>
            </w:r>
          </w:p>
        </w:tc>
        <w:tc>
          <w:tcPr>
            <w:tcW w:w="7564" w:type="dxa"/>
            <w:tcBorders>
              <w:top w:val="single" w:color="auto" w:sz="4" w:space="0"/>
              <w:left w:val="single" w:color="auto" w:sz="4" w:space="0"/>
              <w:bottom w:val="single" w:color="auto" w:sz="4" w:space="0"/>
              <w:right w:val="single" w:color="auto" w:sz="4" w:space="0"/>
            </w:tcBorders>
            <w:vAlign w:val="center"/>
          </w:tcPr>
          <w:p w14:paraId="19AB62F9">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（1）分包：</w:t>
            </w:r>
          </w:p>
          <w:p w14:paraId="5B033BEB">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sym w:font="Wingdings" w:char="00A8"/>
            </w:r>
            <w:r>
              <w:rPr>
                <w:rFonts w:hint="eastAsia" w:ascii="新宋体" w:hAnsi="新宋体" w:eastAsia="新宋体" w:cs="新宋体"/>
                <w:color w:val="auto"/>
                <w:sz w:val="22"/>
                <w:szCs w:val="22"/>
                <w:highlight w:val="none"/>
              </w:rPr>
              <w:t>同意将非主体、非关键性的工作分包。</w:t>
            </w:r>
          </w:p>
          <w:p w14:paraId="56F8979E">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sym w:font="Wingdings" w:char="00FE"/>
            </w:r>
            <w:r>
              <w:rPr>
                <w:rFonts w:hint="eastAsia" w:ascii="新宋体" w:hAnsi="新宋体" w:eastAsia="新宋体" w:cs="新宋体"/>
                <w:color w:val="auto"/>
                <w:sz w:val="22"/>
                <w:szCs w:val="22"/>
                <w:highlight w:val="none"/>
              </w:rPr>
              <w:t>不同意分包。</w:t>
            </w:r>
          </w:p>
          <w:p w14:paraId="5F8D8409">
            <w:pPr>
              <w:spacing w:line="460" w:lineRule="exact"/>
              <w:rPr>
                <w:rFonts w:ascii="新宋体" w:hAnsi="新宋体" w:eastAsia="新宋体" w:cs="新宋体"/>
                <w:color w:val="auto"/>
                <w:kern w:val="0"/>
                <w:sz w:val="22"/>
                <w:szCs w:val="22"/>
                <w:highlight w:val="none"/>
              </w:rPr>
            </w:pPr>
            <w:r>
              <w:rPr>
                <w:rFonts w:hint="eastAsia" w:ascii="新宋体" w:hAnsi="新宋体" w:eastAsia="新宋体" w:cs="新宋体"/>
                <w:color w:val="auto"/>
                <w:sz w:val="22"/>
                <w:szCs w:val="22"/>
                <w:highlight w:val="none"/>
              </w:rPr>
              <w:t>（2）转包：本项目不允许转包。</w:t>
            </w:r>
          </w:p>
        </w:tc>
      </w:tr>
      <w:tr w14:paraId="598180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45F553AD">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18</w:t>
            </w:r>
          </w:p>
        </w:tc>
        <w:tc>
          <w:tcPr>
            <w:tcW w:w="1440" w:type="dxa"/>
            <w:tcBorders>
              <w:top w:val="single" w:color="auto" w:sz="4" w:space="0"/>
              <w:left w:val="single" w:color="auto" w:sz="4" w:space="0"/>
              <w:bottom w:val="single" w:color="auto" w:sz="4" w:space="0"/>
              <w:right w:val="single" w:color="auto" w:sz="4" w:space="0"/>
            </w:tcBorders>
            <w:vAlign w:val="center"/>
          </w:tcPr>
          <w:p w14:paraId="5085C375">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样品</w:t>
            </w:r>
          </w:p>
        </w:tc>
        <w:tc>
          <w:tcPr>
            <w:tcW w:w="7564" w:type="dxa"/>
            <w:tcBorders>
              <w:top w:val="single" w:color="auto" w:sz="4" w:space="0"/>
              <w:left w:val="single" w:color="auto" w:sz="4" w:space="0"/>
              <w:bottom w:val="single" w:color="auto" w:sz="4" w:space="0"/>
              <w:right w:val="single" w:color="auto" w:sz="4" w:space="0"/>
            </w:tcBorders>
            <w:vAlign w:val="center"/>
          </w:tcPr>
          <w:p w14:paraId="263BF209">
            <w:pPr>
              <w:snapToGrid w:val="0"/>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需提供样品</w:t>
            </w:r>
          </w:p>
          <w:p w14:paraId="0F10E5B8">
            <w:pPr>
              <w:snapToGrid w:val="0"/>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本项目提供的样品为</w:t>
            </w:r>
            <w:r>
              <w:rPr>
                <w:rFonts w:hint="eastAsia" w:ascii="宋体" w:hAnsi="宋体" w:cs="宋体"/>
                <w:color w:val="auto"/>
                <w:kern w:val="0"/>
                <w:sz w:val="22"/>
                <w:highlight w:val="none"/>
              </w:rPr>
              <w:t>课桌、椅子</w:t>
            </w:r>
            <w:r>
              <w:rPr>
                <w:rFonts w:hint="eastAsia" w:ascii="新宋体" w:hAnsi="新宋体" w:eastAsia="新宋体" w:cs="新宋体"/>
                <w:color w:val="auto"/>
                <w:sz w:val="22"/>
                <w:szCs w:val="22"/>
                <w:highlight w:val="none"/>
                <w:u w:val="single"/>
              </w:rPr>
              <w:t>。</w:t>
            </w:r>
          </w:p>
        </w:tc>
      </w:tr>
      <w:tr w14:paraId="468907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7BD65967">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19</w:t>
            </w:r>
          </w:p>
        </w:tc>
        <w:tc>
          <w:tcPr>
            <w:tcW w:w="1440" w:type="dxa"/>
            <w:tcBorders>
              <w:top w:val="single" w:color="auto" w:sz="4" w:space="0"/>
              <w:left w:val="single" w:color="auto" w:sz="4" w:space="0"/>
              <w:bottom w:val="single" w:color="auto" w:sz="4" w:space="0"/>
              <w:right w:val="single" w:color="auto" w:sz="4" w:space="0"/>
            </w:tcBorders>
            <w:vAlign w:val="center"/>
          </w:tcPr>
          <w:p w14:paraId="6E57DAE4">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演示</w:t>
            </w:r>
          </w:p>
        </w:tc>
        <w:tc>
          <w:tcPr>
            <w:tcW w:w="7564" w:type="dxa"/>
            <w:tcBorders>
              <w:top w:val="single" w:color="auto" w:sz="4" w:space="0"/>
              <w:left w:val="single" w:color="auto" w:sz="4" w:space="0"/>
              <w:bottom w:val="single" w:color="auto" w:sz="4" w:space="0"/>
              <w:right w:val="single" w:color="auto" w:sz="4" w:space="0"/>
            </w:tcBorders>
            <w:vAlign w:val="center"/>
          </w:tcPr>
          <w:p w14:paraId="24D6C334">
            <w:pPr>
              <w:snapToGrid w:val="0"/>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无需演示。</w:t>
            </w:r>
          </w:p>
        </w:tc>
      </w:tr>
      <w:tr w14:paraId="49CEBC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1F0874E5">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20</w:t>
            </w:r>
          </w:p>
        </w:tc>
        <w:tc>
          <w:tcPr>
            <w:tcW w:w="1440" w:type="dxa"/>
            <w:tcBorders>
              <w:top w:val="single" w:color="auto" w:sz="4" w:space="0"/>
              <w:left w:val="single" w:color="auto" w:sz="4" w:space="0"/>
              <w:bottom w:val="single" w:color="auto" w:sz="4" w:space="0"/>
              <w:right w:val="single" w:color="auto" w:sz="4" w:space="0"/>
            </w:tcBorders>
            <w:vAlign w:val="center"/>
          </w:tcPr>
          <w:p w14:paraId="05604F36">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磋商响应文件组成</w:t>
            </w:r>
          </w:p>
        </w:tc>
        <w:tc>
          <w:tcPr>
            <w:tcW w:w="7564" w:type="dxa"/>
            <w:tcBorders>
              <w:top w:val="single" w:color="auto" w:sz="4" w:space="0"/>
              <w:left w:val="single" w:color="auto" w:sz="4" w:space="0"/>
              <w:bottom w:val="single" w:color="auto" w:sz="4" w:space="0"/>
              <w:right w:val="single" w:color="auto" w:sz="4" w:space="0"/>
            </w:tcBorders>
            <w:vAlign w:val="center"/>
          </w:tcPr>
          <w:p w14:paraId="4B3C55E3">
            <w:pPr>
              <w:autoSpaceDE w:val="0"/>
              <w:autoSpaceDN w:val="0"/>
              <w:snapToGrid w:val="0"/>
              <w:spacing w:line="460" w:lineRule="exact"/>
              <w:textAlignment w:val="bottom"/>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bidi="ar"/>
              </w:rPr>
              <w:t>完整的《磋商响应文件》由“资格文件”、“报价文件”和“商务技术文件”三个部分组成。</w:t>
            </w:r>
          </w:p>
        </w:tc>
      </w:tr>
      <w:tr w14:paraId="5081B5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3902F509">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21</w:t>
            </w:r>
          </w:p>
        </w:tc>
        <w:tc>
          <w:tcPr>
            <w:tcW w:w="1440" w:type="dxa"/>
            <w:tcBorders>
              <w:top w:val="single" w:color="auto" w:sz="4" w:space="0"/>
              <w:left w:val="single" w:color="auto" w:sz="4" w:space="0"/>
              <w:bottom w:val="single" w:color="auto" w:sz="4" w:space="0"/>
              <w:right w:val="single" w:color="auto" w:sz="4" w:space="0"/>
            </w:tcBorders>
            <w:vAlign w:val="center"/>
          </w:tcPr>
          <w:p w14:paraId="5FA8F46B">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磋商响应文件的编制</w:t>
            </w:r>
          </w:p>
        </w:tc>
        <w:tc>
          <w:tcPr>
            <w:tcW w:w="7564" w:type="dxa"/>
            <w:tcBorders>
              <w:top w:val="single" w:color="auto" w:sz="4" w:space="0"/>
              <w:left w:val="single" w:color="auto" w:sz="4" w:space="0"/>
              <w:bottom w:val="single" w:color="auto" w:sz="4" w:space="0"/>
              <w:right w:val="single" w:color="auto" w:sz="4" w:space="0"/>
            </w:tcBorders>
            <w:vAlign w:val="center"/>
          </w:tcPr>
          <w:p w14:paraId="4C0C82F2">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bidi="ar"/>
              </w:rPr>
              <w:t>供应商应先安装“政采云电子交易客户端”，并按照本磋商文件和“政府采购云平台”的要求，通过“政采云电子交易客户端”编制并加密磋商响应文件。</w:t>
            </w:r>
          </w:p>
        </w:tc>
      </w:tr>
      <w:tr w14:paraId="5E844A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49A65584">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22</w:t>
            </w:r>
          </w:p>
        </w:tc>
        <w:tc>
          <w:tcPr>
            <w:tcW w:w="1440" w:type="dxa"/>
            <w:tcBorders>
              <w:top w:val="single" w:color="auto" w:sz="4" w:space="0"/>
              <w:left w:val="single" w:color="auto" w:sz="4" w:space="0"/>
              <w:bottom w:val="single" w:color="auto" w:sz="4" w:space="0"/>
              <w:right w:val="single" w:color="auto" w:sz="4" w:space="0"/>
            </w:tcBorders>
            <w:vAlign w:val="center"/>
          </w:tcPr>
          <w:p w14:paraId="6CD98DCB">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bidi="ar"/>
              </w:rPr>
              <w:t>磋商响应文件的签章</w:t>
            </w:r>
          </w:p>
        </w:tc>
        <w:tc>
          <w:tcPr>
            <w:tcW w:w="7564" w:type="dxa"/>
            <w:tcBorders>
              <w:top w:val="single" w:color="auto" w:sz="4" w:space="0"/>
              <w:left w:val="single" w:color="auto" w:sz="4" w:space="0"/>
              <w:bottom w:val="single" w:color="auto" w:sz="4" w:space="0"/>
              <w:right w:val="single" w:color="auto" w:sz="4" w:space="0"/>
            </w:tcBorders>
            <w:vAlign w:val="center"/>
          </w:tcPr>
          <w:p w14:paraId="0945CDDD">
            <w:pPr>
              <w:autoSpaceDE w:val="0"/>
              <w:autoSpaceDN w:val="0"/>
              <w:snapToGrid w:val="0"/>
              <w:spacing w:line="460" w:lineRule="exact"/>
              <w:textAlignment w:val="bottom"/>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采用电子签章。</w:t>
            </w:r>
          </w:p>
        </w:tc>
      </w:tr>
      <w:tr w14:paraId="4D6FCF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1BB2E2B6">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23</w:t>
            </w:r>
          </w:p>
        </w:tc>
        <w:tc>
          <w:tcPr>
            <w:tcW w:w="1440" w:type="dxa"/>
            <w:tcBorders>
              <w:top w:val="single" w:color="auto" w:sz="4" w:space="0"/>
              <w:left w:val="single" w:color="auto" w:sz="4" w:space="0"/>
              <w:bottom w:val="single" w:color="auto" w:sz="4" w:space="0"/>
              <w:right w:val="single" w:color="auto" w:sz="4" w:space="0"/>
            </w:tcBorders>
            <w:vAlign w:val="center"/>
          </w:tcPr>
          <w:p w14:paraId="03D38547">
            <w:pPr>
              <w:snapToGrid w:val="0"/>
              <w:spacing w:line="460" w:lineRule="exact"/>
              <w:jc w:val="center"/>
              <w:rPr>
                <w:rFonts w:ascii="新宋体" w:hAnsi="新宋体" w:eastAsia="新宋体" w:cs="新宋体"/>
                <w:b/>
                <w:bCs/>
                <w:color w:val="auto"/>
                <w:sz w:val="22"/>
                <w:szCs w:val="22"/>
                <w:highlight w:val="none"/>
                <w:lang w:bidi="ar"/>
              </w:rPr>
            </w:pPr>
            <w:r>
              <w:rPr>
                <w:rFonts w:hint="eastAsia" w:ascii="新宋体" w:hAnsi="新宋体" w:eastAsia="新宋体" w:cs="新宋体"/>
                <w:color w:val="auto"/>
                <w:sz w:val="22"/>
                <w:szCs w:val="22"/>
                <w:highlight w:val="none"/>
                <w:lang w:bidi="ar"/>
              </w:rPr>
              <w:t>磋商响应文件的形式</w:t>
            </w:r>
          </w:p>
        </w:tc>
        <w:tc>
          <w:tcPr>
            <w:tcW w:w="7564" w:type="dxa"/>
            <w:tcBorders>
              <w:top w:val="single" w:color="auto" w:sz="4" w:space="0"/>
              <w:left w:val="single" w:color="auto" w:sz="4" w:space="0"/>
              <w:bottom w:val="single" w:color="auto" w:sz="4" w:space="0"/>
              <w:right w:val="single" w:color="auto" w:sz="4" w:space="0"/>
            </w:tcBorders>
            <w:vAlign w:val="center"/>
          </w:tcPr>
          <w:p w14:paraId="0488CCA9">
            <w:pPr>
              <w:spacing w:line="460" w:lineRule="exact"/>
              <w:rPr>
                <w:rFonts w:ascii="新宋体" w:hAnsi="新宋体" w:eastAsia="新宋体" w:cs="新宋体"/>
                <w:color w:val="auto"/>
                <w:sz w:val="22"/>
                <w:szCs w:val="22"/>
                <w:highlight w:val="none"/>
                <w:lang w:bidi="ar"/>
              </w:rPr>
            </w:pPr>
            <w:r>
              <w:rPr>
                <w:rFonts w:hint="eastAsia" w:ascii="新宋体" w:hAnsi="新宋体" w:eastAsia="新宋体" w:cs="新宋体"/>
                <w:color w:val="auto"/>
                <w:sz w:val="22"/>
                <w:szCs w:val="22"/>
                <w:highlight w:val="none"/>
                <w:lang w:bidi="ar"/>
              </w:rPr>
              <w:t>电子磋商响应文件（包括“电子加密磋商响应文件”和“备份磋商响应文件”，在磋商响应文件编制完成后同时生成）；</w:t>
            </w:r>
          </w:p>
          <w:p w14:paraId="52B9D05D">
            <w:pPr>
              <w:spacing w:line="460" w:lineRule="exact"/>
              <w:rPr>
                <w:rFonts w:ascii="新宋体" w:hAnsi="新宋体" w:eastAsia="新宋体" w:cs="新宋体"/>
                <w:color w:val="auto"/>
                <w:sz w:val="22"/>
                <w:szCs w:val="22"/>
                <w:highlight w:val="none"/>
                <w:lang w:bidi="ar"/>
              </w:rPr>
            </w:pPr>
            <w:r>
              <w:rPr>
                <w:rFonts w:hint="eastAsia" w:ascii="新宋体" w:hAnsi="新宋体" w:eastAsia="新宋体" w:cs="新宋体"/>
                <w:color w:val="auto"/>
                <w:sz w:val="22"/>
                <w:szCs w:val="22"/>
                <w:highlight w:val="none"/>
                <w:lang w:bidi="ar"/>
              </w:rPr>
              <w:t>1、“电子加密磋商响应文件”是指通过“政采云电子交易客户端”完成磋商响应文件编制后生成并加密的数据电文形式的磋商响应文件。</w:t>
            </w:r>
          </w:p>
          <w:p w14:paraId="528E2EF8">
            <w:pPr>
              <w:autoSpaceDE w:val="0"/>
              <w:autoSpaceDN w:val="0"/>
              <w:snapToGrid w:val="0"/>
              <w:spacing w:line="460" w:lineRule="exact"/>
              <w:textAlignment w:val="bottom"/>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bidi="ar"/>
              </w:rPr>
              <w:t>2、“备份磋商响应文件”是指与“电子加密磋商响应文件”同时生成的数据电文形式的电子文件（备份标书），其他方式编制的备份磋商响应文件视为无效备份磋商响应文件。</w:t>
            </w:r>
          </w:p>
        </w:tc>
      </w:tr>
      <w:tr w14:paraId="68B1AD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28F691FD">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24</w:t>
            </w:r>
          </w:p>
        </w:tc>
        <w:tc>
          <w:tcPr>
            <w:tcW w:w="1440" w:type="dxa"/>
            <w:tcBorders>
              <w:top w:val="single" w:color="auto" w:sz="4" w:space="0"/>
              <w:left w:val="single" w:color="auto" w:sz="4" w:space="0"/>
              <w:bottom w:val="single" w:color="auto" w:sz="4" w:space="0"/>
              <w:right w:val="single" w:color="auto" w:sz="4" w:space="0"/>
            </w:tcBorders>
            <w:vAlign w:val="center"/>
          </w:tcPr>
          <w:p w14:paraId="626E2368">
            <w:pPr>
              <w:snapToGrid w:val="0"/>
              <w:spacing w:line="460" w:lineRule="exact"/>
              <w:jc w:val="center"/>
              <w:rPr>
                <w:rFonts w:ascii="新宋体" w:hAnsi="新宋体" w:eastAsia="新宋体" w:cs="新宋体"/>
                <w:b/>
                <w:bCs/>
                <w:color w:val="auto"/>
                <w:sz w:val="22"/>
                <w:szCs w:val="22"/>
                <w:highlight w:val="none"/>
                <w:lang w:bidi="ar"/>
              </w:rPr>
            </w:pPr>
            <w:r>
              <w:rPr>
                <w:rFonts w:hint="eastAsia" w:ascii="新宋体" w:hAnsi="新宋体" w:eastAsia="新宋体" w:cs="新宋体"/>
                <w:color w:val="auto"/>
                <w:sz w:val="22"/>
                <w:szCs w:val="22"/>
                <w:highlight w:val="none"/>
              </w:rPr>
              <w:t>磋商响应文件份数</w:t>
            </w:r>
          </w:p>
        </w:tc>
        <w:tc>
          <w:tcPr>
            <w:tcW w:w="7564" w:type="dxa"/>
            <w:tcBorders>
              <w:top w:val="single" w:color="auto" w:sz="4" w:space="0"/>
              <w:left w:val="single" w:color="auto" w:sz="4" w:space="0"/>
              <w:bottom w:val="single" w:color="auto" w:sz="4" w:space="0"/>
              <w:right w:val="single" w:color="auto" w:sz="4" w:space="0"/>
            </w:tcBorders>
            <w:vAlign w:val="center"/>
          </w:tcPr>
          <w:p w14:paraId="3DD871C4">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“电子加密磋商响应文件”：在线上传递交、一份。</w:t>
            </w:r>
          </w:p>
          <w:p w14:paraId="7216CEE2">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备份磋商响应文件”：密封包装后磋商响应文件递交截止时间前递交、一份（若不提供备份文件，电子加密磋商响应文件解密失败，磋商供应商自行负责。）可以（顺丰邮寄形式）在磋商响应文件递交截止时间前递交，并需采购代理机构确认是否收到。</w:t>
            </w:r>
          </w:p>
          <w:p w14:paraId="01E7192D">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邮寄地址：温州市鹿城区勤民路鹿城壹号18幢803室。</w:t>
            </w:r>
          </w:p>
          <w:p w14:paraId="319BC6F4">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收件人：肖忠文，联系方式：13757727199</w:t>
            </w:r>
          </w:p>
          <w:p w14:paraId="78176AC9">
            <w:pPr>
              <w:autoSpaceDE w:val="0"/>
              <w:autoSpaceDN w:val="0"/>
              <w:snapToGrid w:val="0"/>
              <w:spacing w:line="460" w:lineRule="exact"/>
              <w:textAlignment w:val="bottom"/>
              <w:rPr>
                <w:rFonts w:ascii="新宋体" w:hAnsi="新宋体" w:eastAsia="新宋体" w:cs="新宋体"/>
                <w:color w:val="auto"/>
                <w:sz w:val="22"/>
                <w:szCs w:val="22"/>
                <w:highlight w:val="none"/>
                <w:lang w:bidi="ar"/>
              </w:rPr>
            </w:pPr>
            <w:r>
              <w:rPr>
                <w:rFonts w:hint="eastAsia" w:ascii="新宋体" w:hAnsi="新宋体" w:eastAsia="新宋体" w:cs="新宋体"/>
                <w:b/>
                <w:bCs/>
                <w:color w:val="auto"/>
                <w:sz w:val="22"/>
                <w:szCs w:val="22"/>
                <w:highlight w:val="none"/>
                <w:lang w:bidi="ar"/>
              </w:rPr>
              <w:t>（成交供应商须提供纸质磋商响应文件并加盖单位公章一份，送至代理公司）</w:t>
            </w:r>
          </w:p>
        </w:tc>
      </w:tr>
      <w:tr w14:paraId="6B66D6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7491D459">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25</w:t>
            </w:r>
          </w:p>
        </w:tc>
        <w:tc>
          <w:tcPr>
            <w:tcW w:w="1440" w:type="dxa"/>
            <w:tcBorders>
              <w:top w:val="single" w:color="auto" w:sz="4" w:space="0"/>
              <w:left w:val="single" w:color="auto" w:sz="4" w:space="0"/>
              <w:bottom w:val="single" w:color="auto" w:sz="4" w:space="0"/>
              <w:right w:val="single" w:color="auto" w:sz="4" w:space="0"/>
            </w:tcBorders>
            <w:vAlign w:val="center"/>
          </w:tcPr>
          <w:p w14:paraId="6989A6D2">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bidi="ar"/>
              </w:rPr>
              <w:t>磋商响应文件的上传和递交</w:t>
            </w:r>
          </w:p>
        </w:tc>
        <w:tc>
          <w:tcPr>
            <w:tcW w:w="7564" w:type="dxa"/>
            <w:tcBorders>
              <w:top w:val="single" w:color="auto" w:sz="4" w:space="0"/>
              <w:left w:val="single" w:color="auto" w:sz="4" w:space="0"/>
              <w:bottom w:val="single" w:color="auto" w:sz="4" w:space="0"/>
              <w:right w:val="single" w:color="auto" w:sz="4" w:space="0"/>
            </w:tcBorders>
            <w:vAlign w:val="center"/>
          </w:tcPr>
          <w:p w14:paraId="5D7A2758">
            <w:pPr>
              <w:spacing w:line="460" w:lineRule="exact"/>
              <w:rPr>
                <w:rFonts w:ascii="新宋体" w:hAnsi="新宋体" w:eastAsia="新宋体" w:cs="新宋体"/>
                <w:color w:val="auto"/>
                <w:sz w:val="22"/>
                <w:szCs w:val="22"/>
                <w:highlight w:val="none"/>
                <w:lang w:bidi="ar"/>
              </w:rPr>
            </w:pPr>
            <w:r>
              <w:rPr>
                <w:rFonts w:hint="eastAsia" w:ascii="新宋体" w:hAnsi="新宋体" w:eastAsia="新宋体" w:cs="新宋体"/>
                <w:color w:val="auto"/>
                <w:sz w:val="22"/>
                <w:szCs w:val="22"/>
                <w:highlight w:val="none"/>
                <w:lang w:bidi="ar"/>
              </w:rPr>
              <w:t>1、“电子加密磋商响应文件”的上传、递交：</w:t>
            </w:r>
          </w:p>
          <w:p w14:paraId="7076A893">
            <w:pPr>
              <w:spacing w:line="460" w:lineRule="exact"/>
              <w:rPr>
                <w:rFonts w:ascii="新宋体" w:hAnsi="新宋体" w:eastAsia="新宋体" w:cs="新宋体"/>
                <w:color w:val="auto"/>
                <w:sz w:val="22"/>
                <w:szCs w:val="22"/>
                <w:highlight w:val="none"/>
                <w:lang w:bidi="ar"/>
              </w:rPr>
            </w:pPr>
            <w:r>
              <w:rPr>
                <w:rFonts w:hint="eastAsia" w:ascii="新宋体" w:hAnsi="新宋体" w:eastAsia="新宋体" w:cs="新宋体"/>
                <w:color w:val="auto"/>
                <w:sz w:val="22"/>
                <w:szCs w:val="22"/>
                <w:highlight w:val="none"/>
                <w:lang w:bidi="ar"/>
              </w:rPr>
              <w:t>a.磋商供应商应在</w:t>
            </w:r>
            <w:r>
              <w:rPr>
                <w:rFonts w:hint="eastAsia" w:ascii="新宋体" w:hAnsi="新宋体" w:eastAsia="新宋体" w:cs="新宋体"/>
                <w:color w:val="auto"/>
                <w:sz w:val="22"/>
                <w:szCs w:val="22"/>
                <w:highlight w:val="none"/>
              </w:rPr>
              <w:t>磋商响应文件递交截止</w:t>
            </w:r>
            <w:r>
              <w:rPr>
                <w:rFonts w:hint="eastAsia" w:ascii="新宋体" w:hAnsi="新宋体" w:eastAsia="新宋体" w:cs="新宋体"/>
                <w:color w:val="auto"/>
                <w:sz w:val="22"/>
                <w:szCs w:val="22"/>
                <w:highlight w:val="none"/>
                <w:lang w:bidi="ar"/>
              </w:rPr>
              <w:t>时间前将“电子加密磋商响应文件”成功上传递交至“政府采购云平台”，否则磋商无效。</w:t>
            </w:r>
          </w:p>
          <w:p w14:paraId="274649A7">
            <w:pPr>
              <w:spacing w:line="460" w:lineRule="exact"/>
              <w:rPr>
                <w:rFonts w:ascii="新宋体" w:hAnsi="新宋体" w:eastAsia="新宋体" w:cs="新宋体"/>
                <w:color w:val="auto"/>
                <w:sz w:val="22"/>
                <w:szCs w:val="22"/>
                <w:highlight w:val="none"/>
                <w:lang w:bidi="ar"/>
              </w:rPr>
            </w:pPr>
            <w:r>
              <w:rPr>
                <w:rFonts w:hint="eastAsia" w:ascii="新宋体" w:hAnsi="新宋体" w:eastAsia="新宋体" w:cs="新宋体"/>
                <w:color w:val="auto"/>
                <w:sz w:val="22"/>
                <w:szCs w:val="22"/>
                <w:highlight w:val="none"/>
                <w:lang w:bidi="ar"/>
              </w:rPr>
              <w:t>b.“电子加密磋商响应文件”成功上传递交后，供应商可自行打印磋商响应文件接收回执。</w:t>
            </w:r>
          </w:p>
          <w:p w14:paraId="0AB5A096">
            <w:pPr>
              <w:spacing w:line="460" w:lineRule="exact"/>
              <w:rPr>
                <w:rFonts w:ascii="新宋体" w:hAnsi="新宋体" w:eastAsia="新宋体" w:cs="新宋体"/>
                <w:color w:val="auto"/>
                <w:sz w:val="22"/>
                <w:szCs w:val="22"/>
                <w:highlight w:val="none"/>
                <w:lang w:bidi="ar"/>
              </w:rPr>
            </w:pPr>
            <w:r>
              <w:rPr>
                <w:rFonts w:hint="eastAsia" w:ascii="新宋体" w:hAnsi="新宋体" w:eastAsia="新宋体" w:cs="新宋体"/>
                <w:color w:val="auto"/>
                <w:sz w:val="22"/>
                <w:szCs w:val="22"/>
                <w:highlight w:val="none"/>
                <w:lang w:bidi="ar"/>
              </w:rPr>
              <w:t>2、“备份磋商响应文件”的密封包装、递交：</w:t>
            </w:r>
          </w:p>
          <w:p w14:paraId="7EC4AAA2">
            <w:pPr>
              <w:tabs>
                <w:tab w:val="left" w:pos="360"/>
              </w:tabs>
              <w:spacing w:line="460" w:lineRule="exact"/>
              <w:rPr>
                <w:rFonts w:ascii="新宋体" w:hAnsi="新宋体" w:eastAsia="新宋体" w:cs="新宋体"/>
                <w:b/>
                <w:bCs/>
                <w:color w:val="auto"/>
                <w:sz w:val="22"/>
                <w:szCs w:val="22"/>
                <w:highlight w:val="none"/>
              </w:rPr>
            </w:pPr>
            <w:r>
              <w:rPr>
                <w:rFonts w:hint="eastAsia" w:ascii="新宋体" w:hAnsi="新宋体" w:eastAsia="新宋体" w:cs="新宋体"/>
                <w:color w:val="auto"/>
                <w:sz w:val="22"/>
                <w:szCs w:val="22"/>
                <w:highlight w:val="none"/>
                <w:lang w:bidi="ar"/>
              </w:rPr>
              <w:t>a.磋商供应商在“政府采购云平台”完成“电子加密磋商响应文件”的上传递交后，</w:t>
            </w:r>
            <w:r>
              <w:rPr>
                <w:rFonts w:hint="eastAsia" w:ascii="新宋体" w:hAnsi="新宋体" w:eastAsia="新宋体" w:cs="新宋体"/>
                <w:b/>
                <w:bCs/>
                <w:color w:val="auto"/>
                <w:sz w:val="22"/>
                <w:szCs w:val="22"/>
                <w:highlight w:val="none"/>
              </w:rPr>
              <w:t>还可以在磋商响应文件递交截止时间前递交以介质（U盘）存储的数据电文形式的“备份磋商响应文件”，（可以（顺丰邮寄形式）在磋商响应文件递交截止时间前递交，并需采购代理机构确认是否收到）；</w:t>
            </w:r>
          </w:p>
          <w:p w14:paraId="11D4A920">
            <w:pPr>
              <w:spacing w:line="460" w:lineRule="exact"/>
              <w:rPr>
                <w:rFonts w:ascii="新宋体" w:hAnsi="新宋体" w:eastAsia="新宋体" w:cs="新宋体"/>
                <w:color w:val="auto"/>
                <w:sz w:val="22"/>
                <w:szCs w:val="22"/>
                <w:highlight w:val="none"/>
                <w:lang w:bidi="ar"/>
              </w:rPr>
            </w:pPr>
            <w:r>
              <w:rPr>
                <w:rFonts w:hint="eastAsia" w:ascii="新宋体" w:hAnsi="新宋体" w:eastAsia="新宋体" w:cs="新宋体"/>
                <w:color w:val="auto"/>
                <w:sz w:val="22"/>
                <w:szCs w:val="22"/>
                <w:highlight w:val="none"/>
                <w:lang w:bidi="ar"/>
              </w:rPr>
              <w:t>b.“备份磋商响应文件”应当密封包装，并在包装上标注项目名称、磋商供应商名称并加盖公章。没有密封包装或者逾期（邮寄）送达至磋商地点的“备份磋商响应文件”将不予接收；</w:t>
            </w:r>
          </w:p>
          <w:p w14:paraId="0C06A1D8">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bidi="ar"/>
              </w:rPr>
              <w:t>c.通过“政府采购云平台”成功上传递交的“电子加密磋商响应文件”已按时解密的，“备份磋商响应文件”自动失效。</w:t>
            </w:r>
            <w:r>
              <w:rPr>
                <w:rFonts w:hint="eastAsia" w:ascii="新宋体" w:hAnsi="新宋体" w:eastAsia="新宋体" w:cs="新宋体"/>
                <w:color w:val="auto"/>
                <w:sz w:val="22"/>
                <w:szCs w:val="22"/>
                <w:highlight w:val="none"/>
              </w:rPr>
              <w:t>磋商响应文件递交截止</w:t>
            </w:r>
            <w:r>
              <w:rPr>
                <w:rFonts w:hint="eastAsia" w:ascii="新宋体" w:hAnsi="新宋体" w:eastAsia="新宋体" w:cs="新宋体"/>
                <w:color w:val="auto"/>
                <w:sz w:val="22"/>
                <w:szCs w:val="22"/>
                <w:highlight w:val="none"/>
                <w:lang w:bidi="ar"/>
              </w:rPr>
              <w:t>时间前，磋商供应商仅递交了“备份磋商响应文件”而未将“电子加密磋商响应文件”成功上传至“政府采购云平台”的，磋商无效。</w:t>
            </w:r>
          </w:p>
        </w:tc>
      </w:tr>
      <w:tr w14:paraId="630121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0182004E">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26</w:t>
            </w:r>
          </w:p>
        </w:tc>
        <w:tc>
          <w:tcPr>
            <w:tcW w:w="1440" w:type="dxa"/>
            <w:tcBorders>
              <w:top w:val="single" w:color="auto" w:sz="4" w:space="0"/>
              <w:left w:val="single" w:color="auto" w:sz="4" w:space="0"/>
              <w:bottom w:val="single" w:color="auto" w:sz="4" w:space="0"/>
              <w:right w:val="single" w:color="auto" w:sz="4" w:space="0"/>
            </w:tcBorders>
            <w:vAlign w:val="center"/>
          </w:tcPr>
          <w:p w14:paraId="5CEC111C">
            <w:pPr>
              <w:snapToGrid w:val="0"/>
              <w:spacing w:line="460" w:lineRule="exact"/>
              <w:jc w:val="center"/>
              <w:rPr>
                <w:rFonts w:ascii="新宋体" w:hAnsi="新宋体" w:eastAsia="新宋体" w:cs="新宋体"/>
                <w:b/>
                <w:bCs/>
                <w:color w:val="auto"/>
                <w:sz w:val="22"/>
                <w:szCs w:val="22"/>
                <w:highlight w:val="none"/>
                <w:lang w:bidi="ar"/>
              </w:rPr>
            </w:pPr>
            <w:r>
              <w:rPr>
                <w:rFonts w:hint="eastAsia" w:ascii="新宋体" w:hAnsi="新宋体" w:eastAsia="新宋体" w:cs="新宋体"/>
                <w:color w:val="auto"/>
                <w:sz w:val="22"/>
                <w:szCs w:val="22"/>
                <w:highlight w:val="none"/>
                <w:lang w:bidi="ar"/>
              </w:rPr>
              <w:t>电子加密磋商响应文件的解密和异常情况处理</w:t>
            </w:r>
          </w:p>
        </w:tc>
        <w:tc>
          <w:tcPr>
            <w:tcW w:w="7564" w:type="dxa"/>
            <w:tcBorders>
              <w:top w:val="single" w:color="auto" w:sz="4" w:space="0"/>
              <w:left w:val="single" w:color="auto" w:sz="4" w:space="0"/>
              <w:bottom w:val="single" w:color="auto" w:sz="4" w:space="0"/>
              <w:right w:val="single" w:color="auto" w:sz="4" w:space="0"/>
            </w:tcBorders>
            <w:vAlign w:val="center"/>
          </w:tcPr>
          <w:p w14:paraId="39252B7B">
            <w:pPr>
              <w:spacing w:line="460" w:lineRule="exact"/>
              <w:rPr>
                <w:rFonts w:ascii="新宋体" w:hAnsi="新宋体" w:eastAsia="新宋体" w:cs="新宋体"/>
                <w:color w:val="auto"/>
                <w:sz w:val="22"/>
                <w:szCs w:val="22"/>
                <w:highlight w:val="none"/>
                <w:lang w:bidi="ar"/>
              </w:rPr>
            </w:pPr>
            <w:r>
              <w:rPr>
                <w:rFonts w:hint="eastAsia" w:ascii="新宋体" w:hAnsi="新宋体" w:eastAsia="新宋体" w:cs="新宋体"/>
                <w:color w:val="auto"/>
                <w:sz w:val="22"/>
                <w:szCs w:val="22"/>
                <w:highlight w:val="none"/>
                <w:lang w:bidi="ar"/>
              </w:rPr>
              <w:t>1、开标后，采购组织机构将向各磋商供应商发出“电子加密磋商响应文件”的解密通知，各磋商供应商代表应当在接到解密通知后按系统规定的时间内自行完成“电子加密磋商响应文件”的在线解密。</w:t>
            </w:r>
          </w:p>
          <w:p w14:paraId="03747A37">
            <w:pPr>
              <w:spacing w:line="460" w:lineRule="exact"/>
              <w:rPr>
                <w:rFonts w:ascii="新宋体" w:hAnsi="新宋体" w:eastAsia="新宋体" w:cs="新宋体"/>
                <w:color w:val="auto"/>
                <w:sz w:val="22"/>
                <w:szCs w:val="22"/>
                <w:highlight w:val="none"/>
                <w:lang w:bidi="ar"/>
              </w:rPr>
            </w:pPr>
            <w:r>
              <w:rPr>
                <w:rFonts w:hint="eastAsia" w:ascii="新宋体" w:hAnsi="新宋体" w:eastAsia="新宋体" w:cs="新宋体"/>
                <w:color w:val="auto"/>
                <w:sz w:val="22"/>
                <w:szCs w:val="22"/>
                <w:highlight w:val="none"/>
                <w:lang w:bidi="ar"/>
              </w:rPr>
              <w:t>2、通过“政府采购云平台”成功上传递交的“电子加密磋商响应文件”无法按时解密，磋商供应商如按规定递交了“备份磋商响应文件”的，以“备份磋商响应文件”为依据（由采购组织机构按“政府采购云平台”操作规范将“备份磋商响应文件”上传至“政府采购云平台”，上传成功后，“电子加密磋商响应文件”自动失效），否则视为磋商响应文件撤回。</w:t>
            </w:r>
          </w:p>
          <w:p w14:paraId="7458747B">
            <w:pPr>
              <w:spacing w:line="460" w:lineRule="exact"/>
              <w:rPr>
                <w:rFonts w:ascii="新宋体" w:hAnsi="新宋体" w:eastAsia="新宋体" w:cs="新宋体"/>
                <w:color w:val="auto"/>
                <w:sz w:val="22"/>
                <w:szCs w:val="22"/>
                <w:highlight w:val="none"/>
                <w:lang w:bidi="ar"/>
              </w:rPr>
            </w:pPr>
            <w:r>
              <w:rPr>
                <w:rFonts w:hint="eastAsia" w:ascii="新宋体" w:hAnsi="新宋体" w:eastAsia="新宋体" w:cs="新宋体"/>
                <w:color w:val="auto"/>
                <w:sz w:val="22"/>
                <w:szCs w:val="22"/>
                <w:highlight w:val="none"/>
                <w:lang w:bidi="ar"/>
              </w:rPr>
              <w:t>3、磋商响应文件递交截止时间前，磋商供应商仅递交了“备份磋商响应文件”而未将电子加密磋商响应文件上传至“政府采购云平台”的，磋商响应文件无效。</w:t>
            </w:r>
          </w:p>
        </w:tc>
      </w:tr>
      <w:tr w14:paraId="47F983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2C4F40BF">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27</w:t>
            </w:r>
          </w:p>
        </w:tc>
        <w:tc>
          <w:tcPr>
            <w:tcW w:w="1440" w:type="dxa"/>
            <w:tcBorders>
              <w:top w:val="single" w:color="auto" w:sz="4" w:space="0"/>
              <w:left w:val="single" w:color="auto" w:sz="4" w:space="0"/>
              <w:bottom w:val="single" w:color="auto" w:sz="4" w:space="0"/>
              <w:right w:val="single" w:color="auto" w:sz="4" w:space="0"/>
            </w:tcBorders>
            <w:vAlign w:val="center"/>
          </w:tcPr>
          <w:p w14:paraId="47B2481D">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磋商响应文件递交截止时间</w:t>
            </w:r>
          </w:p>
        </w:tc>
        <w:tc>
          <w:tcPr>
            <w:tcW w:w="7564" w:type="dxa"/>
            <w:tcBorders>
              <w:top w:val="single" w:color="auto" w:sz="4" w:space="0"/>
              <w:left w:val="single" w:color="auto" w:sz="4" w:space="0"/>
              <w:bottom w:val="single" w:color="auto" w:sz="4" w:space="0"/>
              <w:right w:val="single" w:color="auto" w:sz="4" w:space="0"/>
            </w:tcBorders>
            <w:vAlign w:val="center"/>
          </w:tcPr>
          <w:p w14:paraId="2F3E76FE">
            <w:pPr>
              <w:spacing w:line="460" w:lineRule="exact"/>
              <w:ind w:left="330" w:hanging="330" w:hangingChars="15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eastAsia="zh-CN"/>
              </w:rPr>
              <w:t>2024年08月</w:t>
            </w:r>
            <w:r>
              <w:rPr>
                <w:rFonts w:hint="eastAsia" w:ascii="新宋体" w:hAnsi="新宋体" w:eastAsia="新宋体" w:cs="新宋体"/>
                <w:color w:val="auto"/>
                <w:sz w:val="22"/>
                <w:szCs w:val="22"/>
                <w:highlight w:val="none"/>
                <w:lang w:val="en-US" w:eastAsia="zh-CN"/>
              </w:rPr>
              <w:t>14</w:t>
            </w:r>
            <w:r>
              <w:rPr>
                <w:rFonts w:hint="eastAsia" w:ascii="新宋体" w:hAnsi="新宋体" w:eastAsia="新宋体" w:cs="新宋体"/>
                <w:color w:val="auto"/>
                <w:sz w:val="22"/>
                <w:szCs w:val="22"/>
                <w:highlight w:val="none"/>
                <w:lang w:eastAsia="zh-CN"/>
              </w:rPr>
              <w:t>日</w:t>
            </w:r>
            <w:r>
              <w:rPr>
                <w:rFonts w:hint="eastAsia" w:ascii="宋体" w:hAnsi="宋体" w:cs="宋体"/>
                <w:color w:val="auto"/>
                <w:sz w:val="22"/>
                <w:highlight w:val="none"/>
                <w:lang w:val="en-US" w:eastAsia="zh-CN"/>
              </w:rPr>
              <w:t>14</w:t>
            </w:r>
            <w:r>
              <w:rPr>
                <w:rFonts w:hint="eastAsia" w:ascii="宋体" w:hAnsi="宋体" w:cs="宋体"/>
                <w:color w:val="auto"/>
                <w:sz w:val="22"/>
                <w:highlight w:val="none"/>
              </w:rPr>
              <w:t>:</w:t>
            </w:r>
            <w:r>
              <w:rPr>
                <w:rFonts w:hint="eastAsia" w:ascii="宋体" w:hAnsi="宋体" w:cs="宋体"/>
                <w:color w:val="auto"/>
                <w:sz w:val="22"/>
                <w:highlight w:val="none"/>
                <w:lang w:val="en-US" w:eastAsia="zh-CN"/>
              </w:rPr>
              <w:t>30</w:t>
            </w:r>
            <w:r>
              <w:rPr>
                <w:rFonts w:hint="eastAsia" w:ascii="新宋体" w:hAnsi="新宋体" w:eastAsia="新宋体" w:cs="新宋体"/>
                <w:color w:val="auto"/>
                <w:sz w:val="22"/>
                <w:szCs w:val="22"/>
                <w:highlight w:val="none"/>
              </w:rPr>
              <w:t>。</w:t>
            </w:r>
          </w:p>
        </w:tc>
      </w:tr>
      <w:tr w14:paraId="4EDAD7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08347231">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28</w:t>
            </w:r>
          </w:p>
        </w:tc>
        <w:tc>
          <w:tcPr>
            <w:tcW w:w="1440" w:type="dxa"/>
            <w:tcBorders>
              <w:top w:val="single" w:color="auto" w:sz="4" w:space="0"/>
              <w:left w:val="single" w:color="auto" w:sz="4" w:space="0"/>
              <w:bottom w:val="single" w:color="auto" w:sz="4" w:space="0"/>
              <w:right w:val="single" w:color="auto" w:sz="4" w:space="0"/>
            </w:tcBorders>
            <w:vAlign w:val="center"/>
          </w:tcPr>
          <w:p w14:paraId="37E5A46E">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磋商地点</w:t>
            </w:r>
          </w:p>
        </w:tc>
        <w:tc>
          <w:tcPr>
            <w:tcW w:w="7564" w:type="dxa"/>
            <w:tcBorders>
              <w:top w:val="single" w:color="auto" w:sz="4" w:space="0"/>
              <w:left w:val="single" w:color="auto" w:sz="4" w:space="0"/>
              <w:bottom w:val="single" w:color="auto" w:sz="4" w:space="0"/>
              <w:right w:val="single" w:color="auto" w:sz="4" w:space="0"/>
            </w:tcBorders>
            <w:vAlign w:val="center"/>
          </w:tcPr>
          <w:p w14:paraId="5E8B572B">
            <w:pPr>
              <w:autoSpaceDE w:val="0"/>
              <w:autoSpaceDN w:val="0"/>
              <w:snapToGrid w:val="0"/>
              <w:spacing w:line="460" w:lineRule="exact"/>
              <w:textAlignment w:val="bottom"/>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温州市鹿城区勤民路鹿城壹号18幢803室（政采云平台：http://zfcg.czt.zj.gov.cn）</w:t>
            </w:r>
          </w:p>
        </w:tc>
      </w:tr>
      <w:tr w14:paraId="093899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6F8AA0D9">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29</w:t>
            </w:r>
          </w:p>
        </w:tc>
        <w:tc>
          <w:tcPr>
            <w:tcW w:w="1440" w:type="dxa"/>
            <w:tcBorders>
              <w:top w:val="single" w:color="auto" w:sz="4" w:space="0"/>
              <w:left w:val="single" w:color="auto" w:sz="4" w:space="0"/>
              <w:bottom w:val="single" w:color="auto" w:sz="4" w:space="0"/>
              <w:right w:val="single" w:color="auto" w:sz="4" w:space="0"/>
            </w:tcBorders>
            <w:vAlign w:val="center"/>
          </w:tcPr>
          <w:p w14:paraId="2C406E35">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bidi="ar"/>
              </w:rPr>
              <w:t>开标时间</w:t>
            </w:r>
          </w:p>
        </w:tc>
        <w:tc>
          <w:tcPr>
            <w:tcW w:w="7564" w:type="dxa"/>
            <w:tcBorders>
              <w:top w:val="single" w:color="auto" w:sz="4" w:space="0"/>
              <w:left w:val="single" w:color="auto" w:sz="4" w:space="0"/>
              <w:bottom w:val="single" w:color="auto" w:sz="4" w:space="0"/>
              <w:right w:val="single" w:color="auto" w:sz="4" w:space="0"/>
            </w:tcBorders>
            <w:vAlign w:val="center"/>
          </w:tcPr>
          <w:p w14:paraId="58B52848">
            <w:pPr>
              <w:autoSpaceDE w:val="0"/>
              <w:autoSpaceDN w:val="0"/>
              <w:snapToGrid w:val="0"/>
              <w:spacing w:line="460" w:lineRule="exact"/>
              <w:textAlignment w:val="bottom"/>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eastAsia="zh-CN"/>
              </w:rPr>
              <w:t>2024年08月</w:t>
            </w:r>
            <w:r>
              <w:rPr>
                <w:rFonts w:hint="eastAsia" w:ascii="新宋体" w:hAnsi="新宋体" w:eastAsia="新宋体" w:cs="新宋体"/>
                <w:color w:val="auto"/>
                <w:sz w:val="22"/>
                <w:szCs w:val="22"/>
                <w:highlight w:val="none"/>
                <w:lang w:val="en-US" w:eastAsia="zh-CN"/>
              </w:rPr>
              <w:t>14</w:t>
            </w:r>
            <w:r>
              <w:rPr>
                <w:rFonts w:hint="eastAsia" w:ascii="新宋体" w:hAnsi="新宋体" w:eastAsia="新宋体" w:cs="新宋体"/>
                <w:color w:val="auto"/>
                <w:sz w:val="22"/>
                <w:szCs w:val="22"/>
                <w:highlight w:val="none"/>
                <w:lang w:eastAsia="zh-CN"/>
              </w:rPr>
              <w:t>日</w:t>
            </w:r>
            <w:r>
              <w:rPr>
                <w:rFonts w:hint="eastAsia" w:ascii="新宋体" w:hAnsi="新宋体" w:eastAsia="新宋体" w:cs="新宋体"/>
                <w:color w:val="auto"/>
                <w:sz w:val="22"/>
                <w:szCs w:val="22"/>
                <w:highlight w:val="none"/>
                <w:lang w:val="en-US" w:eastAsia="zh-CN"/>
              </w:rPr>
              <w:t>14</w:t>
            </w:r>
            <w:r>
              <w:rPr>
                <w:rFonts w:hint="eastAsia" w:ascii="新宋体" w:hAnsi="新宋体" w:eastAsia="新宋体" w:cs="新宋体"/>
                <w:color w:val="auto"/>
                <w:sz w:val="22"/>
                <w:szCs w:val="22"/>
                <w:highlight w:val="none"/>
                <w:lang w:eastAsia="zh-CN"/>
              </w:rPr>
              <w:t>:30</w:t>
            </w:r>
          </w:p>
        </w:tc>
      </w:tr>
      <w:tr w14:paraId="4409E1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77EF01F1">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30</w:t>
            </w:r>
          </w:p>
        </w:tc>
        <w:tc>
          <w:tcPr>
            <w:tcW w:w="1440" w:type="dxa"/>
            <w:tcBorders>
              <w:top w:val="single" w:color="auto" w:sz="4" w:space="0"/>
              <w:left w:val="single" w:color="auto" w:sz="4" w:space="0"/>
              <w:bottom w:val="single" w:color="auto" w:sz="4" w:space="0"/>
              <w:right w:val="single" w:color="auto" w:sz="4" w:space="0"/>
            </w:tcBorders>
            <w:vAlign w:val="center"/>
          </w:tcPr>
          <w:p w14:paraId="56CB70C1">
            <w:pPr>
              <w:snapToGrid w:val="0"/>
              <w:spacing w:line="460" w:lineRule="exact"/>
              <w:jc w:val="center"/>
              <w:rPr>
                <w:rFonts w:ascii="新宋体" w:hAnsi="新宋体" w:eastAsia="新宋体" w:cs="新宋体"/>
                <w:color w:val="auto"/>
                <w:sz w:val="22"/>
                <w:szCs w:val="22"/>
                <w:highlight w:val="none"/>
                <w:lang w:bidi="ar"/>
              </w:rPr>
            </w:pPr>
            <w:r>
              <w:rPr>
                <w:rFonts w:hint="eastAsia" w:ascii="新宋体" w:hAnsi="新宋体" w:eastAsia="新宋体" w:cs="新宋体"/>
                <w:color w:val="auto"/>
                <w:sz w:val="22"/>
                <w:szCs w:val="22"/>
                <w:highlight w:val="none"/>
                <w:lang w:bidi="ar"/>
              </w:rPr>
              <w:t>开标地点</w:t>
            </w:r>
          </w:p>
        </w:tc>
        <w:tc>
          <w:tcPr>
            <w:tcW w:w="7564" w:type="dxa"/>
            <w:tcBorders>
              <w:top w:val="single" w:color="auto" w:sz="4" w:space="0"/>
              <w:left w:val="single" w:color="auto" w:sz="4" w:space="0"/>
              <w:bottom w:val="single" w:color="auto" w:sz="4" w:space="0"/>
              <w:right w:val="single" w:color="auto" w:sz="4" w:space="0"/>
            </w:tcBorders>
            <w:vAlign w:val="center"/>
          </w:tcPr>
          <w:p w14:paraId="7C8F9765">
            <w:pPr>
              <w:autoSpaceDE w:val="0"/>
              <w:autoSpaceDN w:val="0"/>
              <w:snapToGrid w:val="0"/>
              <w:spacing w:line="460" w:lineRule="exact"/>
              <w:textAlignment w:val="bottom"/>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温州市鹿城区勤民路鹿城壹号18幢803室（政采云平台：http://zfcg.czt.zj.gov.cn）</w:t>
            </w:r>
          </w:p>
        </w:tc>
      </w:tr>
      <w:tr w14:paraId="6993F0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7D181A40">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31</w:t>
            </w:r>
          </w:p>
        </w:tc>
        <w:tc>
          <w:tcPr>
            <w:tcW w:w="1440" w:type="dxa"/>
            <w:tcBorders>
              <w:top w:val="single" w:color="auto" w:sz="4" w:space="0"/>
              <w:left w:val="single" w:color="auto" w:sz="4" w:space="0"/>
              <w:bottom w:val="single" w:color="auto" w:sz="4" w:space="0"/>
              <w:right w:val="single" w:color="auto" w:sz="4" w:space="0"/>
            </w:tcBorders>
            <w:vAlign w:val="center"/>
          </w:tcPr>
          <w:p w14:paraId="1A1A6ED8">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评标办法</w:t>
            </w:r>
          </w:p>
        </w:tc>
        <w:tc>
          <w:tcPr>
            <w:tcW w:w="7564" w:type="dxa"/>
            <w:tcBorders>
              <w:top w:val="single" w:color="auto" w:sz="4" w:space="0"/>
              <w:left w:val="single" w:color="auto" w:sz="4" w:space="0"/>
              <w:bottom w:val="single" w:color="auto" w:sz="4" w:space="0"/>
              <w:right w:val="single" w:color="auto" w:sz="4" w:space="0"/>
            </w:tcBorders>
            <w:vAlign w:val="center"/>
          </w:tcPr>
          <w:p w14:paraId="261EC0DE">
            <w:pPr>
              <w:autoSpaceDE w:val="0"/>
              <w:autoSpaceDN w:val="0"/>
              <w:snapToGrid w:val="0"/>
              <w:spacing w:line="460" w:lineRule="exact"/>
              <w:textAlignment w:val="bottom"/>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综合评分法</w:t>
            </w:r>
          </w:p>
        </w:tc>
      </w:tr>
      <w:tr w14:paraId="09B03C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21DEDD36">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32</w:t>
            </w:r>
          </w:p>
        </w:tc>
        <w:tc>
          <w:tcPr>
            <w:tcW w:w="1440" w:type="dxa"/>
            <w:tcBorders>
              <w:top w:val="single" w:color="auto" w:sz="4" w:space="0"/>
              <w:left w:val="single" w:color="auto" w:sz="4" w:space="0"/>
              <w:bottom w:val="single" w:color="auto" w:sz="4" w:space="0"/>
              <w:right w:val="single" w:color="auto" w:sz="4" w:space="0"/>
            </w:tcBorders>
            <w:vAlign w:val="center"/>
          </w:tcPr>
          <w:p w14:paraId="53802705">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合同签订时间</w:t>
            </w:r>
          </w:p>
        </w:tc>
        <w:tc>
          <w:tcPr>
            <w:tcW w:w="7564" w:type="dxa"/>
            <w:tcBorders>
              <w:top w:val="single" w:color="auto" w:sz="4" w:space="0"/>
              <w:left w:val="single" w:color="auto" w:sz="4" w:space="0"/>
              <w:bottom w:val="single" w:color="auto" w:sz="4" w:space="0"/>
              <w:right w:val="single" w:color="auto" w:sz="4" w:space="0"/>
            </w:tcBorders>
            <w:vAlign w:val="center"/>
          </w:tcPr>
          <w:p w14:paraId="699A2BE2">
            <w:pPr>
              <w:autoSpaceDE w:val="0"/>
              <w:autoSpaceDN w:val="0"/>
              <w:snapToGrid w:val="0"/>
              <w:spacing w:line="460" w:lineRule="exact"/>
              <w:textAlignment w:val="bottom"/>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成交通知书发出之日起30天内。</w:t>
            </w:r>
          </w:p>
        </w:tc>
      </w:tr>
      <w:tr w14:paraId="7910E5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542E6F36">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33</w:t>
            </w:r>
          </w:p>
        </w:tc>
        <w:tc>
          <w:tcPr>
            <w:tcW w:w="1440" w:type="dxa"/>
            <w:tcBorders>
              <w:top w:val="single" w:color="auto" w:sz="4" w:space="0"/>
              <w:left w:val="single" w:color="auto" w:sz="4" w:space="0"/>
              <w:bottom w:val="single" w:color="auto" w:sz="4" w:space="0"/>
              <w:right w:val="single" w:color="auto" w:sz="4" w:space="0"/>
            </w:tcBorders>
            <w:vAlign w:val="center"/>
          </w:tcPr>
          <w:p w14:paraId="17B72E4E">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磋商响应文件有效期</w:t>
            </w:r>
          </w:p>
        </w:tc>
        <w:tc>
          <w:tcPr>
            <w:tcW w:w="7564" w:type="dxa"/>
            <w:tcBorders>
              <w:top w:val="single" w:color="auto" w:sz="4" w:space="0"/>
              <w:left w:val="single" w:color="auto" w:sz="4" w:space="0"/>
              <w:bottom w:val="single" w:color="auto" w:sz="4" w:space="0"/>
              <w:right w:val="single" w:color="auto" w:sz="4" w:space="0"/>
            </w:tcBorders>
            <w:vAlign w:val="center"/>
          </w:tcPr>
          <w:p w14:paraId="2D4F1C0A">
            <w:pPr>
              <w:autoSpaceDE w:val="0"/>
              <w:autoSpaceDN w:val="0"/>
              <w:snapToGrid w:val="0"/>
              <w:spacing w:line="460" w:lineRule="exact"/>
              <w:textAlignment w:val="bottom"/>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90天</w:t>
            </w:r>
          </w:p>
        </w:tc>
      </w:tr>
      <w:tr w14:paraId="1D246C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7C930DCD">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34</w:t>
            </w:r>
          </w:p>
        </w:tc>
        <w:tc>
          <w:tcPr>
            <w:tcW w:w="1440" w:type="dxa"/>
            <w:tcBorders>
              <w:top w:val="single" w:color="auto" w:sz="4" w:space="0"/>
              <w:left w:val="single" w:color="auto" w:sz="4" w:space="0"/>
              <w:bottom w:val="single" w:color="auto" w:sz="4" w:space="0"/>
              <w:right w:val="single" w:color="auto" w:sz="4" w:space="0"/>
            </w:tcBorders>
            <w:vAlign w:val="center"/>
          </w:tcPr>
          <w:p w14:paraId="4A37578F">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采购进口产品</w:t>
            </w:r>
          </w:p>
        </w:tc>
        <w:tc>
          <w:tcPr>
            <w:tcW w:w="7564" w:type="dxa"/>
            <w:tcBorders>
              <w:top w:val="single" w:color="auto" w:sz="4" w:space="0"/>
              <w:left w:val="single" w:color="auto" w:sz="4" w:space="0"/>
              <w:bottom w:val="single" w:color="auto" w:sz="4" w:space="0"/>
              <w:right w:val="single" w:color="auto" w:sz="4" w:space="0"/>
            </w:tcBorders>
            <w:vAlign w:val="center"/>
          </w:tcPr>
          <w:p w14:paraId="27EAE0D9">
            <w:pPr>
              <w:snapToGrid w:val="0"/>
              <w:spacing w:line="460" w:lineRule="exact"/>
              <w:rPr>
                <w:color w:val="auto"/>
                <w:highlight w:val="none"/>
              </w:rPr>
            </w:pPr>
            <w:r>
              <w:rPr>
                <w:rFonts w:hint="eastAsia" w:ascii="新宋体" w:hAnsi="新宋体" w:eastAsia="新宋体" w:cs="新宋体"/>
                <w:color w:val="auto"/>
                <w:sz w:val="22"/>
                <w:szCs w:val="22"/>
                <w:highlight w:val="none"/>
              </w:rPr>
              <w:sym w:font="Wingdings" w:char="00A8"/>
            </w:r>
            <w:r>
              <w:rPr>
                <w:rFonts w:hint="eastAsia"/>
                <w:color w:val="auto"/>
                <w:highlight w:val="none"/>
              </w:rPr>
              <w:t>允许</w:t>
            </w:r>
          </w:p>
          <w:p w14:paraId="69B05033">
            <w:pPr>
              <w:pStyle w:val="51"/>
              <w:ind w:firstLine="0" w:firstLineChars="0"/>
              <w:rPr>
                <w:color w:val="auto"/>
                <w:highlight w:val="none"/>
              </w:rPr>
            </w:pPr>
            <w:r>
              <w:rPr>
                <w:rFonts w:hint="eastAsia" w:ascii="新宋体" w:hAnsi="新宋体" w:eastAsia="新宋体" w:cs="新宋体"/>
                <w:color w:val="auto"/>
                <w:sz w:val="22"/>
                <w:szCs w:val="22"/>
                <w:highlight w:val="none"/>
              </w:rPr>
              <w:sym w:font="Wingdings" w:char="00FE"/>
            </w:r>
            <w:r>
              <w:rPr>
                <w:rFonts w:hint="eastAsia" w:ascii="新宋体" w:hAnsi="新宋体" w:eastAsia="新宋体" w:cs="新宋体"/>
                <w:color w:val="auto"/>
                <w:sz w:val="22"/>
                <w:szCs w:val="22"/>
                <w:highlight w:val="none"/>
              </w:rPr>
              <w:t xml:space="preserve">不允许 </w:t>
            </w:r>
          </w:p>
        </w:tc>
      </w:tr>
      <w:tr w14:paraId="71A06C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0F5203F8">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35</w:t>
            </w:r>
          </w:p>
        </w:tc>
        <w:tc>
          <w:tcPr>
            <w:tcW w:w="1440" w:type="dxa"/>
            <w:tcBorders>
              <w:top w:val="single" w:color="auto" w:sz="4" w:space="0"/>
              <w:left w:val="single" w:color="auto" w:sz="4" w:space="0"/>
              <w:bottom w:val="single" w:color="auto" w:sz="4" w:space="0"/>
              <w:right w:val="single" w:color="auto" w:sz="4" w:space="0"/>
            </w:tcBorders>
            <w:vAlign w:val="center"/>
          </w:tcPr>
          <w:p w14:paraId="36DAEF9C">
            <w:pPr>
              <w:spacing w:line="46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开评标程序</w:t>
            </w:r>
          </w:p>
        </w:tc>
        <w:tc>
          <w:tcPr>
            <w:tcW w:w="7564" w:type="dxa"/>
            <w:tcBorders>
              <w:top w:val="single" w:color="auto" w:sz="4" w:space="0"/>
              <w:left w:val="single" w:color="auto" w:sz="4" w:space="0"/>
              <w:bottom w:val="single" w:color="auto" w:sz="4" w:space="0"/>
              <w:right w:val="single" w:color="auto" w:sz="4" w:space="0"/>
            </w:tcBorders>
            <w:vAlign w:val="center"/>
          </w:tcPr>
          <w:p w14:paraId="54F76A54">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rPr>
              <w:t>待开标→磋商响应文件在线解密→代理机构或采购人在线</w:t>
            </w:r>
            <w:r>
              <w:rPr>
                <w:rFonts w:hint="eastAsia" w:ascii="新宋体" w:hAnsi="新宋体" w:eastAsia="新宋体" w:cs="新宋体"/>
                <w:color w:val="auto"/>
                <w:sz w:val="22"/>
                <w:szCs w:val="22"/>
                <w:highlight w:val="none"/>
              </w:rPr>
              <w:t>资格性审查</w:t>
            </w:r>
            <w:r>
              <w:rPr>
                <w:rFonts w:hint="eastAsia" w:ascii="新宋体" w:hAnsi="新宋体" w:eastAsia="新宋体" w:cs="新宋体"/>
                <w:color w:val="auto"/>
                <w:kern w:val="0"/>
                <w:sz w:val="22"/>
                <w:szCs w:val="22"/>
                <w:highlight w:val="none"/>
              </w:rPr>
              <w:t>→评审小组进行符合性审查→开启第二轮报价→评审小组综合评审→</w:t>
            </w:r>
            <w:r>
              <w:rPr>
                <w:rFonts w:hint="eastAsia" w:ascii="新宋体" w:hAnsi="新宋体" w:eastAsia="新宋体" w:cs="新宋体"/>
                <w:color w:val="auto"/>
                <w:sz w:val="22"/>
                <w:szCs w:val="22"/>
                <w:highlight w:val="none"/>
              </w:rPr>
              <w:t>系统公布评审结果。</w:t>
            </w:r>
          </w:p>
          <w:p w14:paraId="2A041712">
            <w:pPr>
              <w:spacing w:line="460" w:lineRule="exact"/>
              <w:rPr>
                <w:rFonts w:ascii="新宋体" w:hAnsi="新宋体" w:eastAsia="新宋体" w:cs="新宋体"/>
                <w:color w:val="auto"/>
                <w:kern w:val="0"/>
                <w:sz w:val="22"/>
                <w:szCs w:val="22"/>
                <w:highlight w:val="none"/>
              </w:rPr>
            </w:pPr>
            <w:r>
              <w:rPr>
                <w:rFonts w:hint="eastAsia" w:ascii="新宋体" w:hAnsi="新宋体" w:eastAsia="新宋体" w:cs="新宋体"/>
                <w:color w:val="auto"/>
                <w:sz w:val="22"/>
                <w:szCs w:val="22"/>
                <w:highlight w:val="none"/>
              </w:rPr>
              <w:t>上述程序将根据政采云电子评标系统的调整而变动。</w:t>
            </w:r>
          </w:p>
        </w:tc>
      </w:tr>
      <w:tr w14:paraId="071DD3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7E9FA666">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36</w:t>
            </w:r>
          </w:p>
        </w:tc>
        <w:tc>
          <w:tcPr>
            <w:tcW w:w="1440" w:type="dxa"/>
            <w:tcBorders>
              <w:top w:val="single" w:color="auto" w:sz="4" w:space="0"/>
              <w:left w:val="single" w:color="auto" w:sz="4" w:space="0"/>
              <w:bottom w:val="single" w:color="auto" w:sz="4" w:space="0"/>
              <w:right w:val="single" w:color="auto" w:sz="4" w:space="0"/>
            </w:tcBorders>
            <w:vAlign w:val="center"/>
          </w:tcPr>
          <w:p w14:paraId="355A6357">
            <w:pPr>
              <w:spacing w:line="46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磋商小组的组建</w:t>
            </w:r>
          </w:p>
        </w:tc>
        <w:tc>
          <w:tcPr>
            <w:tcW w:w="7564" w:type="dxa"/>
            <w:tcBorders>
              <w:top w:val="single" w:color="auto" w:sz="4" w:space="0"/>
              <w:left w:val="single" w:color="auto" w:sz="4" w:space="0"/>
              <w:bottom w:val="single" w:color="auto" w:sz="4" w:space="0"/>
              <w:right w:val="single" w:color="auto" w:sz="4" w:space="0"/>
            </w:tcBorders>
            <w:vAlign w:val="center"/>
          </w:tcPr>
          <w:p w14:paraId="6F800729">
            <w:pPr>
              <w:spacing w:line="460" w:lineRule="exac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磋商小组由采购人代表和有关技术、经济等方面的专家组成，成员人数为3人或以上单数，除采购人代表外的专家将在评标专家库中随机抽取产生。</w:t>
            </w:r>
          </w:p>
        </w:tc>
      </w:tr>
      <w:tr w14:paraId="33C59B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14CF36E0">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37</w:t>
            </w:r>
          </w:p>
        </w:tc>
        <w:tc>
          <w:tcPr>
            <w:tcW w:w="1440" w:type="dxa"/>
            <w:tcBorders>
              <w:top w:val="single" w:color="auto" w:sz="4" w:space="0"/>
              <w:left w:val="single" w:color="auto" w:sz="4" w:space="0"/>
              <w:bottom w:val="single" w:color="auto" w:sz="4" w:space="0"/>
              <w:right w:val="single" w:color="auto" w:sz="4" w:space="0"/>
            </w:tcBorders>
            <w:vAlign w:val="center"/>
          </w:tcPr>
          <w:p w14:paraId="67726847">
            <w:pPr>
              <w:adjustRightInd w:val="0"/>
              <w:spacing w:line="46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sz w:val="22"/>
                <w:szCs w:val="22"/>
                <w:highlight w:val="none"/>
              </w:rPr>
              <w:t>履约担保</w:t>
            </w:r>
          </w:p>
        </w:tc>
        <w:tc>
          <w:tcPr>
            <w:tcW w:w="7564" w:type="dxa"/>
            <w:tcBorders>
              <w:top w:val="single" w:color="auto" w:sz="4" w:space="0"/>
              <w:left w:val="single" w:color="auto" w:sz="4" w:space="0"/>
              <w:bottom w:val="single" w:color="auto" w:sz="4" w:space="0"/>
              <w:right w:val="single" w:color="auto" w:sz="4" w:space="0"/>
            </w:tcBorders>
            <w:vAlign w:val="center"/>
          </w:tcPr>
          <w:p w14:paraId="7FE73C41">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sym w:font="Wingdings" w:char="00A8"/>
            </w:r>
            <w:r>
              <w:rPr>
                <w:rFonts w:hint="eastAsia" w:ascii="新宋体" w:hAnsi="新宋体" w:eastAsia="新宋体" w:cs="新宋体"/>
                <w:color w:val="auto"/>
                <w:sz w:val="22"/>
                <w:szCs w:val="22"/>
                <w:highlight w:val="none"/>
              </w:rPr>
              <w:t>不需要，成交供应商声明不需预付款的</w:t>
            </w:r>
          </w:p>
          <w:p w14:paraId="0A0EB512">
            <w:pPr>
              <w:adjustRightInd w:val="0"/>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sym w:font="Wingdings" w:char="00FE"/>
            </w:r>
            <w:r>
              <w:rPr>
                <w:rFonts w:hint="eastAsia" w:ascii="新宋体" w:hAnsi="新宋体" w:eastAsia="新宋体" w:cs="新宋体"/>
                <w:color w:val="auto"/>
                <w:sz w:val="22"/>
                <w:szCs w:val="22"/>
                <w:highlight w:val="none"/>
              </w:rPr>
              <w:t xml:space="preserve">需要 </w:t>
            </w:r>
          </w:p>
        </w:tc>
      </w:tr>
      <w:tr w14:paraId="1C011B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6FE3AE17">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38</w:t>
            </w:r>
          </w:p>
        </w:tc>
        <w:tc>
          <w:tcPr>
            <w:tcW w:w="1440" w:type="dxa"/>
            <w:tcBorders>
              <w:top w:val="single" w:color="auto" w:sz="4" w:space="0"/>
              <w:left w:val="single" w:color="auto" w:sz="4" w:space="0"/>
              <w:bottom w:val="single" w:color="auto" w:sz="4" w:space="0"/>
              <w:right w:val="single" w:color="auto" w:sz="4" w:space="0"/>
            </w:tcBorders>
            <w:vAlign w:val="center"/>
          </w:tcPr>
          <w:p w14:paraId="64363B9E">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供应商信用信息查询</w:t>
            </w:r>
          </w:p>
        </w:tc>
        <w:tc>
          <w:tcPr>
            <w:tcW w:w="7564" w:type="dxa"/>
            <w:tcBorders>
              <w:top w:val="single" w:color="auto" w:sz="4" w:space="0"/>
              <w:left w:val="single" w:color="auto" w:sz="4" w:space="0"/>
              <w:bottom w:val="single" w:color="auto" w:sz="4" w:space="0"/>
              <w:right w:val="single" w:color="auto" w:sz="4" w:space="0"/>
            </w:tcBorders>
            <w:vAlign w:val="center"/>
          </w:tcPr>
          <w:p w14:paraId="760CBC81">
            <w:pPr>
              <w:snapToGrid w:val="0"/>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根据《关于在政府采购活动中查询及使用信用记录有关问题的通知》财库[2016]125号的规定：</w:t>
            </w:r>
          </w:p>
          <w:p w14:paraId="20475204">
            <w:pPr>
              <w:snapToGrid w:val="0"/>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1、本项目供应商的信用记录进行查询。查询渠道为信用中国网站（www.creditchina.gov.cn）、中国政府采购网（www.ccgp.gov.cn）；</w:t>
            </w:r>
          </w:p>
          <w:p w14:paraId="06D7CF2C">
            <w:pPr>
              <w:snapToGrid w:val="0"/>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2、截止时点：提交磋商响应文件（响应文件）截止时间前3年内；</w:t>
            </w:r>
          </w:p>
          <w:p w14:paraId="448CA89E">
            <w:pPr>
              <w:snapToGrid w:val="0"/>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3、查询记录和证据的留存：信用信息查询记录和证据以网页截图等方式留存。</w:t>
            </w:r>
          </w:p>
          <w:p w14:paraId="43F2E9C1">
            <w:pPr>
              <w:snapToGrid w:val="0"/>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4、使用规则：被列入失信被执行人、重大税收违法案件当事人名单、政府采购严重违法失信行为记录名单及其它不符合《中华人民共和国政府采购法》第二十二条规定条件的，其磋商将被拒绝。</w:t>
            </w:r>
          </w:p>
          <w:p w14:paraId="293A0E47">
            <w:pPr>
              <w:spacing w:line="460" w:lineRule="exact"/>
              <w:rPr>
                <w:rFonts w:ascii="新宋体" w:hAnsi="新宋体" w:eastAsia="新宋体" w:cs="新宋体"/>
                <w:color w:val="auto"/>
                <w:kern w:val="0"/>
                <w:sz w:val="22"/>
                <w:szCs w:val="22"/>
                <w:highlight w:val="none"/>
              </w:rPr>
            </w:pPr>
            <w:r>
              <w:rPr>
                <w:rFonts w:hint="eastAsia" w:ascii="新宋体" w:hAnsi="新宋体" w:eastAsia="新宋体" w:cs="新宋体"/>
                <w:color w:val="auto"/>
                <w:sz w:val="22"/>
                <w:szCs w:val="22"/>
                <w:highlight w:val="none"/>
              </w:rPr>
              <w:t>5、联合体成员任意一方存在不良信用记录的，视同联合体存在不良信用记录。</w:t>
            </w:r>
          </w:p>
        </w:tc>
      </w:tr>
      <w:tr w14:paraId="260473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2EE09761">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39</w:t>
            </w:r>
          </w:p>
        </w:tc>
        <w:tc>
          <w:tcPr>
            <w:tcW w:w="1440" w:type="dxa"/>
            <w:tcBorders>
              <w:top w:val="single" w:color="auto" w:sz="4" w:space="0"/>
              <w:left w:val="single" w:color="auto" w:sz="4" w:space="0"/>
              <w:bottom w:val="single" w:color="auto" w:sz="4" w:space="0"/>
              <w:right w:val="single" w:color="auto" w:sz="4" w:space="0"/>
            </w:tcBorders>
            <w:vAlign w:val="center"/>
          </w:tcPr>
          <w:p w14:paraId="7B7B782D">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项目属性与核心产品</w:t>
            </w:r>
          </w:p>
        </w:tc>
        <w:tc>
          <w:tcPr>
            <w:tcW w:w="7564" w:type="dxa"/>
            <w:tcBorders>
              <w:top w:val="single" w:color="auto" w:sz="4" w:space="0"/>
              <w:left w:val="single" w:color="auto" w:sz="4" w:space="0"/>
              <w:bottom w:val="single" w:color="auto" w:sz="4" w:space="0"/>
              <w:right w:val="single" w:color="auto" w:sz="4" w:space="0"/>
            </w:tcBorders>
            <w:vAlign w:val="center"/>
          </w:tcPr>
          <w:p w14:paraId="43BFA896">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sym w:font="Wingdings" w:char="00FE"/>
            </w:r>
            <w:r>
              <w:rPr>
                <w:rFonts w:hint="eastAsia" w:ascii="新宋体" w:hAnsi="新宋体" w:eastAsia="新宋体" w:cs="新宋体"/>
                <w:color w:val="auto"/>
                <w:sz w:val="22"/>
                <w:szCs w:val="22"/>
                <w:highlight w:val="none"/>
              </w:rPr>
              <w:t>货物类，单一产品或核心产品为：</w:t>
            </w:r>
            <w:r>
              <w:rPr>
                <w:rFonts w:hint="eastAsia" w:ascii="新宋体" w:hAnsi="新宋体" w:eastAsia="新宋体" w:cs="新宋体"/>
                <w:color w:val="auto"/>
                <w:sz w:val="22"/>
                <w:szCs w:val="22"/>
                <w:highlight w:val="none"/>
                <w:u w:val="single"/>
              </w:rPr>
              <w:t xml:space="preserve">  全部     </w:t>
            </w:r>
            <w:r>
              <w:rPr>
                <w:rFonts w:hint="eastAsia" w:ascii="新宋体" w:hAnsi="新宋体" w:eastAsia="新宋体" w:cs="新宋体"/>
                <w:color w:val="auto"/>
                <w:sz w:val="22"/>
                <w:szCs w:val="22"/>
                <w:highlight w:val="none"/>
              </w:rPr>
              <w:t xml:space="preserve"> </w:t>
            </w:r>
          </w:p>
          <w:p w14:paraId="612B86E8">
            <w:pPr>
              <w:spacing w:line="460" w:lineRule="exact"/>
              <w:rPr>
                <w:rFonts w:ascii="新宋体" w:hAnsi="新宋体" w:eastAsia="新宋体" w:cs="新宋体"/>
                <w:color w:val="auto"/>
                <w:kern w:val="0"/>
                <w:sz w:val="22"/>
                <w:szCs w:val="22"/>
                <w:highlight w:val="none"/>
              </w:rPr>
            </w:pPr>
            <w:r>
              <w:rPr>
                <w:rFonts w:hint="eastAsia" w:ascii="新宋体" w:hAnsi="新宋体" w:eastAsia="新宋体" w:cs="新宋体"/>
                <w:b/>
                <w:snapToGrid w:val="0"/>
                <w:color w:val="auto"/>
                <w:sz w:val="22"/>
                <w:szCs w:val="22"/>
                <w:highlight w:val="none"/>
              </w:rPr>
              <w:sym w:font="Wingdings" w:char="00A8"/>
            </w:r>
            <w:r>
              <w:rPr>
                <w:rFonts w:hint="eastAsia" w:ascii="新宋体" w:hAnsi="新宋体" w:eastAsia="新宋体" w:cs="新宋体"/>
                <w:color w:val="auto"/>
                <w:sz w:val="22"/>
                <w:szCs w:val="22"/>
                <w:highlight w:val="none"/>
              </w:rPr>
              <w:t>服务类。</w:t>
            </w:r>
          </w:p>
        </w:tc>
      </w:tr>
      <w:tr w14:paraId="56F5B6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182C8BD8">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40</w:t>
            </w:r>
          </w:p>
        </w:tc>
        <w:tc>
          <w:tcPr>
            <w:tcW w:w="1440" w:type="dxa"/>
            <w:tcBorders>
              <w:top w:val="single" w:color="auto" w:sz="4" w:space="0"/>
              <w:left w:val="single" w:color="auto" w:sz="4" w:space="0"/>
              <w:bottom w:val="single" w:color="auto" w:sz="4" w:space="0"/>
              <w:right w:val="single" w:color="auto" w:sz="4" w:space="0"/>
            </w:tcBorders>
            <w:vAlign w:val="center"/>
          </w:tcPr>
          <w:p w14:paraId="3B9622FC">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代理服务费</w:t>
            </w:r>
          </w:p>
        </w:tc>
        <w:tc>
          <w:tcPr>
            <w:tcW w:w="7564" w:type="dxa"/>
            <w:tcBorders>
              <w:top w:val="single" w:color="auto" w:sz="4" w:space="0"/>
              <w:left w:val="single" w:color="auto" w:sz="4" w:space="0"/>
              <w:bottom w:val="single" w:color="auto" w:sz="4" w:space="0"/>
              <w:right w:val="single" w:color="auto" w:sz="4" w:space="0"/>
            </w:tcBorders>
            <w:vAlign w:val="center"/>
          </w:tcPr>
          <w:p w14:paraId="5CD09110">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w:t>
            </w:r>
            <w:r>
              <w:rPr>
                <w:rFonts w:hint="eastAsia" w:ascii="新宋体" w:hAnsi="新宋体" w:eastAsia="新宋体" w:cs="新宋体"/>
                <w:color w:val="auto"/>
                <w:sz w:val="22"/>
                <w:szCs w:val="22"/>
                <w:highlight w:val="none"/>
                <w:u w:val="single"/>
              </w:rPr>
              <w:t>采购代理服务费根据国家计委印发的《招标代理服务收费管理暂行办法》计价格【2002】1980号文（服务类）的规定按标准计算后下浮30%收取，由成交供应商在领取成交通知书时支付，采购代理服务费包含在磋商总价中</w:t>
            </w:r>
            <w:r>
              <w:rPr>
                <w:rFonts w:hint="eastAsia" w:ascii="新宋体" w:hAnsi="新宋体" w:eastAsia="新宋体" w:cs="新宋体"/>
                <w:color w:val="auto"/>
                <w:sz w:val="22"/>
                <w:szCs w:val="22"/>
                <w:highlight w:val="none"/>
              </w:rPr>
              <w:t>。</w:t>
            </w:r>
          </w:p>
          <w:p w14:paraId="1E485779">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2、采购代理服务费可以是现金、支票或汇票。</w:t>
            </w:r>
          </w:p>
          <w:p w14:paraId="5A7E8458">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3、采购代理服务费汇入账户：</w:t>
            </w:r>
          </w:p>
          <w:p w14:paraId="5EDF8FEE">
            <w:pPr>
              <w:spacing w:line="460" w:lineRule="exact"/>
              <w:rPr>
                <w:rFonts w:ascii="新宋体" w:hAnsi="新宋体" w:eastAsia="新宋体" w:cs="新宋体"/>
                <w:color w:val="auto"/>
                <w:sz w:val="22"/>
                <w:szCs w:val="22"/>
                <w:highlight w:val="none"/>
                <w:lang w:bidi="ar"/>
              </w:rPr>
            </w:pPr>
            <w:r>
              <w:rPr>
                <w:rFonts w:hint="eastAsia" w:ascii="新宋体" w:hAnsi="新宋体" w:eastAsia="新宋体" w:cs="新宋体"/>
                <w:color w:val="auto"/>
                <w:sz w:val="22"/>
                <w:szCs w:val="22"/>
                <w:highlight w:val="none"/>
                <w:lang w:bidi="ar"/>
              </w:rPr>
              <w:t>户   名：温州历程招标有限公司</w:t>
            </w:r>
          </w:p>
          <w:p w14:paraId="1943EE2F">
            <w:pPr>
              <w:spacing w:line="460" w:lineRule="exact"/>
              <w:rPr>
                <w:rFonts w:ascii="新宋体" w:hAnsi="新宋体" w:eastAsia="新宋体" w:cs="新宋体"/>
                <w:color w:val="auto"/>
                <w:sz w:val="22"/>
                <w:szCs w:val="22"/>
                <w:highlight w:val="none"/>
                <w:lang w:bidi="ar"/>
              </w:rPr>
            </w:pPr>
            <w:r>
              <w:rPr>
                <w:rFonts w:hint="eastAsia" w:ascii="新宋体" w:hAnsi="新宋体" w:eastAsia="新宋体" w:cs="新宋体"/>
                <w:color w:val="auto"/>
                <w:sz w:val="22"/>
                <w:szCs w:val="22"/>
                <w:highlight w:val="none"/>
                <w:lang w:bidi="ar"/>
              </w:rPr>
              <w:t>账   号：33050162870409101001</w:t>
            </w:r>
          </w:p>
          <w:p w14:paraId="0C8556CA">
            <w:pPr>
              <w:autoSpaceDE w:val="0"/>
              <w:autoSpaceDN w:val="0"/>
              <w:snapToGrid w:val="0"/>
              <w:spacing w:line="460" w:lineRule="exact"/>
              <w:ind w:left="330" w:hanging="330" w:hangingChars="150"/>
              <w:textAlignment w:val="bottom"/>
              <w:rPr>
                <w:rFonts w:ascii="新宋体" w:hAnsi="新宋体" w:eastAsia="新宋体" w:cs="新宋体"/>
                <w:color w:val="auto"/>
                <w:sz w:val="22"/>
                <w:szCs w:val="22"/>
                <w:highlight w:val="none"/>
                <w:lang w:bidi="ar"/>
              </w:rPr>
            </w:pPr>
            <w:r>
              <w:rPr>
                <w:rFonts w:hint="eastAsia" w:ascii="新宋体" w:hAnsi="新宋体" w:eastAsia="新宋体" w:cs="新宋体"/>
                <w:color w:val="auto"/>
                <w:sz w:val="22"/>
                <w:szCs w:val="22"/>
                <w:highlight w:val="none"/>
                <w:lang w:bidi="ar"/>
              </w:rPr>
              <w:t>开户行：中国建设银行股份有限公司温州新城支行</w:t>
            </w:r>
          </w:p>
          <w:p w14:paraId="28C76B9B">
            <w:pPr>
              <w:pStyle w:val="2"/>
              <w:ind w:left="440" w:hanging="440"/>
              <w:rPr>
                <w:color w:val="auto"/>
                <w:highlight w:val="none"/>
              </w:rPr>
            </w:pPr>
            <w:r>
              <w:rPr>
                <w:rFonts w:hint="eastAsia" w:ascii="新宋体" w:hAnsi="新宋体" w:eastAsia="新宋体" w:cs="新宋体"/>
                <w:color w:val="auto"/>
                <w:sz w:val="22"/>
                <w:szCs w:val="22"/>
                <w:highlight w:val="none"/>
                <w:lang w:bidi="ar"/>
              </w:rPr>
              <w:t>行   号：105333000038</w:t>
            </w:r>
          </w:p>
        </w:tc>
      </w:tr>
      <w:tr w14:paraId="5AFD24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6BE28481">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41</w:t>
            </w:r>
          </w:p>
        </w:tc>
        <w:tc>
          <w:tcPr>
            <w:tcW w:w="1440" w:type="dxa"/>
            <w:tcBorders>
              <w:top w:val="single" w:color="auto" w:sz="4" w:space="0"/>
              <w:left w:val="single" w:color="auto" w:sz="4" w:space="0"/>
              <w:bottom w:val="single" w:color="auto" w:sz="4" w:space="0"/>
              <w:right w:val="single" w:color="auto" w:sz="4" w:space="0"/>
            </w:tcBorders>
            <w:vAlign w:val="center"/>
          </w:tcPr>
          <w:p w14:paraId="603D530D">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质疑</w:t>
            </w:r>
          </w:p>
        </w:tc>
        <w:tc>
          <w:tcPr>
            <w:tcW w:w="7564" w:type="dxa"/>
            <w:tcBorders>
              <w:top w:val="single" w:color="auto" w:sz="4" w:space="0"/>
              <w:left w:val="single" w:color="auto" w:sz="4" w:space="0"/>
              <w:bottom w:val="single" w:color="auto" w:sz="4" w:space="0"/>
              <w:right w:val="single" w:color="auto" w:sz="4" w:space="0"/>
            </w:tcBorders>
            <w:vAlign w:val="center"/>
          </w:tcPr>
          <w:p w14:paraId="103AFBB6">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供应商认为磋商文件、采购过程、中标或者成交结果使自己的权益受到损害的，可以在知道或者应知其权益受到损害之日起</w:t>
            </w:r>
            <w:r>
              <w:rPr>
                <w:rFonts w:hint="eastAsia"/>
                <w:color w:val="auto"/>
                <w:sz w:val="22"/>
                <w:szCs w:val="22"/>
                <w:highlight w:val="none"/>
              </w:rPr>
              <w:t>（公告期限届满后获取磋商文件的，以公告期限届满之日为准）</w:t>
            </w:r>
            <w:r>
              <w:rPr>
                <w:color w:val="auto"/>
                <w:sz w:val="22"/>
                <w:szCs w:val="22"/>
                <w:highlight w:val="none"/>
              </w:rPr>
              <w:t>5</w:t>
            </w:r>
            <w:r>
              <w:rPr>
                <w:rFonts w:hint="eastAsia" w:ascii="新宋体" w:hAnsi="新宋体" w:eastAsia="新宋体" w:cs="新宋体"/>
                <w:color w:val="auto"/>
                <w:sz w:val="22"/>
                <w:szCs w:val="22"/>
                <w:highlight w:val="none"/>
              </w:rPr>
              <w:t>个工作日内，以书面形式向采购人、采购代理机构提出质疑，逾期采购代理机构可不予受理及答复。</w:t>
            </w:r>
            <w:r>
              <w:rPr>
                <w:rFonts w:hint="eastAsia" w:ascii="新宋体" w:hAnsi="新宋体" w:eastAsia="新宋体" w:cs="新宋体"/>
                <w:b/>
                <w:color w:val="auto"/>
                <w:sz w:val="22"/>
                <w:szCs w:val="22"/>
                <w:highlight w:val="none"/>
              </w:rPr>
              <w:t>供应商须在法定质疑期内一次性提出针对同一采购程序环节的质疑</w:t>
            </w:r>
            <w:r>
              <w:rPr>
                <w:rFonts w:hint="eastAsia" w:ascii="新宋体" w:hAnsi="新宋体" w:eastAsia="新宋体" w:cs="新宋体"/>
                <w:color w:val="auto"/>
                <w:sz w:val="22"/>
                <w:szCs w:val="22"/>
                <w:highlight w:val="none"/>
              </w:rPr>
              <w:t>。在线提起质疑的须上传质疑函扫描件。</w:t>
            </w:r>
          </w:p>
        </w:tc>
      </w:tr>
      <w:tr w14:paraId="22E7E8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vAlign w:val="center"/>
          </w:tcPr>
          <w:p w14:paraId="0D5E5756">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42</w:t>
            </w:r>
          </w:p>
        </w:tc>
        <w:tc>
          <w:tcPr>
            <w:tcW w:w="1440" w:type="dxa"/>
            <w:tcBorders>
              <w:top w:val="single" w:color="auto" w:sz="4" w:space="0"/>
              <w:left w:val="single" w:color="auto" w:sz="4" w:space="0"/>
              <w:bottom w:val="single" w:color="auto" w:sz="4" w:space="0"/>
              <w:right w:val="single" w:color="auto" w:sz="4" w:space="0"/>
            </w:tcBorders>
            <w:vAlign w:val="center"/>
          </w:tcPr>
          <w:p w14:paraId="35E1D02C">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解释权</w:t>
            </w:r>
          </w:p>
        </w:tc>
        <w:tc>
          <w:tcPr>
            <w:tcW w:w="7564" w:type="dxa"/>
            <w:tcBorders>
              <w:top w:val="single" w:color="auto" w:sz="4" w:space="0"/>
              <w:left w:val="single" w:color="auto" w:sz="4" w:space="0"/>
              <w:bottom w:val="single" w:color="auto" w:sz="4" w:space="0"/>
              <w:right w:val="single" w:color="auto" w:sz="4" w:space="0"/>
            </w:tcBorders>
            <w:vAlign w:val="center"/>
          </w:tcPr>
          <w:p w14:paraId="27D70D71">
            <w:pPr>
              <w:autoSpaceDE w:val="0"/>
              <w:autoSpaceDN w:val="0"/>
              <w:snapToGrid w:val="0"/>
              <w:spacing w:line="460" w:lineRule="exact"/>
              <w:textAlignment w:val="bottom"/>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本磋商文件的解释权属于采购人和采购代理机构。</w:t>
            </w:r>
          </w:p>
        </w:tc>
      </w:tr>
      <w:tr w14:paraId="51F10E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vMerge w:val="restart"/>
            <w:tcBorders>
              <w:top w:val="single" w:color="auto" w:sz="4" w:space="0"/>
              <w:left w:val="single" w:color="auto" w:sz="4" w:space="0"/>
              <w:right w:val="single" w:color="auto" w:sz="4" w:space="0"/>
            </w:tcBorders>
            <w:vAlign w:val="center"/>
          </w:tcPr>
          <w:p w14:paraId="321920DD">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43</w:t>
            </w:r>
          </w:p>
        </w:tc>
        <w:tc>
          <w:tcPr>
            <w:tcW w:w="1440" w:type="dxa"/>
            <w:vMerge w:val="restart"/>
            <w:tcBorders>
              <w:top w:val="single" w:color="auto" w:sz="4" w:space="0"/>
              <w:left w:val="single" w:color="auto" w:sz="4" w:space="0"/>
              <w:right w:val="single" w:color="auto" w:sz="4" w:space="0"/>
            </w:tcBorders>
            <w:vAlign w:val="center"/>
          </w:tcPr>
          <w:p w14:paraId="11AC6D65">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其他</w:t>
            </w:r>
          </w:p>
        </w:tc>
        <w:tc>
          <w:tcPr>
            <w:tcW w:w="7564" w:type="dxa"/>
            <w:tcBorders>
              <w:top w:val="single" w:color="auto" w:sz="4" w:space="0"/>
              <w:left w:val="single" w:color="auto" w:sz="4" w:space="0"/>
              <w:bottom w:val="single" w:color="auto" w:sz="4" w:space="0"/>
              <w:right w:val="single" w:color="auto" w:sz="4" w:space="0"/>
            </w:tcBorders>
            <w:vAlign w:val="center"/>
          </w:tcPr>
          <w:p w14:paraId="3B6956A2">
            <w:pPr>
              <w:autoSpaceDE w:val="0"/>
              <w:autoSpaceDN w:val="0"/>
              <w:snapToGrid w:val="0"/>
              <w:spacing w:line="460" w:lineRule="exact"/>
              <w:textAlignment w:val="bottom"/>
              <w:rPr>
                <w:rFonts w:ascii="新宋体" w:hAnsi="新宋体" w:eastAsia="新宋体" w:cs="新宋体"/>
                <w:color w:val="auto"/>
                <w:sz w:val="22"/>
                <w:szCs w:val="22"/>
                <w:highlight w:val="none"/>
              </w:rPr>
            </w:pPr>
            <w:r>
              <w:rPr>
                <w:rFonts w:hint="eastAsia" w:ascii="新宋体" w:hAnsi="新宋体" w:eastAsia="新宋体" w:cs="新宋体"/>
                <w:b/>
                <w:color w:val="auto"/>
                <w:kern w:val="10"/>
                <w:sz w:val="22"/>
                <w:szCs w:val="22"/>
                <w:highlight w:val="none"/>
              </w:rPr>
              <w:t>潜在供应商需在浙江政府采购网http://http://zfcg.czt.zj.gov.cn/进行免费注册，具体详见浙江政府采购网供应商注册要求。</w:t>
            </w:r>
          </w:p>
        </w:tc>
      </w:tr>
      <w:tr w14:paraId="3AA27A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0" w:type="dxa"/>
            <w:vMerge w:val="continue"/>
            <w:tcBorders>
              <w:left w:val="single" w:color="auto" w:sz="4" w:space="0"/>
              <w:right w:val="single" w:color="auto" w:sz="4" w:space="0"/>
            </w:tcBorders>
            <w:vAlign w:val="center"/>
          </w:tcPr>
          <w:p w14:paraId="400C7FB5">
            <w:pPr>
              <w:snapToGrid w:val="0"/>
              <w:spacing w:line="460" w:lineRule="exact"/>
              <w:jc w:val="center"/>
              <w:rPr>
                <w:rFonts w:ascii="新宋体" w:hAnsi="新宋体" w:eastAsia="新宋体" w:cs="新宋体"/>
                <w:color w:val="auto"/>
                <w:sz w:val="22"/>
                <w:szCs w:val="22"/>
                <w:highlight w:val="none"/>
              </w:rPr>
            </w:pPr>
          </w:p>
        </w:tc>
        <w:tc>
          <w:tcPr>
            <w:tcW w:w="1440" w:type="dxa"/>
            <w:vMerge w:val="continue"/>
            <w:tcBorders>
              <w:left w:val="single" w:color="auto" w:sz="4" w:space="0"/>
              <w:right w:val="single" w:color="auto" w:sz="4" w:space="0"/>
            </w:tcBorders>
            <w:vAlign w:val="center"/>
          </w:tcPr>
          <w:p w14:paraId="590D73C8">
            <w:pPr>
              <w:snapToGrid w:val="0"/>
              <w:spacing w:line="460" w:lineRule="exact"/>
              <w:jc w:val="center"/>
              <w:rPr>
                <w:rFonts w:ascii="新宋体" w:hAnsi="新宋体" w:eastAsia="新宋体" w:cs="新宋体"/>
                <w:color w:val="auto"/>
                <w:sz w:val="22"/>
                <w:szCs w:val="22"/>
                <w:highlight w:val="none"/>
              </w:rPr>
            </w:pPr>
          </w:p>
        </w:tc>
        <w:tc>
          <w:tcPr>
            <w:tcW w:w="7564" w:type="dxa"/>
            <w:tcBorders>
              <w:top w:val="single" w:color="auto" w:sz="4" w:space="0"/>
              <w:left w:val="single" w:color="auto" w:sz="4" w:space="0"/>
              <w:bottom w:val="single" w:color="auto" w:sz="4" w:space="0"/>
              <w:right w:val="single" w:color="auto" w:sz="4" w:space="0"/>
            </w:tcBorders>
            <w:vAlign w:val="center"/>
          </w:tcPr>
          <w:p w14:paraId="68729432">
            <w:pPr>
              <w:autoSpaceDE w:val="0"/>
              <w:autoSpaceDN w:val="0"/>
              <w:snapToGrid w:val="0"/>
              <w:spacing w:line="460" w:lineRule="exact"/>
              <w:textAlignment w:val="bottom"/>
              <w:rPr>
                <w:rFonts w:ascii="新宋体" w:hAnsi="新宋体" w:eastAsia="新宋体" w:cs="新宋体"/>
                <w:b/>
                <w:color w:val="auto"/>
                <w:kern w:val="10"/>
                <w:sz w:val="22"/>
                <w:szCs w:val="22"/>
                <w:highlight w:val="none"/>
              </w:rPr>
            </w:pPr>
            <w:r>
              <w:rPr>
                <w:rFonts w:hint="eastAsia" w:ascii="新宋体" w:hAnsi="新宋体" w:eastAsia="新宋体" w:cs="新宋体"/>
                <w:color w:val="auto"/>
                <w:sz w:val="22"/>
                <w:szCs w:val="22"/>
                <w:highlight w:val="none"/>
                <w:lang w:bidi="ar"/>
              </w:rPr>
              <w:t>带“▲”条款系指实质性要求条款；</w:t>
            </w:r>
            <w:r>
              <w:rPr>
                <w:rFonts w:hint="eastAsia" w:ascii="新宋体" w:hAnsi="新宋体" w:eastAsia="新宋体" w:cs="新宋体"/>
                <w:color w:val="auto"/>
                <w:sz w:val="22"/>
                <w:szCs w:val="22"/>
                <w:highlight w:val="none"/>
              </w:rPr>
              <w:t>“★”是关键技术参数及要求。</w:t>
            </w:r>
          </w:p>
        </w:tc>
      </w:tr>
    </w:tbl>
    <w:p w14:paraId="42B482DF">
      <w:pPr>
        <w:spacing w:before="100" w:beforeAutospacing="1" w:after="100" w:afterAutospacing="1" w:line="460" w:lineRule="exact"/>
        <w:jc w:val="center"/>
        <w:outlineLvl w:val="1"/>
        <w:rPr>
          <w:rFonts w:ascii="宋体" w:hAnsi="宋体" w:cs="宋体"/>
          <w:color w:val="auto"/>
          <w:sz w:val="22"/>
          <w:szCs w:val="22"/>
          <w:highlight w:val="none"/>
        </w:rPr>
      </w:pPr>
      <w:r>
        <w:rPr>
          <w:rFonts w:hint="eastAsia" w:ascii="宋体" w:hAnsi="宋体" w:cs="宋体"/>
          <w:b/>
          <w:bCs/>
          <w:color w:val="auto"/>
          <w:sz w:val="26"/>
          <w:szCs w:val="26"/>
          <w:highlight w:val="none"/>
        </w:rPr>
        <w:br w:type="page"/>
      </w:r>
      <w:bookmarkStart w:id="28" w:name="_Toc29436"/>
      <w:bookmarkStart w:id="29" w:name="_Toc5738"/>
      <w:bookmarkStart w:id="30" w:name="_Toc11155"/>
      <w:bookmarkStart w:id="31" w:name="_Toc8034"/>
      <w:bookmarkStart w:id="32" w:name="_Toc24263"/>
      <w:bookmarkStart w:id="33" w:name="_Toc24955"/>
      <w:r>
        <w:rPr>
          <w:rFonts w:hint="eastAsia" w:ascii="宋体" w:hAnsi="宋体" w:cs="宋体"/>
          <w:b/>
          <w:bCs/>
          <w:color w:val="auto"/>
          <w:sz w:val="26"/>
          <w:szCs w:val="26"/>
          <w:highlight w:val="none"/>
        </w:rPr>
        <w:t>一、 说   明</w:t>
      </w:r>
      <w:bookmarkEnd w:id="28"/>
      <w:bookmarkEnd w:id="29"/>
      <w:bookmarkEnd w:id="30"/>
      <w:bookmarkEnd w:id="31"/>
      <w:bookmarkEnd w:id="32"/>
      <w:bookmarkEnd w:id="33"/>
    </w:p>
    <w:p w14:paraId="516C9F1A">
      <w:pPr>
        <w:tabs>
          <w:tab w:val="left" w:pos="360"/>
        </w:tabs>
        <w:spacing w:line="460" w:lineRule="exact"/>
        <w:ind w:firstLine="550" w:firstLineChars="250"/>
        <w:rPr>
          <w:rFonts w:ascii="宋体" w:hAnsi="宋体" w:cs="宋体"/>
          <w:b/>
          <w:color w:val="auto"/>
          <w:sz w:val="22"/>
          <w:szCs w:val="22"/>
          <w:highlight w:val="none"/>
        </w:rPr>
      </w:pPr>
      <w:bookmarkStart w:id="34" w:name="_Toc28349"/>
      <w:bookmarkStart w:id="35" w:name="_Toc19652"/>
      <w:bookmarkStart w:id="36" w:name="_Toc13680"/>
      <w:bookmarkStart w:id="37" w:name="_Toc20678"/>
      <w:r>
        <w:rPr>
          <w:rFonts w:hint="eastAsia" w:ascii="宋体" w:hAnsi="宋体" w:cs="宋体"/>
          <w:color w:val="auto"/>
          <w:sz w:val="22"/>
          <w:szCs w:val="22"/>
          <w:highlight w:val="none"/>
        </w:rPr>
        <w:t>1、</w:t>
      </w:r>
      <w:r>
        <w:rPr>
          <w:rFonts w:hint="eastAsia" w:ascii="宋体" w:hAnsi="宋体" w:cs="宋体"/>
          <w:color w:val="auto"/>
          <w:sz w:val="22"/>
          <w:highlight w:val="none"/>
        </w:rPr>
        <w:t>本次采购是参照</w:t>
      </w:r>
      <w:r>
        <w:rPr>
          <w:rFonts w:hint="eastAsia" w:ascii="宋体" w:hAnsi="宋体" w:cs="宋体"/>
          <w:color w:val="auto"/>
          <w:sz w:val="22"/>
          <w:szCs w:val="22"/>
          <w:highlight w:val="none"/>
        </w:rPr>
        <w:t>《中华人民共和国政府采购法》、《政府采购货物和服务招标投标管理办法》、《中华人民共和国政府采购法实施条例》和《政府采购竞争性磋商采购方式管理暂行办法》</w:t>
      </w:r>
      <w:r>
        <w:rPr>
          <w:rFonts w:hint="eastAsia" w:ascii="宋体" w:hAnsi="宋体" w:cs="宋体"/>
          <w:color w:val="auto"/>
          <w:sz w:val="22"/>
          <w:highlight w:val="none"/>
        </w:rPr>
        <w:t>等法律及有关法规组织和实施的。</w:t>
      </w:r>
    </w:p>
    <w:p w14:paraId="469CADA4">
      <w:pPr>
        <w:tabs>
          <w:tab w:val="left" w:pos="360"/>
        </w:tabs>
        <w:spacing w:line="460" w:lineRule="exact"/>
        <w:ind w:firstLine="541" w:firstLineChars="245"/>
        <w:rPr>
          <w:rFonts w:ascii="宋体" w:hAnsi="宋体" w:cs="宋体"/>
          <w:b/>
          <w:bCs/>
          <w:color w:val="auto"/>
          <w:sz w:val="22"/>
          <w:szCs w:val="22"/>
          <w:highlight w:val="none"/>
        </w:rPr>
      </w:pPr>
      <w:r>
        <w:rPr>
          <w:rFonts w:hint="eastAsia" w:ascii="宋体" w:hAnsi="宋体" w:cs="宋体"/>
          <w:b/>
          <w:bCs/>
          <w:color w:val="auto"/>
          <w:sz w:val="22"/>
          <w:szCs w:val="22"/>
          <w:highlight w:val="none"/>
        </w:rPr>
        <w:t>2、定义</w:t>
      </w:r>
    </w:p>
    <w:p w14:paraId="2BEACE78">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采购人：是指依法进行采购的国家机关、事业单位、团体组织</w:t>
      </w:r>
    </w:p>
    <w:p w14:paraId="2453D303">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采购代理机构：受采购人委托，在委托的范围内办理采购事宜的机构；</w:t>
      </w:r>
    </w:p>
    <w:p w14:paraId="013F9482">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磋商供应商：是指参加本采购项目磋商的供应商；</w:t>
      </w:r>
    </w:p>
    <w:p w14:paraId="7D35B343">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磋商供应商代表：是指参加本项目磋商活动的供应商法定代表人或法定代表人授权代表；</w:t>
      </w:r>
    </w:p>
    <w:p w14:paraId="593F0470">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磋商联合体：是指两个以上供应商组成联合体，以一个供应商的身份参加磋商；</w:t>
      </w:r>
    </w:p>
    <w:p w14:paraId="35D00332">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甲方：是指合同签订的一方，一般与采购人、用户相同；</w:t>
      </w:r>
    </w:p>
    <w:p w14:paraId="73C18254">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乙方：是指合同签订的另一方，与成交供应商相同；</w:t>
      </w:r>
    </w:p>
    <w:p w14:paraId="162279A4">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制造商：是指拥有所投产品自主知识产权的单位；</w:t>
      </w:r>
    </w:p>
    <w:p w14:paraId="4CD2639D">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原件备查：要求携带原件备查的，供应商应按要求携带备查，如磋商小组发现磋商响应文件资料复印件存有瑕疵，致使内容模糊、关键信息难以辨认、材料真实性存疑等情形的，有权核对原件或磋商小组认为有必有核对原件，若供应商未能提交原件，将会导致磋商小组作出对其不利的评定，一切后果由供应商自行承担。</w:t>
      </w:r>
    </w:p>
    <w:p w14:paraId="38D69E31">
      <w:pPr>
        <w:pStyle w:val="288"/>
        <w:spacing w:line="460" w:lineRule="exact"/>
        <w:ind w:firstLine="440" w:firstLineChars="200"/>
        <w:rPr>
          <w:rFonts w:hAnsi="宋体"/>
          <w:color w:val="auto"/>
          <w:highlight w:val="none"/>
        </w:rPr>
      </w:pPr>
      <w:r>
        <w:rPr>
          <w:rFonts w:hint="eastAsia" w:hAnsi="宋体"/>
          <w:color w:val="auto"/>
          <w:sz w:val="22"/>
          <w:szCs w:val="22"/>
          <w:highlight w:val="none"/>
        </w:rPr>
        <w:t>“▲”为实质性响应项，不满足则磋商无效。“★”是关键技术参数及要求。</w:t>
      </w:r>
    </w:p>
    <w:p w14:paraId="5CE7710A">
      <w:pPr>
        <w:tabs>
          <w:tab w:val="left" w:pos="360"/>
        </w:tabs>
        <w:spacing w:line="460" w:lineRule="exact"/>
        <w:ind w:firstLine="541" w:firstLineChars="245"/>
        <w:rPr>
          <w:rFonts w:ascii="宋体" w:hAnsi="宋体" w:cs="宋体"/>
          <w:color w:val="auto"/>
          <w:sz w:val="22"/>
          <w:szCs w:val="22"/>
          <w:highlight w:val="none"/>
        </w:rPr>
      </w:pPr>
      <w:r>
        <w:rPr>
          <w:rFonts w:hint="eastAsia" w:ascii="宋体" w:hAnsi="宋体" w:cs="宋体"/>
          <w:b/>
          <w:color w:val="auto"/>
          <w:sz w:val="22"/>
          <w:szCs w:val="22"/>
          <w:highlight w:val="none"/>
        </w:rPr>
        <w:t>3、磋商供应商代表</w:t>
      </w:r>
    </w:p>
    <w:p w14:paraId="66D6D66B">
      <w:pPr>
        <w:tabs>
          <w:tab w:val="left" w:pos="360"/>
        </w:tabs>
        <w:spacing w:line="460" w:lineRule="exact"/>
        <w:ind w:firstLine="541" w:firstLineChars="245"/>
        <w:rPr>
          <w:rFonts w:ascii="宋体" w:hAnsi="宋体" w:cs="宋体"/>
          <w:b/>
          <w:color w:val="auto"/>
          <w:sz w:val="22"/>
          <w:szCs w:val="22"/>
          <w:highlight w:val="none"/>
        </w:rPr>
      </w:pPr>
      <w:r>
        <w:rPr>
          <w:rFonts w:hint="eastAsia" w:ascii="宋体" w:hAnsi="宋体" w:cs="宋体"/>
          <w:b/>
          <w:color w:val="auto"/>
          <w:sz w:val="22"/>
          <w:szCs w:val="22"/>
          <w:highlight w:val="none"/>
        </w:rPr>
        <w:t>3.1指全权代表磋商供应商参加磋商活动并签署磋商响应文件的人，如果磋商供应商代表不是法定代表人，须持有《法定代表人授权书》（见附件）。</w:t>
      </w:r>
    </w:p>
    <w:p w14:paraId="5060C3BA">
      <w:pPr>
        <w:tabs>
          <w:tab w:val="left" w:pos="360"/>
        </w:tabs>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szCs w:val="22"/>
          <w:highlight w:val="none"/>
        </w:rPr>
        <w:t>参照政府采购相关法律、法规、规章、文件规定并满足磋商文件规定资格条件的区域性分支机构、个体工商户、个人独资企业、合伙企业参加本项目磋商并由单位负责人签署的相关磋商资料与本磋商文件规定由法定代表人签署的的文件材料具有同等效力。</w:t>
      </w:r>
    </w:p>
    <w:p w14:paraId="700AE236">
      <w:pPr>
        <w:spacing w:line="460" w:lineRule="exact"/>
        <w:ind w:firstLine="541" w:firstLineChars="245"/>
        <w:rPr>
          <w:rFonts w:ascii="宋体" w:hAnsi="宋体" w:cs="宋体"/>
          <w:b/>
          <w:color w:val="auto"/>
          <w:sz w:val="22"/>
          <w:szCs w:val="22"/>
          <w:highlight w:val="none"/>
        </w:rPr>
      </w:pPr>
      <w:r>
        <w:rPr>
          <w:rFonts w:hint="eastAsia" w:ascii="宋体" w:hAnsi="宋体" w:cs="宋体"/>
          <w:b/>
          <w:color w:val="auto"/>
          <w:sz w:val="22"/>
          <w:szCs w:val="22"/>
          <w:highlight w:val="none"/>
        </w:rPr>
        <w:t>4、磋商费用</w:t>
      </w:r>
    </w:p>
    <w:p w14:paraId="024360DE">
      <w:pPr>
        <w:spacing w:line="460" w:lineRule="exact"/>
        <w:ind w:firstLine="541" w:firstLineChars="245"/>
        <w:rPr>
          <w:rFonts w:ascii="宋体" w:hAnsi="宋体" w:cs="宋体"/>
          <w:color w:val="auto"/>
          <w:sz w:val="22"/>
          <w:szCs w:val="22"/>
          <w:highlight w:val="none"/>
        </w:rPr>
      </w:pPr>
      <w:r>
        <w:rPr>
          <w:rFonts w:hint="eastAsia" w:ascii="宋体" w:hAnsi="宋体" w:cs="宋体"/>
          <w:b/>
          <w:color w:val="auto"/>
          <w:sz w:val="22"/>
          <w:szCs w:val="22"/>
          <w:highlight w:val="none"/>
        </w:rPr>
        <w:t>4.1</w:t>
      </w:r>
      <w:r>
        <w:rPr>
          <w:rFonts w:hint="eastAsia" w:ascii="宋体" w:hAnsi="宋体" w:cs="宋体"/>
          <w:color w:val="auto"/>
          <w:sz w:val="22"/>
          <w:szCs w:val="22"/>
          <w:highlight w:val="none"/>
        </w:rPr>
        <w:t>磋商供应商应承担所有与准备和参加磋商有关费用，不论磋商的结果如何，采购人或采购代理机构均无义务和责任承担这些费用。</w:t>
      </w:r>
    </w:p>
    <w:p w14:paraId="3E261813">
      <w:pPr>
        <w:spacing w:before="100" w:beforeAutospacing="1" w:after="100" w:afterAutospacing="1" w:line="460" w:lineRule="exact"/>
        <w:jc w:val="center"/>
        <w:outlineLvl w:val="1"/>
        <w:rPr>
          <w:rFonts w:ascii="宋体" w:hAnsi="宋体" w:cs="宋体"/>
          <w:b/>
          <w:bCs/>
          <w:color w:val="auto"/>
          <w:sz w:val="26"/>
          <w:szCs w:val="26"/>
          <w:highlight w:val="none"/>
        </w:rPr>
      </w:pPr>
      <w:bookmarkStart w:id="38" w:name="_Toc28606"/>
      <w:bookmarkStart w:id="39" w:name="_Toc23230"/>
      <w:r>
        <w:rPr>
          <w:rFonts w:hint="eastAsia" w:ascii="宋体" w:hAnsi="宋体" w:cs="宋体"/>
          <w:b/>
          <w:bCs/>
          <w:color w:val="auto"/>
          <w:sz w:val="26"/>
          <w:szCs w:val="26"/>
          <w:highlight w:val="none"/>
        </w:rPr>
        <w:t>二、 磋商文件</w:t>
      </w:r>
      <w:bookmarkEnd w:id="34"/>
      <w:bookmarkEnd w:id="35"/>
      <w:bookmarkEnd w:id="36"/>
      <w:bookmarkEnd w:id="37"/>
      <w:bookmarkEnd w:id="38"/>
      <w:bookmarkEnd w:id="39"/>
    </w:p>
    <w:p w14:paraId="4FA4413B">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1、磋商文件由磋商文件目录所列内容及相关资料组成。</w:t>
      </w:r>
    </w:p>
    <w:p w14:paraId="2B6EDF86">
      <w:pPr>
        <w:spacing w:line="440" w:lineRule="exact"/>
        <w:ind w:firstLine="541" w:firstLineChars="245"/>
        <w:rPr>
          <w:rFonts w:ascii="宋体" w:hAnsi="宋体" w:cs="宋体"/>
          <w:b/>
          <w:color w:val="auto"/>
          <w:sz w:val="22"/>
          <w:highlight w:val="none"/>
        </w:rPr>
      </w:pPr>
      <w:r>
        <w:rPr>
          <w:rFonts w:hint="eastAsia" w:ascii="宋体" w:hAnsi="宋体" w:cs="宋体"/>
          <w:b/>
          <w:color w:val="auto"/>
          <w:sz w:val="22"/>
          <w:highlight w:val="none"/>
        </w:rPr>
        <w:t>2、磋商文件的澄清和修改</w:t>
      </w:r>
    </w:p>
    <w:p w14:paraId="44CBF721">
      <w:pPr>
        <w:spacing w:line="460" w:lineRule="exact"/>
        <w:ind w:firstLine="539" w:firstLineChars="245"/>
        <w:rPr>
          <w:rFonts w:ascii="宋体" w:hAnsi="宋体" w:cs="宋体"/>
          <w:b/>
          <w:color w:val="auto"/>
          <w:sz w:val="22"/>
          <w:szCs w:val="22"/>
          <w:highlight w:val="none"/>
        </w:rPr>
      </w:pPr>
      <w:r>
        <w:rPr>
          <w:rFonts w:hint="eastAsia" w:ascii="宋体" w:hAnsi="宋体" w:cs="宋体"/>
          <w:color w:val="auto"/>
          <w:sz w:val="22"/>
          <w:highlight w:val="none"/>
        </w:rPr>
        <w:t>2.1 提交首次磋商响应文件截止之日前，采购人、采购代理机构或者磋商小组可以对已发出的磋商文件进行必要的澄清或者修改，澄清或者修改的内容作为磋商文件的组成部分。澄清或者修改的内容可能影响磋商响应文件编制的，采购人、采购代理机构应当在提交首次磋商响应文件截止时间至少5日前，以书面形式通知所有获取磋商文件的供应商；不足5日的，采购人、采购代理机构应当顺延提交首次磋商响应文件截止时间。</w:t>
      </w:r>
    </w:p>
    <w:p w14:paraId="1042993A">
      <w:pPr>
        <w:spacing w:before="100" w:beforeAutospacing="1" w:after="100" w:afterAutospacing="1" w:line="460" w:lineRule="exact"/>
        <w:jc w:val="center"/>
        <w:outlineLvl w:val="1"/>
        <w:rPr>
          <w:rFonts w:ascii="宋体" w:hAnsi="宋体" w:cs="宋体"/>
          <w:b/>
          <w:bCs/>
          <w:color w:val="auto"/>
          <w:sz w:val="26"/>
          <w:szCs w:val="26"/>
          <w:highlight w:val="none"/>
        </w:rPr>
      </w:pPr>
      <w:bookmarkStart w:id="40" w:name="_Toc21382"/>
      <w:bookmarkStart w:id="41" w:name="_Toc11838"/>
      <w:bookmarkStart w:id="42" w:name="_Toc18853"/>
      <w:bookmarkStart w:id="43" w:name="_Toc13558"/>
      <w:bookmarkStart w:id="44" w:name="_Toc7296"/>
      <w:bookmarkStart w:id="45" w:name="_Toc25161"/>
      <w:r>
        <w:rPr>
          <w:rFonts w:hint="eastAsia" w:ascii="宋体" w:hAnsi="宋体" w:cs="宋体"/>
          <w:b/>
          <w:bCs/>
          <w:color w:val="auto"/>
          <w:sz w:val="26"/>
          <w:szCs w:val="26"/>
          <w:highlight w:val="none"/>
        </w:rPr>
        <w:t>三、 磋商响应文件的编制</w:t>
      </w:r>
      <w:bookmarkEnd w:id="40"/>
      <w:bookmarkEnd w:id="41"/>
      <w:bookmarkEnd w:id="42"/>
      <w:bookmarkEnd w:id="43"/>
      <w:bookmarkEnd w:id="44"/>
      <w:bookmarkEnd w:id="45"/>
    </w:p>
    <w:p w14:paraId="14258EE7">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1、磋商供应商应认真阅读磋商文件中所有事项、格式、条款和技术规范等。</w:t>
      </w:r>
      <w:r>
        <w:rPr>
          <w:rFonts w:hint="eastAsia" w:ascii="宋体" w:hAnsi="宋体" w:cs="宋体"/>
          <w:b/>
          <w:color w:val="auto"/>
          <w:sz w:val="22"/>
          <w:highlight w:val="none"/>
        </w:rPr>
        <w:t>磋商供应商没有按照磋商文件要求提交全部资料，或者没有对磋商文件各个方面做出实质性响应，导致磋商被否决的风险由磋商供应商自行承担。</w:t>
      </w:r>
    </w:p>
    <w:p w14:paraId="31910E54">
      <w:pPr>
        <w:spacing w:line="460" w:lineRule="exact"/>
        <w:ind w:firstLine="541" w:firstLineChars="245"/>
        <w:rPr>
          <w:rFonts w:ascii="宋体" w:hAnsi="宋体" w:cs="宋体"/>
          <w:b/>
          <w:color w:val="auto"/>
          <w:sz w:val="22"/>
          <w:szCs w:val="22"/>
          <w:highlight w:val="none"/>
        </w:rPr>
      </w:pPr>
      <w:r>
        <w:rPr>
          <w:rFonts w:hint="eastAsia" w:ascii="宋体" w:hAnsi="宋体" w:cs="宋体"/>
          <w:b/>
          <w:color w:val="auto"/>
          <w:sz w:val="22"/>
          <w:highlight w:val="none"/>
        </w:rPr>
        <w:t>2、磋商供应商应保证所提供文件资料的真实性，所有文件资料必须是针对本次磋商的。如发现磋商供应商提供了虚假文件资料，其磋商将被否决，并自行承担相应的法律责任。</w:t>
      </w:r>
    </w:p>
    <w:p w14:paraId="00AFF1C7">
      <w:pPr>
        <w:spacing w:line="460" w:lineRule="exact"/>
        <w:ind w:firstLine="541" w:firstLineChars="245"/>
        <w:rPr>
          <w:rFonts w:ascii="宋体" w:hAnsi="宋体" w:cs="宋体"/>
          <w:b/>
          <w:color w:val="auto"/>
          <w:sz w:val="22"/>
          <w:szCs w:val="22"/>
          <w:highlight w:val="none"/>
        </w:rPr>
      </w:pPr>
      <w:r>
        <w:rPr>
          <w:rFonts w:hint="eastAsia" w:ascii="宋体" w:hAnsi="宋体" w:cs="宋体"/>
          <w:b/>
          <w:color w:val="auto"/>
          <w:sz w:val="22"/>
          <w:szCs w:val="22"/>
          <w:highlight w:val="none"/>
        </w:rPr>
        <w:t>3、</w:t>
      </w:r>
      <w:r>
        <w:rPr>
          <w:rFonts w:hint="eastAsia" w:ascii="宋体" w:hAnsi="宋体" w:cs="宋体"/>
          <w:b/>
          <w:bCs/>
          <w:color w:val="auto"/>
          <w:sz w:val="22"/>
          <w:szCs w:val="22"/>
          <w:highlight w:val="none"/>
        </w:rPr>
        <w:t>磋商响应文件的构成：</w:t>
      </w:r>
    </w:p>
    <w:p w14:paraId="1496B165">
      <w:pPr>
        <w:spacing w:line="460" w:lineRule="exact"/>
        <w:ind w:firstLine="539" w:firstLineChars="245"/>
        <w:rPr>
          <w:rFonts w:ascii="宋体" w:hAnsi="宋体" w:cs="宋体"/>
          <w:color w:val="auto"/>
          <w:sz w:val="22"/>
          <w:szCs w:val="22"/>
          <w:highlight w:val="none"/>
        </w:rPr>
      </w:pPr>
      <w:r>
        <w:rPr>
          <w:rFonts w:hint="eastAsia" w:ascii="宋体" w:hAnsi="宋体" w:cs="宋体"/>
          <w:color w:val="auto"/>
          <w:kern w:val="0"/>
          <w:sz w:val="22"/>
          <w:szCs w:val="22"/>
          <w:highlight w:val="none"/>
        </w:rPr>
        <w:t>磋商响应文件</w:t>
      </w:r>
      <w:r>
        <w:rPr>
          <w:rFonts w:hint="eastAsia" w:ascii="宋体" w:hAnsi="宋体" w:cs="宋体"/>
          <w:color w:val="auto"/>
          <w:kern w:val="0"/>
          <w:sz w:val="22"/>
          <w:szCs w:val="22"/>
          <w:highlight w:val="none"/>
          <w:lang w:val="zh-CN"/>
        </w:rPr>
        <w:t>应当包括以下主要内容：资格文件、报价文件、商务技术文件。</w:t>
      </w:r>
    </w:p>
    <w:p w14:paraId="2C17AB3E">
      <w:pPr>
        <w:spacing w:line="460" w:lineRule="exact"/>
        <w:ind w:firstLine="541" w:firstLineChars="245"/>
        <w:rPr>
          <w:rFonts w:ascii="宋体" w:hAnsi="宋体" w:cs="宋体"/>
          <w:b/>
          <w:bCs/>
          <w:color w:val="auto"/>
          <w:kern w:val="0"/>
          <w:sz w:val="22"/>
          <w:szCs w:val="22"/>
          <w:highlight w:val="none"/>
          <w:lang w:val="zh-CN"/>
        </w:rPr>
      </w:pPr>
      <w:r>
        <w:rPr>
          <w:rFonts w:hint="eastAsia" w:ascii="宋体" w:hAnsi="宋体" w:cs="宋体"/>
          <w:b/>
          <w:bCs/>
          <w:color w:val="auto"/>
          <w:kern w:val="0"/>
          <w:sz w:val="22"/>
          <w:szCs w:val="22"/>
          <w:highlight w:val="none"/>
        </w:rPr>
        <w:t>3.1</w:t>
      </w:r>
      <w:r>
        <w:rPr>
          <w:rFonts w:hint="eastAsia" w:ascii="宋体" w:hAnsi="宋体" w:cs="宋体"/>
          <w:b/>
          <w:bCs/>
          <w:color w:val="auto"/>
          <w:kern w:val="0"/>
          <w:sz w:val="22"/>
          <w:szCs w:val="22"/>
          <w:highlight w:val="none"/>
          <w:lang w:val="zh-CN"/>
        </w:rPr>
        <w:t xml:space="preserve">磋商供应商的资格文件至少应包括以下内容： </w:t>
      </w:r>
    </w:p>
    <w:p w14:paraId="53503C05">
      <w:pPr>
        <w:spacing w:line="460" w:lineRule="exact"/>
        <w:ind w:firstLine="539" w:firstLineChars="245"/>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基本资格条件审查材料：即证明其符合《中华人民共和国政府采购法》规定的供应商基本条件的有关资格证明文件。</w:t>
      </w:r>
    </w:p>
    <w:p w14:paraId="52D8257E">
      <w:pPr>
        <w:snapToGrid w:val="0"/>
        <w:spacing w:line="460" w:lineRule="exact"/>
        <w:ind w:left="105" w:leftChars="50"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包括：</w:t>
      </w:r>
    </w:p>
    <w:p w14:paraId="4C970029">
      <w:pPr>
        <w:snapToGrid w:val="0"/>
        <w:spacing w:line="460" w:lineRule="exact"/>
        <w:ind w:left="105" w:leftChars="50"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（1）</w:t>
      </w:r>
      <w:r>
        <w:rPr>
          <w:rFonts w:hint="eastAsia" w:ascii="宋体" w:hAnsi="宋体" w:cs="宋体"/>
          <w:bCs/>
          <w:color w:val="auto"/>
          <w:sz w:val="22"/>
          <w:szCs w:val="22"/>
          <w:highlight w:val="none"/>
        </w:rPr>
        <w:t>营业执照</w:t>
      </w:r>
      <w:r>
        <w:rPr>
          <w:rFonts w:hint="eastAsia" w:ascii="宋体" w:hAnsi="宋体" w:cs="宋体"/>
          <w:color w:val="auto"/>
          <w:sz w:val="22"/>
          <w:szCs w:val="22"/>
          <w:highlight w:val="none"/>
        </w:rPr>
        <w:t xml:space="preserve">(或事业法人登记证书或其它工商等登记证明材料；自然人参与政府采购，提供身份证)复印件； </w:t>
      </w:r>
    </w:p>
    <w:p w14:paraId="062B9763">
      <w:pPr>
        <w:snapToGrid w:val="0"/>
        <w:spacing w:line="460" w:lineRule="exact"/>
        <w:ind w:left="105" w:leftChars="50"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磋商响应文件中提供相关材料），证明其具备实际承担责任的能力和法定的缔结合同能力，可以独立参加政府采购活动，由单位负责人签署相关文件材料；</w:t>
      </w:r>
    </w:p>
    <w:p w14:paraId="23375132">
      <w:pPr>
        <w:snapToGrid w:val="0"/>
        <w:spacing w:line="460" w:lineRule="exact"/>
        <w:ind w:left="105" w:leftChars="50"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（2）最近一年财务报表(复印件，新成立的公司提供情况说明)；</w:t>
      </w:r>
    </w:p>
    <w:p w14:paraId="297E5608">
      <w:pPr>
        <w:snapToGrid w:val="0"/>
        <w:spacing w:line="460" w:lineRule="exact"/>
        <w:ind w:left="105" w:leftChars="50"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（3）具有履行合同所必需的场地、设备和专业技术能力的承诺函；</w:t>
      </w:r>
    </w:p>
    <w:p w14:paraId="5AB5F078">
      <w:pPr>
        <w:snapToGrid w:val="0"/>
        <w:spacing w:line="460" w:lineRule="exact"/>
        <w:ind w:left="105" w:leftChars="50"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（4）依法缴纳税收和社会保障资金的承诺函；</w:t>
      </w:r>
    </w:p>
    <w:p w14:paraId="2758A7ED">
      <w:pPr>
        <w:snapToGrid w:val="0"/>
        <w:spacing w:line="460" w:lineRule="exact"/>
        <w:ind w:left="105" w:leftChars="50"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（5）参加政府采购活动前3年内在经营活动中没有重大违法记录的声明函；</w:t>
      </w:r>
    </w:p>
    <w:p w14:paraId="1CF4809D">
      <w:pPr>
        <w:snapToGrid w:val="0"/>
        <w:spacing w:line="460" w:lineRule="exact"/>
        <w:ind w:left="105" w:leftChars="50"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（6）单位负责人为同一人或者存在直接控股、管理关系的不同供应商，不得参加同一合同项下的政府采购活动承诺函；</w:t>
      </w:r>
    </w:p>
    <w:p w14:paraId="5B2544C2">
      <w:pPr>
        <w:snapToGrid w:val="0"/>
        <w:spacing w:line="460" w:lineRule="exact"/>
        <w:ind w:left="105" w:leftChars="50"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（7）供应商不属于公益一类事业单位承诺函。</w:t>
      </w:r>
    </w:p>
    <w:p w14:paraId="5223AFA0">
      <w:pPr>
        <w:snapToGrid w:val="0"/>
        <w:spacing w:line="460" w:lineRule="exact"/>
        <w:ind w:left="105" w:leftChars="50"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（8）未被“信用中国”（www.creditchina.gov.cn）、中国政府采购网（www.ccgp.gov.cn）列入失信被执行人、重大税收违法案件当事人名单、政府采购严重违法失信行为记录名单.</w:t>
      </w:r>
    </w:p>
    <w:p w14:paraId="6EDCA16C">
      <w:pPr>
        <w:snapToGrid w:val="0"/>
        <w:spacing w:line="460" w:lineRule="exact"/>
        <w:ind w:left="525" w:leftChars="250"/>
        <w:rPr>
          <w:rFonts w:ascii="宋体" w:hAnsi="宋体" w:cs="宋体"/>
          <w:color w:val="auto"/>
          <w:sz w:val="22"/>
          <w:szCs w:val="22"/>
          <w:highlight w:val="none"/>
        </w:rPr>
      </w:pPr>
      <w:r>
        <w:rPr>
          <w:rFonts w:hint="eastAsia" w:ascii="宋体" w:hAnsi="宋体" w:cs="宋体"/>
          <w:color w:val="auto"/>
          <w:sz w:val="22"/>
          <w:szCs w:val="22"/>
          <w:highlight w:val="none"/>
        </w:rPr>
        <w:t>信用信息查询记录和证据以项目公告发出日期后的网页截图为准；</w:t>
      </w:r>
    </w:p>
    <w:p w14:paraId="536C5FFD">
      <w:pPr>
        <w:snapToGrid w:val="0"/>
        <w:spacing w:line="460" w:lineRule="exact"/>
        <w:ind w:left="525" w:leftChars="250"/>
        <w:rPr>
          <w:rFonts w:ascii="宋体" w:hAnsi="宋体" w:cs="宋体"/>
          <w:color w:val="auto"/>
          <w:sz w:val="22"/>
          <w:szCs w:val="22"/>
          <w:highlight w:val="none"/>
        </w:rPr>
      </w:pPr>
      <w:r>
        <w:rPr>
          <w:rFonts w:hint="eastAsia" w:ascii="宋体" w:hAnsi="宋体" w:cs="宋体"/>
          <w:color w:val="auto"/>
          <w:sz w:val="22"/>
          <w:szCs w:val="22"/>
          <w:highlight w:val="none"/>
        </w:rPr>
        <w:t>（9）采购活动确认声明书</w:t>
      </w:r>
    </w:p>
    <w:p w14:paraId="5EC150DF">
      <w:pPr>
        <w:snapToGrid w:val="0"/>
        <w:spacing w:line="460" w:lineRule="exact"/>
        <w:ind w:left="525" w:leftChars="250"/>
        <w:rPr>
          <w:rFonts w:ascii="宋体" w:hAnsi="宋体" w:cs="宋体"/>
          <w:color w:val="auto"/>
          <w:sz w:val="22"/>
          <w:szCs w:val="22"/>
          <w:highlight w:val="none"/>
        </w:rPr>
      </w:pPr>
      <w:r>
        <w:rPr>
          <w:rFonts w:hint="eastAsia" w:ascii="宋体" w:hAnsi="宋体" w:cs="宋体"/>
          <w:color w:val="auto"/>
          <w:sz w:val="22"/>
          <w:szCs w:val="22"/>
          <w:highlight w:val="none"/>
        </w:rPr>
        <w:t>上述资格条件审查材料有一项不提供的，视为资格审查不通过。</w:t>
      </w:r>
    </w:p>
    <w:p w14:paraId="7AB65D2F">
      <w:pPr>
        <w:snapToGrid w:val="0"/>
        <w:spacing w:line="460" w:lineRule="exact"/>
        <w:ind w:left="105" w:leftChars="50" w:firstLine="442" w:firstLineChars="200"/>
        <w:rPr>
          <w:rFonts w:ascii="宋体" w:hAnsi="宋体" w:cs="宋体"/>
          <w:color w:val="auto"/>
          <w:sz w:val="22"/>
          <w:szCs w:val="22"/>
          <w:highlight w:val="none"/>
          <w:u w:val="single"/>
          <w:lang w:val="zh-CN"/>
        </w:rPr>
      </w:pPr>
      <w:r>
        <w:rPr>
          <w:rFonts w:hint="eastAsia" w:ascii="宋体" w:hAnsi="宋体" w:cs="宋体"/>
          <w:b/>
          <w:bCs/>
          <w:color w:val="auto"/>
          <w:sz w:val="22"/>
          <w:szCs w:val="22"/>
          <w:highlight w:val="none"/>
        </w:rPr>
        <w:t xml:space="preserve">3.2磋商供应商的报价文件至少应包括以下内容： </w:t>
      </w:r>
    </w:p>
    <w:p w14:paraId="1CED024C">
      <w:pPr>
        <w:snapToGrid w:val="0"/>
        <w:spacing w:line="460" w:lineRule="exact"/>
        <w:ind w:left="105" w:leftChars="50"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（1）磋商响应</w:t>
      </w:r>
      <w:r>
        <w:rPr>
          <w:rFonts w:hint="eastAsia" w:ascii="宋体" w:hAnsi="宋体" w:cs="宋体"/>
          <w:color w:val="auto"/>
          <w:sz w:val="22"/>
          <w:szCs w:val="22"/>
          <w:highlight w:val="none"/>
          <w:lang w:val="zh-CN"/>
        </w:rPr>
        <w:t>函</w:t>
      </w:r>
    </w:p>
    <w:p w14:paraId="476E8917">
      <w:pPr>
        <w:snapToGrid w:val="0"/>
        <w:spacing w:line="460" w:lineRule="exact"/>
        <w:ind w:left="105" w:leftChars="50"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（2）报价一览表</w:t>
      </w:r>
    </w:p>
    <w:p w14:paraId="0840F960">
      <w:pPr>
        <w:snapToGrid w:val="0"/>
        <w:spacing w:line="460" w:lineRule="exact"/>
        <w:ind w:left="105" w:leftChars="50"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 xml:space="preserve">（3）分项报价表 </w:t>
      </w:r>
    </w:p>
    <w:p w14:paraId="48C07C67">
      <w:pPr>
        <w:snapToGrid w:val="0"/>
        <w:spacing w:line="460" w:lineRule="exact"/>
        <w:ind w:firstLine="442" w:firstLineChars="200"/>
        <w:rPr>
          <w:rFonts w:ascii="宋体" w:hAnsi="宋体" w:cs="宋体"/>
          <w:color w:val="auto"/>
          <w:kern w:val="0"/>
          <w:sz w:val="22"/>
          <w:szCs w:val="22"/>
          <w:highlight w:val="none"/>
          <w:lang w:val="zh-CN"/>
        </w:rPr>
      </w:pPr>
      <w:r>
        <w:rPr>
          <w:rFonts w:hint="eastAsia" w:ascii="宋体" w:hAnsi="宋体" w:cs="宋体"/>
          <w:b/>
          <w:bCs/>
          <w:color w:val="auto"/>
          <w:kern w:val="0"/>
          <w:sz w:val="22"/>
          <w:szCs w:val="22"/>
          <w:highlight w:val="none"/>
        </w:rPr>
        <w:t>3.3</w:t>
      </w:r>
      <w:r>
        <w:rPr>
          <w:rFonts w:hint="eastAsia" w:ascii="宋体" w:hAnsi="宋体" w:cs="宋体"/>
          <w:b/>
          <w:bCs/>
          <w:color w:val="auto"/>
          <w:kern w:val="0"/>
          <w:sz w:val="22"/>
          <w:szCs w:val="22"/>
          <w:highlight w:val="none"/>
          <w:lang w:val="zh-CN"/>
        </w:rPr>
        <w:t>磋商供应商的商务技术文件应包括以下内容：</w:t>
      </w:r>
      <w:r>
        <w:rPr>
          <w:rFonts w:hint="eastAsia" w:ascii="宋体" w:hAnsi="宋体" w:cs="宋体"/>
          <w:color w:val="auto"/>
          <w:kern w:val="0"/>
          <w:sz w:val="22"/>
          <w:szCs w:val="22"/>
          <w:highlight w:val="none"/>
          <w:lang w:val="zh-CN"/>
        </w:rPr>
        <w:t xml:space="preserve"> </w:t>
      </w:r>
    </w:p>
    <w:p w14:paraId="40F1FE64">
      <w:pPr>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（1）法定代表人授权委托书（需提供法定代表人及授权委托人的身份证复印件加盖公章）；</w:t>
      </w:r>
    </w:p>
    <w:p w14:paraId="0B4AC499">
      <w:pPr>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（2）磋商供应商情况表</w:t>
      </w:r>
    </w:p>
    <w:p w14:paraId="363F510D">
      <w:pPr>
        <w:snapToGrid w:val="0"/>
        <w:spacing w:line="460" w:lineRule="exact"/>
        <w:ind w:firstLine="440" w:firstLineChars="200"/>
        <w:rPr>
          <w:rFonts w:ascii="宋体" w:hAnsi="宋体" w:cs="宋体"/>
          <w:b/>
          <w:bCs/>
          <w:color w:val="auto"/>
          <w:sz w:val="22"/>
          <w:szCs w:val="22"/>
          <w:highlight w:val="none"/>
          <w:u w:color="000000"/>
        </w:rPr>
      </w:pPr>
      <w:r>
        <w:rPr>
          <w:rFonts w:hint="eastAsia" w:ascii="宋体" w:hAnsi="宋体" w:cs="宋体"/>
          <w:color w:val="auto"/>
          <w:sz w:val="22"/>
          <w:szCs w:val="22"/>
          <w:highlight w:val="none"/>
        </w:rPr>
        <w:t>（3）</w:t>
      </w:r>
      <w:r>
        <w:rPr>
          <w:rFonts w:hint="eastAsia" w:ascii="宋体" w:hAnsi="宋体" w:cs="宋体"/>
          <w:color w:val="auto"/>
          <w:sz w:val="22"/>
          <w:szCs w:val="22"/>
          <w:highlight w:val="none"/>
          <w:lang w:val="zh-CN"/>
        </w:rPr>
        <w:t>偏离表（</w:t>
      </w:r>
      <w:r>
        <w:rPr>
          <w:rFonts w:hint="eastAsia" w:ascii="宋体" w:hAnsi="宋体" w:cs="宋体"/>
          <w:color w:val="auto"/>
          <w:sz w:val="22"/>
          <w:szCs w:val="22"/>
          <w:highlight w:val="none"/>
        </w:rPr>
        <w:t>商务、技术偏离</w:t>
      </w:r>
      <w:r>
        <w:rPr>
          <w:rFonts w:hint="eastAsia" w:ascii="宋体" w:hAnsi="宋体" w:cs="宋体"/>
          <w:color w:val="auto"/>
          <w:sz w:val="22"/>
          <w:szCs w:val="22"/>
          <w:highlight w:val="none"/>
          <w:lang w:val="zh-CN"/>
        </w:rPr>
        <w:t>）</w:t>
      </w:r>
    </w:p>
    <w:p w14:paraId="427692CC">
      <w:pPr>
        <w:snapToGrid w:val="0"/>
        <w:spacing w:line="460" w:lineRule="exact"/>
        <w:ind w:firstLine="440" w:firstLineChars="200"/>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w:t>
      </w:r>
      <w:r>
        <w:rPr>
          <w:rFonts w:hint="eastAsia" w:ascii="宋体" w:hAnsi="宋体" w:cs="宋体"/>
          <w:color w:val="auto"/>
          <w:sz w:val="22"/>
          <w:szCs w:val="22"/>
          <w:highlight w:val="none"/>
        </w:rPr>
        <w:t>4</w:t>
      </w:r>
      <w:r>
        <w:rPr>
          <w:rFonts w:hint="eastAsia" w:ascii="宋体" w:hAnsi="宋体" w:cs="宋体"/>
          <w:color w:val="auto"/>
          <w:sz w:val="22"/>
          <w:szCs w:val="22"/>
          <w:highlight w:val="none"/>
          <w:lang w:val="zh-CN"/>
        </w:rPr>
        <w:t>）详细供货清单说明一览表</w:t>
      </w:r>
    </w:p>
    <w:p w14:paraId="0FDF4225">
      <w:pPr>
        <w:snapToGrid w:val="0"/>
        <w:spacing w:line="460" w:lineRule="exact"/>
        <w:ind w:firstLine="440" w:firstLineChars="200"/>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w:t>
      </w:r>
      <w:r>
        <w:rPr>
          <w:rFonts w:hint="eastAsia" w:ascii="宋体" w:hAnsi="宋体" w:cs="宋体"/>
          <w:color w:val="auto"/>
          <w:sz w:val="22"/>
          <w:szCs w:val="22"/>
          <w:highlight w:val="none"/>
        </w:rPr>
        <w:t>5</w:t>
      </w:r>
      <w:r>
        <w:rPr>
          <w:rFonts w:hint="eastAsia" w:ascii="宋体" w:hAnsi="宋体" w:cs="宋体"/>
          <w:color w:val="auto"/>
          <w:sz w:val="22"/>
          <w:szCs w:val="22"/>
          <w:highlight w:val="none"/>
          <w:lang w:val="zh-CN"/>
        </w:rPr>
        <w:t>）备品、易损件、备件、专用工具清单</w:t>
      </w:r>
    </w:p>
    <w:p w14:paraId="3761F11C">
      <w:pPr>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（6）商务部分</w:t>
      </w:r>
    </w:p>
    <w:p w14:paraId="79FE2427">
      <w:pPr>
        <w:snapToGrid w:val="0"/>
        <w:spacing w:line="460" w:lineRule="exact"/>
        <w:ind w:firstLine="880" w:firstLineChars="400"/>
        <w:rPr>
          <w:rFonts w:ascii="宋体" w:hAnsi="宋体" w:cs="宋体"/>
          <w:color w:val="auto"/>
          <w:sz w:val="22"/>
          <w:szCs w:val="22"/>
          <w:highlight w:val="none"/>
        </w:rPr>
      </w:pPr>
      <w:r>
        <w:rPr>
          <w:rFonts w:ascii="宋体" w:hAnsi="宋体" w:cs="宋体"/>
          <w:color w:val="auto"/>
          <w:sz w:val="22"/>
          <w:szCs w:val="22"/>
          <w:highlight w:val="none"/>
        </w:rPr>
        <w:t>①</w:t>
      </w:r>
      <w:r>
        <w:rPr>
          <w:rFonts w:hint="eastAsia" w:ascii="宋体" w:hAnsi="宋体" w:cs="宋体"/>
          <w:color w:val="auto"/>
          <w:sz w:val="22"/>
          <w:szCs w:val="22"/>
          <w:highlight w:val="none"/>
        </w:rPr>
        <w:t>ISO9001质量管理体系认证证书</w:t>
      </w:r>
    </w:p>
    <w:p w14:paraId="174B38EC">
      <w:pPr>
        <w:snapToGrid w:val="0"/>
        <w:spacing w:line="460" w:lineRule="exact"/>
        <w:ind w:firstLine="880" w:firstLineChars="400"/>
        <w:rPr>
          <w:rFonts w:ascii="宋体" w:hAnsi="宋体" w:cs="宋体"/>
          <w:color w:val="auto"/>
          <w:sz w:val="22"/>
          <w:szCs w:val="22"/>
          <w:highlight w:val="none"/>
        </w:rPr>
      </w:pPr>
      <w:r>
        <w:rPr>
          <w:rFonts w:ascii="宋体" w:hAnsi="宋体" w:cs="宋体"/>
          <w:color w:val="auto"/>
          <w:sz w:val="22"/>
          <w:szCs w:val="22"/>
          <w:highlight w:val="none"/>
        </w:rPr>
        <w:t>②</w:t>
      </w:r>
      <w:r>
        <w:rPr>
          <w:rFonts w:hint="eastAsia" w:ascii="宋体" w:hAnsi="宋体" w:cs="宋体"/>
          <w:color w:val="auto"/>
          <w:sz w:val="22"/>
          <w:szCs w:val="22"/>
          <w:highlight w:val="none"/>
        </w:rPr>
        <w:t>ISO14001环境管理体系认证证书</w:t>
      </w:r>
    </w:p>
    <w:p w14:paraId="36B75FCF">
      <w:pPr>
        <w:snapToGrid w:val="0"/>
        <w:spacing w:line="460" w:lineRule="exact"/>
        <w:ind w:firstLine="880" w:firstLineChars="400"/>
        <w:rPr>
          <w:rFonts w:ascii="宋体" w:hAnsi="宋体" w:cs="宋体"/>
          <w:color w:val="auto"/>
          <w:sz w:val="22"/>
          <w:szCs w:val="22"/>
          <w:highlight w:val="none"/>
        </w:rPr>
      </w:pPr>
      <w:r>
        <w:rPr>
          <w:rFonts w:ascii="宋体" w:hAnsi="宋体" w:cs="宋体"/>
          <w:color w:val="auto"/>
          <w:sz w:val="22"/>
          <w:szCs w:val="22"/>
          <w:highlight w:val="none"/>
        </w:rPr>
        <w:t>③</w:t>
      </w:r>
      <w:r>
        <w:rPr>
          <w:rFonts w:hint="eastAsia" w:ascii="宋体" w:hAnsi="宋体" w:cs="宋体"/>
          <w:color w:val="auto"/>
          <w:sz w:val="22"/>
          <w:szCs w:val="22"/>
          <w:highlight w:val="none"/>
        </w:rPr>
        <w:t>ISO45001 职业健康安全管理体系认证证书或(GB/T 28001 职业健康安全管理体系认证证书)</w:t>
      </w:r>
    </w:p>
    <w:p w14:paraId="09AD457B">
      <w:pPr>
        <w:snapToGrid w:val="0"/>
        <w:spacing w:line="460" w:lineRule="exact"/>
        <w:ind w:firstLine="880" w:firstLineChars="400"/>
        <w:rPr>
          <w:rFonts w:ascii="宋体" w:hAnsi="宋体" w:cs="宋体"/>
          <w:color w:val="auto"/>
          <w:sz w:val="22"/>
          <w:szCs w:val="22"/>
          <w:highlight w:val="none"/>
        </w:rPr>
      </w:pPr>
      <w:r>
        <w:rPr>
          <w:rFonts w:hint="eastAsia" w:ascii="宋体" w:hAnsi="宋体" w:cs="宋体"/>
          <w:color w:val="auto"/>
          <w:sz w:val="22"/>
          <w:szCs w:val="22"/>
          <w:highlight w:val="none"/>
        </w:rPr>
        <w:t>④CQC 中国环保产品认证证书</w:t>
      </w:r>
    </w:p>
    <w:p w14:paraId="2ABD636B">
      <w:pPr>
        <w:snapToGrid w:val="0"/>
        <w:spacing w:line="460" w:lineRule="exact"/>
        <w:ind w:firstLine="880" w:firstLineChars="400"/>
        <w:rPr>
          <w:rFonts w:ascii="宋体" w:hAnsi="宋体" w:cs="宋体"/>
          <w:color w:val="auto"/>
          <w:sz w:val="22"/>
          <w:szCs w:val="22"/>
          <w:highlight w:val="none"/>
        </w:rPr>
      </w:pPr>
      <w:r>
        <w:rPr>
          <w:rFonts w:hint="eastAsia" w:ascii="宋体" w:hAnsi="宋体" w:cs="宋体"/>
          <w:color w:val="auto"/>
          <w:sz w:val="22"/>
          <w:szCs w:val="22"/>
          <w:highlight w:val="none"/>
        </w:rPr>
        <w:t>⑤CEC 家具产品环保卫士认证证书</w:t>
      </w:r>
    </w:p>
    <w:p w14:paraId="35B00737">
      <w:pPr>
        <w:snapToGrid w:val="0"/>
        <w:spacing w:line="460" w:lineRule="exact"/>
        <w:ind w:firstLine="880" w:firstLineChars="400"/>
        <w:rPr>
          <w:rFonts w:ascii="宋体" w:hAnsi="宋体" w:cs="宋体"/>
          <w:color w:val="auto"/>
          <w:sz w:val="22"/>
          <w:szCs w:val="22"/>
          <w:highlight w:val="none"/>
        </w:rPr>
      </w:pPr>
      <w:r>
        <w:rPr>
          <w:rFonts w:hint="eastAsia" w:ascii="宋体" w:hAnsi="宋体" w:cs="宋体"/>
          <w:color w:val="auto"/>
          <w:sz w:val="22"/>
          <w:szCs w:val="22"/>
          <w:highlight w:val="none"/>
        </w:rPr>
        <w:t>⑥产品获得国家确定的认证机构出具的有效期之内的环境标志产品认证证书</w:t>
      </w:r>
    </w:p>
    <w:p w14:paraId="7E66BAAC">
      <w:pPr>
        <w:snapToGrid w:val="0"/>
        <w:spacing w:line="460" w:lineRule="exact"/>
        <w:ind w:firstLine="880" w:firstLineChars="400"/>
        <w:rPr>
          <w:rFonts w:ascii="宋体" w:hAnsi="宋体" w:cs="宋体"/>
          <w:color w:val="auto"/>
          <w:sz w:val="22"/>
          <w:szCs w:val="22"/>
          <w:highlight w:val="none"/>
          <w:lang w:val="zh-CN"/>
        </w:rPr>
      </w:pPr>
      <w:r>
        <w:rPr>
          <w:rFonts w:hint="eastAsia" w:ascii="宋体" w:hAnsi="宋体" w:cs="宋体"/>
          <w:color w:val="auto"/>
          <w:sz w:val="22"/>
          <w:szCs w:val="22"/>
          <w:highlight w:val="none"/>
        </w:rPr>
        <w:t>⑦同类案例</w:t>
      </w:r>
    </w:p>
    <w:p w14:paraId="7A8848F6">
      <w:pPr>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（7）技术部分</w:t>
      </w:r>
    </w:p>
    <w:p w14:paraId="4B2F109D">
      <w:pPr>
        <w:snapToGrid w:val="0"/>
        <w:spacing w:line="460" w:lineRule="exact"/>
        <w:ind w:firstLine="880" w:firstLineChars="400"/>
        <w:rPr>
          <w:rFonts w:ascii="宋体" w:hAnsi="宋体" w:cs="宋体"/>
          <w:color w:val="auto"/>
          <w:sz w:val="22"/>
          <w:szCs w:val="22"/>
          <w:highlight w:val="none"/>
        </w:rPr>
      </w:pPr>
      <w:r>
        <w:rPr>
          <w:rFonts w:ascii="宋体" w:hAnsi="宋体" w:cs="宋体"/>
          <w:color w:val="auto"/>
          <w:sz w:val="22"/>
          <w:szCs w:val="22"/>
          <w:highlight w:val="none"/>
        </w:rPr>
        <w:t>①</w:t>
      </w:r>
      <w:r>
        <w:rPr>
          <w:rFonts w:hint="eastAsia" w:ascii="宋体" w:hAnsi="宋体" w:cs="宋体"/>
          <w:color w:val="auto"/>
          <w:sz w:val="22"/>
          <w:szCs w:val="22"/>
          <w:highlight w:val="none"/>
        </w:rPr>
        <w:t>与采购标的相关的外观、结构、工艺及技术专利</w:t>
      </w:r>
    </w:p>
    <w:p w14:paraId="1EE9F956">
      <w:pPr>
        <w:snapToGrid w:val="0"/>
        <w:spacing w:line="460" w:lineRule="exact"/>
        <w:ind w:firstLine="880" w:firstLineChars="400"/>
        <w:rPr>
          <w:rFonts w:ascii="宋体" w:hAnsi="宋体" w:cs="宋体"/>
          <w:color w:val="auto"/>
          <w:sz w:val="22"/>
          <w:szCs w:val="22"/>
          <w:highlight w:val="none"/>
        </w:rPr>
      </w:pPr>
      <w:r>
        <w:rPr>
          <w:rFonts w:ascii="宋体" w:hAnsi="宋体" w:cs="宋体"/>
          <w:color w:val="auto"/>
          <w:sz w:val="22"/>
          <w:szCs w:val="22"/>
          <w:highlight w:val="none"/>
        </w:rPr>
        <w:t>②</w:t>
      </w:r>
      <w:r>
        <w:rPr>
          <w:rFonts w:hint="eastAsia" w:ascii="宋体" w:hAnsi="宋体" w:cs="宋体"/>
          <w:color w:val="auto"/>
          <w:sz w:val="22"/>
          <w:szCs w:val="22"/>
          <w:highlight w:val="none"/>
        </w:rPr>
        <w:t>符合核心技术性能要求的与采购标的同品类成品检测报告（一年内）</w:t>
      </w:r>
    </w:p>
    <w:p w14:paraId="3A93068A">
      <w:pPr>
        <w:snapToGrid w:val="0"/>
        <w:spacing w:line="460" w:lineRule="exact"/>
        <w:ind w:firstLine="880" w:firstLineChars="400"/>
        <w:rPr>
          <w:rFonts w:ascii="宋体" w:hAnsi="宋体" w:cs="宋体"/>
          <w:color w:val="auto"/>
          <w:sz w:val="22"/>
          <w:szCs w:val="22"/>
          <w:highlight w:val="none"/>
        </w:rPr>
      </w:pPr>
      <w:r>
        <w:rPr>
          <w:rFonts w:ascii="宋体" w:hAnsi="宋体" w:cs="宋体"/>
          <w:color w:val="auto"/>
          <w:sz w:val="22"/>
          <w:szCs w:val="22"/>
          <w:highlight w:val="none"/>
        </w:rPr>
        <w:t>③</w:t>
      </w:r>
      <w:r>
        <w:rPr>
          <w:rFonts w:hint="eastAsia" w:ascii="宋体" w:hAnsi="宋体" w:cs="宋体"/>
          <w:color w:val="auto"/>
          <w:sz w:val="22"/>
          <w:szCs w:val="22"/>
          <w:highlight w:val="none"/>
        </w:rPr>
        <w:t>符合国家标准或行业标准要求的主要原材料（如人造板、面料、海绵、五金配件、封边条、涂料、胶黏剂、塑料件等）的检测报告（一年内）</w:t>
      </w:r>
    </w:p>
    <w:p w14:paraId="31EC2C45">
      <w:pPr>
        <w:snapToGrid w:val="0"/>
        <w:spacing w:line="460" w:lineRule="exact"/>
        <w:ind w:firstLine="880" w:firstLineChars="400"/>
        <w:rPr>
          <w:rFonts w:ascii="宋体" w:hAnsi="宋体" w:cs="宋体"/>
          <w:color w:val="auto"/>
          <w:sz w:val="22"/>
          <w:szCs w:val="22"/>
          <w:highlight w:val="none"/>
        </w:rPr>
      </w:pPr>
      <w:r>
        <w:rPr>
          <w:rFonts w:hint="eastAsia" w:ascii="宋体" w:hAnsi="宋体" w:cs="宋体"/>
          <w:color w:val="auto"/>
          <w:sz w:val="22"/>
          <w:szCs w:val="22"/>
          <w:highlight w:val="none"/>
        </w:rPr>
        <w:t>④技术规格响应情况</w:t>
      </w:r>
    </w:p>
    <w:p w14:paraId="7F5E302D">
      <w:pPr>
        <w:snapToGrid w:val="0"/>
        <w:spacing w:line="460" w:lineRule="exact"/>
        <w:ind w:firstLine="880" w:firstLineChars="400"/>
        <w:rPr>
          <w:rFonts w:ascii="宋体" w:hAnsi="宋体" w:cs="宋体"/>
          <w:color w:val="auto"/>
          <w:sz w:val="22"/>
          <w:szCs w:val="22"/>
          <w:highlight w:val="none"/>
        </w:rPr>
      </w:pPr>
      <w:r>
        <w:rPr>
          <w:rFonts w:hint="eastAsia" w:ascii="宋体" w:hAnsi="宋体" w:cs="宋体"/>
          <w:color w:val="auto"/>
          <w:sz w:val="22"/>
          <w:szCs w:val="22"/>
          <w:highlight w:val="none"/>
        </w:rPr>
        <w:t>⑤生产厂家的核心专业生产设备</w:t>
      </w:r>
    </w:p>
    <w:p w14:paraId="346AF0E9">
      <w:pPr>
        <w:snapToGrid w:val="0"/>
        <w:spacing w:line="460" w:lineRule="exact"/>
        <w:ind w:firstLine="880" w:firstLineChars="400"/>
        <w:rPr>
          <w:rFonts w:ascii="宋体" w:hAnsi="宋体" w:cs="宋体"/>
          <w:color w:val="auto"/>
          <w:sz w:val="22"/>
          <w:szCs w:val="22"/>
          <w:highlight w:val="none"/>
        </w:rPr>
      </w:pPr>
      <w:r>
        <w:rPr>
          <w:rFonts w:hint="eastAsia" w:ascii="宋体" w:hAnsi="宋体" w:cs="宋体"/>
          <w:color w:val="auto"/>
          <w:sz w:val="22"/>
          <w:szCs w:val="22"/>
          <w:highlight w:val="none"/>
        </w:rPr>
        <w:t>⑥技术团队履历及能力说明</w:t>
      </w:r>
    </w:p>
    <w:p w14:paraId="6A4C1A8A">
      <w:pPr>
        <w:snapToGrid w:val="0"/>
        <w:spacing w:line="460" w:lineRule="exact"/>
        <w:ind w:firstLine="880" w:firstLineChars="400"/>
        <w:rPr>
          <w:rFonts w:ascii="宋体" w:hAnsi="宋体" w:cs="宋体"/>
          <w:color w:val="auto"/>
          <w:sz w:val="22"/>
          <w:szCs w:val="22"/>
          <w:highlight w:val="none"/>
        </w:rPr>
      </w:pPr>
      <w:r>
        <w:rPr>
          <w:rFonts w:hint="eastAsia" w:ascii="宋体" w:hAnsi="宋体" w:cs="宋体"/>
          <w:color w:val="auto"/>
          <w:sz w:val="22"/>
          <w:szCs w:val="22"/>
          <w:highlight w:val="none"/>
        </w:rPr>
        <w:t>⑦项目实施规划方案</w:t>
      </w:r>
    </w:p>
    <w:p w14:paraId="2CA55C02">
      <w:pPr>
        <w:snapToGrid w:val="0"/>
        <w:spacing w:line="460" w:lineRule="exact"/>
        <w:ind w:firstLine="880" w:firstLineChars="400"/>
        <w:rPr>
          <w:rFonts w:ascii="宋体" w:hAnsi="宋体" w:cs="宋体"/>
          <w:color w:val="auto"/>
          <w:sz w:val="22"/>
          <w:szCs w:val="22"/>
          <w:highlight w:val="none"/>
        </w:rPr>
      </w:pPr>
      <w:r>
        <w:rPr>
          <w:rFonts w:hint="eastAsia" w:ascii="宋体" w:hAnsi="宋体" w:cs="宋体"/>
          <w:color w:val="auto"/>
          <w:sz w:val="22"/>
          <w:szCs w:val="22"/>
          <w:highlight w:val="none"/>
        </w:rPr>
        <w:t>⑧生产实施方案</w:t>
      </w:r>
    </w:p>
    <w:p w14:paraId="3612AE52">
      <w:pPr>
        <w:snapToGrid w:val="0"/>
        <w:spacing w:line="460" w:lineRule="exact"/>
        <w:ind w:firstLine="880" w:firstLineChars="400"/>
        <w:rPr>
          <w:rFonts w:ascii="宋体" w:hAnsi="宋体" w:cs="宋体"/>
          <w:color w:val="auto"/>
          <w:sz w:val="22"/>
          <w:szCs w:val="22"/>
          <w:highlight w:val="none"/>
        </w:rPr>
      </w:pPr>
      <w:r>
        <w:rPr>
          <w:rFonts w:hint="eastAsia" w:ascii="宋体" w:hAnsi="宋体" w:cs="宋体"/>
          <w:color w:val="auto"/>
          <w:sz w:val="22"/>
          <w:szCs w:val="22"/>
          <w:highlight w:val="none"/>
        </w:rPr>
        <w:t>⑨品质管理管控方案</w:t>
      </w:r>
    </w:p>
    <w:p w14:paraId="0CF977DA">
      <w:pPr>
        <w:snapToGrid w:val="0"/>
        <w:spacing w:line="460" w:lineRule="exact"/>
        <w:ind w:firstLine="880" w:firstLineChars="400"/>
        <w:rPr>
          <w:rFonts w:ascii="宋体" w:hAnsi="宋体" w:cs="宋体"/>
          <w:color w:val="auto"/>
          <w:sz w:val="22"/>
          <w:szCs w:val="22"/>
          <w:highlight w:val="none"/>
        </w:rPr>
      </w:pPr>
      <w:r>
        <w:rPr>
          <w:rFonts w:hint="eastAsia" w:ascii="宋体" w:hAnsi="宋体" w:cs="宋体"/>
          <w:color w:val="auto"/>
          <w:sz w:val="22"/>
          <w:szCs w:val="22"/>
          <w:highlight w:val="none"/>
        </w:rPr>
        <w:t>⑩安装服务实施方案</w:t>
      </w:r>
    </w:p>
    <w:p w14:paraId="69C22E50">
      <w:pPr>
        <w:snapToGrid w:val="0"/>
        <w:spacing w:line="460" w:lineRule="exact"/>
        <w:ind w:firstLine="880" w:firstLineChars="400"/>
        <w:rPr>
          <w:rFonts w:ascii="宋体" w:hAnsi="宋体" w:cs="宋体"/>
          <w:color w:val="auto"/>
          <w:sz w:val="22"/>
          <w:szCs w:val="22"/>
          <w:highlight w:val="none"/>
        </w:rPr>
      </w:pPr>
      <w:r>
        <w:rPr>
          <w:rFonts w:hint="eastAsia" w:ascii="宋体" w:hAnsi="宋体" w:cs="宋体"/>
          <w:color w:val="auto"/>
          <w:sz w:val="22"/>
          <w:szCs w:val="22"/>
          <w:highlight w:val="none"/>
        </w:rPr>
        <w:t xml:space="preserve"> ⑪安装服务实施方案</w:t>
      </w:r>
    </w:p>
    <w:p w14:paraId="26573022">
      <w:pPr>
        <w:snapToGrid w:val="0"/>
        <w:spacing w:line="460" w:lineRule="exact"/>
        <w:ind w:firstLine="440" w:firstLineChars="200"/>
        <w:rPr>
          <w:rFonts w:ascii="宋体" w:hAnsi="宋体" w:cs="宋体"/>
          <w:color w:val="auto"/>
          <w:sz w:val="22"/>
          <w:szCs w:val="22"/>
          <w:highlight w:val="none"/>
          <w:u w:color="000000"/>
        </w:rPr>
      </w:pPr>
      <w:r>
        <w:rPr>
          <w:rFonts w:hint="eastAsia" w:ascii="宋体" w:hAnsi="宋体" w:cs="宋体"/>
          <w:color w:val="auto"/>
          <w:sz w:val="22"/>
          <w:szCs w:val="22"/>
          <w:highlight w:val="none"/>
          <w:u w:color="000000"/>
        </w:rPr>
        <w:t>磋商供应商认为</w:t>
      </w:r>
      <w:r>
        <w:rPr>
          <w:rFonts w:hint="eastAsia" w:ascii="宋体" w:hAnsi="宋体" w:cs="宋体"/>
          <w:color w:val="auto"/>
          <w:sz w:val="22"/>
          <w:szCs w:val="22"/>
          <w:highlight w:val="none"/>
        </w:rPr>
        <w:t>其他必要提供的资料</w:t>
      </w:r>
    </w:p>
    <w:p w14:paraId="49E90DE4">
      <w:pPr>
        <w:spacing w:line="460" w:lineRule="exact"/>
        <w:ind w:firstLine="663" w:firstLineChars="300"/>
        <w:rPr>
          <w:rFonts w:ascii="宋体" w:hAnsi="宋体" w:cs="宋体"/>
          <w:b/>
          <w:color w:val="auto"/>
          <w:sz w:val="22"/>
          <w:szCs w:val="22"/>
          <w:highlight w:val="none"/>
          <w:lang w:val="zh-CN"/>
        </w:rPr>
      </w:pPr>
      <w:r>
        <w:rPr>
          <w:rFonts w:hint="eastAsia" w:ascii="宋体" w:hAnsi="宋体" w:cs="宋体"/>
          <w:b/>
          <w:color w:val="auto"/>
          <w:sz w:val="22"/>
          <w:szCs w:val="22"/>
          <w:highlight w:val="none"/>
          <w:lang w:val="zh-CN"/>
        </w:rPr>
        <w:t>磋商响应文件中所需的各种证书、证件、证明资料如是复印件，须在复印件上加盖有效公章。</w:t>
      </w:r>
    </w:p>
    <w:p w14:paraId="722B49DE">
      <w:pPr>
        <w:spacing w:line="460" w:lineRule="exact"/>
        <w:ind w:firstLine="541" w:firstLineChars="245"/>
        <w:rPr>
          <w:rFonts w:ascii="宋体" w:hAnsi="宋体" w:cs="宋体"/>
          <w:b/>
          <w:bCs/>
          <w:color w:val="auto"/>
          <w:sz w:val="22"/>
          <w:szCs w:val="22"/>
          <w:highlight w:val="none"/>
        </w:rPr>
      </w:pPr>
      <w:r>
        <w:rPr>
          <w:rFonts w:hint="eastAsia" w:ascii="宋体" w:hAnsi="宋体" w:cs="宋体"/>
          <w:b/>
          <w:color w:val="auto"/>
          <w:sz w:val="22"/>
          <w:szCs w:val="22"/>
          <w:highlight w:val="none"/>
          <w:lang w:val="zh-CN"/>
        </w:rPr>
        <w:t>磋商供应商的</w:t>
      </w:r>
      <w:r>
        <w:rPr>
          <w:rFonts w:hint="eastAsia" w:ascii="宋体" w:hAnsi="宋体" w:cs="宋体"/>
          <w:b/>
          <w:color w:val="auto"/>
          <w:sz w:val="22"/>
          <w:szCs w:val="22"/>
          <w:highlight w:val="none"/>
        </w:rPr>
        <w:t>磋商响应文件必须按照磋商文件要求制作</w:t>
      </w:r>
      <w:r>
        <w:rPr>
          <w:rFonts w:hint="eastAsia" w:ascii="宋体" w:hAnsi="宋体" w:cs="宋体"/>
          <w:b/>
          <w:bCs/>
          <w:color w:val="auto"/>
          <w:sz w:val="22"/>
          <w:szCs w:val="22"/>
          <w:highlight w:val="none"/>
        </w:rPr>
        <w:t>。</w:t>
      </w:r>
    </w:p>
    <w:p w14:paraId="7C69F3C7">
      <w:pPr>
        <w:spacing w:line="460" w:lineRule="exact"/>
        <w:ind w:firstLine="541" w:firstLineChars="245"/>
        <w:rPr>
          <w:rFonts w:ascii="宋体" w:hAnsi="宋体" w:cs="宋体"/>
          <w:b/>
          <w:color w:val="auto"/>
          <w:sz w:val="22"/>
          <w:szCs w:val="22"/>
          <w:highlight w:val="none"/>
        </w:rPr>
      </w:pPr>
      <w:r>
        <w:rPr>
          <w:rFonts w:hint="eastAsia" w:ascii="宋体" w:hAnsi="宋体" w:cs="宋体"/>
          <w:b/>
          <w:bCs/>
          <w:color w:val="auto"/>
          <w:sz w:val="22"/>
          <w:szCs w:val="22"/>
          <w:highlight w:val="none"/>
        </w:rPr>
        <w:t>4、报价</w:t>
      </w:r>
    </w:p>
    <w:p w14:paraId="057BD31B">
      <w:pPr>
        <w:spacing w:line="460" w:lineRule="exact"/>
        <w:ind w:firstLine="541" w:firstLineChars="245"/>
        <w:rPr>
          <w:rFonts w:ascii="宋体" w:hAnsi="宋体" w:cs="宋体"/>
          <w:b/>
          <w:color w:val="auto"/>
          <w:highlight w:val="none"/>
          <w:u w:val="single"/>
        </w:rPr>
      </w:pPr>
      <w:r>
        <w:rPr>
          <w:rFonts w:hint="eastAsia" w:ascii="宋体" w:hAnsi="宋体" w:cs="宋体"/>
          <w:b/>
          <w:color w:val="auto"/>
          <w:sz w:val="22"/>
          <w:highlight w:val="none"/>
        </w:rPr>
        <w:t>4.1</w:t>
      </w:r>
      <w:r>
        <w:rPr>
          <w:rFonts w:hint="eastAsia" w:ascii="新宋体" w:hAnsi="新宋体" w:eastAsia="新宋体" w:cs="新宋体"/>
          <w:b/>
          <w:bCs/>
          <w:color w:val="auto"/>
          <w:sz w:val="22"/>
          <w:szCs w:val="22"/>
          <w:highlight w:val="none"/>
        </w:rPr>
        <w:t>报价是指成交供应商在正确地完全履行合同义务后采购人应支付给成交供应商所有的价款，即所有</w:t>
      </w:r>
      <w:r>
        <w:rPr>
          <w:rFonts w:hint="eastAsia" w:ascii="新宋体" w:hAnsi="新宋体" w:eastAsia="新宋体" w:cs="新宋体"/>
          <w:b/>
          <w:bCs/>
          <w:color w:val="auto"/>
          <w:sz w:val="22"/>
          <w:szCs w:val="22"/>
          <w:highlight w:val="none"/>
          <w:lang w:eastAsia="zh-CN"/>
        </w:rPr>
        <w:t>双人课桌、单人椅子</w:t>
      </w:r>
      <w:r>
        <w:rPr>
          <w:rFonts w:hint="eastAsia" w:ascii="新宋体" w:hAnsi="新宋体" w:eastAsia="新宋体" w:cs="新宋体"/>
          <w:b/>
          <w:bCs/>
          <w:color w:val="auto"/>
          <w:sz w:val="22"/>
          <w:szCs w:val="22"/>
          <w:highlight w:val="none"/>
        </w:rPr>
        <w:t>的供货、税金、包装、运输、装卸、安装、验收（含第三方验收）、技术服务、售后服务、材料等完成合同所需的一切本身和不可或缺的所有工作开支、政策性文件规定及合同包含的所有风险、责任等各项全部费用，磋商供应商应根据上述因素自行考虑含入报价</w:t>
      </w:r>
      <w:r>
        <w:rPr>
          <w:rFonts w:hint="eastAsia" w:ascii="新宋体" w:hAnsi="新宋体" w:eastAsia="新宋体"/>
          <w:b/>
          <w:bCs/>
          <w:color w:val="auto"/>
          <w:sz w:val="22"/>
          <w:szCs w:val="22"/>
          <w:highlight w:val="none"/>
        </w:rPr>
        <w:t>。</w:t>
      </w:r>
    </w:p>
    <w:p w14:paraId="1D4840BC">
      <w:pPr>
        <w:spacing w:line="460" w:lineRule="exact"/>
        <w:ind w:firstLine="541" w:firstLineChars="245"/>
        <w:rPr>
          <w:rFonts w:ascii="宋体" w:hAnsi="宋体" w:cs="宋体"/>
          <w:b/>
          <w:bCs/>
          <w:color w:val="auto"/>
          <w:sz w:val="22"/>
          <w:highlight w:val="none"/>
        </w:rPr>
      </w:pPr>
      <w:r>
        <w:rPr>
          <w:rFonts w:hint="eastAsia" w:ascii="宋体" w:hAnsi="宋体" w:cs="宋体"/>
          <w:b/>
          <w:bCs/>
          <w:color w:val="auto"/>
          <w:sz w:val="22"/>
          <w:highlight w:val="none"/>
        </w:rPr>
        <w:t>4.2磋商供应商必须按附件中的报价一览表、分项报价表（均统一格式）内容填写价格，并由磋商供应商代表签署。</w:t>
      </w:r>
    </w:p>
    <w:p w14:paraId="79D17711">
      <w:pPr>
        <w:spacing w:line="460" w:lineRule="exact"/>
        <w:ind w:firstLine="539" w:firstLineChars="245"/>
        <w:rPr>
          <w:rFonts w:ascii="宋体" w:hAnsi="宋体" w:cs="宋体"/>
          <w:b/>
          <w:color w:val="auto"/>
          <w:sz w:val="22"/>
          <w:szCs w:val="22"/>
          <w:highlight w:val="none"/>
        </w:rPr>
      </w:pPr>
      <w:r>
        <w:rPr>
          <w:rFonts w:hint="eastAsia" w:ascii="宋体" w:hAnsi="宋体" w:cs="宋体"/>
          <w:color w:val="auto"/>
          <w:sz w:val="22"/>
          <w:szCs w:val="22"/>
          <w:highlight w:val="none"/>
        </w:rPr>
        <w:t>4.3</w:t>
      </w:r>
      <w:r>
        <w:rPr>
          <w:rFonts w:hint="eastAsia" w:ascii="宋体" w:hAnsi="宋体" w:cs="宋体"/>
          <w:b/>
          <w:color w:val="auto"/>
          <w:sz w:val="22"/>
          <w:highlight w:val="none"/>
        </w:rPr>
        <w:t>报价货币以人民币进行报价</w:t>
      </w:r>
      <w:r>
        <w:rPr>
          <w:rFonts w:hint="eastAsia" w:ascii="宋体" w:hAnsi="宋体" w:cs="宋体"/>
          <w:b/>
          <w:color w:val="auto"/>
          <w:sz w:val="22"/>
          <w:szCs w:val="22"/>
          <w:highlight w:val="none"/>
        </w:rPr>
        <w:t>。</w:t>
      </w:r>
    </w:p>
    <w:p w14:paraId="69A0AB85">
      <w:pPr>
        <w:spacing w:line="460" w:lineRule="exact"/>
        <w:ind w:firstLine="539" w:firstLineChars="245"/>
        <w:rPr>
          <w:rFonts w:ascii="宋体" w:hAnsi="宋体" w:cs="宋体"/>
          <w:b/>
          <w:color w:val="auto"/>
          <w:sz w:val="22"/>
          <w:szCs w:val="22"/>
          <w:highlight w:val="none"/>
        </w:rPr>
      </w:pPr>
      <w:r>
        <w:rPr>
          <w:rFonts w:hint="eastAsia" w:ascii="宋体" w:hAnsi="宋体" w:cs="宋体"/>
          <w:color w:val="auto"/>
          <w:sz w:val="22"/>
          <w:szCs w:val="22"/>
          <w:highlight w:val="none"/>
        </w:rPr>
        <w:t>4.4</w:t>
      </w:r>
      <w:r>
        <w:rPr>
          <w:rFonts w:hint="eastAsia" w:ascii="宋体" w:hAnsi="宋体" w:cs="宋体"/>
          <w:b/>
          <w:color w:val="auto"/>
          <w:sz w:val="22"/>
          <w:highlight w:val="none"/>
        </w:rPr>
        <w:t>采购人和采购代理机构不接受任何选择报价，对任何服务只允许一个价格。</w:t>
      </w:r>
    </w:p>
    <w:p w14:paraId="7902E298">
      <w:pPr>
        <w:spacing w:line="460" w:lineRule="exact"/>
        <w:ind w:firstLine="539" w:firstLineChars="245"/>
        <w:rPr>
          <w:rFonts w:ascii="宋体" w:hAnsi="宋体" w:cs="宋体"/>
          <w:b/>
          <w:color w:val="auto"/>
          <w:sz w:val="22"/>
          <w:szCs w:val="22"/>
          <w:highlight w:val="none"/>
        </w:rPr>
      </w:pPr>
      <w:r>
        <w:rPr>
          <w:rFonts w:hint="eastAsia" w:ascii="宋体" w:hAnsi="宋体" w:cs="宋体"/>
          <w:color w:val="auto"/>
          <w:sz w:val="22"/>
          <w:szCs w:val="22"/>
          <w:highlight w:val="none"/>
        </w:rPr>
        <w:t>4.5采购人和</w:t>
      </w:r>
      <w:r>
        <w:rPr>
          <w:rFonts w:hint="eastAsia" w:ascii="宋体" w:hAnsi="宋体" w:cs="宋体"/>
          <w:color w:val="auto"/>
          <w:sz w:val="22"/>
          <w:highlight w:val="none"/>
        </w:rPr>
        <w:t>采购代理机构</w:t>
      </w:r>
      <w:r>
        <w:rPr>
          <w:rFonts w:hint="eastAsia" w:ascii="宋体" w:hAnsi="宋体" w:cs="宋体"/>
          <w:color w:val="auto"/>
          <w:sz w:val="22"/>
          <w:szCs w:val="22"/>
          <w:highlight w:val="none"/>
        </w:rPr>
        <w:t>要求分类报价是为了方便评审，但在任何情况下不限制采购人以其认为最合适的条款、条件签订合同的权利。</w:t>
      </w:r>
    </w:p>
    <w:p w14:paraId="20196F9E">
      <w:pPr>
        <w:spacing w:line="460" w:lineRule="exact"/>
        <w:ind w:firstLine="541" w:firstLineChars="245"/>
        <w:rPr>
          <w:rFonts w:ascii="宋体" w:hAnsi="宋体" w:cs="宋体"/>
          <w:b/>
          <w:color w:val="auto"/>
          <w:sz w:val="22"/>
          <w:szCs w:val="22"/>
          <w:highlight w:val="none"/>
        </w:rPr>
      </w:pPr>
      <w:r>
        <w:rPr>
          <w:rFonts w:hint="eastAsia" w:ascii="宋体" w:hAnsi="宋体" w:cs="宋体"/>
          <w:b/>
          <w:color w:val="auto"/>
          <w:sz w:val="22"/>
          <w:szCs w:val="22"/>
          <w:highlight w:val="none"/>
        </w:rPr>
        <w:t>4.6磋商报价报出后，磋商供应商不得以任何理由予以变更。任何包含价格调整的要求，将被认为是非实质性响应磋商而予以否决。</w:t>
      </w:r>
    </w:p>
    <w:p w14:paraId="72FAEEDC">
      <w:pPr>
        <w:spacing w:line="460" w:lineRule="exact"/>
        <w:ind w:firstLine="541" w:firstLineChars="245"/>
        <w:rPr>
          <w:rFonts w:ascii="宋体" w:hAnsi="宋体" w:cs="宋体"/>
          <w:b/>
          <w:color w:val="auto"/>
          <w:sz w:val="22"/>
          <w:szCs w:val="22"/>
          <w:highlight w:val="none"/>
        </w:rPr>
      </w:pPr>
      <w:r>
        <w:rPr>
          <w:rFonts w:hint="eastAsia" w:ascii="宋体" w:hAnsi="宋体" w:cs="宋体"/>
          <w:b/>
          <w:color w:val="auto"/>
          <w:sz w:val="22"/>
          <w:szCs w:val="22"/>
          <w:highlight w:val="none"/>
        </w:rPr>
        <w:t>4.7最低报价不能作为成交的保证。</w:t>
      </w:r>
    </w:p>
    <w:p w14:paraId="7E4A55D9">
      <w:pPr>
        <w:spacing w:line="460" w:lineRule="exact"/>
        <w:ind w:firstLine="541" w:firstLineChars="245"/>
        <w:rPr>
          <w:rFonts w:ascii="宋体" w:hAnsi="宋体" w:cs="宋体"/>
          <w:b/>
          <w:color w:val="auto"/>
          <w:sz w:val="22"/>
          <w:szCs w:val="22"/>
          <w:highlight w:val="none"/>
        </w:rPr>
      </w:pPr>
      <w:r>
        <w:rPr>
          <w:rFonts w:hint="eastAsia" w:ascii="宋体" w:hAnsi="宋体" w:cs="宋体"/>
          <w:b/>
          <w:bCs/>
          <w:color w:val="auto"/>
          <w:sz w:val="22"/>
          <w:szCs w:val="22"/>
          <w:highlight w:val="none"/>
        </w:rPr>
        <w:t>5、磋商有效期</w:t>
      </w:r>
    </w:p>
    <w:p w14:paraId="64670EE7">
      <w:pPr>
        <w:spacing w:line="460" w:lineRule="exact"/>
        <w:ind w:firstLine="541" w:firstLineChars="245"/>
        <w:rPr>
          <w:rFonts w:ascii="宋体" w:hAnsi="宋体" w:cs="宋体"/>
          <w:b/>
          <w:color w:val="auto"/>
          <w:sz w:val="22"/>
          <w:szCs w:val="22"/>
          <w:highlight w:val="none"/>
        </w:rPr>
      </w:pPr>
      <w:r>
        <w:rPr>
          <w:rFonts w:hint="eastAsia" w:ascii="宋体" w:hAnsi="宋体" w:cs="宋体"/>
          <w:b/>
          <w:color w:val="auto"/>
          <w:sz w:val="22"/>
          <w:szCs w:val="22"/>
          <w:highlight w:val="none"/>
        </w:rPr>
        <w:t>5.1自磋商之日起</w:t>
      </w:r>
      <w:r>
        <w:rPr>
          <w:rFonts w:hint="eastAsia" w:ascii="宋体" w:hAnsi="宋体" w:cs="宋体"/>
          <w:b/>
          <w:bCs/>
          <w:color w:val="auto"/>
          <w:sz w:val="22"/>
          <w:szCs w:val="22"/>
          <w:highlight w:val="none"/>
        </w:rPr>
        <w:t xml:space="preserve"> 90</w:t>
      </w:r>
      <w:r>
        <w:rPr>
          <w:rFonts w:hint="eastAsia" w:ascii="宋体" w:hAnsi="宋体" w:cs="宋体"/>
          <w:b/>
          <w:color w:val="auto"/>
          <w:sz w:val="22"/>
          <w:szCs w:val="22"/>
          <w:highlight w:val="none"/>
        </w:rPr>
        <w:t>天内磋商应保持有效。</w:t>
      </w:r>
    </w:p>
    <w:p w14:paraId="3CD8B7AB">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5.2特殊情况下，在原磋商有效期截止前，采购人、采购代理机构可与磋商供应商协商延长磋商有效期，这种要求和答复均以书面形式进行。磋商供应商可拒绝接受延期要求。同意延长磋商有效期的磋商供应商不得修改磋商文件。</w:t>
      </w:r>
    </w:p>
    <w:p w14:paraId="7810C5D6">
      <w:pPr>
        <w:spacing w:line="460" w:lineRule="exact"/>
        <w:ind w:firstLine="541" w:firstLineChars="245"/>
        <w:rPr>
          <w:rFonts w:ascii="宋体" w:hAnsi="宋体" w:cs="宋体"/>
          <w:b/>
          <w:bCs/>
          <w:color w:val="auto"/>
          <w:sz w:val="22"/>
          <w:szCs w:val="22"/>
          <w:highlight w:val="none"/>
        </w:rPr>
      </w:pPr>
      <w:r>
        <w:rPr>
          <w:rFonts w:hint="eastAsia" w:ascii="宋体" w:hAnsi="宋体" w:cs="宋体"/>
          <w:b/>
          <w:bCs/>
          <w:color w:val="auto"/>
          <w:sz w:val="22"/>
          <w:szCs w:val="22"/>
          <w:highlight w:val="none"/>
        </w:rPr>
        <w:t>6、磋商保证金</w:t>
      </w:r>
    </w:p>
    <w:p w14:paraId="75876972">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无。</w:t>
      </w:r>
    </w:p>
    <w:p w14:paraId="5DB357F9">
      <w:pPr>
        <w:spacing w:line="460" w:lineRule="exact"/>
        <w:ind w:firstLine="541" w:firstLineChars="245"/>
        <w:rPr>
          <w:rFonts w:ascii="宋体" w:hAnsi="宋体" w:cs="宋体"/>
          <w:b/>
          <w:bCs/>
          <w:color w:val="auto"/>
          <w:sz w:val="22"/>
          <w:szCs w:val="22"/>
          <w:highlight w:val="none"/>
        </w:rPr>
      </w:pPr>
      <w:r>
        <w:rPr>
          <w:rFonts w:hint="eastAsia" w:ascii="宋体" w:hAnsi="宋体" w:cs="宋体"/>
          <w:b/>
          <w:bCs/>
          <w:color w:val="auto"/>
          <w:sz w:val="22"/>
          <w:szCs w:val="22"/>
          <w:highlight w:val="none"/>
        </w:rPr>
        <w:t>7、磋商响应文件编制</w:t>
      </w:r>
    </w:p>
    <w:p w14:paraId="088906D5">
      <w:pPr>
        <w:spacing w:line="460" w:lineRule="exact"/>
        <w:ind w:firstLine="541" w:firstLineChars="245"/>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7.1本项目通过“政府采购云平台（http://zfcg.czt.zj.gov.cn）”实行在线磋商响应（电子评审）。供应商应通过“政采云电子交易客户端”，并按照本磋商文件和“政府采购云平台”的要求编制并加密磋商响应文件。</w:t>
      </w:r>
    </w:p>
    <w:p w14:paraId="2FBBAA2D">
      <w:pPr>
        <w:spacing w:line="460" w:lineRule="exact"/>
        <w:ind w:firstLine="541" w:firstLineChars="245"/>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7.2磋商供应商应当按照本章节 “磋商响应文件的构成”规定的内容及顺序在“政采云电子交易客户端”编制磋商响应文件。</w:t>
      </w:r>
    </w:p>
    <w:p w14:paraId="29E4A847">
      <w:pPr>
        <w:spacing w:line="460" w:lineRule="exact"/>
        <w:ind w:firstLine="541" w:firstLineChars="245"/>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7.3本文件《第三部分  附件》中有提供格式的，磋商供应商须参照格式进行编制（格式中要求提供相关证明材料的还需后附相关证明材料），并按格式要求在指定位置根据要求进行签章，否则视为未提供；本文件《第三部分  附件》未提供格式的，请各磋商供应商自行拟定格式，并加盖单位公章并由法定代表人或其授权代表签署（签字或盖章），否则视为未提供。</w:t>
      </w:r>
    </w:p>
    <w:p w14:paraId="54D2A141">
      <w:pPr>
        <w:spacing w:line="460" w:lineRule="exact"/>
        <w:ind w:firstLine="541" w:firstLineChars="245"/>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7.4《磋商响应文件》内容不完整、编排混乱导致《磋商响应文件》被误读、漏读或者查找不到相关内容的，磋商供应商自行负责。</w:t>
      </w:r>
    </w:p>
    <w:p w14:paraId="09EFB1EB">
      <w:pPr>
        <w:spacing w:line="460" w:lineRule="exact"/>
        <w:ind w:firstLine="541" w:firstLineChars="245"/>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7.5《磋商响应文件》因字迹潦草或表达不清所引起的后果由磋商供应商负责。</w:t>
      </w:r>
    </w:p>
    <w:p w14:paraId="45087D3E">
      <w:pPr>
        <w:spacing w:line="460" w:lineRule="exact"/>
        <w:ind w:firstLine="541" w:firstLineChars="245"/>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7.6磋商供应商没有按照本章节 “磋商响应文件的构成”要求提供全部资料，或者没有仔细阅读磋商文件，或者没有对磋商文件在各方面的要求作出实质性响应是磋商供应商的风险，由此造成的一切后果由磋商供应商自行承担。</w:t>
      </w:r>
    </w:p>
    <w:p w14:paraId="47CA8E90">
      <w:pPr>
        <w:spacing w:line="460" w:lineRule="exact"/>
        <w:ind w:firstLine="541" w:firstLineChars="245"/>
        <w:rPr>
          <w:rFonts w:ascii="宋体" w:hAnsi="宋体" w:cs="宋体"/>
          <w:b/>
          <w:bCs/>
          <w:color w:val="auto"/>
          <w:sz w:val="22"/>
          <w:szCs w:val="22"/>
          <w:highlight w:val="none"/>
        </w:rPr>
      </w:pPr>
      <w:r>
        <w:rPr>
          <w:rFonts w:hint="eastAsia" w:ascii="宋体" w:hAnsi="宋体" w:cs="宋体"/>
          <w:b/>
          <w:bCs/>
          <w:color w:val="auto"/>
          <w:sz w:val="22"/>
          <w:szCs w:val="22"/>
          <w:highlight w:val="none"/>
        </w:rPr>
        <w:t>8、磋商响应文件的签章</w:t>
      </w:r>
    </w:p>
    <w:p w14:paraId="464EE199">
      <w:pPr>
        <w:spacing w:line="460" w:lineRule="exact"/>
        <w:ind w:firstLine="541" w:firstLineChars="245"/>
        <w:rPr>
          <w:rFonts w:ascii="宋体" w:hAnsi="宋体" w:cs="宋体"/>
          <w:b/>
          <w:bCs/>
          <w:color w:val="auto"/>
          <w:sz w:val="22"/>
          <w:szCs w:val="22"/>
          <w:highlight w:val="none"/>
        </w:rPr>
      </w:pPr>
      <w:r>
        <w:rPr>
          <w:rFonts w:hint="eastAsia" w:ascii="宋体" w:hAnsi="宋体" w:cs="宋体"/>
          <w:b/>
          <w:bCs/>
          <w:color w:val="auto"/>
          <w:sz w:val="22"/>
          <w:szCs w:val="22"/>
          <w:highlight w:val="none"/>
        </w:rPr>
        <w:t>8.1《磋商响应文件》的签章：见《前附表》；</w:t>
      </w:r>
    </w:p>
    <w:p w14:paraId="7F7E847D">
      <w:pPr>
        <w:spacing w:line="460" w:lineRule="exact"/>
        <w:ind w:firstLine="541" w:firstLineChars="245"/>
        <w:rPr>
          <w:rFonts w:ascii="宋体" w:hAnsi="宋体" w:cs="宋体"/>
          <w:b/>
          <w:bCs/>
          <w:color w:val="auto"/>
          <w:sz w:val="22"/>
          <w:szCs w:val="22"/>
          <w:highlight w:val="none"/>
        </w:rPr>
      </w:pPr>
      <w:r>
        <w:rPr>
          <w:rFonts w:hint="eastAsia" w:ascii="宋体" w:hAnsi="宋体" w:cs="宋体"/>
          <w:b/>
          <w:bCs/>
          <w:color w:val="auto"/>
          <w:sz w:val="22"/>
          <w:szCs w:val="22"/>
          <w:highlight w:val="none"/>
        </w:rPr>
        <w:t>8.2《磋商响应文件》应由磋商供应商法定代表人或其授权代表签字（或盖章），并加盖磋商供应商公章。</w:t>
      </w:r>
    </w:p>
    <w:p w14:paraId="35D3EBAC">
      <w:pPr>
        <w:spacing w:line="460" w:lineRule="exact"/>
        <w:ind w:firstLine="541" w:firstLineChars="245"/>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8.3电子签章操作指南详见采购公告附件《供应商项目采购-电子招投标操作指南》。</w:t>
      </w:r>
    </w:p>
    <w:p w14:paraId="278FCD7A">
      <w:pPr>
        <w:spacing w:line="460" w:lineRule="exact"/>
        <w:ind w:firstLine="541" w:firstLineChars="245"/>
        <w:rPr>
          <w:rFonts w:ascii="宋体" w:hAnsi="宋体" w:cs="宋体"/>
          <w:b/>
          <w:bCs/>
          <w:color w:val="auto"/>
          <w:sz w:val="22"/>
          <w:szCs w:val="22"/>
          <w:highlight w:val="none"/>
        </w:rPr>
      </w:pPr>
      <w:r>
        <w:rPr>
          <w:rFonts w:hint="eastAsia" w:ascii="宋体" w:hAnsi="宋体" w:cs="宋体"/>
          <w:b/>
          <w:bCs/>
          <w:color w:val="auto"/>
          <w:sz w:val="22"/>
          <w:szCs w:val="22"/>
          <w:highlight w:val="none"/>
        </w:rPr>
        <w:t>9、磋商响应文件的形式</w:t>
      </w:r>
    </w:p>
    <w:p w14:paraId="63F5EA93">
      <w:pPr>
        <w:spacing w:line="460" w:lineRule="exact"/>
        <w:ind w:firstLine="541" w:firstLineChars="245"/>
        <w:rPr>
          <w:rFonts w:ascii="宋体" w:hAnsi="宋体" w:cs="宋体"/>
          <w:b/>
          <w:bCs/>
          <w:color w:val="auto"/>
          <w:sz w:val="22"/>
          <w:szCs w:val="22"/>
          <w:highlight w:val="none"/>
        </w:rPr>
      </w:pPr>
      <w:r>
        <w:rPr>
          <w:rFonts w:hint="eastAsia" w:ascii="宋体" w:hAnsi="宋体" w:cs="宋体"/>
          <w:b/>
          <w:bCs/>
          <w:color w:val="auto"/>
          <w:sz w:val="22"/>
          <w:szCs w:val="22"/>
          <w:highlight w:val="none"/>
        </w:rPr>
        <w:t>9.1磋商响应文件的形式：见《前附表》；</w:t>
      </w:r>
    </w:p>
    <w:p w14:paraId="73282EC0">
      <w:pPr>
        <w:spacing w:line="460" w:lineRule="exact"/>
        <w:ind w:firstLine="541" w:firstLineChars="245"/>
        <w:rPr>
          <w:rFonts w:ascii="宋体" w:hAnsi="宋体" w:cs="宋体"/>
          <w:b/>
          <w:bCs/>
          <w:color w:val="auto"/>
          <w:sz w:val="22"/>
          <w:szCs w:val="22"/>
          <w:highlight w:val="none"/>
        </w:rPr>
      </w:pPr>
      <w:r>
        <w:rPr>
          <w:rFonts w:hint="eastAsia" w:ascii="宋体" w:hAnsi="宋体" w:cs="宋体"/>
          <w:b/>
          <w:bCs/>
          <w:color w:val="auto"/>
          <w:sz w:val="22"/>
          <w:szCs w:val="22"/>
          <w:highlight w:val="none"/>
        </w:rPr>
        <w:t>9.2“电子加密磋商响应文件”：“电子加密磋商响应文件”是指通过“政采云电子交易客户端”完成磋商响应文件编制后生成并加密的数据电文形式的磋商响应文件。</w:t>
      </w:r>
    </w:p>
    <w:p w14:paraId="4BE8A4BB">
      <w:pPr>
        <w:spacing w:line="460" w:lineRule="exact"/>
        <w:ind w:firstLine="541" w:firstLineChars="245"/>
        <w:rPr>
          <w:rFonts w:ascii="宋体" w:hAnsi="宋体" w:cs="宋体"/>
          <w:b/>
          <w:bCs/>
          <w:color w:val="auto"/>
          <w:sz w:val="22"/>
          <w:szCs w:val="22"/>
          <w:highlight w:val="none"/>
        </w:rPr>
      </w:pPr>
      <w:r>
        <w:rPr>
          <w:rFonts w:hint="eastAsia" w:ascii="宋体" w:hAnsi="宋体" w:cs="宋体"/>
          <w:b/>
          <w:bCs/>
          <w:color w:val="auto"/>
          <w:sz w:val="22"/>
          <w:szCs w:val="22"/>
          <w:highlight w:val="none"/>
        </w:rPr>
        <w:t>9.3“备份磋商响应文件”：“备份磋商响应文件”是指与“电子加密磋商响应文件”同时生成的数据电文形式的电子文件（备份标书），其他方式编制的“备份磋商响应文件”视为无效的“备份磋商响应文件”。</w:t>
      </w:r>
    </w:p>
    <w:p w14:paraId="353B8B83">
      <w:pPr>
        <w:spacing w:line="460" w:lineRule="exact"/>
        <w:ind w:firstLine="541" w:firstLineChars="245"/>
        <w:rPr>
          <w:rFonts w:ascii="宋体" w:hAnsi="宋体" w:cs="宋体"/>
          <w:b/>
          <w:bCs/>
          <w:color w:val="auto"/>
          <w:sz w:val="22"/>
          <w:szCs w:val="22"/>
          <w:highlight w:val="none"/>
        </w:rPr>
      </w:pPr>
      <w:r>
        <w:rPr>
          <w:rFonts w:hint="eastAsia" w:ascii="宋体" w:hAnsi="宋体" w:cs="宋体"/>
          <w:b/>
          <w:bCs/>
          <w:color w:val="auto"/>
          <w:sz w:val="22"/>
          <w:szCs w:val="22"/>
          <w:highlight w:val="none"/>
        </w:rPr>
        <w:t>10、磋商响应文件的份数</w:t>
      </w:r>
    </w:p>
    <w:p w14:paraId="2440CAE0">
      <w:pPr>
        <w:spacing w:line="460" w:lineRule="exact"/>
        <w:ind w:firstLine="541" w:firstLineChars="245"/>
        <w:rPr>
          <w:rFonts w:ascii="宋体" w:hAnsi="宋体" w:cs="宋体"/>
          <w:b/>
          <w:bCs/>
          <w:color w:val="auto"/>
          <w:sz w:val="22"/>
          <w:szCs w:val="22"/>
          <w:highlight w:val="none"/>
        </w:rPr>
      </w:pPr>
      <w:r>
        <w:rPr>
          <w:rFonts w:hint="eastAsia" w:ascii="宋体" w:hAnsi="宋体" w:cs="宋体"/>
          <w:b/>
          <w:bCs/>
          <w:color w:val="auto"/>
          <w:sz w:val="22"/>
          <w:szCs w:val="22"/>
          <w:highlight w:val="none"/>
        </w:rPr>
        <w:t>10.1磋商响应文件的份数：见《前附表》。</w:t>
      </w:r>
    </w:p>
    <w:p w14:paraId="6A569A1F">
      <w:pPr>
        <w:spacing w:before="100" w:beforeAutospacing="1" w:after="100" w:afterAutospacing="1" w:line="440" w:lineRule="exact"/>
        <w:jc w:val="center"/>
        <w:outlineLvl w:val="1"/>
        <w:rPr>
          <w:rFonts w:ascii="宋体" w:hAnsi="宋体" w:cs="宋体"/>
          <w:b/>
          <w:bCs/>
          <w:color w:val="auto"/>
          <w:sz w:val="22"/>
          <w:szCs w:val="22"/>
          <w:highlight w:val="none"/>
        </w:rPr>
      </w:pPr>
      <w:bookmarkStart w:id="46" w:name="_Toc16443"/>
      <w:bookmarkStart w:id="47" w:name="_Toc175"/>
      <w:bookmarkStart w:id="48" w:name="_Toc8187"/>
      <w:bookmarkStart w:id="49" w:name="_Toc7768"/>
      <w:bookmarkStart w:id="50" w:name="_Toc26711"/>
      <w:bookmarkStart w:id="51" w:name="_Toc20472"/>
      <w:r>
        <w:rPr>
          <w:rFonts w:hint="eastAsia" w:ascii="宋体" w:hAnsi="宋体" w:cs="宋体"/>
          <w:b/>
          <w:bCs/>
          <w:color w:val="auto"/>
          <w:sz w:val="22"/>
          <w:szCs w:val="22"/>
          <w:highlight w:val="none"/>
        </w:rPr>
        <w:t>四、 磋商响应文件的递交</w:t>
      </w:r>
      <w:bookmarkEnd w:id="46"/>
      <w:bookmarkEnd w:id="47"/>
      <w:bookmarkEnd w:id="48"/>
      <w:bookmarkEnd w:id="49"/>
      <w:bookmarkEnd w:id="50"/>
      <w:bookmarkEnd w:id="51"/>
    </w:p>
    <w:p w14:paraId="6A61A8EB">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1、磋商响应文件的上传和递交</w:t>
      </w:r>
    </w:p>
    <w:p w14:paraId="4542805C">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1.1“磋商响应文件”的上传、递交：见《前附表》。</w:t>
      </w:r>
    </w:p>
    <w:p w14:paraId="15605379">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2、“电子加密磋商响应文件”解密和异常情况处理</w:t>
      </w:r>
    </w:p>
    <w:p w14:paraId="5A65D6A1">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2.1“电子加密磋商响应文件”解密：见《前附表》。</w:t>
      </w:r>
    </w:p>
    <w:p w14:paraId="78C42948">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3、磋商响应文件的补充、修改或撤回</w:t>
      </w:r>
    </w:p>
    <w:p w14:paraId="5D1B15FC">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3.1供应商应当在磋商响应文件递交截止时间前完成磋商响应文件的上传、递交，并可以补充、修改或者撤回磋商响应文件。补充或者修改磋商响应文件的，应当先行撤回原文件，补充、修改后重新上传、递交。磋商响应文件递交截止时间前未完成上传、递交的，视为撤回磋商响应文件。磋商响应文件递交截止时间后递交的磋商响应文件，“政府采购云平台”将予以拒收。</w:t>
      </w:r>
    </w:p>
    <w:p w14:paraId="427E2B7C">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3.2磋商响应文件递交截止时间后，磋商供应商不得撤回、修改《磋商响应文件》。</w:t>
      </w:r>
    </w:p>
    <w:p w14:paraId="1C696CFC">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4、磋商响应文件的备选方案</w:t>
      </w:r>
    </w:p>
    <w:p w14:paraId="2493D31A">
      <w:pPr>
        <w:spacing w:line="460" w:lineRule="exact"/>
        <w:ind w:firstLine="539" w:firstLineChars="245"/>
        <w:rPr>
          <w:rFonts w:ascii="宋体" w:hAnsi="宋体" w:cs="宋体"/>
          <w:b/>
          <w:bCs/>
          <w:color w:val="auto"/>
          <w:sz w:val="22"/>
          <w:szCs w:val="22"/>
          <w:highlight w:val="none"/>
        </w:rPr>
      </w:pPr>
      <w:r>
        <w:rPr>
          <w:rFonts w:hint="eastAsia" w:ascii="宋体" w:hAnsi="宋体" w:cs="宋体"/>
          <w:color w:val="auto"/>
          <w:sz w:val="22"/>
          <w:szCs w:val="22"/>
          <w:highlight w:val="none"/>
        </w:rPr>
        <w:t>4.1磋商供应商不得递交任何的磋商备选（替代）方案，否则其磋商响应文件将作无效标处理。与“电子加密磋商响应文件”同时生成的“备份磋商响应文件”不是磋商备选（替代）方案。</w:t>
      </w:r>
    </w:p>
    <w:p w14:paraId="35584F73">
      <w:pPr>
        <w:spacing w:before="100" w:beforeAutospacing="1" w:after="100" w:afterAutospacing="1" w:line="460" w:lineRule="exact"/>
        <w:jc w:val="center"/>
        <w:outlineLvl w:val="1"/>
        <w:rPr>
          <w:rFonts w:ascii="宋体" w:hAnsi="宋体" w:cs="宋体"/>
          <w:b/>
          <w:bCs/>
          <w:color w:val="auto"/>
          <w:sz w:val="22"/>
          <w:szCs w:val="22"/>
          <w:highlight w:val="none"/>
        </w:rPr>
      </w:pPr>
      <w:bookmarkStart w:id="52" w:name="_Toc8982"/>
      <w:bookmarkStart w:id="53" w:name="_Toc14382"/>
      <w:bookmarkStart w:id="54" w:name="_Toc22059"/>
      <w:bookmarkStart w:id="55" w:name="_Toc4936"/>
      <w:bookmarkStart w:id="56" w:name="_Toc24002"/>
      <w:bookmarkStart w:id="57" w:name="_Toc23803"/>
      <w:r>
        <w:rPr>
          <w:rFonts w:hint="eastAsia" w:ascii="宋体" w:hAnsi="宋体" w:cs="宋体"/>
          <w:b/>
          <w:bCs/>
          <w:color w:val="auto"/>
          <w:sz w:val="22"/>
          <w:szCs w:val="22"/>
          <w:highlight w:val="none"/>
        </w:rPr>
        <w:t>五、 磋商和评审</w:t>
      </w:r>
      <w:bookmarkEnd w:id="52"/>
      <w:bookmarkEnd w:id="53"/>
      <w:bookmarkEnd w:id="54"/>
      <w:bookmarkEnd w:id="55"/>
      <w:bookmarkEnd w:id="56"/>
      <w:bookmarkEnd w:id="57"/>
    </w:p>
    <w:p w14:paraId="21B444F6">
      <w:pPr>
        <w:spacing w:line="460" w:lineRule="exact"/>
        <w:ind w:firstLine="541" w:firstLineChars="245"/>
        <w:rPr>
          <w:rFonts w:ascii="宋体" w:hAnsi="宋体" w:cs="宋体"/>
          <w:b/>
          <w:color w:val="auto"/>
          <w:sz w:val="22"/>
          <w:szCs w:val="22"/>
          <w:highlight w:val="none"/>
        </w:rPr>
      </w:pPr>
      <w:r>
        <w:rPr>
          <w:rFonts w:hint="eastAsia" w:ascii="宋体" w:hAnsi="宋体" w:cs="宋体"/>
          <w:b/>
          <w:bCs/>
          <w:color w:val="auto"/>
          <w:sz w:val="22"/>
          <w:szCs w:val="22"/>
          <w:highlight w:val="none"/>
        </w:rPr>
        <w:t>1、磋商小组</w:t>
      </w:r>
    </w:p>
    <w:p w14:paraId="6755C2EC">
      <w:pPr>
        <w:spacing w:line="460" w:lineRule="exact"/>
        <w:ind w:firstLine="539" w:firstLineChars="245"/>
        <w:rPr>
          <w:rFonts w:ascii="宋体" w:hAnsi="宋体" w:cs="宋体"/>
          <w:b/>
          <w:color w:val="auto"/>
          <w:sz w:val="22"/>
          <w:szCs w:val="22"/>
          <w:highlight w:val="none"/>
        </w:rPr>
      </w:pPr>
      <w:r>
        <w:rPr>
          <w:rFonts w:hint="eastAsia" w:ascii="宋体" w:hAnsi="宋体" w:cs="宋体"/>
          <w:bCs/>
          <w:color w:val="auto"/>
          <w:sz w:val="22"/>
          <w:szCs w:val="22"/>
          <w:highlight w:val="none"/>
        </w:rPr>
        <w:t>采购人和采购代理机构组建磋商小组。磋商小组的成员在评审过程中必须严格遵守《政府采购法》等有关法律、法规的规定。</w:t>
      </w:r>
    </w:p>
    <w:p w14:paraId="674FF29A">
      <w:pPr>
        <w:spacing w:line="460" w:lineRule="exact"/>
        <w:ind w:firstLine="541" w:firstLineChars="245"/>
        <w:rPr>
          <w:rFonts w:ascii="宋体" w:hAnsi="宋体" w:cs="宋体"/>
          <w:b/>
          <w:color w:val="auto"/>
          <w:sz w:val="22"/>
          <w:szCs w:val="22"/>
          <w:highlight w:val="none"/>
        </w:rPr>
      </w:pPr>
      <w:r>
        <w:rPr>
          <w:rFonts w:hint="eastAsia" w:ascii="宋体" w:hAnsi="宋体" w:cs="宋体"/>
          <w:b/>
          <w:color w:val="auto"/>
          <w:sz w:val="22"/>
          <w:szCs w:val="22"/>
          <w:highlight w:val="none"/>
        </w:rPr>
        <w:t>2、评审过程的保密性</w:t>
      </w:r>
    </w:p>
    <w:p w14:paraId="21320EA5">
      <w:pPr>
        <w:spacing w:line="460" w:lineRule="exact"/>
        <w:ind w:firstLine="539" w:firstLineChars="245"/>
        <w:rPr>
          <w:rFonts w:ascii="宋体" w:hAnsi="宋体" w:cs="宋体"/>
          <w:color w:val="auto"/>
          <w:sz w:val="22"/>
          <w:szCs w:val="22"/>
          <w:highlight w:val="none"/>
        </w:rPr>
      </w:pPr>
      <w:r>
        <w:rPr>
          <w:rFonts w:hint="eastAsia" w:ascii="宋体" w:hAnsi="宋体" w:cs="宋体"/>
          <w:bCs/>
          <w:color w:val="auto"/>
          <w:sz w:val="22"/>
          <w:szCs w:val="22"/>
          <w:highlight w:val="none"/>
        </w:rPr>
        <w:t>开标后直至向成交供应商授予合同时止，凡与评审有关的资料均不得向磋商供应商及与评审无关人员透露。如果磋商供应商在评审过程中试图向采购人和采购代理机构施加影响，其磋商响应文件将被拒绝。</w:t>
      </w:r>
    </w:p>
    <w:p w14:paraId="08AD13AA">
      <w:pPr>
        <w:spacing w:line="460" w:lineRule="exact"/>
        <w:ind w:firstLine="539" w:firstLineChars="245"/>
        <w:rPr>
          <w:rFonts w:ascii="宋体" w:hAnsi="宋体" w:cs="宋体"/>
          <w:b/>
          <w:color w:val="auto"/>
          <w:sz w:val="22"/>
          <w:szCs w:val="22"/>
          <w:highlight w:val="none"/>
        </w:rPr>
      </w:pPr>
      <w:r>
        <w:rPr>
          <w:rFonts w:hint="eastAsia" w:ascii="宋体" w:hAnsi="宋体" w:cs="宋体"/>
          <w:color w:val="auto"/>
          <w:sz w:val="22"/>
          <w:szCs w:val="22"/>
          <w:highlight w:val="none"/>
        </w:rPr>
        <w:t>3、开标形式</w:t>
      </w:r>
    </w:p>
    <w:p w14:paraId="66E889CF">
      <w:pPr>
        <w:spacing w:line="460" w:lineRule="exact"/>
        <w:ind w:firstLine="541" w:firstLineChars="245"/>
        <w:rPr>
          <w:rFonts w:ascii="宋体" w:hAnsi="宋体" w:cs="宋体"/>
          <w:b/>
          <w:color w:val="auto"/>
          <w:sz w:val="22"/>
          <w:szCs w:val="22"/>
          <w:highlight w:val="none"/>
        </w:rPr>
      </w:pPr>
      <w:r>
        <w:rPr>
          <w:rFonts w:hint="eastAsia" w:ascii="宋体" w:hAnsi="宋体" w:cs="宋体"/>
          <w:b/>
          <w:color w:val="auto"/>
          <w:sz w:val="22"/>
          <w:szCs w:val="22"/>
          <w:highlight w:val="none"/>
        </w:rPr>
        <w:t xml:space="preserve"> 采购组织机构将按照磋商文件规定的时间通过“政府采购云平台”组织开标、开启磋商响应文件，所有供应商均应当准时(在线)参加。</w:t>
      </w:r>
    </w:p>
    <w:p w14:paraId="2A1EDC77">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4、开标准备</w:t>
      </w:r>
    </w:p>
    <w:p w14:paraId="3B42F056">
      <w:pPr>
        <w:spacing w:line="460" w:lineRule="exact"/>
        <w:ind w:firstLine="539" w:firstLineChars="245"/>
        <w:rPr>
          <w:rFonts w:ascii="宋体" w:hAnsi="宋体" w:cs="宋体"/>
          <w:color w:val="auto"/>
          <w:kern w:val="0"/>
          <w:sz w:val="22"/>
          <w:szCs w:val="22"/>
          <w:highlight w:val="none"/>
        </w:rPr>
      </w:pPr>
      <w:r>
        <w:rPr>
          <w:rFonts w:hint="eastAsia" w:ascii="宋体" w:hAnsi="宋体" w:cs="宋体"/>
          <w:color w:val="auto"/>
          <w:kern w:val="0"/>
          <w:sz w:val="22"/>
          <w:szCs w:val="22"/>
          <w:highlight w:val="none"/>
        </w:rPr>
        <w:t>4.1开标的准备工作由采购组织机构负责落实；</w:t>
      </w:r>
    </w:p>
    <w:p w14:paraId="2B225CEC">
      <w:pPr>
        <w:spacing w:line="460" w:lineRule="exact"/>
        <w:ind w:firstLine="539" w:firstLineChars="245"/>
        <w:rPr>
          <w:rFonts w:ascii="宋体" w:hAnsi="宋体" w:cs="宋体"/>
          <w:color w:val="auto"/>
          <w:kern w:val="0"/>
          <w:sz w:val="22"/>
          <w:szCs w:val="22"/>
          <w:highlight w:val="none"/>
        </w:rPr>
      </w:pPr>
      <w:r>
        <w:rPr>
          <w:rFonts w:hint="eastAsia" w:ascii="宋体" w:hAnsi="宋体" w:cs="宋体"/>
          <w:color w:val="auto"/>
          <w:kern w:val="0"/>
          <w:sz w:val="22"/>
          <w:szCs w:val="22"/>
          <w:highlight w:val="none"/>
        </w:rPr>
        <w:t>4.2</w:t>
      </w:r>
      <w:r>
        <w:rPr>
          <w:rFonts w:hint="eastAsia" w:ascii="宋体" w:hAnsi="宋体" w:cs="宋体"/>
          <w:b/>
          <w:color w:val="auto"/>
          <w:sz w:val="22"/>
          <w:szCs w:val="22"/>
          <w:highlight w:val="none"/>
        </w:rPr>
        <w:t>采购组织机构将按照磋商文件规定的时间通过“政府采购云平台”组织开标、开启磋商响应文件，所有供应商均应当准时(在线)参加。</w:t>
      </w:r>
      <w:r>
        <w:rPr>
          <w:rFonts w:hint="eastAsia" w:ascii="宋体" w:hAnsi="宋体" w:cs="宋体"/>
          <w:b/>
          <w:color w:val="auto"/>
          <w:kern w:val="0"/>
          <w:sz w:val="22"/>
          <w:szCs w:val="22"/>
          <w:highlight w:val="none"/>
        </w:rPr>
        <w:t>磋商供应商如不参加开标大会的，视同认可开标结果，事后不得对采购相关人员、开标过程和开标结果提出异议，同时磋商供应商因未在线参加开标而导致磋商响应文件无法按时解密等一切后果由供应商自己承担。</w:t>
      </w:r>
    </w:p>
    <w:p w14:paraId="3B633FD5">
      <w:pPr>
        <w:spacing w:line="460" w:lineRule="exact"/>
        <w:ind w:firstLine="541" w:firstLineChars="245"/>
        <w:rPr>
          <w:rFonts w:ascii="宋体" w:hAnsi="宋体" w:cs="宋体"/>
          <w:b/>
          <w:bCs/>
          <w:color w:val="auto"/>
          <w:sz w:val="22"/>
          <w:szCs w:val="22"/>
          <w:highlight w:val="none"/>
        </w:rPr>
      </w:pPr>
      <w:r>
        <w:rPr>
          <w:rFonts w:hint="eastAsia" w:ascii="宋体" w:hAnsi="宋体" w:cs="宋体"/>
          <w:b/>
          <w:bCs/>
          <w:color w:val="auto"/>
          <w:sz w:val="22"/>
          <w:szCs w:val="22"/>
          <w:highlight w:val="none"/>
        </w:rPr>
        <w:t>5、开标流程</w:t>
      </w:r>
    </w:p>
    <w:p w14:paraId="690835C1">
      <w:pPr>
        <w:spacing w:line="460" w:lineRule="exact"/>
        <w:ind w:firstLine="541" w:firstLineChars="245"/>
        <w:rPr>
          <w:rFonts w:ascii="宋体" w:hAnsi="宋体" w:cs="宋体"/>
          <w:b/>
          <w:color w:val="auto"/>
          <w:kern w:val="0"/>
          <w:sz w:val="22"/>
          <w:szCs w:val="22"/>
          <w:highlight w:val="none"/>
        </w:rPr>
      </w:pPr>
      <w:r>
        <w:rPr>
          <w:rFonts w:hint="eastAsia" w:ascii="宋体" w:hAnsi="宋体" w:cs="宋体"/>
          <w:b/>
          <w:color w:val="auto"/>
          <w:kern w:val="0"/>
          <w:sz w:val="22"/>
          <w:szCs w:val="22"/>
          <w:highlight w:val="none"/>
        </w:rPr>
        <w:t>5.1开标、评审</w:t>
      </w:r>
    </w:p>
    <w:p w14:paraId="20537341">
      <w:pPr>
        <w:spacing w:line="460" w:lineRule="exact"/>
        <w:ind w:firstLine="539" w:firstLineChars="245"/>
        <w:rPr>
          <w:rFonts w:ascii="宋体" w:hAnsi="宋体" w:cs="宋体"/>
          <w:color w:val="auto"/>
          <w:sz w:val="22"/>
          <w:szCs w:val="22"/>
          <w:highlight w:val="none"/>
        </w:rPr>
      </w:pPr>
      <w:r>
        <w:rPr>
          <w:rFonts w:hint="eastAsia" w:ascii="宋体" w:hAnsi="宋体" w:cs="宋体"/>
          <w:color w:val="auto"/>
          <w:kern w:val="0"/>
          <w:sz w:val="22"/>
          <w:szCs w:val="22"/>
          <w:highlight w:val="none"/>
        </w:rPr>
        <w:t>（1）向各磋商供应商发出电子加密磋商响应文件【开始解密】通知，由供应商按磋商文件规定的时间内自行进行磋商响应文件解密。磋商供应商在规定的时间内无法完成已递交的“电子加密磋商响应文件”解密的，如已按规 定递交了备份磋商响应文件的，将由采购组织机构按“政府采购云平台”操作规范将备份磋商响应文件上传至“政府采购云平台”，上传成功后，“电子加密磋商响应文件”自动失效；</w:t>
      </w:r>
    </w:p>
    <w:p w14:paraId="7DBFC42A">
      <w:pPr>
        <w:spacing w:line="460" w:lineRule="exact"/>
        <w:ind w:firstLine="539" w:firstLineChars="245"/>
        <w:rPr>
          <w:rFonts w:ascii="宋体" w:hAnsi="宋体" w:cs="宋体"/>
          <w:color w:val="auto"/>
          <w:kern w:val="0"/>
          <w:sz w:val="22"/>
          <w:szCs w:val="22"/>
          <w:highlight w:val="none"/>
        </w:rPr>
      </w:pPr>
      <w:r>
        <w:rPr>
          <w:rFonts w:hint="eastAsia" w:ascii="宋体" w:hAnsi="宋体" w:cs="宋体"/>
          <w:color w:val="auto"/>
          <w:kern w:val="0"/>
          <w:sz w:val="22"/>
          <w:szCs w:val="22"/>
          <w:highlight w:val="none"/>
        </w:rPr>
        <w:t>（2）解密成功后，开启磋商供应商的《磋商响应文件》，由供应商对自己《磋商响应文件》相关内容进行签字确认（不予确认的应说明理由，否则视为无异议）。</w:t>
      </w:r>
    </w:p>
    <w:p w14:paraId="4050718E">
      <w:pPr>
        <w:spacing w:line="460" w:lineRule="exact"/>
        <w:ind w:firstLine="539" w:firstLineChars="245"/>
        <w:rPr>
          <w:rFonts w:ascii="宋体" w:hAnsi="宋体" w:cs="宋体"/>
          <w:color w:val="auto"/>
          <w:kern w:val="0"/>
          <w:sz w:val="22"/>
          <w:szCs w:val="22"/>
          <w:highlight w:val="none"/>
        </w:rPr>
      </w:pPr>
      <w:r>
        <w:rPr>
          <w:rFonts w:hint="eastAsia" w:ascii="宋体" w:hAnsi="宋体" w:cs="宋体"/>
          <w:color w:val="auto"/>
          <w:kern w:val="0"/>
          <w:sz w:val="22"/>
          <w:szCs w:val="22"/>
          <w:highlight w:val="none"/>
        </w:rPr>
        <w:t>（3）进入资格审查</w:t>
      </w:r>
      <w:r>
        <w:rPr>
          <w:rFonts w:hint="eastAsia" w:ascii="宋体" w:hAnsi="宋体" w:cs="宋体"/>
          <w:bCs/>
          <w:color w:val="auto"/>
          <w:sz w:val="22"/>
          <w:szCs w:val="22"/>
          <w:highlight w:val="none"/>
        </w:rPr>
        <w:t>。</w:t>
      </w:r>
    </w:p>
    <w:p w14:paraId="63FFCCCB">
      <w:pPr>
        <w:spacing w:line="460" w:lineRule="exact"/>
        <w:ind w:firstLine="541" w:firstLineChars="245"/>
        <w:rPr>
          <w:rFonts w:ascii="宋体" w:hAnsi="宋体" w:cs="宋体"/>
          <w:color w:val="auto"/>
          <w:kern w:val="0"/>
          <w:sz w:val="22"/>
          <w:szCs w:val="22"/>
          <w:highlight w:val="none"/>
        </w:rPr>
      </w:pPr>
      <w:r>
        <w:rPr>
          <w:rFonts w:hint="eastAsia" w:ascii="宋体" w:hAnsi="宋体" w:cs="宋体"/>
          <w:b/>
          <w:color w:val="auto"/>
          <w:kern w:val="0"/>
          <w:sz w:val="22"/>
          <w:szCs w:val="22"/>
          <w:highlight w:val="none"/>
        </w:rPr>
        <w:t>备注：开标大会的结束后，采购人或采购代理机构将对依法对磋商供应商的资格进行审查，资格审查结束后进入符合性审查和商务技术的评审工作，具体见本章节“磋商供应商资格审查”相关规定。</w:t>
      </w:r>
    </w:p>
    <w:p w14:paraId="4DD33444">
      <w:pPr>
        <w:spacing w:line="440" w:lineRule="exact"/>
        <w:ind w:left="548" w:leftChars="261"/>
        <w:rPr>
          <w:rFonts w:ascii="宋体" w:hAnsi="宋体" w:cs="宋体"/>
          <w:b/>
          <w:color w:val="auto"/>
          <w:sz w:val="22"/>
          <w:szCs w:val="22"/>
          <w:highlight w:val="none"/>
        </w:rPr>
      </w:pPr>
      <w:r>
        <w:rPr>
          <w:rFonts w:hint="eastAsia" w:ascii="宋体" w:hAnsi="宋体" w:cs="宋体"/>
          <w:color w:val="auto"/>
          <w:kern w:val="0"/>
          <w:sz w:val="22"/>
          <w:szCs w:val="22"/>
          <w:highlight w:val="none"/>
        </w:rPr>
        <w:t>（4）</w:t>
      </w:r>
      <w:r>
        <w:rPr>
          <w:rFonts w:hint="eastAsia" w:ascii="宋体" w:hAnsi="宋体" w:cs="宋体"/>
          <w:b/>
          <w:color w:val="auto"/>
          <w:sz w:val="22"/>
          <w:szCs w:val="22"/>
          <w:highlight w:val="none"/>
        </w:rPr>
        <w:t xml:space="preserve"> 竞争性磋商</w:t>
      </w:r>
    </w:p>
    <w:p w14:paraId="6328D1F8">
      <w:pPr>
        <w:spacing w:line="440" w:lineRule="exact"/>
        <w:ind w:firstLine="547" w:firstLineChars="249"/>
        <w:rPr>
          <w:rFonts w:ascii="宋体" w:hAnsi="宋体" w:cs="宋体"/>
          <w:color w:val="auto"/>
          <w:sz w:val="22"/>
          <w:szCs w:val="22"/>
          <w:highlight w:val="none"/>
        </w:rPr>
      </w:pPr>
      <w:r>
        <w:rPr>
          <w:rFonts w:hint="eastAsia" w:ascii="宋体" w:hAnsi="宋体" w:cs="宋体"/>
          <w:color w:val="auto"/>
          <w:sz w:val="22"/>
          <w:szCs w:val="22"/>
          <w:highlight w:val="none"/>
        </w:rPr>
        <w:t>1）磋商小组所有成员根据磋商文件规定的程序、评定成交标准等事项与实质性响应磋商文件要求的供应商进行磋商。</w:t>
      </w:r>
    </w:p>
    <w:p w14:paraId="267FE61D">
      <w:pPr>
        <w:spacing w:line="440" w:lineRule="exact"/>
        <w:ind w:firstLine="547" w:firstLineChars="249"/>
        <w:rPr>
          <w:rFonts w:ascii="宋体" w:hAnsi="宋体" w:cs="宋体"/>
          <w:color w:val="auto"/>
          <w:sz w:val="22"/>
          <w:szCs w:val="22"/>
          <w:highlight w:val="none"/>
        </w:rPr>
      </w:pPr>
      <w:r>
        <w:rPr>
          <w:rFonts w:hint="eastAsia" w:ascii="宋体" w:hAnsi="宋体" w:cs="宋体"/>
          <w:color w:val="auto"/>
          <w:sz w:val="22"/>
          <w:szCs w:val="22"/>
          <w:highlight w:val="none"/>
        </w:rPr>
        <w:t>2）磋商小组将遵循公平、公正的原则，采用相同的程序和标准，如有必要，所有成员按顺序与单一供应商分别进行单独封闭式磋商，并给予所有参加磋商的供应商平等的磋商机会。磋商主要针对磋商供应商提供服务的价格、技术性能、质量水平和保证措施、服务实施方案、人员培训计划、履约能力、付款方式等方面进行磋商和综合分析考评。</w:t>
      </w:r>
    </w:p>
    <w:p w14:paraId="1188CC20">
      <w:pPr>
        <w:spacing w:line="440" w:lineRule="exact"/>
        <w:ind w:firstLine="547" w:firstLineChars="249"/>
        <w:rPr>
          <w:rFonts w:ascii="宋体" w:hAnsi="宋体" w:cs="宋体"/>
          <w:color w:val="auto"/>
          <w:sz w:val="22"/>
          <w:szCs w:val="22"/>
          <w:highlight w:val="none"/>
        </w:rPr>
      </w:pPr>
      <w:r>
        <w:rPr>
          <w:rFonts w:hint="eastAsia" w:ascii="宋体" w:hAnsi="宋体" w:cs="宋体"/>
          <w:color w:val="auto"/>
          <w:sz w:val="22"/>
          <w:szCs w:val="22"/>
          <w:highlight w:val="none"/>
        </w:rPr>
        <w:t>3）在磋商过程中，磋商的任何一方都不得透露与磋商有关的其他供应商的技术资料、价格和其他信息。</w:t>
      </w:r>
    </w:p>
    <w:p w14:paraId="4F83C1DA">
      <w:pPr>
        <w:spacing w:line="440" w:lineRule="exact"/>
        <w:ind w:firstLine="547" w:firstLineChars="249"/>
        <w:rPr>
          <w:rFonts w:ascii="宋体" w:hAnsi="宋体" w:cs="宋体"/>
          <w:color w:val="auto"/>
          <w:sz w:val="22"/>
          <w:szCs w:val="22"/>
          <w:highlight w:val="none"/>
        </w:rPr>
      </w:pPr>
      <w:r>
        <w:rPr>
          <w:rFonts w:hint="eastAsia" w:ascii="宋体" w:hAnsi="宋体" w:cs="宋体"/>
          <w:color w:val="auto"/>
          <w:sz w:val="22"/>
          <w:szCs w:val="22"/>
          <w:highlight w:val="none"/>
        </w:rPr>
        <w:t>4）在磋商过程中，磋商小组可以根据磋商文件和响应情况实质性变动采购需求中的技术、服务要求以及合同草案条款，但不得变动磋商文件的其他内容。实质性变动的内容，须经采购人代表确认。</w:t>
      </w:r>
    </w:p>
    <w:p w14:paraId="12488083">
      <w:pPr>
        <w:spacing w:line="440" w:lineRule="exact"/>
        <w:ind w:firstLine="547" w:firstLineChars="249"/>
        <w:rPr>
          <w:rFonts w:ascii="宋体" w:hAnsi="宋体" w:cs="宋体"/>
          <w:color w:val="auto"/>
          <w:sz w:val="22"/>
          <w:szCs w:val="22"/>
          <w:highlight w:val="none"/>
        </w:rPr>
      </w:pPr>
      <w:r>
        <w:rPr>
          <w:rFonts w:hint="eastAsia" w:ascii="宋体" w:hAnsi="宋体" w:cs="宋体"/>
          <w:color w:val="auto"/>
          <w:sz w:val="22"/>
          <w:szCs w:val="22"/>
          <w:highlight w:val="none"/>
        </w:rPr>
        <w:t>5）对磋商文件作出的实质性变动是磋商文件的有效组成部分，磋商小组应及时以书面形式通知所有参加磋商的供应商。</w:t>
      </w:r>
    </w:p>
    <w:p w14:paraId="221FCCAC">
      <w:pPr>
        <w:spacing w:line="440" w:lineRule="exact"/>
        <w:ind w:firstLine="547" w:firstLineChars="249"/>
        <w:rPr>
          <w:rFonts w:ascii="宋体" w:hAnsi="宋体" w:cs="宋体"/>
          <w:color w:val="auto"/>
          <w:sz w:val="22"/>
          <w:szCs w:val="22"/>
          <w:highlight w:val="none"/>
        </w:rPr>
      </w:pPr>
      <w:r>
        <w:rPr>
          <w:rFonts w:hint="eastAsia" w:ascii="宋体" w:hAnsi="宋体" w:cs="宋体"/>
          <w:color w:val="auto"/>
          <w:sz w:val="22"/>
          <w:szCs w:val="22"/>
          <w:highlight w:val="none"/>
        </w:rPr>
        <w:t>6）磋商供应商在磋商过程中所作出的各种承诺都必须用书面形式</w:t>
      </w:r>
      <w:r>
        <w:rPr>
          <w:rFonts w:hint="eastAsia" w:ascii="宋体" w:hAnsi="宋体" w:cs="宋体"/>
          <w:b/>
          <w:bCs/>
          <w:color w:val="auto"/>
          <w:sz w:val="22"/>
          <w:szCs w:val="22"/>
          <w:highlight w:val="none"/>
          <w:u w:val="single"/>
        </w:rPr>
        <w:t>（或经电子签章的政采云平台上传文件，下同）</w:t>
      </w:r>
      <w:r>
        <w:rPr>
          <w:rFonts w:hint="eastAsia" w:ascii="宋体" w:hAnsi="宋体" w:cs="宋体"/>
          <w:color w:val="auto"/>
          <w:sz w:val="22"/>
          <w:szCs w:val="22"/>
          <w:highlight w:val="none"/>
        </w:rPr>
        <w:t>，并由磋商供应商代表签字。磋商轮次最多不超过3轮。</w:t>
      </w:r>
    </w:p>
    <w:p w14:paraId="007053B2">
      <w:pPr>
        <w:spacing w:line="440" w:lineRule="exact"/>
        <w:ind w:left="548" w:leftChars="261"/>
        <w:rPr>
          <w:rFonts w:ascii="宋体" w:hAnsi="宋体" w:cs="宋体"/>
          <w:b/>
          <w:color w:val="auto"/>
          <w:sz w:val="22"/>
          <w:szCs w:val="22"/>
          <w:highlight w:val="none"/>
        </w:rPr>
      </w:pPr>
      <w:r>
        <w:rPr>
          <w:rFonts w:hint="eastAsia" w:ascii="宋体" w:hAnsi="宋体" w:cs="宋体"/>
          <w:b/>
          <w:color w:val="auto"/>
          <w:sz w:val="22"/>
          <w:szCs w:val="22"/>
          <w:highlight w:val="none"/>
        </w:rPr>
        <w:t>（5）最后报价</w:t>
      </w:r>
    </w:p>
    <w:p w14:paraId="0442ADE5">
      <w:pPr>
        <w:tabs>
          <w:tab w:val="left" w:pos="360"/>
        </w:tabs>
        <w:spacing w:line="460" w:lineRule="exact"/>
        <w:ind w:firstLine="442" w:firstLineChars="200"/>
        <w:rPr>
          <w:rFonts w:eastAsia="新宋体"/>
          <w:b/>
          <w:bCs/>
          <w:color w:val="auto"/>
          <w:sz w:val="22"/>
          <w:szCs w:val="22"/>
          <w:highlight w:val="none"/>
        </w:rPr>
      </w:pPr>
      <w:r>
        <w:rPr>
          <w:rFonts w:eastAsia="新宋体"/>
          <w:b/>
          <w:bCs/>
          <w:color w:val="auto"/>
          <w:sz w:val="22"/>
          <w:szCs w:val="22"/>
          <w:highlight w:val="none"/>
        </w:rPr>
        <w:t>1）</w:t>
      </w:r>
      <w:r>
        <w:rPr>
          <w:rFonts w:hint="eastAsia" w:ascii="新宋体" w:hAnsi="新宋体" w:eastAsia="新宋体"/>
          <w:b/>
          <w:bCs/>
          <w:color w:val="auto"/>
          <w:sz w:val="22"/>
          <w:szCs w:val="22"/>
          <w:highlight w:val="none"/>
        </w:rPr>
        <w:t>磋商文件能够详细列明采购标的的技术、服务要求的，磋商结束后，磋商小组应当要求所有实质性响应的供应商在规定时间内提交最后报价，提交最后报价的供应商不得少于3家</w:t>
      </w:r>
      <w:r>
        <w:rPr>
          <w:rFonts w:eastAsia="新宋体"/>
          <w:b/>
          <w:bCs/>
          <w:color w:val="auto"/>
          <w:sz w:val="22"/>
          <w:szCs w:val="22"/>
          <w:highlight w:val="none"/>
        </w:rPr>
        <w:t>。</w:t>
      </w:r>
    </w:p>
    <w:p w14:paraId="3B8A4DBD">
      <w:pPr>
        <w:spacing w:line="440" w:lineRule="exact"/>
        <w:ind w:firstLine="547" w:firstLineChars="249"/>
        <w:rPr>
          <w:rFonts w:eastAsia="新宋体"/>
          <w:color w:val="auto"/>
          <w:sz w:val="22"/>
          <w:szCs w:val="22"/>
          <w:highlight w:val="none"/>
        </w:rPr>
      </w:pPr>
      <w:r>
        <w:rPr>
          <w:rFonts w:eastAsia="新宋体"/>
          <w:color w:val="auto"/>
          <w:sz w:val="22"/>
          <w:szCs w:val="22"/>
          <w:highlight w:val="none"/>
        </w:rPr>
        <w:t>2）</w:t>
      </w:r>
      <w:r>
        <w:rPr>
          <w:rFonts w:hint="eastAsia" w:ascii="新宋体" w:hAnsi="新宋体" w:eastAsia="新宋体"/>
          <w:color w:val="auto"/>
          <w:sz w:val="22"/>
          <w:szCs w:val="22"/>
          <w:highlight w:val="none"/>
        </w:rPr>
        <w:t>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r>
        <w:rPr>
          <w:rFonts w:eastAsia="新宋体"/>
          <w:color w:val="auto"/>
          <w:sz w:val="22"/>
          <w:szCs w:val="22"/>
          <w:highlight w:val="none"/>
        </w:rPr>
        <w:t>。</w:t>
      </w:r>
    </w:p>
    <w:p w14:paraId="62F2ABD5">
      <w:pPr>
        <w:spacing w:line="440" w:lineRule="exact"/>
        <w:ind w:firstLine="547" w:firstLineChars="249"/>
        <w:rPr>
          <w:rFonts w:ascii="宋体" w:hAnsi="宋体" w:cs="宋体"/>
          <w:color w:val="auto"/>
          <w:sz w:val="22"/>
          <w:szCs w:val="22"/>
          <w:highlight w:val="none"/>
        </w:rPr>
      </w:pPr>
      <w:r>
        <w:rPr>
          <w:rFonts w:hint="eastAsia" w:ascii="宋体" w:hAnsi="宋体" w:cs="宋体"/>
          <w:color w:val="auto"/>
          <w:sz w:val="22"/>
          <w:szCs w:val="22"/>
          <w:highlight w:val="none"/>
        </w:rPr>
        <w:t>3）已提交磋商响应文件的供应商，在提交最后报价之前，可以根据磋商情况退出磋商。</w:t>
      </w:r>
    </w:p>
    <w:p w14:paraId="52E346B4">
      <w:pPr>
        <w:spacing w:line="440" w:lineRule="exact"/>
        <w:ind w:firstLine="550" w:firstLineChars="249"/>
        <w:rPr>
          <w:rFonts w:ascii="宋体" w:hAnsi="宋体" w:cs="宋体"/>
          <w:b/>
          <w:bCs/>
          <w:color w:val="auto"/>
          <w:sz w:val="22"/>
          <w:szCs w:val="22"/>
          <w:highlight w:val="none"/>
        </w:rPr>
      </w:pPr>
      <w:r>
        <w:rPr>
          <w:rFonts w:hint="eastAsia" w:ascii="宋体" w:hAnsi="宋体" w:cs="宋体"/>
          <w:b/>
          <w:bCs/>
          <w:color w:val="auto"/>
          <w:sz w:val="22"/>
          <w:szCs w:val="22"/>
          <w:highlight w:val="none"/>
        </w:rPr>
        <w:t>4）原则上最后报价不得高于一次报价（磋商小组另有决议的除外）</w:t>
      </w:r>
    </w:p>
    <w:p w14:paraId="2F52DF3B">
      <w:pPr>
        <w:spacing w:line="440" w:lineRule="exact"/>
        <w:ind w:left="548" w:leftChars="261"/>
        <w:rPr>
          <w:rFonts w:ascii="宋体" w:hAnsi="宋体" w:cs="宋体"/>
          <w:b/>
          <w:color w:val="auto"/>
          <w:sz w:val="22"/>
          <w:szCs w:val="22"/>
          <w:highlight w:val="none"/>
        </w:rPr>
      </w:pPr>
      <w:r>
        <w:rPr>
          <w:rFonts w:hint="eastAsia" w:ascii="宋体" w:hAnsi="宋体" w:cs="宋体"/>
          <w:b/>
          <w:color w:val="auto"/>
          <w:sz w:val="22"/>
          <w:szCs w:val="22"/>
          <w:highlight w:val="none"/>
        </w:rPr>
        <w:t>（6）综合评分</w:t>
      </w:r>
    </w:p>
    <w:p w14:paraId="0E209507">
      <w:pPr>
        <w:spacing w:line="440" w:lineRule="exact"/>
        <w:ind w:firstLine="547" w:firstLineChars="249"/>
        <w:rPr>
          <w:rFonts w:ascii="宋体" w:hAnsi="宋体" w:cs="宋体"/>
          <w:color w:val="auto"/>
          <w:sz w:val="22"/>
          <w:szCs w:val="22"/>
          <w:highlight w:val="none"/>
        </w:rPr>
      </w:pPr>
      <w:r>
        <w:rPr>
          <w:rFonts w:hint="eastAsia" w:ascii="宋体" w:hAnsi="宋体" w:cs="宋体"/>
          <w:color w:val="auto"/>
          <w:sz w:val="22"/>
          <w:szCs w:val="22"/>
          <w:highlight w:val="none"/>
        </w:rPr>
        <w:t>1）经磋商确定最终采购需求和提交最后报价的供应商后，由磋商小组采用综合评分法对提交最后报价的供应商的磋商响应文件和最后报价进行综合评分。</w:t>
      </w:r>
    </w:p>
    <w:p w14:paraId="7579C5EF">
      <w:pPr>
        <w:spacing w:line="440" w:lineRule="exact"/>
        <w:ind w:firstLine="547" w:firstLineChars="249"/>
        <w:rPr>
          <w:rFonts w:ascii="宋体" w:hAnsi="宋体" w:cs="宋体"/>
          <w:color w:val="auto"/>
          <w:sz w:val="22"/>
          <w:szCs w:val="22"/>
          <w:highlight w:val="none"/>
        </w:rPr>
      </w:pPr>
      <w:r>
        <w:rPr>
          <w:rFonts w:hint="eastAsia" w:ascii="宋体" w:hAnsi="宋体" w:cs="宋体"/>
          <w:color w:val="auto"/>
          <w:sz w:val="22"/>
          <w:szCs w:val="22"/>
          <w:highlight w:val="none"/>
        </w:rPr>
        <w:t>2）综合评分法，是指磋商响应文件满足磋商文件全部实质性要求且按评审因素的量化指标评审得分最高的供应商为成交候选供应商的评审方法。</w:t>
      </w:r>
    </w:p>
    <w:p w14:paraId="12BDE40D">
      <w:pPr>
        <w:spacing w:line="440" w:lineRule="exact"/>
        <w:ind w:firstLine="547" w:firstLineChars="249"/>
        <w:rPr>
          <w:rFonts w:ascii="宋体" w:hAnsi="宋体" w:cs="宋体"/>
          <w:color w:val="auto"/>
          <w:sz w:val="22"/>
          <w:szCs w:val="22"/>
          <w:highlight w:val="none"/>
        </w:rPr>
      </w:pPr>
      <w:r>
        <w:rPr>
          <w:rFonts w:hint="eastAsia" w:ascii="宋体" w:hAnsi="宋体" w:cs="宋体"/>
          <w:color w:val="auto"/>
          <w:sz w:val="22"/>
          <w:szCs w:val="22"/>
          <w:highlight w:val="none"/>
        </w:rPr>
        <w:t>3）综合评分法评审标准中的分值设置应当与评审因素的量化指标相对应。磋商文件中没有规定的评审标准不得作为评审依据。</w:t>
      </w:r>
    </w:p>
    <w:p w14:paraId="589121F9">
      <w:pPr>
        <w:spacing w:line="440" w:lineRule="exact"/>
        <w:ind w:firstLine="547" w:firstLineChars="249"/>
        <w:rPr>
          <w:rFonts w:ascii="宋体" w:hAnsi="宋体" w:cs="宋体"/>
          <w:color w:val="auto"/>
          <w:sz w:val="22"/>
          <w:szCs w:val="22"/>
          <w:highlight w:val="none"/>
        </w:rPr>
      </w:pPr>
      <w:r>
        <w:rPr>
          <w:rFonts w:hint="eastAsia" w:ascii="宋体" w:hAnsi="宋体" w:cs="宋体"/>
          <w:color w:val="auto"/>
          <w:sz w:val="22"/>
          <w:szCs w:val="22"/>
          <w:highlight w:val="none"/>
        </w:rPr>
        <w:t>4）评审时，磋商小组各成员应当独立对每个有效响应的文件进行评价、打分，然后汇总每个供应商每项评分因素的得分。</w:t>
      </w:r>
    </w:p>
    <w:p w14:paraId="4BDB6A1F">
      <w:pPr>
        <w:spacing w:line="440" w:lineRule="exact"/>
        <w:ind w:left="548" w:leftChars="261"/>
        <w:rPr>
          <w:rFonts w:ascii="宋体" w:hAnsi="宋体" w:cs="宋体"/>
          <w:b/>
          <w:color w:val="auto"/>
          <w:sz w:val="22"/>
          <w:szCs w:val="22"/>
          <w:highlight w:val="none"/>
        </w:rPr>
      </w:pPr>
      <w:r>
        <w:rPr>
          <w:rFonts w:hint="eastAsia" w:ascii="宋体" w:hAnsi="宋体" w:cs="宋体"/>
          <w:b/>
          <w:color w:val="auto"/>
          <w:sz w:val="22"/>
          <w:szCs w:val="22"/>
          <w:highlight w:val="none"/>
        </w:rPr>
        <w:t>（7）宣布评分结果以及最终报价</w:t>
      </w:r>
    </w:p>
    <w:p w14:paraId="39A4EF38">
      <w:pPr>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宣布评分结果以及最终报价在政采云电子招投标开标及评审程序中进行。</w:t>
      </w:r>
    </w:p>
    <w:p w14:paraId="65F86932">
      <w:pPr>
        <w:spacing w:line="460" w:lineRule="exact"/>
        <w:ind w:firstLine="539" w:firstLineChars="245"/>
        <w:rPr>
          <w:rFonts w:ascii="宋体" w:hAnsi="宋体" w:cs="宋体"/>
          <w:color w:val="auto"/>
          <w:sz w:val="22"/>
          <w:szCs w:val="22"/>
          <w:highlight w:val="none"/>
        </w:rPr>
      </w:pPr>
      <w:bookmarkStart w:id="58" w:name="_Toc24550037"/>
      <w:bookmarkStart w:id="59" w:name="_Toc33194393"/>
      <w:r>
        <w:rPr>
          <w:rFonts w:hint="eastAsia" w:ascii="宋体" w:hAnsi="宋体" w:cs="宋体"/>
          <w:color w:val="auto"/>
          <w:sz w:val="22"/>
          <w:szCs w:val="22"/>
          <w:highlight w:val="none"/>
        </w:rPr>
        <w:t>6、磋商供应商资格审查</w:t>
      </w:r>
      <w:bookmarkEnd w:id="58"/>
      <w:bookmarkEnd w:id="59"/>
    </w:p>
    <w:p w14:paraId="293E656D">
      <w:pPr>
        <w:spacing w:line="460" w:lineRule="exact"/>
        <w:ind w:firstLine="541" w:firstLineChars="245"/>
        <w:rPr>
          <w:rFonts w:ascii="宋体" w:hAnsi="宋体" w:cs="宋体"/>
          <w:color w:val="auto"/>
          <w:sz w:val="22"/>
          <w:szCs w:val="22"/>
          <w:highlight w:val="none"/>
        </w:rPr>
      </w:pPr>
      <w:r>
        <w:rPr>
          <w:rFonts w:hint="eastAsia" w:ascii="宋体" w:hAnsi="宋体" w:cs="宋体"/>
          <w:b/>
          <w:color w:val="auto"/>
          <w:sz w:val="22"/>
          <w:szCs w:val="22"/>
          <w:highlight w:val="none"/>
        </w:rPr>
        <w:t>（1）开标大会结束后，采购人或采购代理机构首先依法对各磋商供应商的资格进行审查，审查各磋商供应商的资格是否满足磋商文件的要求。</w:t>
      </w:r>
      <w:r>
        <w:rPr>
          <w:rFonts w:hint="eastAsia" w:ascii="宋体" w:hAnsi="宋体" w:cs="宋体"/>
          <w:color w:val="auto"/>
          <w:sz w:val="22"/>
          <w:szCs w:val="22"/>
          <w:highlight w:val="none"/>
        </w:rPr>
        <w:t>采购人或采购代理机构对磋商供应商所提交的资格证明材料仅负审核的责任。如发现磋商供应商所提交的资格证明材料不合法或与事实不符，采购人可取消其成交资格并追究磋商供应商的法律责任。</w:t>
      </w:r>
    </w:p>
    <w:p w14:paraId="2BCEC771">
      <w:pPr>
        <w:spacing w:line="460" w:lineRule="exact"/>
        <w:ind w:firstLine="541" w:firstLineChars="245"/>
        <w:rPr>
          <w:rFonts w:ascii="宋体" w:hAnsi="宋体" w:cs="宋体"/>
          <w:b/>
          <w:color w:val="auto"/>
          <w:kern w:val="0"/>
          <w:sz w:val="22"/>
          <w:szCs w:val="22"/>
          <w:highlight w:val="none"/>
        </w:rPr>
      </w:pPr>
      <w:r>
        <w:rPr>
          <w:rFonts w:hint="eastAsia" w:ascii="宋体" w:hAnsi="宋体" w:cs="宋体"/>
          <w:b/>
          <w:color w:val="auto"/>
          <w:sz w:val="22"/>
          <w:szCs w:val="22"/>
          <w:highlight w:val="none"/>
        </w:rPr>
        <w:t>（2）磋商供应商提交的资格证明材料无法证明其符合磋商文件规定的“磋商供应商资格要求”的，采购人或采购代理机构</w:t>
      </w:r>
      <w:r>
        <w:rPr>
          <w:rFonts w:hint="eastAsia" w:ascii="宋体" w:hAnsi="宋体" w:cs="宋体"/>
          <w:b/>
          <w:color w:val="auto"/>
          <w:kern w:val="0"/>
          <w:sz w:val="22"/>
          <w:szCs w:val="22"/>
          <w:highlight w:val="none"/>
        </w:rPr>
        <w:t>将对其作资格审查不通过处理（无效磋商），并不再将其磋商响应文件提交磋商小组进行后续评审。</w:t>
      </w:r>
    </w:p>
    <w:p w14:paraId="04F8CBA0">
      <w:pPr>
        <w:spacing w:line="460" w:lineRule="exact"/>
        <w:ind w:firstLine="541" w:firstLineChars="245"/>
        <w:rPr>
          <w:rFonts w:ascii="宋体" w:hAnsi="宋体" w:cs="宋体"/>
          <w:b/>
          <w:bCs/>
          <w:color w:val="auto"/>
          <w:sz w:val="22"/>
          <w:szCs w:val="22"/>
          <w:highlight w:val="none"/>
        </w:rPr>
      </w:pPr>
      <w:r>
        <w:rPr>
          <w:rFonts w:hint="eastAsia" w:ascii="宋体" w:hAnsi="宋体" w:cs="宋体"/>
          <w:b/>
          <w:color w:val="auto"/>
          <w:sz w:val="22"/>
          <w:szCs w:val="22"/>
          <w:highlight w:val="none"/>
        </w:rPr>
        <w:t>（3）</w:t>
      </w:r>
      <w:r>
        <w:rPr>
          <w:rFonts w:hint="eastAsia" w:ascii="宋体" w:hAnsi="宋体" w:cs="宋体"/>
          <w:b/>
          <w:color w:val="auto"/>
          <w:kern w:val="0"/>
          <w:sz w:val="22"/>
          <w:szCs w:val="22"/>
          <w:highlight w:val="none"/>
        </w:rPr>
        <w:t>单位负责人为同一人或者存在直接控股、管理关系的不同供应商参加同一合同项下的政府采购活动的，相关磋商供应商均作资格无效处理。</w:t>
      </w:r>
    </w:p>
    <w:p w14:paraId="73FEA398">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szCs w:val="22"/>
          <w:highlight w:val="none"/>
        </w:rPr>
        <w:t>7、磋商小组按照磋商文件中规定的评审方法和标准，对磋商响应文件进行商务和技术评估，综合比较与评价。</w:t>
      </w:r>
    </w:p>
    <w:p w14:paraId="65E31904">
      <w:pPr>
        <w:spacing w:line="460" w:lineRule="exact"/>
        <w:ind w:firstLine="541" w:firstLineChars="245"/>
        <w:rPr>
          <w:rFonts w:ascii="宋体" w:hAnsi="宋体" w:cs="宋体"/>
          <w:b/>
          <w:color w:val="auto"/>
          <w:sz w:val="22"/>
          <w:szCs w:val="22"/>
          <w:highlight w:val="none"/>
          <w:u w:val="single"/>
        </w:rPr>
      </w:pPr>
      <w:r>
        <w:rPr>
          <w:rFonts w:hint="eastAsia" w:ascii="宋体" w:hAnsi="宋体" w:cs="宋体"/>
          <w:b/>
          <w:color w:val="auto"/>
          <w:sz w:val="22"/>
          <w:szCs w:val="22"/>
          <w:highlight w:val="none"/>
          <w:u w:val="single"/>
        </w:rPr>
        <w:t>8、磋商供应商存在下列情况之一的，磋商无效：</w:t>
      </w:r>
    </w:p>
    <w:p w14:paraId="33CF27E2">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szCs w:val="22"/>
          <w:highlight w:val="none"/>
        </w:rPr>
        <w:t>（1）磋商响应文件未按磋商文件要求签署、盖章的；</w:t>
      </w:r>
    </w:p>
    <w:p w14:paraId="0BE5B875">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szCs w:val="22"/>
          <w:highlight w:val="none"/>
        </w:rPr>
        <w:t xml:space="preserve">（2）不具备磋商文件中规定的资格要求的； </w:t>
      </w:r>
    </w:p>
    <w:p w14:paraId="01C6D7F7">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szCs w:val="22"/>
          <w:highlight w:val="none"/>
        </w:rPr>
        <w:t>（3）明显不符合磋商文件中主要技术规格、技术标准的；</w:t>
      </w:r>
    </w:p>
    <w:p w14:paraId="288406EB">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szCs w:val="22"/>
          <w:highlight w:val="none"/>
        </w:rPr>
        <w:t>（4）磋商响应文件内容不全或关键字迹模糊无法辨认的；</w:t>
      </w:r>
    </w:p>
    <w:p w14:paraId="0E2094CB">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szCs w:val="22"/>
          <w:highlight w:val="none"/>
        </w:rPr>
        <w:t>（5）磋商供应商代表没有法定代表人合法、有效委托的；</w:t>
      </w:r>
    </w:p>
    <w:p w14:paraId="0B0B4217">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szCs w:val="22"/>
          <w:highlight w:val="none"/>
        </w:rPr>
        <w:t>（6）报价超过磋商文件中规定的预算金额或者最高限价的；</w:t>
      </w:r>
    </w:p>
    <w:p w14:paraId="0DB2F287">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（7）磋商响应文件存在一个或一个以上备选（替代）磋商方案的；</w:t>
      </w:r>
    </w:p>
    <w:p w14:paraId="6188B1FE">
      <w:pPr>
        <w:spacing w:line="460" w:lineRule="exact"/>
        <w:ind w:firstLine="539" w:firstLineChars="245"/>
        <w:rPr>
          <w:rFonts w:ascii="宋体" w:hAnsi="宋体" w:cs="宋体"/>
          <w:color w:val="auto"/>
          <w:highlight w:val="none"/>
        </w:rPr>
      </w:pPr>
      <w:r>
        <w:rPr>
          <w:rFonts w:hint="eastAsia" w:ascii="宋体" w:hAnsi="宋体" w:cs="宋体"/>
          <w:color w:val="auto"/>
          <w:sz w:val="22"/>
          <w:szCs w:val="22"/>
          <w:highlight w:val="none"/>
        </w:rPr>
        <w:t>（8）仅提交“备份磋商响应文件”的；</w:t>
      </w:r>
    </w:p>
    <w:p w14:paraId="67962B95">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szCs w:val="22"/>
          <w:highlight w:val="none"/>
        </w:rPr>
        <w:t>（9）磋商响应文件含有采购人不能接受的附加条件的；</w:t>
      </w:r>
    </w:p>
    <w:p w14:paraId="4A25628E">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szCs w:val="22"/>
          <w:highlight w:val="none"/>
        </w:rPr>
        <w:t>（10）法律、法规和磋商文件规定的其他无效情形。</w:t>
      </w:r>
    </w:p>
    <w:p w14:paraId="759D860E">
      <w:pPr>
        <w:spacing w:line="460" w:lineRule="exact"/>
        <w:ind w:firstLine="541" w:firstLineChars="245"/>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9、有下列情形之一的，视为磋商供应商串通磋商，其磋商无效</w:t>
      </w:r>
    </w:p>
    <w:p w14:paraId="1CA5E686">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（1）不同磋商供应商的磋商响应文件由同一单位或者个人编制；</w:t>
      </w:r>
    </w:p>
    <w:p w14:paraId="0665C870">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（2）不同磋商供应商委托同一单位或者个人办理磋商事宜；</w:t>
      </w:r>
    </w:p>
    <w:p w14:paraId="394788E3">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（3）不同磋商供应商的磋商响应文件载明的项目管理成员或者联系人员为同一人；</w:t>
      </w:r>
    </w:p>
    <w:p w14:paraId="0D8F849D">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（4）不同磋商供应商的磋商响应文件异常一致或者报价呈规律性差异；</w:t>
      </w:r>
    </w:p>
    <w:p w14:paraId="6C40C720">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（5）不同磋商供应商的磋商响应文件相互混装。</w:t>
      </w:r>
    </w:p>
    <w:p w14:paraId="653F4D6A">
      <w:pPr>
        <w:spacing w:line="460" w:lineRule="exact"/>
        <w:ind w:firstLine="541" w:firstLineChars="245"/>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10、磋商响应文件报价出现前后不一致的，按照下列规定修正：</w:t>
      </w:r>
    </w:p>
    <w:p w14:paraId="0758F5CC">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（1）</w:t>
      </w:r>
      <w:r>
        <w:rPr>
          <w:rFonts w:hint="eastAsia" w:ascii="新宋体" w:hAnsi="新宋体" w:eastAsia="新宋体" w:cs="新宋体"/>
          <w:color w:val="auto"/>
          <w:sz w:val="22"/>
          <w:szCs w:val="22"/>
          <w:highlight w:val="none"/>
        </w:rPr>
        <w:t>系统上传的磋商响应文件中开标一览表（报价表）（加盖公章）内容与磋商响应文件中相应内容不一致的，以系统上传的磋商响应文件中开标一览表（报价表）（加盖公章）为准</w:t>
      </w:r>
      <w:r>
        <w:rPr>
          <w:rFonts w:hint="eastAsia" w:ascii="宋体" w:hAnsi="宋体" w:cs="宋体"/>
          <w:color w:val="auto"/>
          <w:sz w:val="22"/>
          <w:szCs w:val="22"/>
          <w:highlight w:val="none"/>
        </w:rPr>
        <w:t>；</w:t>
      </w:r>
    </w:p>
    <w:p w14:paraId="7011E95F">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（2）大写金额和小写金额不一致的，以大写金额为准；</w:t>
      </w:r>
    </w:p>
    <w:p w14:paraId="3DDAD536">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（3）单价金额小数点或者百分比有明显错位的，以开标一览表的总价为准，并修改单价；</w:t>
      </w:r>
    </w:p>
    <w:p w14:paraId="76306B61">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（4）总价金额与按单价汇总金额不一致的，以单价金额计算结果为准。</w:t>
      </w:r>
    </w:p>
    <w:p w14:paraId="1F10C02B">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同时出现两种以上不一致的，按照前款规定的顺序修正。修正后的报价按照本小节第12条第12.2款的规定经磋商供应商确认后产生约束力，磋商供应商不确认的，其磋商响应文件无效。</w:t>
      </w:r>
    </w:p>
    <w:p w14:paraId="39FC3F14">
      <w:pPr>
        <w:spacing w:line="460" w:lineRule="exact"/>
        <w:ind w:firstLine="759" w:firstLineChars="345"/>
        <w:rPr>
          <w:rFonts w:ascii="宋体" w:hAnsi="宋体" w:cs="宋体"/>
          <w:bCs/>
          <w:color w:val="auto"/>
          <w:sz w:val="22"/>
          <w:szCs w:val="22"/>
          <w:highlight w:val="none"/>
        </w:rPr>
      </w:pPr>
      <w:r>
        <w:rPr>
          <w:rFonts w:hint="eastAsia" w:ascii="宋体" w:hAnsi="宋体" w:cs="宋体"/>
          <w:bCs/>
          <w:color w:val="auto"/>
          <w:sz w:val="22"/>
          <w:szCs w:val="22"/>
          <w:highlight w:val="none"/>
        </w:rPr>
        <w:t>11、磋商小组对需要共同认定的事项存在争议的，应当按照少数服从多数的原则作出结论。持不同意见的磋商小组成员应当在评审报告上签署不同意见及理由，否则视为同意评审报告。</w:t>
      </w:r>
    </w:p>
    <w:p w14:paraId="78B15B8E">
      <w:pPr>
        <w:spacing w:line="460" w:lineRule="exact"/>
        <w:ind w:firstLine="759" w:firstLineChars="345"/>
        <w:rPr>
          <w:rFonts w:ascii="宋体" w:hAnsi="宋体" w:cs="宋体"/>
          <w:bCs/>
          <w:color w:val="auto"/>
          <w:sz w:val="22"/>
          <w:szCs w:val="22"/>
          <w:highlight w:val="none"/>
        </w:rPr>
      </w:pPr>
      <w:r>
        <w:rPr>
          <w:rFonts w:hint="eastAsia" w:ascii="宋体" w:hAnsi="宋体" w:cs="宋体"/>
          <w:bCs/>
          <w:color w:val="auto"/>
          <w:sz w:val="22"/>
          <w:szCs w:val="22"/>
          <w:highlight w:val="none"/>
        </w:rPr>
        <w:t>12、磋商响应文件的澄清</w:t>
      </w:r>
    </w:p>
    <w:p w14:paraId="35689B80">
      <w:pPr>
        <w:spacing w:line="460" w:lineRule="exact"/>
        <w:ind w:firstLine="759" w:firstLineChars="345"/>
        <w:rPr>
          <w:rFonts w:ascii="宋体" w:hAnsi="宋体" w:cs="宋体"/>
          <w:bCs/>
          <w:color w:val="auto"/>
          <w:sz w:val="22"/>
          <w:szCs w:val="22"/>
          <w:highlight w:val="none"/>
        </w:rPr>
      </w:pPr>
      <w:r>
        <w:rPr>
          <w:rFonts w:hint="eastAsia" w:ascii="宋体" w:hAnsi="宋体" w:cs="宋体"/>
          <w:bCs/>
          <w:color w:val="auto"/>
          <w:sz w:val="22"/>
          <w:szCs w:val="22"/>
          <w:highlight w:val="none"/>
        </w:rPr>
        <w:t>12.1在评审期间，磋商小组可要求磋商供应商对于磋商响应文件中含义不明确、同类问题表述不一致或者有明显文字和计算错误的内容，磋商小组应当以书面形式（或通过“政府采购云平台”在线询标）要求磋商供应商在规定的时间内作出必要的澄清、说明或者补正。磋商供应商澄清、说明或补正时间为30分钟。</w:t>
      </w:r>
    </w:p>
    <w:p w14:paraId="1BE7DF7C">
      <w:pPr>
        <w:spacing w:line="460" w:lineRule="exact"/>
        <w:ind w:firstLine="759" w:firstLineChars="345"/>
        <w:rPr>
          <w:rFonts w:ascii="宋体" w:hAnsi="宋体" w:cs="宋体"/>
          <w:bCs/>
          <w:color w:val="auto"/>
          <w:sz w:val="22"/>
          <w:szCs w:val="22"/>
          <w:highlight w:val="none"/>
        </w:rPr>
      </w:pPr>
      <w:r>
        <w:rPr>
          <w:rFonts w:hint="eastAsia" w:ascii="宋体" w:hAnsi="宋体" w:cs="宋体"/>
          <w:bCs/>
          <w:color w:val="auto"/>
          <w:sz w:val="22"/>
          <w:szCs w:val="22"/>
          <w:highlight w:val="none"/>
        </w:rPr>
        <w:t>12.2磋商供应商的澄清、说明或者补正应当采用书面形式（或通过“政府采购云平台”在线答复），并加盖公章，或者由法定代表人或其授权的代表签字。磋商供应商的澄清、说明或者补正不得超出磋商响应文件的范围或者改变磋商响应文件的实质性内容。</w:t>
      </w:r>
    </w:p>
    <w:p w14:paraId="7BF84462">
      <w:pPr>
        <w:spacing w:line="460" w:lineRule="exact"/>
        <w:ind w:firstLine="759" w:firstLineChars="345"/>
        <w:rPr>
          <w:rFonts w:ascii="宋体" w:hAnsi="宋体" w:cs="宋体"/>
          <w:b/>
          <w:color w:val="auto"/>
          <w:sz w:val="22"/>
          <w:szCs w:val="22"/>
          <w:highlight w:val="none"/>
        </w:rPr>
      </w:pPr>
      <w:r>
        <w:rPr>
          <w:rFonts w:hint="eastAsia" w:ascii="宋体" w:hAnsi="宋体" w:cs="宋体"/>
          <w:color w:val="auto"/>
          <w:sz w:val="22"/>
          <w:szCs w:val="22"/>
          <w:highlight w:val="none"/>
        </w:rPr>
        <w:t>拒不按要求对其磋商响应文件进行澄清，说明或补正的磋商供应商，磋商小组可以否决其磋商。</w:t>
      </w:r>
    </w:p>
    <w:p w14:paraId="745BB02B">
      <w:pPr>
        <w:spacing w:line="460" w:lineRule="exact"/>
        <w:ind w:firstLine="759" w:firstLineChars="345"/>
        <w:rPr>
          <w:rFonts w:ascii="宋体" w:hAnsi="宋体" w:cs="宋体"/>
          <w:b/>
          <w:color w:val="auto"/>
          <w:sz w:val="22"/>
          <w:szCs w:val="22"/>
          <w:highlight w:val="none"/>
        </w:rPr>
      </w:pPr>
      <w:r>
        <w:rPr>
          <w:rFonts w:hint="eastAsia" w:ascii="宋体" w:hAnsi="宋体" w:cs="宋体"/>
          <w:color w:val="auto"/>
          <w:sz w:val="22"/>
          <w:szCs w:val="22"/>
          <w:highlight w:val="none"/>
        </w:rPr>
        <w:t>12.2</w:t>
      </w:r>
      <w:r>
        <w:rPr>
          <w:rFonts w:hint="eastAsia" w:ascii="宋体" w:hAnsi="宋体" w:cs="宋体"/>
          <w:b/>
          <w:color w:val="auto"/>
          <w:sz w:val="22"/>
          <w:szCs w:val="22"/>
          <w:highlight w:val="none"/>
        </w:rPr>
        <w:t>经澄清后，若偏差仍存在，且不可接受，磋商供应商则被认为是“没有实质性响应磋商文件要求”，其磋商响应文件将被拒绝。</w:t>
      </w:r>
    </w:p>
    <w:p w14:paraId="0F1FADA3">
      <w:pPr>
        <w:spacing w:line="460" w:lineRule="exact"/>
        <w:ind w:firstLine="759" w:firstLineChars="345"/>
        <w:rPr>
          <w:rFonts w:ascii="宋体" w:hAnsi="宋体" w:cs="宋体"/>
          <w:color w:val="auto"/>
          <w:sz w:val="22"/>
          <w:szCs w:val="22"/>
          <w:highlight w:val="none"/>
        </w:rPr>
      </w:pPr>
      <w:r>
        <w:rPr>
          <w:rFonts w:hint="eastAsia" w:ascii="宋体" w:hAnsi="宋体" w:cs="宋体"/>
          <w:color w:val="auto"/>
          <w:sz w:val="22"/>
          <w:szCs w:val="22"/>
          <w:highlight w:val="none"/>
        </w:rPr>
        <w:t>13、评审结果的修改</w:t>
      </w:r>
    </w:p>
    <w:p w14:paraId="6D0B765B">
      <w:pPr>
        <w:spacing w:line="460" w:lineRule="exact"/>
        <w:ind w:firstLine="762" w:firstLineChars="345"/>
        <w:rPr>
          <w:rFonts w:ascii="宋体" w:hAnsi="宋体" w:cs="宋体"/>
          <w:b/>
          <w:color w:val="auto"/>
          <w:sz w:val="22"/>
          <w:szCs w:val="22"/>
          <w:highlight w:val="none"/>
        </w:rPr>
      </w:pPr>
      <w:r>
        <w:rPr>
          <w:rFonts w:hint="eastAsia" w:ascii="宋体" w:hAnsi="宋体" w:cs="宋体"/>
          <w:b/>
          <w:color w:val="auto"/>
          <w:sz w:val="22"/>
          <w:szCs w:val="22"/>
          <w:highlight w:val="none"/>
        </w:rPr>
        <w:t>13.1评审结果汇总完成后，除下列情形外，任何人不得修改评审结果：</w:t>
      </w:r>
    </w:p>
    <w:p w14:paraId="30942FF6">
      <w:pPr>
        <w:spacing w:line="460" w:lineRule="exact"/>
        <w:ind w:firstLine="759" w:firstLineChars="345"/>
        <w:rPr>
          <w:rFonts w:ascii="宋体" w:hAnsi="宋体" w:cs="宋体"/>
          <w:color w:val="auto"/>
          <w:sz w:val="22"/>
          <w:szCs w:val="22"/>
          <w:highlight w:val="none"/>
        </w:rPr>
      </w:pPr>
      <w:r>
        <w:rPr>
          <w:rFonts w:hint="eastAsia" w:ascii="宋体" w:hAnsi="宋体" w:cs="宋体"/>
          <w:color w:val="auto"/>
          <w:sz w:val="22"/>
          <w:szCs w:val="22"/>
          <w:highlight w:val="none"/>
        </w:rPr>
        <w:t>（1）分值汇总计算错误的；</w:t>
      </w:r>
    </w:p>
    <w:p w14:paraId="2A9447FD">
      <w:pPr>
        <w:spacing w:line="460" w:lineRule="exact"/>
        <w:ind w:firstLine="759" w:firstLineChars="345"/>
        <w:rPr>
          <w:rFonts w:ascii="宋体" w:hAnsi="宋体" w:cs="宋体"/>
          <w:color w:val="auto"/>
          <w:sz w:val="22"/>
          <w:szCs w:val="22"/>
          <w:highlight w:val="none"/>
        </w:rPr>
      </w:pPr>
      <w:r>
        <w:rPr>
          <w:rFonts w:hint="eastAsia" w:ascii="宋体" w:hAnsi="宋体" w:cs="宋体"/>
          <w:color w:val="auto"/>
          <w:sz w:val="22"/>
          <w:szCs w:val="22"/>
          <w:highlight w:val="none"/>
        </w:rPr>
        <w:t>（2）分项评分超出评分标准范围的；</w:t>
      </w:r>
    </w:p>
    <w:p w14:paraId="7B827F72">
      <w:pPr>
        <w:spacing w:line="460" w:lineRule="exact"/>
        <w:ind w:firstLine="759" w:firstLineChars="345"/>
        <w:rPr>
          <w:rFonts w:ascii="宋体" w:hAnsi="宋体" w:cs="宋体"/>
          <w:color w:val="auto"/>
          <w:sz w:val="22"/>
          <w:szCs w:val="22"/>
          <w:highlight w:val="none"/>
        </w:rPr>
      </w:pPr>
      <w:r>
        <w:rPr>
          <w:rFonts w:hint="eastAsia" w:ascii="宋体" w:hAnsi="宋体" w:cs="宋体"/>
          <w:color w:val="auto"/>
          <w:sz w:val="22"/>
          <w:szCs w:val="22"/>
          <w:highlight w:val="none"/>
        </w:rPr>
        <w:t>（3）磋商小组成员对客观评审因素评分不一致的；</w:t>
      </w:r>
    </w:p>
    <w:p w14:paraId="33BC8CFA">
      <w:pPr>
        <w:spacing w:line="460" w:lineRule="exact"/>
        <w:ind w:firstLine="759" w:firstLineChars="345"/>
        <w:rPr>
          <w:rFonts w:ascii="宋体" w:hAnsi="宋体" w:cs="宋体"/>
          <w:color w:val="auto"/>
          <w:sz w:val="22"/>
          <w:szCs w:val="22"/>
          <w:highlight w:val="none"/>
        </w:rPr>
      </w:pPr>
      <w:r>
        <w:rPr>
          <w:rFonts w:hint="eastAsia" w:ascii="宋体" w:hAnsi="宋体" w:cs="宋体"/>
          <w:color w:val="auto"/>
          <w:sz w:val="22"/>
          <w:szCs w:val="22"/>
          <w:highlight w:val="none"/>
        </w:rPr>
        <w:t>（4）经磋商小组认定评分畸高、畸低的。</w:t>
      </w:r>
    </w:p>
    <w:p w14:paraId="026A89E5">
      <w:pPr>
        <w:spacing w:line="460" w:lineRule="exact"/>
        <w:ind w:firstLine="759" w:firstLineChars="345"/>
        <w:rPr>
          <w:rFonts w:ascii="宋体" w:hAnsi="宋体" w:cs="宋体"/>
          <w:color w:val="auto"/>
          <w:highlight w:val="none"/>
        </w:rPr>
      </w:pPr>
      <w:r>
        <w:rPr>
          <w:rFonts w:hint="eastAsia" w:ascii="宋体" w:hAnsi="宋体" w:cs="宋体"/>
          <w:bCs/>
          <w:color w:val="auto"/>
          <w:sz w:val="22"/>
          <w:szCs w:val="22"/>
          <w:highlight w:val="none"/>
        </w:rPr>
        <w:t>13.2书面评审报告签署前，经复核发现存在以上情形之一的，磋商小组将当场修改评审结果，并在</w:t>
      </w:r>
      <w:r>
        <w:rPr>
          <w:rFonts w:hint="eastAsia" w:ascii="宋体" w:hAnsi="宋体" w:cs="宋体"/>
          <w:b/>
          <w:color w:val="auto"/>
          <w:sz w:val="22"/>
          <w:szCs w:val="22"/>
          <w:highlight w:val="none"/>
        </w:rPr>
        <w:t>评审报告中记载。</w:t>
      </w:r>
    </w:p>
    <w:p w14:paraId="50E9DF42">
      <w:pPr>
        <w:spacing w:line="460" w:lineRule="exact"/>
        <w:ind w:firstLine="759" w:firstLineChars="345"/>
        <w:rPr>
          <w:rFonts w:ascii="宋体" w:hAnsi="宋体" w:cs="宋体"/>
          <w:b/>
          <w:color w:val="auto"/>
          <w:sz w:val="22"/>
          <w:szCs w:val="22"/>
          <w:highlight w:val="none"/>
        </w:rPr>
      </w:pPr>
      <w:r>
        <w:rPr>
          <w:rFonts w:hint="eastAsia" w:ascii="宋体" w:hAnsi="宋体" w:cs="宋体"/>
          <w:color w:val="auto"/>
          <w:sz w:val="22"/>
          <w:szCs w:val="22"/>
          <w:highlight w:val="none"/>
        </w:rPr>
        <w:t>14</w:t>
      </w: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确定成交候选人</w:t>
      </w:r>
    </w:p>
    <w:p w14:paraId="1D2A754D">
      <w:pPr>
        <w:spacing w:line="460" w:lineRule="exact"/>
        <w:ind w:firstLine="759" w:firstLineChars="345"/>
        <w:rPr>
          <w:rFonts w:ascii="宋体" w:hAnsi="宋体" w:cs="宋体"/>
          <w:color w:val="auto"/>
          <w:sz w:val="22"/>
          <w:szCs w:val="22"/>
          <w:highlight w:val="none"/>
        </w:rPr>
      </w:pPr>
      <w:r>
        <w:rPr>
          <w:rFonts w:hint="eastAsia" w:ascii="宋体" w:hAnsi="宋体" w:cs="宋体"/>
          <w:color w:val="auto"/>
          <w:sz w:val="22"/>
          <w:szCs w:val="22"/>
          <w:highlight w:val="none"/>
        </w:rPr>
        <w:t>14.1由磋商小组确定成交候选人。</w:t>
      </w:r>
    </w:p>
    <w:p w14:paraId="5FB738E5">
      <w:pPr>
        <w:spacing w:line="460" w:lineRule="exact"/>
        <w:ind w:firstLine="759" w:firstLineChars="345"/>
        <w:rPr>
          <w:rFonts w:ascii="宋体" w:hAnsi="宋体" w:cs="宋体"/>
          <w:color w:val="auto"/>
          <w:sz w:val="22"/>
          <w:szCs w:val="22"/>
          <w:highlight w:val="none"/>
        </w:rPr>
      </w:pPr>
      <w:r>
        <w:rPr>
          <w:rFonts w:hint="eastAsia" w:ascii="宋体" w:hAnsi="宋体" w:cs="宋体"/>
          <w:color w:val="auto"/>
          <w:sz w:val="22"/>
          <w:szCs w:val="22"/>
          <w:highlight w:val="none"/>
        </w:rPr>
        <w:t>14.2磋商小组依据法律、法规及磋商文件有关规定按评审后得分（即商务技术分与报价得分之和）由高到低顺序排序，得分前三名的磋商供应商确定为该项目的第一、第二和第三成交候选人（得分相同的，按报价由低到高顺序排列。得分且报价相同的并列。）向采购人推荐。</w:t>
      </w:r>
    </w:p>
    <w:p w14:paraId="444D8DA1">
      <w:pPr>
        <w:spacing w:line="460" w:lineRule="exact"/>
        <w:ind w:firstLine="762" w:firstLineChars="345"/>
        <w:rPr>
          <w:rFonts w:ascii="宋体" w:hAnsi="宋体" w:cs="宋体"/>
          <w:bCs/>
          <w:color w:val="auto"/>
          <w:sz w:val="22"/>
          <w:szCs w:val="22"/>
          <w:highlight w:val="none"/>
        </w:rPr>
      </w:pPr>
      <w:r>
        <w:rPr>
          <w:rFonts w:hint="eastAsia" w:ascii="宋体" w:hAnsi="宋体" w:cs="宋体"/>
          <w:b/>
          <w:bCs/>
          <w:color w:val="auto"/>
          <w:sz w:val="22"/>
          <w:szCs w:val="22"/>
          <w:highlight w:val="none"/>
        </w:rPr>
        <w:t>15、确定成交供应商</w:t>
      </w:r>
    </w:p>
    <w:p w14:paraId="0DD20FE8">
      <w:pPr>
        <w:spacing w:line="460" w:lineRule="exact"/>
        <w:ind w:firstLine="762" w:firstLineChars="345"/>
        <w:rPr>
          <w:rFonts w:ascii="宋体" w:hAnsi="宋体" w:cs="宋体"/>
          <w:b/>
          <w:bCs/>
          <w:color w:val="auto"/>
          <w:sz w:val="22"/>
          <w:szCs w:val="22"/>
          <w:highlight w:val="none"/>
        </w:rPr>
      </w:pPr>
      <w:r>
        <w:rPr>
          <w:rFonts w:hint="eastAsia" w:ascii="宋体" w:hAnsi="宋体" w:cs="宋体"/>
          <w:b/>
          <w:color w:val="auto"/>
          <w:sz w:val="22"/>
          <w:szCs w:val="22"/>
          <w:highlight w:val="none"/>
        </w:rPr>
        <w:t>15</w:t>
      </w:r>
      <w:r>
        <w:rPr>
          <w:rFonts w:hint="eastAsia" w:ascii="宋体" w:hAnsi="宋体" w:cs="宋体"/>
          <w:b/>
          <w:bCs/>
          <w:color w:val="auto"/>
          <w:sz w:val="22"/>
          <w:szCs w:val="22"/>
          <w:highlight w:val="none"/>
        </w:rPr>
        <w:t>.1采购人按照书面评审报告中推荐的成交候选供应商顺序确定成交供应商；也可以事先授权磋商小组按照推荐的成交候选供应商顺序直接确定成交供应商。成交候选人并列的，由磋商小组全体成员记名投票按少数服从多数的原则确定排名。</w:t>
      </w:r>
    </w:p>
    <w:p w14:paraId="24D21B8A">
      <w:pPr>
        <w:spacing w:line="460" w:lineRule="exact"/>
        <w:ind w:firstLine="759" w:firstLineChars="345"/>
        <w:rPr>
          <w:rFonts w:ascii="宋体" w:hAnsi="宋体" w:cs="宋体"/>
          <w:color w:val="auto"/>
          <w:sz w:val="22"/>
          <w:szCs w:val="22"/>
          <w:highlight w:val="none"/>
        </w:rPr>
      </w:pPr>
      <w:r>
        <w:rPr>
          <w:rFonts w:hint="eastAsia" w:ascii="宋体" w:hAnsi="宋体" w:cs="宋体"/>
          <w:color w:val="auto"/>
          <w:sz w:val="22"/>
          <w:szCs w:val="22"/>
          <w:highlight w:val="none"/>
        </w:rPr>
        <w:t>15.2排名第一的成交候选供应商放弃成交；或因不可抗力提出不能履行合同；或未能在规定时间内与采购人签订合同的；或经质疑，采购组织机构审查确因排名第一的候选供应商在本次采购活动中存在违法违规行为或其他原因使质疑成立的，采购人可以直接确定排名第二的候选供应商为成交供应商，以此类推至第三名，或重新采购。</w:t>
      </w:r>
    </w:p>
    <w:p w14:paraId="366E9E77">
      <w:pPr>
        <w:spacing w:line="460" w:lineRule="exact"/>
        <w:ind w:firstLine="759" w:firstLineChars="345"/>
        <w:rPr>
          <w:rFonts w:ascii="宋体" w:hAnsi="宋体" w:cs="宋体"/>
          <w:color w:val="auto"/>
          <w:sz w:val="22"/>
          <w:szCs w:val="22"/>
          <w:highlight w:val="none"/>
        </w:rPr>
      </w:pPr>
      <w:r>
        <w:rPr>
          <w:rFonts w:hint="eastAsia" w:ascii="宋体" w:hAnsi="宋体" w:cs="宋体"/>
          <w:color w:val="auto"/>
          <w:sz w:val="22"/>
          <w:szCs w:val="22"/>
          <w:highlight w:val="none"/>
        </w:rPr>
        <w:t>16、起草、签署评审报告</w:t>
      </w:r>
    </w:p>
    <w:p w14:paraId="49C98E13">
      <w:pPr>
        <w:spacing w:line="460" w:lineRule="exact"/>
        <w:ind w:firstLine="759" w:firstLineChars="345"/>
        <w:rPr>
          <w:rFonts w:ascii="宋体" w:hAnsi="宋体" w:cs="宋体"/>
          <w:b/>
          <w:bCs/>
          <w:color w:val="auto"/>
          <w:sz w:val="22"/>
          <w:szCs w:val="22"/>
          <w:highlight w:val="none"/>
        </w:rPr>
      </w:pPr>
      <w:r>
        <w:rPr>
          <w:rFonts w:hint="eastAsia" w:ascii="宋体" w:hAnsi="宋体" w:cs="宋体"/>
          <w:color w:val="auto"/>
          <w:sz w:val="22"/>
          <w:szCs w:val="22"/>
          <w:highlight w:val="none"/>
        </w:rPr>
        <w:t>评审结束后，磋商小组将通过“政府采购云平台”起草评审报告，磋商小组成员应当在评审报告上签字，对自己的评审意见承担法律责任。对评审报告有异议的，应当在评审报告上签署不同意见，并说明理由，否则视为同意评审报告。</w:t>
      </w:r>
    </w:p>
    <w:p w14:paraId="11864188">
      <w:pPr>
        <w:spacing w:line="460" w:lineRule="exact"/>
        <w:ind w:firstLine="759" w:firstLineChars="345"/>
        <w:rPr>
          <w:rFonts w:ascii="宋体" w:hAnsi="宋体" w:cs="宋体"/>
          <w:color w:val="auto"/>
          <w:sz w:val="22"/>
          <w:szCs w:val="22"/>
          <w:highlight w:val="none"/>
        </w:rPr>
      </w:pPr>
      <w:r>
        <w:rPr>
          <w:rFonts w:hint="eastAsia" w:ascii="宋体" w:hAnsi="宋体" w:cs="宋体"/>
          <w:color w:val="auto"/>
          <w:sz w:val="22"/>
          <w:szCs w:val="22"/>
          <w:highlight w:val="none"/>
        </w:rPr>
        <w:t>17</w:t>
      </w: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成交供应商确定后，采购人将在政府指定媒体公告成交结果，采购人向成交供应商发出成交通知书。</w:t>
      </w:r>
    </w:p>
    <w:p w14:paraId="0A2CF405">
      <w:pPr>
        <w:spacing w:line="460" w:lineRule="exact"/>
        <w:ind w:firstLine="759" w:firstLineChars="345"/>
        <w:rPr>
          <w:rFonts w:ascii="宋体" w:hAnsi="宋体" w:cs="宋体"/>
          <w:b/>
          <w:color w:val="auto"/>
          <w:sz w:val="22"/>
          <w:szCs w:val="22"/>
          <w:highlight w:val="none"/>
        </w:rPr>
      </w:pPr>
      <w:r>
        <w:rPr>
          <w:rFonts w:hint="eastAsia" w:ascii="宋体" w:hAnsi="宋体" w:cs="宋体"/>
          <w:color w:val="auto"/>
          <w:sz w:val="22"/>
          <w:szCs w:val="22"/>
          <w:highlight w:val="none"/>
        </w:rPr>
        <w:t>18、</w:t>
      </w:r>
      <w:r>
        <w:rPr>
          <w:rFonts w:hint="eastAsia" w:ascii="宋体" w:hAnsi="宋体" w:cs="宋体"/>
          <w:b/>
          <w:color w:val="auto"/>
          <w:sz w:val="22"/>
          <w:szCs w:val="22"/>
          <w:highlight w:val="none"/>
        </w:rPr>
        <w:t>采购人对决标结果不做任何解释，也不保证最低价成交。</w:t>
      </w:r>
    </w:p>
    <w:p w14:paraId="7EA65AC3">
      <w:pPr>
        <w:spacing w:line="440" w:lineRule="exact"/>
        <w:ind w:firstLine="550" w:firstLineChars="249"/>
        <w:rPr>
          <w:rFonts w:ascii="宋体" w:hAnsi="宋体" w:cs="宋体"/>
          <w:b/>
          <w:bCs/>
          <w:color w:val="auto"/>
          <w:sz w:val="22"/>
          <w:szCs w:val="22"/>
          <w:highlight w:val="none"/>
        </w:rPr>
      </w:pPr>
      <w:r>
        <w:rPr>
          <w:rFonts w:hint="eastAsia" w:ascii="宋体" w:hAnsi="宋体" w:cs="宋体"/>
          <w:b/>
          <w:bCs/>
          <w:color w:val="auto"/>
          <w:sz w:val="22"/>
          <w:szCs w:val="22"/>
          <w:highlight w:val="none"/>
        </w:rPr>
        <w:t>19、其他未尽事宜遵循相关法律法规及规范性文件执行。</w:t>
      </w:r>
    </w:p>
    <w:p w14:paraId="482B08C9">
      <w:pPr>
        <w:spacing w:line="460" w:lineRule="exact"/>
        <w:ind w:firstLine="663" w:firstLineChars="300"/>
        <w:rPr>
          <w:rFonts w:ascii="宋体" w:hAnsi="宋体" w:cs="宋体"/>
          <w:b/>
          <w:color w:val="auto"/>
          <w:sz w:val="22"/>
          <w:szCs w:val="22"/>
          <w:highlight w:val="none"/>
        </w:rPr>
      </w:pPr>
      <w:r>
        <w:rPr>
          <w:rFonts w:hint="eastAsia" w:ascii="宋体" w:hAnsi="宋体" w:cs="宋体"/>
          <w:b/>
          <w:color w:val="auto"/>
          <w:sz w:val="22"/>
          <w:szCs w:val="22"/>
          <w:highlight w:val="none"/>
        </w:rPr>
        <w:t>20、评审细则详见“评审原则及方法”。</w:t>
      </w:r>
    </w:p>
    <w:p w14:paraId="3492AF46">
      <w:pPr>
        <w:spacing w:line="460" w:lineRule="exact"/>
        <w:ind w:firstLine="541" w:firstLineChars="245"/>
        <w:rPr>
          <w:rFonts w:ascii="宋体" w:hAnsi="宋体" w:cs="宋体"/>
          <w:b/>
          <w:color w:val="auto"/>
          <w:kern w:val="0"/>
          <w:sz w:val="22"/>
          <w:szCs w:val="22"/>
          <w:highlight w:val="none"/>
        </w:rPr>
      </w:pPr>
      <w:r>
        <w:rPr>
          <w:rFonts w:hint="eastAsia" w:ascii="宋体" w:hAnsi="宋体" w:cs="宋体"/>
          <w:b/>
          <w:color w:val="auto"/>
          <w:kern w:val="0"/>
          <w:sz w:val="22"/>
          <w:szCs w:val="22"/>
          <w:highlight w:val="none"/>
        </w:rPr>
        <w:t>特别说明：如遇“政府采购云平台”电子化开标或评审程序调整的，按调整后程序执行。</w:t>
      </w:r>
    </w:p>
    <w:p w14:paraId="7A7E410F">
      <w:pPr>
        <w:spacing w:before="100" w:beforeAutospacing="1" w:after="100" w:afterAutospacing="1" w:line="440" w:lineRule="exact"/>
        <w:jc w:val="center"/>
        <w:outlineLvl w:val="1"/>
        <w:rPr>
          <w:rFonts w:ascii="宋体" w:hAnsi="宋体" w:cs="宋体"/>
          <w:b/>
          <w:bCs/>
          <w:color w:val="auto"/>
          <w:sz w:val="26"/>
          <w:szCs w:val="26"/>
          <w:highlight w:val="none"/>
        </w:rPr>
      </w:pPr>
      <w:bookmarkStart w:id="60" w:name="_Toc24998"/>
      <w:bookmarkStart w:id="61" w:name="_Toc4606"/>
      <w:bookmarkStart w:id="62" w:name="_Toc18665"/>
      <w:bookmarkStart w:id="63" w:name="_Toc21179"/>
      <w:bookmarkStart w:id="64" w:name="_Toc24964"/>
      <w:bookmarkStart w:id="65" w:name="_Toc29966"/>
      <w:r>
        <w:rPr>
          <w:rFonts w:hint="eastAsia" w:ascii="宋体" w:hAnsi="宋体" w:cs="宋体"/>
          <w:b/>
          <w:bCs/>
          <w:color w:val="auto"/>
          <w:sz w:val="26"/>
          <w:szCs w:val="26"/>
          <w:highlight w:val="none"/>
        </w:rPr>
        <w:t>六、 授予合同</w:t>
      </w:r>
      <w:bookmarkEnd w:id="60"/>
      <w:bookmarkEnd w:id="61"/>
      <w:bookmarkEnd w:id="62"/>
      <w:bookmarkEnd w:id="63"/>
      <w:bookmarkEnd w:id="64"/>
      <w:bookmarkEnd w:id="65"/>
    </w:p>
    <w:p w14:paraId="1448E967">
      <w:pPr>
        <w:spacing w:line="460" w:lineRule="exact"/>
        <w:ind w:firstLine="541" w:firstLineChars="245"/>
        <w:rPr>
          <w:rFonts w:ascii="宋体" w:hAnsi="宋体" w:cs="宋体"/>
          <w:b/>
          <w:color w:val="auto"/>
          <w:sz w:val="22"/>
          <w:szCs w:val="22"/>
          <w:highlight w:val="none"/>
        </w:rPr>
      </w:pPr>
      <w:r>
        <w:rPr>
          <w:rFonts w:hint="eastAsia" w:ascii="宋体" w:hAnsi="宋体" w:cs="宋体"/>
          <w:b/>
          <w:color w:val="auto"/>
          <w:sz w:val="22"/>
          <w:highlight w:val="none"/>
        </w:rPr>
        <w:t>1、成交通知书</w:t>
      </w:r>
    </w:p>
    <w:p w14:paraId="25589AE5">
      <w:pPr>
        <w:spacing w:line="460" w:lineRule="exact"/>
        <w:ind w:firstLine="541" w:firstLineChars="245"/>
        <w:rPr>
          <w:rFonts w:ascii="宋体" w:hAnsi="宋体" w:cs="宋体"/>
          <w:b/>
          <w:color w:val="auto"/>
          <w:sz w:val="22"/>
          <w:szCs w:val="22"/>
          <w:highlight w:val="none"/>
        </w:rPr>
      </w:pPr>
      <w:r>
        <w:rPr>
          <w:rFonts w:hint="eastAsia" w:ascii="宋体" w:hAnsi="宋体" w:cs="宋体"/>
          <w:b/>
          <w:bCs/>
          <w:color w:val="auto"/>
          <w:sz w:val="22"/>
          <w:szCs w:val="22"/>
          <w:highlight w:val="none"/>
        </w:rPr>
        <w:t>1.1</w:t>
      </w:r>
      <w:r>
        <w:rPr>
          <w:rFonts w:hint="eastAsia" w:ascii="宋体" w:hAnsi="宋体" w:cs="宋体"/>
          <w:color w:val="auto"/>
          <w:sz w:val="22"/>
          <w:szCs w:val="22"/>
          <w:highlight w:val="none"/>
        </w:rPr>
        <w:t xml:space="preserve">成交供应商确定后，采购人将向成交供应商发出成交通知书。 </w:t>
      </w:r>
    </w:p>
    <w:p w14:paraId="6776BD13">
      <w:pPr>
        <w:spacing w:line="460" w:lineRule="exact"/>
        <w:ind w:firstLine="541" w:firstLineChars="245"/>
        <w:rPr>
          <w:rFonts w:ascii="宋体" w:hAnsi="宋体" w:cs="宋体"/>
          <w:color w:val="auto"/>
          <w:sz w:val="22"/>
          <w:szCs w:val="22"/>
          <w:highlight w:val="none"/>
        </w:rPr>
      </w:pPr>
      <w:r>
        <w:rPr>
          <w:rFonts w:hint="eastAsia" w:ascii="宋体" w:hAnsi="宋体" w:cs="宋体"/>
          <w:b/>
          <w:bCs/>
          <w:color w:val="auto"/>
          <w:sz w:val="22"/>
          <w:szCs w:val="22"/>
          <w:highlight w:val="none"/>
        </w:rPr>
        <w:t>1.2</w:t>
      </w:r>
      <w:r>
        <w:rPr>
          <w:rFonts w:hint="eastAsia" w:ascii="宋体" w:hAnsi="宋体" w:cs="宋体"/>
          <w:color w:val="auto"/>
          <w:sz w:val="22"/>
          <w:szCs w:val="22"/>
          <w:highlight w:val="none"/>
        </w:rPr>
        <w:t>成交通知书是合同的一个组成部分,对采购人和成交供应商均具有同等法律效力。</w:t>
      </w:r>
    </w:p>
    <w:p w14:paraId="1B3E6ED0">
      <w:pPr>
        <w:spacing w:line="460" w:lineRule="exact"/>
        <w:ind w:firstLine="539" w:firstLineChars="245"/>
        <w:rPr>
          <w:rFonts w:ascii="宋体" w:hAnsi="宋体" w:cs="宋体"/>
          <w:b/>
          <w:color w:val="auto"/>
          <w:sz w:val="22"/>
          <w:szCs w:val="22"/>
          <w:highlight w:val="none"/>
        </w:rPr>
      </w:pPr>
      <w:r>
        <w:rPr>
          <w:rFonts w:hint="eastAsia" w:ascii="宋体" w:hAnsi="宋体" w:cs="宋体"/>
          <w:color w:val="auto"/>
          <w:sz w:val="22"/>
          <w:highlight w:val="none"/>
        </w:rPr>
        <w:t>2、授标时更改采购货物数量的权力</w:t>
      </w:r>
    </w:p>
    <w:p w14:paraId="20D66736">
      <w:pPr>
        <w:spacing w:line="460" w:lineRule="exact"/>
        <w:ind w:firstLine="539" w:firstLineChars="245"/>
        <w:rPr>
          <w:rFonts w:ascii="宋体" w:hAnsi="宋体" w:cs="宋体"/>
          <w:bCs/>
          <w:color w:val="auto"/>
          <w:sz w:val="22"/>
          <w:szCs w:val="22"/>
          <w:highlight w:val="none"/>
        </w:rPr>
      </w:pPr>
      <w:r>
        <w:rPr>
          <w:rFonts w:hint="eastAsia" w:ascii="宋体" w:hAnsi="宋体" w:cs="宋体"/>
          <w:bCs/>
          <w:color w:val="auto"/>
          <w:sz w:val="22"/>
          <w:szCs w:val="22"/>
          <w:highlight w:val="none"/>
        </w:rPr>
        <w:t>2.1采购人在授予合同时有权对采购货物的数量和服务在一定幅度范围内予以增加或减少,但不得对单价和其他的条款和条件作任何改变。</w:t>
      </w:r>
    </w:p>
    <w:p w14:paraId="7F0CAD13">
      <w:pPr>
        <w:spacing w:line="460" w:lineRule="exact"/>
        <w:ind w:firstLine="539" w:firstLineChars="245"/>
        <w:rPr>
          <w:rFonts w:ascii="宋体" w:hAnsi="宋体" w:cs="宋体"/>
          <w:b/>
          <w:color w:val="auto"/>
          <w:sz w:val="22"/>
          <w:szCs w:val="22"/>
          <w:highlight w:val="none"/>
        </w:rPr>
      </w:pPr>
      <w:r>
        <w:rPr>
          <w:rFonts w:hint="eastAsia" w:ascii="宋体" w:hAnsi="宋体" w:cs="宋体"/>
          <w:color w:val="auto"/>
          <w:sz w:val="22"/>
          <w:highlight w:val="none"/>
        </w:rPr>
        <w:t>3、签订合同</w:t>
      </w:r>
    </w:p>
    <w:p w14:paraId="0DADE588">
      <w:pPr>
        <w:spacing w:line="460" w:lineRule="exact"/>
        <w:ind w:firstLine="539" w:firstLineChars="245"/>
        <w:rPr>
          <w:rFonts w:ascii="宋体" w:hAnsi="宋体" w:cs="宋体"/>
          <w:b/>
          <w:color w:val="auto"/>
          <w:sz w:val="22"/>
          <w:szCs w:val="22"/>
          <w:highlight w:val="none"/>
        </w:rPr>
      </w:pPr>
      <w:r>
        <w:rPr>
          <w:rFonts w:hint="eastAsia" w:ascii="宋体" w:hAnsi="宋体" w:cs="宋体"/>
          <w:bCs/>
          <w:color w:val="auto"/>
          <w:sz w:val="22"/>
          <w:szCs w:val="22"/>
          <w:highlight w:val="none"/>
        </w:rPr>
        <w:t>3.1成交供应商应按成交通知书规定的时间、地点与采购人签订合同。</w:t>
      </w:r>
    </w:p>
    <w:p w14:paraId="4A25D469">
      <w:pPr>
        <w:spacing w:line="460" w:lineRule="exact"/>
        <w:ind w:firstLine="539" w:firstLineChars="245"/>
        <w:rPr>
          <w:rFonts w:ascii="宋体" w:hAnsi="宋体" w:cs="宋体"/>
          <w:b/>
          <w:color w:val="auto"/>
          <w:sz w:val="22"/>
          <w:szCs w:val="22"/>
          <w:highlight w:val="none"/>
        </w:rPr>
      </w:pPr>
      <w:r>
        <w:rPr>
          <w:rFonts w:hint="eastAsia" w:ascii="宋体" w:hAnsi="宋体" w:cs="宋体"/>
          <w:color w:val="auto"/>
          <w:sz w:val="22"/>
          <w:szCs w:val="22"/>
          <w:highlight w:val="none"/>
        </w:rPr>
        <w:t>3.2</w:t>
      </w:r>
      <w:r>
        <w:rPr>
          <w:rFonts w:hint="eastAsia" w:ascii="宋体" w:hAnsi="宋体" w:cs="宋体"/>
          <w:b/>
          <w:color w:val="auto"/>
          <w:spacing w:val="6"/>
          <w:sz w:val="22"/>
          <w:szCs w:val="22"/>
          <w:highlight w:val="none"/>
        </w:rPr>
        <w:t>在签订合同前，采购人有权在成交总价不变的前提下要求成交供应商对报价中的不平衡报价和缺漏项进行调整，如果成交供应商无合理理由拒绝调整，其中磋商资格将被取消，保证金将不予退还，且将导致其它进一步的赔偿和处罚。</w:t>
      </w:r>
    </w:p>
    <w:p w14:paraId="64E7F376">
      <w:pPr>
        <w:spacing w:line="460" w:lineRule="exact"/>
        <w:ind w:firstLine="539" w:firstLineChars="245"/>
        <w:rPr>
          <w:rFonts w:ascii="宋体" w:hAnsi="宋体" w:cs="宋体"/>
          <w:b/>
          <w:color w:val="auto"/>
          <w:sz w:val="22"/>
          <w:szCs w:val="22"/>
          <w:highlight w:val="none"/>
        </w:rPr>
      </w:pPr>
      <w:r>
        <w:rPr>
          <w:rFonts w:hint="eastAsia" w:ascii="宋体" w:hAnsi="宋体" w:cs="宋体"/>
          <w:color w:val="auto"/>
          <w:sz w:val="22"/>
          <w:szCs w:val="22"/>
          <w:highlight w:val="none"/>
        </w:rPr>
        <w:t>3.3磋商文件、成交供应商的磋商响应文件、磋商响应修改文件、评审过程中有关澄清文件及经磋商供应商和评委双方签字的询标纪要和成交通知书均作为合同附件。</w:t>
      </w:r>
    </w:p>
    <w:p w14:paraId="46FC6D21">
      <w:pPr>
        <w:spacing w:line="460" w:lineRule="exact"/>
        <w:ind w:firstLine="539" w:firstLineChars="245"/>
        <w:rPr>
          <w:rFonts w:ascii="宋体" w:hAnsi="宋体" w:cs="宋体"/>
          <w:b/>
          <w:color w:val="auto"/>
          <w:sz w:val="22"/>
          <w:szCs w:val="22"/>
          <w:highlight w:val="none"/>
        </w:rPr>
      </w:pPr>
      <w:r>
        <w:rPr>
          <w:rFonts w:hint="eastAsia" w:ascii="宋体" w:hAnsi="宋体" w:cs="宋体"/>
          <w:color w:val="auto"/>
          <w:sz w:val="22"/>
          <w:szCs w:val="22"/>
          <w:highlight w:val="none"/>
        </w:rPr>
        <w:t>3.4拒签合同的违约责任</w:t>
      </w:r>
    </w:p>
    <w:p w14:paraId="60430B89">
      <w:pPr>
        <w:spacing w:line="460" w:lineRule="exact"/>
        <w:ind w:firstLine="571" w:firstLineChars="245"/>
        <w:rPr>
          <w:rFonts w:ascii="宋体" w:hAnsi="宋体" w:cs="宋体"/>
          <w:color w:val="auto"/>
          <w:highlight w:val="none"/>
        </w:rPr>
      </w:pPr>
      <w:r>
        <w:rPr>
          <w:rFonts w:hint="eastAsia" w:ascii="宋体" w:hAnsi="宋体" w:cs="宋体"/>
          <w:b/>
          <w:color w:val="auto"/>
          <w:spacing w:val="6"/>
          <w:sz w:val="22"/>
          <w:szCs w:val="22"/>
          <w:highlight w:val="none"/>
        </w:rPr>
        <w:t>成交供应商接到成交通知书后，在规定时间内借故否认已经承诺的条件而拒签合同的，以违约处理。</w:t>
      </w:r>
    </w:p>
    <w:p w14:paraId="4E84AB6A">
      <w:pPr>
        <w:spacing w:line="460" w:lineRule="exact"/>
        <w:ind w:firstLine="541" w:firstLineChars="245"/>
        <w:rPr>
          <w:rFonts w:ascii="宋体" w:hAnsi="宋体" w:cs="宋体"/>
          <w:b/>
          <w:color w:val="auto"/>
          <w:sz w:val="22"/>
          <w:szCs w:val="22"/>
          <w:highlight w:val="none"/>
        </w:rPr>
      </w:pPr>
      <w:r>
        <w:rPr>
          <w:rFonts w:hint="eastAsia" w:ascii="宋体" w:hAnsi="宋体" w:cs="宋体"/>
          <w:b/>
          <w:color w:val="auto"/>
          <w:sz w:val="22"/>
          <w:highlight w:val="none"/>
        </w:rPr>
        <w:t>4、质疑与投诉</w:t>
      </w:r>
    </w:p>
    <w:p w14:paraId="1CE33F41">
      <w:pPr>
        <w:spacing w:line="460" w:lineRule="exact"/>
        <w:ind w:firstLine="539" w:firstLineChars="245"/>
        <w:rPr>
          <w:rFonts w:ascii="宋体" w:hAnsi="宋体" w:cs="宋体"/>
          <w:b/>
          <w:color w:val="auto"/>
          <w:sz w:val="22"/>
          <w:szCs w:val="22"/>
          <w:highlight w:val="none"/>
        </w:rPr>
      </w:pPr>
      <w:r>
        <w:rPr>
          <w:rFonts w:hint="eastAsia" w:ascii="宋体" w:hAnsi="宋体" w:cs="宋体"/>
          <w:color w:val="auto"/>
          <w:sz w:val="22"/>
          <w:highlight w:val="none"/>
        </w:rPr>
        <w:t>4.1磋商供应商认为磋商文件、采购过程、成交和成交结果使自己的合法权益受到损害的，可以在知道或应知道其权益受到损害之日起五个工作日内以书面形式向采购人或采购代理机构提出质疑。</w:t>
      </w:r>
    </w:p>
    <w:p w14:paraId="43B62502">
      <w:pPr>
        <w:spacing w:line="460" w:lineRule="exact"/>
        <w:ind w:firstLine="539" w:firstLineChars="245"/>
        <w:rPr>
          <w:rFonts w:ascii="宋体" w:hAnsi="宋体" w:cs="宋体"/>
          <w:b/>
          <w:color w:val="auto"/>
          <w:sz w:val="22"/>
          <w:szCs w:val="22"/>
          <w:highlight w:val="none"/>
        </w:rPr>
      </w:pPr>
      <w:r>
        <w:rPr>
          <w:rFonts w:hint="eastAsia" w:ascii="宋体" w:hAnsi="宋体" w:cs="宋体"/>
          <w:color w:val="auto"/>
          <w:sz w:val="22"/>
          <w:highlight w:val="none"/>
        </w:rPr>
        <w:t>4.2采购人或采购代理机构在收到磋商供应商的书面质疑后</w:t>
      </w:r>
      <w:r>
        <w:rPr>
          <w:rFonts w:ascii="宋体" w:hAnsi="宋体" w:cs="宋体"/>
          <w:color w:val="auto"/>
          <w:sz w:val="22"/>
          <w:highlight w:val="none"/>
        </w:rPr>
        <w:t>五</w:t>
      </w:r>
      <w:r>
        <w:rPr>
          <w:rFonts w:hint="eastAsia" w:ascii="宋体" w:hAnsi="宋体" w:cs="宋体"/>
          <w:color w:val="auto"/>
          <w:sz w:val="22"/>
          <w:highlight w:val="none"/>
        </w:rPr>
        <w:t>个工作日内作出答复，但答复的内容不得涉及商业秘密。质疑供应商对采购人或采购代理机构的答复不满意，可以在答复期满后十五个工作日内向同级采购监督管理部门投诉。</w:t>
      </w:r>
    </w:p>
    <w:p w14:paraId="1957BC7E">
      <w:pPr>
        <w:spacing w:line="460" w:lineRule="exact"/>
        <w:ind w:firstLine="539" w:firstLineChars="245"/>
        <w:rPr>
          <w:rFonts w:ascii="宋体" w:hAnsi="宋体" w:cs="宋体"/>
          <w:b/>
          <w:color w:val="auto"/>
          <w:sz w:val="22"/>
          <w:szCs w:val="22"/>
          <w:highlight w:val="none"/>
        </w:rPr>
      </w:pPr>
      <w:r>
        <w:rPr>
          <w:rFonts w:hint="eastAsia" w:ascii="宋体" w:hAnsi="宋体" w:cs="宋体"/>
          <w:color w:val="auto"/>
          <w:sz w:val="22"/>
          <w:highlight w:val="none"/>
        </w:rPr>
        <w:t>4.3投诉人投诉时，应提交投诉书，投诉书应当由本人并由法定代表人签字盖公章，投诉书应说明具体的投诉事项及事实依据。投诉人对投诉书的真实性负责，恶意投诉将承当相应的法律和民事责任。</w:t>
      </w:r>
    </w:p>
    <w:p w14:paraId="77DA6B7A">
      <w:pPr>
        <w:spacing w:line="460" w:lineRule="exact"/>
        <w:ind w:firstLine="539" w:firstLineChars="245"/>
        <w:rPr>
          <w:rFonts w:ascii="宋体" w:hAnsi="宋体" w:cs="宋体"/>
          <w:color w:val="auto"/>
          <w:sz w:val="22"/>
          <w:highlight w:val="none"/>
        </w:rPr>
      </w:pPr>
    </w:p>
    <w:p w14:paraId="54D4B12C">
      <w:pPr>
        <w:pStyle w:val="2"/>
        <w:ind w:left="0" w:firstLine="0" w:firstLineChars="0"/>
        <w:rPr>
          <w:rFonts w:ascii="宋体" w:hAnsi="宋体" w:cs="宋体"/>
          <w:color w:val="auto"/>
          <w:sz w:val="22"/>
          <w:highlight w:val="none"/>
        </w:rPr>
      </w:pPr>
      <w:r>
        <w:rPr>
          <w:rFonts w:hint="eastAsia" w:ascii="宋体" w:hAnsi="宋体" w:cs="宋体"/>
          <w:color w:val="auto"/>
          <w:sz w:val="22"/>
          <w:highlight w:val="none"/>
        </w:rPr>
        <w:br w:type="page"/>
      </w:r>
    </w:p>
    <w:p w14:paraId="2D959E9B">
      <w:pPr>
        <w:pStyle w:val="5"/>
        <w:rPr>
          <w:rFonts w:ascii="宋体" w:hAnsi="宋体" w:eastAsia="宋体" w:cs="宋体"/>
          <w:color w:val="auto"/>
          <w:highlight w:val="none"/>
        </w:rPr>
      </w:pPr>
      <w:bookmarkStart w:id="66" w:name="_Toc26804"/>
      <w:bookmarkStart w:id="67" w:name="_Toc28074"/>
      <w:bookmarkStart w:id="68" w:name="_Toc20554"/>
      <w:bookmarkStart w:id="69" w:name="_Toc2742"/>
      <w:bookmarkStart w:id="70" w:name="_Toc32433"/>
      <w:bookmarkStart w:id="71" w:name="_Toc5142"/>
      <w:r>
        <w:rPr>
          <w:rFonts w:hint="eastAsia" w:ascii="宋体" w:hAnsi="宋体" w:eastAsia="宋体" w:cs="宋体"/>
          <w:color w:val="auto"/>
          <w:highlight w:val="none"/>
        </w:rPr>
        <w:t>第二部分    合同主要条款</w:t>
      </w:r>
      <w:bookmarkEnd w:id="66"/>
      <w:bookmarkEnd w:id="67"/>
      <w:bookmarkEnd w:id="68"/>
      <w:bookmarkEnd w:id="69"/>
      <w:bookmarkEnd w:id="70"/>
      <w:bookmarkEnd w:id="71"/>
    </w:p>
    <w:p w14:paraId="4DBB5F77">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本条款为</w:t>
      </w:r>
      <w:r>
        <w:rPr>
          <w:rFonts w:hint="eastAsia" w:ascii="宋体" w:hAnsi="宋体" w:cs="宋体"/>
          <w:bCs/>
          <w:color w:val="auto"/>
          <w:sz w:val="22"/>
          <w:szCs w:val="22"/>
          <w:highlight w:val="none"/>
        </w:rPr>
        <w:t>甲乙</w:t>
      </w:r>
      <w:r>
        <w:rPr>
          <w:rFonts w:hint="eastAsia" w:ascii="宋体" w:hAnsi="宋体" w:cs="宋体"/>
          <w:color w:val="auto"/>
          <w:sz w:val="22"/>
          <w:szCs w:val="22"/>
          <w:highlight w:val="none"/>
        </w:rPr>
        <w:t>双方必须遵守的基本条款，</w:t>
      </w:r>
      <w:r>
        <w:rPr>
          <w:rFonts w:hint="eastAsia" w:ascii="宋体" w:hAnsi="宋体" w:cs="宋体"/>
          <w:bCs/>
          <w:color w:val="auto"/>
          <w:sz w:val="22"/>
          <w:szCs w:val="22"/>
          <w:highlight w:val="none"/>
        </w:rPr>
        <w:t>甲乙</w:t>
      </w:r>
      <w:r>
        <w:rPr>
          <w:rFonts w:hint="eastAsia" w:ascii="宋体" w:hAnsi="宋体" w:cs="宋体"/>
          <w:color w:val="auto"/>
          <w:sz w:val="22"/>
          <w:szCs w:val="22"/>
          <w:highlight w:val="none"/>
        </w:rPr>
        <w:t>双方也可根据实际情况另签合同条款，正式合同以双方签字盖章的文本为准。</w:t>
      </w:r>
    </w:p>
    <w:p w14:paraId="2FEAD7B0">
      <w:pPr>
        <w:spacing w:line="460" w:lineRule="exact"/>
        <w:rPr>
          <w:rFonts w:ascii="宋体" w:hAnsi="宋体" w:cs="宋体"/>
          <w:color w:val="auto"/>
          <w:sz w:val="22"/>
          <w:szCs w:val="22"/>
          <w:highlight w:val="none"/>
        </w:rPr>
      </w:pPr>
    </w:p>
    <w:p w14:paraId="065670EB">
      <w:pPr>
        <w:spacing w:line="460" w:lineRule="exact"/>
        <w:ind w:firstLine="539" w:firstLineChars="245"/>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甲方：</w:t>
      </w:r>
      <w:r>
        <w:rPr>
          <w:rFonts w:hint="eastAsia" w:ascii="新宋体" w:hAnsi="新宋体" w:eastAsia="新宋体" w:cs="新宋体"/>
          <w:color w:val="auto"/>
          <w:sz w:val="22"/>
          <w:szCs w:val="22"/>
          <w:highlight w:val="none"/>
          <w:u w:val="single"/>
        </w:rPr>
        <w:t xml:space="preserve">                                        </w:t>
      </w:r>
      <w:r>
        <w:rPr>
          <w:rFonts w:hint="eastAsia" w:ascii="新宋体" w:hAnsi="新宋体" w:eastAsia="新宋体" w:cs="新宋体"/>
          <w:color w:val="auto"/>
          <w:sz w:val="22"/>
          <w:szCs w:val="22"/>
          <w:highlight w:val="none"/>
        </w:rPr>
        <w:t>（采购人）</w:t>
      </w:r>
    </w:p>
    <w:p w14:paraId="7475FCF2">
      <w:pPr>
        <w:spacing w:line="460" w:lineRule="exact"/>
        <w:ind w:firstLine="539" w:firstLineChars="245"/>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乙方: </w:t>
      </w:r>
      <w:r>
        <w:rPr>
          <w:rFonts w:hint="eastAsia" w:ascii="新宋体" w:hAnsi="新宋体" w:eastAsia="新宋体" w:cs="新宋体"/>
          <w:color w:val="auto"/>
          <w:sz w:val="22"/>
          <w:szCs w:val="22"/>
          <w:highlight w:val="none"/>
          <w:u w:val="single"/>
        </w:rPr>
        <w:t xml:space="preserve">                                        </w:t>
      </w:r>
      <w:r>
        <w:rPr>
          <w:rFonts w:hint="eastAsia" w:ascii="新宋体" w:hAnsi="新宋体" w:eastAsia="新宋体" w:cs="新宋体"/>
          <w:color w:val="auto"/>
          <w:sz w:val="22"/>
          <w:szCs w:val="22"/>
          <w:highlight w:val="none"/>
        </w:rPr>
        <w:t>（成交供应商）</w:t>
      </w:r>
    </w:p>
    <w:p w14:paraId="00E58F1F">
      <w:pPr>
        <w:spacing w:line="460" w:lineRule="exact"/>
        <w:ind w:firstLine="539" w:firstLineChars="245"/>
        <w:rPr>
          <w:rFonts w:ascii="宋体" w:hAnsi="宋体" w:cs="宋体"/>
          <w:color w:val="auto"/>
          <w:sz w:val="22"/>
          <w:szCs w:val="22"/>
          <w:highlight w:val="none"/>
        </w:rPr>
      </w:pPr>
    </w:p>
    <w:p w14:paraId="31C5BA9F">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温州医科大学的</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（项目名称、编号）</w:t>
      </w:r>
      <w:r>
        <w:rPr>
          <w:rFonts w:hint="eastAsia" w:ascii="新宋体" w:hAnsi="新宋体" w:eastAsia="新宋体" w:cs="新宋体"/>
          <w:bCs/>
          <w:color w:val="auto"/>
          <w:sz w:val="22"/>
          <w:szCs w:val="22"/>
          <w:highlight w:val="none"/>
        </w:rPr>
        <w:t>在国内以竞争性磋商方式进行采购，经磋商小组评定</w:t>
      </w:r>
      <w:r>
        <w:rPr>
          <w:rFonts w:hint="eastAsia" w:ascii="新宋体" w:hAnsi="新宋体" w:eastAsia="新宋体" w:cs="新宋体"/>
          <w:bCs/>
          <w:color w:val="auto"/>
          <w:sz w:val="22"/>
          <w:szCs w:val="22"/>
          <w:highlight w:val="none"/>
          <w:u w:val="single"/>
        </w:rPr>
        <w:t xml:space="preserve">                 </w:t>
      </w:r>
      <w:r>
        <w:rPr>
          <w:rFonts w:hint="eastAsia" w:ascii="新宋体" w:hAnsi="新宋体" w:eastAsia="新宋体" w:cs="新宋体"/>
          <w:bCs/>
          <w:color w:val="auto"/>
          <w:sz w:val="22"/>
          <w:szCs w:val="22"/>
          <w:highlight w:val="none"/>
        </w:rPr>
        <w:t>（成交供应商名称）为成交供应商。双方本着诚信及互利互惠的原则，同意按照下面条款和条件，签署本合同</w:t>
      </w:r>
      <w:r>
        <w:rPr>
          <w:rFonts w:hint="eastAsia" w:ascii="宋体" w:hAnsi="宋体" w:cs="宋体"/>
          <w:color w:val="auto"/>
          <w:sz w:val="22"/>
          <w:szCs w:val="22"/>
          <w:highlight w:val="none"/>
        </w:rPr>
        <w:t>。</w:t>
      </w:r>
    </w:p>
    <w:p w14:paraId="13445C83">
      <w:pPr>
        <w:spacing w:line="460" w:lineRule="exact"/>
        <w:ind w:firstLine="420"/>
        <w:outlineLvl w:val="1"/>
        <w:rPr>
          <w:rFonts w:ascii="宋体" w:hAnsi="宋体" w:cs="宋体"/>
          <w:b/>
          <w:bCs/>
          <w:color w:val="auto"/>
          <w:sz w:val="22"/>
          <w:szCs w:val="22"/>
          <w:highlight w:val="none"/>
        </w:rPr>
      </w:pPr>
      <w:bookmarkStart w:id="72" w:name="_Toc12231"/>
      <w:bookmarkStart w:id="73" w:name="_Toc30266"/>
      <w:bookmarkStart w:id="74" w:name="_Toc11456"/>
      <w:bookmarkStart w:id="75" w:name="_Toc17887"/>
      <w:bookmarkStart w:id="76" w:name="_Toc30149"/>
      <w:bookmarkStart w:id="77" w:name="_Toc28265"/>
      <w:bookmarkStart w:id="78" w:name="_Toc23337"/>
      <w:bookmarkStart w:id="79" w:name="_Toc29346"/>
      <w:bookmarkStart w:id="80" w:name="_Toc1730"/>
      <w:r>
        <w:rPr>
          <w:rFonts w:hint="eastAsia" w:ascii="宋体" w:hAnsi="宋体" w:cs="宋体"/>
          <w:b/>
          <w:bCs/>
          <w:color w:val="auto"/>
          <w:sz w:val="22"/>
          <w:szCs w:val="22"/>
          <w:highlight w:val="none"/>
        </w:rPr>
        <w:t>一、本合同签订依据</w:t>
      </w:r>
      <w:bookmarkEnd w:id="72"/>
      <w:bookmarkEnd w:id="73"/>
      <w:bookmarkEnd w:id="74"/>
      <w:bookmarkEnd w:id="75"/>
      <w:bookmarkEnd w:id="76"/>
      <w:bookmarkEnd w:id="77"/>
      <w:bookmarkEnd w:id="78"/>
      <w:bookmarkEnd w:id="79"/>
      <w:bookmarkEnd w:id="80"/>
    </w:p>
    <w:p w14:paraId="07CC461C">
      <w:pPr>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《中华人民共和国民法典》。</w:t>
      </w:r>
    </w:p>
    <w:p w14:paraId="73352860">
      <w:pPr>
        <w:spacing w:line="460" w:lineRule="exact"/>
        <w:ind w:firstLine="541" w:firstLineChars="245"/>
        <w:outlineLvl w:val="1"/>
        <w:rPr>
          <w:rFonts w:ascii="新宋体" w:hAnsi="新宋体" w:eastAsia="新宋体" w:cs="新宋体"/>
          <w:b/>
          <w:color w:val="auto"/>
          <w:sz w:val="22"/>
          <w:szCs w:val="22"/>
          <w:highlight w:val="none"/>
        </w:rPr>
      </w:pPr>
      <w:bookmarkStart w:id="81" w:name="_Toc7290"/>
      <w:bookmarkStart w:id="82" w:name="_Toc23143"/>
      <w:bookmarkStart w:id="83" w:name="_Toc24802"/>
      <w:bookmarkStart w:id="84" w:name="_Toc16370"/>
      <w:bookmarkStart w:id="85" w:name="_Toc18608"/>
      <w:bookmarkStart w:id="86" w:name="_Toc28343"/>
      <w:r>
        <w:rPr>
          <w:rFonts w:hint="eastAsia" w:ascii="新宋体" w:hAnsi="新宋体" w:eastAsia="新宋体" w:cs="新宋体"/>
          <w:b/>
          <w:color w:val="auto"/>
          <w:sz w:val="22"/>
          <w:szCs w:val="22"/>
          <w:highlight w:val="none"/>
        </w:rPr>
        <w:t>二、合同文件的优先次序</w:t>
      </w:r>
      <w:bookmarkEnd w:id="81"/>
      <w:bookmarkEnd w:id="82"/>
      <w:bookmarkEnd w:id="83"/>
      <w:bookmarkEnd w:id="84"/>
      <w:bookmarkEnd w:id="85"/>
      <w:bookmarkEnd w:id="86"/>
    </w:p>
    <w:p w14:paraId="67B31EEC">
      <w:pPr>
        <w:spacing w:line="460" w:lineRule="exact"/>
        <w:ind w:firstLine="539" w:firstLineChars="245"/>
        <w:rPr>
          <w:rFonts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合同文件如存在歧义或不一致则根据以下优先次序来判断：</w:t>
      </w:r>
    </w:p>
    <w:p w14:paraId="72C8FD52">
      <w:pPr>
        <w:spacing w:line="460" w:lineRule="exact"/>
        <w:ind w:firstLine="539" w:firstLineChars="245"/>
        <w:rPr>
          <w:rFonts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 xml:space="preserve">1、合同书及合同补充条款或说明 </w:t>
      </w:r>
    </w:p>
    <w:p w14:paraId="12C0ECF1">
      <w:pPr>
        <w:spacing w:line="460" w:lineRule="exact"/>
        <w:ind w:firstLine="539" w:firstLineChars="245"/>
        <w:rPr>
          <w:rFonts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2、成交通知书</w:t>
      </w:r>
    </w:p>
    <w:p w14:paraId="340481E0">
      <w:pPr>
        <w:spacing w:line="460" w:lineRule="exact"/>
        <w:ind w:firstLine="539" w:firstLineChars="245"/>
        <w:rPr>
          <w:rFonts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3、承诺书（含询标记录和优惠条款）</w:t>
      </w:r>
    </w:p>
    <w:p w14:paraId="386802C9">
      <w:pPr>
        <w:spacing w:line="460" w:lineRule="exact"/>
        <w:ind w:firstLine="539" w:firstLineChars="245"/>
        <w:rPr>
          <w:rFonts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4、磋商响应文件</w:t>
      </w:r>
    </w:p>
    <w:p w14:paraId="307C48AB">
      <w:pPr>
        <w:spacing w:line="460" w:lineRule="exact"/>
        <w:ind w:firstLine="539" w:firstLineChars="245"/>
        <w:rPr>
          <w:rFonts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5、磋商文件</w:t>
      </w:r>
    </w:p>
    <w:p w14:paraId="5B16D716">
      <w:pPr>
        <w:spacing w:line="460" w:lineRule="exact"/>
        <w:ind w:firstLine="541" w:firstLineChars="245"/>
        <w:outlineLvl w:val="1"/>
        <w:rPr>
          <w:rFonts w:ascii="新宋体" w:hAnsi="新宋体" w:eastAsia="新宋体" w:cs="新宋体"/>
          <w:b/>
          <w:color w:val="auto"/>
          <w:sz w:val="22"/>
          <w:szCs w:val="22"/>
          <w:highlight w:val="none"/>
        </w:rPr>
      </w:pPr>
      <w:bookmarkStart w:id="87" w:name="_Toc29274"/>
      <w:bookmarkStart w:id="88" w:name="_Toc24158"/>
      <w:bookmarkStart w:id="89" w:name="_Toc18655"/>
      <w:bookmarkStart w:id="90" w:name="_Toc13646"/>
      <w:bookmarkStart w:id="91" w:name="_Toc30718"/>
      <w:bookmarkStart w:id="92" w:name="_Toc28214"/>
      <w:r>
        <w:rPr>
          <w:rFonts w:hint="eastAsia" w:ascii="新宋体" w:hAnsi="新宋体" w:eastAsia="新宋体" w:cs="新宋体"/>
          <w:b/>
          <w:color w:val="auto"/>
          <w:sz w:val="22"/>
          <w:szCs w:val="22"/>
          <w:highlight w:val="none"/>
        </w:rPr>
        <w:t>三、采购内容</w:t>
      </w:r>
      <w:bookmarkEnd w:id="87"/>
      <w:bookmarkEnd w:id="88"/>
      <w:bookmarkEnd w:id="89"/>
      <w:bookmarkEnd w:id="90"/>
      <w:bookmarkEnd w:id="91"/>
      <w:bookmarkEnd w:id="92"/>
    </w:p>
    <w:p w14:paraId="66A4960D">
      <w:pPr>
        <w:spacing w:line="460" w:lineRule="exact"/>
        <w:ind w:firstLine="539" w:firstLineChars="245"/>
        <w:rPr>
          <w:rFonts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1、规格及数量</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2088"/>
        <w:gridCol w:w="1335"/>
        <w:gridCol w:w="1095"/>
        <w:gridCol w:w="750"/>
        <w:gridCol w:w="1473"/>
        <w:gridCol w:w="1065"/>
      </w:tblGrid>
      <w:tr w14:paraId="52686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tcPr>
          <w:p w14:paraId="1782AF95">
            <w:pPr>
              <w:spacing w:line="460" w:lineRule="exact"/>
              <w:rPr>
                <w:rFonts w:hAnsi="宋体"/>
                <w:color w:val="auto"/>
                <w:szCs w:val="21"/>
                <w:highlight w:val="none"/>
              </w:rPr>
            </w:pPr>
            <w:r>
              <w:rPr>
                <w:rFonts w:hint="eastAsia" w:hAnsi="宋体"/>
                <w:color w:val="auto"/>
                <w:szCs w:val="21"/>
                <w:highlight w:val="none"/>
              </w:rPr>
              <w:t>序号</w:t>
            </w:r>
          </w:p>
        </w:tc>
        <w:tc>
          <w:tcPr>
            <w:tcW w:w="2088" w:type="dxa"/>
          </w:tcPr>
          <w:p w14:paraId="28928CC6">
            <w:pPr>
              <w:spacing w:line="460" w:lineRule="exact"/>
              <w:rPr>
                <w:rFonts w:hAnsi="宋体"/>
                <w:color w:val="auto"/>
                <w:szCs w:val="21"/>
                <w:highlight w:val="none"/>
              </w:rPr>
            </w:pPr>
            <w:r>
              <w:rPr>
                <w:rFonts w:hint="eastAsia" w:hAnsi="宋体"/>
                <w:color w:val="auto"/>
                <w:szCs w:val="21"/>
                <w:highlight w:val="none"/>
              </w:rPr>
              <w:t>设备名称</w:t>
            </w:r>
          </w:p>
        </w:tc>
        <w:tc>
          <w:tcPr>
            <w:tcW w:w="1335" w:type="dxa"/>
          </w:tcPr>
          <w:p w14:paraId="569C7EC9">
            <w:pPr>
              <w:spacing w:line="460" w:lineRule="exact"/>
              <w:rPr>
                <w:rFonts w:hAnsi="宋体"/>
                <w:color w:val="auto"/>
                <w:szCs w:val="21"/>
                <w:highlight w:val="none"/>
              </w:rPr>
            </w:pPr>
            <w:r>
              <w:rPr>
                <w:rFonts w:hint="eastAsia" w:hAnsi="宋体"/>
                <w:color w:val="auto"/>
                <w:szCs w:val="21"/>
                <w:highlight w:val="none"/>
              </w:rPr>
              <w:t>单价</w:t>
            </w:r>
          </w:p>
        </w:tc>
        <w:tc>
          <w:tcPr>
            <w:tcW w:w="1095" w:type="dxa"/>
          </w:tcPr>
          <w:p w14:paraId="397D6283">
            <w:pPr>
              <w:spacing w:line="460" w:lineRule="exact"/>
              <w:rPr>
                <w:rFonts w:hAnsi="宋体"/>
                <w:color w:val="auto"/>
                <w:szCs w:val="21"/>
                <w:highlight w:val="none"/>
              </w:rPr>
            </w:pPr>
            <w:r>
              <w:rPr>
                <w:rFonts w:hint="eastAsia" w:hAnsi="宋体"/>
                <w:color w:val="auto"/>
                <w:szCs w:val="21"/>
                <w:highlight w:val="none"/>
              </w:rPr>
              <w:t>数量</w:t>
            </w:r>
          </w:p>
        </w:tc>
        <w:tc>
          <w:tcPr>
            <w:tcW w:w="750" w:type="dxa"/>
          </w:tcPr>
          <w:p w14:paraId="48A5F7AD">
            <w:pPr>
              <w:spacing w:line="460" w:lineRule="exact"/>
              <w:rPr>
                <w:rFonts w:hAnsi="宋体"/>
                <w:color w:val="auto"/>
                <w:szCs w:val="21"/>
                <w:highlight w:val="none"/>
              </w:rPr>
            </w:pPr>
            <w:r>
              <w:rPr>
                <w:rFonts w:hint="eastAsia" w:hAnsi="宋体"/>
                <w:color w:val="auto"/>
                <w:szCs w:val="21"/>
                <w:highlight w:val="none"/>
              </w:rPr>
              <w:t>合价</w:t>
            </w:r>
          </w:p>
        </w:tc>
        <w:tc>
          <w:tcPr>
            <w:tcW w:w="1473" w:type="dxa"/>
          </w:tcPr>
          <w:p w14:paraId="79094134">
            <w:pPr>
              <w:spacing w:line="460" w:lineRule="exact"/>
              <w:rPr>
                <w:rFonts w:hAnsi="宋体"/>
                <w:color w:val="auto"/>
                <w:szCs w:val="21"/>
                <w:highlight w:val="none"/>
              </w:rPr>
            </w:pPr>
            <w:r>
              <w:rPr>
                <w:rFonts w:hint="eastAsia" w:hAnsi="宋体"/>
                <w:color w:val="auto"/>
                <w:szCs w:val="21"/>
                <w:highlight w:val="none"/>
              </w:rPr>
              <w:t>交货周期</w:t>
            </w:r>
          </w:p>
        </w:tc>
        <w:tc>
          <w:tcPr>
            <w:tcW w:w="1065" w:type="dxa"/>
          </w:tcPr>
          <w:p w14:paraId="6E621264">
            <w:pPr>
              <w:spacing w:line="460" w:lineRule="exact"/>
              <w:rPr>
                <w:rFonts w:hAnsi="宋体"/>
                <w:color w:val="auto"/>
                <w:szCs w:val="21"/>
                <w:highlight w:val="none"/>
              </w:rPr>
            </w:pPr>
            <w:r>
              <w:rPr>
                <w:rFonts w:hint="eastAsia" w:hAnsi="宋体"/>
                <w:color w:val="auto"/>
                <w:szCs w:val="21"/>
                <w:highlight w:val="none"/>
              </w:rPr>
              <w:t>备注</w:t>
            </w:r>
          </w:p>
        </w:tc>
      </w:tr>
      <w:tr w14:paraId="76C5B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tcPr>
          <w:p w14:paraId="02FC10C8">
            <w:pPr>
              <w:spacing w:line="460" w:lineRule="exact"/>
              <w:rPr>
                <w:rFonts w:hAnsi="宋体"/>
                <w:color w:val="auto"/>
                <w:szCs w:val="21"/>
                <w:highlight w:val="none"/>
              </w:rPr>
            </w:pPr>
          </w:p>
        </w:tc>
        <w:tc>
          <w:tcPr>
            <w:tcW w:w="2088" w:type="dxa"/>
          </w:tcPr>
          <w:p w14:paraId="76D57049">
            <w:pPr>
              <w:spacing w:line="460" w:lineRule="exact"/>
              <w:rPr>
                <w:rFonts w:hAnsi="宋体"/>
                <w:color w:val="auto"/>
                <w:szCs w:val="21"/>
                <w:highlight w:val="none"/>
              </w:rPr>
            </w:pPr>
          </w:p>
        </w:tc>
        <w:tc>
          <w:tcPr>
            <w:tcW w:w="1335" w:type="dxa"/>
          </w:tcPr>
          <w:p w14:paraId="03128DB8">
            <w:pPr>
              <w:spacing w:line="460" w:lineRule="exact"/>
              <w:rPr>
                <w:rFonts w:hAnsi="宋体"/>
                <w:color w:val="auto"/>
                <w:szCs w:val="21"/>
                <w:highlight w:val="none"/>
              </w:rPr>
            </w:pPr>
          </w:p>
        </w:tc>
        <w:tc>
          <w:tcPr>
            <w:tcW w:w="1095" w:type="dxa"/>
          </w:tcPr>
          <w:p w14:paraId="779B9593">
            <w:pPr>
              <w:spacing w:line="460" w:lineRule="exact"/>
              <w:rPr>
                <w:rFonts w:hAnsi="宋体"/>
                <w:color w:val="auto"/>
                <w:szCs w:val="21"/>
                <w:highlight w:val="none"/>
              </w:rPr>
            </w:pPr>
          </w:p>
        </w:tc>
        <w:tc>
          <w:tcPr>
            <w:tcW w:w="750" w:type="dxa"/>
          </w:tcPr>
          <w:p w14:paraId="2DFF6DE4">
            <w:pPr>
              <w:spacing w:line="460" w:lineRule="exact"/>
              <w:rPr>
                <w:rFonts w:hAnsi="宋体"/>
                <w:color w:val="auto"/>
                <w:szCs w:val="21"/>
                <w:highlight w:val="none"/>
              </w:rPr>
            </w:pPr>
          </w:p>
        </w:tc>
        <w:tc>
          <w:tcPr>
            <w:tcW w:w="1473" w:type="dxa"/>
          </w:tcPr>
          <w:p w14:paraId="11C17CDB">
            <w:pPr>
              <w:spacing w:line="460" w:lineRule="exact"/>
              <w:rPr>
                <w:rFonts w:hAnsi="宋体"/>
                <w:color w:val="auto"/>
                <w:szCs w:val="21"/>
                <w:highlight w:val="none"/>
              </w:rPr>
            </w:pPr>
          </w:p>
        </w:tc>
        <w:tc>
          <w:tcPr>
            <w:tcW w:w="1065" w:type="dxa"/>
          </w:tcPr>
          <w:p w14:paraId="223186D8">
            <w:pPr>
              <w:spacing w:line="460" w:lineRule="exact"/>
              <w:rPr>
                <w:rFonts w:hAnsi="宋体"/>
                <w:color w:val="auto"/>
                <w:szCs w:val="21"/>
                <w:highlight w:val="none"/>
              </w:rPr>
            </w:pPr>
          </w:p>
        </w:tc>
      </w:tr>
      <w:tr w14:paraId="710C4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tcPr>
          <w:p w14:paraId="0700B7C8">
            <w:pPr>
              <w:spacing w:line="460" w:lineRule="exact"/>
              <w:rPr>
                <w:rFonts w:hAnsi="宋体"/>
                <w:color w:val="auto"/>
                <w:szCs w:val="21"/>
                <w:highlight w:val="none"/>
              </w:rPr>
            </w:pPr>
          </w:p>
        </w:tc>
        <w:tc>
          <w:tcPr>
            <w:tcW w:w="2088" w:type="dxa"/>
          </w:tcPr>
          <w:p w14:paraId="452CAB1E">
            <w:pPr>
              <w:spacing w:line="460" w:lineRule="exact"/>
              <w:rPr>
                <w:rFonts w:hAnsi="宋体"/>
                <w:color w:val="auto"/>
                <w:szCs w:val="21"/>
                <w:highlight w:val="none"/>
              </w:rPr>
            </w:pPr>
          </w:p>
        </w:tc>
        <w:tc>
          <w:tcPr>
            <w:tcW w:w="1335" w:type="dxa"/>
          </w:tcPr>
          <w:p w14:paraId="5F42E28B">
            <w:pPr>
              <w:spacing w:line="460" w:lineRule="exact"/>
              <w:rPr>
                <w:rFonts w:hAnsi="宋体"/>
                <w:color w:val="auto"/>
                <w:szCs w:val="21"/>
                <w:highlight w:val="none"/>
              </w:rPr>
            </w:pPr>
          </w:p>
        </w:tc>
        <w:tc>
          <w:tcPr>
            <w:tcW w:w="1095" w:type="dxa"/>
          </w:tcPr>
          <w:p w14:paraId="27E85744">
            <w:pPr>
              <w:spacing w:line="460" w:lineRule="exact"/>
              <w:rPr>
                <w:rFonts w:hAnsi="宋体"/>
                <w:color w:val="auto"/>
                <w:szCs w:val="21"/>
                <w:highlight w:val="none"/>
              </w:rPr>
            </w:pPr>
          </w:p>
        </w:tc>
        <w:tc>
          <w:tcPr>
            <w:tcW w:w="750" w:type="dxa"/>
          </w:tcPr>
          <w:p w14:paraId="23520243">
            <w:pPr>
              <w:spacing w:line="460" w:lineRule="exact"/>
              <w:rPr>
                <w:rFonts w:hAnsi="宋体"/>
                <w:color w:val="auto"/>
                <w:szCs w:val="21"/>
                <w:highlight w:val="none"/>
              </w:rPr>
            </w:pPr>
          </w:p>
        </w:tc>
        <w:tc>
          <w:tcPr>
            <w:tcW w:w="1473" w:type="dxa"/>
          </w:tcPr>
          <w:p w14:paraId="3BD1748E">
            <w:pPr>
              <w:spacing w:line="460" w:lineRule="exact"/>
              <w:rPr>
                <w:rFonts w:hAnsi="宋体"/>
                <w:color w:val="auto"/>
                <w:szCs w:val="21"/>
                <w:highlight w:val="none"/>
              </w:rPr>
            </w:pPr>
          </w:p>
        </w:tc>
        <w:tc>
          <w:tcPr>
            <w:tcW w:w="1065" w:type="dxa"/>
          </w:tcPr>
          <w:p w14:paraId="5B639C03">
            <w:pPr>
              <w:spacing w:line="460" w:lineRule="exact"/>
              <w:rPr>
                <w:rFonts w:hAnsi="宋体"/>
                <w:color w:val="auto"/>
                <w:szCs w:val="21"/>
                <w:highlight w:val="none"/>
              </w:rPr>
            </w:pPr>
          </w:p>
        </w:tc>
      </w:tr>
      <w:tr w14:paraId="4B5ED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2" w:type="dxa"/>
            <w:gridSpan w:val="7"/>
          </w:tcPr>
          <w:p w14:paraId="61191C9C">
            <w:pPr>
              <w:spacing w:line="460" w:lineRule="exact"/>
              <w:rPr>
                <w:rFonts w:hAnsi="宋体"/>
                <w:color w:val="auto"/>
                <w:szCs w:val="21"/>
                <w:highlight w:val="none"/>
              </w:rPr>
            </w:pPr>
            <w:r>
              <w:rPr>
                <w:rFonts w:hint="eastAsia" w:hAnsi="宋体"/>
                <w:color w:val="auto"/>
                <w:szCs w:val="21"/>
                <w:highlight w:val="none"/>
              </w:rPr>
              <w:t>合同额：大写：                              小写：</w:t>
            </w:r>
          </w:p>
        </w:tc>
      </w:tr>
    </w:tbl>
    <w:p w14:paraId="2A624365">
      <w:pPr>
        <w:spacing w:line="460" w:lineRule="exact"/>
        <w:ind w:firstLine="539" w:firstLineChars="245"/>
        <w:rPr>
          <w:rFonts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2、标准和计量单位</w:t>
      </w:r>
    </w:p>
    <w:p w14:paraId="23345484">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（1）本合同项下交付的货物应符合技术规格所述的标准。如在磋商文件中无相应说明，则以国家颁布的最新版本标准或行业（部）标准或相应的国际标准执行，没有国家或行业（部）标准的则按企业标准执行。</w:t>
      </w:r>
    </w:p>
    <w:p w14:paraId="426500A0">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（2） 除非技术规格中另有规定，计量单位均采用中华人民共和国法定计量单位。</w:t>
      </w:r>
    </w:p>
    <w:p w14:paraId="261BFDA1">
      <w:pPr>
        <w:spacing w:line="460" w:lineRule="exact"/>
        <w:ind w:firstLine="539" w:firstLineChars="245"/>
        <w:outlineLvl w:val="2"/>
        <w:rPr>
          <w:rFonts w:ascii="新宋体" w:hAnsi="新宋体" w:eastAsia="新宋体" w:cs="新宋体"/>
          <w:bCs/>
          <w:color w:val="auto"/>
          <w:sz w:val="22"/>
          <w:szCs w:val="22"/>
          <w:highlight w:val="none"/>
        </w:rPr>
      </w:pPr>
      <w:bookmarkStart w:id="93" w:name="_Toc29485"/>
      <w:bookmarkStart w:id="94" w:name="_Toc9574"/>
      <w:bookmarkStart w:id="95" w:name="_Toc22159"/>
      <w:r>
        <w:rPr>
          <w:rFonts w:hint="eastAsia" w:ascii="新宋体" w:hAnsi="新宋体" w:eastAsia="新宋体" w:cs="新宋体"/>
          <w:bCs/>
          <w:color w:val="auto"/>
          <w:sz w:val="22"/>
          <w:szCs w:val="22"/>
          <w:highlight w:val="none"/>
        </w:rPr>
        <w:t>3、专利权</w:t>
      </w:r>
      <w:bookmarkEnd w:id="93"/>
      <w:bookmarkEnd w:id="94"/>
      <w:bookmarkEnd w:id="95"/>
    </w:p>
    <w:p w14:paraId="5D4D4091">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乙方应保证，甲方在使用该货物或货物的任何一部分时，免受第三方提出的侵犯其专利权、商标权、著作权或其它知识产权的起诉。乙方应承担由此可能产生的一切法律责任和费用。</w:t>
      </w:r>
    </w:p>
    <w:p w14:paraId="38DA9F8B">
      <w:pPr>
        <w:spacing w:line="460" w:lineRule="exact"/>
        <w:ind w:firstLine="541" w:firstLineChars="245"/>
        <w:outlineLvl w:val="1"/>
        <w:rPr>
          <w:rFonts w:ascii="新宋体" w:hAnsi="新宋体" w:eastAsia="新宋体" w:cs="新宋体"/>
          <w:b/>
          <w:color w:val="auto"/>
          <w:sz w:val="22"/>
          <w:szCs w:val="22"/>
          <w:highlight w:val="none"/>
        </w:rPr>
      </w:pPr>
      <w:bookmarkStart w:id="96" w:name="_Toc17450"/>
      <w:bookmarkStart w:id="97" w:name="_Toc13639"/>
      <w:bookmarkStart w:id="98" w:name="_Toc10924"/>
      <w:bookmarkStart w:id="99" w:name="_Toc2939"/>
      <w:bookmarkStart w:id="100" w:name="_Toc16738"/>
      <w:bookmarkStart w:id="101" w:name="_Toc19420"/>
      <w:r>
        <w:rPr>
          <w:rFonts w:hint="eastAsia" w:ascii="新宋体" w:hAnsi="新宋体" w:eastAsia="新宋体" w:cs="新宋体"/>
          <w:b/>
          <w:color w:val="auto"/>
          <w:sz w:val="22"/>
          <w:szCs w:val="22"/>
          <w:highlight w:val="none"/>
        </w:rPr>
        <w:t>四、交货</w:t>
      </w:r>
      <w:bookmarkEnd w:id="96"/>
      <w:bookmarkEnd w:id="97"/>
      <w:bookmarkEnd w:id="98"/>
      <w:bookmarkEnd w:id="99"/>
      <w:bookmarkEnd w:id="100"/>
      <w:bookmarkEnd w:id="101"/>
    </w:p>
    <w:p w14:paraId="3B8B1629">
      <w:pPr>
        <w:spacing w:line="440" w:lineRule="exact"/>
        <w:ind w:firstLine="539" w:firstLineChars="245"/>
        <w:outlineLvl w:val="2"/>
        <w:rPr>
          <w:rFonts w:ascii="新宋体" w:hAnsi="新宋体" w:eastAsia="新宋体"/>
          <w:color w:val="auto"/>
          <w:sz w:val="22"/>
          <w:highlight w:val="none"/>
        </w:rPr>
      </w:pPr>
      <w:bookmarkStart w:id="102" w:name="_Toc9382"/>
      <w:bookmarkStart w:id="103" w:name="_Toc16501"/>
      <w:bookmarkStart w:id="104" w:name="_Toc28031"/>
      <w:r>
        <w:rPr>
          <w:rFonts w:hint="eastAsia" w:ascii="新宋体" w:hAnsi="新宋体" w:eastAsia="新宋体"/>
          <w:color w:val="auto"/>
          <w:sz w:val="22"/>
          <w:highlight w:val="none"/>
        </w:rPr>
        <w:t>1、包装要求</w:t>
      </w:r>
      <w:bookmarkEnd w:id="102"/>
      <w:bookmarkEnd w:id="103"/>
      <w:bookmarkEnd w:id="104"/>
    </w:p>
    <w:p w14:paraId="2E3F9F2A">
      <w:pPr>
        <w:spacing w:line="440" w:lineRule="exact"/>
        <w:ind w:firstLine="539" w:firstLineChars="245"/>
        <w:rPr>
          <w:rFonts w:ascii="新宋体" w:hAnsi="新宋体" w:eastAsia="新宋体"/>
          <w:color w:val="auto"/>
          <w:sz w:val="22"/>
          <w:highlight w:val="none"/>
        </w:rPr>
      </w:pPr>
      <w:bookmarkStart w:id="105" w:name="OLE_LINK4"/>
      <w:r>
        <w:rPr>
          <w:rFonts w:hint="eastAsia" w:ascii="新宋体" w:hAnsi="新宋体" w:eastAsia="新宋体"/>
          <w:color w:val="auto"/>
          <w:sz w:val="22"/>
          <w:highlight w:val="none"/>
        </w:rPr>
        <w:t>（1）除合同另有规定外，乙方应提供货物运至合同规定的最终目的地所需要的包装，以防止货物在转运中损坏或变质。这类包装应采取防潮、防晒、防锈防腐蚀、防震动及防止其他损坏的必要保护措施，从而保护货物能够经受多次搬运、装卸储存等并充分考虑到运输途中的各种复杂情况（例如恶劣天气）和温州地区气候特点以及露天存放问题。乙方应承担由于包装或防护措施不妥而引起货物锈蚀、损坏和丢失的任何损失的责任或费用。</w:t>
      </w:r>
    </w:p>
    <w:p w14:paraId="19FAFEBE">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（2）每一包装箱内必须附有装箱清单、合格证和齐全的技术资料等。</w:t>
      </w:r>
      <w:bookmarkEnd w:id="105"/>
    </w:p>
    <w:p w14:paraId="3A8DC025">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（3）乙方应在每一包装箱的四侧用不褪色的油漆以醒目的中文字样标注“收货人”“货物名称”“小心轻放”、“防潮”、“此端朝上，请勿倒置”等字样和其他国际贸易中使用的适当标志。</w:t>
      </w:r>
    </w:p>
    <w:p w14:paraId="696E09A7">
      <w:pPr>
        <w:spacing w:line="440" w:lineRule="exact"/>
        <w:ind w:firstLine="539" w:firstLineChars="245"/>
        <w:outlineLvl w:val="2"/>
        <w:rPr>
          <w:rFonts w:ascii="新宋体" w:hAnsi="新宋体" w:eastAsia="新宋体"/>
          <w:color w:val="auto"/>
          <w:sz w:val="22"/>
          <w:highlight w:val="none"/>
        </w:rPr>
      </w:pPr>
      <w:bookmarkStart w:id="106" w:name="_Toc4276"/>
      <w:bookmarkStart w:id="107" w:name="_Toc9495"/>
      <w:bookmarkStart w:id="108" w:name="_Toc4450"/>
      <w:r>
        <w:rPr>
          <w:rFonts w:hint="eastAsia" w:ascii="新宋体" w:hAnsi="新宋体" w:eastAsia="新宋体"/>
          <w:color w:val="auto"/>
          <w:sz w:val="22"/>
          <w:highlight w:val="none"/>
        </w:rPr>
        <w:t>2、交货方式</w:t>
      </w:r>
      <w:bookmarkEnd w:id="106"/>
      <w:bookmarkEnd w:id="107"/>
      <w:bookmarkEnd w:id="108"/>
    </w:p>
    <w:p w14:paraId="7CCAB541">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（1）现场交货：乙方负责办理运输和保险，将货物运抵甲方指定的现场并落地就位。有关运输和保险的一切费用由乙方承担。所有货物运抵现场的日期为交货日期。</w:t>
      </w:r>
    </w:p>
    <w:p w14:paraId="7782A44F">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（2）在现场交货条件下，乙方在货物发运前</w:t>
      </w:r>
      <w:r>
        <w:rPr>
          <w:rFonts w:hint="eastAsia" w:ascii="新宋体" w:hAnsi="新宋体" w:eastAsia="新宋体"/>
          <w:color w:val="auto"/>
          <w:sz w:val="22"/>
          <w:highlight w:val="none"/>
          <w:u w:val="single"/>
        </w:rPr>
        <w:t xml:space="preserve">    </w:t>
      </w:r>
      <w:r>
        <w:rPr>
          <w:rFonts w:hint="eastAsia" w:ascii="新宋体" w:hAnsi="新宋体" w:eastAsia="新宋体"/>
          <w:color w:val="auto"/>
          <w:sz w:val="22"/>
          <w:highlight w:val="none"/>
        </w:rPr>
        <w:t>天，将要发运货物的合同号、货物名称、规格、数量、包装箱件数、重量、包装箱尺寸（长×宽×高）和货物的卸车，贮存的特殊要求以及运输工具名称以及启运日期，以传真形式通知甲方。</w:t>
      </w:r>
    </w:p>
    <w:p w14:paraId="48AAC1CF">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（3）如因乙方延误将上述内容用传真形式通知甲方，由此引起的一切损失应由乙方承担。</w:t>
      </w:r>
    </w:p>
    <w:p w14:paraId="55836E70">
      <w:pPr>
        <w:spacing w:line="460" w:lineRule="exact"/>
        <w:ind w:firstLine="541" w:firstLineChars="245"/>
        <w:rPr>
          <w:rFonts w:ascii="新宋体" w:hAnsi="新宋体" w:eastAsia="新宋体"/>
          <w:b/>
          <w:color w:val="auto"/>
          <w:sz w:val="22"/>
          <w:highlight w:val="none"/>
        </w:rPr>
      </w:pPr>
      <w:r>
        <w:rPr>
          <w:rFonts w:hint="eastAsia" w:ascii="新宋体" w:hAnsi="新宋体" w:eastAsia="新宋体" w:cs="新宋体"/>
          <w:b/>
          <w:bCs/>
          <w:color w:val="auto"/>
          <w:sz w:val="22"/>
          <w:szCs w:val="22"/>
          <w:highlight w:val="none"/>
        </w:rPr>
        <w:t xml:space="preserve"> </w:t>
      </w:r>
      <w:r>
        <w:rPr>
          <w:rFonts w:hint="eastAsia" w:ascii="新宋体" w:hAnsi="新宋体" w:eastAsia="新宋体"/>
          <w:b/>
          <w:color w:val="auto"/>
          <w:sz w:val="22"/>
          <w:highlight w:val="none"/>
        </w:rPr>
        <w:t>3、交付日期：</w:t>
      </w:r>
      <w:r>
        <w:rPr>
          <w:rFonts w:hint="eastAsia" w:ascii="宋体" w:hAnsi="宋体" w:cs="宋体"/>
          <w:color w:val="auto"/>
          <w:kern w:val="0"/>
          <w:sz w:val="22"/>
          <w:highlight w:val="none"/>
        </w:rPr>
        <w:t>合同签订后30日内完成供货，具体安装、调试时间由甲方使用部门通知，保证使用方可正常使用</w:t>
      </w:r>
      <w:r>
        <w:rPr>
          <w:rFonts w:hint="eastAsia" w:ascii="新宋体" w:hAnsi="新宋体" w:eastAsia="新宋体"/>
          <w:b/>
          <w:color w:val="auto"/>
          <w:sz w:val="22"/>
          <w:highlight w:val="none"/>
        </w:rPr>
        <w:t>。</w:t>
      </w:r>
    </w:p>
    <w:p w14:paraId="2746A9CC">
      <w:pPr>
        <w:spacing w:line="440" w:lineRule="exact"/>
        <w:ind w:firstLine="541" w:firstLineChars="245"/>
        <w:rPr>
          <w:rFonts w:ascii="新宋体" w:hAnsi="新宋体" w:eastAsia="新宋体"/>
          <w:b/>
          <w:color w:val="auto"/>
          <w:sz w:val="22"/>
          <w:highlight w:val="none"/>
        </w:rPr>
      </w:pPr>
      <w:r>
        <w:rPr>
          <w:rFonts w:hint="eastAsia" w:ascii="新宋体" w:hAnsi="新宋体" w:eastAsia="新宋体"/>
          <w:b/>
          <w:color w:val="auto"/>
          <w:sz w:val="22"/>
          <w:highlight w:val="none"/>
        </w:rPr>
        <w:t>4、交货地点：甲方指定地点</w:t>
      </w:r>
    </w:p>
    <w:p w14:paraId="5FD1A529">
      <w:pPr>
        <w:spacing w:line="440" w:lineRule="exact"/>
        <w:ind w:firstLine="541" w:firstLineChars="245"/>
        <w:rPr>
          <w:rFonts w:ascii="新宋体" w:hAnsi="新宋体" w:eastAsia="新宋体"/>
          <w:b/>
          <w:color w:val="auto"/>
          <w:sz w:val="22"/>
          <w:highlight w:val="none"/>
        </w:rPr>
      </w:pPr>
      <w:r>
        <w:rPr>
          <w:rFonts w:hint="eastAsia" w:ascii="新宋体" w:hAnsi="新宋体" w:eastAsia="新宋体"/>
          <w:b/>
          <w:color w:val="auto"/>
          <w:sz w:val="22"/>
          <w:highlight w:val="none"/>
        </w:rPr>
        <w:t>5、技术文件和资料</w:t>
      </w:r>
    </w:p>
    <w:p w14:paraId="1FEFDA50">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（1）提供技术文件和资料的种类和数量在本磋商文件《</w:t>
      </w:r>
      <w:r>
        <w:rPr>
          <w:rFonts w:hint="eastAsia" w:ascii="宋体" w:hAnsi="宋体" w:cs="宋体"/>
          <w:color w:val="auto"/>
          <w:highlight w:val="none"/>
        </w:rPr>
        <w:t>项目技术规范和服务要求</w:t>
      </w:r>
      <w:r>
        <w:rPr>
          <w:rFonts w:hint="eastAsia" w:ascii="新宋体" w:hAnsi="新宋体" w:eastAsia="新宋体"/>
          <w:color w:val="auto"/>
          <w:sz w:val="22"/>
          <w:highlight w:val="none"/>
        </w:rPr>
        <w:t>》中规定，甲乙双方可根据采购要求和需要订立具体的技术文件和资料交付时间和数量。</w:t>
      </w:r>
    </w:p>
    <w:p w14:paraId="59D1465C">
      <w:pPr>
        <w:spacing w:line="440" w:lineRule="exact"/>
        <w:ind w:firstLine="539" w:firstLineChars="245"/>
        <w:rPr>
          <w:rFonts w:ascii="新宋体" w:hAnsi="新宋体" w:eastAsia="新宋体"/>
          <w:b/>
          <w:color w:val="auto"/>
          <w:sz w:val="22"/>
          <w:highlight w:val="none"/>
        </w:rPr>
      </w:pPr>
      <w:r>
        <w:rPr>
          <w:rFonts w:hint="eastAsia" w:ascii="新宋体" w:hAnsi="新宋体" w:eastAsia="新宋体"/>
          <w:color w:val="auto"/>
          <w:sz w:val="22"/>
          <w:highlight w:val="none"/>
        </w:rPr>
        <w:t>（2）如果甲方确认乙方提供的技术文件和资料不完整，或在运输途中丢失，乙方应在收到甲方通知后3天内将这些文件、资料补齐。</w:t>
      </w:r>
    </w:p>
    <w:p w14:paraId="2FCEFEAE">
      <w:pPr>
        <w:spacing w:line="460" w:lineRule="exact"/>
        <w:ind w:firstLine="541" w:firstLineChars="245"/>
        <w:outlineLvl w:val="1"/>
        <w:rPr>
          <w:rFonts w:ascii="新宋体" w:hAnsi="新宋体" w:eastAsia="新宋体" w:cs="新宋体"/>
          <w:b/>
          <w:color w:val="auto"/>
          <w:sz w:val="22"/>
          <w:szCs w:val="22"/>
          <w:highlight w:val="none"/>
        </w:rPr>
      </w:pPr>
      <w:bookmarkStart w:id="109" w:name="_Toc24090"/>
      <w:bookmarkStart w:id="110" w:name="_Toc21315"/>
      <w:bookmarkStart w:id="111" w:name="_Toc18179"/>
      <w:bookmarkStart w:id="112" w:name="_Toc24243"/>
      <w:bookmarkStart w:id="113" w:name="_Toc22036"/>
      <w:bookmarkStart w:id="114" w:name="_Toc13247"/>
      <w:r>
        <w:rPr>
          <w:rFonts w:hint="eastAsia" w:ascii="新宋体" w:hAnsi="新宋体" w:eastAsia="新宋体" w:cs="新宋体"/>
          <w:b/>
          <w:color w:val="auto"/>
          <w:sz w:val="22"/>
          <w:szCs w:val="22"/>
          <w:highlight w:val="none"/>
        </w:rPr>
        <w:t>五、付款方式与结算</w:t>
      </w:r>
      <w:bookmarkEnd w:id="109"/>
      <w:bookmarkEnd w:id="110"/>
      <w:bookmarkEnd w:id="111"/>
      <w:bookmarkEnd w:id="112"/>
      <w:bookmarkEnd w:id="113"/>
      <w:bookmarkEnd w:id="114"/>
    </w:p>
    <w:p w14:paraId="22831FD8">
      <w:pPr>
        <w:spacing w:line="440" w:lineRule="exact"/>
        <w:ind w:firstLine="539" w:firstLineChars="245"/>
        <w:rPr>
          <w:rFonts w:ascii="新宋体" w:hAnsi="新宋体" w:eastAsia="新宋体"/>
          <w:color w:val="auto"/>
          <w:sz w:val="22"/>
          <w:highlight w:val="none"/>
        </w:rPr>
      </w:pPr>
      <w:bookmarkStart w:id="115" w:name="_Toc8761"/>
      <w:bookmarkStart w:id="116" w:name="_Toc24706"/>
      <w:r>
        <w:rPr>
          <w:rFonts w:hint="eastAsia" w:ascii="新宋体" w:hAnsi="新宋体" w:eastAsia="新宋体"/>
          <w:color w:val="auto"/>
          <w:sz w:val="22"/>
          <w:highlight w:val="none"/>
        </w:rPr>
        <w:t>（1）普通付款：货到安装验收合格后，自收到专用发票后15个工作日内，甲方向乙方支付合同总价的100%。</w:t>
      </w:r>
    </w:p>
    <w:p w14:paraId="2E63214F">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 xml:space="preserve"> （2)中小企业付款：合同签订后5个工作日内，乙方向甲方缴纳合同总价的1%作为履约保证金。预付款金额为合同款金额的40%，在合同签订后、验收前，乙方须向甲方提交与预付款等额的“预付款保函”。甲方在收到“预付款保函”并具备实施条件后15个工作日内支付预付款；其余合同款在货到安装验收合格后，自收到专用发票后15个工作日内一次性付清。乙方向甲方开具履约保证金收据后15个工作日内，甲方无息退还履约保证金。乙方声明不需要预付款的，付款方式等同于普通付款。</w:t>
      </w:r>
    </w:p>
    <w:p w14:paraId="052D428E">
      <w:pPr>
        <w:spacing w:line="460" w:lineRule="exact"/>
        <w:ind w:firstLine="541" w:firstLineChars="245"/>
        <w:outlineLvl w:val="1"/>
        <w:rPr>
          <w:rFonts w:ascii="新宋体" w:hAnsi="新宋体" w:eastAsia="新宋体" w:cs="新宋体"/>
          <w:b/>
          <w:color w:val="auto"/>
          <w:sz w:val="22"/>
          <w:szCs w:val="22"/>
          <w:highlight w:val="none"/>
        </w:rPr>
      </w:pPr>
      <w:bookmarkStart w:id="117" w:name="_Toc13393"/>
      <w:bookmarkStart w:id="118" w:name="_Toc4362"/>
      <w:bookmarkStart w:id="119" w:name="_Toc10656"/>
      <w:bookmarkStart w:id="120" w:name="_Toc10692"/>
      <w:r>
        <w:rPr>
          <w:rFonts w:hint="eastAsia" w:ascii="新宋体" w:hAnsi="新宋体" w:eastAsia="新宋体" w:cs="新宋体"/>
          <w:b/>
          <w:color w:val="auto"/>
          <w:sz w:val="22"/>
          <w:szCs w:val="22"/>
          <w:highlight w:val="none"/>
        </w:rPr>
        <w:t>六、质量要求</w:t>
      </w:r>
      <w:bookmarkEnd w:id="115"/>
      <w:bookmarkEnd w:id="116"/>
      <w:bookmarkEnd w:id="117"/>
      <w:bookmarkEnd w:id="118"/>
      <w:bookmarkEnd w:id="119"/>
      <w:bookmarkEnd w:id="120"/>
    </w:p>
    <w:p w14:paraId="20DEBA4E">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1、乙方所提供的货物应保证是企业原厂生产的货物而不是其他地方生产的、全新的、未使用过的，是原包装未拆封的，是用一流的工艺和最佳材料制造而成的，并完全符合合同规定的质量、规格和性能要求。乙方应保证所提供的货物经正常运行和保养，在其使用寿命期内应具有使甲方满意的性能，并且确保一次性通过各项检验和测试。在货物质量保证期内，乙方应对由于设计、工艺、材料和配套件的缺陷所产生的任何不足或故障负责。</w:t>
      </w:r>
    </w:p>
    <w:p w14:paraId="222445FD">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2、根据甲方按检验标准检验的结果或当地质检部门检验的结果，或者在质量保证期内，如果货物的数量、质量或规格与合同不符，或证实货物是有缺陷的，包括潜在的缺陷或使用不符合要求的材料等，甲方应尽快以书面形式通知乙方，提出索赔。乙方在收到通知后，应在规定期限内，用与报价时采用的零件、部件或材料免费更换有缺陷的或不符合要求的零件、部件或材料，同时相应延长质量保证期。</w:t>
      </w:r>
    </w:p>
    <w:p w14:paraId="53502DBB">
      <w:pPr>
        <w:spacing w:line="440" w:lineRule="exact"/>
        <w:ind w:firstLine="541" w:firstLineChars="245"/>
        <w:rPr>
          <w:rFonts w:ascii="宋体" w:hAnsi="宋体"/>
          <w:color w:val="auto"/>
          <w:kern w:val="0"/>
          <w:sz w:val="22"/>
          <w:szCs w:val="22"/>
          <w:highlight w:val="none"/>
        </w:rPr>
      </w:pPr>
      <w:r>
        <w:rPr>
          <w:rFonts w:hint="eastAsia" w:ascii="新宋体" w:hAnsi="新宋体" w:eastAsia="新宋体"/>
          <w:b/>
          <w:color w:val="auto"/>
          <w:sz w:val="22"/>
          <w:highlight w:val="none"/>
        </w:rPr>
        <w:t>3、</w:t>
      </w:r>
      <w:r>
        <w:rPr>
          <w:rFonts w:hint="eastAsia" w:ascii="新宋体" w:hAnsi="新宋体" w:eastAsia="新宋体" w:cs="新宋体"/>
          <w:b/>
          <w:bCs/>
          <w:color w:val="auto"/>
          <w:sz w:val="22"/>
          <w:szCs w:val="22"/>
          <w:highlight w:val="none"/>
        </w:rPr>
        <w:t>本合同项下货物质量保证期按磋商文件规定：</w:t>
      </w:r>
      <w:r>
        <w:rPr>
          <w:rFonts w:hint="eastAsia" w:ascii="新宋体" w:hAnsi="新宋体" w:eastAsia="新宋体" w:cs="新宋体"/>
          <w:b/>
          <w:bCs/>
          <w:color w:val="auto"/>
          <w:sz w:val="22"/>
          <w:szCs w:val="22"/>
          <w:highlight w:val="none"/>
          <w:u w:val="single"/>
        </w:rPr>
        <w:t xml:space="preserve">                </w:t>
      </w:r>
      <w:r>
        <w:rPr>
          <w:rFonts w:hint="eastAsia" w:ascii="新宋体" w:hAnsi="新宋体" w:eastAsia="新宋体" w:cs="新宋体"/>
          <w:b/>
          <w:bCs/>
          <w:color w:val="auto"/>
          <w:sz w:val="22"/>
          <w:szCs w:val="22"/>
          <w:highlight w:val="none"/>
        </w:rPr>
        <w:t xml:space="preserve"> , （货物另有超过质保期规定或磋商文件另有规定的按就高原则执行）</w:t>
      </w:r>
      <w:r>
        <w:rPr>
          <w:rFonts w:hint="eastAsia" w:ascii="宋体" w:hAnsi="宋体"/>
          <w:color w:val="auto"/>
          <w:kern w:val="0"/>
          <w:sz w:val="22"/>
          <w:szCs w:val="22"/>
          <w:highlight w:val="none"/>
        </w:rPr>
        <w:t>。</w:t>
      </w:r>
    </w:p>
    <w:p w14:paraId="78AF569F">
      <w:pPr>
        <w:spacing w:line="460" w:lineRule="exact"/>
        <w:ind w:firstLine="541" w:firstLineChars="245"/>
        <w:outlineLvl w:val="1"/>
        <w:rPr>
          <w:rFonts w:ascii="新宋体" w:hAnsi="新宋体" w:eastAsia="新宋体" w:cs="新宋体"/>
          <w:b/>
          <w:color w:val="auto"/>
          <w:sz w:val="22"/>
          <w:szCs w:val="22"/>
          <w:highlight w:val="none"/>
        </w:rPr>
      </w:pPr>
      <w:bookmarkStart w:id="121" w:name="_Toc3187"/>
      <w:bookmarkStart w:id="122" w:name="_Toc16817"/>
      <w:bookmarkStart w:id="123" w:name="_Toc13628"/>
      <w:bookmarkStart w:id="124" w:name="_Toc25760"/>
      <w:bookmarkStart w:id="125" w:name="_Toc31939"/>
      <w:bookmarkStart w:id="126" w:name="_Toc28907"/>
      <w:r>
        <w:rPr>
          <w:rFonts w:hint="eastAsia" w:ascii="新宋体" w:hAnsi="新宋体" w:eastAsia="新宋体" w:cs="新宋体"/>
          <w:b/>
          <w:color w:val="auto"/>
          <w:sz w:val="22"/>
          <w:szCs w:val="22"/>
          <w:highlight w:val="none"/>
        </w:rPr>
        <w:t>七、验收</w:t>
      </w:r>
      <w:bookmarkEnd w:id="121"/>
      <w:bookmarkEnd w:id="122"/>
      <w:bookmarkEnd w:id="123"/>
      <w:bookmarkEnd w:id="124"/>
      <w:bookmarkEnd w:id="125"/>
      <w:bookmarkEnd w:id="126"/>
    </w:p>
    <w:p w14:paraId="1376DF56">
      <w:pPr>
        <w:spacing w:line="460" w:lineRule="exact"/>
        <w:ind w:firstLine="539" w:firstLineChars="245"/>
        <w:outlineLvl w:val="2"/>
        <w:rPr>
          <w:rFonts w:ascii="新宋体" w:hAnsi="新宋体" w:eastAsia="新宋体"/>
          <w:color w:val="auto"/>
          <w:sz w:val="22"/>
          <w:szCs w:val="22"/>
          <w:highlight w:val="none"/>
        </w:rPr>
      </w:pPr>
      <w:bookmarkStart w:id="127" w:name="_Toc28874"/>
      <w:bookmarkStart w:id="128" w:name="_Toc399"/>
      <w:bookmarkStart w:id="129" w:name="_Toc12861"/>
      <w:r>
        <w:rPr>
          <w:rFonts w:hint="eastAsia" w:ascii="新宋体" w:hAnsi="新宋体" w:eastAsia="新宋体" w:cs="新宋体"/>
          <w:color w:val="auto"/>
          <w:sz w:val="22"/>
          <w:szCs w:val="22"/>
          <w:highlight w:val="none"/>
        </w:rPr>
        <w:t>1、</w:t>
      </w:r>
      <w:r>
        <w:rPr>
          <w:rFonts w:hint="eastAsia" w:ascii="新宋体" w:hAnsi="新宋体" w:eastAsia="新宋体"/>
          <w:color w:val="auto"/>
          <w:sz w:val="22"/>
          <w:szCs w:val="22"/>
          <w:highlight w:val="none"/>
        </w:rPr>
        <w:t>验收应在甲方和乙方双方共同参加下进行。</w:t>
      </w:r>
      <w:bookmarkEnd w:id="127"/>
      <w:bookmarkEnd w:id="128"/>
      <w:bookmarkEnd w:id="129"/>
    </w:p>
    <w:p w14:paraId="6C22CA28">
      <w:pPr>
        <w:spacing w:line="460" w:lineRule="exact"/>
        <w:ind w:firstLine="539" w:firstLineChars="245"/>
        <w:rPr>
          <w:rFonts w:ascii="新宋体" w:hAnsi="新宋体" w:eastAsia="新宋体"/>
          <w:color w:val="auto"/>
          <w:sz w:val="22"/>
          <w:szCs w:val="22"/>
          <w:highlight w:val="none"/>
        </w:rPr>
      </w:pPr>
      <w:r>
        <w:rPr>
          <w:rFonts w:hint="eastAsia" w:ascii="新宋体" w:hAnsi="新宋体" w:eastAsia="新宋体" w:cs="新宋体"/>
          <w:color w:val="auto"/>
          <w:sz w:val="22"/>
          <w:szCs w:val="22"/>
          <w:highlight w:val="none"/>
        </w:rPr>
        <w:t>2、</w:t>
      </w:r>
      <w:r>
        <w:rPr>
          <w:rFonts w:hint="eastAsia" w:ascii="新宋体" w:hAnsi="新宋体" w:eastAsia="新宋体"/>
          <w:color w:val="auto"/>
          <w:sz w:val="22"/>
          <w:szCs w:val="22"/>
          <w:highlight w:val="none"/>
        </w:rPr>
        <w:t>验收按国家有关的规定、规范进行。验收时如发现所交付的货物有短缺、次品、损坏等情形者，甲方应做出详尽的现场记录，或由甲方和乙方双方签署备忘录。此现场记录或备忘录可用作补充、缺失和更换损坏部件的有效证据。由此产生的有关费用由乙方承担。</w:t>
      </w:r>
    </w:p>
    <w:p w14:paraId="0342E6D7">
      <w:pPr>
        <w:spacing w:line="460" w:lineRule="exact"/>
        <w:ind w:firstLine="539" w:firstLineChars="245"/>
        <w:rPr>
          <w:rFonts w:ascii="新宋体" w:hAnsi="新宋体" w:eastAsia="新宋体" w:cs="新宋体"/>
          <w:b/>
          <w:color w:val="auto"/>
          <w:sz w:val="22"/>
          <w:szCs w:val="22"/>
          <w:highlight w:val="none"/>
        </w:rPr>
      </w:pPr>
      <w:r>
        <w:rPr>
          <w:rFonts w:hint="eastAsia" w:ascii="新宋体" w:hAnsi="新宋体" w:eastAsia="新宋体"/>
          <w:color w:val="auto"/>
          <w:sz w:val="22"/>
          <w:szCs w:val="22"/>
          <w:highlight w:val="none"/>
        </w:rPr>
        <w:t>3、如果合同货物运输过程中因事故造成货物短缺、损坏，乙方应及时安排换货，以保证合同货物成功完整交付。换货的相关费用由乙方承担。</w:t>
      </w:r>
      <w:r>
        <w:rPr>
          <w:rFonts w:hint="eastAsia" w:ascii="新宋体" w:hAnsi="新宋体" w:eastAsia="新宋体" w:cs="新宋体"/>
          <w:b/>
          <w:color w:val="auto"/>
          <w:sz w:val="22"/>
          <w:szCs w:val="22"/>
          <w:highlight w:val="none"/>
        </w:rPr>
        <w:t> </w:t>
      </w:r>
    </w:p>
    <w:p w14:paraId="2A5F1D01">
      <w:pPr>
        <w:spacing w:line="460" w:lineRule="exact"/>
        <w:ind w:firstLine="541" w:firstLineChars="245"/>
        <w:outlineLvl w:val="1"/>
        <w:rPr>
          <w:rFonts w:ascii="新宋体" w:hAnsi="新宋体" w:eastAsia="新宋体" w:cs="新宋体"/>
          <w:b/>
          <w:color w:val="auto"/>
          <w:sz w:val="22"/>
          <w:szCs w:val="22"/>
          <w:highlight w:val="none"/>
        </w:rPr>
      </w:pPr>
      <w:bookmarkStart w:id="130" w:name="_Toc7753"/>
      <w:bookmarkStart w:id="131" w:name="_Toc20901"/>
      <w:bookmarkStart w:id="132" w:name="_Toc4962"/>
      <w:bookmarkStart w:id="133" w:name="_Toc11871"/>
      <w:bookmarkStart w:id="134" w:name="_Toc28283"/>
      <w:bookmarkStart w:id="135" w:name="_Toc27446"/>
      <w:r>
        <w:rPr>
          <w:rFonts w:hint="eastAsia" w:ascii="新宋体" w:hAnsi="新宋体" w:eastAsia="新宋体" w:cs="新宋体"/>
          <w:b/>
          <w:color w:val="auto"/>
          <w:sz w:val="22"/>
          <w:szCs w:val="22"/>
          <w:highlight w:val="none"/>
        </w:rPr>
        <w:t>八、双方责任</w:t>
      </w:r>
      <w:bookmarkEnd w:id="130"/>
      <w:bookmarkEnd w:id="131"/>
      <w:bookmarkEnd w:id="132"/>
      <w:bookmarkEnd w:id="133"/>
      <w:bookmarkEnd w:id="134"/>
      <w:bookmarkEnd w:id="135"/>
    </w:p>
    <w:p w14:paraId="1D8BCC63">
      <w:pPr>
        <w:spacing w:line="440" w:lineRule="exact"/>
        <w:ind w:firstLine="539" w:firstLineChars="245"/>
        <w:outlineLvl w:val="2"/>
        <w:rPr>
          <w:rFonts w:ascii="新宋体" w:hAnsi="新宋体" w:eastAsia="新宋体"/>
          <w:color w:val="auto"/>
          <w:sz w:val="22"/>
          <w:highlight w:val="none"/>
        </w:rPr>
      </w:pPr>
      <w:bookmarkStart w:id="136" w:name="_Toc20177"/>
      <w:bookmarkStart w:id="137" w:name="_Toc4677"/>
      <w:bookmarkStart w:id="138" w:name="_Toc16841"/>
      <w:r>
        <w:rPr>
          <w:rFonts w:hint="eastAsia" w:ascii="新宋体" w:hAnsi="新宋体" w:eastAsia="新宋体"/>
          <w:color w:val="auto"/>
          <w:sz w:val="22"/>
          <w:highlight w:val="none"/>
        </w:rPr>
        <w:t>1、甲方</w:t>
      </w:r>
      <w:bookmarkEnd w:id="136"/>
      <w:bookmarkEnd w:id="137"/>
      <w:bookmarkEnd w:id="138"/>
    </w:p>
    <w:p w14:paraId="253821A8">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（1）按合同规定向乙方支付货款。</w:t>
      </w:r>
    </w:p>
    <w:p w14:paraId="153DFABC">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（2）组织对货物的验收。</w:t>
      </w:r>
    </w:p>
    <w:p w14:paraId="7CFAE420">
      <w:pPr>
        <w:spacing w:line="440" w:lineRule="exact"/>
        <w:ind w:firstLine="539" w:firstLineChars="245"/>
        <w:outlineLvl w:val="2"/>
        <w:rPr>
          <w:rFonts w:ascii="新宋体" w:hAnsi="新宋体" w:eastAsia="新宋体"/>
          <w:color w:val="auto"/>
          <w:sz w:val="22"/>
          <w:highlight w:val="none"/>
        </w:rPr>
      </w:pPr>
      <w:bookmarkStart w:id="139" w:name="_Toc22798"/>
      <w:bookmarkStart w:id="140" w:name="_Toc26685"/>
      <w:bookmarkStart w:id="141" w:name="_Toc2542"/>
      <w:r>
        <w:rPr>
          <w:rFonts w:hint="eastAsia" w:ascii="新宋体" w:hAnsi="新宋体" w:eastAsia="新宋体"/>
          <w:color w:val="auto"/>
          <w:sz w:val="22"/>
          <w:highlight w:val="none"/>
        </w:rPr>
        <w:t>2、乙方</w:t>
      </w:r>
      <w:bookmarkEnd w:id="139"/>
      <w:bookmarkEnd w:id="140"/>
      <w:bookmarkEnd w:id="141"/>
    </w:p>
    <w:p w14:paraId="7472C930">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（1）按合同要求提供货物和服务。</w:t>
      </w:r>
    </w:p>
    <w:p w14:paraId="6F61008B">
      <w:pPr>
        <w:spacing w:line="440" w:lineRule="exact"/>
        <w:ind w:firstLine="539" w:firstLineChars="245"/>
        <w:rPr>
          <w:rFonts w:ascii="新宋体" w:hAnsi="新宋体" w:eastAsia="新宋体" w:cs="新宋体"/>
          <w:b/>
          <w:color w:val="auto"/>
          <w:sz w:val="22"/>
          <w:szCs w:val="22"/>
          <w:highlight w:val="none"/>
        </w:rPr>
      </w:pPr>
      <w:r>
        <w:rPr>
          <w:rFonts w:hint="eastAsia" w:ascii="新宋体" w:hAnsi="新宋体" w:eastAsia="新宋体"/>
          <w:color w:val="auto"/>
          <w:sz w:val="22"/>
          <w:highlight w:val="none"/>
        </w:rPr>
        <w:t>（2）对所提供的货物和服务质量问题无条件负责处理。</w:t>
      </w:r>
    </w:p>
    <w:p w14:paraId="0A258820">
      <w:pPr>
        <w:spacing w:line="460" w:lineRule="exact"/>
        <w:ind w:firstLine="541" w:firstLineChars="245"/>
        <w:outlineLvl w:val="1"/>
        <w:rPr>
          <w:rFonts w:ascii="新宋体" w:hAnsi="新宋体" w:eastAsia="新宋体" w:cs="新宋体"/>
          <w:b/>
          <w:color w:val="auto"/>
          <w:sz w:val="22"/>
          <w:szCs w:val="22"/>
          <w:highlight w:val="none"/>
        </w:rPr>
      </w:pPr>
      <w:bookmarkStart w:id="142" w:name="_Toc14845"/>
      <w:bookmarkStart w:id="143" w:name="_Toc2973"/>
      <w:bookmarkStart w:id="144" w:name="_Toc7537"/>
      <w:bookmarkStart w:id="145" w:name="_Toc13759"/>
      <w:bookmarkStart w:id="146" w:name="_Toc31526"/>
      <w:bookmarkStart w:id="147" w:name="_Toc7175"/>
      <w:r>
        <w:rPr>
          <w:rFonts w:hint="eastAsia" w:ascii="新宋体" w:hAnsi="新宋体" w:eastAsia="新宋体" w:cs="新宋体"/>
          <w:b/>
          <w:color w:val="auto"/>
          <w:sz w:val="22"/>
          <w:szCs w:val="22"/>
          <w:highlight w:val="none"/>
        </w:rPr>
        <w:t>九、乙方履约延误</w:t>
      </w:r>
      <w:bookmarkEnd w:id="142"/>
      <w:bookmarkEnd w:id="143"/>
      <w:bookmarkEnd w:id="144"/>
      <w:bookmarkEnd w:id="145"/>
      <w:bookmarkEnd w:id="146"/>
      <w:bookmarkEnd w:id="147"/>
    </w:p>
    <w:p w14:paraId="5BC078DE">
      <w:pPr>
        <w:spacing w:line="440" w:lineRule="exact"/>
        <w:ind w:firstLine="539" w:firstLineChars="245"/>
        <w:outlineLvl w:val="2"/>
        <w:rPr>
          <w:rFonts w:ascii="新宋体" w:hAnsi="新宋体" w:eastAsia="新宋体"/>
          <w:color w:val="auto"/>
          <w:sz w:val="22"/>
          <w:highlight w:val="none"/>
        </w:rPr>
      </w:pPr>
      <w:bookmarkStart w:id="148" w:name="_Toc1597"/>
      <w:bookmarkStart w:id="149" w:name="_Toc16435"/>
      <w:bookmarkStart w:id="150" w:name="_Toc20191"/>
      <w:r>
        <w:rPr>
          <w:rFonts w:hint="eastAsia" w:ascii="新宋体" w:hAnsi="新宋体" w:eastAsia="新宋体"/>
          <w:color w:val="auto"/>
          <w:sz w:val="22"/>
          <w:highlight w:val="none"/>
        </w:rPr>
        <w:t>1、乙方应按照合同规定的时间交货和提供服务。</w:t>
      </w:r>
      <w:bookmarkEnd w:id="148"/>
      <w:bookmarkEnd w:id="149"/>
      <w:bookmarkEnd w:id="150"/>
    </w:p>
    <w:p w14:paraId="3A742597">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2、在履行合同过程中，如果乙方遇到妨碍按时交货和提供服务的情况时，应及时以书面形式将延误的事实、可能拖延的时间和原因通知甲方。甲方在收到乙方通知后，应尽快对情况进行分析评价，并确定是否同意延长交货时间以及是否收取误期赔偿费。延期应通过 修改合同的方式由双方认可。</w:t>
      </w:r>
    </w:p>
    <w:p w14:paraId="3CD6C8F7">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3、除了合同条款中不可抗力的情况外，除非延误是取得同意而不收取赔偿费，乙方延误交货或提供服务将按合同条款1</w:t>
      </w:r>
      <w:r>
        <w:rPr>
          <w:rFonts w:ascii="新宋体" w:hAnsi="新宋体" w:eastAsia="新宋体"/>
          <w:color w:val="auto"/>
          <w:sz w:val="22"/>
          <w:highlight w:val="none"/>
        </w:rPr>
        <w:t>0</w:t>
      </w:r>
      <w:r>
        <w:rPr>
          <w:rFonts w:hint="eastAsia" w:ascii="新宋体" w:hAnsi="新宋体" w:eastAsia="新宋体"/>
          <w:color w:val="auto"/>
          <w:sz w:val="22"/>
          <w:highlight w:val="none"/>
        </w:rPr>
        <w:t>条规定被收取误期赔偿费。</w:t>
      </w:r>
    </w:p>
    <w:p w14:paraId="09D3334A">
      <w:pPr>
        <w:spacing w:line="440" w:lineRule="exact"/>
        <w:ind w:firstLine="539" w:firstLineChars="245"/>
        <w:outlineLvl w:val="2"/>
        <w:rPr>
          <w:rFonts w:ascii="新宋体" w:hAnsi="新宋体" w:eastAsia="新宋体"/>
          <w:color w:val="auto"/>
          <w:sz w:val="22"/>
          <w:highlight w:val="none"/>
        </w:rPr>
      </w:pPr>
      <w:bookmarkStart w:id="151" w:name="_Toc14055"/>
      <w:bookmarkStart w:id="152" w:name="_Toc769"/>
      <w:bookmarkStart w:id="153" w:name="_Toc1824"/>
      <w:r>
        <w:rPr>
          <w:rFonts w:hint="eastAsia" w:ascii="新宋体" w:hAnsi="新宋体" w:eastAsia="新宋体"/>
          <w:color w:val="auto"/>
          <w:sz w:val="22"/>
          <w:highlight w:val="none"/>
        </w:rPr>
        <w:t>4、所有提供的货物及验收都应服从甲方的统一安排。</w:t>
      </w:r>
      <w:bookmarkEnd w:id="151"/>
      <w:bookmarkEnd w:id="152"/>
      <w:bookmarkEnd w:id="153"/>
    </w:p>
    <w:p w14:paraId="64A62793">
      <w:pPr>
        <w:spacing w:line="460" w:lineRule="exact"/>
        <w:ind w:firstLine="541" w:firstLineChars="245"/>
        <w:outlineLvl w:val="1"/>
        <w:rPr>
          <w:rFonts w:ascii="新宋体" w:hAnsi="新宋体" w:eastAsia="新宋体" w:cs="新宋体"/>
          <w:b/>
          <w:color w:val="auto"/>
          <w:sz w:val="22"/>
          <w:szCs w:val="22"/>
          <w:highlight w:val="none"/>
        </w:rPr>
      </w:pPr>
      <w:bookmarkStart w:id="154" w:name="_Toc2285"/>
      <w:bookmarkStart w:id="155" w:name="_Toc2732"/>
      <w:bookmarkStart w:id="156" w:name="_Toc9388"/>
      <w:bookmarkStart w:id="157" w:name="_Toc16615"/>
      <w:bookmarkStart w:id="158" w:name="_Toc15459"/>
      <w:bookmarkStart w:id="159" w:name="_Toc31148"/>
      <w:r>
        <w:rPr>
          <w:rFonts w:hint="eastAsia" w:ascii="新宋体" w:hAnsi="新宋体" w:eastAsia="新宋体" w:cs="新宋体"/>
          <w:b/>
          <w:color w:val="auto"/>
          <w:sz w:val="22"/>
          <w:szCs w:val="22"/>
          <w:highlight w:val="none"/>
        </w:rPr>
        <w:t>十、误期赔偿费</w:t>
      </w:r>
      <w:bookmarkEnd w:id="154"/>
      <w:bookmarkEnd w:id="155"/>
      <w:bookmarkEnd w:id="156"/>
      <w:bookmarkEnd w:id="157"/>
      <w:bookmarkEnd w:id="158"/>
      <w:bookmarkEnd w:id="159"/>
    </w:p>
    <w:p w14:paraId="61A62E63">
      <w:pPr>
        <w:spacing w:line="440" w:lineRule="exact"/>
        <w:ind w:firstLine="539" w:firstLineChars="245"/>
        <w:rPr>
          <w:rFonts w:ascii="新宋体" w:hAnsi="新宋体" w:eastAsia="新宋体"/>
          <w:color w:val="auto"/>
          <w:sz w:val="22"/>
          <w:szCs w:val="22"/>
          <w:highlight w:val="none"/>
        </w:rPr>
      </w:pPr>
      <w:r>
        <w:rPr>
          <w:rFonts w:ascii="新宋体" w:hAnsi="新宋体" w:eastAsia="新宋体"/>
          <w:color w:val="auto"/>
          <w:sz w:val="22"/>
          <w:szCs w:val="22"/>
          <w:highlight w:val="none"/>
          <w:lang w:bidi="ar"/>
        </w:rPr>
        <w:t xml:space="preserve"> </w:t>
      </w:r>
      <w:r>
        <w:rPr>
          <w:rFonts w:ascii="新宋体" w:hAnsi="新宋体" w:eastAsia="新宋体" w:cs="新宋体"/>
          <w:color w:val="auto"/>
          <w:sz w:val="22"/>
          <w:szCs w:val="22"/>
          <w:highlight w:val="none"/>
          <w:lang w:bidi="ar"/>
        </w:rPr>
        <w:t>1、乙方逾期交付货物的，乙方应按逾期交货总额每日千分之一向甲方支付违约金，由甲方从待付货款中扣除。逾期超过约定日期50日不能交货的，甲方可解除本合同。乙方因逾期交货或因其他违约行为导致甲方解除合同的，乙方应向甲方支付合同总值5%的违约金，如造成甲方损失超过违约金的，超出部分由乙方继续承担赔偿责任。</w:t>
      </w:r>
    </w:p>
    <w:p w14:paraId="0CDA749D">
      <w:pPr>
        <w:spacing w:line="440" w:lineRule="exact"/>
        <w:ind w:firstLine="539" w:firstLineChars="245"/>
        <w:rPr>
          <w:rFonts w:ascii="新宋体" w:hAnsi="新宋体" w:eastAsia="新宋体"/>
          <w:color w:val="auto"/>
          <w:sz w:val="22"/>
          <w:szCs w:val="22"/>
          <w:highlight w:val="none"/>
        </w:rPr>
      </w:pPr>
      <w:r>
        <w:rPr>
          <w:rFonts w:ascii="新宋体" w:hAnsi="新宋体" w:eastAsia="新宋体"/>
          <w:color w:val="auto"/>
          <w:sz w:val="22"/>
          <w:szCs w:val="22"/>
          <w:highlight w:val="none"/>
          <w:lang w:bidi="ar"/>
        </w:rPr>
        <w:t xml:space="preserve"> </w:t>
      </w:r>
      <w:r>
        <w:rPr>
          <w:rFonts w:ascii="新宋体" w:hAnsi="新宋体" w:eastAsia="新宋体" w:cs="新宋体"/>
          <w:color w:val="auto"/>
          <w:sz w:val="22"/>
          <w:szCs w:val="22"/>
          <w:highlight w:val="none"/>
          <w:lang w:bidi="ar"/>
        </w:rPr>
        <w:t>2、乙方所交的货物品种、型号、规格、技术参数、质量不符合合同约定及采购文件规定标准的，甲方有权拒收该货物，乙方愿意更换货物但逾期交货的，按乙方逾期交货处理。乙方拒绝更换货物的，甲方可单方面解除合同，并追究违约责任。</w:t>
      </w:r>
    </w:p>
    <w:p w14:paraId="0A9BEABF">
      <w:pPr>
        <w:spacing w:line="460" w:lineRule="exact"/>
        <w:ind w:firstLine="541" w:firstLineChars="245"/>
        <w:outlineLvl w:val="1"/>
        <w:rPr>
          <w:rFonts w:ascii="新宋体" w:hAnsi="新宋体" w:eastAsia="新宋体" w:cs="新宋体"/>
          <w:b/>
          <w:color w:val="auto"/>
          <w:sz w:val="22"/>
          <w:szCs w:val="22"/>
          <w:highlight w:val="none"/>
        </w:rPr>
      </w:pPr>
      <w:bookmarkStart w:id="160" w:name="_Toc3407"/>
      <w:bookmarkStart w:id="161" w:name="_Toc27007"/>
      <w:bookmarkStart w:id="162" w:name="_Toc16278"/>
      <w:bookmarkStart w:id="163" w:name="_Toc10564"/>
      <w:bookmarkStart w:id="164" w:name="_Toc29988"/>
      <w:bookmarkStart w:id="165" w:name="_Toc24529"/>
      <w:r>
        <w:rPr>
          <w:rFonts w:hint="eastAsia" w:ascii="新宋体" w:hAnsi="新宋体" w:eastAsia="新宋体" w:cs="新宋体"/>
          <w:b/>
          <w:color w:val="auto"/>
          <w:sz w:val="22"/>
          <w:szCs w:val="22"/>
          <w:highlight w:val="none"/>
        </w:rPr>
        <w:t>十一、不可抗力</w:t>
      </w:r>
      <w:bookmarkEnd w:id="160"/>
      <w:bookmarkEnd w:id="161"/>
      <w:bookmarkEnd w:id="162"/>
      <w:bookmarkEnd w:id="163"/>
      <w:bookmarkEnd w:id="164"/>
      <w:bookmarkEnd w:id="165"/>
    </w:p>
    <w:p w14:paraId="197E06BF">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如果双方中任何一方由于战争、严重火灾、水灾、破坏性台风和地震以及其它经双方同意属不可抗力的事故，致使合同履行受阻时，履行合同期限应予延长，延长时限应相当于事故所影响的时间，或双方协商解决。</w:t>
      </w:r>
    </w:p>
    <w:p w14:paraId="5692ED0B">
      <w:pPr>
        <w:spacing w:line="460" w:lineRule="exact"/>
        <w:ind w:firstLine="541" w:firstLineChars="245"/>
        <w:outlineLvl w:val="1"/>
        <w:rPr>
          <w:rFonts w:ascii="新宋体" w:hAnsi="新宋体" w:eastAsia="新宋体" w:cs="新宋体"/>
          <w:b/>
          <w:color w:val="auto"/>
          <w:sz w:val="22"/>
          <w:szCs w:val="22"/>
          <w:highlight w:val="none"/>
        </w:rPr>
      </w:pPr>
      <w:bookmarkStart w:id="166" w:name="_Toc13077"/>
      <w:bookmarkStart w:id="167" w:name="_Toc26624"/>
      <w:bookmarkStart w:id="168" w:name="_Toc4591"/>
      <w:bookmarkStart w:id="169" w:name="_Toc2127"/>
      <w:bookmarkStart w:id="170" w:name="_Toc6898"/>
      <w:bookmarkStart w:id="171" w:name="_Toc6400"/>
      <w:r>
        <w:rPr>
          <w:rFonts w:hint="eastAsia" w:ascii="新宋体" w:hAnsi="新宋体" w:eastAsia="新宋体" w:cs="新宋体"/>
          <w:b/>
          <w:color w:val="auto"/>
          <w:sz w:val="22"/>
          <w:szCs w:val="22"/>
          <w:highlight w:val="none"/>
        </w:rPr>
        <w:t>十二、税费</w:t>
      </w:r>
      <w:bookmarkEnd w:id="166"/>
      <w:bookmarkEnd w:id="167"/>
      <w:bookmarkEnd w:id="168"/>
      <w:bookmarkEnd w:id="169"/>
      <w:bookmarkEnd w:id="170"/>
      <w:bookmarkEnd w:id="171"/>
    </w:p>
    <w:p w14:paraId="2C1E761A">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1、根据国家现行税法对甲方征收的与本合同有关的一切费用由甲方承担。</w:t>
      </w:r>
    </w:p>
    <w:p w14:paraId="7AB3D817">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2、根据现行税法对乙方征收的与本合同有关的一切税费均由乙方承担。</w:t>
      </w:r>
    </w:p>
    <w:p w14:paraId="3E0382FE">
      <w:pPr>
        <w:spacing w:line="440" w:lineRule="exact"/>
        <w:ind w:firstLine="539" w:firstLineChars="245"/>
        <w:outlineLvl w:val="2"/>
        <w:rPr>
          <w:rFonts w:ascii="新宋体" w:hAnsi="新宋体" w:eastAsia="新宋体"/>
          <w:color w:val="auto"/>
          <w:sz w:val="22"/>
          <w:highlight w:val="none"/>
        </w:rPr>
      </w:pPr>
      <w:bookmarkStart w:id="172" w:name="_Toc23797"/>
      <w:bookmarkStart w:id="173" w:name="_Toc18640"/>
      <w:bookmarkStart w:id="174" w:name="_Toc22653"/>
      <w:r>
        <w:rPr>
          <w:rFonts w:hint="eastAsia" w:ascii="新宋体" w:hAnsi="新宋体" w:eastAsia="新宋体"/>
          <w:color w:val="auto"/>
          <w:sz w:val="22"/>
          <w:highlight w:val="none"/>
        </w:rPr>
        <w:t>3、在中国境外发生的与本合同执行有关的一切税费由乙方承担。</w:t>
      </w:r>
      <w:bookmarkEnd w:id="172"/>
      <w:bookmarkEnd w:id="173"/>
      <w:bookmarkEnd w:id="174"/>
    </w:p>
    <w:p w14:paraId="7B712BE3">
      <w:pPr>
        <w:spacing w:line="460" w:lineRule="exact"/>
        <w:ind w:firstLine="541" w:firstLineChars="245"/>
        <w:outlineLvl w:val="1"/>
        <w:rPr>
          <w:rFonts w:ascii="新宋体" w:hAnsi="新宋体" w:eastAsia="新宋体" w:cs="新宋体"/>
          <w:b/>
          <w:color w:val="auto"/>
          <w:sz w:val="22"/>
          <w:szCs w:val="22"/>
          <w:highlight w:val="none"/>
        </w:rPr>
      </w:pPr>
      <w:bookmarkStart w:id="175" w:name="_Toc4540"/>
      <w:bookmarkStart w:id="176" w:name="_Toc8440"/>
      <w:bookmarkStart w:id="177" w:name="_Toc24419"/>
      <w:bookmarkStart w:id="178" w:name="_Toc15140"/>
      <w:bookmarkStart w:id="179" w:name="_Toc3239"/>
      <w:bookmarkStart w:id="180" w:name="_Toc7431"/>
      <w:r>
        <w:rPr>
          <w:rFonts w:hint="eastAsia" w:ascii="新宋体" w:hAnsi="新宋体" w:eastAsia="新宋体" w:cs="新宋体"/>
          <w:b/>
          <w:color w:val="auto"/>
          <w:sz w:val="22"/>
          <w:szCs w:val="22"/>
          <w:highlight w:val="none"/>
        </w:rPr>
        <w:t>十三、违约终止合同</w:t>
      </w:r>
      <w:bookmarkEnd w:id="175"/>
      <w:bookmarkEnd w:id="176"/>
      <w:bookmarkEnd w:id="177"/>
      <w:bookmarkEnd w:id="178"/>
      <w:bookmarkEnd w:id="179"/>
      <w:bookmarkEnd w:id="180"/>
    </w:p>
    <w:p w14:paraId="25E19035">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1、甲方在乙方违约的情况下，如果发生下列情况之一，可考虑终止部分或全部合同：</w:t>
      </w:r>
    </w:p>
    <w:p w14:paraId="26D46CF7">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（1）乙方未能在合同规定的期限内或甲方同意延长的期限内提供全部或部分货物；</w:t>
      </w:r>
    </w:p>
    <w:p w14:paraId="49D0345A">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2）乙方未能履行合同规定的其他任何义务。乙方在收到甲方发出的违约通知后30天内，或经甲方书面认可延长的时间内未能纠正其过失。甲方可向乙方发出书面通知，终止部分或全部合同，在这种情况下，并不影响甲方向乙方提出的索赔。</w:t>
      </w:r>
    </w:p>
    <w:p w14:paraId="5A3BADF9">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2、 如果甲方根据上述的规定，终止了全部或部分合同，甲方可以依其认为适当的条件和方法购买与未交货物类似的货物或服务，乙方应承担甲方因购买类似货物或服务而产生的额外支出。但是，乙方应继续执行合同中未终止的部分。</w:t>
      </w:r>
    </w:p>
    <w:p w14:paraId="0DCD2F06">
      <w:pPr>
        <w:spacing w:line="460" w:lineRule="exact"/>
        <w:ind w:firstLine="541" w:firstLineChars="245"/>
        <w:outlineLvl w:val="1"/>
        <w:rPr>
          <w:rFonts w:ascii="新宋体" w:hAnsi="新宋体" w:eastAsia="新宋体" w:cs="新宋体"/>
          <w:b/>
          <w:color w:val="auto"/>
          <w:sz w:val="22"/>
          <w:szCs w:val="22"/>
          <w:highlight w:val="none"/>
        </w:rPr>
      </w:pPr>
      <w:bookmarkStart w:id="181" w:name="_Toc9079"/>
      <w:bookmarkStart w:id="182" w:name="_Toc19865"/>
      <w:bookmarkStart w:id="183" w:name="_Toc24654"/>
      <w:bookmarkStart w:id="184" w:name="_Toc20349"/>
      <w:bookmarkStart w:id="185" w:name="_Toc18365"/>
      <w:bookmarkStart w:id="186" w:name="_Toc21469"/>
      <w:r>
        <w:rPr>
          <w:rFonts w:hint="eastAsia" w:ascii="新宋体" w:hAnsi="新宋体" w:eastAsia="新宋体" w:cs="新宋体"/>
          <w:b/>
          <w:color w:val="auto"/>
          <w:sz w:val="22"/>
          <w:szCs w:val="22"/>
          <w:highlight w:val="none"/>
        </w:rPr>
        <w:t>十四、履约保证金的罚没</w:t>
      </w:r>
      <w:bookmarkEnd w:id="181"/>
      <w:bookmarkEnd w:id="182"/>
      <w:bookmarkEnd w:id="183"/>
      <w:bookmarkEnd w:id="184"/>
      <w:bookmarkEnd w:id="185"/>
      <w:bookmarkEnd w:id="186"/>
    </w:p>
    <w:p w14:paraId="5E8F35B1">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1、如乙方未能履行合同规定的任何义务，甲方有权从履约保证金中得到补偿。</w:t>
      </w:r>
    </w:p>
    <w:p w14:paraId="66F1C3D0">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2、如果乙方毫无理由地拖延交货或拒绝履行合同规定的任何义务，履约保证金将被没收，并加收违约赔偿金。</w:t>
      </w:r>
    </w:p>
    <w:p w14:paraId="1E0D2140">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3、乙方提供的货物须和报价文件中所承诺的货物规格、数量、型号等相符（合同中另有规定除外）如不符，除追究乙方责任外，其履约保证金将被没收。</w:t>
      </w:r>
    </w:p>
    <w:p w14:paraId="1AF27D64">
      <w:pPr>
        <w:spacing w:line="460" w:lineRule="exact"/>
        <w:ind w:firstLine="541" w:firstLineChars="245"/>
        <w:outlineLvl w:val="1"/>
        <w:rPr>
          <w:rFonts w:ascii="新宋体" w:hAnsi="新宋体" w:eastAsia="新宋体" w:cs="新宋体"/>
          <w:b/>
          <w:color w:val="auto"/>
          <w:sz w:val="22"/>
          <w:szCs w:val="22"/>
          <w:highlight w:val="none"/>
        </w:rPr>
      </w:pPr>
      <w:bookmarkStart w:id="187" w:name="_Toc21231"/>
      <w:bookmarkStart w:id="188" w:name="_Toc14663"/>
      <w:bookmarkStart w:id="189" w:name="_Toc25468"/>
      <w:bookmarkStart w:id="190" w:name="_Toc28481"/>
      <w:bookmarkStart w:id="191" w:name="_Toc7599"/>
      <w:bookmarkStart w:id="192" w:name="_Toc3760"/>
      <w:r>
        <w:rPr>
          <w:rFonts w:hint="eastAsia" w:ascii="新宋体" w:hAnsi="新宋体" w:eastAsia="新宋体" w:cs="新宋体"/>
          <w:b/>
          <w:color w:val="auto"/>
          <w:sz w:val="22"/>
          <w:szCs w:val="22"/>
          <w:highlight w:val="none"/>
        </w:rPr>
        <w:t>十五、争端的解决</w:t>
      </w:r>
      <w:bookmarkEnd w:id="187"/>
      <w:bookmarkEnd w:id="188"/>
      <w:bookmarkEnd w:id="189"/>
      <w:bookmarkEnd w:id="190"/>
      <w:bookmarkEnd w:id="191"/>
      <w:bookmarkEnd w:id="192"/>
    </w:p>
    <w:p w14:paraId="5C6460ED">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1、甲乙双方如对合同条款规定的理解有歧义，或者对与合同有关的事项发生争议，双方应根据国家相关的法律、法规，本着友好合作、相互信赖的原则进行协商。协商不能解决时，依照《</w:t>
      </w:r>
      <w:r>
        <w:rPr>
          <w:rFonts w:hint="eastAsia" w:ascii="宋体" w:hAnsi="宋体" w:cs="宋体"/>
          <w:color w:val="auto"/>
          <w:sz w:val="22"/>
          <w:szCs w:val="22"/>
          <w:highlight w:val="none"/>
        </w:rPr>
        <w:t>中华人民共和国民法典</w:t>
      </w:r>
      <w:r>
        <w:rPr>
          <w:rFonts w:hint="eastAsia" w:ascii="新宋体" w:hAnsi="新宋体" w:eastAsia="新宋体"/>
          <w:color w:val="auto"/>
          <w:sz w:val="22"/>
          <w:highlight w:val="none"/>
        </w:rPr>
        <w:t>》，可向甲方法定地址所在人民法院起诉。</w:t>
      </w:r>
    </w:p>
    <w:p w14:paraId="26E14F0F">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2、双方未按照合同要求履行合同义务，违约方应该承担由此带来的违约责任。</w:t>
      </w:r>
    </w:p>
    <w:p w14:paraId="46718354">
      <w:pPr>
        <w:spacing w:line="460" w:lineRule="exact"/>
        <w:ind w:firstLine="541" w:firstLineChars="245"/>
        <w:outlineLvl w:val="1"/>
        <w:rPr>
          <w:rFonts w:ascii="新宋体" w:hAnsi="新宋体" w:eastAsia="新宋体" w:cs="新宋体"/>
          <w:b/>
          <w:color w:val="auto"/>
          <w:sz w:val="22"/>
          <w:szCs w:val="22"/>
          <w:highlight w:val="none"/>
        </w:rPr>
      </w:pPr>
      <w:bookmarkStart w:id="193" w:name="_Toc14884"/>
      <w:bookmarkStart w:id="194" w:name="_Toc25663"/>
      <w:bookmarkStart w:id="195" w:name="_Toc21440"/>
      <w:bookmarkStart w:id="196" w:name="_Toc22537"/>
      <w:bookmarkStart w:id="197" w:name="_Toc11110"/>
      <w:bookmarkStart w:id="198" w:name="_Toc24457"/>
      <w:r>
        <w:rPr>
          <w:rFonts w:hint="eastAsia" w:ascii="新宋体" w:hAnsi="新宋体" w:eastAsia="新宋体" w:cs="新宋体"/>
          <w:b/>
          <w:color w:val="auto"/>
          <w:sz w:val="22"/>
          <w:szCs w:val="22"/>
          <w:highlight w:val="none"/>
        </w:rPr>
        <w:t>十六、转让和分包及货物不可替代</w:t>
      </w:r>
      <w:bookmarkEnd w:id="193"/>
      <w:bookmarkEnd w:id="194"/>
      <w:bookmarkEnd w:id="195"/>
      <w:bookmarkEnd w:id="196"/>
      <w:bookmarkEnd w:id="197"/>
      <w:bookmarkEnd w:id="198"/>
    </w:p>
    <w:p w14:paraId="63FDEB02">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1、未经甲方事先书面同意，乙方不得部分转让或全部转让和分包其履行合同的义务。</w:t>
      </w:r>
    </w:p>
    <w:p w14:paraId="7E456C7E">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2、货物不可替代，乙方在没有取得甲方的书面授权的情况下，不得将合同货物的生产制造转交其他生产厂商或以其他厂商的货物替代。</w:t>
      </w:r>
    </w:p>
    <w:p w14:paraId="34C2FEE6">
      <w:pPr>
        <w:spacing w:line="460" w:lineRule="exact"/>
        <w:ind w:firstLine="541" w:firstLineChars="245"/>
        <w:outlineLvl w:val="1"/>
        <w:rPr>
          <w:rFonts w:ascii="新宋体" w:hAnsi="新宋体" w:eastAsia="新宋体" w:cs="新宋体"/>
          <w:b/>
          <w:color w:val="auto"/>
          <w:sz w:val="22"/>
          <w:szCs w:val="22"/>
          <w:highlight w:val="none"/>
        </w:rPr>
      </w:pPr>
      <w:bookmarkStart w:id="199" w:name="_Toc9856"/>
      <w:bookmarkStart w:id="200" w:name="_Toc26907"/>
      <w:bookmarkStart w:id="201" w:name="_Toc27131"/>
      <w:bookmarkStart w:id="202" w:name="_Toc30253"/>
      <w:bookmarkStart w:id="203" w:name="_Toc30950"/>
      <w:bookmarkStart w:id="204" w:name="_Toc11600"/>
      <w:r>
        <w:rPr>
          <w:rFonts w:hint="eastAsia" w:ascii="新宋体" w:hAnsi="新宋体" w:eastAsia="新宋体" w:cs="新宋体"/>
          <w:b/>
          <w:color w:val="auto"/>
          <w:sz w:val="22"/>
          <w:szCs w:val="22"/>
          <w:highlight w:val="none"/>
        </w:rPr>
        <w:t>十七、适用法律</w:t>
      </w:r>
      <w:bookmarkEnd w:id="199"/>
      <w:bookmarkEnd w:id="200"/>
      <w:bookmarkEnd w:id="201"/>
      <w:bookmarkEnd w:id="202"/>
      <w:bookmarkEnd w:id="203"/>
      <w:bookmarkEnd w:id="204"/>
    </w:p>
    <w:p w14:paraId="7C244EB0">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本合同按照中华人民共和国的法律进行解释。</w:t>
      </w:r>
    </w:p>
    <w:p w14:paraId="336466FD">
      <w:pPr>
        <w:spacing w:line="460" w:lineRule="exact"/>
        <w:ind w:firstLine="541" w:firstLineChars="245"/>
        <w:outlineLvl w:val="1"/>
        <w:rPr>
          <w:rFonts w:ascii="新宋体" w:hAnsi="新宋体" w:eastAsia="新宋体" w:cs="新宋体"/>
          <w:b/>
          <w:color w:val="auto"/>
          <w:sz w:val="22"/>
          <w:szCs w:val="22"/>
          <w:highlight w:val="none"/>
        </w:rPr>
      </w:pPr>
      <w:bookmarkStart w:id="205" w:name="_Toc26547"/>
      <w:bookmarkStart w:id="206" w:name="_Toc20568"/>
      <w:bookmarkStart w:id="207" w:name="_Toc11947"/>
      <w:bookmarkStart w:id="208" w:name="_Toc8624"/>
      <w:bookmarkStart w:id="209" w:name="_Toc21202"/>
      <w:bookmarkStart w:id="210" w:name="_Toc22865"/>
      <w:r>
        <w:rPr>
          <w:rFonts w:hint="eastAsia" w:ascii="新宋体" w:hAnsi="新宋体" w:eastAsia="新宋体" w:cs="新宋体"/>
          <w:b/>
          <w:color w:val="auto"/>
          <w:sz w:val="22"/>
          <w:szCs w:val="22"/>
          <w:highlight w:val="none"/>
        </w:rPr>
        <w:t>十八、合同生效及其他</w:t>
      </w:r>
      <w:bookmarkEnd w:id="205"/>
      <w:bookmarkEnd w:id="206"/>
      <w:bookmarkEnd w:id="207"/>
      <w:bookmarkEnd w:id="208"/>
      <w:bookmarkEnd w:id="209"/>
      <w:bookmarkEnd w:id="210"/>
    </w:p>
    <w:p w14:paraId="4A497424">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1、合同应在双方签字盖章并在甲方收到乙方提供的履约保证金后开始生效。</w:t>
      </w:r>
    </w:p>
    <w:p w14:paraId="6FE9574F">
      <w:pPr>
        <w:spacing w:line="440" w:lineRule="exact"/>
        <w:ind w:firstLine="539" w:firstLineChars="245"/>
        <w:rPr>
          <w:rFonts w:ascii="新宋体" w:hAnsi="新宋体" w:eastAsia="新宋体"/>
          <w:color w:val="auto"/>
          <w:sz w:val="22"/>
          <w:highlight w:val="none"/>
        </w:rPr>
      </w:pPr>
      <w:r>
        <w:rPr>
          <w:rFonts w:hint="eastAsia" w:ascii="新宋体" w:hAnsi="新宋体" w:eastAsia="新宋体"/>
          <w:color w:val="auto"/>
          <w:sz w:val="22"/>
          <w:highlight w:val="none"/>
        </w:rPr>
        <w:t>2、如需修改或补充合同内容，经协商，双方应签署书面修改或补充协议，该协议将作为本合同的一个组成部分。</w:t>
      </w:r>
    </w:p>
    <w:p w14:paraId="0A0739AF">
      <w:pPr>
        <w:spacing w:line="440" w:lineRule="exact"/>
        <w:ind w:firstLine="539" w:firstLineChars="245"/>
        <w:outlineLvl w:val="2"/>
        <w:rPr>
          <w:rFonts w:ascii="新宋体" w:hAnsi="新宋体" w:eastAsia="新宋体"/>
          <w:color w:val="auto"/>
          <w:sz w:val="22"/>
          <w:highlight w:val="none"/>
        </w:rPr>
      </w:pPr>
      <w:bookmarkStart w:id="211" w:name="_Toc31414"/>
      <w:bookmarkStart w:id="212" w:name="_Toc3524"/>
      <w:bookmarkStart w:id="213" w:name="_Toc10087"/>
      <w:r>
        <w:rPr>
          <w:rFonts w:hint="eastAsia" w:ascii="新宋体" w:hAnsi="新宋体" w:eastAsia="新宋体"/>
          <w:color w:val="auto"/>
          <w:sz w:val="22"/>
          <w:highlight w:val="none"/>
        </w:rPr>
        <w:t xml:space="preserve">3、 </w:t>
      </w:r>
      <w:r>
        <w:rPr>
          <w:rFonts w:hint="eastAsia" w:ascii="新宋体" w:hAnsi="新宋体" w:eastAsia="新宋体"/>
          <w:b/>
          <w:bCs/>
          <w:color w:val="auto"/>
          <w:sz w:val="22"/>
          <w:highlight w:val="none"/>
        </w:rPr>
        <w:t>合同壹式伍份，双方各贰份，壹份送采购代理公司备案</w:t>
      </w:r>
      <w:bookmarkEnd w:id="211"/>
      <w:bookmarkEnd w:id="212"/>
      <w:bookmarkEnd w:id="213"/>
    </w:p>
    <w:p w14:paraId="4F61F475">
      <w:pPr>
        <w:tabs>
          <w:tab w:val="left" w:pos="360"/>
        </w:tabs>
        <w:spacing w:line="460" w:lineRule="exact"/>
        <w:ind w:firstLine="550" w:firstLineChars="250"/>
        <w:rPr>
          <w:rFonts w:ascii="新宋体" w:hAnsi="新宋体" w:eastAsia="新宋体" w:cs="新宋体"/>
          <w:color w:val="auto"/>
          <w:sz w:val="22"/>
          <w:szCs w:val="22"/>
          <w:highlight w:val="none"/>
        </w:rPr>
      </w:pPr>
    </w:p>
    <w:p w14:paraId="3B0E9E60">
      <w:pPr>
        <w:tabs>
          <w:tab w:val="left" w:pos="360"/>
        </w:tabs>
        <w:spacing w:line="460" w:lineRule="exact"/>
        <w:ind w:firstLine="550" w:firstLineChars="25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甲方：（印章）                        乙方：（印章）</w:t>
      </w:r>
    </w:p>
    <w:p w14:paraId="36E7A32F">
      <w:pPr>
        <w:tabs>
          <w:tab w:val="left" w:pos="360"/>
        </w:tabs>
        <w:spacing w:line="460" w:lineRule="exact"/>
        <w:ind w:firstLine="550" w:firstLineChars="25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全权代表:（签字）                    全权代表:（签字）</w:t>
      </w:r>
    </w:p>
    <w:p w14:paraId="7FDD3338">
      <w:pPr>
        <w:tabs>
          <w:tab w:val="left" w:pos="360"/>
        </w:tabs>
        <w:spacing w:line="460" w:lineRule="exact"/>
        <w:ind w:firstLine="550" w:firstLineChars="25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地址：                               地址：</w:t>
      </w:r>
    </w:p>
    <w:p w14:paraId="46792F2C">
      <w:pPr>
        <w:tabs>
          <w:tab w:val="left" w:pos="360"/>
        </w:tabs>
        <w:spacing w:line="460" w:lineRule="exact"/>
        <w:ind w:firstLine="550" w:firstLineChars="25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邮政编码：                           邮政编码：</w:t>
      </w:r>
    </w:p>
    <w:p w14:paraId="68DAC1F0">
      <w:pPr>
        <w:tabs>
          <w:tab w:val="left" w:pos="360"/>
        </w:tabs>
        <w:spacing w:line="460" w:lineRule="exact"/>
        <w:ind w:firstLine="550" w:firstLineChars="25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电话：                               电话：</w:t>
      </w:r>
    </w:p>
    <w:p w14:paraId="0F0FF5A2">
      <w:pPr>
        <w:tabs>
          <w:tab w:val="left" w:pos="360"/>
        </w:tabs>
        <w:spacing w:line="460" w:lineRule="exact"/>
        <w:ind w:firstLine="550" w:firstLineChars="25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传真：                               传真：</w:t>
      </w:r>
    </w:p>
    <w:p w14:paraId="2F84A065">
      <w:pPr>
        <w:tabs>
          <w:tab w:val="left" w:pos="360"/>
        </w:tabs>
        <w:spacing w:line="460" w:lineRule="exact"/>
        <w:ind w:firstLine="550" w:firstLineChars="25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开户银行：                           开户银行：</w:t>
      </w:r>
    </w:p>
    <w:p w14:paraId="677912B5">
      <w:pPr>
        <w:tabs>
          <w:tab w:val="left" w:pos="360"/>
        </w:tabs>
        <w:spacing w:line="460" w:lineRule="exact"/>
        <w:ind w:firstLine="550" w:firstLineChars="25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帐号：                               帐号：</w:t>
      </w:r>
    </w:p>
    <w:p w14:paraId="4DCA27F6">
      <w:pPr>
        <w:spacing w:line="440" w:lineRule="exact"/>
        <w:ind w:firstLine="539" w:firstLineChars="245"/>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时间:                                时间：</w:t>
      </w:r>
    </w:p>
    <w:p w14:paraId="56686615">
      <w:pPr>
        <w:pStyle w:val="5"/>
        <w:rPr>
          <w:rFonts w:ascii="宋体" w:hAnsi="宋体" w:eastAsia="宋体" w:cs="宋体"/>
          <w:color w:val="auto"/>
          <w:highlight w:val="none"/>
        </w:rPr>
      </w:pPr>
      <w:bookmarkStart w:id="214" w:name="_Toc24930"/>
      <w:bookmarkStart w:id="215" w:name="_Toc26431"/>
      <w:bookmarkStart w:id="216" w:name="_Toc7430"/>
      <w:bookmarkStart w:id="217" w:name="_Toc5214"/>
      <w:r>
        <w:rPr>
          <w:rFonts w:hint="eastAsia" w:ascii="宋体" w:hAnsi="宋体" w:eastAsia="宋体" w:cs="宋体"/>
          <w:color w:val="auto"/>
          <w:highlight w:val="none"/>
        </w:rPr>
        <w:br w:type="page"/>
      </w:r>
      <w:bookmarkStart w:id="218" w:name="_Toc1867"/>
      <w:bookmarkStart w:id="219" w:name="_Toc1791"/>
      <w:r>
        <w:rPr>
          <w:rFonts w:hint="eastAsia" w:ascii="宋体" w:hAnsi="宋体" w:eastAsia="宋体" w:cs="宋体"/>
          <w:color w:val="auto"/>
          <w:highlight w:val="none"/>
        </w:rPr>
        <w:t>第三部分    附件</w:t>
      </w:r>
      <w:bookmarkEnd w:id="214"/>
      <w:bookmarkEnd w:id="215"/>
      <w:bookmarkEnd w:id="216"/>
      <w:bookmarkEnd w:id="217"/>
      <w:bookmarkEnd w:id="218"/>
      <w:bookmarkEnd w:id="219"/>
    </w:p>
    <w:p w14:paraId="38A60638">
      <w:pPr>
        <w:pStyle w:val="2"/>
        <w:spacing w:line="460" w:lineRule="exact"/>
        <w:ind w:left="433" w:hanging="433" w:hangingChars="196"/>
        <w:outlineLvl w:val="1"/>
        <w:rPr>
          <w:rFonts w:ascii="宋体" w:hAnsi="宋体" w:cs="宋体"/>
          <w:b/>
          <w:color w:val="auto"/>
          <w:sz w:val="22"/>
          <w:highlight w:val="none"/>
        </w:rPr>
      </w:pPr>
      <w:bookmarkStart w:id="220" w:name="_Toc16211"/>
      <w:bookmarkStart w:id="221" w:name="_Toc5867"/>
      <w:bookmarkStart w:id="222" w:name="_Toc29627"/>
      <w:bookmarkStart w:id="223" w:name="_Toc9753"/>
      <w:bookmarkStart w:id="224" w:name="_Toc4735"/>
      <w:bookmarkStart w:id="225" w:name="_Toc21013"/>
      <w:r>
        <w:rPr>
          <w:rFonts w:hint="eastAsia" w:ascii="宋体" w:hAnsi="宋体" w:cs="宋体"/>
          <w:b/>
          <w:color w:val="auto"/>
          <w:sz w:val="22"/>
          <w:highlight w:val="none"/>
        </w:rPr>
        <w:t>附件一</w:t>
      </w:r>
      <w:bookmarkEnd w:id="220"/>
      <w:bookmarkEnd w:id="221"/>
      <w:bookmarkEnd w:id="222"/>
      <w:bookmarkEnd w:id="223"/>
      <w:bookmarkEnd w:id="224"/>
      <w:bookmarkEnd w:id="225"/>
    </w:p>
    <w:p w14:paraId="5168D8DA">
      <w:pPr>
        <w:pStyle w:val="7"/>
        <w:keepNext w:val="0"/>
        <w:keepLines w:val="0"/>
        <w:tabs>
          <w:tab w:val="left" w:pos="774"/>
        </w:tabs>
        <w:autoSpaceDE w:val="0"/>
        <w:autoSpaceDN w:val="0"/>
        <w:spacing w:before="240" w:line="460" w:lineRule="exact"/>
        <w:ind w:left="777" w:hanging="578"/>
        <w:jc w:val="center"/>
        <w:rPr>
          <w:rFonts w:ascii="宋体" w:hAnsi="宋体" w:eastAsia="宋体" w:cs="宋体"/>
          <w:bCs/>
          <w:color w:val="auto"/>
          <w:szCs w:val="28"/>
          <w:highlight w:val="none"/>
        </w:rPr>
      </w:pPr>
      <w:bookmarkStart w:id="226" w:name="_Toc7899"/>
      <w:bookmarkStart w:id="227" w:name="_Toc13910"/>
      <w:bookmarkStart w:id="228" w:name="_Toc13409"/>
      <w:bookmarkStart w:id="229" w:name="_Toc16000"/>
      <w:bookmarkStart w:id="230" w:name="_Toc21449"/>
      <w:bookmarkStart w:id="231" w:name="_Toc5072"/>
      <w:r>
        <w:rPr>
          <w:rFonts w:hint="eastAsia" w:ascii="宋体" w:hAnsi="宋体" w:eastAsia="宋体" w:cs="宋体"/>
          <w:bCs/>
          <w:color w:val="auto"/>
          <w:szCs w:val="28"/>
          <w:highlight w:val="none"/>
        </w:rPr>
        <w:t>报价文件</w:t>
      </w:r>
      <w:bookmarkEnd w:id="226"/>
      <w:bookmarkEnd w:id="227"/>
      <w:bookmarkEnd w:id="228"/>
      <w:bookmarkEnd w:id="229"/>
      <w:bookmarkEnd w:id="230"/>
      <w:bookmarkEnd w:id="231"/>
    </w:p>
    <w:p w14:paraId="33240473">
      <w:pPr>
        <w:spacing w:line="460" w:lineRule="exact"/>
        <w:jc w:val="center"/>
        <w:outlineLvl w:val="3"/>
        <w:rPr>
          <w:rFonts w:ascii="宋体" w:hAnsi="宋体" w:cs="宋体"/>
          <w:bCs/>
          <w:color w:val="auto"/>
          <w:szCs w:val="28"/>
          <w:highlight w:val="none"/>
          <w:lang w:val="zh-CN"/>
        </w:rPr>
      </w:pPr>
      <w:r>
        <w:rPr>
          <w:rFonts w:hint="eastAsia" w:ascii="宋体" w:hAnsi="宋体" w:cs="宋体"/>
          <w:b/>
          <w:bCs/>
          <w:color w:val="auto"/>
          <w:sz w:val="28"/>
          <w:szCs w:val="28"/>
          <w:highlight w:val="none"/>
        </w:rPr>
        <w:t>1、</w:t>
      </w:r>
      <w:r>
        <w:rPr>
          <w:rFonts w:hint="eastAsia" w:ascii="宋体" w:hAnsi="宋体" w:cs="宋体"/>
          <w:b/>
          <w:bCs/>
          <w:color w:val="auto"/>
          <w:sz w:val="28"/>
          <w:szCs w:val="28"/>
          <w:highlight w:val="none"/>
          <w:lang w:val="zh-CN"/>
        </w:rPr>
        <w:t>磋商响应函</w:t>
      </w:r>
    </w:p>
    <w:p w14:paraId="79A2F157">
      <w:pPr>
        <w:spacing w:line="460" w:lineRule="exact"/>
        <w:rPr>
          <w:rFonts w:ascii="宋体" w:hAnsi="宋体" w:cs="宋体"/>
          <w:color w:val="auto"/>
          <w:sz w:val="22"/>
          <w:szCs w:val="22"/>
          <w:highlight w:val="none"/>
        </w:rPr>
      </w:pPr>
      <w:r>
        <w:rPr>
          <w:rFonts w:hint="eastAsia" w:ascii="宋体" w:hAnsi="宋体" w:cs="宋体"/>
          <w:color w:val="auto"/>
          <w:sz w:val="22"/>
          <w:szCs w:val="22"/>
          <w:highlight w:val="none"/>
        </w:rPr>
        <w:t xml:space="preserve">致：              </w:t>
      </w:r>
    </w:p>
    <w:p w14:paraId="13BF0E89">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根据贵方为</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项目（项目编号：</w:t>
      </w:r>
      <w:r>
        <w:rPr>
          <w:rFonts w:hint="eastAsia" w:ascii="宋体" w:hAnsi="宋体" w:cs="宋体"/>
          <w:b/>
          <w:color w:val="auto"/>
          <w:sz w:val="22"/>
          <w:szCs w:val="22"/>
          <w:highlight w:val="none"/>
          <w:u w:val="single"/>
        </w:rPr>
        <w:t xml:space="preserve">        </w:t>
      </w:r>
      <w:r>
        <w:rPr>
          <w:rFonts w:hint="eastAsia" w:ascii="宋体" w:hAnsi="宋体" w:cs="宋体"/>
          <w:color w:val="auto"/>
          <w:sz w:val="22"/>
          <w:szCs w:val="22"/>
          <w:highlight w:val="none"/>
        </w:rPr>
        <w:t>）的磋商邀请，我方</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（磋商供应商名称）作为磋商供应商正式授权</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（授权代表全名，职务）代表我方处理有关本磋商的一切事宜。为此：</w:t>
      </w:r>
    </w:p>
    <w:p w14:paraId="6C685EBF">
      <w:pPr>
        <w:shd w:val="clear" w:color="auto" w:fill="FFFFFF"/>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1、我方同意在磋商供应商</w:t>
      </w:r>
      <w:r>
        <w:rPr>
          <w:rFonts w:hint="eastAsia" w:ascii="宋体" w:hAnsi="宋体" w:cs="宋体"/>
          <w:color w:val="auto"/>
          <w:kern w:val="44"/>
          <w:sz w:val="22"/>
          <w:szCs w:val="22"/>
          <w:highlight w:val="none"/>
        </w:rPr>
        <w:t>编制和提交磋商响应文件须知</w:t>
      </w:r>
      <w:r>
        <w:rPr>
          <w:rFonts w:hint="eastAsia" w:ascii="宋体" w:hAnsi="宋体" w:cs="宋体"/>
          <w:color w:val="auto"/>
          <w:sz w:val="22"/>
          <w:szCs w:val="22"/>
          <w:highlight w:val="none"/>
        </w:rPr>
        <w:t>规定的开标日期起遵守本磋商响应文件中的承诺且在磋商有效期满之前均具有约束力。</w:t>
      </w:r>
    </w:p>
    <w:p w14:paraId="03E41406">
      <w:pPr>
        <w:shd w:val="clear" w:color="auto" w:fill="FFFFFF"/>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2、我方承诺已经具备《中华人民共和国政府采购法》中规定的参加采购活动的供应商应当具备的条件：</w:t>
      </w:r>
    </w:p>
    <w:p w14:paraId="5F51BD26">
      <w:pPr>
        <w:shd w:val="clear" w:color="auto" w:fill="FFFFFF"/>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(1)具有独立承担民事责任的能力；</w:t>
      </w:r>
    </w:p>
    <w:p w14:paraId="4FC6021E">
      <w:pPr>
        <w:shd w:val="clear" w:color="auto" w:fill="FFFFFF"/>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(2)遵守国家法律、行政法规，具有良好的信誉和商业道德；</w:t>
      </w:r>
    </w:p>
    <w:p w14:paraId="77586AE0">
      <w:pPr>
        <w:shd w:val="clear" w:color="auto" w:fill="FFFFFF"/>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(3)具有履行合同的能力和良好的履行合同记录；</w:t>
      </w:r>
    </w:p>
    <w:p w14:paraId="05FA6F8A">
      <w:pPr>
        <w:shd w:val="clear" w:color="auto" w:fill="FFFFFF"/>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(4)良好的资金、财务状况；</w:t>
      </w:r>
    </w:p>
    <w:p w14:paraId="1894F784">
      <w:pPr>
        <w:shd w:val="clear" w:color="auto" w:fill="FFFFFF"/>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(5)提供的产品和服务符合中国政府规定的相应标准和环保标准；</w:t>
      </w:r>
    </w:p>
    <w:p w14:paraId="08E27436">
      <w:pPr>
        <w:shd w:val="clear" w:color="auto" w:fill="FFFFFF"/>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(6)没有违反政府采购法规、政策的记录；</w:t>
      </w:r>
    </w:p>
    <w:p w14:paraId="3D3C0A30">
      <w:pPr>
        <w:shd w:val="clear" w:color="auto" w:fill="FFFFFF"/>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(7)没有发生重大经济纠纷和走私犯罪记录。</w:t>
      </w:r>
    </w:p>
    <w:p w14:paraId="22FBBCB1">
      <w:pPr>
        <w:shd w:val="clear" w:color="auto" w:fill="FFFFFF"/>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3、提供</w:t>
      </w:r>
      <w:r>
        <w:rPr>
          <w:rFonts w:hint="eastAsia" w:ascii="宋体" w:hAnsi="宋体" w:cs="宋体"/>
          <w:color w:val="auto"/>
          <w:kern w:val="44"/>
          <w:sz w:val="22"/>
          <w:szCs w:val="22"/>
          <w:highlight w:val="none"/>
        </w:rPr>
        <w:t>编制和提交磋商响应文件须知</w:t>
      </w:r>
      <w:r>
        <w:rPr>
          <w:rFonts w:hint="eastAsia" w:ascii="宋体" w:hAnsi="宋体" w:cs="宋体"/>
          <w:color w:val="auto"/>
          <w:sz w:val="22"/>
          <w:szCs w:val="22"/>
          <w:highlight w:val="none"/>
        </w:rPr>
        <w:t>规定的全部磋商响应文件，包括资格文件、报价文件、商务技术文件。具体内容为：</w:t>
      </w:r>
    </w:p>
    <w:p w14:paraId="17E40092">
      <w:pPr>
        <w:shd w:val="clear" w:color="auto" w:fill="FFFFFF"/>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(1)资格文件</w:t>
      </w:r>
    </w:p>
    <w:p w14:paraId="59651FC3">
      <w:pPr>
        <w:shd w:val="clear" w:color="auto" w:fill="FFFFFF"/>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(2)报价文件；</w:t>
      </w:r>
    </w:p>
    <w:p w14:paraId="1D48304A">
      <w:pPr>
        <w:shd w:val="clear" w:color="auto" w:fill="FFFFFF"/>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(3)</w:t>
      </w:r>
      <w:r>
        <w:rPr>
          <w:rFonts w:hint="eastAsia" w:ascii="宋体" w:hAnsi="宋体" w:cs="宋体"/>
          <w:color w:val="auto"/>
          <w:sz w:val="22"/>
          <w:szCs w:val="22"/>
          <w:highlight w:val="none"/>
          <w:lang w:val="zh-CN"/>
        </w:rPr>
        <w:t>商务</w:t>
      </w:r>
      <w:r>
        <w:rPr>
          <w:rFonts w:hint="eastAsia" w:ascii="宋体" w:hAnsi="宋体" w:cs="宋体"/>
          <w:color w:val="auto"/>
          <w:kern w:val="0"/>
          <w:sz w:val="22"/>
          <w:szCs w:val="22"/>
          <w:highlight w:val="none"/>
          <w:lang w:val="zh-CN"/>
        </w:rPr>
        <w:t>技术文件</w:t>
      </w:r>
      <w:r>
        <w:rPr>
          <w:rFonts w:hint="eastAsia" w:ascii="宋体" w:hAnsi="宋体" w:cs="宋体"/>
          <w:color w:val="auto"/>
          <w:sz w:val="22"/>
          <w:szCs w:val="22"/>
          <w:highlight w:val="none"/>
        </w:rPr>
        <w:t>；</w:t>
      </w:r>
    </w:p>
    <w:p w14:paraId="5EA9D353">
      <w:pPr>
        <w:shd w:val="clear" w:color="auto" w:fill="FFFFFF"/>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(4)</w:t>
      </w:r>
      <w:r>
        <w:rPr>
          <w:rFonts w:hint="eastAsia" w:ascii="宋体" w:hAnsi="宋体" w:cs="宋体"/>
          <w:color w:val="auto"/>
          <w:kern w:val="44"/>
          <w:sz w:val="22"/>
          <w:szCs w:val="22"/>
          <w:highlight w:val="none"/>
        </w:rPr>
        <w:t>编制和提交磋商响应文件须知</w:t>
      </w:r>
      <w:r>
        <w:rPr>
          <w:rFonts w:hint="eastAsia" w:ascii="宋体" w:hAnsi="宋体" w:cs="宋体"/>
          <w:color w:val="auto"/>
          <w:sz w:val="22"/>
          <w:szCs w:val="22"/>
          <w:highlight w:val="none"/>
        </w:rPr>
        <w:t>要求磋商供应商提交的全部文件；</w:t>
      </w:r>
    </w:p>
    <w:p w14:paraId="235F7F71">
      <w:pPr>
        <w:shd w:val="clear" w:color="auto" w:fill="FFFFFF"/>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(5)按磋商文件要求提供和交付的货物和服务的报价详见开标一览表；</w:t>
      </w:r>
    </w:p>
    <w:p w14:paraId="12660F39">
      <w:pPr>
        <w:shd w:val="clear" w:color="auto" w:fill="FFFFFF"/>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(6)保证忠实地执行双方所签订的合同，并承担合同规定的责任和义务；</w:t>
      </w:r>
    </w:p>
    <w:p w14:paraId="602E029F">
      <w:pPr>
        <w:shd w:val="clear" w:color="auto" w:fill="FFFFFF"/>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(7)保证遵守磋商文件中的其他有关规定。</w:t>
      </w:r>
    </w:p>
    <w:p w14:paraId="6630242C">
      <w:pPr>
        <w:shd w:val="clear" w:color="auto" w:fill="FFFFFF"/>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4、磋商有效期内不撤销磋商响应文件，如成交，有效期将延至合同终止日为止。</w:t>
      </w:r>
    </w:p>
    <w:p w14:paraId="7EC993A2">
      <w:pPr>
        <w:shd w:val="clear" w:color="auto" w:fill="FFFFFF"/>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5、我方完全理解贵方不一定要接受最低价。</w:t>
      </w:r>
    </w:p>
    <w:p w14:paraId="3BB34F62">
      <w:pPr>
        <w:shd w:val="clear" w:color="auto" w:fill="FFFFFF"/>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6、如成交，按磋商文件规定与采购人签订合同。如拒绝签订合同，承诺按本项目预算金额的2%对采购人进行赔偿；赔偿金额不足以弥补采购人损失的，承诺继续承担超过部分的损失。</w:t>
      </w:r>
    </w:p>
    <w:p w14:paraId="760638E5">
      <w:pPr>
        <w:shd w:val="clear" w:color="auto" w:fill="FFFFFF"/>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7、如成交，按磋商文件规定的采购代理服务费标准，在领取成交通知书时向采购代理机构支付采购代理服务费。</w:t>
      </w:r>
    </w:p>
    <w:p w14:paraId="1246FCDF">
      <w:pPr>
        <w:shd w:val="clear" w:color="auto" w:fill="FFFFFF"/>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8、我方愿意向贵方提供任何与该项磋商有关的数据、情况和服务资料。若贵方需要，我方愿意提供我方作出的一切承诺的证明材料。</w:t>
      </w:r>
    </w:p>
    <w:p w14:paraId="0AF44048">
      <w:pPr>
        <w:shd w:val="clear" w:color="auto" w:fill="FFFFFF"/>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9、我方已详细审核全部磋商文件，包括磋商文件修改书（如有的话）、参考资料及有关附件，确认无误。我方完全理解并接受磋商文件的各项规定和要求，对磋商文件的合理性、合法性不再有异议。</w:t>
      </w:r>
    </w:p>
    <w:p w14:paraId="6BDF781A">
      <w:pPr>
        <w:shd w:val="clear" w:color="auto" w:fill="FFFFFF"/>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10、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4CDF59A">
      <w:pPr>
        <w:shd w:val="clear" w:color="auto" w:fill="FFFFFF"/>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(1)提供虚假材料谋取成交、成交的；</w:t>
      </w:r>
    </w:p>
    <w:p w14:paraId="5B2C9CEE">
      <w:pPr>
        <w:shd w:val="clear" w:color="auto" w:fill="FFFFFF"/>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(2)采取不正当手段诋毁、排挤其他供应商的；</w:t>
      </w:r>
    </w:p>
    <w:p w14:paraId="34927BB6">
      <w:pPr>
        <w:shd w:val="clear" w:color="auto" w:fill="FFFFFF"/>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(3)与采购人、其它供应商或者采购代理机构恶意串通的；</w:t>
      </w:r>
    </w:p>
    <w:p w14:paraId="346FFD88">
      <w:pPr>
        <w:shd w:val="clear" w:color="auto" w:fill="FFFFFF"/>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(4)向采购人、采购代理机构行贿或者提供其他不正当利益的；</w:t>
      </w:r>
    </w:p>
    <w:p w14:paraId="348D480E">
      <w:pPr>
        <w:shd w:val="clear" w:color="auto" w:fill="FFFFFF"/>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(5)拒绝有关部门监督检查或提供虚假情况的。</w:t>
      </w:r>
    </w:p>
    <w:p w14:paraId="087D5B17">
      <w:pPr>
        <w:shd w:val="clear" w:color="auto" w:fill="FFFFFF"/>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供应商有前款第(1)至(4)项情形之一的，成交、成交无效。</w:t>
      </w:r>
    </w:p>
    <w:p w14:paraId="205307BD">
      <w:pPr>
        <w:shd w:val="clear" w:color="auto" w:fill="FFFFFF"/>
        <w:snapToGrid w:val="0"/>
        <w:spacing w:line="460" w:lineRule="exact"/>
        <w:rPr>
          <w:rFonts w:ascii="宋体" w:hAnsi="宋体" w:cs="宋体"/>
          <w:color w:val="auto"/>
          <w:kern w:val="0"/>
          <w:sz w:val="22"/>
          <w:szCs w:val="22"/>
          <w:highlight w:val="none"/>
          <w:lang w:val="zh-CN"/>
        </w:rPr>
      </w:pPr>
    </w:p>
    <w:p w14:paraId="6E4C3592">
      <w:pPr>
        <w:shd w:val="clear" w:color="auto" w:fill="FFFFFF"/>
        <w:snapToGrid w:val="0"/>
        <w:spacing w:line="460" w:lineRule="exact"/>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lang w:val="zh-CN"/>
        </w:rPr>
        <w:t>法定（授权）代表人（签字）：</w:t>
      </w:r>
      <w:r>
        <w:rPr>
          <w:rFonts w:hint="eastAsia" w:ascii="宋体" w:hAnsi="宋体" w:cs="宋体"/>
          <w:color w:val="auto"/>
          <w:kern w:val="0"/>
          <w:sz w:val="22"/>
          <w:szCs w:val="22"/>
          <w:highlight w:val="none"/>
          <w:u w:val="single"/>
          <w:lang w:val="zh-CN"/>
        </w:rPr>
        <w:t xml:space="preserve">                    </w:t>
      </w:r>
      <w:r>
        <w:rPr>
          <w:rFonts w:hint="eastAsia" w:ascii="宋体" w:hAnsi="宋体" w:cs="宋体"/>
          <w:color w:val="auto"/>
          <w:kern w:val="0"/>
          <w:sz w:val="22"/>
          <w:szCs w:val="22"/>
          <w:highlight w:val="none"/>
        </w:rPr>
        <w:tab/>
      </w:r>
    </w:p>
    <w:p w14:paraId="4F96C71C">
      <w:pPr>
        <w:shd w:val="clear" w:color="auto" w:fill="FFFFFF"/>
        <w:snapToGrid w:val="0"/>
        <w:spacing w:line="460" w:lineRule="exact"/>
        <w:ind w:firstLine="440" w:firstLineChars="200"/>
        <w:rPr>
          <w:rFonts w:ascii="宋体" w:hAnsi="宋体" w:cs="宋体"/>
          <w:color w:val="auto"/>
          <w:kern w:val="0"/>
          <w:sz w:val="22"/>
          <w:szCs w:val="22"/>
          <w:highlight w:val="none"/>
          <w:u w:val="single"/>
          <w:lang w:val="zh-CN"/>
        </w:rPr>
      </w:pPr>
      <w:r>
        <w:rPr>
          <w:rFonts w:hint="eastAsia" w:ascii="宋体" w:hAnsi="宋体" w:cs="宋体"/>
          <w:color w:val="auto"/>
          <w:kern w:val="0"/>
          <w:sz w:val="22"/>
          <w:szCs w:val="22"/>
          <w:highlight w:val="none"/>
          <w:lang w:val="zh-CN"/>
        </w:rPr>
        <w:t>磋商供应商盖 章：</w:t>
      </w:r>
      <w:r>
        <w:rPr>
          <w:rFonts w:hint="eastAsia" w:ascii="宋体" w:hAnsi="宋体" w:cs="宋体"/>
          <w:color w:val="auto"/>
          <w:kern w:val="0"/>
          <w:sz w:val="22"/>
          <w:szCs w:val="22"/>
          <w:highlight w:val="none"/>
          <w:u w:val="single"/>
          <w:lang w:val="zh-CN"/>
        </w:rPr>
        <w:t xml:space="preserve">                     </w:t>
      </w:r>
      <w:r>
        <w:rPr>
          <w:rFonts w:hint="eastAsia" w:ascii="宋体" w:hAnsi="宋体" w:cs="宋体"/>
          <w:color w:val="auto"/>
          <w:kern w:val="0"/>
          <w:sz w:val="22"/>
          <w:szCs w:val="22"/>
          <w:highlight w:val="none"/>
        </w:rPr>
        <w:tab/>
      </w:r>
      <w:r>
        <w:rPr>
          <w:rFonts w:hint="eastAsia" w:ascii="宋体" w:hAnsi="宋体" w:cs="宋体"/>
          <w:color w:val="auto"/>
          <w:kern w:val="0"/>
          <w:sz w:val="22"/>
          <w:szCs w:val="22"/>
          <w:highlight w:val="none"/>
          <w:u w:val="single"/>
          <w:lang w:val="zh-CN"/>
        </w:rPr>
        <w:t xml:space="preserve">                      </w:t>
      </w:r>
    </w:p>
    <w:p w14:paraId="5EE554C9">
      <w:pPr>
        <w:shd w:val="clear" w:color="auto" w:fill="FFFFFF"/>
        <w:snapToGrid w:val="0"/>
        <w:spacing w:line="460" w:lineRule="exact"/>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lang w:val="zh-CN"/>
        </w:rPr>
        <w:t xml:space="preserve">联系电话： </w:t>
      </w:r>
      <w:r>
        <w:rPr>
          <w:rFonts w:hint="eastAsia" w:ascii="宋体" w:hAnsi="宋体" w:cs="宋体"/>
          <w:color w:val="auto"/>
          <w:kern w:val="0"/>
          <w:sz w:val="22"/>
          <w:szCs w:val="22"/>
          <w:highlight w:val="none"/>
          <w:u w:val="single"/>
          <w:lang w:val="zh-CN"/>
        </w:rPr>
        <w:t xml:space="preserve">          </w:t>
      </w:r>
      <w:r>
        <w:rPr>
          <w:rFonts w:hint="eastAsia" w:ascii="宋体" w:hAnsi="宋体" w:cs="宋体"/>
          <w:color w:val="auto"/>
          <w:kern w:val="0"/>
          <w:sz w:val="22"/>
          <w:szCs w:val="22"/>
          <w:highlight w:val="none"/>
          <w:lang w:val="zh-CN"/>
        </w:rPr>
        <w:t xml:space="preserve">传真：  </w:t>
      </w:r>
      <w:r>
        <w:rPr>
          <w:rFonts w:hint="eastAsia" w:ascii="宋体" w:hAnsi="宋体" w:cs="宋体"/>
          <w:color w:val="auto"/>
          <w:kern w:val="0"/>
          <w:sz w:val="22"/>
          <w:szCs w:val="22"/>
          <w:highlight w:val="none"/>
          <w:u w:val="single"/>
          <w:lang w:val="zh-CN"/>
        </w:rPr>
        <w:t xml:space="preserve">           </w:t>
      </w:r>
      <w:r>
        <w:rPr>
          <w:rFonts w:hint="eastAsia" w:ascii="宋体" w:hAnsi="宋体" w:cs="宋体"/>
          <w:color w:val="auto"/>
          <w:kern w:val="0"/>
          <w:sz w:val="22"/>
          <w:szCs w:val="22"/>
          <w:highlight w:val="none"/>
          <w:lang w:val="zh-CN"/>
        </w:rPr>
        <w:t xml:space="preserve">电子邮件：  </w:t>
      </w:r>
      <w:r>
        <w:rPr>
          <w:rFonts w:hint="eastAsia" w:ascii="宋体" w:hAnsi="宋体" w:cs="宋体"/>
          <w:color w:val="auto"/>
          <w:kern w:val="0"/>
          <w:sz w:val="22"/>
          <w:szCs w:val="22"/>
          <w:highlight w:val="none"/>
          <w:u w:val="single"/>
          <w:lang w:val="zh-CN"/>
        </w:rPr>
        <w:t xml:space="preserve">              </w:t>
      </w:r>
    </w:p>
    <w:p w14:paraId="3529E14B">
      <w:pPr>
        <w:shd w:val="clear" w:color="auto" w:fill="FFFFFF"/>
        <w:snapToGrid w:val="0"/>
        <w:spacing w:line="460" w:lineRule="exact"/>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lang w:val="zh-CN"/>
        </w:rPr>
        <w:t>联系地址：</w:t>
      </w:r>
      <w:r>
        <w:rPr>
          <w:rFonts w:hint="eastAsia" w:ascii="宋体" w:hAnsi="宋体" w:cs="宋体"/>
          <w:color w:val="auto"/>
          <w:kern w:val="0"/>
          <w:sz w:val="22"/>
          <w:szCs w:val="22"/>
          <w:highlight w:val="none"/>
          <w:u w:val="single"/>
          <w:lang w:val="zh-CN"/>
        </w:rPr>
        <w:t xml:space="preserve">                    </w:t>
      </w:r>
      <w:r>
        <w:rPr>
          <w:rFonts w:hint="eastAsia" w:ascii="宋体" w:hAnsi="宋体" w:cs="宋体"/>
          <w:color w:val="auto"/>
          <w:kern w:val="0"/>
          <w:sz w:val="22"/>
          <w:szCs w:val="22"/>
          <w:highlight w:val="none"/>
        </w:rPr>
        <w:tab/>
      </w:r>
      <w:r>
        <w:rPr>
          <w:rFonts w:hint="eastAsia" w:ascii="宋体" w:hAnsi="宋体" w:cs="宋体"/>
          <w:color w:val="auto"/>
          <w:kern w:val="0"/>
          <w:sz w:val="22"/>
          <w:szCs w:val="22"/>
          <w:highlight w:val="none"/>
          <w:u w:val="single"/>
          <w:lang w:val="zh-CN"/>
        </w:rPr>
        <w:t xml:space="preserve">                                                    </w:t>
      </w:r>
    </w:p>
    <w:p w14:paraId="6C048539">
      <w:pPr>
        <w:shd w:val="clear" w:color="auto" w:fill="FFFFFF"/>
        <w:snapToGrid w:val="0"/>
        <w:spacing w:line="460" w:lineRule="exact"/>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lang w:val="zh-CN"/>
        </w:rPr>
        <w:t>邮政编码：</w:t>
      </w:r>
      <w:r>
        <w:rPr>
          <w:rFonts w:hint="eastAsia" w:ascii="宋体" w:hAnsi="宋体" w:cs="宋体"/>
          <w:color w:val="auto"/>
          <w:kern w:val="0"/>
          <w:sz w:val="22"/>
          <w:szCs w:val="22"/>
          <w:highlight w:val="none"/>
          <w:u w:val="single"/>
          <w:lang w:val="zh-CN"/>
        </w:rPr>
        <w:t xml:space="preserve">                     </w:t>
      </w:r>
      <w:r>
        <w:rPr>
          <w:rFonts w:hint="eastAsia" w:ascii="宋体" w:hAnsi="宋体" w:cs="宋体"/>
          <w:color w:val="auto"/>
          <w:kern w:val="0"/>
          <w:sz w:val="22"/>
          <w:szCs w:val="22"/>
          <w:highlight w:val="none"/>
          <w:lang w:val="zh-CN"/>
        </w:rPr>
        <w:t>传真号码：</w:t>
      </w:r>
      <w:r>
        <w:rPr>
          <w:rFonts w:hint="eastAsia" w:ascii="宋体" w:hAnsi="宋体" w:cs="宋体"/>
          <w:color w:val="auto"/>
          <w:kern w:val="0"/>
          <w:sz w:val="22"/>
          <w:szCs w:val="22"/>
          <w:highlight w:val="none"/>
          <w:u w:val="single"/>
          <w:lang w:val="zh-CN"/>
        </w:rPr>
        <w:t xml:space="preserve">                     </w:t>
      </w:r>
    </w:p>
    <w:p w14:paraId="67EEF48F">
      <w:pPr>
        <w:shd w:val="clear" w:color="auto" w:fill="FFFFFF"/>
        <w:snapToGrid w:val="0"/>
        <w:spacing w:line="460" w:lineRule="exact"/>
        <w:ind w:firstLine="440" w:firstLineChars="200"/>
        <w:rPr>
          <w:rFonts w:ascii="宋体" w:hAnsi="宋体" w:cs="宋体"/>
          <w:color w:val="auto"/>
          <w:kern w:val="0"/>
          <w:sz w:val="22"/>
          <w:szCs w:val="22"/>
          <w:highlight w:val="none"/>
          <w:u w:val="single"/>
        </w:rPr>
      </w:pPr>
      <w:r>
        <w:rPr>
          <w:rFonts w:hint="eastAsia" w:ascii="宋体" w:hAnsi="宋体" w:cs="宋体"/>
          <w:color w:val="auto"/>
          <w:kern w:val="0"/>
          <w:sz w:val="22"/>
          <w:szCs w:val="22"/>
          <w:highlight w:val="none"/>
          <w:lang w:val="zh-CN"/>
        </w:rPr>
        <w:t>日</w:t>
      </w:r>
      <w:r>
        <w:rPr>
          <w:rFonts w:hint="eastAsia" w:ascii="宋体" w:hAnsi="宋体" w:cs="宋体"/>
          <w:color w:val="auto"/>
          <w:kern w:val="0"/>
          <w:sz w:val="22"/>
          <w:szCs w:val="22"/>
          <w:highlight w:val="none"/>
        </w:rPr>
        <w:t xml:space="preserve">    </w:t>
      </w:r>
      <w:r>
        <w:rPr>
          <w:rFonts w:hint="eastAsia" w:ascii="宋体" w:hAnsi="宋体" w:cs="宋体"/>
          <w:color w:val="auto"/>
          <w:kern w:val="0"/>
          <w:sz w:val="22"/>
          <w:szCs w:val="22"/>
          <w:highlight w:val="none"/>
          <w:lang w:val="zh-CN"/>
        </w:rPr>
        <w:t>期</w:t>
      </w:r>
      <w:r>
        <w:rPr>
          <w:rFonts w:hint="eastAsia" w:ascii="宋体" w:hAnsi="宋体" w:cs="宋体"/>
          <w:color w:val="auto"/>
          <w:kern w:val="0"/>
          <w:sz w:val="22"/>
          <w:szCs w:val="22"/>
          <w:highlight w:val="none"/>
        </w:rPr>
        <w:t xml:space="preserve">： </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lang w:val="zh-CN"/>
        </w:rPr>
        <w:t>年</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u w:val="single"/>
        </w:rPr>
        <w:tab/>
      </w:r>
      <w:r>
        <w:rPr>
          <w:rFonts w:hint="eastAsia" w:ascii="宋体" w:hAnsi="宋体" w:cs="宋体"/>
          <w:color w:val="auto"/>
          <w:kern w:val="0"/>
          <w:sz w:val="22"/>
          <w:szCs w:val="22"/>
          <w:highlight w:val="none"/>
          <w:lang w:val="zh-CN"/>
        </w:rPr>
        <w:t>月</w:t>
      </w:r>
      <w:r>
        <w:rPr>
          <w:rFonts w:hint="eastAsia" w:ascii="宋体" w:hAnsi="宋体" w:cs="宋体"/>
          <w:color w:val="auto"/>
          <w:kern w:val="0"/>
          <w:sz w:val="22"/>
          <w:szCs w:val="22"/>
          <w:highlight w:val="none"/>
          <w:u w:val="single"/>
          <w:lang w:val="zh-CN"/>
        </w:rPr>
        <w:t xml:space="preserve">    </w:t>
      </w:r>
      <w:r>
        <w:rPr>
          <w:rFonts w:hint="eastAsia" w:ascii="宋体" w:hAnsi="宋体" w:cs="宋体"/>
          <w:color w:val="auto"/>
          <w:kern w:val="0"/>
          <w:sz w:val="22"/>
          <w:szCs w:val="22"/>
          <w:highlight w:val="none"/>
          <w:lang w:val="zh-CN"/>
        </w:rPr>
        <w:t>日</w:t>
      </w:r>
    </w:p>
    <w:p w14:paraId="06DF8E7E">
      <w:pPr>
        <w:spacing w:line="460" w:lineRule="exact"/>
        <w:ind w:firstLine="435"/>
        <w:rPr>
          <w:rFonts w:ascii="宋体" w:hAnsi="宋体" w:cs="宋体"/>
          <w:b/>
          <w:bCs/>
          <w:color w:val="auto"/>
          <w:kern w:val="0"/>
          <w:sz w:val="22"/>
          <w:szCs w:val="22"/>
          <w:highlight w:val="none"/>
          <w:lang w:val="zh-CN"/>
        </w:rPr>
      </w:pPr>
      <w:r>
        <w:rPr>
          <w:rFonts w:hint="eastAsia" w:ascii="宋体" w:hAnsi="宋体" w:cs="宋体"/>
          <w:b/>
          <w:bCs/>
          <w:color w:val="auto"/>
          <w:kern w:val="0"/>
          <w:sz w:val="22"/>
          <w:szCs w:val="22"/>
          <w:highlight w:val="none"/>
          <w:lang w:val="zh-CN"/>
        </w:rPr>
        <w:t>注：未按照本磋商响应函要求填报的将被视为非实质性响应，从而可能导致该磋商响应文件被拒绝。</w:t>
      </w:r>
    </w:p>
    <w:p w14:paraId="16FEF734">
      <w:pPr>
        <w:pStyle w:val="2"/>
        <w:ind w:left="442" w:hanging="442"/>
        <w:rPr>
          <w:rFonts w:ascii="宋体" w:hAnsi="宋体" w:cs="宋体"/>
          <w:b/>
          <w:bCs/>
          <w:color w:val="auto"/>
          <w:kern w:val="0"/>
          <w:sz w:val="22"/>
          <w:szCs w:val="22"/>
          <w:highlight w:val="none"/>
          <w:lang w:val="zh-CN"/>
        </w:rPr>
      </w:pPr>
    </w:p>
    <w:p w14:paraId="49B70AF0">
      <w:pPr>
        <w:pStyle w:val="2"/>
        <w:ind w:left="442" w:hanging="442"/>
        <w:rPr>
          <w:rFonts w:ascii="宋体" w:hAnsi="宋体" w:cs="宋体"/>
          <w:b/>
          <w:bCs/>
          <w:color w:val="auto"/>
          <w:kern w:val="0"/>
          <w:sz w:val="22"/>
          <w:szCs w:val="22"/>
          <w:highlight w:val="none"/>
          <w:lang w:val="zh-CN"/>
        </w:rPr>
      </w:pPr>
    </w:p>
    <w:p w14:paraId="6AB1AA96">
      <w:pPr>
        <w:pStyle w:val="2"/>
        <w:ind w:left="442" w:hanging="442"/>
        <w:rPr>
          <w:rFonts w:ascii="宋体" w:hAnsi="宋体" w:cs="宋体"/>
          <w:b/>
          <w:bCs/>
          <w:color w:val="auto"/>
          <w:kern w:val="0"/>
          <w:sz w:val="22"/>
          <w:szCs w:val="22"/>
          <w:highlight w:val="none"/>
          <w:lang w:val="zh-CN"/>
        </w:rPr>
      </w:pPr>
    </w:p>
    <w:p w14:paraId="6F98A776">
      <w:pPr>
        <w:rPr>
          <w:rFonts w:ascii="宋体" w:hAnsi="宋体" w:cs="宋体"/>
          <w:b/>
          <w:bCs/>
          <w:color w:val="auto"/>
          <w:kern w:val="0"/>
          <w:sz w:val="22"/>
          <w:szCs w:val="22"/>
          <w:highlight w:val="none"/>
          <w:lang w:val="zh-CN"/>
        </w:rPr>
      </w:pPr>
    </w:p>
    <w:p w14:paraId="62E02906">
      <w:pPr>
        <w:pStyle w:val="2"/>
        <w:rPr>
          <w:color w:val="auto"/>
          <w:highlight w:val="none"/>
          <w:lang w:val="zh-CN"/>
        </w:rPr>
      </w:pPr>
    </w:p>
    <w:p w14:paraId="1EEB5EA6">
      <w:pPr>
        <w:pStyle w:val="2"/>
        <w:ind w:left="442" w:hanging="442"/>
        <w:rPr>
          <w:rFonts w:ascii="宋体" w:hAnsi="宋体" w:cs="宋体"/>
          <w:b/>
          <w:bCs/>
          <w:color w:val="auto"/>
          <w:kern w:val="0"/>
          <w:sz w:val="22"/>
          <w:szCs w:val="22"/>
          <w:highlight w:val="none"/>
          <w:lang w:val="zh-CN"/>
        </w:rPr>
      </w:pPr>
    </w:p>
    <w:p w14:paraId="04E5C7E2">
      <w:pPr>
        <w:rPr>
          <w:color w:val="auto"/>
          <w:highlight w:val="none"/>
          <w:lang w:val="zh-CN"/>
        </w:rPr>
      </w:pPr>
    </w:p>
    <w:p w14:paraId="165AC8D2">
      <w:pPr>
        <w:pStyle w:val="2"/>
        <w:ind w:left="0" w:firstLine="0" w:firstLineChars="0"/>
        <w:rPr>
          <w:rFonts w:ascii="宋体" w:hAnsi="宋体" w:cs="宋体"/>
          <w:b/>
          <w:bCs/>
          <w:color w:val="auto"/>
          <w:kern w:val="0"/>
          <w:sz w:val="22"/>
          <w:szCs w:val="22"/>
          <w:highlight w:val="none"/>
          <w:lang w:val="zh-CN"/>
        </w:rPr>
      </w:pPr>
    </w:p>
    <w:p w14:paraId="1D31D61F">
      <w:pPr>
        <w:spacing w:line="400" w:lineRule="exact"/>
        <w:jc w:val="center"/>
        <w:outlineLvl w:val="3"/>
        <w:rPr>
          <w:rFonts w:ascii="宋体" w:hAnsi="宋体" w:cs="宋体"/>
          <w:b/>
          <w:bCs/>
          <w:color w:val="auto"/>
          <w:sz w:val="22"/>
          <w:szCs w:val="22"/>
          <w:highlight w:val="none"/>
        </w:rPr>
      </w:pPr>
      <w:r>
        <w:rPr>
          <w:rFonts w:hint="eastAsia" w:ascii="宋体" w:hAnsi="宋体" w:cs="宋体"/>
          <w:b/>
          <w:bCs/>
          <w:color w:val="auto"/>
          <w:sz w:val="28"/>
          <w:szCs w:val="28"/>
          <w:highlight w:val="none"/>
        </w:rPr>
        <w:t>2、报价一览表</w:t>
      </w:r>
      <w:r>
        <w:rPr>
          <w:rFonts w:hint="eastAsia" w:ascii="宋体" w:hAnsi="宋体" w:cs="宋体"/>
          <w:b/>
          <w:bCs/>
          <w:color w:val="auto"/>
          <w:sz w:val="22"/>
          <w:szCs w:val="22"/>
          <w:highlight w:val="none"/>
        </w:rPr>
        <w:t xml:space="preserve"> </w:t>
      </w:r>
    </w:p>
    <w:p w14:paraId="0BDE2712">
      <w:pPr>
        <w:spacing w:line="380" w:lineRule="exact"/>
        <w:rPr>
          <w:rFonts w:ascii="宋体" w:hAnsi="宋体" w:cs="宋体"/>
          <w:b/>
          <w:bCs/>
          <w:color w:val="auto"/>
          <w:sz w:val="22"/>
          <w:szCs w:val="22"/>
          <w:highlight w:val="none"/>
        </w:rPr>
      </w:pPr>
    </w:p>
    <w:p w14:paraId="46930404">
      <w:pPr>
        <w:spacing w:line="360" w:lineRule="auto"/>
        <w:jc w:val="left"/>
        <w:rPr>
          <w:rFonts w:ascii="宋体" w:hAnsi="宋体" w:cs="宋体"/>
          <w:bCs/>
          <w:color w:val="auto"/>
          <w:sz w:val="22"/>
          <w:szCs w:val="22"/>
          <w:highlight w:val="none"/>
        </w:rPr>
      </w:pPr>
      <w:r>
        <w:rPr>
          <w:rFonts w:hint="eastAsia" w:ascii="宋体" w:hAnsi="宋体" w:cs="宋体"/>
          <w:bCs/>
          <w:color w:val="auto"/>
          <w:sz w:val="22"/>
          <w:szCs w:val="22"/>
          <w:highlight w:val="none"/>
        </w:rPr>
        <w:t>项 目 编 号：</w:t>
      </w:r>
    </w:p>
    <w:p w14:paraId="663BBD6F">
      <w:pPr>
        <w:spacing w:line="360" w:lineRule="auto"/>
        <w:jc w:val="left"/>
        <w:rPr>
          <w:rFonts w:hint="eastAsia" w:ascii="宋体" w:hAnsi="宋体" w:eastAsia="宋体" w:cs="宋体"/>
          <w:bCs/>
          <w:color w:val="auto"/>
          <w:sz w:val="22"/>
          <w:szCs w:val="22"/>
          <w:highlight w:val="none"/>
          <w:lang w:eastAsia="zh-CN"/>
        </w:rPr>
      </w:pPr>
      <w:r>
        <w:rPr>
          <w:rFonts w:hint="eastAsia" w:ascii="宋体" w:hAnsi="宋体" w:cs="宋体"/>
          <w:bCs/>
          <w:color w:val="auto"/>
          <w:sz w:val="22"/>
          <w:szCs w:val="22"/>
          <w:highlight w:val="none"/>
        </w:rPr>
        <w:t>项 目 名 称：</w:t>
      </w:r>
      <w:r>
        <w:rPr>
          <w:rFonts w:hint="eastAsia" w:ascii="宋体" w:hAnsi="宋体" w:cs="宋体"/>
          <w:bCs/>
          <w:color w:val="auto"/>
          <w:sz w:val="22"/>
          <w:szCs w:val="22"/>
          <w:highlight w:val="none"/>
          <w:lang w:eastAsia="zh-CN"/>
        </w:rPr>
        <w:t>双人课桌、单人椅子（重）</w:t>
      </w:r>
    </w:p>
    <w:tbl>
      <w:tblPr>
        <w:tblStyle w:val="52"/>
        <w:tblW w:w="0" w:type="auto"/>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2226"/>
        <w:gridCol w:w="5648"/>
        <w:gridCol w:w="915"/>
      </w:tblGrid>
      <w:tr w14:paraId="05311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98" w:type="dxa"/>
            <w:vAlign w:val="center"/>
          </w:tcPr>
          <w:p w14:paraId="24BD7663">
            <w:pPr>
              <w:spacing w:line="380" w:lineRule="exact"/>
              <w:jc w:val="center"/>
              <w:rPr>
                <w:rFonts w:ascii="宋体" w:hAnsi="宋体" w:cs="宋体"/>
                <w:color w:val="auto"/>
                <w:sz w:val="22"/>
                <w:highlight w:val="none"/>
              </w:rPr>
            </w:pPr>
            <w:r>
              <w:rPr>
                <w:rFonts w:hint="eastAsia" w:ascii="宋体" w:hAnsi="宋体" w:cs="宋体"/>
                <w:color w:val="auto"/>
                <w:sz w:val="22"/>
                <w:highlight w:val="none"/>
              </w:rPr>
              <w:t>序号</w:t>
            </w:r>
          </w:p>
        </w:tc>
        <w:tc>
          <w:tcPr>
            <w:tcW w:w="2226" w:type="dxa"/>
            <w:vAlign w:val="center"/>
          </w:tcPr>
          <w:p w14:paraId="5ECEBDB0">
            <w:pPr>
              <w:spacing w:line="380" w:lineRule="exact"/>
              <w:jc w:val="center"/>
              <w:rPr>
                <w:rFonts w:ascii="宋体" w:hAnsi="宋体" w:cs="宋体"/>
                <w:color w:val="auto"/>
                <w:sz w:val="22"/>
                <w:highlight w:val="none"/>
              </w:rPr>
            </w:pPr>
            <w:r>
              <w:rPr>
                <w:rFonts w:hint="eastAsia" w:ascii="宋体" w:hAnsi="宋体" w:cs="宋体"/>
                <w:bCs/>
                <w:color w:val="auto"/>
                <w:sz w:val="22"/>
                <w:szCs w:val="22"/>
                <w:highlight w:val="none"/>
              </w:rPr>
              <w:t>项目名称</w:t>
            </w:r>
          </w:p>
        </w:tc>
        <w:tc>
          <w:tcPr>
            <w:tcW w:w="5648" w:type="dxa"/>
            <w:vAlign w:val="center"/>
          </w:tcPr>
          <w:p w14:paraId="34EDA7CA">
            <w:pPr>
              <w:spacing w:line="380" w:lineRule="exact"/>
              <w:ind w:left="-422" w:leftChars="-201" w:firstLine="968" w:firstLineChars="440"/>
              <w:jc w:val="center"/>
              <w:rPr>
                <w:rFonts w:ascii="宋体" w:hAnsi="宋体" w:cs="宋体"/>
                <w:color w:val="auto"/>
                <w:sz w:val="22"/>
                <w:highlight w:val="none"/>
              </w:rPr>
            </w:pPr>
            <w:r>
              <w:rPr>
                <w:rFonts w:hint="eastAsia" w:ascii="宋体" w:hAnsi="宋体" w:cs="宋体"/>
                <w:bCs/>
                <w:color w:val="auto"/>
                <w:sz w:val="22"/>
                <w:szCs w:val="22"/>
                <w:highlight w:val="none"/>
              </w:rPr>
              <w:t>报价（人民币：元）</w:t>
            </w:r>
          </w:p>
        </w:tc>
        <w:tc>
          <w:tcPr>
            <w:tcW w:w="915" w:type="dxa"/>
            <w:vAlign w:val="center"/>
          </w:tcPr>
          <w:p w14:paraId="2692DE2F">
            <w:pPr>
              <w:spacing w:line="380" w:lineRule="exact"/>
              <w:jc w:val="center"/>
              <w:rPr>
                <w:rFonts w:ascii="宋体" w:hAnsi="宋体" w:cs="宋体"/>
                <w:color w:val="auto"/>
                <w:sz w:val="22"/>
                <w:highlight w:val="none"/>
              </w:rPr>
            </w:pPr>
            <w:r>
              <w:rPr>
                <w:rFonts w:hint="eastAsia" w:ascii="宋体" w:hAnsi="宋体" w:cs="宋体"/>
                <w:color w:val="auto"/>
                <w:sz w:val="22"/>
                <w:highlight w:val="none"/>
              </w:rPr>
              <w:t>备注</w:t>
            </w:r>
          </w:p>
        </w:tc>
      </w:tr>
      <w:tr w14:paraId="0AD4F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898" w:type="dxa"/>
            <w:vMerge w:val="restart"/>
            <w:vAlign w:val="center"/>
          </w:tcPr>
          <w:p w14:paraId="34763595">
            <w:pPr>
              <w:spacing w:line="380" w:lineRule="exact"/>
              <w:jc w:val="center"/>
              <w:rPr>
                <w:rFonts w:ascii="宋体" w:hAnsi="宋体" w:cs="宋体"/>
                <w:color w:val="auto"/>
                <w:sz w:val="22"/>
                <w:highlight w:val="none"/>
              </w:rPr>
            </w:pPr>
            <w:r>
              <w:rPr>
                <w:rFonts w:hint="eastAsia" w:ascii="宋体" w:hAnsi="宋体" w:cs="宋体"/>
                <w:color w:val="auto"/>
                <w:sz w:val="22"/>
                <w:highlight w:val="none"/>
              </w:rPr>
              <w:t>1</w:t>
            </w:r>
          </w:p>
        </w:tc>
        <w:tc>
          <w:tcPr>
            <w:tcW w:w="2226" w:type="dxa"/>
            <w:vMerge w:val="restart"/>
            <w:vAlign w:val="center"/>
          </w:tcPr>
          <w:p w14:paraId="5F41A247">
            <w:pPr>
              <w:spacing w:line="380" w:lineRule="exact"/>
              <w:jc w:val="center"/>
              <w:rPr>
                <w:rFonts w:ascii="宋体" w:hAnsi="宋体" w:cs="宋体"/>
                <w:color w:val="auto"/>
                <w:sz w:val="22"/>
                <w:highlight w:val="none"/>
              </w:rPr>
            </w:pPr>
          </w:p>
        </w:tc>
        <w:tc>
          <w:tcPr>
            <w:tcW w:w="5648" w:type="dxa"/>
            <w:vAlign w:val="center"/>
          </w:tcPr>
          <w:p w14:paraId="3DBFDA0A">
            <w:pPr>
              <w:spacing w:line="380" w:lineRule="exact"/>
              <w:rPr>
                <w:rFonts w:ascii="宋体" w:hAnsi="宋体" w:cs="宋体"/>
                <w:color w:val="auto"/>
                <w:sz w:val="22"/>
                <w:highlight w:val="none"/>
              </w:rPr>
            </w:pPr>
            <w:r>
              <w:rPr>
                <w:rFonts w:hint="eastAsia" w:ascii="宋体" w:hAnsi="宋体" w:cs="宋体"/>
                <w:color w:val="auto"/>
                <w:sz w:val="22"/>
                <w:highlight w:val="none"/>
              </w:rPr>
              <w:t>大写：</w:t>
            </w:r>
          </w:p>
        </w:tc>
        <w:tc>
          <w:tcPr>
            <w:tcW w:w="915" w:type="dxa"/>
            <w:vMerge w:val="restart"/>
            <w:vAlign w:val="center"/>
          </w:tcPr>
          <w:p w14:paraId="6325302E">
            <w:pPr>
              <w:spacing w:line="380" w:lineRule="exact"/>
              <w:jc w:val="center"/>
              <w:rPr>
                <w:rFonts w:ascii="宋体" w:hAnsi="宋体" w:cs="宋体"/>
                <w:color w:val="auto"/>
                <w:sz w:val="22"/>
                <w:highlight w:val="none"/>
              </w:rPr>
            </w:pPr>
          </w:p>
        </w:tc>
      </w:tr>
      <w:tr w14:paraId="2708F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898" w:type="dxa"/>
            <w:vMerge w:val="continue"/>
            <w:vAlign w:val="center"/>
          </w:tcPr>
          <w:p w14:paraId="6A789CD8">
            <w:pPr>
              <w:spacing w:line="380" w:lineRule="exact"/>
              <w:jc w:val="center"/>
              <w:rPr>
                <w:rFonts w:ascii="宋体" w:hAnsi="宋体" w:cs="宋体"/>
                <w:color w:val="auto"/>
                <w:sz w:val="22"/>
                <w:highlight w:val="none"/>
              </w:rPr>
            </w:pPr>
          </w:p>
        </w:tc>
        <w:tc>
          <w:tcPr>
            <w:tcW w:w="2226" w:type="dxa"/>
            <w:vMerge w:val="continue"/>
            <w:vAlign w:val="center"/>
          </w:tcPr>
          <w:p w14:paraId="0C467ADA">
            <w:pPr>
              <w:spacing w:line="380" w:lineRule="exact"/>
              <w:jc w:val="center"/>
              <w:rPr>
                <w:rFonts w:ascii="宋体" w:hAnsi="宋体" w:cs="宋体"/>
                <w:color w:val="auto"/>
                <w:sz w:val="22"/>
                <w:highlight w:val="none"/>
              </w:rPr>
            </w:pPr>
          </w:p>
        </w:tc>
        <w:tc>
          <w:tcPr>
            <w:tcW w:w="5648" w:type="dxa"/>
            <w:vAlign w:val="center"/>
          </w:tcPr>
          <w:p w14:paraId="17C9D188">
            <w:pPr>
              <w:spacing w:line="380" w:lineRule="exact"/>
              <w:rPr>
                <w:rFonts w:ascii="宋体" w:hAnsi="宋体" w:cs="宋体"/>
                <w:color w:val="auto"/>
                <w:sz w:val="22"/>
                <w:highlight w:val="none"/>
              </w:rPr>
            </w:pPr>
            <w:r>
              <w:rPr>
                <w:rFonts w:hint="eastAsia" w:ascii="宋体" w:hAnsi="宋体" w:cs="宋体"/>
                <w:color w:val="auto"/>
                <w:sz w:val="22"/>
                <w:highlight w:val="none"/>
              </w:rPr>
              <w:t>小写：</w:t>
            </w:r>
          </w:p>
        </w:tc>
        <w:tc>
          <w:tcPr>
            <w:tcW w:w="915" w:type="dxa"/>
            <w:vMerge w:val="continue"/>
            <w:vAlign w:val="center"/>
          </w:tcPr>
          <w:p w14:paraId="3A3DB313">
            <w:pPr>
              <w:spacing w:line="380" w:lineRule="exact"/>
              <w:jc w:val="center"/>
              <w:rPr>
                <w:rFonts w:ascii="宋体" w:hAnsi="宋体" w:cs="宋体"/>
                <w:color w:val="auto"/>
                <w:sz w:val="22"/>
                <w:highlight w:val="none"/>
              </w:rPr>
            </w:pPr>
          </w:p>
        </w:tc>
      </w:tr>
    </w:tbl>
    <w:p w14:paraId="0193341A">
      <w:pPr>
        <w:spacing w:line="450" w:lineRule="exact"/>
        <w:ind w:firstLine="541" w:firstLineChars="245"/>
        <w:rPr>
          <w:rFonts w:ascii="宋体" w:hAnsi="宋体" w:cs="宋体"/>
          <w:b/>
          <w:color w:val="auto"/>
          <w:sz w:val="22"/>
          <w:szCs w:val="22"/>
          <w:highlight w:val="none"/>
        </w:rPr>
      </w:pPr>
    </w:p>
    <w:p w14:paraId="6E020415">
      <w:pPr>
        <w:spacing w:line="450" w:lineRule="exact"/>
        <w:ind w:firstLine="541" w:firstLineChars="245"/>
        <w:rPr>
          <w:rFonts w:ascii="宋体" w:hAnsi="宋体" w:cs="宋体"/>
          <w:b/>
          <w:color w:val="auto"/>
          <w:sz w:val="22"/>
          <w:highlight w:val="none"/>
        </w:rPr>
      </w:pPr>
      <w:r>
        <w:rPr>
          <w:rFonts w:hint="eastAsia" w:ascii="宋体" w:hAnsi="宋体" w:cs="宋体"/>
          <w:b/>
          <w:color w:val="auto"/>
          <w:sz w:val="22"/>
          <w:szCs w:val="22"/>
          <w:highlight w:val="none"/>
        </w:rPr>
        <w:t xml:space="preserve">说明  </w:t>
      </w:r>
      <w:r>
        <w:rPr>
          <w:rFonts w:hint="eastAsia" w:ascii="宋体" w:hAnsi="宋体" w:cs="宋体"/>
          <w:b/>
          <w:color w:val="auto"/>
          <w:sz w:val="22"/>
          <w:highlight w:val="none"/>
        </w:rPr>
        <w:t>1、 此栏报价应与附件一中“3、分项报价表”中的总计价相一致。</w:t>
      </w:r>
    </w:p>
    <w:p w14:paraId="5FEC0CB0">
      <w:pPr>
        <w:spacing w:line="450" w:lineRule="exact"/>
        <w:rPr>
          <w:rFonts w:ascii="宋体" w:hAnsi="宋体" w:cs="宋体"/>
          <w:b/>
          <w:color w:val="auto"/>
          <w:sz w:val="22"/>
          <w:highlight w:val="none"/>
        </w:rPr>
      </w:pPr>
      <w:r>
        <w:rPr>
          <w:rFonts w:hint="eastAsia" w:ascii="宋体" w:hAnsi="宋体" w:cs="宋体"/>
          <w:b/>
          <w:color w:val="auto"/>
          <w:sz w:val="22"/>
          <w:highlight w:val="none"/>
        </w:rPr>
        <w:t xml:space="preserve">           2、不提供此表格将被视为没有实质性响应磋商文件</w:t>
      </w:r>
    </w:p>
    <w:p w14:paraId="5068042C">
      <w:pPr>
        <w:spacing w:line="460" w:lineRule="exact"/>
        <w:ind w:left="532" w:leftChars="-171" w:hanging="891" w:hangingChars="405"/>
        <w:rPr>
          <w:rFonts w:ascii="宋体" w:hAnsi="宋体" w:cs="宋体"/>
          <w:color w:val="auto"/>
          <w:sz w:val="22"/>
          <w:szCs w:val="22"/>
          <w:highlight w:val="none"/>
        </w:rPr>
      </w:pPr>
    </w:p>
    <w:p w14:paraId="583CBDA7">
      <w:pPr>
        <w:pStyle w:val="26"/>
        <w:rPr>
          <w:rFonts w:cs="宋体"/>
          <w:color w:val="auto"/>
          <w:highlight w:val="none"/>
        </w:rPr>
      </w:pPr>
    </w:p>
    <w:p w14:paraId="24087A98">
      <w:pPr>
        <w:spacing w:line="360" w:lineRule="auto"/>
        <w:rPr>
          <w:rFonts w:ascii="宋体" w:hAnsi="宋体" w:cs="宋体"/>
          <w:color w:val="auto"/>
          <w:sz w:val="22"/>
          <w:szCs w:val="22"/>
          <w:highlight w:val="none"/>
        </w:rPr>
      </w:pPr>
      <w:r>
        <w:rPr>
          <w:rFonts w:hint="eastAsia" w:ascii="宋体" w:hAnsi="宋体" w:cs="宋体"/>
          <w:color w:val="auto"/>
          <w:sz w:val="22"/>
          <w:szCs w:val="22"/>
          <w:highlight w:val="none"/>
        </w:rPr>
        <w:t xml:space="preserve">                                                  磋商供应商全称（盖章）：</w:t>
      </w:r>
    </w:p>
    <w:p w14:paraId="2F2E7E00">
      <w:pPr>
        <w:spacing w:line="360" w:lineRule="auto"/>
        <w:rPr>
          <w:rFonts w:ascii="宋体" w:hAnsi="宋体" w:cs="宋体"/>
          <w:color w:val="auto"/>
          <w:sz w:val="22"/>
          <w:szCs w:val="22"/>
          <w:highlight w:val="none"/>
        </w:rPr>
      </w:pPr>
      <w:r>
        <w:rPr>
          <w:rFonts w:hint="eastAsia" w:ascii="宋体" w:hAnsi="宋体" w:cs="宋体"/>
          <w:color w:val="auto"/>
          <w:sz w:val="22"/>
          <w:szCs w:val="22"/>
          <w:highlight w:val="none"/>
        </w:rPr>
        <w:t xml:space="preserve">                                                  磋商供应商代表（签字）：</w:t>
      </w:r>
    </w:p>
    <w:p w14:paraId="2E112559">
      <w:pPr>
        <w:spacing w:line="360" w:lineRule="auto"/>
        <w:ind w:firstLine="5500" w:firstLineChars="2500"/>
        <w:rPr>
          <w:rFonts w:ascii="宋体" w:hAnsi="宋体" w:cs="宋体"/>
          <w:color w:val="auto"/>
          <w:sz w:val="22"/>
          <w:szCs w:val="22"/>
          <w:highlight w:val="none"/>
        </w:rPr>
      </w:pPr>
      <w:r>
        <w:rPr>
          <w:rFonts w:hint="eastAsia" w:ascii="宋体" w:hAnsi="宋体" w:cs="宋体"/>
          <w:color w:val="auto"/>
          <w:sz w:val="22"/>
          <w:szCs w:val="22"/>
          <w:highlight w:val="none"/>
        </w:rPr>
        <w:t>日   期：</w:t>
      </w:r>
    </w:p>
    <w:p w14:paraId="4FDD1732">
      <w:pPr>
        <w:pStyle w:val="11"/>
        <w:rPr>
          <w:rFonts w:ascii="宋体" w:hAnsi="宋体" w:cs="宋体"/>
          <w:color w:val="auto"/>
          <w:sz w:val="22"/>
          <w:szCs w:val="22"/>
          <w:highlight w:val="none"/>
        </w:rPr>
      </w:pPr>
    </w:p>
    <w:p w14:paraId="15AE07DF">
      <w:pPr>
        <w:rPr>
          <w:rFonts w:ascii="宋体" w:hAnsi="宋体" w:cs="宋体"/>
          <w:color w:val="auto"/>
          <w:sz w:val="22"/>
          <w:szCs w:val="22"/>
          <w:highlight w:val="none"/>
        </w:rPr>
      </w:pPr>
    </w:p>
    <w:p w14:paraId="59FF3A03">
      <w:pPr>
        <w:pStyle w:val="11"/>
        <w:rPr>
          <w:rFonts w:ascii="宋体" w:hAnsi="宋体" w:cs="宋体"/>
          <w:color w:val="auto"/>
          <w:sz w:val="22"/>
          <w:szCs w:val="22"/>
          <w:highlight w:val="none"/>
        </w:rPr>
      </w:pPr>
    </w:p>
    <w:p w14:paraId="0108D0D7">
      <w:pPr>
        <w:rPr>
          <w:rFonts w:ascii="宋体" w:hAnsi="宋体" w:cs="宋体"/>
          <w:color w:val="auto"/>
          <w:sz w:val="22"/>
          <w:szCs w:val="22"/>
          <w:highlight w:val="none"/>
        </w:rPr>
      </w:pPr>
    </w:p>
    <w:p w14:paraId="730DCB59">
      <w:pPr>
        <w:pStyle w:val="11"/>
        <w:rPr>
          <w:rFonts w:ascii="宋体" w:hAnsi="宋体" w:cs="宋体"/>
          <w:color w:val="auto"/>
          <w:sz w:val="22"/>
          <w:szCs w:val="22"/>
          <w:highlight w:val="none"/>
        </w:rPr>
      </w:pPr>
    </w:p>
    <w:p w14:paraId="3FC0A1F5">
      <w:pPr>
        <w:rPr>
          <w:rFonts w:ascii="宋体" w:hAnsi="宋体" w:cs="宋体"/>
          <w:color w:val="auto"/>
          <w:sz w:val="22"/>
          <w:szCs w:val="22"/>
          <w:highlight w:val="none"/>
        </w:rPr>
      </w:pPr>
    </w:p>
    <w:p w14:paraId="6B7B485D">
      <w:pPr>
        <w:rPr>
          <w:rFonts w:ascii="宋体" w:hAnsi="宋体" w:cs="宋体"/>
          <w:color w:val="auto"/>
          <w:sz w:val="22"/>
          <w:szCs w:val="22"/>
          <w:highlight w:val="none"/>
        </w:rPr>
      </w:pPr>
    </w:p>
    <w:p w14:paraId="0B86CCBA">
      <w:pPr>
        <w:rPr>
          <w:rFonts w:ascii="宋体" w:hAnsi="宋体" w:cs="宋体"/>
          <w:color w:val="auto"/>
          <w:sz w:val="22"/>
          <w:szCs w:val="22"/>
          <w:highlight w:val="none"/>
        </w:rPr>
      </w:pPr>
    </w:p>
    <w:p w14:paraId="0D79CB4E">
      <w:pPr>
        <w:rPr>
          <w:rFonts w:ascii="宋体" w:hAnsi="宋体" w:cs="宋体"/>
          <w:color w:val="auto"/>
          <w:sz w:val="22"/>
          <w:szCs w:val="22"/>
          <w:highlight w:val="none"/>
        </w:rPr>
      </w:pPr>
    </w:p>
    <w:p w14:paraId="3FB91EB6">
      <w:pPr>
        <w:rPr>
          <w:rFonts w:ascii="宋体" w:hAnsi="宋体" w:cs="宋体"/>
          <w:color w:val="auto"/>
          <w:sz w:val="22"/>
          <w:szCs w:val="22"/>
          <w:highlight w:val="none"/>
        </w:rPr>
      </w:pPr>
    </w:p>
    <w:p w14:paraId="25809A4A">
      <w:pPr>
        <w:rPr>
          <w:rFonts w:ascii="宋体" w:hAnsi="宋体" w:cs="宋体"/>
          <w:color w:val="auto"/>
          <w:sz w:val="22"/>
          <w:szCs w:val="22"/>
          <w:highlight w:val="none"/>
        </w:rPr>
      </w:pPr>
    </w:p>
    <w:p w14:paraId="1E751089">
      <w:pPr>
        <w:rPr>
          <w:rFonts w:ascii="宋体" w:hAnsi="宋体" w:cs="宋体"/>
          <w:color w:val="auto"/>
          <w:sz w:val="22"/>
          <w:szCs w:val="22"/>
          <w:highlight w:val="none"/>
        </w:rPr>
      </w:pPr>
    </w:p>
    <w:p w14:paraId="02598B57">
      <w:pPr>
        <w:rPr>
          <w:rFonts w:ascii="宋体" w:hAnsi="宋体" w:cs="宋体"/>
          <w:color w:val="auto"/>
          <w:sz w:val="22"/>
          <w:szCs w:val="22"/>
          <w:highlight w:val="none"/>
        </w:rPr>
      </w:pPr>
    </w:p>
    <w:p w14:paraId="42842199">
      <w:pPr>
        <w:rPr>
          <w:rFonts w:ascii="宋体" w:hAnsi="宋体" w:cs="宋体"/>
          <w:color w:val="auto"/>
          <w:highlight w:val="none"/>
        </w:rPr>
      </w:pPr>
    </w:p>
    <w:p w14:paraId="50868C78">
      <w:pPr>
        <w:rPr>
          <w:rFonts w:ascii="宋体" w:hAnsi="宋体" w:cs="宋体"/>
          <w:color w:val="auto"/>
          <w:highlight w:val="none"/>
        </w:rPr>
      </w:pPr>
    </w:p>
    <w:p w14:paraId="71E08FDB">
      <w:pPr>
        <w:rPr>
          <w:rFonts w:ascii="宋体" w:hAnsi="宋体" w:cs="宋体"/>
          <w:color w:val="auto"/>
          <w:highlight w:val="none"/>
        </w:rPr>
      </w:pPr>
    </w:p>
    <w:p w14:paraId="6370227A">
      <w:pPr>
        <w:rPr>
          <w:rFonts w:ascii="宋体" w:hAnsi="宋体" w:cs="宋体"/>
          <w:color w:val="auto"/>
          <w:highlight w:val="none"/>
        </w:rPr>
      </w:pPr>
    </w:p>
    <w:p w14:paraId="19801893">
      <w:pPr>
        <w:rPr>
          <w:rFonts w:ascii="宋体" w:hAnsi="宋体" w:cs="宋体"/>
          <w:color w:val="auto"/>
          <w:highlight w:val="none"/>
        </w:rPr>
      </w:pPr>
    </w:p>
    <w:p w14:paraId="6AF226AB">
      <w:pPr>
        <w:rPr>
          <w:rFonts w:ascii="宋体" w:hAnsi="宋体" w:cs="宋体"/>
          <w:color w:val="auto"/>
          <w:highlight w:val="none"/>
        </w:rPr>
      </w:pPr>
    </w:p>
    <w:p w14:paraId="5D9094C5">
      <w:pPr>
        <w:rPr>
          <w:rFonts w:ascii="宋体" w:hAnsi="宋体" w:cs="宋体"/>
          <w:color w:val="auto"/>
          <w:highlight w:val="none"/>
        </w:rPr>
      </w:pPr>
    </w:p>
    <w:p w14:paraId="7665B551">
      <w:pPr>
        <w:rPr>
          <w:rFonts w:ascii="宋体" w:hAnsi="宋体" w:cs="宋体"/>
          <w:color w:val="auto"/>
          <w:highlight w:val="none"/>
        </w:rPr>
      </w:pPr>
    </w:p>
    <w:p w14:paraId="294D9547">
      <w:pPr>
        <w:pStyle w:val="2"/>
        <w:ind w:left="562" w:hanging="562"/>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br w:type="page"/>
      </w:r>
    </w:p>
    <w:p w14:paraId="39ACA30E">
      <w:pPr>
        <w:pStyle w:val="2"/>
        <w:ind w:left="562" w:hanging="562"/>
        <w:jc w:val="center"/>
        <w:outlineLvl w:val="3"/>
        <w:rPr>
          <w:rFonts w:ascii="宋体" w:hAnsi="宋体" w:cs="宋体"/>
          <w:b/>
          <w:bCs/>
          <w:color w:val="auto"/>
          <w:sz w:val="28"/>
          <w:szCs w:val="28"/>
          <w:highlight w:val="none"/>
        </w:rPr>
      </w:pPr>
      <w:r>
        <w:rPr>
          <w:rFonts w:hint="eastAsia" w:ascii="宋体" w:hAnsi="宋体" w:cs="宋体"/>
          <w:b/>
          <w:bCs/>
          <w:color w:val="auto"/>
          <w:sz w:val="28"/>
          <w:szCs w:val="28"/>
          <w:highlight w:val="none"/>
        </w:rPr>
        <w:t>3、分项报价表</w:t>
      </w:r>
    </w:p>
    <w:p w14:paraId="62AC7777">
      <w:pPr>
        <w:spacing w:line="400" w:lineRule="exact"/>
        <w:jc w:val="center"/>
        <w:rPr>
          <w:rFonts w:ascii="宋体" w:hAnsi="宋体" w:cs="宋体"/>
          <w:b/>
          <w:bCs/>
          <w:color w:val="auto"/>
          <w:sz w:val="22"/>
          <w:szCs w:val="22"/>
          <w:highlight w:val="none"/>
        </w:rPr>
      </w:pPr>
    </w:p>
    <w:p w14:paraId="00C900DF">
      <w:pPr>
        <w:spacing w:line="360" w:lineRule="auto"/>
        <w:jc w:val="left"/>
        <w:rPr>
          <w:rFonts w:ascii="宋体" w:hAnsi="宋体" w:cs="宋体"/>
          <w:bCs/>
          <w:color w:val="auto"/>
          <w:sz w:val="22"/>
          <w:szCs w:val="22"/>
          <w:highlight w:val="none"/>
        </w:rPr>
      </w:pPr>
      <w:r>
        <w:rPr>
          <w:rFonts w:hint="eastAsia" w:ascii="宋体" w:hAnsi="宋体" w:cs="宋体"/>
          <w:bCs/>
          <w:color w:val="auto"/>
          <w:sz w:val="22"/>
          <w:szCs w:val="22"/>
          <w:highlight w:val="none"/>
        </w:rPr>
        <w:t>项 目 编 号：</w:t>
      </w:r>
    </w:p>
    <w:p w14:paraId="4123E434">
      <w:pPr>
        <w:spacing w:line="360" w:lineRule="auto"/>
        <w:jc w:val="left"/>
        <w:rPr>
          <w:rFonts w:ascii="宋体" w:hAnsi="宋体" w:cs="宋体"/>
          <w:bCs/>
          <w:color w:val="auto"/>
          <w:sz w:val="22"/>
          <w:szCs w:val="22"/>
          <w:highlight w:val="none"/>
        </w:rPr>
      </w:pPr>
      <w:r>
        <w:rPr>
          <w:rFonts w:hint="eastAsia" w:ascii="宋体" w:hAnsi="宋体" w:cs="宋体"/>
          <w:bCs/>
          <w:color w:val="auto"/>
          <w:sz w:val="22"/>
          <w:szCs w:val="22"/>
          <w:highlight w:val="none"/>
        </w:rPr>
        <w:t>项 目 名 称：</w:t>
      </w:r>
      <w:r>
        <w:rPr>
          <w:rFonts w:hint="eastAsia" w:ascii="宋体" w:hAnsi="宋体" w:cs="宋体"/>
          <w:bCs/>
          <w:color w:val="auto"/>
          <w:sz w:val="22"/>
          <w:szCs w:val="22"/>
          <w:highlight w:val="none"/>
          <w:lang w:eastAsia="zh-CN"/>
        </w:rPr>
        <w:t>双人课桌、单人椅子（重）</w:t>
      </w:r>
      <w:r>
        <w:rPr>
          <w:rFonts w:hint="eastAsia" w:ascii="宋体" w:hAnsi="宋体" w:cs="宋体"/>
          <w:bCs/>
          <w:color w:val="auto"/>
          <w:sz w:val="22"/>
          <w:szCs w:val="22"/>
          <w:highlight w:val="none"/>
        </w:rPr>
        <w:t xml:space="preserve">  </w:t>
      </w:r>
    </w:p>
    <w:tbl>
      <w:tblPr>
        <w:tblStyle w:val="52"/>
        <w:tblW w:w="9995" w:type="dxa"/>
        <w:tblInd w:w="-2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605"/>
        <w:gridCol w:w="1477"/>
        <w:gridCol w:w="1570"/>
        <w:gridCol w:w="708"/>
        <w:gridCol w:w="708"/>
        <w:gridCol w:w="1143"/>
        <w:gridCol w:w="1000"/>
        <w:gridCol w:w="1159"/>
      </w:tblGrid>
      <w:tr w14:paraId="59724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vAlign w:val="center"/>
          </w:tcPr>
          <w:p w14:paraId="657925CE">
            <w:pPr>
              <w:spacing w:line="460" w:lineRule="exact"/>
              <w:ind w:right="-11"/>
              <w:jc w:val="center"/>
              <w:rPr>
                <w:color w:val="auto"/>
                <w:sz w:val="22"/>
                <w:szCs w:val="22"/>
                <w:highlight w:val="none"/>
              </w:rPr>
            </w:pPr>
            <w:r>
              <w:rPr>
                <w:color w:val="auto"/>
                <w:sz w:val="22"/>
                <w:szCs w:val="22"/>
                <w:highlight w:val="none"/>
              </w:rPr>
              <w:t>项目</w:t>
            </w:r>
          </w:p>
        </w:tc>
        <w:tc>
          <w:tcPr>
            <w:tcW w:w="1605" w:type="dxa"/>
            <w:vAlign w:val="center"/>
          </w:tcPr>
          <w:p w14:paraId="300670DC">
            <w:pPr>
              <w:spacing w:line="460" w:lineRule="exact"/>
              <w:ind w:right="-11"/>
              <w:jc w:val="center"/>
              <w:rPr>
                <w:color w:val="auto"/>
                <w:sz w:val="22"/>
                <w:szCs w:val="22"/>
                <w:highlight w:val="none"/>
              </w:rPr>
            </w:pPr>
            <w:r>
              <w:rPr>
                <w:color w:val="auto"/>
                <w:sz w:val="22"/>
                <w:szCs w:val="22"/>
                <w:highlight w:val="none"/>
              </w:rPr>
              <w:t>货物名称</w:t>
            </w:r>
          </w:p>
        </w:tc>
        <w:tc>
          <w:tcPr>
            <w:tcW w:w="1477" w:type="dxa"/>
            <w:vAlign w:val="center"/>
          </w:tcPr>
          <w:p w14:paraId="014EDA55">
            <w:pPr>
              <w:spacing w:line="460" w:lineRule="exact"/>
              <w:ind w:right="-11"/>
              <w:jc w:val="center"/>
              <w:rPr>
                <w:color w:val="auto"/>
                <w:sz w:val="22"/>
                <w:szCs w:val="22"/>
                <w:highlight w:val="none"/>
              </w:rPr>
            </w:pPr>
            <w:r>
              <w:rPr>
                <w:color w:val="auto"/>
                <w:sz w:val="22"/>
                <w:szCs w:val="22"/>
                <w:highlight w:val="none"/>
              </w:rPr>
              <w:t>品牌型号规格、产地</w:t>
            </w:r>
          </w:p>
        </w:tc>
        <w:tc>
          <w:tcPr>
            <w:tcW w:w="1570" w:type="dxa"/>
            <w:vAlign w:val="center"/>
          </w:tcPr>
          <w:p w14:paraId="5A088D81">
            <w:pPr>
              <w:spacing w:line="460" w:lineRule="exact"/>
              <w:ind w:right="-11"/>
              <w:jc w:val="center"/>
              <w:rPr>
                <w:color w:val="auto"/>
                <w:sz w:val="22"/>
                <w:szCs w:val="22"/>
                <w:highlight w:val="none"/>
              </w:rPr>
            </w:pPr>
            <w:r>
              <w:rPr>
                <w:color w:val="auto"/>
                <w:sz w:val="22"/>
                <w:szCs w:val="22"/>
                <w:highlight w:val="none"/>
              </w:rPr>
              <w:t>制造厂商名称</w:t>
            </w:r>
          </w:p>
        </w:tc>
        <w:tc>
          <w:tcPr>
            <w:tcW w:w="708" w:type="dxa"/>
            <w:vAlign w:val="center"/>
          </w:tcPr>
          <w:p w14:paraId="446FAE1D">
            <w:pPr>
              <w:spacing w:line="460" w:lineRule="exact"/>
              <w:ind w:right="-11"/>
              <w:jc w:val="center"/>
              <w:rPr>
                <w:color w:val="auto"/>
                <w:sz w:val="22"/>
                <w:szCs w:val="22"/>
                <w:highlight w:val="none"/>
              </w:rPr>
            </w:pPr>
            <w:r>
              <w:rPr>
                <w:color w:val="auto"/>
                <w:sz w:val="22"/>
                <w:szCs w:val="22"/>
                <w:highlight w:val="none"/>
              </w:rPr>
              <w:t>单位</w:t>
            </w:r>
          </w:p>
        </w:tc>
        <w:tc>
          <w:tcPr>
            <w:tcW w:w="708" w:type="dxa"/>
            <w:vAlign w:val="center"/>
          </w:tcPr>
          <w:p w14:paraId="202DCA59">
            <w:pPr>
              <w:spacing w:line="460" w:lineRule="exact"/>
              <w:ind w:right="-11"/>
              <w:jc w:val="center"/>
              <w:rPr>
                <w:color w:val="auto"/>
                <w:sz w:val="22"/>
                <w:szCs w:val="22"/>
                <w:highlight w:val="none"/>
              </w:rPr>
            </w:pPr>
            <w:r>
              <w:rPr>
                <w:color w:val="auto"/>
                <w:sz w:val="22"/>
                <w:szCs w:val="22"/>
                <w:highlight w:val="none"/>
              </w:rPr>
              <w:t>数量</w:t>
            </w:r>
          </w:p>
        </w:tc>
        <w:tc>
          <w:tcPr>
            <w:tcW w:w="1143" w:type="dxa"/>
            <w:vAlign w:val="center"/>
          </w:tcPr>
          <w:p w14:paraId="3D32DE9C">
            <w:pPr>
              <w:spacing w:line="460" w:lineRule="exact"/>
              <w:ind w:right="-11"/>
              <w:jc w:val="center"/>
              <w:rPr>
                <w:color w:val="auto"/>
                <w:sz w:val="22"/>
                <w:szCs w:val="22"/>
                <w:highlight w:val="none"/>
              </w:rPr>
            </w:pPr>
            <w:r>
              <w:rPr>
                <w:color w:val="auto"/>
                <w:sz w:val="22"/>
                <w:szCs w:val="22"/>
                <w:highlight w:val="none"/>
              </w:rPr>
              <w:t>出厂单价</w:t>
            </w:r>
          </w:p>
          <w:p w14:paraId="396D8DDD">
            <w:pPr>
              <w:spacing w:line="460" w:lineRule="exact"/>
              <w:ind w:right="-11"/>
              <w:jc w:val="center"/>
              <w:rPr>
                <w:color w:val="auto"/>
                <w:sz w:val="22"/>
                <w:szCs w:val="22"/>
                <w:highlight w:val="none"/>
              </w:rPr>
            </w:pPr>
            <w:r>
              <w:rPr>
                <w:color w:val="auto"/>
                <w:sz w:val="22"/>
                <w:szCs w:val="22"/>
                <w:highlight w:val="none"/>
              </w:rPr>
              <w:t>（含税）</w:t>
            </w:r>
          </w:p>
        </w:tc>
        <w:tc>
          <w:tcPr>
            <w:tcW w:w="1000" w:type="dxa"/>
            <w:vAlign w:val="center"/>
          </w:tcPr>
          <w:p w14:paraId="6A320EDF">
            <w:pPr>
              <w:spacing w:line="460" w:lineRule="exact"/>
              <w:ind w:right="-11"/>
              <w:jc w:val="center"/>
              <w:rPr>
                <w:color w:val="auto"/>
                <w:sz w:val="22"/>
                <w:szCs w:val="22"/>
                <w:highlight w:val="none"/>
              </w:rPr>
            </w:pPr>
            <w:r>
              <w:rPr>
                <w:color w:val="auto"/>
                <w:sz w:val="22"/>
                <w:szCs w:val="22"/>
                <w:highlight w:val="none"/>
              </w:rPr>
              <w:t>总价</w:t>
            </w:r>
          </w:p>
          <w:p w14:paraId="38128AD2">
            <w:pPr>
              <w:spacing w:line="460" w:lineRule="exact"/>
              <w:ind w:right="-11"/>
              <w:jc w:val="center"/>
              <w:rPr>
                <w:color w:val="auto"/>
                <w:sz w:val="22"/>
                <w:szCs w:val="22"/>
                <w:highlight w:val="none"/>
              </w:rPr>
            </w:pPr>
            <w:r>
              <w:rPr>
                <w:color w:val="auto"/>
                <w:sz w:val="22"/>
                <w:szCs w:val="22"/>
                <w:highlight w:val="none"/>
              </w:rPr>
              <w:t>（含税）</w:t>
            </w:r>
          </w:p>
        </w:tc>
        <w:tc>
          <w:tcPr>
            <w:tcW w:w="1159" w:type="dxa"/>
            <w:vAlign w:val="center"/>
          </w:tcPr>
          <w:p w14:paraId="48792F99">
            <w:pPr>
              <w:spacing w:line="460" w:lineRule="exact"/>
              <w:ind w:right="-11"/>
              <w:jc w:val="center"/>
              <w:rPr>
                <w:color w:val="auto"/>
                <w:sz w:val="22"/>
                <w:szCs w:val="22"/>
                <w:highlight w:val="none"/>
              </w:rPr>
            </w:pPr>
            <w:r>
              <w:rPr>
                <w:color w:val="auto"/>
                <w:sz w:val="22"/>
                <w:szCs w:val="22"/>
                <w:highlight w:val="none"/>
              </w:rPr>
              <w:t>免费</w:t>
            </w:r>
          </w:p>
          <w:p w14:paraId="435CBB1F">
            <w:pPr>
              <w:spacing w:line="460" w:lineRule="exact"/>
              <w:ind w:right="-11"/>
              <w:jc w:val="center"/>
              <w:rPr>
                <w:color w:val="auto"/>
                <w:sz w:val="22"/>
                <w:szCs w:val="22"/>
                <w:highlight w:val="none"/>
              </w:rPr>
            </w:pPr>
            <w:r>
              <w:rPr>
                <w:color w:val="auto"/>
                <w:sz w:val="22"/>
                <w:szCs w:val="22"/>
                <w:highlight w:val="none"/>
              </w:rPr>
              <w:t>保修期</w:t>
            </w:r>
          </w:p>
        </w:tc>
      </w:tr>
      <w:tr w14:paraId="4C644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5" w:type="dxa"/>
            <w:vAlign w:val="center"/>
          </w:tcPr>
          <w:p w14:paraId="7C2921AD">
            <w:pPr>
              <w:widowControl/>
              <w:spacing w:line="460" w:lineRule="exact"/>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1605" w:type="dxa"/>
            <w:vAlign w:val="center"/>
          </w:tcPr>
          <w:p w14:paraId="48F7DB32">
            <w:pPr>
              <w:widowControl/>
              <w:jc w:val="center"/>
              <w:textAlignment w:val="center"/>
              <w:rPr>
                <w:color w:val="auto"/>
                <w:sz w:val="22"/>
                <w:szCs w:val="22"/>
                <w:highlight w:val="none"/>
              </w:rPr>
            </w:pPr>
          </w:p>
        </w:tc>
        <w:tc>
          <w:tcPr>
            <w:tcW w:w="1477" w:type="dxa"/>
            <w:vAlign w:val="center"/>
          </w:tcPr>
          <w:p w14:paraId="4D7F8AD2">
            <w:pPr>
              <w:spacing w:line="460" w:lineRule="exact"/>
              <w:jc w:val="center"/>
              <w:rPr>
                <w:color w:val="auto"/>
                <w:sz w:val="22"/>
                <w:szCs w:val="22"/>
                <w:highlight w:val="none"/>
              </w:rPr>
            </w:pPr>
          </w:p>
        </w:tc>
        <w:tc>
          <w:tcPr>
            <w:tcW w:w="1570" w:type="dxa"/>
            <w:vAlign w:val="center"/>
          </w:tcPr>
          <w:p w14:paraId="2DBC4738">
            <w:pPr>
              <w:spacing w:line="460" w:lineRule="exact"/>
              <w:ind w:right="-11"/>
              <w:jc w:val="center"/>
              <w:rPr>
                <w:color w:val="auto"/>
                <w:sz w:val="22"/>
                <w:szCs w:val="22"/>
                <w:highlight w:val="none"/>
              </w:rPr>
            </w:pPr>
          </w:p>
        </w:tc>
        <w:tc>
          <w:tcPr>
            <w:tcW w:w="708" w:type="dxa"/>
            <w:vAlign w:val="center"/>
          </w:tcPr>
          <w:p w14:paraId="169BBAC5">
            <w:pPr>
              <w:widowControl/>
              <w:jc w:val="center"/>
              <w:textAlignment w:val="center"/>
              <w:rPr>
                <w:color w:val="auto"/>
                <w:sz w:val="22"/>
                <w:szCs w:val="22"/>
                <w:highlight w:val="none"/>
              </w:rPr>
            </w:pPr>
          </w:p>
        </w:tc>
        <w:tc>
          <w:tcPr>
            <w:tcW w:w="708" w:type="dxa"/>
            <w:vAlign w:val="center"/>
          </w:tcPr>
          <w:p w14:paraId="3D7D797A">
            <w:pPr>
              <w:spacing w:line="460" w:lineRule="exact"/>
              <w:jc w:val="center"/>
              <w:rPr>
                <w:color w:val="auto"/>
                <w:sz w:val="22"/>
                <w:szCs w:val="22"/>
                <w:highlight w:val="none"/>
              </w:rPr>
            </w:pPr>
          </w:p>
        </w:tc>
        <w:tc>
          <w:tcPr>
            <w:tcW w:w="1143" w:type="dxa"/>
            <w:vAlign w:val="center"/>
          </w:tcPr>
          <w:p w14:paraId="0039D3DD">
            <w:pPr>
              <w:spacing w:line="460" w:lineRule="exact"/>
              <w:ind w:right="-11"/>
              <w:jc w:val="center"/>
              <w:rPr>
                <w:color w:val="auto"/>
                <w:sz w:val="22"/>
                <w:szCs w:val="22"/>
                <w:highlight w:val="none"/>
              </w:rPr>
            </w:pPr>
          </w:p>
        </w:tc>
        <w:tc>
          <w:tcPr>
            <w:tcW w:w="1000" w:type="dxa"/>
            <w:vAlign w:val="center"/>
          </w:tcPr>
          <w:p w14:paraId="34EBEB8B">
            <w:pPr>
              <w:spacing w:line="460" w:lineRule="exact"/>
              <w:ind w:right="-11"/>
              <w:jc w:val="center"/>
              <w:rPr>
                <w:color w:val="auto"/>
                <w:sz w:val="22"/>
                <w:szCs w:val="22"/>
                <w:highlight w:val="none"/>
              </w:rPr>
            </w:pPr>
          </w:p>
        </w:tc>
        <w:tc>
          <w:tcPr>
            <w:tcW w:w="1159" w:type="dxa"/>
            <w:vAlign w:val="center"/>
          </w:tcPr>
          <w:p w14:paraId="0BC262E7">
            <w:pPr>
              <w:spacing w:line="460" w:lineRule="exact"/>
              <w:ind w:right="-11"/>
              <w:jc w:val="center"/>
              <w:rPr>
                <w:color w:val="auto"/>
                <w:sz w:val="22"/>
                <w:szCs w:val="22"/>
                <w:highlight w:val="none"/>
              </w:rPr>
            </w:pPr>
          </w:p>
        </w:tc>
      </w:tr>
      <w:tr w14:paraId="5DBA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5" w:type="dxa"/>
            <w:vAlign w:val="center"/>
          </w:tcPr>
          <w:p w14:paraId="7FDF3FE7">
            <w:pPr>
              <w:widowControl/>
              <w:spacing w:line="460" w:lineRule="exact"/>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2</w:t>
            </w:r>
          </w:p>
        </w:tc>
        <w:tc>
          <w:tcPr>
            <w:tcW w:w="1605" w:type="dxa"/>
            <w:vAlign w:val="center"/>
          </w:tcPr>
          <w:p w14:paraId="682D5E2B">
            <w:pPr>
              <w:widowControl/>
              <w:jc w:val="center"/>
              <w:textAlignment w:val="center"/>
              <w:rPr>
                <w:color w:val="auto"/>
                <w:sz w:val="22"/>
                <w:szCs w:val="22"/>
                <w:highlight w:val="none"/>
              </w:rPr>
            </w:pPr>
          </w:p>
        </w:tc>
        <w:tc>
          <w:tcPr>
            <w:tcW w:w="1477" w:type="dxa"/>
            <w:vAlign w:val="center"/>
          </w:tcPr>
          <w:p w14:paraId="3BB0E02B">
            <w:pPr>
              <w:spacing w:line="460" w:lineRule="exact"/>
              <w:jc w:val="center"/>
              <w:rPr>
                <w:color w:val="auto"/>
                <w:sz w:val="22"/>
                <w:szCs w:val="22"/>
                <w:highlight w:val="none"/>
              </w:rPr>
            </w:pPr>
          </w:p>
        </w:tc>
        <w:tc>
          <w:tcPr>
            <w:tcW w:w="1570" w:type="dxa"/>
            <w:vAlign w:val="center"/>
          </w:tcPr>
          <w:p w14:paraId="14F6B95D">
            <w:pPr>
              <w:spacing w:line="460" w:lineRule="exact"/>
              <w:ind w:right="-11"/>
              <w:jc w:val="center"/>
              <w:rPr>
                <w:color w:val="auto"/>
                <w:sz w:val="22"/>
                <w:szCs w:val="22"/>
                <w:highlight w:val="none"/>
              </w:rPr>
            </w:pPr>
          </w:p>
        </w:tc>
        <w:tc>
          <w:tcPr>
            <w:tcW w:w="708" w:type="dxa"/>
            <w:vAlign w:val="center"/>
          </w:tcPr>
          <w:p w14:paraId="1780B14B">
            <w:pPr>
              <w:widowControl/>
              <w:jc w:val="center"/>
              <w:textAlignment w:val="center"/>
              <w:rPr>
                <w:color w:val="auto"/>
                <w:sz w:val="22"/>
                <w:szCs w:val="22"/>
                <w:highlight w:val="none"/>
              </w:rPr>
            </w:pPr>
          </w:p>
        </w:tc>
        <w:tc>
          <w:tcPr>
            <w:tcW w:w="708" w:type="dxa"/>
            <w:vAlign w:val="center"/>
          </w:tcPr>
          <w:p w14:paraId="4DDBEEB6">
            <w:pPr>
              <w:spacing w:line="460" w:lineRule="exact"/>
              <w:jc w:val="center"/>
              <w:rPr>
                <w:color w:val="auto"/>
                <w:sz w:val="22"/>
                <w:szCs w:val="22"/>
                <w:highlight w:val="none"/>
              </w:rPr>
            </w:pPr>
          </w:p>
        </w:tc>
        <w:tc>
          <w:tcPr>
            <w:tcW w:w="1143" w:type="dxa"/>
            <w:vAlign w:val="center"/>
          </w:tcPr>
          <w:p w14:paraId="22848A9B">
            <w:pPr>
              <w:spacing w:line="460" w:lineRule="exact"/>
              <w:ind w:right="-11"/>
              <w:jc w:val="center"/>
              <w:rPr>
                <w:color w:val="auto"/>
                <w:sz w:val="22"/>
                <w:szCs w:val="22"/>
                <w:highlight w:val="none"/>
              </w:rPr>
            </w:pPr>
          </w:p>
        </w:tc>
        <w:tc>
          <w:tcPr>
            <w:tcW w:w="1000" w:type="dxa"/>
            <w:vAlign w:val="center"/>
          </w:tcPr>
          <w:p w14:paraId="4BDF40A6">
            <w:pPr>
              <w:spacing w:line="460" w:lineRule="exact"/>
              <w:ind w:right="-11"/>
              <w:jc w:val="center"/>
              <w:rPr>
                <w:color w:val="auto"/>
                <w:sz w:val="22"/>
                <w:szCs w:val="22"/>
                <w:highlight w:val="none"/>
              </w:rPr>
            </w:pPr>
          </w:p>
        </w:tc>
        <w:tc>
          <w:tcPr>
            <w:tcW w:w="1159" w:type="dxa"/>
            <w:vAlign w:val="center"/>
          </w:tcPr>
          <w:p w14:paraId="19E28FF5">
            <w:pPr>
              <w:spacing w:line="460" w:lineRule="exact"/>
              <w:ind w:right="-11"/>
              <w:jc w:val="center"/>
              <w:rPr>
                <w:color w:val="auto"/>
                <w:sz w:val="22"/>
                <w:szCs w:val="22"/>
                <w:highlight w:val="none"/>
              </w:rPr>
            </w:pPr>
          </w:p>
        </w:tc>
      </w:tr>
      <w:tr w14:paraId="2A065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5" w:type="dxa"/>
            <w:vAlign w:val="center"/>
          </w:tcPr>
          <w:p w14:paraId="13938314">
            <w:pPr>
              <w:widowControl/>
              <w:spacing w:line="460" w:lineRule="exact"/>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3</w:t>
            </w:r>
          </w:p>
        </w:tc>
        <w:tc>
          <w:tcPr>
            <w:tcW w:w="1605" w:type="dxa"/>
            <w:vAlign w:val="center"/>
          </w:tcPr>
          <w:p w14:paraId="704486EF">
            <w:pPr>
              <w:widowControl/>
              <w:jc w:val="center"/>
              <w:textAlignment w:val="center"/>
              <w:rPr>
                <w:color w:val="auto"/>
                <w:sz w:val="22"/>
                <w:szCs w:val="22"/>
                <w:highlight w:val="none"/>
              </w:rPr>
            </w:pPr>
          </w:p>
        </w:tc>
        <w:tc>
          <w:tcPr>
            <w:tcW w:w="1477" w:type="dxa"/>
            <w:vAlign w:val="center"/>
          </w:tcPr>
          <w:p w14:paraId="5B96091B">
            <w:pPr>
              <w:spacing w:line="460" w:lineRule="exact"/>
              <w:jc w:val="center"/>
              <w:rPr>
                <w:color w:val="auto"/>
                <w:sz w:val="22"/>
                <w:szCs w:val="22"/>
                <w:highlight w:val="none"/>
              </w:rPr>
            </w:pPr>
          </w:p>
        </w:tc>
        <w:tc>
          <w:tcPr>
            <w:tcW w:w="1570" w:type="dxa"/>
            <w:vAlign w:val="center"/>
          </w:tcPr>
          <w:p w14:paraId="09EB773E">
            <w:pPr>
              <w:spacing w:line="460" w:lineRule="exact"/>
              <w:ind w:right="-11"/>
              <w:jc w:val="center"/>
              <w:rPr>
                <w:color w:val="auto"/>
                <w:sz w:val="22"/>
                <w:szCs w:val="22"/>
                <w:highlight w:val="none"/>
              </w:rPr>
            </w:pPr>
          </w:p>
        </w:tc>
        <w:tc>
          <w:tcPr>
            <w:tcW w:w="708" w:type="dxa"/>
            <w:vAlign w:val="center"/>
          </w:tcPr>
          <w:p w14:paraId="382233D3">
            <w:pPr>
              <w:widowControl/>
              <w:jc w:val="center"/>
              <w:textAlignment w:val="center"/>
              <w:rPr>
                <w:color w:val="auto"/>
                <w:sz w:val="22"/>
                <w:szCs w:val="22"/>
                <w:highlight w:val="none"/>
              </w:rPr>
            </w:pPr>
          </w:p>
        </w:tc>
        <w:tc>
          <w:tcPr>
            <w:tcW w:w="708" w:type="dxa"/>
            <w:vAlign w:val="center"/>
          </w:tcPr>
          <w:p w14:paraId="6B400251">
            <w:pPr>
              <w:spacing w:line="460" w:lineRule="exact"/>
              <w:jc w:val="center"/>
              <w:rPr>
                <w:color w:val="auto"/>
                <w:sz w:val="22"/>
                <w:szCs w:val="22"/>
                <w:highlight w:val="none"/>
              </w:rPr>
            </w:pPr>
          </w:p>
        </w:tc>
        <w:tc>
          <w:tcPr>
            <w:tcW w:w="1143" w:type="dxa"/>
            <w:vAlign w:val="center"/>
          </w:tcPr>
          <w:p w14:paraId="3454AC75">
            <w:pPr>
              <w:spacing w:line="460" w:lineRule="exact"/>
              <w:ind w:right="-11"/>
              <w:jc w:val="center"/>
              <w:rPr>
                <w:color w:val="auto"/>
                <w:sz w:val="22"/>
                <w:szCs w:val="22"/>
                <w:highlight w:val="none"/>
              </w:rPr>
            </w:pPr>
          </w:p>
        </w:tc>
        <w:tc>
          <w:tcPr>
            <w:tcW w:w="1000" w:type="dxa"/>
            <w:vAlign w:val="center"/>
          </w:tcPr>
          <w:p w14:paraId="4F69768F">
            <w:pPr>
              <w:spacing w:line="460" w:lineRule="exact"/>
              <w:ind w:right="-11"/>
              <w:jc w:val="center"/>
              <w:rPr>
                <w:color w:val="auto"/>
                <w:sz w:val="22"/>
                <w:szCs w:val="22"/>
                <w:highlight w:val="none"/>
              </w:rPr>
            </w:pPr>
          </w:p>
        </w:tc>
        <w:tc>
          <w:tcPr>
            <w:tcW w:w="1159" w:type="dxa"/>
            <w:vAlign w:val="center"/>
          </w:tcPr>
          <w:p w14:paraId="43133442">
            <w:pPr>
              <w:spacing w:line="460" w:lineRule="exact"/>
              <w:ind w:right="-11"/>
              <w:jc w:val="center"/>
              <w:rPr>
                <w:color w:val="auto"/>
                <w:sz w:val="22"/>
                <w:szCs w:val="22"/>
                <w:highlight w:val="none"/>
              </w:rPr>
            </w:pPr>
          </w:p>
        </w:tc>
      </w:tr>
      <w:tr w14:paraId="34DE9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5" w:type="dxa"/>
            <w:vAlign w:val="center"/>
          </w:tcPr>
          <w:p w14:paraId="584B3D7F">
            <w:pPr>
              <w:widowControl/>
              <w:spacing w:line="460" w:lineRule="exact"/>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4</w:t>
            </w:r>
          </w:p>
        </w:tc>
        <w:tc>
          <w:tcPr>
            <w:tcW w:w="1605" w:type="dxa"/>
            <w:vAlign w:val="center"/>
          </w:tcPr>
          <w:p w14:paraId="1A2AC301">
            <w:pPr>
              <w:widowControl/>
              <w:jc w:val="center"/>
              <w:textAlignment w:val="center"/>
              <w:rPr>
                <w:color w:val="auto"/>
                <w:sz w:val="22"/>
                <w:szCs w:val="22"/>
                <w:highlight w:val="none"/>
              </w:rPr>
            </w:pPr>
          </w:p>
        </w:tc>
        <w:tc>
          <w:tcPr>
            <w:tcW w:w="1477" w:type="dxa"/>
            <w:vAlign w:val="center"/>
          </w:tcPr>
          <w:p w14:paraId="031A19E7">
            <w:pPr>
              <w:spacing w:line="460" w:lineRule="exact"/>
              <w:jc w:val="center"/>
              <w:rPr>
                <w:color w:val="auto"/>
                <w:sz w:val="22"/>
                <w:szCs w:val="22"/>
                <w:highlight w:val="none"/>
              </w:rPr>
            </w:pPr>
          </w:p>
        </w:tc>
        <w:tc>
          <w:tcPr>
            <w:tcW w:w="1570" w:type="dxa"/>
            <w:vAlign w:val="center"/>
          </w:tcPr>
          <w:p w14:paraId="641D21BE">
            <w:pPr>
              <w:spacing w:line="460" w:lineRule="exact"/>
              <w:ind w:right="-11"/>
              <w:jc w:val="center"/>
              <w:rPr>
                <w:color w:val="auto"/>
                <w:sz w:val="22"/>
                <w:szCs w:val="22"/>
                <w:highlight w:val="none"/>
              </w:rPr>
            </w:pPr>
          </w:p>
        </w:tc>
        <w:tc>
          <w:tcPr>
            <w:tcW w:w="708" w:type="dxa"/>
            <w:vAlign w:val="center"/>
          </w:tcPr>
          <w:p w14:paraId="6FD0951E">
            <w:pPr>
              <w:widowControl/>
              <w:jc w:val="center"/>
              <w:textAlignment w:val="center"/>
              <w:rPr>
                <w:color w:val="auto"/>
                <w:sz w:val="22"/>
                <w:szCs w:val="22"/>
                <w:highlight w:val="none"/>
              </w:rPr>
            </w:pPr>
          </w:p>
        </w:tc>
        <w:tc>
          <w:tcPr>
            <w:tcW w:w="708" w:type="dxa"/>
            <w:vAlign w:val="center"/>
          </w:tcPr>
          <w:p w14:paraId="48A401EA">
            <w:pPr>
              <w:spacing w:line="460" w:lineRule="exact"/>
              <w:jc w:val="center"/>
              <w:rPr>
                <w:color w:val="auto"/>
                <w:sz w:val="22"/>
                <w:szCs w:val="22"/>
                <w:highlight w:val="none"/>
              </w:rPr>
            </w:pPr>
          </w:p>
        </w:tc>
        <w:tc>
          <w:tcPr>
            <w:tcW w:w="1143" w:type="dxa"/>
            <w:vAlign w:val="center"/>
          </w:tcPr>
          <w:p w14:paraId="751F843A">
            <w:pPr>
              <w:spacing w:line="460" w:lineRule="exact"/>
              <w:ind w:right="-11"/>
              <w:jc w:val="center"/>
              <w:rPr>
                <w:color w:val="auto"/>
                <w:sz w:val="22"/>
                <w:szCs w:val="22"/>
                <w:highlight w:val="none"/>
              </w:rPr>
            </w:pPr>
          </w:p>
        </w:tc>
        <w:tc>
          <w:tcPr>
            <w:tcW w:w="1000" w:type="dxa"/>
            <w:vAlign w:val="center"/>
          </w:tcPr>
          <w:p w14:paraId="257FAC1F">
            <w:pPr>
              <w:spacing w:line="460" w:lineRule="exact"/>
              <w:ind w:right="-11"/>
              <w:jc w:val="center"/>
              <w:rPr>
                <w:color w:val="auto"/>
                <w:sz w:val="22"/>
                <w:szCs w:val="22"/>
                <w:highlight w:val="none"/>
              </w:rPr>
            </w:pPr>
          </w:p>
        </w:tc>
        <w:tc>
          <w:tcPr>
            <w:tcW w:w="1159" w:type="dxa"/>
            <w:vAlign w:val="center"/>
          </w:tcPr>
          <w:p w14:paraId="0CEDDCE9">
            <w:pPr>
              <w:spacing w:line="460" w:lineRule="exact"/>
              <w:ind w:right="-11"/>
              <w:jc w:val="center"/>
              <w:rPr>
                <w:color w:val="auto"/>
                <w:sz w:val="22"/>
                <w:szCs w:val="22"/>
                <w:highlight w:val="none"/>
              </w:rPr>
            </w:pPr>
          </w:p>
        </w:tc>
      </w:tr>
      <w:tr w14:paraId="3BEDE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5" w:type="dxa"/>
            <w:vAlign w:val="center"/>
          </w:tcPr>
          <w:p w14:paraId="14D4295D">
            <w:pPr>
              <w:widowControl/>
              <w:spacing w:line="460" w:lineRule="exact"/>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5</w:t>
            </w:r>
          </w:p>
        </w:tc>
        <w:tc>
          <w:tcPr>
            <w:tcW w:w="1605" w:type="dxa"/>
            <w:vAlign w:val="center"/>
          </w:tcPr>
          <w:p w14:paraId="6FB7CF45">
            <w:pPr>
              <w:widowControl/>
              <w:jc w:val="center"/>
              <w:textAlignment w:val="center"/>
              <w:rPr>
                <w:color w:val="auto"/>
                <w:sz w:val="22"/>
                <w:szCs w:val="22"/>
                <w:highlight w:val="none"/>
              </w:rPr>
            </w:pPr>
          </w:p>
        </w:tc>
        <w:tc>
          <w:tcPr>
            <w:tcW w:w="1477" w:type="dxa"/>
            <w:vAlign w:val="center"/>
          </w:tcPr>
          <w:p w14:paraId="56949242">
            <w:pPr>
              <w:spacing w:line="460" w:lineRule="exact"/>
              <w:jc w:val="center"/>
              <w:rPr>
                <w:color w:val="auto"/>
                <w:sz w:val="22"/>
                <w:szCs w:val="22"/>
                <w:highlight w:val="none"/>
              </w:rPr>
            </w:pPr>
          </w:p>
        </w:tc>
        <w:tc>
          <w:tcPr>
            <w:tcW w:w="1570" w:type="dxa"/>
            <w:vAlign w:val="center"/>
          </w:tcPr>
          <w:p w14:paraId="54CC0EF6">
            <w:pPr>
              <w:spacing w:line="460" w:lineRule="exact"/>
              <w:ind w:right="-11"/>
              <w:jc w:val="center"/>
              <w:rPr>
                <w:color w:val="auto"/>
                <w:sz w:val="22"/>
                <w:szCs w:val="22"/>
                <w:highlight w:val="none"/>
              </w:rPr>
            </w:pPr>
          </w:p>
        </w:tc>
        <w:tc>
          <w:tcPr>
            <w:tcW w:w="708" w:type="dxa"/>
            <w:vAlign w:val="center"/>
          </w:tcPr>
          <w:p w14:paraId="5E2250D4">
            <w:pPr>
              <w:widowControl/>
              <w:jc w:val="center"/>
              <w:textAlignment w:val="center"/>
              <w:rPr>
                <w:color w:val="auto"/>
                <w:sz w:val="22"/>
                <w:szCs w:val="22"/>
                <w:highlight w:val="none"/>
              </w:rPr>
            </w:pPr>
          </w:p>
        </w:tc>
        <w:tc>
          <w:tcPr>
            <w:tcW w:w="708" w:type="dxa"/>
            <w:vAlign w:val="center"/>
          </w:tcPr>
          <w:p w14:paraId="7CE24AB9">
            <w:pPr>
              <w:spacing w:line="460" w:lineRule="exact"/>
              <w:jc w:val="center"/>
              <w:rPr>
                <w:color w:val="auto"/>
                <w:sz w:val="22"/>
                <w:szCs w:val="22"/>
                <w:highlight w:val="none"/>
              </w:rPr>
            </w:pPr>
          </w:p>
        </w:tc>
        <w:tc>
          <w:tcPr>
            <w:tcW w:w="1143" w:type="dxa"/>
            <w:vAlign w:val="center"/>
          </w:tcPr>
          <w:p w14:paraId="2F67659C">
            <w:pPr>
              <w:spacing w:line="460" w:lineRule="exact"/>
              <w:ind w:right="-11"/>
              <w:jc w:val="center"/>
              <w:rPr>
                <w:color w:val="auto"/>
                <w:sz w:val="22"/>
                <w:szCs w:val="22"/>
                <w:highlight w:val="none"/>
              </w:rPr>
            </w:pPr>
          </w:p>
        </w:tc>
        <w:tc>
          <w:tcPr>
            <w:tcW w:w="1000" w:type="dxa"/>
            <w:vAlign w:val="center"/>
          </w:tcPr>
          <w:p w14:paraId="176335D0">
            <w:pPr>
              <w:spacing w:line="460" w:lineRule="exact"/>
              <w:ind w:right="-11"/>
              <w:jc w:val="center"/>
              <w:rPr>
                <w:color w:val="auto"/>
                <w:sz w:val="22"/>
                <w:szCs w:val="22"/>
                <w:highlight w:val="none"/>
              </w:rPr>
            </w:pPr>
          </w:p>
        </w:tc>
        <w:tc>
          <w:tcPr>
            <w:tcW w:w="1159" w:type="dxa"/>
            <w:vAlign w:val="center"/>
          </w:tcPr>
          <w:p w14:paraId="42A229F8">
            <w:pPr>
              <w:spacing w:line="460" w:lineRule="exact"/>
              <w:ind w:right="-11"/>
              <w:jc w:val="center"/>
              <w:rPr>
                <w:color w:val="auto"/>
                <w:sz w:val="22"/>
                <w:szCs w:val="22"/>
                <w:highlight w:val="none"/>
              </w:rPr>
            </w:pPr>
          </w:p>
        </w:tc>
      </w:tr>
      <w:tr w14:paraId="34010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5" w:type="dxa"/>
            <w:vAlign w:val="center"/>
          </w:tcPr>
          <w:p w14:paraId="17E16675">
            <w:pPr>
              <w:widowControl/>
              <w:spacing w:line="460" w:lineRule="exact"/>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6</w:t>
            </w:r>
          </w:p>
        </w:tc>
        <w:tc>
          <w:tcPr>
            <w:tcW w:w="1605" w:type="dxa"/>
            <w:vAlign w:val="center"/>
          </w:tcPr>
          <w:p w14:paraId="40B05347">
            <w:pPr>
              <w:widowControl/>
              <w:jc w:val="center"/>
              <w:textAlignment w:val="center"/>
              <w:rPr>
                <w:color w:val="auto"/>
                <w:sz w:val="22"/>
                <w:szCs w:val="22"/>
                <w:highlight w:val="none"/>
              </w:rPr>
            </w:pPr>
          </w:p>
        </w:tc>
        <w:tc>
          <w:tcPr>
            <w:tcW w:w="1477" w:type="dxa"/>
            <w:vAlign w:val="center"/>
          </w:tcPr>
          <w:p w14:paraId="3064CFD6">
            <w:pPr>
              <w:spacing w:line="460" w:lineRule="exact"/>
              <w:jc w:val="center"/>
              <w:rPr>
                <w:color w:val="auto"/>
                <w:sz w:val="22"/>
                <w:szCs w:val="22"/>
                <w:highlight w:val="none"/>
              </w:rPr>
            </w:pPr>
          </w:p>
        </w:tc>
        <w:tc>
          <w:tcPr>
            <w:tcW w:w="1570" w:type="dxa"/>
            <w:vAlign w:val="center"/>
          </w:tcPr>
          <w:p w14:paraId="60A15856">
            <w:pPr>
              <w:spacing w:line="460" w:lineRule="exact"/>
              <w:ind w:right="-11"/>
              <w:jc w:val="center"/>
              <w:rPr>
                <w:color w:val="auto"/>
                <w:sz w:val="22"/>
                <w:szCs w:val="22"/>
                <w:highlight w:val="none"/>
              </w:rPr>
            </w:pPr>
          </w:p>
        </w:tc>
        <w:tc>
          <w:tcPr>
            <w:tcW w:w="708" w:type="dxa"/>
            <w:vAlign w:val="center"/>
          </w:tcPr>
          <w:p w14:paraId="176AB3EA">
            <w:pPr>
              <w:widowControl/>
              <w:jc w:val="center"/>
              <w:textAlignment w:val="center"/>
              <w:rPr>
                <w:color w:val="auto"/>
                <w:sz w:val="22"/>
                <w:szCs w:val="22"/>
                <w:highlight w:val="none"/>
              </w:rPr>
            </w:pPr>
          </w:p>
        </w:tc>
        <w:tc>
          <w:tcPr>
            <w:tcW w:w="708" w:type="dxa"/>
            <w:vAlign w:val="center"/>
          </w:tcPr>
          <w:p w14:paraId="4D817AAC">
            <w:pPr>
              <w:spacing w:line="460" w:lineRule="exact"/>
              <w:jc w:val="center"/>
              <w:rPr>
                <w:color w:val="auto"/>
                <w:sz w:val="22"/>
                <w:szCs w:val="22"/>
                <w:highlight w:val="none"/>
              </w:rPr>
            </w:pPr>
          </w:p>
        </w:tc>
        <w:tc>
          <w:tcPr>
            <w:tcW w:w="1143" w:type="dxa"/>
            <w:vAlign w:val="center"/>
          </w:tcPr>
          <w:p w14:paraId="1E734AB8">
            <w:pPr>
              <w:spacing w:line="460" w:lineRule="exact"/>
              <w:ind w:right="-11"/>
              <w:jc w:val="center"/>
              <w:rPr>
                <w:color w:val="auto"/>
                <w:sz w:val="22"/>
                <w:szCs w:val="22"/>
                <w:highlight w:val="none"/>
              </w:rPr>
            </w:pPr>
          </w:p>
        </w:tc>
        <w:tc>
          <w:tcPr>
            <w:tcW w:w="1000" w:type="dxa"/>
            <w:vAlign w:val="center"/>
          </w:tcPr>
          <w:p w14:paraId="38B7FCF0">
            <w:pPr>
              <w:spacing w:line="460" w:lineRule="exact"/>
              <w:ind w:right="-11"/>
              <w:jc w:val="center"/>
              <w:rPr>
                <w:color w:val="auto"/>
                <w:sz w:val="22"/>
                <w:szCs w:val="22"/>
                <w:highlight w:val="none"/>
              </w:rPr>
            </w:pPr>
          </w:p>
        </w:tc>
        <w:tc>
          <w:tcPr>
            <w:tcW w:w="1159" w:type="dxa"/>
            <w:vAlign w:val="center"/>
          </w:tcPr>
          <w:p w14:paraId="1EA81EFA">
            <w:pPr>
              <w:spacing w:line="460" w:lineRule="exact"/>
              <w:ind w:right="-11"/>
              <w:jc w:val="center"/>
              <w:rPr>
                <w:color w:val="auto"/>
                <w:sz w:val="22"/>
                <w:szCs w:val="22"/>
                <w:highlight w:val="none"/>
              </w:rPr>
            </w:pPr>
          </w:p>
        </w:tc>
      </w:tr>
      <w:tr w14:paraId="3B6B7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5" w:type="dxa"/>
            <w:vAlign w:val="center"/>
          </w:tcPr>
          <w:p w14:paraId="7C5D9055">
            <w:pPr>
              <w:widowControl/>
              <w:spacing w:line="460" w:lineRule="exact"/>
              <w:jc w:val="center"/>
              <w:textAlignment w:val="center"/>
              <w:rPr>
                <w:color w:val="auto"/>
                <w:kern w:val="0"/>
                <w:sz w:val="22"/>
                <w:szCs w:val="22"/>
                <w:highlight w:val="none"/>
                <w:lang w:bidi="ar"/>
              </w:rPr>
            </w:pPr>
          </w:p>
        </w:tc>
        <w:tc>
          <w:tcPr>
            <w:tcW w:w="1605" w:type="dxa"/>
            <w:vAlign w:val="center"/>
          </w:tcPr>
          <w:p w14:paraId="12F09319">
            <w:pPr>
              <w:widowControl/>
              <w:jc w:val="center"/>
              <w:textAlignment w:val="center"/>
              <w:rPr>
                <w:color w:val="auto"/>
                <w:kern w:val="0"/>
                <w:szCs w:val="21"/>
                <w:highlight w:val="none"/>
              </w:rPr>
            </w:pPr>
          </w:p>
        </w:tc>
        <w:tc>
          <w:tcPr>
            <w:tcW w:w="1477" w:type="dxa"/>
            <w:vAlign w:val="center"/>
          </w:tcPr>
          <w:p w14:paraId="4508EDE2">
            <w:pPr>
              <w:spacing w:line="460" w:lineRule="exact"/>
              <w:jc w:val="center"/>
              <w:rPr>
                <w:color w:val="auto"/>
                <w:sz w:val="22"/>
                <w:szCs w:val="22"/>
                <w:highlight w:val="none"/>
              </w:rPr>
            </w:pPr>
          </w:p>
        </w:tc>
        <w:tc>
          <w:tcPr>
            <w:tcW w:w="1570" w:type="dxa"/>
            <w:vAlign w:val="center"/>
          </w:tcPr>
          <w:p w14:paraId="48A1ECDC">
            <w:pPr>
              <w:spacing w:line="460" w:lineRule="exact"/>
              <w:ind w:right="-11"/>
              <w:jc w:val="center"/>
              <w:rPr>
                <w:color w:val="auto"/>
                <w:sz w:val="22"/>
                <w:szCs w:val="22"/>
                <w:highlight w:val="none"/>
              </w:rPr>
            </w:pPr>
          </w:p>
        </w:tc>
        <w:tc>
          <w:tcPr>
            <w:tcW w:w="708" w:type="dxa"/>
            <w:vAlign w:val="center"/>
          </w:tcPr>
          <w:p w14:paraId="5B0C3733">
            <w:pPr>
              <w:widowControl/>
              <w:jc w:val="center"/>
              <w:textAlignment w:val="center"/>
              <w:rPr>
                <w:color w:val="auto"/>
                <w:szCs w:val="21"/>
                <w:highlight w:val="none"/>
              </w:rPr>
            </w:pPr>
          </w:p>
        </w:tc>
        <w:tc>
          <w:tcPr>
            <w:tcW w:w="708" w:type="dxa"/>
            <w:vAlign w:val="center"/>
          </w:tcPr>
          <w:p w14:paraId="0433EF48">
            <w:pPr>
              <w:spacing w:line="460" w:lineRule="exact"/>
              <w:jc w:val="center"/>
              <w:rPr>
                <w:color w:val="auto"/>
                <w:sz w:val="22"/>
                <w:szCs w:val="22"/>
                <w:highlight w:val="none"/>
              </w:rPr>
            </w:pPr>
          </w:p>
        </w:tc>
        <w:tc>
          <w:tcPr>
            <w:tcW w:w="1143" w:type="dxa"/>
            <w:vAlign w:val="center"/>
          </w:tcPr>
          <w:p w14:paraId="63E412C2">
            <w:pPr>
              <w:spacing w:line="460" w:lineRule="exact"/>
              <w:ind w:right="-11"/>
              <w:jc w:val="center"/>
              <w:rPr>
                <w:color w:val="auto"/>
                <w:sz w:val="22"/>
                <w:szCs w:val="22"/>
                <w:highlight w:val="none"/>
              </w:rPr>
            </w:pPr>
          </w:p>
        </w:tc>
        <w:tc>
          <w:tcPr>
            <w:tcW w:w="1000" w:type="dxa"/>
            <w:vAlign w:val="center"/>
          </w:tcPr>
          <w:p w14:paraId="2CA7F392">
            <w:pPr>
              <w:spacing w:line="460" w:lineRule="exact"/>
              <w:ind w:right="-11"/>
              <w:jc w:val="center"/>
              <w:rPr>
                <w:color w:val="auto"/>
                <w:sz w:val="22"/>
                <w:szCs w:val="22"/>
                <w:highlight w:val="none"/>
              </w:rPr>
            </w:pPr>
          </w:p>
        </w:tc>
        <w:tc>
          <w:tcPr>
            <w:tcW w:w="1159" w:type="dxa"/>
            <w:vAlign w:val="center"/>
          </w:tcPr>
          <w:p w14:paraId="32A4989A">
            <w:pPr>
              <w:spacing w:line="460" w:lineRule="exact"/>
              <w:ind w:right="-11"/>
              <w:jc w:val="center"/>
              <w:rPr>
                <w:color w:val="auto"/>
                <w:sz w:val="22"/>
                <w:szCs w:val="22"/>
                <w:highlight w:val="none"/>
              </w:rPr>
            </w:pPr>
          </w:p>
        </w:tc>
      </w:tr>
      <w:tr w14:paraId="618F0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5" w:type="dxa"/>
            <w:vAlign w:val="center"/>
          </w:tcPr>
          <w:p w14:paraId="37598697">
            <w:pPr>
              <w:widowControl/>
              <w:spacing w:line="460" w:lineRule="exact"/>
              <w:jc w:val="center"/>
              <w:textAlignment w:val="center"/>
              <w:rPr>
                <w:color w:val="auto"/>
                <w:kern w:val="0"/>
                <w:sz w:val="22"/>
                <w:szCs w:val="22"/>
                <w:highlight w:val="none"/>
                <w:lang w:bidi="ar"/>
              </w:rPr>
            </w:pPr>
          </w:p>
        </w:tc>
        <w:tc>
          <w:tcPr>
            <w:tcW w:w="1605" w:type="dxa"/>
            <w:vAlign w:val="center"/>
          </w:tcPr>
          <w:p w14:paraId="416A7C5B">
            <w:pPr>
              <w:widowControl/>
              <w:spacing w:line="460" w:lineRule="exact"/>
              <w:textAlignment w:val="center"/>
              <w:rPr>
                <w:color w:val="auto"/>
                <w:sz w:val="22"/>
                <w:szCs w:val="22"/>
                <w:highlight w:val="none"/>
              </w:rPr>
            </w:pPr>
            <w:r>
              <w:rPr>
                <w:color w:val="auto"/>
                <w:sz w:val="22"/>
                <w:szCs w:val="22"/>
                <w:highlight w:val="none"/>
              </w:rPr>
              <w:t>... ...</w:t>
            </w:r>
          </w:p>
        </w:tc>
        <w:tc>
          <w:tcPr>
            <w:tcW w:w="1477" w:type="dxa"/>
            <w:vAlign w:val="center"/>
          </w:tcPr>
          <w:p w14:paraId="6C367621">
            <w:pPr>
              <w:spacing w:line="460" w:lineRule="exact"/>
              <w:jc w:val="center"/>
              <w:rPr>
                <w:color w:val="auto"/>
                <w:sz w:val="22"/>
                <w:szCs w:val="22"/>
                <w:highlight w:val="none"/>
              </w:rPr>
            </w:pPr>
          </w:p>
        </w:tc>
        <w:tc>
          <w:tcPr>
            <w:tcW w:w="1570" w:type="dxa"/>
            <w:vAlign w:val="center"/>
          </w:tcPr>
          <w:p w14:paraId="571FF90F">
            <w:pPr>
              <w:spacing w:line="460" w:lineRule="exact"/>
              <w:ind w:right="-11"/>
              <w:jc w:val="center"/>
              <w:rPr>
                <w:color w:val="auto"/>
                <w:sz w:val="22"/>
                <w:szCs w:val="22"/>
                <w:highlight w:val="none"/>
              </w:rPr>
            </w:pPr>
          </w:p>
        </w:tc>
        <w:tc>
          <w:tcPr>
            <w:tcW w:w="708" w:type="dxa"/>
            <w:vAlign w:val="center"/>
          </w:tcPr>
          <w:p w14:paraId="2DB35746">
            <w:pPr>
              <w:spacing w:line="460" w:lineRule="exact"/>
              <w:jc w:val="center"/>
              <w:rPr>
                <w:color w:val="auto"/>
                <w:sz w:val="22"/>
                <w:szCs w:val="22"/>
                <w:highlight w:val="none"/>
              </w:rPr>
            </w:pPr>
          </w:p>
        </w:tc>
        <w:tc>
          <w:tcPr>
            <w:tcW w:w="708" w:type="dxa"/>
            <w:vAlign w:val="center"/>
          </w:tcPr>
          <w:p w14:paraId="2655718D">
            <w:pPr>
              <w:spacing w:line="460" w:lineRule="exact"/>
              <w:jc w:val="center"/>
              <w:rPr>
                <w:color w:val="auto"/>
                <w:sz w:val="22"/>
                <w:szCs w:val="22"/>
                <w:highlight w:val="none"/>
              </w:rPr>
            </w:pPr>
          </w:p>
        </w:tc>
        <w:tc>
          <w:tcPr>
            <w:tcW w:w="1143" w:type="dxa"/>
            <w:vAlign w:val="center"/>
          </w:tcPr>
          <w:p w14:paraId="5BF906D0">
            <w:pPr>
              <w:spacing w:line="460" w:lineRule="exact"/>
              <w:ind w:right="-11"/>
              <w:jc w:val="center"/>
              <w:rPr>
                <w:color w:val="auto"/>
                <w:sz w:val="22"/>
                <w:szCs w:val="22"/>
                <w:highlight w:val="none"/>
              </w:rPr>
            </w:pPr>
          </w:p>
        </w:tc>
        <w:tc>
          <w:tcPr>
            <w:tcW w:w="1000" w:type="dxa"/>
            <w:vAlign w:val="center"/>
          </w:tcPr>
          <w:p w14:paraId="772C7849">
            <w:pPr>
              <w:spacing w:line="460" w:lineRule="exact"/>
              <w:ind w:right="-11"/>
              <w:jc w:val="center"/>
              <w:rPr>
                <w:color w:val="auto"/>
                <w:sz w:val="22"/>
                <w:szCs w:val="22"/>
                <w:highlight w:val="none"/>
              </w:rPr>
            </w:pPr>
          </w:p>
        </w:tc>
        <w:tc>
          <w:tcPr>
            <w:tcW w:w="1159" w:type="dxa"/>
            <w:vAlign w:val="center"/>
          </w:tcPr>
          <w:p w14:paraId="7A23D095">
            <w:pPr>
              <w:spacing w:line="460" w:lineRule="exact"/>
              <w:ind w:right="-11"/>
              <w:jc w:val="center"/>
              <w:rPr>
                <w:color w:val="auto"/>
                <w:sz w:val="22"/>
                <w:szCs w:val="22"/>
                <w:highlight w:val="none"/>
              </w:rPr>
            </w:pPr>
          </w:p>
        </w:tc>
      </w:tr>
      <w:tr w14:paraId="3E088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707" w:type="dxa"/>
            <w:gridSpan w:val="3"/>
            <w:vAlign w:val="center"/>
          </w:tcPr>
          <w:p w14:paraId="7FC7D7CB">
            <w:pPr>
              <w:spacing w:line="460" w:lineRule="exact"/>
              <w:ind w:right="-11"/>
              <w:jc w:val="center"/>
              <w:rPr>
                <w:color w:val="auto"/>
                <w:sz w:val="22"/>
                <w:szCs w:val="22"/>
                <w:highlight w:val="none"/>
              </w:rPr>
            </w:pPr>
            <w:r>
              <w:rPr>
                <w:color w:val="auto"/>
                <w:sz w:val="22"/>
                <w:szCs w:val="22"/>
                <w:highlight w:val="none"/>
              </w:rPr>
              <w:t>运杂及保险费（含卸货）</w:t>
            </w:r>
          </w:p>
        </w:tc>
        <w:tc>
          <w:tcPr>
            <w:tcW w:w="6288" w:type="dxa"/>
            <w:gridSpan w:val="6"/>
          </w:tcPr>
          <w:p w14:paraId="3B7CCD37">
            <w:pPr>
              <w:spacing w:line="460" w:lineRule="exact"/>
              <w:rPr>
                <w:color w:val="auto"/>
                <w:sz w:val="22"/>
                <w:szCs w:val="22"/>
                <w:highlight w:val="none"/>
              </w:rPr>
            </w:pPr>
          </w:p>
        </w:tc>
      </w:tr>
      <w:tr w14:paraId="203F6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707" w:type="dxa"/>
            <w:gridSpan w:val="3"/>
            <w:vAlign w:val="center"/>
          </w:tcPr>
          <w:p w14:paraId="1DF00F19">
            <w:pPr>
              <w:spacing w:line="460" w:lineRule="exact"/>
              <w:ind w:right="-11"/>
              <w:jc w:val="center"/>
              <w:rPr>
                <w:color w:val="auto"/>
                <w:sz w:val="22"/>
                <w:szCs w:val="22"/>
                <w:highlight w:val="none"/>
              </w:rPr>
            </w:pPr>
            <w:r>
              <w:rPr>
                <w:color w:val="auto"/>
                <w:sz w:val="22"/>
                <w:szCs w:val="22"/>
                <w:highlight w:val="none"/>
              </w:rPr>
              <w:t>安装调试费（包括设备的测试、调试、验收等费用）</w:t>
            </w:r>
          </w:p>
        </w:tc>
        <w:tc>
          <w:tcPr>
            <w:tcW w:w="6288" w:type="dxa"/>
            <w:gridSpan w:val="6"/>
          </w:tcPr>
          <w:p w14:paraId="0836EFF0">
            <w:pPr>
              <w:spacing w:line="460" w:lineRule="exact"/>
              <w:rPr>
                <w:color w:val="auto"/>
                <w:sz w:val="22"/>
                <w:szCs w:val="22"/>
                <w:highlight w:val="none"/>
              </w:rPr>
            </w:pPr>
          </w:p>
        </w:tc>
      </w:tr>
      <w:tr w14:paraId="05AB3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707" w:type="dxa"/>
            <w:gridSpan w:val="3"/>
            <w:vAlign w:val="center"/>
          </w:tcPr>
          <w:p w14:paraId="07014A11">
            <w:pPr>
              <w:spacing w:line="460" w:lineRule="exact"/>
              <w:ind w:right="-11"/>
              <w:jc w:val="center"/>
              <w:rPr>
                <w:color w:val="auto"/>
                <w:sz w:val="22"/>
                <w:szCs w:val="22"/>
                <w:highlight w:val="none"/>
              </w:rPr>
            </w:pPr>
            <w:r>
              <w:rPr>
                <w:color w:val="auto"/>
                <w:sz w:val="22"/>
                <w:szCs w:val="22"/>
                <w:highlight w:val="none"/>
              </w:rPr>
              <w:t>培训费、技术服务费、售后服务费等</w:t>
            </w:r>
          </w:p>
        </w:tc>
        <w:tc>
          <w:tcPr>
            <w:tcW w:w="6288" w:type="dxa"/>
            <w:gridSpan w:val="6"/>
          </w:tcPr>
          <w:p w14:paraId="195161B2">
            <w:pPr>
              <w:spacing w:line="460" w:lineRule="exact"/>
              <w:rPr>
                <w:color w:val="auto"/>
                <w:sz w:val="22"/>
                <w:szCs w:val="22"/>
                <w:highlight w:val="none"/>
              </w:rPr>
            </w:pPr>
          </w:p>
        </w:tc>
      </w:tr>
      <w:tr w14:paraId="2EC3B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707" w:type="dxa"/>
            <w:gridSpan w:val="3"/>
            <w:vAlign w:val="center"/>
          </w:tcPr>
          <w:p w14:paraId="78A5E099">
            <w:pPr>
              <w:spacing w:line="460" w:lineRule="exact"/>
              <w:ind w:right="-11"/>
              <w:jc w:val="center"/>
              <w:rPr>
                <w:color w:val="auto"/>
                <w:sz w:val="22"/>
                <w:szCs w:val="22"/>
                <w:highlight w:val="none"/>
              </w:rPr>
            </w:pPr>
            <w:r>
              <w:rPr>
                <w:color w:val="auto"/>
                <w:sz w:val="22"/>
                <w:szCs w:val="22"/>
                <w:highlight w:val="none"/>
              </w:rPr>
              <w:t>税金</w:t>
            </w:r>
          </w:p>
        </w:tc>
        <w:tc>
          <w:tcPr>
            <w:tcW w:w="6288" w:type="dxa"/>
            <w:gridSpan w:val="6"/>
          </w:tcPr>
          <w:p w14:paraId="54EFAEF4">
            <w:pPr>
              <w:spacing w:line="460" w:lineRule="exact"/>
              <w:rPr>
                <w:color w:val="auto"/>
                <w:sz w:val="22"/>
                <w:szCs w:val="22"/>
                <w:highlight w:val="none"/>
              </w:rPr>
            </w:pPr>
          </w:p>
        </w:tc>
      </w:tr>
      <w:tr w14:paraId="1CF9E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707" w:type="dxa"/>
            <w:gridSpan w:val="3"/>
            <w:vAlign w:val="center"/>
          </w:tcPr>
          <w:p w14:paraId="47FC1AE3">
            <w:pPr>
              <w:spacing w:line="460" w:lineRule="exact"/>
              <w:ind w:right="-11"/>
              <w:jc w:val="center"/>
              <w:rPr>
                <w:color w:val="auto"/>
                <w:sz w:val="22"/>
                <w:szCs w:val="22"/>
                <w:highlight w:val="none"/>
              </w:rPr>
            </w:pPr>
            <w:r>
              <w:rPr>
                <w:color w:val="auto"/>
                <w:sz w:val="22"/>
                <w:szCs w:val="22"/>
                <w:highlight w:val="none"/>
              </w:rPr>
              <w:t>总计价</w:t>
            </w:r>
          </w:p>
        </w:tc>
        <w:tc>
          <w:tcPr>
            <w:tcW w:w="6288" w:type="dxa"/>
            <w:gridSpan w:val="6"/>
          </w:tcPr>
          <w:p w14:paraId="15C8CABB">
            <w:pPr>
              <w:spacing w:line="460" w:lineRule="exact"/>
              <w:rPr>
                <w:color w:val="auto"/>
                <w:sz w:val="22"/>
                <w:szCs w:val="22"/>
                <w:highlight w:val="none"/>
              </w:rPr>
            </w:pPr>
          </w:p>
        </w:tc>
      </w:tr>
    </w:tbl>
    <w:p w14:paraId="164113FF">
      <w:pPr>
        <w:spacing w:line="380" w:lineRule="exact"/>
        <w:rPr>
          <w:rFonts w:ascii="宋体" w:hAnsi="宋体" w:cs="宋体"/>
          <w:b/>
          <w:color w:val="auto"/>
          <w:sz w:val="22"/>
          <w:szCs w:val="22"/>
          <w:highlight w:val="none"/>
        </w:rPr>
      </w:pPr>
    </w:p>
    <w:p w14:paraId="62BFBAE2">
      <w:pPr>
        <w:spacing w:line="380" w:lineRule="exact"/>
        <w:rPr>
          <w:rFonts w:ascii="宋体" w:hAnsi="宋体" w:cs="宋体"/>
          <w:b/>
          <w:bCs/>
          <w:color w:val="auto"/>
          <w:sz w:val="22"/>
          <w:szCs w:val="22"/>
          <w:highlight w:val="none"/>
        </w:rPr>
      </w:pPr>
      <w:r>
        <w:rPr>
          <w:rFonts w:hint="eastAsia" w:ascii="宋体" w:hAnsi="宋体" w:cs="宋体"/>
          <w:b/>
          <w:color w:val="auto"/>
          <w:sz w:val="22"/>
          <w:szCs w:val="22"/>
          <w:highlight w:val="none"/>
        </w:rPr>
        <w:t xml:space="preserve">说明： </w:t>
      </w:r>
      <w:r>
        <w:rPr>
          <w:rFonts w:hint="eastAsia" w:ascii="宋体" w:hAnsi="宋体" w:cs="宋体"/>
          <w:b/>
          <w:bCs/>
          <w:color w:val="auto"/>
          <w:sz w:val="22"/>
          <w:szCs w:val="22"/>
          <w:highlight w:val="none"/>
        </w:rPr>
        <w:t>1、此表总计价应与附件一中“2、报价一览表”中报价相一致。</w:t>
      </w:r>
    </w:p>
    <w:p w14:paraId="12EB6B7F">
      <w:pPr>
        <w:spacing w:line="380" w:lineRule="exact"/>
        <w:ind w:firstLine="755" w:firstLineChars="342"/>
        <w:rPr>
          <w:rFonts w:ascii="宋体" w:hAnsi="宋体" w:cs="宋体"/>
          <w:b/>
          <w:bCs/>
          <w:color w:val="auto"/>
          <w:sz w:val="22"/>
          <w:szCs w:val="22"/>
          <w:highlight w:val="none"/>
        </w:rPr>
      </w:pPr>
      <w:r>
        <w:rPr>
          <w:rFonts w:hint="eastAsia" w:ascii="宋体" w:hAnsi="宋体" w:cs="宋体"/>
          <w:b/>
          <w:bCs/>
          <w:color w:val="auto"/>
          <w:sz w:val="22"/>
          <w:szCs w:val="22"/>
          <w:highlight w:val="none"/>
        </w:rPr>
        <w:t>2、不提供详细分项报价将视为没有实质性响应磋商文件。</w:t>
      </w:r>
    </w:p>
    <w:p w14:paraId="5AB30E9E">
      <w:pPr>
        <w:spacing w:line="380" w:lineRule="exact"/>
        <w:ind w:firstLine="720"/>
        <w:rPr>
          <w:rFonts w:ascii="宋体" w:hAnsi="宋体" w:cs="宋体"/>
          <w:b/>
          <w:bCs/>
          <w:color w:val="auto"/>
          <w:sz w:val="22"/>
          <w:szCs w:val="22"/>
          <w:highlight w:val="none"/>
        </w:rPr>
      </w:pPr>
      <w:r>
        <w:rPr>
          <w:rFonts w:hint="eastAsia" w:ascii="宋体" w:hAnsi="宋体" w:cs="宋体"/>
          <w:b/>
          <w:bCs/>
          <w:color w:val="auto"/>
          <w:sz w:val="22"/>
          <w:szCs w:val="22"/>
          <w:highlight w:val="none"/>
        </w:rPr>
        <w:t>3、如果免费请在该项内容栏内注明“免”，如果含在产品价格中则填“含”，如无此项内容则填“无”，不留空白。</w:t>
      </w:r>
    </w:p>
    <w:p w14:paraId="6E1A3519">
      <w:pPr>
        <w:spacing w:line="380" w:lineRule="exact"/>
        <w:rPr>
          <w:rFonts w:ascii="宋体" w:hAnsi="宋体" w:cs="宋体"/>
          <w:color w:val="auto"/>
          <w:sz w:val="20"/>
          <w:szCs w:val="22"/>
          <w:highlight w:val="none"/>
        </w:rPr>
      </w:pPr>
    </w:p>
    <w:p w14:paraId="49C64659">
      <w:pPr>
        <w:spacing w:line="360" w:lineRule="auto"/>
        <w:ind w:firstLine="5280" w:firstLineChars="2400"/>
        <w:rPr>
          <w:rFonts w:ascii="宋体" w:hAnsi="宋体" w:cs="宋体"/>
          <w:color w:val="auto"/>
          <w:sz w:val="22"/>
          <w:szCs w:val="22"/>
          <w:highlight w:val="none"/>
        </w:rPr>
      </w:pPr>
      <w:r>
        <w:rPr>
          <w:rFonts w:hint="eastAsia" w:ascii="宋体" w:hAnsi="宋体" w:cs="宋体"/>
          <w:color w:val="auto"/>
          <w:sz w:val="22"/>
          <w:szCs w:val="22"/>
          <w:highlight w:val="none"/>
        </w:rPr>
        <w:t>磋商供应商全称（盖章）：</w:t>
      </w:r>
    </w:p>
    <w:p w14:paraId="05FB902D">
      <w:pPr>
        <w:spacing w:line="360" w:lineRule="auto"/>
        <w:rPr>
          <w:rFonts w:ascii="宋体" w:hAnsi="宋体" w:cs="宋体"/>
          <w:color w:val="auto"/>
          <w:sz w:val="22"/>
          <w:szCs w:val="22"/>
          <w:highlight w:val="none"/>
        </w:rPr>
      </w:pPr>
      <w:r>
        <w:rPr>
          <w:rFonts w:hint="eastAsia" w:ascii="宋体" w:hAnsi="宋体" w:cs="宋体"/>
          <w:color w:val="auto"/>
          <w:sz w:val="22"/>
          <w:szCs w:val="22"/>
          <w:highlight w:val="none"/>
        </w:rPr>
        <w:t xml:space="preserve">                                                磋商供应商代表（签字）：</w:t>
      </w:r>
    </w:p>
    <w:p w14:paraId="6EB428C1">
      <w:pPr>
        <w:spacing w:line="360" w:lineRule="auto"/>
        <w:ind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 xml:space="preserve">                                              日   期：</w:t>
      </w:r>
    </w:p>
    <w:p w14:paraId="50F06354">
      <w:pPr>
        <w:pStyle w:val="2"/>
        <w:ind w:left="440" w:hanging="440"/>
        <w:rPr>
          <w:rFonts w:ascii="宋体" w:hAnsi="宋体" w:cs="宋体"/>
          <w:color w:val="auto"/>
          <w:sz w:val="22"/>
          <w:szCs w:val="22"/>
          <w:highlight w:val="none"/>
        </w:rPr>
      </w:pPr>
    </w:p>
    <w:p w14:paraId="6BBB9822">
      <w:pPr>
        <w:rPr>
          <w:rFonts w:ascii="宋体" w:hAnsi="宋体" w:cs="宋体"/>
          <w:color w:val="auto"/>
          <w:sz w:val="22"/>
          <w:szCs w:val="22"/>
          <w:highlight w:val="none"/>
        </w:rPr>
      </w:pPr>
    </w:p>
    <w:p w14:paraId="4041B492">
      <w:pPr>
        <w:pStyle w:val="2"/>
        <w:ind w:left="440" w:hanging="440"/>
        <w:rPr>
          <w:rFonts w:ascii="宋体" w:hAnsi="宋体" w:cs="宋体"/>
          <w:color w:val="auto"/>
          <w:sz w:val="22"/>
          <w:szCs w:val="22"/>
          <w:highlight w:val="none"/>
        </w:rPr>
      </w:pPr>
    </w:p>
    <w:p w14:paraId="11A20704">
      <w:pPr>
        <w:rPr>
          <w:color w:val="auto"/>
          <w:highlight w:val="none"/>
        </w:rPr>
      </w:pPr>
    </w:p>
    <w:p w14:paraId="7EBEDEF5">
      <w:pPr>
        <w:rPr>
          <w:rFonts w:ascii="宋体" w:hAnsi="宋体" w:cs="宋体"/>
          <w:color w:val="auto"/>
          <w:highlight w:val="none"/>
        </w:rPr>
      </w:pPr>
    </w:p>
    <w:p w14:paraId="785038DD">
      <w:pPr>
        <w:pStyle w:val="2"/>
        <w:spacing w:line="460" w:lineRule="exact"/>
        <w:ind w:left="433" w:hanging="433" w:hangingChars="196"/>
        <w:outlineLvl w:val="1"/>
        <w:rPr>
          <w:rFonts w:ascii="宋体" w:hAnsi="宋体" w:cs="宋体"/>
          <w:b/>
          <w:color w:val="auto"/>
          <w:sz w:val="22"/>
          <w:szCs w:val="22"/>
          <w:highlight w:val="none"/>
        </w:rPr>
      </w:pPr>
      <w:bookmarkStart w:id="232" w:name="_Toc9104"/>
      <w:bookmarkStart w:id="233" w:name="_Toc28095"/>
      <w:bookmarkStart w:id="234" w:name="_Toc31292"/>
      <w:bookmarkStart w:id="235" w:name="_Toc222"/>
      <w:bookmarkStart w:id="236" w:name="_Toc3861"/>
      <w:bookmarkStart w:id="237" w:name="_Toc17155"/>
      <w:r>
        <w:rPr>
          <w:rFonts w:hint="eastAsia" w:ascii="宋体" w:hAnsi="宋体" w:cs="宋体"/>
          <w:b/>
          <w:color w:val="auto"/>
          <w:sz w:val="22"/>
          <w:szCs w:val="22"/>
          <w:highlight w:val="none"/>
        </w:rPr>
        <w:t>附件二</w:t>
      </w:r>
      <w:bookmarkEnd w:id="232"/>
      <w:bookmarkEnd w:id="233"/>
      <w:bookmarkEnd w:id="234"/>
      <w:bookmarkEnd w:id="235"/>
      <w:bookmarkEnd w:id="236"/>
      <w:bookmarkEnd w:id="237"/>
    </w:p>
    <w:p w14:paraId="51A9BBD5">
      <w:pPr>
        <w:spacing w:line="460" w:lineRule="exact"/>
        <w:jc w:val="center"/>
        <w:outlineLvl w:val="2"/>
        <w:rPr>
          <w:rFonts w:ascii="宋体" w:hAnsi="宋体" w:cs="宋体"/>
          <w:color w:val="auto"/>
          <w:sz w:val="28"/>
          <w:szCs w:val="28"/>
          <w:highlight w:val="none"/>
        </w:rPr>
      </w:pPr>
      <w:bookmarkStart w:id="238" w:name="_Toc22740"/>
      <w:bookmarkStart w:id="239" w:name="_Toc6614"/>
      <w:bookmarkStart w:id="240" w:name="_Toc11190"/>
      <w:bookmarkStart w:id="241" w:name="_Toc23744"/>
      <w:bookmarkStart w:id="242" w:name="_Toc32327"/>
      <w:bookmarkStart w:id="243" w:name="_Toc25922"/>
      <w:r>
        <w:rPr>
          <w:rFonts w:hint="eastAsia" w:ascii="宋体" w:hAnsi="宋体" w:cs="宋体"/>
          <w:b/>
          <w:bCs/>
          <w:color w:val="auto"/>
          <w:sz w:val="28"/>
          <w:szCs w:val="28"/>
          <w:highlight w:val="none"/>
        </w:rPr>
        <w:t>资格证明文件</w:t>
      </w:r>
      <w:bookmarkEnd w:id="238"/>
      <w:bookmarkEnd w:id="239"/>
      <w:bookmarkEnd w:id="240"/>
      <w:bookmarkEnd w:id="241"/>
      <w:bookmarkEnd w:id="242"/>
      <w:bookmarkEnd w:id="243"/>
      <w:r>
        <w:rPr>
          <w:rFonts w:hint="eastAsia" w:ascii="宋体" w:hAnsi="宋体" w:cs="宋体"/>
          <w:color w:val="auto"/>
          <w:sz w:val="28"/>
          <w:szCs w:val="28"/>
          <w:highlight w:val="none"/>
        </w:rPr>
        <w:t xml:space="preserve"> </w:t>
      </w:r>
    </w:p>
    <w:p w14:paraId="45B4BCD1">
      <w:pPr>
        <w:spacing w:line="400" w:lineRule="exact"/>
        <w:outlineLvl w:val="3"/>
        <w:rPr>
          <w:rFonts w:ascii="宋体" w:hAnsi="宋体" w:cs="宋体"/>
          <w:b/>
          <w:bCs/>
          <w:color w:val="auto"/>
          <w:sz w:val="22"/>
          <w:szCs w:val="22"/>
          <w:highlight w:val="none"/>
        </w:rPr>
      </w:pPr>
      <w:r>
        <w:rPr>
          <w:rFonts w:hint="eastAsia" w:ascii="宋体" w:hAnsi="宋体" w:cs="宋体"/>
          <w:b/>
          <w:bCs/>
          <w:color w:val="auto"/>
          <w:sz w:val="22"/>
          <w:szCs w:val="22"/>
          <w:highlight w:val="none"/>
        </w:rPr>
        <w:t>1、有效营业执照（复印件盖单位公章）</w:t>
      </w:r>
    </w:p>
    <w:p w14:paraId="01DFF76E">
      <w:pPr>
        <w:spacing w:line="400" w:lineRule="exact"/>
        <w:outlineLvl w:val="3"/>
        <w:rPr>
          <w:rFonts w:ascii="宋体" w:hAnsi="宋体" w:cs="宋体"/>
          <w:b/>
          <w:bCs/>
          <w:color w:val="auto"/>
          <w:sz w:val="22"/>
          <w:szCs w:val="22"/>
          <w:highlight w:val="none"/>
        </w:rPr>
      </w:pPr>
      <w:r>
        <w:rPr>
          <w:rFonts w:hint="eastAsia" w:ascii="宋体" w:hAnsi="宋体" w:cs="宋体"/>
          <w:b/>
          <w:bCs/>
          <w:color w:val="auto"/>
          <w:sz w:val="22"/>
          <w:szCs w:val="22"/>
          <w:highlight w:val="none"/>
        </w:rPr>
        <w:t>2、最近一年财务报表(复印件，新成立的公司提供情况说明)；</w:t>
      </w:r>
    </w:p>
    <w:p w14:paraId="2E42BD82">
      <w:pPr>
        <w:spacing w:line="460" w:lineRule="exact"/>
        <w:ind w:left="514" w:leftChars="245"/>
        <w:jc w:val="left"/>
        <w:rPr>
          <w:rFonts w:ascii="宋体" w:hAnsi="宋体" w:cs="宋体"/>
          <w:b/>
          <w:bCs/>
          <w:color w:val="auto"/>
          <w:sz w:val="22"/>
          <w:szCs w:val="22"/>
          <w:highlight w:val="none"/>
        </w:rPr>
      </w:pPr>
    </w:p>
    <w:p w14:paraId="27502D35">
      <w:pPr>
        <w:spacing w:line="460" w:lineRule="exact"/>
        <w:jc w:val="left"/>
        <w:outlineLvl w:val="3"/>
        <w:rPr>
          <w:rFonts w:ascii="宋体" w:hAnsi="宋体" w:cs="宋体"/>
          <w:color w:val="auto"/>
          <w:sz w:val="22"/>
          <w:szCs w:val="22"/>
          <w:highlight w:val="none"/>
        </w:rPr>
      </w:pPr>
      <w:r>
        <w:rPr>
          <w:rFonts w:hint="eastAsia" w:ascii="宋体" w:hAnsi="宋体" w:cs="宋体"/>
          <w:b/>
          <w:bCs/>
          <w:color w:val="auto"/>
          <w:sz w:val="22"/>
          <w:szCs w:val="22"/>
          <w:highlight w:val="none"/>
        </w:rPr>
        <w:t>3、具有履行合同所必需的场地、设备和专业技术能力的承诺函；</w:t>
      </w:r>
    </w:p>
    <w:p w14:paraId="1E8258BC">
      <w:pPr>
        <w:shd w:val="clear" w:color="auto" w:fill="FFFFFF"/>
        <w:snapToGrid w:val="0"/>
        <w:spacing w:line="460" w:lineRule="exact"/>
        <w:rPr>
          <w:rFonts w:ascii="宋体" w:hAnsi="宋体" w:cs="宋体"/>
          <w:color w:val="auto"/>
          <w:sz w:val="22"/>
          <w:szCs w:val="22"/>
          <w:highlight w:val="none"/>
        </w:rPr>
      </w:pPr>
      <w:r>
        <w:rPr>
          <w:rFonts w:hint="eastAsia" w:ascii="宋体" w:hAnsi="宋体" w:cs="宋体"/>
          <w:color w:val="auto"/>
          <w:sz w:val="22"/>
          <w:szCs w:val="22"/>
          <w:highlight w:val="none"/>
        </w:rPr>
        <w:t>温州医科大学 、温州历程招标有限公司</w:t>
      </w:r>
      <w:r>
        <w:rPr>
          <w:rFonts w:hint="eastAsia" w:ascii="宋体" w:hAnsi="宋体" w:cs="宋体"/>
          <w:color w:val="auto"/>
          <w:kern w:val="0"/>
          <w:sz w:val="22"/>
          <w:szCs w:val="22"/>
          <w:highlight w:val="none"/>
        </w:rPr>
        <w:t>：</w:t>
      </w:r>
    </w:p>
    <w:p w14:paraId="6BA15A9A">
      <w:pPr>
        <w:widowControl/>
        <w:snapToGrid w:val="0"/>
        <w:spacing w:line="460" w:lineRule="exact"/>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我方</w:t>
      </w:r>
      <w:r>
        <w:rPr>
          <w:rFonts w:hint="eastAsia" w:ascii="宋体" w:hAnsi="宋体" w:cs="宋体"/>
          <w:color w:val="auto"/>
          <w:kern w:val="0"/>
          <w:sz w:val="22"/>
          <w:szCs w:val="22"/>
          <w:highlight w:val="none"/>
          <w:u w:val="single"/>
        </w:rPr>
        <w:t xml:space="preserve"> （供应商）</w:t>
      </w:r>
      <w:r>
        <w:rPr>
          <w:rFonts w:hint="eastAsia" w:ascii="宋体" w:hAnsi="宋体" w:cs="宋体"/>
          <w:color w:val="auto"/>
          <w:kern w:val="0"/>
          <w:sz w:val="22"/>
          <w:szCs w:val="22"/>
          <w:highlight w:val="none"/>
        </w:rPr>
        <w:t>承诺具有履行合同所必需的场地、设备和专业技术能力。如有虚假，采购人可取消我方任何资格（磋商/成交/签订合同），我方对此无任何异议。</w:t>
      </w:r>
    </w:p>
    <w:p w14:paraId="5B581143">
      <w:pPr>
        <w:widowControl/>
        <w:snapToGrid w:val="0"/>
        <w:spacing w:line="460" w:lineRule="exact"/>
        <w:ind w:firstLine="440" w:firstLineChars="200"/>
        <w:jc w:val="left"/>
        <w:rPr>
          <w:rFonts w:ascii="宋体" w:hAnsi="宋体" w:cs="宋体"/>
          <w:color w:val="auto"/>
          <w:kern w:val="0"/>
          <w:sz w:val="22"/>
          <w:szCs w:val="22"/>
          <w:highlight w:val="none"/>
        </w:rPr>
      </w:pPr>
    </w:p>
    <w:p w14:paraId="7FCFF5D8">
      <w:pPr>
        <w:widowControl/>
        <w:snapToGrid w:val="0"/>
        <w:spacing w:line="460" w:lineRule="exact"/>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特此承诺！</w:t>
      </w:r>
    </w:p>
    <w:p w14:paraId="7D2DE29C">
      <w:pPr>
        <w:widowControl/>
        <w:snapToGrid w:val="0"/>
        <w:spacing w:line="460" w:lineRule="exact"/>
        <w:ind w:firstLine="440" w:firstLineChars="200"/>
        <w:jc w:val="left"/>
        <w:rPr>
          <w:rFonts w:ascii="宋体" w:hAnsi="宋体" w:cs="宋体"/>
          <w:color w:val="auto"/>
          <w:kern w:val="0"/>
          <w:sz w:val="22"/>
          <w:szCs w:val="22"/>
          <w:highlight w:val="none"/>
        </w:rPr>
      </w:pPr>
    </w:p>
    <w:p w14:paraId="683B2EBF">
      <w:pPr>
        <w:widowControl/>
        <w:snapToGrid w:val="0"/>
        <w:spacing w:line="460" w:lineRule="exact"/>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供应商名称（盖章） ：</w:t>
      </w:r>
    </w:p>
    <w:p w14:paraId="18F838B8">
      <w:pPr>
        <w:widowControl/>
        <w:snapToGrid w:val="0"/>
        <w:spacing w:line="460" w:lineRule="exact"/>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法定代表人或其授权代表（签字或盖章）：</w:t>
      </w:r>
    </w:p>
    <w:p w14:paraId="5AE0BED5">
      <w:pPr>
        <w:widowControl/>
        <w:snapToGrid w:val="0"/>
        <w:spacing w:line="460" w:lineRule="exact"/>
        <w:ind w:firstLine="440" w:firstLineChars="200"/>
        <w:jc w:val="left"/>
        <w:rPr>
          <w:rFonts w:ascii="宋体" w:hAnsi="宋体" w:cs="宋体"/>
          <w:color w:val="auto"/>
          <w:kern w:val="0"/>
          <w:sz w:val="22"/>
          <w:szCs w:val="22"/>
          <w:highlight w:val="none"/>
        </w:rPr>
      </w:pPr>
    </w:p>
    <w:p w14:paraId="3019474F">
      <w:pPr>
        <w:pStyle w:val="2"/>
        <w:spacing w:line="460" w:lineRule="exact"/>
        <w:ind w:left="479" w:leftChars="228" w:firstLine="5280" w:firstLineChars="2400"/>
        <w:rPr>
          <w:rFonts w:ascii="宋体" w:hAnsi="宋体" w:cs="宋体"/>
          <w:color w:val="auto"/>
          <w:kern w:val="0"/>
          <w:sz w:val="22"/>
          <w:szCs w:val="22"/>
          <w:highlight w:val="none"/>
        </w:rPr>
      </w:pPr>
      <w:r>
        <w:rPr>
          <w:rFonts w:hint="eastAsia" w:ascii="宋体" w:hAnsi="宋体" w:cs="宋体"/>
          <w:color w:val="auto"/>
          <w:kern w:val="0"/>
          <w:sz w:val="22"/>
          <w:szCs w:val="22"/>
          <w:highlight w:val="none"/>
        </w:rPr>
        <w:t>日期：     年  月  日</w:t>
      </w:r>
    </w:p>
    <w:p w14:paraId="721A5EAA">
      <w:pPr>
        <w:pStyle w:val="2"/>
        <w:spacing w:line="460" w:lineRule="exact"/>
        <w:ind w:left="0" w:firstLine="0" w:firstLineChars="0"/>
        <w:rPr>
          <w:rFonts w:ascii="宋体" w:hAnsi="宋体" w:cs="宋体"/>
          <w:color w:val="auto"/>
          <w:kern w:val="0"/>
          <w:highlight w:val="none"/>
        </w:rPr>
      </w:pPr>
    </w:p>
    <w:p w14:paraId="3CECA5E2">
      <w:pPr>
        <w:spacing w:line="460" w:lineRule="exact"/>
        <w:jc w:val="left"/>
        <w:outlineLvl w:val="3"/>
        <w:rPr>
          <w:rFonts w:ascii="宋体" w:hAnsi="宋体" w:cs="宋体"/>
          <w:color w:val="auto"/>
          <w:sz w:val="22"/>
          <w:szCs w:val="22"/>
          <w:highlight w:val="none"/>
        </w:rPr>
      </w:pPr>
      <w:r>
        <w:rPr>
          <w:rFonts w:hint="eastAsia" w:ascii="宋体" w:hAnsi="宋体" w:cs="宋体"/>
          <w:b/>
          <w:bCs/>
          <w:color w:val="auto"/>
          <w:sz w:val="22"/>
          <w:szCs w:val="22"/>
          <w:highlight w:val="none"/>
        </w:rPr>
        <w:t>4、依法缴纳税收和社会保障资金的承诺函；</w:t>
      </w:r>
    </w:p>
    <w:p w14:paraId="3F2CC1ED">
      <w:pPr>
        <w:shd w:val="clear" w:color="auto" w:fill="FFFFFF"/>
        <w:snapToGrid w:val="0"/>
        <w:spacing w:line="460" w:lineRule="exact"/>
        <w:rPr>
          <w:rFonts w:ascii="宋体" w:hAnsi="宋体" w:cs="宋体"/>
          <w:color w:val="auto"/>
          <w:sz w:val="22"/>
          <w:szCs w:val="22"/>
          <w:highlight w:val="none"/>
        </w:rPr>
      </w:pPr>
      <w:r>
        <w:rPr>
          <w:rFonts w:hint="eastAsia" w:ascii="宋体" w:hAnsi="宋体" w:cs="宋体"/>
          <w:color w:val="auto"/>
          <w:sz w:val="22"/>
          <w:szCs w:val="22"/>
          <w:highlight w:val="none"/>
        </w:rPr>
        <w:t>温州医科大学 、温州历程招标有限公司</w:t>
      </w:r>
      <w:r>
        <w:rPr>
          <w:rFonts w:hint="eastAsia" w:ascii="宋体" w:hAnsi="宋体" w:cs="宋体"/>
          <w:color w:val="auto"/>
          <w:kern w:val="0"/>
          <w:sz w:val="22"/>
          <w:szCs w:val="22"/>
          <w:highlight w:val="none"/>
        </w:rPr>
        <w:t>：</w:t>
      </w:r>
    </w:p>
    <w:p w14:paraId="2CAD8FB2">
      <w:pPr>
        <w:spacing w:line="460" w:lineRule="exact"/>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我公司郑重声明，我公司严格依法缴纳税收和社会保障资金，本文件中所提供的相关材料均真实有效，不存在虚假、造假行为。如有违反，愿承担一切责任。</w:t>
      </w:r>
    </w:p>
    <w:p w14:paraId="5D1D224D">
      <w:pPr>
        <w:spacing w:line="460" w:lineRule="exact"/>
        <w:ind w:firstLine="440" w:firstLineChars="200"/>
        <w:rPr>
          <w:rFonts w:ascii="宋体" w:hAnsi="宋体" w:cs="宋体"/>
          <w:color w:val="auto"/>
          <w:kern w:val="0"/>
          <w:sz w:val="22"/>
          <w:szCs w:val="22"/>
          <w:highlight w:val="none"/>
        </w:rPr>
      </w:pPr>
    </w:p>
    <w:p w14:paraId="1599411A">
      <w:pPr>
        <w:spacing w:line="460" w:lineRule="exact"/>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特此承诺！</w:t>
      </w:r>
    </w:p>
    <w:p w14:paraId="1B818C3A">
      <w:pPr>
        <w:widowControl/>
        <w:snapToGrid w:val="0"/>
        <w:spacing w:line="460" w:lineRule="exact"/>
        <w:ind w:firstLine="440" w:firstLineChars="200"/>
        <w:jc w:val="left"/>
        <w:rPr>
          <w:rFonts w:ascii="宋体" w:hAnsi="宋体" w:cs="宋体"/>
          <w:color w:val="auto"/>
          <w:kern w:val="0"/>
          <w:sz w:val="22"/>
          <w:szCs w:val="22"/>
          <w:highlight w:val="none"/>
        </w:rPr>
      </w:pPr>
    </w:p>
    <w:p w14:paraId="4723021C">
      <w:pPr>
        <w:widowControl/>
        <w:snapToGrid w:val="0"/>
        <w:spacing w:line="460" w:lineRule="exact"/>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供应商名称（盖章） ：</w:t>
      </w:r>
    </w:p>
    <w:p w14:paraId="157EF669">
      <w:pPr>
        <w:widowControl/>
        <w:snapToGrid w:val="0"/>
        <w:spacing w:line="460" w:lineRule="exact"/>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法定代表人或其授权代表（签字或盖章）：</w:t>
      </w:r>
    </w:p>
    <w:p w14:paraId="038D542B">
      <w:pPr>
        <w:widowControl/>
        <w:snapToGrid w:val="0"/>
        <w:spacing w:line="460" w:lineRule="exact"/>
        <w:ind w:firstLine="440" w:firstLineChars="200"/>
        <w:jc w:val="left"/>
        <w:rPr>
          <w:rFonts w:ascii="宋体" w:hAnsi="宋体" w:cs="宋体"/>
          <w:color w:val="auto"/>
          <w:kern w:val="0"/>
          <w:sz w:val="22"/>
          <w:szCs w:val="22"/>
          <w:highlight w:val="none"/>
        </w:rPr>
      </w:pPr>
    </w:p>
    <w:p w14:paraId="387D151D">
      <w:pPr>
        <w:pStyle w:val="2"/>
        <w:spacing w:line="460" w:lineRule="exact"/>
        <w:ind w:left="-420" w:leftChars="-200" w:firstLine="6160" w:firstLineChars="2800"/>
        <w:rPr>
          <w:rFonts w:ascii="宋体" w:hAnsi="宋体" w:cs="宋体"/>
          <w:color w:val="auto"/>
          <w:kern w:val="0"/>
          <w:sz w:val="22"/>
          <w:szCs w:val="22"/>
          <w:highlight w:val="none"/>
        </w:rPr>
      </w:pPr>
      <w:r>
        <w:rPr>
          <w:rFonts w:hint="eastAsia" w:ascii="宋体" w:hAnsi="宋体" w:cs="宋体"/>
          <w:color w:val="auto"/>
          <w:kern w:val="0"/>
          <w:sz w:val="22"/>
          <w:szCs w:val="22"/>
          <w:highlight w:val="none"/>
        </w:rPr>
        <w:t>日期：     年  月  日</w:t>
      </w:r>
    </w:p>
    <w:p w14:paraId="481028E8">
      <w:pPr>
        <w:pStyle w:val="2"/>
        <w:spacing w:line="460" w:lineRule="exact"/>
        <w:ind w:left="0" w:firstLine="0" w:firstLineChars="0"/>
        <w:rPr>
          <w:rFonts w:ascii="宋体" w:hAnsi="宋体" w:cs="宋体"/>
          <w:color w:val="auto"/>
          <w:kern w:val="0"/>
          <w:highlight w:val="none"/>
        </w:rPr>
      </w:pPr>
    </w:p>
    <w:p w14:paraId="6DEB1597">
      <w:pPr>
        <w:pStyle w:val="2"/>
        <w:spacing w:line="460" w:lineRule="exact"/>
        <w:ind w:left="0" w:firstLine="0" w:firstLineChars="0"/>
        <w:rPr>
          <w:rFonts w:ascii="宋体" w:hAnsi="宋体" w:cs="宋体"/>
          <w:color w:val="auto"/>
          <w:kern w:val="0"/>
          <w:highlight w:val="none"/>
        </w:rPr>
      </w:pPr>
    </w:p>
    <w:p w14:paraId="089EC5F6">
      <w:pPr>
        <w:pStyle w:val="2"/>
        <w:spacing w:line="460" w:lineRule="exact"/>
        <w:ind w:left="0" w:firstLine="0" w:firstLineChars="0"/>
        <w:rPr>
          <w:rFonts w:ascii="宋体" w:hAnsi="宋体" w:cs="宋体"/>
          <w:color w:val="auto"/>
          <w:kern w:val="0"/>
          <w:highlight w:val="none"/>
        </w:rPr>
      </w:pPr>
    </w:p>
    <w:p w14:paraId="0A1FE702">
      <w:pPr>
        <w:spacing w:line="460" w:lineRule="exact"/>
        <w:outlineLvl w:val="3"/>
        <w:rPr>
          <w:rFonts w:ascii="宋体" w:hAnsi="宋体" w:cs="宋体"/>
          <w:b/>
          <w:bCs/>
          <w:color w:val="auto"/>
          <w:sz w:val="22"/>
          <w:szCs w:val="22"/>
          <w:highlight w:val="none"/>
        </w:rPr>
      </w:pPr>
      <w:r>
        <w:rPr>
          <w:rFonts w:hint="eastAsia" w:ascii="宋体" w:hAnsi="宋体" w:cs="宋体"/>
          <w:b/>
          <w:bCs/>
          <w:color w:val="auto"/>
          <w:sz w:val="22"/>
          <w:szCs w:val="22"/>
          <w:highlight w:val="none"/>
        </w:rPr>
        <w:t>5、参加政府采购活动前3年内在经营活动中没有重大违法记录的声明函；</w:t>
      </w:r>
    </w:p>
    <w:p w14:paraId="5AB6FE6D">
      <w:pPr>
        <w:shd w:val="clear" w:color="auto" w:fill="FFFFFF"/>
        <w:snapToGrid w:val="0"/>
        <w:spacing w:line="460" w:lineRule="exact"/>
        <w:rPr>
          <w:rFonts w:ascii="宋体" w:hAnsi="宋体" w:cs="宋体"/>
          <w:color w:val="auto"/>
          <w:sz w:val="22"/>
          <w:szCs w:val="22"/>
          <w:highlight w:val="none"/>
        </w:rPr>
      </w:pPr>
      <w:r>
        <w:rPr>
          <w:rFonts w:hint="eastAsia" w:ascii="宋体" w:hAnsi="宋体" w:cs="宋体"/>
          <w:color w:val="auto"/>
          <w:sz w:val="22"/>
          <w:szCs w:val="22"/>
          <w:highlight w:val="none"/>
        </w:rPr>
        <w:t>温州医科大学 、温州历程招标有限公司</w:t>
      </w:r>
      <w:r>
        <w:rPr>
          <w:rFonts w:hint="eastAsia" w:ascii="宋体" w:hAnsi="宋体" w:cs="宋体"/>
          <w:color w:val="auto"/>
          <w:kern w:val="0"/>
          <w:sz w:val="22"/>
          <w:szCs w:val="22"/>
          <w:highlight w:val="none"/>
        </w:rPr>
        <w:t>：</w:t>
      </w:r>
    </w:p>
    <w:p w14:paraId="5D03AFC3">
      <w:pPr>
        <w:widowControl/>
        <w:snapToGrid w:val="0"/>
        <w:spacing w:line="460" w:lineRule="exact"/>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我方</w:t>
      </w:r>
      <w:r>
        <w:rPr>
          <w:rFonts w:hint="eastAsia" w:ascii="宋体" w:hAnsi="宋体" w:cs="宋体"/>
          <w:color w:val="auto"/>
          <w:kern w:val="0"/>
          <w:sz w:val="22"/>
          <w:szCs w:val="22"/>
          <w:highlight w:val="none"/>
          <w:u w:val="single"/>
        </w:rPr>
        <w:t xml:space="preserve"> （供应商）</w:t>
      </w:r>
      <w:r>
        <w:rPr>
          <w:rFonts w:hint="eastAsia" w:ascii="宋体" w:hAnsi="宋体" w:cs="宋体"/>
          <w:color w:val="auto"/>
          <w:kern w:val="0"/>
          <w:sz w:val="22"/>
          <w:szCs w:val="22"/>
          <w:highlight w:val="none"/>
        </w:rPr>
        <w:t>具有良好的商业信誉，依法缴纳税收和社会保障资金，未被列入失信被执行人名单、重大税收违法案件当事人名单、政府采购严重违法失信行为记录名单，参加本次政府采购活动前3年内在经营活动中没有重大违法记录（没有因违法经营受到刑事处罚，没有被责令停产停业、被吊销许可证或者执照、被处以较大数额罚款等行政处罚，没有因违法经营被禁止参加政府采购活动的期限未满情形）。如有虚假，采购人可取消我方任何资格（磋商/成交/签订合同），我方对此无任何异议。</w:t>
      </w:r>
    </w:p>
    <w:p w14:paraId="17C41965">
      <w:pPr>
        <w:widowControl/>
        <w:snapToGrid w:val="0"/>
        <w:spacing w:line="460" w:lineRule="exact"/>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特此承诺！</w:t>
      </w:r>
    </w:p>
    <w:p w14:paraId="7EA74496">
      <w:pPr>
        <w:widowControl/>
        <w:snapToGrid w:val="0"/>
        <w:spacing w:line="460" w:lineRule="exact"/>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供应商名称（盖章） ：</w:t>
      </w:r>
    </w:p>
    <w:p w14:paraId="34C8318D">
      <w:pPr>
        <w:widowControl/>
        <w:snapToGrid w:val="0"/>
        <w:spacing w:line="460" w:lineRule="exact"/>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法定代表人或其授权代表（签字或盖章）：</w:t>
      </w:r>
    </w:p>
    <w:p w14:paraId="587DD944">
      <w:pPr>
        <w:widowControl/>
        <w:snapToGrid w:val="0"/>
        <w:spacing w:line="460" w:lineRule="exact"/>
        <w:ind w:firstLine="440" w:firstLineChars="200"/>
        <w:jc w:val="left"/>
        <w:rPr>
          <w:rFonts w:ascii="宋体" w:hAnsi="宋体" w:cs="宋体"/>
          <w:color w:val="auto"/>
          <w:kern w:val="0"/>
          <w:sz w:val="22"/>
          <w:szCs w:val="22"/>
          <w:highlight w:val="none"/>
        </w:rPr>
      </w:pPr>
    </w:p>
    <w:p w14:paraId="5871F891">
      <w:pPr>
        <w:pStyle w:val="2"/>
        <w:spacing w:line="460" w:lineRule="exact"/>
        <w:ind w:left="514" w:leftChars="245" w:firstLine="5720" w:firstLineChars="2600"/>
        <w:rPr>
          <w:rFonts w:ascii="宋体" w:hAnsi="宋体" w:cs="宋体"/>
          <w:color w:val="auto"/>
          <w:highlight w:val="none"/>
        </w:rPr>
      </w:pPr>
      <w:r>
        <w:rPr>
          <w:rFonts w:hint="eastAsia" w:ascii="宋体" w:hAnsi="宋体" w:cs="宋体"/>
          <w:color w:val="auto"/>
          <w:kern w:val="0"/>
          <w:sz w:val="22"/>
          <w:szCs w:val="22"/>
          <w:highlight w:val="none"/>
        </w:rPr>
        <w:t>日期：     年  月  日</w:t>
      </w:r>
    </w:p>
    <w:p w14:paraId="01F123A5">
      <w:pPr>
        <w:spacing w:line="460" w:lineRule="exact"/>
        <w:ind w:left="514" w:leftChars="245"/>
        <w:rPr>
          <w:rFonts w:ascii="宋体" w:hAnsi="宋体" w:cs="宋体"/>
          <w:b/>
          <w:bCs/>
          <w:color w:val="auto"/>
          <w:sz w:val="22"/>
          <w:szCs w:val="22"/>
          <w:highlight w:val="none"/>
        </w:rPr>
      </w:pPr>
    </w:p>
    <w:p w14:paraId="1A049BC6">
      <w:pPr>
        <w:spacing w:line="460" w:lineRule="exact"/>
        <w:ind w:left="514" w:leftChars="245"/>
        <w:rPr>
          <w:rFonts w:ascii="宋体" w:hAnsi="宋体" w:cs="宋体"/>
          <w:b/>
          <w:bCs/>
          <w:color w:val="auto"/>
          <w:sz w:val="22"/>
          <w:szCs w:val="22"/>
          <w:highlight w:val="none"/>
        </w:rPr>
      </w:pPr>
    </w:p>
    <w:p w14:paraId="0DE93546">
      <w:pPr>
        <w:pStyle w:val="2"/>
        <w:ind w:left="0" w:firstLine="0" w:firstLineChars="0"/>
        <w:rPr>
          <w:rFonts w:ascii="宋体" w:hAnsi="宋体" w:cs="宋体"/>
          <w:color w:val="auto"/>
          <w:highlight w:val="none"/>
        </w:rPr>
      </w:pPr>
    </w:p>
    <w:p w14:paraId="1D829902">
      <w:pPr>
        <w:spacing w:line="460" w:lineRule="exact"/>
        <w:outlineLvl w:val="3"/>
        <w:rPr>
          <w:rFonts w:ascii="宋体" w:hAnsi="宋体" w:cs="宋体"/>
          <w:b/>
          <w:bCs/>
          <w:color w:val="auto"/>
          <w:sz w:val="22"/>
          <w:szCs w:val="22"/>
          <w:highlight w:val="none"/>
        </w:rPr>
      </w:pPr>
      <w:r>
        <w:rPr>
          <w:rFonts w:hint="eastAsia" w:ascii="宋体" w:hAnsi="宋体" w:cs="宋体"/>
          <w:b/>
          <w:bCs/>
          <w:color w:val="auto"/>
          <w:sz w:val="22"/>
          <w:szCs w:val="22"/>
          <w:highlight w:val="none"/>
        </w:rPr>
        <w:t>6、单位负责人为同一人或者存在直接控股、管理关系的不同供应商，不得参加同一合同项下的政府采购活动承诺函；</w:t>
      </w:r>
    </w:p>
    <w:p w14:paraId="348B9A3E">
      <w:pPr>
        <w:shd w:val="clear" w:color="auto" w:fill="FFFFFF"/>
        <w:snapToGrid w:val="0"/>
        <w:spacing w:line="460" w:lineRule="exact"/>
        <w:rPr>
          <w:rFonts w:ascii="宋体" w:hAnsi="宋体" w:cs="宋体"/>
          <w:color w:val="auto"/>
          <w:sz w:val="22"/>
          <w:szCs w:val="22"/>
          <w:highlight w:val="none"/>
        </w:rPr>
      </w:pPr>
      <w:r>
        <w:rPr>
          <w:rFonts w:hint="eastAsia" w:ascii="宋体" w:hAnsi="宋体" w:cs="宋体"/>
          <w:color w:val="auto"/>
          <w:sz w:val="22"/>
          <w:szCs w:val="22"/>
          <w:highlight w:val="none"/>
        </w:rPr>
        <w:t>温州医科大学 、温州历程招标有限公司</w:t>
      </w:r>
      <w:r>
        <w:rPr>
          <w:rFonts w:hint="eastAsia" w:ascii="宋体" w:hAnsi="宋体" w:cs="宋体"/>
          <w:color w:val="auto"/>
          <w:kern w:val="0"/>
          <w:sz w:val="22"/>
          <w:szCs w:val="22"/>
          <w:highlight w:val="none"/>
        </w:rPr>
        <w:t>：</w:t>
      </w:r>
    </w:p>
    <w:p w14:paraId="516F355A">
      <w:pPr>
        <w:spacing w:line="460" w:lineRule="exact"/>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我方郑重承诺，我方此次参加（项目名称）</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的磋商，与参加本次项目同一合同项下政府采购活动的其他供应商不存在单位负责人为同一人或者直接控股、管理关系。如有虚假或隐瞒，愿意承担一切后果。</w:t>
      </w:r>
    </w:p>
    <w:p w14:paraId="5B572F1D">
      <w:pPr>
        <w:shd w:val="clear" w:color="auto" w:fill="FFFFFF"/>
        <w:snapToGrid w:val="0"/>
        <w:spacing w:line="460" w:lineRule="exact"/>
        <w:jc w:val="center"/>
        <w:rPr>
          <w:rFonts w:ascii="宋体" w:hAnsi="宋体" w:cs="宋体"/>
          <w:b/>
          <w:color w:val="auto"/>
          <w:kern w:val="36"/>
          <w:sz w:val="22"/>
          <w:szCs w:val="22"/>
          <w:highlight w:val="none"/>
        </w:rPr>
      </w:pPr>
    </w:p>
    <w:p w14:paraId="59B75CA0">
      <w:pPr>
        <w:widowControl/>
        <w:snapToGrid w:val="0"/>
        <w:spacing w:line="460" w:lineRule="exact"/>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特此承诺！</w:t>
      </w:r>
    </w:p>
    <w:p w14:paraId="33CED44D">
      <w:pPr>
        <w:widowControl/>
        <w:snapToGrid w:val="0"/>
        <w:spacing w:line="460" w:lineRule="exact"/>
        <w:ind w:firstLine="440" w:firstLineChars="200"/>
        <w:jc w:val="left"/>
        <w:rPr>
          <w:rFonts w:ascii="宋体" w:hAnsi="宋体" w:cs="宋体"/>
          <w:color w:val="auto"/>
          <w:kern w:val="0"/>
          <w:sz w:val="22"/>
          <w:szCs w:val="22"/>
          <w:highlight w:val="none"/>
        </w:rPr>
      </w:pPr>
    </w:p>
    <w:p w14:paraId="2683E63B">
      <w:pPr>
        <w:widowControl/>
        <w:snapToGrid w:val="0"/>
        <w:spacing w:line="460" w:lineRule="exact"/>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供应商名称（盖章） ：</w:t>
      </w:r>
    </w:p>
    <w:p w14:paraId="05C652C7">
      <w:pPr>
        <w:widowControl/>
        <w:snapToGrid w:val="0"/>
        <w:spacing w:line="460" w:lineRule="exact"/>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法定代表人或其授权代表（签字或盖章）：</w:t>
      </w:r>
    </w:p>
    <w:p w14:paraId="7AE5B5DA">
      <w:pPr>
        <w:widowControl/>
        <w:adjustRightInd w:val="0"/>
        <w:snapToGrid w:val="0"/>
        <w:spacing w:line="460" w:lineRule="exact"/>
        <w:ind w:firstLine="440" w:firstLineChars="200"/>
        <w:jc w:val="left"/>
        <w:rPr>
          <w:rFonts w:ascii="宋体" w:hAnsi="宋体" w:cs="宋体"/>
          <w:color w:val="auto"/>
          <w:kern w:val="0"/>
          <w:sz w:val="22"/>
          <w:szCs w:val="22"/>
          <w:highlight w:val="none"/>
        </w:rPr>
      </w:pPr>
    </w:p>
    <w:p w14:paraId="1D6FF07D">
      <w:pPr>
        <w:pStyle w:val="2"/>
        <w:spacing w:line="460" w:lineRule="exact"/>
        <w:ind w:left="514" w:leftChars="245" w:firstLine="5720" w:firstLineChars="2600"/>
        <w:rPr>
          <w:rFonts w:ascii="宋体" w:hAnsi="宋体" w:cs="宋体"/>
          <w:color w:val="auto"/>
          <w:kern w:val="0"/>
          <w:highlight w:val="none"/>
        </w:rPr>
      </w:pPr>
      <w:r>
        <w:rPr>
          <w:rFonts w:hint="eastAsia" w:ascii="宋体" w:hAnsi="宋体" w:cs="宋体"/>
          <w:color w:val="auto"/>
          <w:kern w:val="0"/>
          <w:sz w:val="22"/>
          <w:szCs w:val="22"/>
          <w:highlight w:val="none"/>
        </w:rPr>
        <w:t>日期：     年  月  日</w:t>
      </w:r>
    </w:p>
    <w:p w14:paraId="1E9F1AF3">
      <w:pPr>
        <w:pStyle w:val="2"/>
        <w:spacing w:line="460" w:lineRule="exact"/>
        <w:ind w:left="0" w:firstLine="0" w:firstLineChars="0"/>
        <w:rPr>
          <w:rFonts w:ascii="宋体" w:hAnsi="宋体" w:cs="宋体"/>
          <w:color w:val="auto"/>
          <w:kern w:val="0"/>
          <w:highlight w:val="none"/>
        </w:rPr>
      </w:pPr>
    </w:p>
    <w:p w14:paraId="62402892">
      <w:pPr>
        <w:spacing w:line="400" w:lineRule="exact"/>
        <w:outlineLvl w:val="3"/>
        <w:rPr>
          <w:rFonts w:ascii="宋体" w:hAnsi="宋体" w:cs="宋体"/>
          <w:b/>
          <w:bCs/>
          <w:color w:val="auto"/>
          <w:sz w:val="24"/>
          <w:highlight w:val="none"/>
        </w:rPr>
      </w:pPr>
      <w:r>
        <w:rPr>
          <w:rFonts w:hint="eastAsia" w:ascii="宋体" w:hAnsi="宋体" w:cs="宋体"/>
          <w:b/>
          <w:bCs/>
          <w:color w:val="auto"/>
          <w:sz w:val="24"/>
          <w:highlight w:val="none"/>
        </w:rPr>
        <w:t>7、磋商供应商不属于公益一类事业单位承诺函；</w:t>
      </w:r>
    </w:p>
    <w:p w14:paraId="7AF3CB45">
      <w:pPr>
        <w:shd w:val="clear" w:color="auto" w:fill="FFFFFF"/>
        <w:snapToGrid w:val="0"/>
        <w:spacing w:line="460" w:lineRule="exact"/>
        <w:rPr>
          <w:rFonts w:ascii="宋体" w:hAnsi="宋体" w:cs="宋体"/>
          <w:color w:val="auto"/>
          <w:sz w:val="22"/>
          <w:szCs w:val="22"/>
          <w:highlight w:val="none"/>
        </w:rPr>
      </w:pPr>
      <w:r>
        <w:rPr>
          <w:rFonts w:hint="eastAsia" w:ascii="宋体" w:hAnsi="宋体" w:cs="宋体"/>
          <w:color w:val="auto"/>
          <w:sz w:val="22"/>
          <w:szCs w:val="22"/>
          <w:highlight w:val="none"/>
        </w:rPr>
        <w:t>温州医科大学 、温州历程招标有限公司</w:t>
      </w:r>
      <w:r>
        <w:rPr>
          <w:rFonts w:hint="eastAsia" w:ascii="宋体" w:hAnsi="宋体" w:cs="宋体"/>
          <w:color w:val="auto"/>
          <w:kern w:val="0"/>
          <w:sz w:val="22"/>
          <w:szCs w:val="22"/>
          <w:highlight w:val="none"/>
        </w:rPr>
        <w:t>：</w:t>
      </w:r>
    </w:p>
    <w:p w14:paraId="3D5CEE8C">
      <w:pPr>
        <w:spacing w:line="460" w:lineRule="exact"/>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我方郑重承诺，我单位不属于公益一类事业单位，</w:t>
      </w:r>
      <w:r>
        <w:rPr>
          <w:rFonts w:hint="eastAsia" w:ascii="宋体" w:hAnsi="宋体" w:cs="宋体"/>
          <w:color w:val="auto"/>
          <w:spacing w:val="-6"/>
          <w:kern w:val="0"/>
          <w:sz w:val="22"/>
          <w:szCs w:val="22"/>
          <w:highlight w:val="none"/>
        </w:rPr>
        <w:t>可承接（</w:t>
      </w:r>
      <w:r>
        <w:rPr>
          <w:rFonts w:hint="eastAsia" w:ascii="宋体" w:hAnsi="宋体" w:cs="宋体"/>
          <w:color w:val="auto"/>
          <w:kern w:val="0"/>
          <w:sz w:val="22"/>
          <w:szCs w:val="22"/>
          <w:highlight w:val="none"/>
        </w:rPr>
        <w:t>项目名称</w:t>
      </w:r>
      <w:r>
        <w:rPr>
          <w:rFonts w:hint="eastAsia" w:ascii="宋体" w:hAnsi="宋体" w:cs="宋体"/>
          <w:color w:val="auto"/>
          <w:spacing w:val="-6"/>
          <w:kern w:val="0"/>
          <w:sz w:val="22"/>
          <w:szCs w:val="22"/>
          <w:highlight w:val="none"/>
        </w:rPr>
        <w:t>）</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项目的相关服务内容。如有虚假或隐瞒，愿意承担一切后果。</w:t>
      </w:r>
    </w:p>
    <w:p w14:paraId="5F3BA57C">
      <w:pPr>
        <w:shd w:val="clear" w:color="auto" w:fill="FFFFFF"/>
        <w:snapToGrid w:val="0"/>
        <w:spacing w:line="460" w:lineRule="exact"/>
        <w:jc w:val="center"/>
        <w:rPr>
          <w:rFonts w:ascii="宋体" w:hAnsi="宋体" w:cs="宋体"/>
          <w:b/>
          <w:color w:val="auto"/>
          <w:kern w:val="36"/>
          <w:sz w:val="22"/>
          <w:szCs w:val="22"/>
          <w:highlight w:val="none"/>
        </w:rPr>
      </w:pPr>
    </w:p>
    <w:p w14:paraId="478904C6">
      <w:pPr>
        <w:widowControl/>
        <w:snapToGrid w:val="0"/>
        <w:spacing w:line="460" w:lineRule="exact"/>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特此承诺！</w:t>
      </w:r>
    </w:p>
    <w:p w14:paraId="56AFC487">
      <w:pPr>
        <w:widowControl/>
        <w:snapToGrid w:val="0"/>
        <w:spacing w:line="460" w:lineRule="exact"/>
        <w:ind w:firstLine="440" w:firstLineChars="200"/>
        <w:jc w:val="left"/>
        <w:rPr>
          <w:rFonts w:ascii="宋体" w:hAnsi="宋体" w:cs="宋体"/>
          <w:color w:val="auto"/>
          <w:kern w:val="0"/>
          <w:sz w:val="22"/>
          <w:szCs w:val="22"/>
          <w:highlight w:val="none"/>
        </w:rPr>
      </w:pPr>
    </w:p>
    <w:p w14:paraId="2C49692E">
      <w:pPr>
        <w:widowControl/>
        <w:snapToGrid w:val="0"/>
        <w:spacing w:line="460" w:lineRule="exact"/>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供应商名称（盖章） ：</w:t>
      </w:r>
    </w:p>
    <w:p w14:paraId="635C79B0">
      <w:pPr>
        <w:widowControl/>
        <w:snapToGrid w:val="0"/>
        <w:spacing w:line="460" w:lineRule="exact"/>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法定代表人或其授权代表（签字或盖章）：</w:t>
      </w:r>
    </w:p>
    <w:p w14:paraId="3D7D3BE7">
      <w:pPr>
        <w:widowControl/>
        <w:adjustRightInd w:val="0"/>
        <w:snapToGrid w:val="0"/>
        <w:spacing w:line="460" w:lineRule="exact"/>
        <w:ind w:firstLine="440" w:firstLineChars="200"/>
        <w:jc w:val="left"/>
        <w:rPr>
          <w:rFonts w:ascii="宋体" w:hAnsi="宋体" w:cs="宋体"/>
          <w:color w:val="auto"/>
          <w:kern w:val="0"/>
          <w:sz w:val="22"/>
          <w:szCs w:val="22"/>
          <w:highlight w:val="none"/>
        </w:rPr>
      </w:pPr>
    </w:p>
    <w:p w14:paraId="03A270A2">
      <w:pPr>
        <w:widowControl/>
        <w:adjustRightInd w:val="0"/>
        <w:snapToGrid w:val="0"/>
        <w:spacing w:line="460" w:lineRule="exact"/>
        <w:ind w:firstLine="6160" w:firstLineChars="2800"/>
        <w:jc w:val="left"/>
        <w:rPr>
          <w:rFonts w:ascii="宋体" w:hAnsi="宋体" w:cs="宋体"/>
          <w:color w:val="auto"/>
          <w:kern w:val="0"/>
          <w:sz w:val="24"/>
          <w:highlight w:val="none"/>
        </w:rPr>
      </w:pPr>
      <w:r>
        <w:rPr>
          <w:rFonts w:hint="eastAsia" w:ascii="宋体" w:hAnsi="宋体" w:cs="宋体"/>
          <w:color w:val="auto"/>
          <w:kern w:val="0"/>
          <w:sz w:val="22"/>
          <w:szCs w:val="22"/>
          <w:highlight w:val="none"/>
        </w:rPr>
        <w:t>日期：     年  月  日</w:t>
      </w:r>
    </w:p>
    <w:p w14:paraId="08136AA4">
      <w:pPr>
        <w:pStyle w:val="2"/>
        <w:spacing w:line="460" w:lineRule="exact"/>
        <w:ind w:left="514" w:leftChars="245" w:firstLine="0" w:firstLineChars="0"/>
        <w:rPr>
          <w:rFonts w:ascii="宋体" w:hAnsi="宋体" w:cs="宋体"/>
          <w:color w:val="auto"/>
          <w:highlight w:val="none"/>
        </w:rPr>
      </w:pPr>
    </w:p>
    <w:p w14:paraId="2635765E">
      <w:pPr>
        <w:pStyle w:val="2"/>
        <w:spacing w:line="460" w:lineRule="exact"/>
        <w:ind w:left="514" w:leftChars="245" w:firstLine="0" w:firstLineChars="0"/>
        <w:rPr>
          <w:rFonts w:ascii="宋体" w:hAnsi="宋体" w:cs="宋体"/>
          <w:color w:val="auto"/>
          <w:highlight w:val="none"/>
        </w:rPr>
      </w:pPr>
    </w:p>
    <w:p w14:paraId="1A95BD38">
      <w:pPr>
        <w:pStyle w:val="2"/>
        <w:spacing w:line="460" w:lineRule="exact"/>
        <w:ind w:left="514" w:leftChars="245" w:firstLine="0" w:firstLineChars="0"/>
        <w:rPr>
          <w:rFonts w:ascii="宋体" w:hAnsi="宋体" w:cs="宋体"/>
          <w:color w:val="auto"/>
          <w:highlight w:val="none"/>
        </w:rPr>
      </w:pPr>
    </w:p>
    <w:p w14:paraId="2DD19EEE">
      <w:pPr>
        <w:pStyle w:val="2"/>
        <w:spacing w:line="460" w:lineRule="exact"/>
        <w:ind w:left="514" w:leftChars="245" w:firstLine="0" w:firstLineChars="0"/>
        <w:rPr>
          <w:rFonts w:ascii="宋体" w:hAnsi="宋体" w:cs="宋体"/>
          <w:color w:val="auto"/>
          <w:highlight w:val="none"/>
        </w:rPr>
      </w:pPr>
    </w:p>
    <w:p w14:paraId="7736FDB2">
      <w:pPr>
        <w:spacing w:line="400" w:lineRule="exact"/>
        <w:outlineLvl w:val="3"/>
        <w:rPr>
          <w:rFonts w:ascii="宋体" w:hAnsi="宋体" w:cs="宋体"/>
          <w:b/>
          <w:bCs/>
          <w:color w:val="auto"/>
          <w:sz w:val="24"/>
          <w:highlight w:val="none"/>
        </w:rPr>
      </w:pPr>
      <w:r>
        <w:rPr>
          <w:rFonts w:hint="eastAsia" w:ascii="宋体" w:hAnsi="宋体" w:cs="宋体"/>
          <w:b/>
          <w:bCs/>
          <w:color w:val="auto"/>
          <w:sz w:val="24"/>
          <w:highlight w:val="none"/>
        </w:rPr>
        <w:t>8、磋商供应商信用查询：</w:t>
      </w:r>
    </w:p>
    <w:p w14:paraId="00576395">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1、磋商供应商信用信息查询的查询渠道：“信用中国”(www.creditchina.gov.cn)；“中国政府采购网”（http://www.ccgp.gov.cn/）；</w:t>
      </w:r>
    </w:p>
    <w:p w14:paraId="44698609">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2、磋商供应商信用信息查询截止时点：竞争性磋商公告发布之日至磋商响应文件递交截止时间前。</w:t>
      </w:r>
    </w:p>
    <w:p w14:paraId="5E5AE5ED">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3、磋商供应商信用信息查询记录和证据留存的具体方式：网页截图；</w:t>
      </w:r>
    </w:p>
    <w:p w14:paraId="0F5A015B">
      <w:pPr>
        <w:tabs>
          <w:tab w:val="left" w:pos="360"/>
        </w:tabs>
        <w:spacing w:line="460" w:lineRule="exact"/>
        <w:ind w:firstLine="552" w:firstLineChars="250"/>
        <w:rPr>
          <w:rFonts w:ascii="宋体" w:hAnsi="宋体" w:cs="宋体"/>
          <w:b/>
          <w:bCs/>
          <w:color w:val="auto"/>
          <w:sz w:val="22"/>
          <w:szCs w:val="22"/>
          <w:highlight w:val="none"/>
          <w:u w:val="single"/>
        </w:rPr>
      </w:pPr>
      <w:r>
        <w:rPr>
          <w:rFonts w:hint="eastAsia" w:ascii="宋体" w:hAnsi="宋体" w:cs="宋体"/>
          <w:b/>
          <w:bCs/>
          <w:color w:val="auto"/>
          <w:sz w:val="22"/>
          <w:highlight w:val="none"/>
          <w:u w:val="single"/>
        </w:rPr>
        <w:t>4、信用信息的使用规则：对列入失信被执行人、重大税收违法案件当事人名单、政府采购严重违法失信行为记录名单及其他不符合《中华人民共和国政府采购法》第二十二条规定条件的供应商，其磋商响应文件做无效处理。</w:t>
      </w:r>
    </w:p>
    <w:p w14:paraId="5765051C">
      <w:pPr>
        <w:spacing w:line="460" w:lineRule="exact"/>
        <w:rPr>
          <w:rFonts w:ascii="宋体" w:hAnsi="宋体" w:cs="宋体"/>
          <w:b/>
          <w:bCs/>
          <w:color w:val="auto"/>
          <w:sz w:val="22"/>
          <w:szCs w:val="22"/>
          <w:highlight w:val="none"/>
        </w:rPr>
      </w:pPr>
    </w:p>
    <w:p w14:paraId="03D8118E">
      <w:pPr>
        <w:spacing w:line="460" w:lineRule="exact"/>
        <w:rPr>
          <w:rFonts w:ascii="宋体" w:hAnsi="宋体" w:cs="宋体"/>
          <w:b/>
          <w:bCs/>
          <w:color w:val="auto"/>
          <w:sz w:val="22"/>
          <w:szCs w:val="22"/>
          <w:highlight w:val="none"/>
        </w:rPr>
      </w:pPr>
    </w:p>
    <w:p w14:paraId="472B2C42">
      <w:pPr>
        <w:spacing w:line="460" w:lineRule="exact"/>
        <w:rPr>
          <w:rFonts w:ascii="宋体" w:hAnsi="宋体" w:cs="宋体"/>
          <w:b/>
          <w:bCs/>
          <w:color w:val="auto"/>
          <w:sz w:val="22"/>
          <w:szCs w:val="22"/>
          <w:highlight w:val="none"/>
        </w:rPr>
      </w:pPr>
    </w:p>
    <w:p w14:paraId="487CACFC">
      <w:pPr>
        <w:spacing w:line="460" w:lineRule="exact"/>
        <w:rPr>
          <w:rFonts w:ascii="宋体" w:hAnsi="宋体" w:cs="宋体"/>
          <w:b/>
          <w:bCs/>
          <w:color w:val="auto"/>
          <w:sz w:val="22"/>
          <w:szCs w:val="22"/>
          <w:highlight w:val="none"/>
        </w:rPr>
      </w:pPr>
    </w:p>
    <w:p w14:paraId="2AAE03B7">
      <w:pPr>
        <w:spacing w:line="460" w:lineRule="exact"/>
        <w:rPr>
          <w:rFonts w:ascii="宋体" w:hAnsi="宋体" w:cs="宋体"/>
          <w:b/>
          <w:bCs/>
          <w:color w:val="auto"/>
          <w:sz w:val="22"/>
          <w:szCs w:val="22"/>
          <w:highlight w:val="none"/>
        </w:rPr>
      </w:pPr>
    </w:p>
    <w:p w14:paraId="2E87B43B">
      <w:pPr>
        <w:spacing w:line="460" w:lineRule="exact"/>
        <w:rPr>
          <w:rFonts w:ascii="宋体" w:hAnsi="宋体" w:cs="宋体"/>
          <w:b/>
          <w:bCs/>
          <w:color w:val="auto"/>
          <w:sz w:val="22"/>
          <w:szCs w:val="22"/>
          <w:highlight w:val="none"/>
        </w:rPr>
      </w:pPr>
    </w:p>
    <w:p w14:paraId="5F2647E1">
      <w:pPr>
        <w:spacing w:line="460" w:lineRule="exact"/>
        <w:jc w:val="center"/>
        <w:outlineLvl w:val="3"/>
        <w:rPr>
          <w:rFonts w:ascii="宋体" w:hAnsi="宋体" w:cs="宋体"/>
          <w:b/>
          <w:bCs/>
          <w:color w:val="auto"/>
          <w:sz w:val="22"/>
          <w:szCs w:val="22"/>
          <w:highlight w:val="none"/>
        </w:rPr>
      </w:pPr>
      <w:r>
        <w:rPr>
          <w:rFonts w:hint="eastAsia" w:ascii="宋体" w:hAnsi="宋体" w:cs="宋体"/>
          <w:b/>
          <w:bCs/>
          <w:color w:val="auto"/>
          <w:sz w:val="28"/>
          <w:szCs w:val="28"/>
          <w:highlight w:val="none"/>
        </w:rPr>
        <w:br w:type="page"/>
      </w:r>
      <w:r>
        <w:rPr>
          <w:rFonts w:hint="eastAsia" w:ascii="宋体" w:hAnsi="宋体" w:cs="宋体"/>
          <w:b/>
          <w:bCs/>
          <w:color w:val="auto"/>
          <w:sz w:val="28"/>
          <w:szCs w:val="28"/>
          <w:highlight w:val="none"/>
        </w:rPr>
        <w:t>9、采购活动现场确认声明书</w:t>
      </w:r>
    </w:p>
    <w:p w14:paraId="2A34EDCA">
      <w:pPr>
        <w:spacing w:line="460" w:lineRule="exact"/>
        <w:rPr>
          <w:rFonts w:ascii="宋体" w:hAnsi="宋体" w:cs="宋体"/>
          <w:b/>
          <w:bCs/>
          <w:color w:val="auto"/>
          <w:sz w:val="22"/>
          <w:szCs w:val="22"/>
          <w:highlight w:val="none"/>
        </w:rPr>
      </w:pPr>
    </w:p>
    <w:p w14:paraId="09E447DE">
      <w:pPr>
        <w:spacing w:line="460" w:lineRule="exact"/>
        <w:rPr>
          <w:rFonts w:ascii="宋体" w:hAnsi="宋体" w:cs="宋体"/>
          <w:b/>
          <w:bCs/>
          <w:color w:val="auto"/>
          <w:sz w:val="22"/>
          <w:szCs w:val="22"/>
          <w:highlight w:val="none"/>
        </w:rPr>
      </w:pPr>
      <w:r>
        <w:rPr>
          <w:rFonts w:hint="eastAsia" w:ascii="宋体" w:hAnsi="宋体" w:cs="宋体"/>
          <w:color w:val="auto"/>
          <w:kern w:val="0"/>
          <w:sz w:val="22"/>
          <w:szCs w:val="22"/>
          <w:highlight w:val="none"/>
          <w:lang w:bidi="ar"/>
        </w:rPr>
        <w:t>温州历程招标有限公司：</w:t>
      </w:r>
    </w:p>
    <w:p w14:paraId="4A7AF0E5">
      <w:pPr>
        <w:spacing w:line="460" w:lineRule="exact"/>
        <w:ind w:firstLine="440" w:firstLineChars="200"/>
        <w:rPr>
          <w:rFonts w:ascii="宋体" w:hAnsi="宋体" w:cs="宋体"/>
          <w:color w:val="auto"/>
          <w:highlight w:val="none"/>
        </w:rPr>
      </w:pPr>
      <w:r>
        <w:rPr>
          <w:rFonts w:hint="eastAsia" w:ascii="宋体" w:hAnsi="宋体" w:cs="宋体"/>
          <w:color w:val="auto"/>
          <w:kern w:val="0"/>
          <w:sz w:val="22"/>
          <w:szCs w:val="22"/>
          <w:highlight w:val="none"/>
          <w:lang w:bidi="ar"/>
        </w:rPr>
        <w:t>本人经由</w:t>
      </w:r>
      <w:r>
        <w:rPr>
          <w:rFonts w:hint="eastAsia" w:ascii="宋体" w:hAnsi="宋体" w:cs="宋体"/>
          <w:color w:val="auto"/>
          <w:kern w:val="0"/>
          <w:sz w:val="22"/>
          <w:szCs w:val="22"/>
          <w:highlight w:val="none"/>
          <w:u w:val="single"/>
          <w:lang w:bidi="ar"/>
        </w:rPr>
        <w:t xml:space="preserve">            </w:t>
      </w:r>
      <w:r>
        <w:rPr>
          <w:rFonts w:hint="eastAsia" w:ascii="宋体" w:hAnsi="宋体" w:cs="宋体"/>
          <w:color w:val="auto"/>
          <w:kern w:val="0"/>
          <w:sz w:val="22"/>
          <w:szCs w:val="22"/>
          <w:highlight w:val="none"/>
          <w:lang w:bidi="ar"/>
        </w:rPr>
        <w:t>（供应商名称）负责人</w:t>
      </w:r>
      <w:r>
        <w:rPr>
          <w:rFonts w:hint="eastAsia" w:ascii="宋体" w:hAnsi="宋体" w:cs="宋体"/>
          <w:color w:val="auto"/>
          <w:kern w:val="0"/>
          <w:sz w:val="22"/>
          <w:szCs w:val="22"/>
          <w:highlight w:val="none"/>
          <w:u w:val="single"/>
          <w:lang w:bidi="ar"/>
        </w:rPr>
        <w:t xml:space="preserve">        </w:t>
      </w:r>
      <w:r>
        <w:rPr>
          <w:rFonts w:hint="eastAsia" w:ascii="宋体" w:hAnsi="宋体" w:cs="宋体"/>
          <w:color w:val="auto"/>
          <w:kern w:val="0"/>
          <w:sz w:val="22"/>
          <w:szCs w:val="22"/>
          <w:highlight w:val="none"/>
          <w:lang w:bidi="ar"/>
        </w:rPr>
        <w:t>（姓名）合法授权</w:t>
      </w:r>
      <w:r>
        <w:rPr>
          <w:rFonts w:hint="eastAsia" w:ascii="宋体" w:hAnsi="宋体" w:cs="宋体"/>
          <w:color w:val="auto"/>
          <w:kern w:val="0"/>
          <w:sz w:val="22"/>
          <w:szCs w:val="22"/>
          <w:highlight w:val="none"/>
        </w:rPr>
        <w:t>（项目名称）</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 xml:space="preserve"> </w:t>
      </w:r>
      <w:r>
        <w:rPr>
          <w:rFonts w:hint="eastAsia" w:ascii="宋体" w:hAnsi="宋体" w:cs="宋体"/>
          <w:color w:val="auto"/>
          <w:kern w:val="0"/>
          <w:sz w:val="22"/>
          <w:szCs w:val="22"/>
          <w:highlight w:val="none"/>
          <w:u w:val="single"/>
          <w:lang w:bidi="ar"/>
        </w:rPr>
        <w:t xml:space="preserve"> </w:t>
      </w:r>
      <w:r>
        <w:rPr>
          <w:rFonts w:hint="eastAsia" w:ascii="宋体" w:hAnsi="宋体" w:cs="宋体"/>
          <w:color w:val="auto"/>
          <w:kern w:val="0"/>
          <w:sz w:val="22"/>
          <w:szCs w:val="22"/>
          <w:highlight w:val="none"/>
          <w:lang w:bidi="ar"/>
        </w:rPr>
        <w:t>（编号：</w:t>
      </w:r>
      <w:r>
        <w:rPr>
          <w:rFonts w:hint="eastAsia" w:ascii="宋体" w:hAnsi="宋体" w:cs="宋体"/>
          <w:color w:val="auto"/>
          <w:kern w:val="0"/>
          <w:sz w:val="22"/>
          <w:szCs w:val="22"/>
          <w:highlight w:val="none"/>
          <w:u w:val="single"/>
          <w:lang w:bidi="ar"/>
        </w:rPr>
        <w:t xml:space="preserve">                  </w:t>
      </w:r>
      <w:r>
        <w:rPr>
          <w:rFonts w:hint="eastAsia" w:ascii="宋体" w:hAnsi="宋体" w:cs="宋体"/>
          <w:color w:val="auto"/>
          <w:kern w:val="0"/>
          <w:sz w:val="22"/>
          <w:szCs w:val="22"/>
          <w:highlight w:val="none"/>
          <w:lang w:bidi="ar"/>
        </w:rPr>
        <w:t>）采购活动，经与本单位法人代表（负责人）联系确认，现就有关公平竞争事项郑重声明如下：</w:t>
      </w:r>
    </w:p>
    <w:p w14:paraId="09329E75">
      <w:pPr>
        <w:numPr>
          <w:ilvl w:val="0"/>
          <w:numId w:val="1"/>
        </w:numPr>
        <w:spacing w:line="460" w:lineRule="exact"/>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 xml:space="preserve">本单位与采购人之间 </w:t>
      </w:r>
      <w:r>
        <w:rPr>
          <w:rFonts w:hint="eastAsia" w:ascii="宋体" w:hAnsi="宋体" w:cs="宋体"/>
          <w:color w:val="auto"/>
          <w:kern w:val="0"/>
          <w:sz w:val="22"/>
          <w:szCs w:val="22"/>
          <w:highlight w:val="none"/>
          <w:lang w:bidi="ar"/>
        </w:rPr>
        <w:sym w:font="Wingdings 2" w:char="00A3"/>
      </w:r>
      <w:r>
        <w:rPr>
          <w:rFonts w:hint="eastAsia" w:ascii="宋体" w:hAnsi="宋体" w:cs="宋体"/>
          <w:color w:val="auto"/>
          <w:kern w:val="0"/>
          <w:sz w:val="22"/>
          <w:szCs w:val="22"/>
          <w:highlight w:val="none"/>
          <w:lang w:bidi="ar"/>
        </w:rPr>
        <w:t>不存在利害关系 □存在下列利害关系：</w:t>
      </w:r>
    </w:p>
    <w:p w14:paraId="74D2B5EA">
      <w:pPr>
        <w:numPr>
          <w:ilvl w:val="0"/>
          <w:numId w:val="1"/>
        </w:numPr>
        <w:spacing w:line="460" w:lineRule="exact"/>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 xml:space="preserve">      A.投资关系    </w:t>
      </w:r>
    </w:p>
    <w:p w14:paraId="41DF67AF">
      <w:pPr>
        <w:spacing w:line="460" w:lineRule="exact"/>
        <w:ind w:firstLine="660" w:firstLineChars="300"/>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 xml:space="preserve">B.行政隶属关系    </w:t>
      </w:r>
    </w:p>
    <w:p w14:paraId="2E1A9C2A">
      <w:pPr>
        <w:spacing w:line="460" w:lineRule="exact"/>
        <w:ind w:firstLine="660" w:firstLineChars="300"/>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 xml:space="preserve">C.业务指导关系  </w:t>
      </w:r>
    </w:p>
    <w:p w14:paraId="56AF248A">
      <w:pPr>
        <w:spacing w:line="460" w:lineRule="exact"/>
        <w:ind w:firstLine="660" w:firstLineChars="300"/>
        <w:rPr>
          <w:rFonts w:ascii="宋体" w:hAnsi="宋体" w:cs="宋体"/>
          <w:color w:val="auto"/>
          <w:sz w:val="22"/>
          <w:szCs w:val="22"/>
          <w:highlight w:val="none"/>
        </w:rPr>
      </w:pPr>
      <w:r>
        <w:rPr>
          <w:rFonts w:hint="eastAsia" w:ascii="宋体" w:hAnsi="宋体" w:cs="宋体"/>
          <w:color w:val="auto"/>
          <w:kern w:val="0"/>
          <w:sz w:val="22"/>
          <w:szCs w:val="22"/>
          <w:highlight w:val="none"/>
          <w:lang w:bidi="ar"/>
        </w:rPr>
        <w:t>D.其他可能影响采购公正的利害关系</w:t>
      </w:r>
      <w:r>
        <w:rPr>
          <w:rStyle w:val="121"/>
          <w:rFonts w:hint="default"/>
          <w:color w:val="auto"/>
          <w:sz w:val="22"/>
          <w:szCs w:val="22"/>
          <w:highlight w:val="none"/>
          <w:lang w:bidi="ar"/>
        </w:rPr>
        <w:t xml:space="preserve">（如有，请如实说明）                 </w:t>
      </w:r>
      <w:r>
        <w:rPr>
          <w:rFonts w:hint="eastAsia" w:ascii="宋体" w:hAnsi="宋体" w:cs="宋体"/>
          <w:color w:val="auto"/>
          <w:kern w:val="0"/>
          <w:sz w:val="22"/>
          <w:szCs w:val="22"/>
          <w:highlight w:val="none"/>
          <w:lang w:bidi="ar"/>
        </w:rPr>
        <w:t>。</w:t>
      </w:r>
    </w:p>
    <w:p w14:paraId="7B119719">
      <w:pPr>
        <w:numPr>
          <w:ilvl w:val="0"/>
          <w:numId w:val="1"/>
        </w:numPr>
        <w:spacing w:line="460" w:lineRule="exact"/>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 xml:space="preserve">现已清楚知道参加本项目采购活动的其他所有供应商名称，本单位 </w:t>
      </w:r>
    </w:p>
    <w:p w14:paraId="092D2980">
      <w:pPr>
        <w:numPr>
          <w:ilvl w:val="0"/>
          <w:numId w:val="1"/>
        </w:numPr>
        <w:spacing w:line="460" w:lineRule="exact"/>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 xml:space="preserve">      □与其他所有供应商之间均不存在利害关系 </w:t>
      </w:r>
    </w:p>
    <w:p w14:paraId="5033FB14">
      <w:pPr>
        <w:numPr>
          <w:ilvl w:val="0"/>
          <w:numId w:val="1"/>
        </w:numPr>
        <w:spacing w:line="460" w:lineRule="exact"/>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 xml:space="preserve">      □与</w:t>
      </w:r>
      <w:r>
        <w:rPr>
          <w:rFonts w:hint="eastAsia" w:ascii="宋体" w:hAnsi="宋体" w:cs="宋体"/>
          <w:color w:val="auto"/>
          <w:kern w:val="0"/>
          <w:sz w:val="22"/>
          <w:szCs w:val="22"/>
          <w:highlight w:val="none"/>
          <w:u w:val="single"/>
          <w:lang w:bidi="ar"/>
        </w:rPr>
        <w:t xml:space="preserve">           （</w:t>
      </w:r>
      <w:r>
        <w:rPr>
          <w:rFonts w:hint="eastAsia" w:ascii="宋体" w:hAnsi="宋体" w:cs="宋体"/>
          <w:color w:val="auto"/>
          <w:kern w:val="0"/>
          <w:sz w:val="22"/>
          <w:szCs w:val="22"/>
          <w:highlight w:val="none"/>
          <w:lang w:bidi="ar"/>
        </w:rPr>
        <w:t>供应商名称）之间存在下列利害关系</w:t>
      </w:r>
      <w:r>
        <w:rPr>
          <w:rFonts w:hint="eastAsia" w:ascii="宋体" w:hAnsi="宋体" w:cs="宋体"/>
          <w:color w:val="auto"/>
          <w:kern w:val="0"/>
          <w:sz w:val="22"/>
          <w:szCs w:val="22"/>
          <w:highlight w:val="none"/>
          <w:u w:val="single"/>
          <w:lang w:bidi="ar"/>
        </w:rPr>
        <w:t xml:space="preserve">          </w:t>
      </w:r>
      <w:r>
        <w:rPr>
          <w:rFonts w:hint="eastAsia" w:ascii="宋体" w:hAnsi="宋体" w:cs="宋体"/>
          <w:color w:val="auto"/>
          <w:kern w:val="0"/>
          <w:sz w:val="22"/>
          <w:szCs w:val="22"/>
          <w:highlight w:val="none"/>
          <w:lang w:bidi="ar"/>
        </w:rPr>
        <w:t>：</w:t>
      </w:r>
    </w:p>
    <w:p w14:paraId="29BBF853">
      <w:pPr>
        <w:numPr>
          <w:ilvl w:val="0"/>
          <w:numId w:val="1"/>
        </w:numPr>
        <w:spacing w:line="460" w:lineRule="exact"/>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 xml:space="preserve">      A.法定代表人或负责人或实际控制人是同一人</w:t>
      </w:r>
    </w:p>
    <w:p w14:paraId="2B0B3959">
      <w:pPr>
        <w:numPr>
          <w:ilvl w:val="0"/>
          <w:numId w:val="1"/>
        </w:numPr>
        <w:spacing w:line="460" w:lineRule="exact"/>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 xml:space="preserve">      B.法定代表人或负责人或实际控制人是夫妻关系</w:t>
      </w:r>
    </w:p>
    <w:p w14:paraId="698C5C69">
      <w:pPr>
        <w:numPr>
          <w:ilvl w:val="0"/>
          <w:numId w:val="1"/>
        </w:numPr>
        <w:spacing w:line="460" w:lineRule="exact"/>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 xml:space="preserve">      C.法定代表人或负责人或实际控制人是直系血亲关系</w:t>
      </w:r>
    </w:p>
    <w:p w14:paraId="150244E9">
      <w:pPr>
        <w:numPr>
          <w:ilvl w:val="0"/>
          <w:numId w:val="1"/>
        </w:numPr>
        <w:spacing w:line="460" w:lineRule="exact"/>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 xml:space="preserve">      D.法定代表人或负责人或实际控制人存在三代以内旁系血亲关系</w:t>
      </w:r>
    </w:p>
    <w:p w14:paraId="65280D4C">
      <w:pPr>
        <w:numPr>
          <w:ilvl w:val="0"/>
          <w:numId w:val="1"/>
        </w:numPr>
        <w:spacing w:line="460" w:lineRule="exact"/>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 xml:space="preserve">      E.法定代表人或负责人或实际控制人存在近姻亲关系</w:t>
      </w:r>
    </w:p>
    <w:p w14:paraId="0558B307">
      <w:pPr>
        <w:numPr>
          <w:ilvl w:val="0"/>
          <w:numId w:val="1"/>
        </w:numPr>
        <w:spacing w:line="460" w:lineRule="exact"/>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 xml:space="preserve">      F.法定代表人或负责人或实际控制人存在股份控制或实际控制关系</w:t>
      </w:r>
    </w:p>
    <w:p w14:paraId="114A9410">
      <w:pPr>
        <w:numPr>
          <w:ilvl w:val="0"/>
          <w:numId w:val="1"/>
        </w:numPr>
        <w:spacing w:line="460" w:lineRule="exact"/>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 xml:space="preserve">      G.存在共同直接或间接投资设立子公司、联营企业和合营企业情况</w:t>
      </w:r>
    </w:p>
    <w:p w14:paraId="2A89FB68">
      <w:pPr>
        <w:numPr>
          <w:ilvl w:val="0"/>
          <w:numId w:val="1"/>
        </w:numPr>
        <w:spacing w:line="460" w:lineRule="exact"/>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 xml:space="preserve">      H.存在分级代理或代销关系、同一生产制造商关系、管理关系、重要业务（占主营业务收入50%以上）或重要财务往来关系（如融资）等其他实质性控制关系</w:t>
      </w:r>
    </w:p>
    <w:p w14:paraId="73803508">
      <w:pPr>
        <w:numPr>
          <w:ilvl w:val="0"/>
          <w:numId w:val="1"/>
        </w:numPr>
        <w:spacing w:line="460" w:lineRule="exact"/>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 xml:space="preserve">      I.其他利害关系情况</w:t>
      </w:r>
      <w:r>
        <w:rPr>
          <w:rFonts w:hint="eastAsia" w:ascii="宋体" w:hAnsi="宋体" w:cs="宋体"/>
          <w:color w:val="auto"/>
          <w:kern w:val="0"/>
          <w:sz w:val="22"/>
          <w:szCs w:val="22"/>
          <w:highlight w:val="none"/>
          <w:u w:val="single"/>
          <w:lang w:bidi="ar"/>
        </w:rPr>
        <w:t xml:space="preserve">                              。</w:t>
      </w:r>
    </w:p>
    <w:p w14:paraId="69136706">
      <w:pPr>
        <w:pStyle w:val="2"/>
        <w:spacing w:line="460" w:lineRule="exact"/>
        <w:ind w:left="0" w:firstLine="0" w:firstLineChars="0"/>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（三）现已清楚知道并严格遵守政府采购法律法规和现场纪律</w:t>
      </w:r>
    </w:p>
    <w:p w14:paraId="29323E40">
      <w:pPr>
        <w:pStyle w:val="2"/>
        <w:spacing w:line="460" w:lineRule="exact"/>
        <w:ind w:left="0" w:firstLine="0" w:firstLineChars="0"/>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（四）我发现</w:t>
      </w:r>
      <w:r>
        <w:rPr>
          <w:rStyle w:val="121"/>
          <w:rFonts w:hint="default"/>
          <w:color w:val="auto"/>
          <w:sz w:val="22"/>
          <w:szCs w:val="22"/>
          <w:highlight w:val="none"/>
          <w:lang w:bidi="ar"/>
        </w:rPr>
        <w:t xml:space="preserve">                  与                  （供应商名称）</w:t>
      </w:r>
      <w:r>
        <w:rPr>
          <w:rFonts w:hint="eastAsia" w:ascii="宋体" w:hAnsi="宋体" w:cs="宋体"/>
          <w:color w:val="auto"/>
          <w:kern w:val="0"/>
          <w:sz w:val="22"/>
          <w:szCs w:val="22"/>
          <w:highlight w:val="none"/>
          <w:lang w:bidi="ar"/>
        </w:rPr>
        <w:t>之间存在或可能存在上述第二条第</w:t>
      </w:r>
      <w:r>
        <w:rPr>
          <w:rStyle w:val="121"/>
          <w:rFonts w:hint="default"/>
          <w:color w:val="auto"/>
          <w:sz w:val="22"/>
          <w:szCs w:val="22"/>
          <w:highlight w:val="none"/>
          <w:lang w:bidi="ar"/>
        </w:rPr>
        <w:t xml:space="preserve">        </w:t>
      </w:r>
      <w:r>
        <w:rPr>
          <w:rFonts w:hint="eastAsia" w:ascii="宋体" w:hAnsi="宋体" w:cs="宋体"/>
          <w:color w:val="auto"/>
          <w:kern w:val="0"/>
          <w:sz w:val="22"/>
          <w:szCs w:val="22"/>
          <w:highlight w:val="none"/>
          <w:lang w:bidi="ar"/>
        </w:rPr>
        <w:t>项利害关系。</w:t>
      </w:r>
    </w:p>
    <w:p w14:paraId="43EC875D">
      <w:pPr>
        <w:pStyle w:val="2"/>
        <w:spacing w:line="460" w:lineRule="exact"/>
        <w:ind w:left="0" w:firstLine="0" w:firstLineChars="0"/>
        <w:rPr>
          <w:rFonts w:ascii="宋体" w:hAnsi="宋体" w:cs="宋体"/>
          <w:b/>
          <w:color w:val="auto"/>
          <w:kern w:val="0"/>
          <w:sz w:val="22"/>
          <w:szCs w:val="22"/>
          <w:highlight w:val="none"/>
          <w:lang w:bidi="ar"/>
        </w:rPr>
      </w:pPr>
      <w:r>
        <w:rPr>
          <w:rFonts w:hint="eastAsia" w:ascii="宋体" w:hAnsi="宋体" w:cs="宋体"/>
          <w:b/>
          <w:color w:val="auto"/>
          <w:kern w:val="0"/>
          <w:sz w:val="22"/>
          <w:szCs w:val="22"/>
          <w:highlight w:val="none"/>
          <w:lang w:bidi="ar"/>
        </w:rPr>
        <w:t>供应商代表签名:</w:t>
      </w:r>
    </w:p>
    <w:p w14:paraId="46A56A14">
      <w:pPr>
        <w:pStyle w:val="2"/>
        <w:spacing w:line="460" w:lineRule="exact"/>
        <w:ind w:left="0" w:firstLine="0" w:firstLineChars="0"/>
        <w:jc w:val="right"/>
        <w:rPr>
          <w:rFonts w:ascii="宋体" w:hAnsi="宋体" w:cs="宋体"/>
          <w:b/>
          <w:color w:val="auto"/>
          <w:kern w:val="0"/>
          <w:sz w:val="22"/>
          <w:szCs w:val="22"/>
          <w:highlight w:val="none"/>
          <w:lang w:bidi="ar"/>
        </w:rPr>
      </w:pPr>
    </w:p>
    <w:p w14:paraId="6A6DCE51">
      <w:pPr>
        <w:pStyle w:val="2"/>
        <w:spacing w:line="460" w:lineRule="exact"/>
        <w:ind w:left="0" w:firstLine="0" w:firstLineChars="0"/>
        <w:jc w:val="right"/>
        <w:rPr>
          <w:rFonts w:ascii="宋体" w:hAnsi="宋体" w:cs="宋体"/>
          <w:b/>
          <w:color w:val="auto"/>
          <w:kern w:val="0"/>
          <w:sz w:val="22"/>
          <w:szCs w:val="22"/>
          <w:highlight w:val="none"/>
          <w:lang w:bidi="ar"/>
        </w:rPr>
      </w:pPr>
    </w:p>
    <w:p w14:paraId="5BCAD0D2">
      <w:pPr>
        <w:spacing w:line="380" w:lineRule="exact"/>
        <w:jc w:val="right"/>
        <w:rPr>
          <w:rFonts w:ascii="宋体" w:hAnsi="宋体" w:cs="宋体"/>
          <w:b/>
          <w:color w:val="auto"/>
          <w:sz w:val="22"/>
          <w:szCs w:val="22"/>
          <w:highlight w:val="none"/>
        </w:rPr>
      </w:pPr>
      <w:r>
        <w:rPr>
          <w:rFonts w:hint="eastAsia" w:ascii="宋体" w:hAnsi="宋体" w:cs="宋体"/>
          <w:b/>
          <w:color w:val="auto"/>
          <w:kern w:val="0"/>
          <w:sz w:val="22"/>
          <w:szCs w:val="22"/>
          <w:highlight w:val="none"/>
          <w:lang w:bidi="ar"/>
        </w:rPr>
        <w:t>日期:2023年    月    日</w:t>
      </w:r>
    </w:p>
    <w:p w14:paraId="3F174A47">
      <w:pPr>
        <w:rPr>
          <w:rFonts w:ascii="宋体" w:hAnsi="宋体" w:cs="宋体"/>
          <w:b/>
          <w:bCs/>
          <w:color w:val="auto"/>
          <w:sz w:val="22"/>
          <w:szCs w:val="22"/>
          <w:highlight w:val="none"/>
        </w:rPr>
      </w:pPr>
    </w:p>
    <w:p w14:paraId="5394F6FD">
      <w:pPr>
        <w:outlineLvl w:val="1"/>
        <w:rPr>
          <w:rFonts w:ascii="宋体" w:hAnsi="宋体" w:cs="宋体"/>
          <w:b/>
          <w:bCs/>
          <w:color w:val="auto"/>
          <w:sz w:val="22"/>
          <w:szCs w:val="22"/>
          <w:highlight w:val="none"/>
        </w:rPr>
      </w:pPr>
      <w:bookmarkStart w:id="244" w:name="_Toc28294"/>
      <w:bookmarkStart w:id="245" w:name="_Toc19217"/>
      <w:bookmarkStart w:id="246" w:name="_Toc139"/>
      <w:bookmarkStart w:id="247" w:name="_Toc15735"/>
      <w:bookmarkStart w:id="248" w:name="_Toc19467"/>
      <w:bookmarkStart w:id="249" w:name="_Toc3955"/>
      <w:r>
        <w:rPr>
          <w:rFonts w:hint="eastAsia" w:ascii="宋体" w:hAnsi="宋体" w:cs="宋体"/>
          <w:b/>
          <w:bCs/>
          <w:color w:val="auto"/>
          <w:sz w:val="22"/>
          <w:szCs w:val="22"/>
          <w:highlight w:val="none"/>
        </w:rPr>
        <w:t>附件三</w:t>
      </w:r>
      <w:bookmarkEnd w:id="244"/>
      <w:bookmarkEnd w:id="245"/>
      <w:bookmarkEnd w:id="246"/>
      <w:bookmarkEnd w:id="247"/>
      <w:bookmarkEnd w:id="248"/>
      <w:bookmarkEnd w:id="249"/>
    </w:p>
    <w:p w14:paraId="16ACBDBC">
      <w:pPr>
        <w:spacing w:line="380" w:lineRule="exact"/>
        <w:jc w:val="center"/>
        <w:outlineLvl w:val="2"/>
        <w:rPr>
          <w:rFonts w:ascii="宋体" w:hAnsi="宋体" w:cs="宋体"/>
          <w:b/>
          <w:color w:val="auto"/>
          <w:sz w:val="22"/>
          <w:szCs w:val="22"/>
          <w:highlight w:val="none"/>
        </w:rPr>
      </w:pPr>
      <w:bookmarkStart w:id="250" w:name="_Toc31901"/>
      <w:bookmarkStart w:id="251" w:name="_Toc29509"/>
      <w:bookmarkStart w:id="252" w:name="_Toc2621"/>
      <w:bookmarkStart w:id="253" w:name="_Toc24659"/>
      <w:bookmarkStart w:id="254" w:name="_Toc7676"/>
      <w:bookmarkStart w:id="255" w:name="_Toc19986"/>
      <w:r>
        <w:rPr>
          <w:rFonts w:hint="eastAsia" w:ascii="宋体" w:hAnsi="宋体" w:cs="宋体"/>
          <w:b/>
          <w:bCs/>
          <w:color w:val="auto"/>
          <w:sz w:val="28"/>
          <w:szCs w:val="28"/>
          <w:highlight w:val="none"/>
        </w:rPr>
        <w:t>商务技术文件</w:t>
      </w:r>
      <w:bookmarkEnd w:id="250"/>
      <w:bookmarkEnd w:id="251"/>
      <w:bookmarkEnd w:id="252"/>
      <w:bookmarkEnd w:id="253"/>
      <w:bookmarkEnd w:id="254"/>
      <w:bookmarkEnd w:id="255"/>
    </w:p>
    <w:p w14:paraId="3E18B367">
      <w:pPr>
        <w:spacing w:line="380" w:lineRule="exact"/>
        <w:jc w:val="center"/>
        <w:outlineLvl w:val="3"/>
        <w:rPr>
          <w:rFonts w:ascii="宋体" w:hAnsi="宋体" w:cs="宋体"/>
          <w:b/>
          <w:color w:val="auto"/>
          <w:sz w:val="22"/>
          <w:szCs w:val="22"/>
          <w:highlight w:val="none"/>
        </w:rPr>
      </w:pPr>
      <w:r>
        <w:rPr>
          <w:rFonts w:hint="eastAsia" w:ascii="宋体" w:hAnsi="宋体" w:cs="宋体"/>
          <w:b/>
          <w:bCs/>
          <w:color w:val="auto"/>
          <w:sz w:val="22"/>
          <w:szCs w:val="22"/>
          <w:highlight w:val="none"/>
        </w:rPr>
        <w:t>1、法定代表人授权书</w:t>
      </w:r>
    </w:p>
    <w:p w14:paraId="595F49EC">
      <w:pPr>
        <w:spacing w:line="460" w:lineRule="exact"/>
        <w:rPr>
          <w:rFonts w:ascii="宋体" w:hAnsi="宋体" w:cs="宋体"/>
          <w:color w:val="auto"/>
          <w:sz w:val="22"/>
          <w:szCs w:val="22"/>
          <w:highlight w:val="none"/>
        </w:rPr>
      </w:pPr>
      <w:r>
        <w:rPr>
          <w:rFonts w:hint="eastAsia" w:ascii="宋体" w:hAnsi="宋体" w:cs="宋体"/>
          <w:color w:val="auto"/>
          <w:sz w:val="22"/>
          <w:szCs w:val="22"/>
          <w:highlight w:val="none"/>
        </w:rPr>
        <w:t>温州医科大学：</w:t>
      </w:r>
    </w:p>
    <w:p w14:paraId="43E9B88E">
      <w:pPr>
        <w:spacing w:line="460" w:lineRule="exact"/>
        <w:rPr>
          <w:rFonts w:ascii="宋体" w:hAnsi="宋体" w:cs="宋体"/>
          <w:color w:val="auto"/>
          <w:sz w:val="22"/>
          <w:szCs w:val="22"/>
          <w:highlight w:val="none"/>
          <w:u w:val="single"/>
        </w:rPr>
      </w:pPr>
    </w:p>
    <w:p w14:paraId="4144A519">
      <w:pPr>
        <w:spacing w:line="460" w:lineRule="exact"/>
        <w:ind w:firstLine="550" w:firstLineChars="250"/>
        <w:rPr>
          <w:rFonts w:ascii="宋体" w:hAnsi="宋体" w:cs="宋体"/>
          <w:color w:val="auto"/>
          <w:sz w:val="22"/>
          <w:szCs w:val="22"/>
          <w:highlight w:val="none"/>
        </w:rPr>
      </w:pP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（磋商供应商全称）法定代表人</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授权</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（全权代表姓名）为全权代表，参加贵处组织的（（项目名称</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、编号</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）的磋商活动，全权代表我方处理磋商活动中的一切事宜。</w:t>
      </w:r>
    </w:p>
    <w:p w14:paraId="3163378D">
      <w:pPr>
        <w:spacing w:line="460" w:lineRule="exact"/>
        <w:ind w:firstLine="2955"/>
        <w:rPr>
          <w:rFonts w:ascii="宋体" w:hAnsi="宋体" w:cs="宋体"/>
          <w:color w:val="auto"/>
          <w:sz w:val="22"/>
          <w:szCs w:val="22"/>
          <w:highlight w:val="none"/>
        </w:rPr>
      </w:pPr>
    </w:p>
    <w:p w14:paraId="18F79B44">
      <w:pPr>
        <w:spacing w:line="460" w:lineRule="exact"/>
        <w:ind w:firstLine="2955"/>
        <w:rPr>
          <w:rFonts w:ascii="宋体" w:hAnsi="宋体" w:cs="宋体"/>
          <w:color w:val="auto"/>
          <w:sz w:val="22"/>
          <w:szCs w:val="22"/>
          <w:highlight w:val="none"/>
        </w:rPr>
      </w:pPr>
      <w:r>
        <w:rPr>
          <w:rFonts w:hint="eastAsia" w:ascii="宋体" w:hAnsi="宋体" w:cs="宋体"/>
          <w:color w:val="auto"/>
          <w:sz w:val="22"/>
          <w:szCs w:val="22"/>
          <w:highlight w:val="none"/>
        </w:rPr>
        <w:t xml:space="preserve">          </w:t>
      </w:r>
    </w:p>
    <w:p w14:paraId="2CA197D4">
      <w:pPr>
        <w:spacing w:line="460" w:lineRule="exact"/>
        <w:ind w:firstLine="4081" w:firstLineChars="1855"/>
        <w:rPr>
          <w:rFonts w:ascii="宋体" w:hAnsi="宋体" w:cs="宋体"/>
          <w:color w:val="auto"/>
          <w:sz w:val="22"/>
          <w:szCs w:val="22"/>
          <w:highlight w:val="none"/>
        </w:rPr>
      </w:pPr>
      <w:r>
        <w:rPr>
          <w:rFonts w:hint="eastAsia" w:ascii="宋体" w:hAnsi="宋体" w:cs="宋体"/>
          <w:color w:val="auto"/>
          <w:sz w:val="22"/>
          <w:szCs w:val="22"/>
          <w:highlight w:val="none"/>
        </w:rPr>
        <w:t>法定代表人  (签字或盖章)：</w:t>
      </w:r>
    </w:p>
    <w:p w14:paraId="441C1510">
      <w:pPr>
        <w:spacing w:line="460" w:lineRule="exact"/>
        <w:ind w:firstLine="2955"/>
        <w:rPr>
          <w:rFonts w:ascii="宋体" w:hAnsi="宋体" w:cs="宋体"/>
          <w:color w:val="auto"/>
          <w:sz w:val="22"/>
          <w:szCs w:val="22"/>
          <w:highlight w:val="none"/>
        </w:rPr>
      </w:pPr>
      <w:r>
        <w:rPr>
          <w:rFonts w:hint="eastAsia" w:ascii="宋体" w:hAnsi="宋体" w:cs="宋体"/>
          <w:color w:val="auto"/>
          <w:sz w:val="22"/>
          <w:szCs w:val="22"/>
          <w:highlight w:val="none"/>
        </w:rPr>
        <w:t xml:space="preserve">          磋商供应商全称（公章）：</w:t>
      </w:r>
    </w:p>
    <w:p w14:paraId="6C483BC0">
      <w:pPr>
        <w:spacing w:line="460" w:lineRule="exact"/>
        <w:ind w:firstLine="2955"/>
        <w:rPr>
          <w:rFonts w:ascii="宋体" w:hAnsi="宋体" w:cs="宋体"/>
          <w:color w:val="auto"/>
          <w:sz w:val="22"/>
          <w:szCs w:val="22"/>
          <w:highlight w:val="none"/>
        </w:rPr>
      </w:pPr>
      <w:r>
        <w:rPr>
          <w:rFonts w:hint="eastAsia" w:ascii="宋体" w:hAnsi="宋体" w:cs="宋体"/>
          <w:color w:val="auto"/>
          <w:sz w:val="22"/>
          <w:szCs w:val="22"/>
          <w:highlight w:val="none"/>
        </w:rPr>
        <w:t xml:space="preserve">          日   期：  </w:t>
      </w:r>
    </w:p>
    <w:p w14:paraId="30A79049">
      <w:pPr>
        <w:spacing w:line="380" w:lineRule="exact"/>
        <w:rPr>
          <w:rFonts w:ascii="宋体" w:hAnsi="宋体" w:cs="宋体"/>
          <w:color w:val="auto"/>
          <w:sz w:val="22"/>
          <w:szCs w:val="22"/>
          <w:highlight w:val="none"/>
        </w:rPr>
      </w:pPr>
    </w:p>
    <w:p w14:paraId="5D234193">
      <w:pPr>
        <w:spacing w:line="460" w:lineRule="exact"/>
        <w:ind w:firstLine="541" w:firstLineChars="245"/>
        <w:rPr>
          <w:rFonts w:ascii="宋体" w:hAnsi="宋体" w:cs="宋体"/>
          <w:b/>
          <w:bCs/>
          <w:color w:val="auto"/>
          <w:sz w:val="22"/>
          <w:szCs w:val="22"/>
          <w:highlight w:val="none"/>
        </w:rPr>
      </w:pPr>
      <w:r>
        <w:rPr>
          <w:rFonts w:hint="eastAsia" w:ascii="宋体" w:hAnsi="宋体" w:cs="宋体"/>
          <w:b/>
          <w:bCs/>
          <w:color w:val="auto"/>
          <w:sz w:val="22"/>
          <w:szCs w:val="22"/>
          <w:highlight w:val="none"/>
        </w:rPr>
        <w:t>附：</w:t>
      </w:r>
    </w:p>
    <w:p w14:paraId="0D8DBBEB">
      <w:pPr>
        <w:spacing w:line="460" w:lineRule="exact"/>
        <w:ind w:firstLine="539" w:firstLineChars="245"/>
        <w:rPr>
          <w:rFonts w:ascii="宋体" w:hAnsi="宋体" w:cs="宋体"/>
          <w:b/>
          <w:bCs/>
          <w:color w:val="auto"/>
          <w:sz w:val="22"/>
          <w:szCs w:val="22"/>
          <w:highlight w:val="none"/>
        </w:rPr>
      </w:pPr>
      <w:r>
        <w:rPr>
          <w:rFonts w:hint="eastAsia" w:ascii="宋体" w:hAnsi="宋体" w:cs="宋体"/>
          <w:color w:val="auto"/>
          <w:sz w:val="22"/>
          <w:szCs w:val="22"/>
          <w:highlight w:val="none"/>
        </w:rPr>
        <w:t xml:space="preserve">授权代表姓名：                               </w:t>
      </w:r>
    </w:p>
    <w:p w14:paraId="73FF72AE">
      <w:pPr>
        <w:spacing w:line="460" w:lineRule="exact"/>
        <w:ind w:firstLine="539" w:firstLineChars="245"/>
        <w:rPr>
          <w:rFonts w:ascii="宋体" w:hAnsi="宋体" w:cs="宋体"/>
          <w:b/>
          <w:bCs/>
          <w:color w:val="auto"/>
          <w:sz w:val="22"/>
          <w:szCs w:val="22"/>
          <w:highlight w:val="none"/>
        </w:rPr>
      </w:pPr>
      <w:r>
        <w:rPr>
          <w:rFonts w:hint="eastAsia" w:ascii="宋体" w:hAnsi="宋体" w:cs="宋体"/>
          <w:color w:val="auto"/>
          <w:sz w:val="22"/>
          <w:szCs w:val="22"/>
          <w:highlight w:val="none"/>
        </w:rPr>
        <w:t>职务：</w:t>
      </w:r>
    </w:p>
    <w:p w14:paraId="55D20FE4">
      <w:pPr>
        <w:spacing w:line="460" w:lineRule="exact"/>
        <w:ind w:firstLine="539" w:firstLineChars="245"/>
        <w:rPr>
          <w:rFonts w:ascii="宋体" w:hAnsi="宋体" w:cs="宋体"/>
          <w:b/>
          <w:bCs/>
          <w:color w:val="auto"/>
          <w:sz w:val="22"/>
          <w:szCs w:val="22"/>
          <w:highlight w:val="none"/>
        </w:rPr>
      </w:pPr>
      <w:r>
        <w:rPr>
          <w:rFonts w:hint="eastAsia" w:ascii="宋体" w:hAnsi="宋体" w:cs="宋体"/>
          <w:color w:val="auto"/>
          <w:sz w:val="22"/>
          <w:szCs w:val="22"/>
          <w:highlight w:val="none"/>
        </w:rPr>
        <w:t>详细通讯地址：</w:t>
      </w:r>
    </w:p>
    <w:p w14:paraId="53566E1D">
      <w:pPr>
        <w:spacing w:line="460" w:lineRule="exact"/>
        <w:ind w:firstLine="539" w:firstLineChars="245"/>
        <w:rPr>
          <w:rFonts w:ascii="宋体" w:hAnsi="宋体" w:cs="宋体"/>
          <w:b/>
          <w:bCs/>
          <w:color w:val="auto"/>
          <w:sz w:val="22"/>
          <w:szCs w:val="22"/>
          <w:highlight w:val="none"/>
        </w:rPr>
      </w:pPr>
      <w:r>
        <w:rPr>
          <w:rFonts w:hint="eastAsia" w:ascii="宋体" w:hAnsi="宋体" w:cs="宋体"/>
          <w:color w:val="auto"/>
          <w:sz w:val="22"/>
          <w:szCs w:val="22"/>
          <w:highlight w:val="none"/>
        </w:rPr>
        <w:t>电话：</w:t>
      </w:r>
    </w:p>
    <w:p w14:paraId="15DCBEF8">
      <w:pPr>
        <w:spacing w:line="460" w:lineRule="exact"/>
        <w:ind w:firstLine="539" w:firstLineChars="245"/>
        <w:rPr>
          <w:rFonts w:ascii="宋体" w:hAnsi="宋体" w:cs="宋体"/>
          <w:b/>
          <w:bCs/>
          <w:color w:val="auto"/>
          <w:sz w:val="22"/>
          <w:szCs w:val="22"/>
          <w:highlight w:val="none"/>
        </w:rPr>
      </w:pPr>
      <w:r>
        <w:rPr>
          <w:rFonts w:hint="eastAsia" w:ascii="宋体" w:hAnsi="宋体" w:cs="宋体"/>
          <w:color w:val="auto"/>
          <w:sz w:val="22"/>
          <w:szCs w:val="22"/>
          <w:highlight w:val="none"/>
        </w:rPr>
        <w:t>传真：</w:t>
      </w:r>
    </w:p>
    <w:p w14:paraId="06C5A22D">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邮政编码:</w:t>
      </w:r>
    </w:p>
    <w:p w14:paraId="600CF368">
      <w:pPr>
        <w:pStyle w:val="11"/>
        <w:rPr>
          <w:rFonts w:ascii="宋体" w:hAnsi="宋体" w:cs="宋体"/>
          <w:color w:val="auto"/>
          <w:sz w:val="22"/>
          <w:szCs w:val="22"/>
          <w:highlight w:val="none"/>
        </w:rPr>
      </w:pPr>
    </w:p>
    <w:p w14:paraId="0F25F35E">
      <w:pPr>
        <w:rPr>
          <w:rFonts w:ascii="宋体" w:hAnsi="宋体" w:cs="宋体"/>
          <w:color w:val="auto"/>
          <w:sz w:val="22"/>
          <w:szCs w:val="22"/>
          <w:highlight w:val="none"/>
        </w:rPr>
      </w:pPr>
    </w:p>
    <w:p w14:paraId="697A8B1D">
      <w:pPr>
        <w:pStyle w:val="11"/>
        <w:rPr>
          <w:rFonts w:ascii="宋体" w:hAnsi="宋体" w:cs="宋体"/>
          <w:color w:val="auto"/>
          <w:sz w:val="22"/>
          <w:szCs w:val="22"/>
          <w:highlight w:val="none"/>
        </w:rPr>
      </w:pPr>
    </w:p>
    <w:p w14:paraId="41CCA6E8">
      <w:pPr>
        <w:rPr>
          <w:rFonts w:ascii="宋体" w:hAnsi="宋体" w:cs="宋体"/>
          <w:color w:val="auto"/>
          <w:sz w:val="22"/>
          <w:szCs w:val="22"/>
          <w:highlight w:val="none"/>
        </w:rPr>
      </w:pPr>
    </w:p>
    <w:p w14:paraId="3ACCEE35">
      <w:pPr>
        <w:pStyle w:val="11"/>
        <w:rPr>
          <w:rFonts w:ascii="宋体" w:hAnsi="宋体" w:cs="宋体"/>
          <w:color w:val="auto"/>
          <w:sz w:val="22"/>
          <w:szCs w:val="22"/>
          <w:highlight w:val="none"/>
        </w:rPr>
      </w:pPr>
    </w:p>
    <w:p w14:paraId="452D282C">
      <w:pPr>
        <w:rPr>
          <w:rFonts w:ascii="宋体" w:hAnsi="宋体" w:cs="宋体"/>
          <w:color w:val="auto"/>
          <w:sz w:val="22"/>
          <w:szCs w:val="22"/>
          <w:highlight w:val="none"/>
        </w:rPr>
      </w:pPr>
    </w:p>
    <w:p w14:paraId="00BFBE5C">
      <w:pPr>
        <w:pStyle w:val="11"/>
        <w:rPr>
          <w:rFonts w:ascii="宋体" w:hAnsi="宋体" w:cs="宋体"/>
          <w:color w:val="auto"/>
          <w:sz w:val="22"/>
          <w:szCs w:val="22"/>
          <w:highlight w:val="none"/>
        </w:rPr>
      </w:pPr>
    </w:p>
    <w:p w14:paraId="40C4E06D">
      <w:pPr>
        <w:rPr>
          <w:rFonts w:ascii="宋体" w:hAnsi="宋体" w:cs="宋体"/>
          <w:color w:val="auto"/>
          <w:highlight w:val="none"/>
        </w:rPr>
      </w:pPr>
    </w:p>
    <w:p w14:paraId="6D4E6EEB">
      <w:pPr>
        <w:pStyle w:val="11"/>
        <w:rPr>
          <w:rFonts w:ascii="宋体" w:hAnsi="宋体" w:cs="宋体"/>
          <w:color w:val="auto"/>
          <w:sz w:val="22"/>
          <w:szCs w:val="22"/>
          <w:highlight w:val="none"/>
        </w:rPr>
      </w:pPr>
    </w:p>
    <w:p w14:paraId="2B8425C7">
      <w:pPr>
        <w:rPr>
          <w:rFonts w:ascii="宋体" w:hAnsi="宋体" w:cs="宋体"/>
          <w:color w:val="auto"/>
          <w:sz w:val="22"/>
          <w:szCs w:val="22"/>
          <w:highlight w:val="none"/>
        </w:rPr>
      </w:pPr>
    </w:p>
    <w:p w14:paraId="65B69C1E">
      <w:pPr>
        <w:pStyle w:val="2"/>
        <w:ind w:left="440" w:hanging="440"/>
        <w:rPr>
          <w:rFonts w:ascii="宋体" w:hAnsi="宋体" w:cs="宋体"/>
          <w:color w:val="auto"/>
          <w:sz w:val="22"/>
          <w:szCs w:val="22"/>
          <w:highlight w:val="none"/>
        </w:rPr>
      </w:pPr>
    </w:p>
    <w:p w14:paraId="794B73BD">
      <w:pPr>
        <w:pStyle w:val="2"/>
        <w:ind w:left="440" w:hanging="440"/>
        <w:rPr>
          <w:rFonts w:ascii="宋体" w:hAnsi="宋体" w:cs="宋体"/>
          <w:color w:val="auto"/>
          <w:sz w:val="22"/>
          <w:szCs w:val="22"/>
          <w:highlight w:val="none"/>
        </w:rPr>
      </w:pPr>
    </w:p>
    <w:p w14:paraId="53DB93D9">
      <w:pPr>
        <w:pStyle w:val="2"/>
        <w:ind w:left="440" w:hanging="440"/>
        <w:rPr>
          <w:rFonts w:ascii="宋体" w:hAnsi="宋体" w:cs="宋体"/>
          <w:color w:val="auto"/>
          <w:sz w:val="22"/>
          <w:szCs w:val="22"/>
          <w:highlight w:val="none"/>
        </w:rPr>
      </w:pPr>
    </w:p>
    <w:p w14:paraId="2830348F">
      <w:pPr>
        <w:rPr>
          <w:rFonts w:ascii="宋体" w:hAnsi="宋体" w:cs="宋体"/>
          <w:color w:val="auto"/>
          <w:sz w:val="22"/>
          <w:szCs w:val="22"/>
          <w:highlight w:val="none"/>
        </w:rPr>
      </w:pPr>
    </w:p>
    <w:p w14:paraId="18343419">
      <w:pPr>
        <w:pStyle w:val="11"/>
        <w:rPr>
          <w:rFonts w:ascii="宋体" w:hAnsi="宋体" w:cs="宋体"/>
          <w:color w:val="auto"/>
          <w:sz w:val="22"/>
          <w:szCs w:val="22"/>
          <w:highlight w:val="none"/>
        </w:rPr>
      </w:pPr>
    </w:p>
    <w:p w14:paraId="1067EA11">
      <w:pPr>
        <w:rPr>
          <w:rFonts w:ascii="宋体" w:hAnsi="宋体" w:cs="宋体"/>
          <w:color w:val="auto"/>
          <w:sz w:val="22"/>
          <w:szCs w:val="22"/>
          <w:highlight w:val="none"/>
        </w:rPr>
      </w:pPr>
    </w:p>
    <w:p w14:paraId="279CE1E5">
      <w:pPr>
        <w:pStyle w:val="11"/>
        <w:ind w:firstLine="0"/>
        <w:rPr>
          <w:rFonts w:ascii="宋体" w:hAnsi="宋体" w:cs="宋体"/>
          <w:color w:val="auto"/>
          <w:highlight w:val="none"/>
        </w:rPr>
      </w:pPr>
    </w:p>
    <w:p w14:paraId="10D2ECE3">
      <w:pPr>
        <w:spacing w:line="460" w:lineRule="exact"/>
        <w:jc w:val="center"/>
        <w:rPr>
          <w:rFonts w:ascii="宋体" w:hAnsi="宋体" w:cs="宋体"/>
          <w:b/>
          <w:bCs/>
          <w:color w:val="auto"/>
          <w:sz w:val="28"/>
          <w:szCs w:val="28"/>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659264" behindDoc="0" locked="0" layoutInCell="1" allowOverlap="1">
                <wp:simplePos x="0" y="0"/>
                <wp:positionH relativeFrom="column">
                  <wp:posOffset>113665</wp:posOffset>
                </wp:positionH>
                <wp:positionV relativeFrom="paragraph">
                  <wp:posOffset>320675</wp:posOffset>
                </wp:positionV>
                <wp:extent cx="6254115" cy="3004185"/>
                <wp:effectExtent l="5080" t="4445" r="8255" b="20320"/>
                <wp:wrapNone/>
                <wp:docPr id="1" name="Text Box 2"/>
                <wp:cNvGraphicFramePr/>
                <a:graphic xmlns:a="http://schemas.openxmlformats.org/drawingml/2006/main">
                  <a:graphicData uri="http://schemas.microsoft.com/office/word/2010/wordprocessingShape">
                    <wps:wsp>
                      <wps:cNvSpPr txBox="1"/>
                      <wps:spPr>
                        <a:xfrm>
                          <a:off x="0" y="0"/>
                          <a:ext cx="6254115" cy="30041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B87044">
                            <w:r>
                              <w:rPr>
                                <w:rFonts w:hint="eastAsia" w:ascii="新宋体" w:hAnsi="新宋体" w:eastAsia="新宋体"/>
                                <w:sz w:val="22"/>
                                <w:szCs w:val="22"/>
                              </w:rPr>
                              <w:t xml:space="preserve">  法定代表人身份证（正反面）：</w:t>
                            </w:r>
                          </w:p>
                        </w:txbxContent>
                      </wps:txbx>
                      <wps:bodyPr wrap="square" upright="1"/>
                    </wps:wsp>
                  </a:graphicData>
                </a:graphic>
              </wp:anchor>
            </w:drawing>
          </mc:Choice>
          <mc:Fallback>
            <w:pict>
              <v:shape id="Text Box 2" o:spid="_x0000_s1026" o:spt="202" type="#_x0000_t202" style="position:absolute;left:0pt;margin-left:8.95pt;margin-top:25.25pt;height:236.55pt;width:492.45pt;z-index:251659264;mso-width-relative:page;mso-height-relative:page;" fillcolor="#FFFFFF" filled="t" stroked="t" coordsize="21600,21600" o:gfxdata="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9wjaNgAAAAKAQAADwAAAAAAAAABACAAAAAiAAAAZHJz&#10;L2Rvd25yZXYueG1sUEsBAhQAFAAAAAgAh07iQL7uwAkEAgAARAQAAA4AAAAAAAAAAQAgAAAAJwEA&#10;AGRycy9lMm9Eb2MueG1sUEsFBgAAAAAGAAYAWQEAAJ0FAAAAAA==&#10;">
                <v:fill on="t" focussize="0,0"/>
                <v:stroke color="#000000" joinstyle="miter"/>
                <v:imagedata o:title=""/>
                <o:lock v:ext="edit" aspectratio="f"/>
                <v:textbox>
                  <w:txbxContent>
                    <w:p w14:paraId="18B87044">
                      <w:r>
                        <w:rPr>
                          <w:rFonts w:hint="eastAsia" w:ascii="新宋体" w:hAnsi="新宋体" w:eastAsia="新宋体"/>
                          <w:sz w:val="22"/>
                          <w:szCs w:val="22"/>
                        </w:rPr>
                        <w:t xml:space="preserve">  法定代表人身份证（正反面）：</w:t>
                      </w:r>
                    </w:p>
                  </w:txbxContent>
                </v:textbox>
              </v:shape>
            </w:pict>
          </mc:Fallback>
        </mc:AlternateContent>
      </w:r>
    </w:p>
    <w:p w14:paraId="313A56FA">
      <w:pPr>
        <w:spacing w:line="460" w:lineRule="exact"/>
        <w:jc w:val="center"/>
        <w:rPr>
          <w:rFonts w:ascii="宋体" w:hAnsi="宋体" w:cs="宋体"/>
          <w:b/>
          <w:bCs/>
          <w:color w:val="auto"/>
          <w:sz w:val="28"/>
          <w:szCs w:val="28"/>
          <w:highlight w:val="none"/>
        </w:rPr>
      </w:pPr>
    </w:p>
    <w:p w14:paraId="5A8CA923">
      <w:pPr>
        <w:spacing w:line="460" w:lineRule="exact"/>
        <w:jc w:val="center"/>
        <w:rPr>
          <w:rFonts w:ascii="宋体" w:hAnsi="宋体" w:cs="宋体"/>
          <w:b/>
          <w:bCs/>
          <w:color w:val="auto"/>
          <w:sz w:val="28"/>
          <w:szCs w:val="28"/>
          <w:highlight w:val="none"/>
        </w:rPr>
      </w:pPr>
    </w:p>
    <w:p w14:paraId="37423378">
      <w:pPr>
        <w:spacing w:line="460" w:lineRule="exact"/>
        <w:jc w:val="center"/>
        <w:rPr>
          <w:rFonts w:ascii="宋体" w:hAnsi="宋体" w:cs="宋体"/>
          <w:b/>
          <w:bCs/>
          <w:color w:val="auto"/>
          <w:sz w:val="28"/>
          <w:szCs w:val="28"/>
          <w:highlight w:val="none"/>
        </w:rPr>
      </w:pPr>
    </w:p>
    <w:p w14:paraId="696518F3">
      <w:pPr>
        <w:spacing w:line="460" w:lineRule="exact"/>
        <w:jc w:val="center"/>
        <w:rPr>
          <w:rFonts w:ascii="宋体" w:hAnsi="宋体" w:cs="宋体"/>
          <w:b/>
          <w:bCs/>
          <w:color w:val="auto"/>
          <w:sz w:val="28"/>
          <w:szCs w:val="28"/>
          <w:highlight w:val="none"/>
        </w:rPr>
      </w:pPr>
    </w:p>
    <w:p w14:paraId="106B5B27">
      <w:pPr>
        <w:spacing w:line="460" w:lineRule="exact"/>
        <w:jc w:val="center"/>
        <w:rPr>
          <w:rFonts w:ascii="宋体" w:hAnsi="宋体" w:cs="宋体"/>
          <w:b/>
          <w:bCs/>
          <w:color w:val="auto"/>
          <w:sz w:val="28"/>
          <w:szCs w:val="28"/>
          <w:highlight w:val="none"/>
        </w:rPr>
      </w:pPr>
    </w:p>
    <w:p w14:paraId="0A1067A0">
      <w:pPr>
        <w:spacing w:line="460" w:lineRule="exact"/>
        <w:jc w:val="center"/>
        <w:rPr>
          <w:rFonts w:ascii="宋体" w:hAnsi="宋体" w:cs="宋体"/>
          <w:b/>
          <w:bCs/>
          <w:color w:val="auto"/>
          <w:sz w:val="28"/>
          <w:szCs w:val="28"/>
          <w:highlight w:val="none"/>
        </w:rPr>
      </w:pPr>
    </w:p>
    <w:p w14:paraId="3B266067">
      <w:pPr>
        <w:spacing w:line="460" w:lineRule="exact"/>
        <w:jc w:val="center"/>
        <w:rPr>
          <w:rFonts w:ascii="宋体" w:hAnsi="宋体" w:cs="宋体"/>
          <w:b/>
          <w:bCs/>
          <w:color w:val="auto"/>
          <w:sz w:val="28"/>
          <w:szCs w:val="28"/>
          <w:highlight w:val="none"/>
        </w:rPr>
      </w:pPr>
    </w:p>
    <w:p w14:paraId="6EEFCCA4">
      <w:pPr>
        <w:spacing w:line="460" w:lineRule="exact"/>
        <w:jc w:val="center"/>
        <w:rPr>
          <w:rFonts w:ascii="宋体" w:hAnsi="宋体" w:cs="宋体"/>
          <w:b/>
          <w:bCs/>
          <w:color w:val="auto"/>
          <w:sz w:val="28"/>
          <w:szCs w:val="28"/>
          <w:highlight w:val="none"/>
        </w:rPr>
      </w:pPr>
    </w:p>
    <w:p w14:paraId="06214958">
      <w:pPr>
        <w:spacing w:line="460" w:lineRule="exact"/>
        <w:jc w:val="center"/>
        <w:rPr>
          <w:rFonts w:ascii="宋体" w:hAnsi="宋体" w:cs="宋体"/>
          <w:b/>
          <w:bCs/>
          <w:color w:val="auto"/>
          <w:sz w:val="28"/>
          <w:szCs w:val="28"/>
          <w:highlight w:val="none"/>
        </w:rPr>
      </w:pPr>
    </w:p>
    <w:p w14:paraId="5521360F">
      <w:pPr>
        <w:spacing w:line="460" w:lineRule="exact"/>
        <w:jc w:val="center"/>
        <w:rPr>
          <w:rFonts w:ascii="宋体" w:hAnsi="宋体" w:cs="宋体"/>
          <w:b/>
          <w:bCs/>
          <w:color w:val="auto"/>
          <w:sz w:val="28"/>
          <w:szCs w:val="28"/>
          <w:highlight w:val="none"/>
        </w:rPr>
      </w:pPr>
    </w:p>
    <w:p w14:paraId="3391E2DC">
      <w:pPr>
        <w:spacing w:line="460" w:lineRule="exact"/>
        <w:jc w:val="center"/>
        <w:rPr>
          <w:rFonts w:ascii="宋体" w:hAnsi="宋体" w:cs="宋体"/>
          <w:b/>
          <w:bCs/>
          <w:color w:val="auto"/>
          <w:sz w:val="28"/>
          <w:szCs w:val="28"/>
          <w:highlight w:val="none"/>
        </w:rPr>
      </w:pPr>
    </w:p>
    <w:p w14:paraId="5D16A443">
      <w:pPr>
        <w:spacing w:line="460" w:lineRule="exact"/>
        <w:jc w:val="center"/>
        <w:rPr>
          <w:rFonts w:ascii="宋体" w:hAnsi="宋体" w:cs="宋体"/>
          <w:b/>
          <w:bCs/>
          <w:color w:val="auto"/>
          <w:sz w:val="28"/>
          <w:szCs w:val="28"/>
          <w:highlight w:val="none"/>
        </w:rPr>
      </w:pPr>
    </w:p>
    <w:p w14:paraId="7AA8C687">
      <w:pPr>
        <w:spacing w:line="460" w:lineRule="exact"/>
        <w:jc w:val="center"/>
        <w:rPr>
          <w:rFonts w:ascii="宋体" w:hAnsi="宋体" w:cs="宋体"/>
          <w:b/>
          <w:bCs/>
          <w:color w:val="auto"/>
          <w:sz w:val="28"/>
          <w:szCs w:val="28"/>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660288" behindDoc="0" locked="0" layoutInCell="1" allowOverlap="1">
                <wp:simplePos x="0" y="0"/>
                <wp:positionH relativeFrom="column">
                  <wp:posOffset>88265</wp:posOffset>
                </wp:positionH>
                <wp:positionV relativeFrom="paragraph">
                  <wp:posOffset>-53975</wp:posOffset>
                </wp:positionV>
                <wp:extent cx="6303645" cy="3875405"/>
                <wp:effectExtent l="4445" t="5080" r="16510" b="5715"/>
                <wp:wrapNone/>
                <wp:docPr id="2" name="文本框 25"/>
                <wp:cNvGraphicFramePr/>
                <a:graphic xmlns:a="http://schemas.openxmlformats.org/drawingml/2006/main">
                  <a:graphicData uri="http://schemas.microsoft.com/office/word/2010/wordprocessingShape">
                    <wps:wsp>
                      <wps:cNvSpPr txBox="1"/>
                      <wps:spPr>
                        <a:xfrm>
                          <a:off x="0" y="0"/>
                          <a:ext cx="6303645" cy="38754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42E0A9">
                            <w:r>
                              <w:rPr>
                                <w:rFonts w:hint="eastAsia" w:ascii="新宋体" w:hAnsi="新宋体" w:eastAsia="新宋体"/>
                                <w:sz w:val="22"/>
                                <w:szCs w:val="22"/>
                              </w:rPr>
                              <w:t xml:space="preserve">  授权代表身份证（正反面）：</w:t>
                            </w:r>
                          </w:p>
                        </w:txbxContent>
                      </wps:txbx>
                      <wps:bodyPr wrap="square" upright="1"/>
                    </wps:wsp>
                  </a:graphicData>
                </a:graphic>
              </wp:anchor>
            </w:drawing>
          </mc:Choice>
          <mc:Fallback>
            <w:pict>
              <v:shape id="文本框 25" o:spid="_x0000_s1026" o:spt="202" type="#_x0000_t202" style="position:absolute;left:0pt;margin-left:6.95pt;margin-top:-4.25pt;height:305.15pt;width:496.35pt;z-index:251660288;mso-width-relative:page;mso-height-relative:page;" fillcolor="#FFFFFF" filled="t" stroked="t" coordsize="21600,21600" o:gfxdata="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Yaotd2AAAAAoBAAAP&#10;AAAAAAAAAAEAIAAAACIAAABkcnMvZG93bnJldi54bWxQSwECFAAUAAAACACHTuJA+HsyPBgCAABG&#10;BAAADgAAAAAAAAABACAAAAAnAQAAZHJzL2Uyb0RvYy54bWxQSwUGAAAAAAYABgBZAQAAsQUAAAAA&#10;">
                <v:fill on="t" focussize="0,0"/>
                <v:stroke color="#000000" joinstyle="miter"/>
                <v:imagedata o:title=""/>
                <o:lock v:ext="edit" aspectratio="f"/>
                <v:textbox>
                  <w:txbxContent>
                    <w:p w14:paraId="2A42E0A9">
                      <w:r>
                        <w:rPr>
                          <w:rFonts w:hint="eastAsia" w:ascii="新宋体" w:hAnsi="新宋体" w:eastAsia="新宋体"/>
                          <w:sz w:val="22"/>
                          <w:szCs w:val="22"/>
                        </w:rPr>
                        <w:t xml:space="preserve">  授权代表身份证（正反面）：</w:t>
                      </w:r>
                    </w:p>
                  </w:txbxContent>
                </v:textbox>
              </v:shape>
            </w:pict>
          </mc:Fallback>
        </mc:AlternateContent>
      </w:r>
    </w:p>
    <w:p w14:paraId="32C8A8CE">
      <w:pPr>
        <w:spacing w:line="460" w:lineRule="exact"/>
        <w:jc w:val="center"/>
        <w:rPr>
          <w:rFonts w:ascii="宋体" w:hAnsi="宋体" w:cs="宋体"/>
          <w:b/>
          <w:bCs/>
          <w:color w:val="auto"/>
          <w:sz w:val="28"/>
          <w:szCs w:val="28"/>
          <w:highlight w:val="none"/>
        </w:rPr>
      </w:pPr>
    </w:p>
    <w:p w14:paraId="1C175C70">
      <w:pPr>
        <w:spacing w:line="460" w:lineRule="exact"/>
        <w:jc w:val="center"/>
        <w:rPr>
          <w:rFonts w:ascii="宋体" w:hAnsi="宋体" w:cs="宋体"/>
          <w:b/>
          <w:bCs/>
          <w:color w:val="auto"/>
          <w:sz w:val="28"/>
          <w:szCs w:val="28"/>
          <w:highlight w:val="none"/>
        </w:rPr>
      </w:pPr>
    </w:p>
    <w:p w14:paraId="03FE72DB">
      <w:pPr>
        <w:spacing w:line="460" w:lineRule="exact"/>
        <w:jc w:val="center"/>
        <w:rPr>
          <w:rFonts w:ascii="宋体" w:hAnsi="宋体" w:cs="宋体"/>
          <w:b/>
          <w:bCs/>
          <w:color w:val="auto"/>
          <w:sz w:val="28"/>
          <w:szCs w:val="28"/>
          <w:highlight w:val="none"/>
        </w:rPr>
      </w:pPr>
    </w:p>
    <w:p w14:paraId="374FDAEB">
      <w:pPr>
        <w:spacing w:line="460" w:lineRule="exact"/>
        <w:jc w:val="center"/>
        <w:rPr>
          <w:rFonts w:ascii="宋体" w:hAnsi="宋体" w:cs="宋体"/>
          <w:b/>
          <w:bCs/>
          <w:color w:val="auto"/>
          <w:sz w:val="28"/>
          <w:szCs w:val="28"/>
          <w:highlight w:val="none"/>
        </w:rPr>
      </w:pPr>
    </w:p>
    <w:p w14:paraId="6C7E86D4">
      <w:pPr>
        <w:spacing w:line="460" w:lineRule="exact"/>
        <w:jc w:val="center"/>
        <w:rPr>
          <w:rFonts w:ascii="宋体" w:hAnsi="宋体" w:cs="宋体"/>
          <w:b/>
          <w:bCs/>
          <w:color w:val="auto"/>
          <w:sz w:val="28"/>
          <w:szCs w:val="28"/>
          <w:highlight w:val="none"/>
        </w:rPr>
      </w:pPr>
    </w:p>
    <w:p w14:paraId="6DE72C73">
      <w:pPr>
        <w:spacing w:line="460" w:lineRule="exact"/>
        <w:jc w:val="center"/>
        <w:rPr>
          <w:rFonts w:ascii="宋体" w:hAnsi="宋体" w:cs="宋体"/>
          <w:b/>
          <w:bCs/>
          <w:color w:val="auto"/>
          <w:sz w:val="28"/>
          <w:szCs w:val="28"/>
          <w:highlight w:val="none"/>
        </w:rPr>
      </w:pPr>
    </w:p>
    <w:p w14:paraId="26477612">
      <w:pPr>
        <w:spacing w:line="460" w:lineRule="exact"/>
        <w:jc w:val="center"/>
        <w:rPr>
          <w:rFonts w:ascii="宋体" w:hAnsi="宋体" w:cs="宋体"/>
          <w:b/>
          <w:bCs/>
          <w:color w:val="auto"/>
          <w:sz w:val="28"/>
          <w:szCs w:val="28"/>
          <w:highlight w:val="none"/>
        </w:rPr>
      </w:pPr>
    </w:p>
    <w:p w14:paraId="12099200">
      <w:pPr>
        <w:spacing w:line="460" w:lineRule="exact"/>
        <w:jc w:val="center"/>
        <w:rPr>
          <w:rFonts w:ascii="宋体" w:hAnsi="宋体" w:cs="宋体"/>
          <w:b/>
          <w:bCs/>
          <w:color w:val="auto"/>
          <w:sz w:val="28"/>
          <w:szCs w:val="28"/>
          <w:highlight w:val="none"/>
        </w:rPr>
      </w:pPr>
    </w:p>
    <w:p w14:paraId="57851CC3">
      <w:pPr>
        <w:spacing w:line="460" w:lineRule="exact"/>
        <w:jc w:val="center"/>
        <w:rPr>
          <w:rFonts w:ascii="宋体" w:hAnsi="宋体" w:cs="宋体"/>
          <w:b/>
          <w:bCs/>
          <w:color w:val="auto"/>
          <w:sz w:val="28"/>
          <w:szCs w:val="28"/>
          <w:highlight w:val="none"/>
        </w:rPr>
      </w:pPr>
    </w:p>
    <w:p w14:paraId="415E81E3">
      <w:pPr>
        <w:spacing w:line="460" w:lineRule="exact"/>
        <w:jc w:val="center"/>
        <w:rPr>
          <w:rFonts w:ascii="宋体" w:hAnsi="宋体" w:cs="宋体"/>
          <w:b/>
          <w:bCs/>
          <w:color w:val="auto"/>
          <w:sz w:val="28"/>
          <w:szCs w:val="28"/>
          <w:highlight w:val="none"/>
        </w:rPr>
      </w:pPr>
    </w:p>
    <w:p w14:paraId="3E0F61E0">
      <w:pPr>
        <w:spacing w:line="460" w:lineRule="exact"/>
        <w:jc w:val="center"/>
        <w:rPr>
          <w:rFonts w:ascii="宋体" w:hAnsi="宋体" w:cs="宋体"/>
          <w:b/>
          <w:bCs/>
          <w:color w:val="auto"/>
          <w:sz w:val="28"/>
          <w:szCs w:val="28"/>
          <w:highlight w:val="none"/>
        </w:rPr>
      </w:pPr>
    </w:p>
    <w:p w14:paraId="1DFB71A9">
      <w:pPr>
        <w:spacing w:line="460" w:lineRule="exact"/>
        <w:jc w:val="center"/>
        <w:rPr>
          <w:rFonts w:ascii="宋体" w:hAnsi="宋体" w:cs="宋体"/>
          <w:b/>
          <w:bCs/>
          <w:color w:val="auto"/>
          <w:sz w:val="28"/>
          <w:szCs w:val="28"/>
          <w:highlight w:val="none"/>
        </w:rPr>
      </w:pPr>
    </w:p>
    <w:p w14:paraId="3A00A7A6">
      <w:pPr>
        <w:spacing w:line="460" w:lineRule="exact"/>
        <w:jc w:val="center"/>
        <w:rPr>
          <w:rFonts w:ascii="宋体" w:hAnsi="宋体" w:cs="宋体"/>
          <w:b/>
          <w:bCs/>
          <w:color w:val="auto"/>
          <w:sz w:val="28"/>
          <w:szCs w:val="28"/>
          <w:highlight w:val="none"/>
        </w:rPr>
      </w:pPr>
    </w:p>
    <w:p w14:paraId="53B39FF8">
      <w:pPr>
        <w:spacing w:line="460" w:lineRule="exact"/>
        <w:jc w:val="center"/>
        <w:rPr>
          <w:rFonts w:ascii="宋体" w:hAnsi="宋体" w:cs="宋体"/>
          <w:b/>
          <w:bCs/>
          <w:color w:val="auto"/>
          <w:sz w:val="28"/>
          <w:szCs w:val="28"/>
          <w:highlight w:val="none"/>
        </w:rPr>
      </w:pPr>
    </w:p>
    <w:p w14:paraId="76FA6B71">
      <w:pPr>
        <w:spacing w:line="460" w:lineRule="exact"/>
        <w:jc w:val="center"/>
        <w:rPr>
          <w:rFonts w:ascii="宋体" w:hAnsi="宋体" w:cs="宋体"/>
          <w:b/>
          <w:bCs/>
          <w:color w:val="auto"/>
          <w:sz w:val="28"/>
          <w:szCs w:val="28"/>
          <w:highlight w:val="none"/>
        </w:rPr>
      </w:pPr>
    </w:p>
    <w:p w14:paraId="1D53A26F">
      <w:pPr>
        <w:spacing w:line="460" w:lineRule="exact"/>
        <w:jc w:val="center"/>
        <w:rPr>
          <w:rFonts w:ascii="宋体" w:hAnsi="宋体" w:cs="宋体"/>
          <w:b/>
          <w:bCs/>
          <w:color w:val="auto"/>
          <w:sz w:val="28"/>
          <w:szCs w:val="28"/>
          <w:highlight w:val="none"/>
        </w:rPr>
        <w:sectPr>
          <w:headerReference r:id="rId4" w:type="first"/>
          <w:headerReference r:id="rId3" w:type="default"/>
          <w:footerReference r:id="rId5" w:type="default"/>
          <w:pgSz w:w="11907" w:h="16840"/>
          <w:pgMar w:top="1134" w:right="1134" w:bottom="1134" w:left="1134" w:header="851" w:footer="992" w:gutter="0"/>
          <w:cols w:space="720" w:num="1"/>
          <w:titlePg/>
          <w:docGrid w:linePitch="312" w:charSpace="0"/>
        </w:sectPr>
      </w:pPr>
    </w:p>
    <w:p w14:paraId="6D81DAD4">
      <w:pPr>
        <w:pStyle w:val="2"/>
        <w:rPr>
          <w:rFonts w:ascii="宋体" w:hAnsi="宋体" w:cs="宋体"/>
          <w:color w:val="auto"/>
          <w:highlight w:val="none"/>
        </w:rPr>
      </w:pPr>
    </w:p>
    <w:p w14:paraId="304BA9D5">
      <w:pPr>
        <w:spacing w:line="460" w:lineRule="exact"/>
        <w:jc w:val="center"/>
        <w:outlineLvl w:val="3"/>
        <w:rPr>
          <w:rFonts w:ascii="宋体" w:hAnsi="宋体" w:cs="宋体"/>
          <w:b/>
          <w:bCs/>
          <w:color w:val="auto"/>
          <w:sz w:val="22"/>
          <w:szCs w:val="22"/>
          <w:highlight w:val="none"/>
        </w:rPr>
      </w:pPr>
      <w:r>
        <w:rPr>
          <w:rFonts w:hint="eastAsia" w:ascii="宋体" w:hAnsi="宋体" w:cs="宋体"/>
          <w:b/>
          <w:bCs/>
          <w:color w:val="auto"/>
          <w:sz w:val="22"/>
          <w:szCs w:val="22"/>
          <w:highlight w:val="none"/>
        </w:rPr>
        <w:t>2、磋商供应商情况表</w:t>
      </w:r>
    </w:p>
    <w:p w14:paraId="2BE67B43">
      <w:pPr>
        <w:spacing w:line="480" w:lineRule="exact"/>
        <w:rPr>
          <w:rFonts w:ascii="宋体" w:hAnsi="宋体" w:cs="宋体"/>
          <w:color w:val="auto"/>
          <w:sz w:val="22"/>
          <w:szCs w:val="22"/>
          <w:highlight w:val="none"/>
        </w:rPr>
      </w:pPr>
      <w:r>
        <w:rPr>
          <w:rFonts w:hint="eastAsia" w:ascii="宋体" w:hAnsi="宋体" w:cs="宋体"/>
          <w:color w:val="auto"/>
          <w:sz w:val="22"/>
          <w:szCs w:val="22"/>
          <w:highlight w:val="none"/>
        </w:rPr>
        <w:t xml:space="preserve">     项目名称：                                             项目编号：</w:t>
      </w:r>
    </w:p>
    <w:tbl>
      <w:tblPr>
        <w:tblStyle w:val="52"/>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1115"/>
        <w:gridCol w:w="1689"/>
        <w:gridCol w:w="728"/>
        <w:gridCol w:w="387"/>
        <w:gridCol w:w="1100"/>
        <w:gridCol w:w="1488"/>
        <w:gridCol w:w="1488"/>
        <w:gridCol w:w="1502"/>
        <w:gridCol w:w="1488"/>
        <w:gridCol w:w="1115"/>
        <w:gridCol w:w="355"/>
        <w:gridCol w:w="1106"/>
      </w:tblGrid>
      <w:tr w14:paraId="5892B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27" w:type="dxa"/>
          </w:tcPr>
          <w:p w14:paraId="28EED62A">
            <w:pPr>
              <w:spacing w:line="480" w:lineRule="exact"/>
              <w:rPr>
                <w:rFonts w:ascii="宋体" w:hAnsi="宋体" w:cs="宋体"/>
                <w:color w:val="auto"/>
                <w:sz w:val="22"/>
                <w:szCs w:val="22"/>
                <w:highlight w:val="none"/>
              </w:rPr>
            </w:pPr>
            <w:r>
              <w:rPr>
                <w:rFonts w:hint="eastAsia" w:ascii="宋体" w:hAnsi="宋体" w:cs="宋体"/>
                <w:color w:val="auto"/>
                <w:sz w:val="22"/>
                <w:szCs w:val="22"/>
                <w:highlight w:val="none"/>
              </w:rPr>
              <w:t>单位名称（盖章）</w:t>
            </w:r>
          </w:p>
        </w:tc>
        <w:tc>
          <w:tcPr>
            <w:tcW w:w="2804" w:type="dxa"/>
            <w:gridSpan w:val="2"/>
          </w:tcPr>
          <w:p w14:paraId="45A47ECF">
            <w:pPr>
              <w:spacing w:line="480" w:lineRule="exact"/>
              <w:rPr>
                <w:rFonts w:ascii="宋体" w:hAnsi="宋体" w:cs="宋体"/>
                <w:color w:val="auto"/>
                <w:sz w:val="22"/>
                <w:szCs w:val="22"/>
                <w:highlight w:val="none"/>
              </w:rPr>
            </w:pPr>
          </w:p>
        </w:tc>
        <w:tc>
          <w:tcPr>
            <w:tcW w:w="1115" w:type="dxa"/>
            <w:gridSpan w:val="2"/>
          </w:tcPr>
          <w:p w14:paraId="6BE83443">
            <w:pPr>
              <w:spacing w:line="480" w:lineRule="exact"/>
              <w:rPr>
                <w:rFonts w:ascii="宋体" w:hAnsi="宋体" w:cs="宋体"/>
                <w:color w:val="auto"/>
                <w:sz w:val="22"/>
                <w:szCs w:val="22"/>
                <w:highlight w:val="none"/>
              </w:rPr>
            </w:pPr>
            <w:r>
              <w:rPr>
                <w:rFonts w:hint="eastAsia" w:ascii="宋体" w:hAnsi="宋体" w:cs="宋体"/>
                <w:color w:val="auto"/>
                <w:sz w:val="22"/>
                <w:szCs w:val="22"/>
                <w:highlight w:val="none"/>
              </w:rPr>
              <w:t>电 话</w:t>
            </w:r>
          </w:p>
        </w:tc>
        <w:tc>
          <w:tcPr>
            <w:tcW w:w="2588" w:type="dxa"/>
            <w:gridSpan w:val="2"/>
          </w:tcPr>
          <w:p w14:paraId="4D3B732C">
            <w:pPr>
              <w:spacing w:line="480" w:lineRule="exact"/>
              <w:rPr>
                <w:rFonts w:ascii="宋体" w:hAnsi="宋体" w:cs="宋体"/>
                <w:color w:val="auto"/>
                <w:sz w:val="22"/>
                <w:szCs w:val="22"/>
                <w:highlight w:val="none"/>
              </w:rPr>
            </w:pPr>
          </w:p>
        </w:tc>
        <w:tc>
          <w:tcPr>
            <w:tcW w:w="1488" w:type="dxa"/>
          </w:tcPr>
          <w:p w14:paraId="01AFDF09">
            <w:pPr>
              <w:spacing w:line="480" w:lineRule="exact"/>
              <w:rPr>
                <w:rFonts w:ascii="宋体" w:hAnsi="宋体" w:cs="宋体"/>
                <w:color w:val="auto"/>
                <w:sz w:val="22"/>
                <w:szCs w:val="22"/>
                <w:highlight w:val="none"/>
              </w:rPr>
            </w:pPr>
            <w:r>
              <w:rPr>
                <w:rFonts w:hint="eastAsia" w:ascii="宋体" w:hAnsi="宋体" w:cs="宋体"/>
                <w:color w:val="auto"/>
                <w:sz w:val="22"/>
                <w:szCs w:val="22"/>
                <w:highlight w:val="none"/>
              </w:rPr>
              <w:t>主管部门</w:t>
            </w:r>
          </w:p>
        </w:tc>
        <w:tc>
          <w:tcPr>
            <w:tcW w:w="1502" w:type="dxa"/>
          </w:tcPr>
          <w:p w14:paraId="7161DD8D">
            <w:pPr>
              <w:spacing w:line="480" w:lineRule="exact"/>
              <w:rPr>
                <w:rFonts w:ascii="宋体" w:hAnsi="宋体" w:cs="宋体"/>
                <w:color w:val="auto"/>
                <w:sz w:val="22"/>
                <w:szCs w:val="22"/>
                <w:highlight w:val="none"/>
              </w:rPr>
            </w:pPr>
          </w:p>
        </w:tc>
        <w:tc>
          <w:tcPr>
            <w:tcW w:w="1488" w:type="dxa"/>
          </w:tcPr>
          <w:p w14:paraId="1A1EC78D">
            <w:pPr>
              <w:spacing w:line="480" w:lineRule="exact"/>
              <w:rPr>
                <w:rFonts w:ascii="宋体" w:hAnsi="宋体" w:cs="宋体"/>
                <w:color w:val="auto"/>
                <w:sz w:val="22"/>
                <w:szCs w:val="22"/>
                <w:highlight w:val="none"/>
              </w:rPr>
            </w:pPr>
            <w:r>
              <w:rPr>
                <w:rFonts w:hint="eastAsia" w:ascii="宋体" w:hAnsi="宋体" w:cs="宋体"/>
                <w:color w:val="auto"/>
                <w:sz w:val="22"/>
                <w:szCs w:val="22"/>
                <w:highlight w:val="none"/>
              </w:rPr>
              <w:t>企业负责人</w:t>
            </w:r>
          </w:p>
        </w:tc>
        <w:tc>
          <w:tcPr>
            <w:tcW w:w="1115" w:type="dxa"/>
          </w:tcPr>
          <w:p w14:paraId="5B590908">
            <w:pPr>
              <w:spacing w:line="480" w:lineRule="exact"/>
              <w:rPr>
                <w:rFonts w:ascii="宋体" w:hAnsi="宋体" w:cs="宋体"/>
                <w:color w:val="auto"/>
                <w:sz w:val="22"/>
                <w:szCs w:val="22"/>
                <w:highlight w:val="none"/>
              </w:rPr>
            </w:pPr>
          </w:p>
        </w:tc>
        <w:tc>
          <w:tcPr>
            <w:tcW w:w="1461" w:type="dxa"/>
            <w:gridSpan w:val="2"/>
          </w:tcPr>
          <w:p w14:paraId="4A4BF8BF">
            <w:pPr>
              <w:spacing w:line="480" w:lineRule="exact"/>
              <w:rPr>
                <w:rFonts w:ascii="宋体" w:hAnsi="宋体" w:cs="宋体"/>
                <w:color w:val="auto"/>
                <w:sz w:val="22"/>
                <w:szCs w:val="22"/>
                <w:highlight w:val="none"/>
              </w:rPr>
            </w:pPr>
            <w:r>
              <w:rPr>
                <w:rFonts w:hint="eastAsia" w:ascii="宋体" w:hAnsi="宋体" w:cs="宋体"/>
                <w:color w:val="auto"/>
                <w:sz w:val="22"/>
                <w:szCs w:val="22"/>
                <w:highlight w:val="none"/>
              </w:rPr>
              <w:t>职务</w:t>
            </w:r>
          </w:p>
        </w:tc>
      </w:tr>
      <w:tr w14:paraId="618E0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27" w:type="dxa"/>
          </w:tcPr>
          <w:p w14:paraId="44AF4C76">
            <w:pPr>
              <w:spacing w:line="480" w:lineRule="exact"/>
              <w:rPr>
                <w:rFonts w:ascii="宋体" w:hAnsi="宋体" w:cs="宋体"/>
                <w:color w:val="auto"/>
                <w:sz w:val="22"/>
                <w:szCs w:val="22"/>
                <w:highlight w:val="none"/>
              </w:rPr>
            </w:pPr>
            <w:r>
              <w:rPr>
                <w:rFonts w:hint="eastAsia" w:ascii="宋体" w:hAnsi="宋体" w:cs="宋体"/>
                <w:color w:val="auto"/>
                <w:sz w:val="22"/>
                <w:szCs w:val="22"/>
                <w:highlight w:val="none"/>
              </w:rPr>
              <w:t>地    址</w:t>
            </w:r>
          </w:p>
        </w:tc>
        <w:tc>
          <w:tcPr>
            <w:tcW w:w="2804" w:type="dxa"/>
            <w:gridSpan w:val="2"/>
          </w:tcPr>
          <w:p w14:paraId="7A917B74">
            <w:pPr>
              <w:spacing w:line="480" w:lineRule="exact"/>
              <w:rPr>
                <w:rFonts w:ascii="宋体" w:hAnsi="宋体" w:cs="宋体"/>
                <w:color w:val="auto"/>
                <w:sz w:val="22"/>
                <w:szCs w:val="22"/>
                <w:highlight w:val="none"/>
              </w:rPr>
            </w:pPr>
          </w:p>
        </w:tc>
        <w:tc>
          <w:tcPr>
            <w:tcW w:w="1115" w:type="dxa"/>
            <w:gridSpan w:val="2"/>
          </w:tcPr>
          <w:p w14:paraId="37D43372">
            <w:pPr>
              <w:spacing w:line="480" w:lineRule="exact"/>
              <w:rPr>
                <w:rFonts w:ascii="宋体" w:hAnsi="宋体" w:cs="宋体"/>
                <w:color w:val="auto"/>
                <w:sz w:val="22"/>
                <w:szCs w:val="22"/>
                <w:highlight w:val="none"/>
              </w:rPr>
            </w:pPr>
            <w:r>
              <w:rPr>
                <w:rFonts w:hint="eastAsia" w:ascii="宋体" w:hAnsi="宋体" w:cs="宋体"/>
                <w:color w:val="auto"/>
                <w:sz w:val="22"/>
                <w:szCs w:val="22"/>
                <w:highlight w:val="none"/>
              </w:rPr>
              <w:t>传 真</w:t>
            </w:r>
          </w:p>
        </w:tc>
        <w:tc>
          <w:tcPr>
            <w:tcW w:w="2588" w:type="dxa"/>
            <w:gridSpan w:val="2"/>
          </w:tcPr>
          <w:p w14:paraId="25B91D08">
            <w:pPr>
              <w:spacing w:line="480" w:lineRule="exact"/>
              <w:rPr>
                <w:rFonts w:ascii="宋体" w:hAnsi="宋体" w:cs="宋体"/>
                <w:color w:val="auto"/>
                <w:sz w:val="22"/>
                <w:szCs w:val="22"/>
                <w:highlight w:val="none"/>
              </w:rPr>
            </w:pPr>
          </w:p>
        </w:tc>
        <w:tc>
          <w:tcPr>
            <w:tcW w:w="1488" w:type="dxa"/>
          </w:tcPr>
          <w:p w14:paraId="13672D99">
            <w:pPr>
              <w:spacing w:line="480" w:lineRule="exact"/>
              <w:rPr>
                <w:rFonts w:ascii="宋体" w:hAnsi="宋体" w:cs="宋体"/>
                <w:color w:val="auto"/>
                <w:sz w:val="22"/>
                <w:szCs w:val="22"/>
                <w:highlight w:val="none"/>
              </w:rPr>
            </w:pPr>
            <w:r>
              <w:rPr>
                <w:rFonts w:hint="eastAsia" w:ascii="宋体" w:hAnsi="宋体" w:cs="宋体"/>
                <w:color w:val="auto"/>
                <w:sz w:val="22"/>
                <w:szCs w:val="22"/>
                <w:highlight w:val="none"/>
              </w:rPr>
              <w:t>企业性质</w:t>
            </w:r>
          </w:p>
        </w:tc>
        <w:tc>
          <w:tcPr>
            <w:tcW w:w="1502" w:type="dxa"/>
          </w:tcPr>
          <w:p w14:paraId="5D6E545B">
            <w:pPr>
              <w:spacing w:line="480" w:lineRule="exact"/>
              <w:rPr>
                <w:rFonts w:ascii="宋体" w:hAnsi="宋体" w:cs="宋体"/>
                <w:color w:val="auto"/>
                <w:sz w:val="22"/>
                <w:szCs w:val="22"/>
                <w:highlight w:val="none"/>
              </w:rPr>
            </w:pPr>
          </w:p>
        </w:tc>
        <w:tc>
          <w:tcPr>
            <w:tcW w:w="1488" w:type="dxa"/>
          </w:tcPr>
          <w:p w14:paraId="72E06D3B">
            <w:pPr>
              <w:spacing w:line="480" w:lineRule="exact"/>
              <w:rPr>
                <w:rFonts w:ascii="宋体" w:hAnsi="宋体" w:cs="宋体"/>
                <w:color w:val="auto"/>
                <w:sz w:val="22"/>
                <w:szCs w:val="22"/>
                <w:highlight w:val="none"/>
              </w:rPr>
            </w:pPr>
            <w:r>
              <w:rPr>
                <w:rFonts w:hint="eastAsia" w:ascii="宋体" w:hAnsi="宋体" w:cs="宋体"/>
                <w:color w:val="auto"/>
                <w:sz w:val="22"/>
                <w:szCs w:val="22"/>
                <w:highlight w:val="none"/>
              </w:rPr>
              <w:t>授权代表</w:t>
            </w:r>
          </w:p>
        </w:tc>
        <w:tc>
          <w:tcPr>
            <w:tcW w:w="1115" w:type="dxa"/>
          </w:tcPr>
          <w:p w14:paraId="1580B179">
            <w:pPr>
              <w:spacing w:line="480" w:lineRule="exact"/>
              <w:rPr>
                <w:rFonts w:ascii="宋体" w:hAnsi="宋体" w:cs="宋体"/>
                <w:color w:val="auto"/>
                <w:sz w:val="22"/>
                <w:szCs w:val="22"/>
                <w:highlight w:val="none"/>
              </w:rPr>
            </w:pPr>
          </w:p>
        </w:tc>
        <w:tc>
          <w:tcPr>
            <w:tcW w:w="1461" w:type="dxa"/>
            <w:gridSpan w:val="2"/>
          </w:tcPr>
          <w:p w14:paraId="4B07ABA7">
            <w:pPr>
              <w:spacing w:line="480" w:lineRule="exact"/>
              <w:rPr>
                <w:rFonts w:ascii="宋体" w:hAnsi="宋体" w:cs="宋体"/>
                <w:color w:val="auto"/>
                <w:sz w:val="22"/>
                <w:szCs w:val="22"/>
                <w:highlight w:val="none"/>
              </w:rPr>
            </w:pPr>
            <w:r>
              <w:rPr>
                <w:rFonts w:hint="eastAsia" w:ascii="宋体" w:hAnsi="宋体" w:cs="宋体"/>
                <w:color w:val="auto"/>
                <w:sz w:val="22"/>
                <w:szCs w:val="22"/>
                <w:highlight w:val="none"/>
              </w:rPr>
              <w:t>职务</w:t>
            </w:r>
          </w:p>
        </w:tc>
      </w:tr>
      <w:tr w14:paraId="5A4BC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2" w:hRule="atLeast"/>
        </w:trPr>
        <w:tc>
          <w:tcPr>
            <w:tcW w:w="1227" w:type="dxa"/>
            <w:vAlign w:val="center"/>
          </w:tcPr>
          <w:p w14:paraId="522E402B">
            <w:pPr>
              <w:spacing w:line="48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单位简介</w:t>
            </w:r>
          </w:p>
          <w:p w14:paraId="19CB4CDC">
            <w:pPr>
              <w:spacing w:line="48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及机构</w:t>
            </w:r>
          </w:p>
        </w:tc>
        <w:tc>
          <w:tcPr>
            <w:tcW w:w="6507" w:type="dxa"/>
            <w:gridSpan w:val="6"/>
            <w:vAlign w:val="center"/>
          </w:tcPr>
          <w:p w14:paraId="5CF2F7F5">
            <w:pPr>
              <w:spacing w:line="480" w:lineRule="exact"/>
              <w:jc w:val="center"/>
              <w:rPr>
                <w:rFonts w:ascii="宋体" w:hAnsi="宋体" w:cs="宋体"/>
                <w:color w:val="auto"/>
                <w:sz w:val="22"/>
                <w:szCs w:val="22"/>
                <w:highlight w:val="none"/>
              </w:rPr>
            </w:pPr>
          </w:p>
        </w:tc>
        <w:tc>
          <w:tcPr>
            <w:tcW w:w="1488" w:type="dxa"/>
            <w:vAlign w:val="center"/>
          </w:tcPr>
          <w:p w14:paraId="419C6287">
            <w:pPr>
              <w:spacing w:line="48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单位优势</w:t>
            </w:r>
          </w:p>
          <w:p w14:paraId="1A68791C">
            <w:pPr>
              <w:spacing w:line="48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及特长</w:t>
            </w:r>
          </w:p>
        </w:tc>
        <w:tc>
          <w:tcPr>
            <w:tcW w:w="5566" w:type="dxa"/>
            <w:gridSpan w:val="5"/>
          </w:tcPr>
          <w:p w14:paraId="46851053">
            <w:pPr>
              <w:spacing w:line="480" w:lineRule="exact"/>
              <w:rPr>
                <w:rFonts w:ascii="宋体" w:hAnsi="宋体" w:cs="宋体"/>
                <w:color w:val="auto"/>
                <w:sz w:val="22"/>
                <w:szCs w:val="22"/>
                <w:highlight w:val="none"/>
              </w:rPr>
            </w:pPr>
          </w:p>
        </w:tc>
      </w:tr>
      <w:tr w14:paraId="1D7E9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227" w:type="dxa"/>
            <w:vMerge w:val="restart"/>
            <w:vAlign w:val="center"/>
          </w:tcPr>
          <w:p w14:paraId="2D213643">
            <w:pPr>
              <w:spacing w:line="48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单位概况</w:t>
            </w:r>
          </w:p>
        </w:tc>
        <w:tc>
          <w:tcPr>
            <w:tcW w:w="1115" w:type="dxa"/>
            <w:vMerge w:val="restart"/>
          </w:tcPr>
          <w:p w14:paraId="76218D66">
            <w:pPr>
              <w:spacing w:line="480" w:lineRule="exact"/>
              <w:rPr>
                <w:rFonts w:ascii="宋体" w:hAnsi="宋体" w:cs="宋体"/>
                <w:color w:val="auto"/>
                <w:sz w:val="22"/>
                <w:szCs w:val="22"/>
                <w:highlight w:val="none"/>
              </w:rPr>
            </w:pPr>
            <w:r>
              <w:rPr>
                <w:rFonts w:hint="eastAsia" w:ascii="宋体" w:hAnsi="宋体" w:cs="宋体"/>
                <w:color w:val="auto"/>
                <w:sz w:val="22"/>
                <w:szCs w:val="22"/>
                <w:highlight w:val="none"/>
              </w:rPr>
              <w:t>职工总数</w:t>
            </w:r>
          </w:p>
        </w:tc>
        <w:tc>
          <w:tcPr>
            <w:tcW w:w="1689" w:type="dxa"/>
            <w:vMerge w:val="restart"/>
          </w:tcPr>
          <w:p w14:paraId="0812611A">
            <w:pPr>
              <w:spacing w:line="480" w:lineRule="exact"/>
              <w:ind w:firstLine="1540" w:firstLineChars="700"/>
              <w:rPr>
                <w:rFonts w:ascii="宋体" w:hAnsi="宋体" w:cs="宋体"/>
                <w:color w:val="auto"/>
                <w:sz w:val="22"/>
                <w:szCs w:val="22"/>
                <w:highlight w:val="none"/>
              </w:rPr>
            </w:pPr>
          </w:p>
        </w:tc>
        <w:tc>
          <w:tcPr>
            <w:tcW w:w="3703" w:type="dxa"/>
            <w:gridSpan w:val="4"/>
            <w:vMerge w:val="restart"/>
          </w:tcPr>
          <w:p w14:paraId="3D2E1800">
            <w:pPr>
              <w:spacing w:line="480" w:lineRule="exact"/>
              <w:rPr>
                <w:rFonts w:ascii="宋体" w:hAnsi="宋体" w:cs="宋体"/>
                <w:color w:val="auto"/>
                <w:sz w:val="22"/>
                <w:szCs w:val="22"/>
                <w:highlight w:val="none"/>
              </w:rPr>
            </w:pPr>
            <w:r>
              <w:rPr>
                <w:rFonts w:hint="eastAsia" w:ascii="宋体" w:hAnsi="宋体" w:cs="宋体"/>
                <w:color w:val="auto"/>
                <w:sz w:val="22"/>
                <w:szCs w:val="22"/>
                <w:highlight w:val="none"/>
              </w:rPr>
              <w:t>各人员构成情况</w:t>
            </w:r>
          </w:p>
        </w:tc>
        <w:tc>
          <w:tcPr>
            <w:tcW w:w="1488" w:type="dxa"/>
            <w:vMerge w:val="restart"/>
            <w:vAlign w:val="center"/>
          </w:tcPr>
          <w:p w14:paraId="669C7730">
            <w:pPr>
              <w:spacing w:line="48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上一年主要  经济指标</w:t>
            </w:r>
          </w:p>
        </w:tc>
        <w:tc>
          <w:tcPr>
            <w:tcW w:w="1502" w:type="dxa"/>
            <w:vAlign w:val="center"/>
          </w:tcPr>
          <w:p w14:paraId="1650E57C">
            <w:pPr>
              <w:spacing w:line="48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指标名称</w:t>
            </w:r>
          </w:p>
        </w:tc>
        <w:tc>
          <w:tcPr>
            <w:tcW w:w="1488" w:type="dxa"/>
            <w:tcBorders>
              <w:tr2bl w:val="single" w:color="auto" w:sz="4" w:space="0"/>
            </w:tcBorders>
            <w:vAlign w:val="center"/>
          </w:tcPr>
          <w:p w14:paraId="3B69C864">
            <w:pPr>
              <w:spacing w:line="480" w:lineRule="exact"/>
              <w:jc w:val="center"/>
              <w:rPr>
                <w:rFonts w:ascii="宋体" w:hAnsi="宋体" w:cs="宋体"/>
                <w:color w:val="auto"/>
                <w:sz w:val="22"/>
                <w:szCs w:val="22"/>
                <w:highlight w:val="none"/>
              </w:rPr>
            </w:pPr>
          </w:p>
        </w:tc>
        <w:tc>
          <w:tcPr>
            <w:tcW w:w="1470" w:type="dxa"/>
            <w:gridSpan w:val="2"/>
            <w:vAlign w:val="center"/>
          </w:tcPr>
          <w:p w14:paraId="7843F072">
            <w:pPr>
              <w:spacing w:line="48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实际完成</w:t>
            </w:r>
          </w:p>
        </w:tc>
        <w:tc>
          <w:tcPr>
            <w:tcW w:w="1106" w:type="dxa"/>
            <w:tcBorders>
              <w:tr2bl w:val="single" w:color="auto" w:sz="4" w:space="0"/>
            </w:tcBorders>
            <w:vAlign w:val="center"/>
          </w:tcPr>
          <w:p w14:paraId="3F74DBF4">
            <w:pPr>
              <w:spacing w:line="480" w:lineRule="exact"/>
              <w:jc w:val="center"/>
              <w:rPr>
                <w:rFonts w:ascii="宋体" w:hAnsi="宋体" w:cs="宋体"/>
                <w:color w:val="auto"/>
                <w:sz w:val="22"/>
                <w:szCs w:val="22"/>
                <w:highlight w:val="none"/>
              </w:rPr>
            </w:pPr>
          </w:p>
        </w:tc>
      </w:tr>
      <w:tr w14:paraId="4BB5C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1227" w:type="dxa"/>
            <w:vMerge w:val="continue"/>
          </w:tcPr>
          <w:p w14:paraId="5FB32945">
            <w:pPr>
              <w:spacing w:line="480" w:lineRule="exact"/>
              <w:rPr>
                <w:rFonts w:ascii="宋体" w:hAnsi="宋体" w:cs="宋体"/>
                <w:color w:val="auto"/>
                <w:sz w:val="22"/>
                <w:szCs w:val="22"/>
                <w:highlight w:val="none"/>
              </w:rPr>
            </w:pPr>
          </w:p>
        </w:tc>
        <w:tc>
          <w:tcPr>
            <w:tcW w:w="1115" w:type="dxa"/>
            <w:vMerge w:val="continue"/>
          </w:tcPr>
          <w:p w14:paraId="180CCFCD">
            <w:pPr>
              <w:spacing w:line="480" w:lineRule="exact"/>
              <w:rPr>
                <w:rFonts w:ascii="宋体" w:hAnsi="宋体" w:cs="宋体"/>
                <w:color w:val="auto"/>
                <w:sz w:val="22"/>
                <w:szCs w:val="22"/>
                <w:highlight w:val="none"/>
              </w:rPr>
            </w:pPr>
          </w:p>
        </w:tc>
        <w:tc>
          <w:tcPr>
            <w:tcW w:w="1689" w:type="dxa"/>
            <w:vMerge w:val="continue"/>
          </w:tcPr>
          <w:p w14:paraId="788D1740">
            <w:pPr>
              <w:spacing w:line="480" w:lineRule="exact"/>
              <w:rPr>
                <w:rFonts w:ascii="宋体" w:hAnsi="宋体" w:cs="宋体"/>
                <w:color w:val="auto"/>
                <w:sz w:val="22"/>
                <w:szCs w:val="22"/>
                <w:highlight w:val="none"/>
              </w:rPr>
            </w:pPr>
          </w:p>
        </w:tc>
        <w:tc>
          <w:tcPr>
            <w:tcW w:w="3703" w:type="dxa"/>
            <w:gridSpan w:val="4"/>
            <w:vMerge w:val="continue"/>
          </w:tcPr>
          <w:p w14:paraId="3141EACB">
            <w:pPr>
              <w:spacing w:line="480" w:lineRule="exact"/>
              <w:rPr>
                <w:rFonts w:ascii="宋体" w:hAnsi="宋体" w:cs="宋体"/>
                <w:color w:val="auto"/>
                <w:sz w:val="22"/>
                <w:szCs w:val="22"/>
                <w:highlight w:val="none"/>
              </w:rPr>
            </w:pPr>
          </w:p>
        </w:tc>
        <w:tc>
          <w:tcPr>
            <w:tcW w:w="1488" w:type="dxa"/>
            <w:vMerge w:val="continue"/>
          </w:tcPr>
          <w:p w14:paraId="7C5E95AA">
            <w:pPr>
              <w:spacing w:line="480" w:lineRule="exact"/>
              <w:rPr>
                <w:rFonts w:ascii="宋体" w:hAnsi="宋体" w:cs="宋体"/>
                <w:color w:val="auto"/>
                <w:sz w:val="22"/>
                <w:szCs w:val="22"/>
                <w:highlight w:val="none"/>
              </w:rPr>
            </w:pPr>
          </w:p>
        </w:tc>
        <w:tc>
          <w:tcPr>
            <w:tcW w:w="1502" w:type="dxa"/>
            <w:vAlign w:val="center"/>
          </w:tcPr>
          <w:p w14:paraId="469D5963">
            <w:pPr>
              <w:spacing w:line="48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总产值</w:t>
            </w:r>
          </w:p>
        </w:tc>
        <w:tc>
          <w:tcPr>
            <w:tcW w:w="1488" w:type="dxa"/>
            <w:vAlign w:val="center"/>
          </w:tcPr>
          <w:p w14:paraId="0355506B">
            <w:pPr>
              <w:spacing w:line="480" w:lineRule="exact"/>
              <w:ind w:firstLine="660" w:firstLineChars="300"/>
              <w:jc w:val="right"/>
              <w:rPr>
                <w:rFonts w:ascii="宋体" w:hAnsi="宋体" w:cs="宋体"/>
                <w:color w:val="auto"/>
                <w:sz w:val="22"/>
                <w:szCs w:val="22"/>
                <w:highlight w:val="none"/>
              </w:rPr>
            </w:pPr>
            <w:r>
              <w:rPr>
                <w:rFonts w:hint="eastAsia" w:ascii="宋体" w:hAnsi="宋体" w:cs="宋体"/>
                <w:color w:val="auto"/>
                <w:sz w:val="22"/>
                <w:szCs w:val="22"/>
                <w:highlight w:val="none"/>
              </w:rPr>
              <w:t>万元</w:t>
            </w:r>
          </w:p>
        </w:tc>
        <w:tc>
          <w:tcPr>
            <w:tcW w:w="1470" w:type="dxa"/>
            <w:gridSpan w:val="2"/>
            <w:vAlign w:val="center"/>
          </w:tcPr>
          <w:p w14:paraId="65295520">
            <w:pPr>
              <w:spacing w:line="48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总产值</w:t>
            </w:r>
          </w:p>
        </w:tc>
        <w:tc>
          <w:tcPr>
            <w:tcW w:w="1106" w:type="dxa"/>
            <w:vAlign w:val="center"/>
          </w:tcPr>
          <w:p w14:paraId="0A6597B1">
            <w:pPr>
              <w:spacing w:line="48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 xml:space="preserve">   万元</w:t>
            </w:r>
          </w:p>
        </w:tc>
      </w:tr>
      <w:tr w14:paraId="32013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trPr>
        <w:tc>
          <w:tcPr>
            <w:tcW w:w="1227" w:type="dxa"/>
            <w:vMerge w:val="continue"/>
          </w:tcPr>
          <w:p w14:paraId="47D5C2D5">
            <w:pPr>
              <w:spacing w:line="480" w:lineRule="exact"/>
              <w:rPr>
                <w:rFonts w:ascii="宋体" w:hAnsi="宋体" w:cs="宋体"/>
                <w:color w:val="auto"/>
                <w:sz w:val="22"/>
                <w:szCs w:val="22"/>
                <w:highlight w:val="none"/>
              </w:rPr>
            </w:pPr>
          </w:p>
        </w:tc>
        <w:tc>
          <w:tcPr>
            <w:tcW w:w="1115" w:type="dxa"/>
            <w:vMerge w:val="restart"/>
          </w:tcPr>
          <w:p w14:paraId="279BBB58">
            <w:pPr>
              <w:spacing w:line="480" w:lineRule="exact"/>
              <w:rPr>
                <w:rFonts w:ascii="宋体" w:hAnsi="宋体" w:cs="宋体"/>
                <w:color w:val="auto"/>
                <w:sz w:val="22"/>
                <w:szCs w:val="22"/>
                <w:highlight w:val="none"/>
              </w:rPr>
            </w:pPr>
            <w:r>
              <w:rPr>
                <w:rFonts w:hint="eastAsia" w:ascii="宋体" w:hAnsi="宋体" w:cs="宋体"/>
                <w:color w:val="auto"/>
                <w:sz w:val="22"/>
                <w:szCs w:val="22"/>
                <w:highlight w:val="none"/>
              </w:rPr>
              <w:t>流动资金</w:t>
            </w:r>
          </w:p>
        </w:tc>
        <w:tc>
          <w:tcPr>
            <w:tcW w:w="1689" w:type="dxa"/>
            <w:vMerge w:val="restart"/>
          </w:tcPr>
          <w:p w14:paraId="2F706404">
            <w:pPr>
              <w:spacing w:line="480" w:lineRule="exact"/>
              <w:jc w:val="right"/>
              <w:rPr>
                <w:rFonts w:ascii="宋体" w:hAnsi="宋体" w:cs="宋体"/>
                <w:color w:val="auto"/>
                <w:sz w:val="22"/>
                <w:szCs w:val="22"/>
                <w:highlight w:val="none"/>
              </w:rPr>
            </w:pPr>
            <w:r>
              <w:rPr>
                <w:rFonts w:hint="eastAsia" w:ascii="宋体" w:hAnsi="宋体" w:cs="宋体"/>
                <w:color w:val="auto"/>
                <w:sz w:val="22"/>
                <w:szCs w:val="22"/>
                <w:highlight w:val="none"/>
              </w:rPr>
              <w:t xml:space="preserve">   </w:t>
            </w:r>
          </w:p>
          <w:p w14:paraId="6B8A26CD">
            <w:pPr>
              <w:spacing w:line="480" w:lineRule="exact"/>
              <w:ind w:firstLine="660" w:firstLineChars="300"/>
              <w:jc w:val="right"/>
              <w:rPr>
                <w:rFonts w:ascii="宋体" w:hAnsi="宋体" w:cs="宋体"/>
                <w:color w:val="auto"/>
                <w:sz w:val="22"/>
                <w:szCs w:val="22"/>
                <w:highlight w:val="none"/>
              </w:rPr>
            </w:pPr>
            <w:r>
              <w:rPr>
                <w:rFonts w:hint="eastAsia" w:ascii="宋体" w:hAnsi="宋体" w:cs="宋体"/>
                <w:color w:val="auto"/>
                <w:sz w:val="22"/>
                <w:szCs w:val="22"/>
                <w:highlight w:val="none"/>
              </w:rPr>
              <w:t xml:space="preserve">万元 </w:t>
            </w:r>
          </w:p>
        </w:tc>
        <w:tc>
          <w:tcPr>
            <w:tcW w:w="728" w:type="dxa"/>
            <w:vMerge w:val="restart"/>
          </w:tcPr>
          <w:p w14:paraId="05F9697F">
            <w:pPr>
              <w:spacing w:line="480" w:lineRule="exact"/>
              <w:rPr>
                <w:rFonts w:ascii="宋体" w:hAnsi="宋体" w:cs="宋体"/>
                <w:color w:val="auto"/>
                <w:sz w:val="22"/>
                <w:szCs w:val="22"/>
                <w:highlight w:val="none"/>
              </w:rPr>
            </w:pPr>
            <w:r>
              <w:rPr>
                <w:rFonts w:hint="eastAsia" w:ascii="宋体" w:hAnsi="宋体" w:cs="宋体"/>
                <w:color w:val="auto"/>
                <w:sz w:val="22"/>
                <w:szCs w:val="22"/>
                <w:highlight w:val="none"/>
              </w:rPr>
              <w:t>资金来源</w:t>
            </w:r>
          </w:p>
        </w:tc>
        <w:tc>
          <w:tcPr>
            <w:tcW w:w="1487" w:type="dxa"/>
            <w:gridSpan w:val="2"/>
            <w:vAlign w:val="center"/>
          </w:tcPr>
          <w:p w14:paraId="48CF8917">
            <w:pPr>
              <w:spacing w:line="480" w:lineRule="exact"/>
              <w:rPr>
                <w:rFonts w:ascii="宋体" w:hAnsi="宋体" w:cs="宋体"/>
                <w:color w:val="auto"/>
                <w:sz w:val="22"/>
                <w:szCs w:val="22"/>
                <w:highlight w:val="none"/>
              </w:rPr>
            </w:pPr>
            <w:r>
              <w:rPr>
                <w:rFonts w:hint="eastAsia" w:ascii="宋体" w:hAnsi="宋体" w:cs="宋体"/>
                <w:color w:val="auto"/>
                <w:sz w:val="22"/>
                <w:szCs w:val="22"/>
                <w:highlight w:val="none"/>
              </w:rPr>
              <w:t>自有资金</w:t>
            </w:r>
          </w:p>
        </w:tc>
        <w:tc>
          <w:tcPr>
            <w:tcW w:w="1488" w:type="dxa"/>
            <w:vAlign w:val="center"/>
          </w:tcPr>
          <w:p w14:paraId="3DD4A21E">
            <w:pPr>
              <w:spacing w:line="48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 xml:space="preserve">  万元</w:t>
            </w:r>
          </w:p>
        </w:tc>
        <w:tc>
          <w:tcPr>
            <w:tcW w:w="1488" w:type="dxa"/>
            <w:vMerge w:val="continue"/>
          </w:tcPr>
          <w:p w14:paraId="35AC0DBE">
            <w:pPr>
              <w:spacing w:line="480" w:lineRule="exact"/>
              <w:rPr>
                <w:rFonts w:ascii="宋体" w:hAnsi="宋体" w:cs="宋体"/>
                <w:color w:val="auto"/>
                <w:sz w:val="22"/>
                <w:szCs w:val="22"/>
                <w:highlight w:val="none"/>
              </w:rPr>
            </w:pPr>
          </w:p>
        </w:tc>
        <w:tc>
          <w:tcPr>
            <w:tcW w:w="1502" w:type="dxa"/>
            <w:vAlign w:val="center"/>
          </w:tcPr>
          <w:p w14:paraId="5B0A6B1D">
            <w:pPr>
              <w:spacing w:line="48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实现利润</w:t>
            </w:r>
          </w:p>
        </w:tc>
        <w:tc>
          <w:tcPr>
            <w:tcW w:w="1488" w:type="dxa"/>
            <w:vAlign w:val="center"/>
          </w:tcPr>
          <w:p w14:paraId="4F7F0CE3">
            <w:pPr>
              <w:spacing w:line="480" w:lineRule="exact"/>
              <w:ind w:firstLine="660" w:firstLineChars="300"/>
              <w:jc w:val="right"/>
              <w:rPr>
                <w:rFonts w:ascii="宋体" w:hAnsi="宋体" w:cs="宋体"/>
                <w:color w:val="auto"/>
                <w:sz w:val="22"/>
                <w:szCs w:val="22"/>
                <w:highlight w:val="none"/>
              </w:rPr>
            </w:pPr>
            <w:r>
              <w:rPr>
                <w:rFonts w:hint="eastAsia" w:ascii="宋体" w:hAnsi="宋体" w:cs="宋体"/>
                <w:color w:val="auto"/>
                <w:sz w:val="22"/>
                <w:szCs w:val="22"/>
                <w:highlight w:val="none"/>
              </w:rPr>
              <w:t>万元</w:t>
            </w:r>
          </w:p>
        </w:tc>
        <w:tc>
          <w:tcPr>
            <w:tcW w:w="1470" w:type="dxa"/>
            <w:gridSpan w:val="2"/>
            <w:vAlign w:val="center"/>
          </w:tcPr>
          <w:p w14:paraId="3ACD3BF3">
            <w:pPr>
              <w:spacing w:line="48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实现利润</w:t>
            </w:r>
          </w:p>
        </w:tc>
        <w:tc>
          <w:tcPr>
            <w:tcW w:w="1106" w:type="dxa"/>
            <w:vAlign w:val="center"/>
          </w:tcPr>
          <w:p w14:paraId="5CDB794D">
            <w:pPr>
              <w:spacing w:line="48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 xml:space="preserve">   万元</w:t>
            </w:r>
          </w:p>
        </w:tc>
      </w:tr>
      <w:tr w14:paraId="7D385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trPr>
        <w:tc>
          <w:tcPr>
            <w:tcW w:w="1227" w:type="dxa"/>
            <w:vMerge w:val="continue"/>
            <w:tcBorders>
              <w:bottom w:val="single" w:color="auto" w:sz="4" w:space="0"/>
            </w:tcBorders>
          </w:tcPr>
          <w:p w14:paraId="152FEEE3">
            <w:pPr>
              <w:spacing w:line="480" w:lineRule="exact"/>
              <w:rPr>
                <w:rFonts w:ascii="宋体" w:hAnsi="宋体" w:cs="宋体"/>
                <w:color w:val="auto"/>
                <w:sz w:val="22"/>
                <w:szCs w:val="22"/>
                <w:highlight w:val="none"/>
              </w:rPr>
            </w:pPr>
          </w:p>
        </w:tc>
        <w:tc>
          <w:tcPr>
            <w:tcW w:w="1115" w:type="dxa"/>
            <w:vMerge w:val="continue"/>
            <w:tcBorders>
              <w:bottom w:val="single" w:color="auto" w:sz="4" w:space="0"/>
            </w:tcBorders>
          </w:tcPr>
          <w:p w14:paraId="15A0A963">
            <w:pPr>
              <w:spacing w:line="480" w:lineRule="exact"/>
              <w:rPr>
                <w:rFonts w:ascii="宋体" w:hAnsi="宋体" w:cs="宋体"/>
                <w:color w:val="auto"/>
                <w:sz w:val="22"/>
                <w:szCs w:val="22"/>
                <w:highlight w:val="none"/>
              </w:rPr>
            </w:pPr>
          </w:p>
        </w:tc>
        <w:tc>
          <w:tcPr>
            <w:tcW w:w="1689" w:type="dxa"/>
            <w:vMerge w:val="continue"/>
            <w:tcBorders>
              <w:bottom w:val="single" w:color="auto" w:sz="4" w:space="0"/>
            </w:tcBorders>
          </w:tcPr>
          <w:p w14:paraId="101D7501">
            <w:pPr>
              <w:spacing w:line="480" w:lineRule="exact"/>
              <w:rPr>
                <w:rFonts w:ascii="宋体" w:hAnsi="宋体" w:cs="宋体"/>
                <w:color w:val="auto"/>
                <w:sz w:val="22"/>
                <w:szCs w:val="22"/>
                <w:highlight w:val="none"/>
              </w:rPr>
            </w:pPr>
          </w:p>
        </w:tc>
        <w:tc>
          <w:tcPr>
            <w:tcW w:w="728" w:type="dxa"/>
            <w:vMerge w:val="continue"/>
            <w:tcBorders>
              <w:bottom w:val="single" w:color="auto" w:sz="4" w:space="0"/>
            </w:tcBorders>
          </w:tcPr>
          <w:p w14:paraId="7C8B420B">
            <w:pPr>
              <w:spacing w:line="480" w:lineRule="exact"/>
              <w:rPr>
                <w:rFonts w:ascii="宋体" w:hAnsi="宋体" w:cs="宋体"/>
                <w:color w:val="auto"/>
                <w:sz w:val="22"/>
                <w:szCs w:val="22"/>
                <w:highlight w:val="none"/>
              </w:rPr>
            </w:pPr>
          </w:p>
        </w:tc>
        <w:tc>
          <w:tcPr>
            <w:tcW w:w="1487" w:type="dxa"/>
            <w:gridSpan w:val="2"/>
            <w:tcBorders>
              <w:bottom w:val="single" w:color="auto" w:sz="4" w:space="0"/>
            </w:tcBorders>
          </w:tcPr>
          <w:p w14:paraId="50159E5A">
            <w:pPr>
              <w:spacing w:line="480" w:lineRule="exact"/>
              <w:rPr>
                <w:rFonts w:ascii="宋体" w:hAnsi="宋体" w:cs="宋体"/>
                <w:color w:val="auto"/>
                <w:sz w:val="22"/>
                <w:szCs w:val="22"/>
                <w:highlight w:val="none"/>
              </w:rPr>
            </w:pPr>
            <w:r>
              <w:rPr>
                <w:rFonts w:hint="eastAsia" w:ascii="宋体" w:hAnsi="宋体" w:cs="宋体"/>
                <w:color w:val="auto"/>
                <w:sz w:val="22"/>
                <w:szCs w:val="22"/>
                <w:highlight w:val="none"/>
              </w:rPr>
              <w:t>银行贷款</w:t>
            </w:r>
          </w:p>
        </w:tc>
        <w:tc>
          <w:tcPr>
            <w:tcW w:w="1488" w:type="dxa"/>
            <w:tcBorders>
              <w:bottom w:val="single" w:color="auto" w:sz="4" w:space="0"/>
            </w:tcBorders>
          </w:tcPr>
          <w:p w14:paraId="02E8D1E7">
            <w:pPr>
              <w:spacing w:line="480" w:lineRule="exact"/>
              <w:ind w:firstLine="220" w:firstLineChars="100"/>
              <w:rPr>
                <w:rFonts w:ascii="宋体" w:hAnsi="宋体" w:cs="宋体"/>
                <w:color w:val="auto"/>
                <w:sz w:val="22"/>
                <w:szCs w:val="22"/>
                <w:highlight w:val="none"/>
              </w:rPr>
            </w:pPr>
            <w:r>
              <w:rPr>
                <w:rFonts w:hint="eastAsia" w:ascii="宋体" w:hAnsi="宋体" w:cs="宋体"/>
                <w:color w:val="auto"/>
                <w:sz w:val="22"/>
                <w:szCs w:val="22"/>
                <w:highlight w:val="none"/>
              </w:rPr>
              <w:t>万元</w:t>
            </w:r>
          </w:p>
        </w:tc>
        <w:tc>
          <w:tcPr>
            <w:tcW w:w="1488" w:type="dxa"/>
            <w:vMerge w:val="continue"/>
            <w:tcBorders>
              <w:bottom w:val="single" w:color="auto" w:sz="4" w:space="0"/>
            </w:tcBorders>
          </w:tcPr>
          <w:p w14:paraId="3390ABCB">
            <w:pPr>
              <w:spacing w:line="480" w:lineRule="exact"/>
              <w:rPr>
                <w:rFonts w:ascii="宋体" w:hAnsi="宋体" w:cs="宋体"/>
                <w:color w:val="auto"/>
                <w:sz w:val="22"/>
                <w:szCs w:val="22"/>
                <w:highlight w:val="none"/>
              </w:rPr>
            </w:pPr>
          </w:p>
        </w:tc>
        <w:tc>
          <w:tcPr>
            <w:tcW w:w="1502" w:type="dxa"/>
            <w:vMerge w:val="restart"/>
            <w:tcBorders>
              <w:bottom w:val="single" w:color="auto" w:sz="4" w:space="0"/>
            </w:tcBorders>
            <w:vAlign w:val="center"/>
          </w:tcPr>
          <w:p w14:paraId="191F0C4E">
            <w:pPr>
              <w:spacing w:line="48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主要业绩</w:t>
            </w:r>
          </w:p>
        </w:tc>
        <w:tc>
          <w:tcPr>
            <w:tcW w:w="4064" w:type="dxa"/>
            <w:gridSpan w:val="4"/>
            <w:vMerge w:val="restart"/>
            <w:tcBorders>
              <w:bottom w:val="single" w:color="auto" w:sz="4" w:space="0"/>
            </w:tcBorders>
            <w:vAlign w:val="center"/>
          </w:tcPr>
          <w:p w14:paraId="3354E9C6">
            <w:pPr>
              <w:spacing w:line="480" w:lineRule="exact"/>
              <w:jc w:val="center"/>
              <w:rPr>
                <w:rFonts w:ascii="宋体" w:hAnsi="宋体" w:cs="宋体"/>
                <w:color w:val="auto"/>
                <w:sz w:val="22"/>
                <w:szCs w:val="22"/>
                <w:highlight w:val="none"/>
              </w:rPr>
            </w:pPr>
          </w:p>
        </w:tc>
      </w:tr>
      <w:tr w14:paraId="5001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1227" w:type="dxa"/>
            <w:vMerge w:val="continue"/>
          </w:tcPr>
          <w:p w14:paraId="2B9BAE3C">
            <w:pPr>
              <w:spacing w:line="480" w:lineRule="exact"/>
              <w:rPr>
                <w:rFonts w:ascii="宋体" w:hAnsi="宋体" w:cs="宋体"/>
                <w:color w:val="auto"/>
                <w:sz w:val="22"/>
                <w:szCs w:val="22"/>
                <w:highlight w:val="none"/>
              </w:rPr>
            </w:pPr>
          </w:p>
        </w:tc>
        <w:tc>
          <w:tcPr>
            <w:tcW w:w="1115" w:type="dxa"/>
            <w:vMerge w:val="restart"/>
          </w:tcPr>
          <w:p w14:paraId="3745EFE3">
            <w:pPr>
              <w:spacing w:line="480" w:lineRule="exact"/>
              <w:rPr>
                <w:rFonts w:ascii="宋体" w:hAnsi="宋体" w:cs="宋体"/>
                <w:color w:val="auto"/>
                <w:sz w:val="22"/>
                <w:szCs w:val="22"/>
                <w:highlight w:val="none"/>
              </w:rPr>
            </w:pPr>
            <w:r>
              <w:rPr>
                <w:rFonts w:hint="eastAsia" w:ascii="宋体" w:hAnsi="宋体" w:cs="宋体"/>
                <w:color w:val="auto"/>
                <w:sz w:val="22"/>
                <w:szCs w:val="22"/>
                <w:highlight w:val="none"/>
              </w:rPr>
              <w:t>固定资产</w:t>
            </w:r>
          </w:p>
        </w:tc>
        <w:tc>
          <w:tcPr>
            <w:tcW w:w="1689" w:type="dxa"/>
            <w:vMerge w:val="restart"/>
          </w:tcPr>
          <w:p w14:paraId="62DB0835">
            <w:pPr>
              <w:spacing w:line="480" w:lineRule="exact"/>
              <w:jc w:val="right"/>
              <w:rPr>
                <w:rFonts w:ascii="宋体" w:hAnsi="宋体" w:cs="宋体"/>
                <w:color w:val="auto"/>
                <w:sz w:val="22"/>
                <w:szCs w:val="22"/>
                <w:highlight w:val="none"/>
              </w:rPr>
            </w:pPr>
            <w:r>
              <w:rPr>
                <w:rFonts w:hint="eastAsia" w:ascii="宋体" w:hAnsi="宋体" w:cs="宋体"/>
                <w:color w:val="auto"/>
                <w:sz w:val="22"/>
                <w:szCs w:val="22"/>
                <w:highlight w:val="none"/>
              </w:rPr>
              <w:t>原值   万元</w:t>
            </w:r>
          </w:p>
          <w:p w14:paraId="32A94018">
            <w:pPr>
              <w:spacing w:line="480" w:lineRule="exact"/>
              <w:jc w:val="right"/>
              <w:rPr>
                <w:rFonts w:ascii="宋体" w:hAnsi="宋体" w:cs="宋体"/>
                <w:color w:val="auto"/>
                <w:sz w:val="22"/>
                <w:szCs w:val="22"/>
                <w:highlight w:val="none"/>
              </w:rPr>
            </w:pPr>
            <w:r>
              <w:rPr>
                <w:rFonts w:hint="eastAsia" w:ascii="宋体" w:hAnsi="宋体" w:cs="宋体"/>
                <w:color w:val="auto"/>
                <w:sz w:val="22"/>
                <w:szCs w:val="22"/>
                <w:highlight w:val="none"/>
              </w:rPr>
              <w:t>净值   万元</w:t>
            </w:r>
          </w:p>
        </w:tc>
        <w:tc>
          <w:tcPr>
            <w:tcW w:w="728" w:type="dxa"/>
            <w:vMerge w:val="restart"/>
          </w:tcPr>
          <w:p w14:paraId="37F719E1">
            <w:pPr>
              <w:spacing w:line="480" w:lineRule="exact"/>
              <w:rPr>
                <w:rFonts w:ascii="宋体" w:hAnsi="宋体" w:cs="宋体"/>
                <w:color w:val="auto"/>
                <w:sz w:val="22"/>
                <w:szCs w:val="22"/>
                <w:highlight w:val="none"/>
              </w:rPr>
            </w:pPr>
            <w:r>
              <w:rPr>
                <w:rFonts w:hint="eastAsia" w:ascii="宋体" w:hAnsi="宋体" w:cs="宋体"/>
                <w:color w:val="auto"/>
                <w:sz w:val="22"/>
                <w:szCs w:val="22"/>
                <w:highlight w:val="none"/>
              </w:rPr>
              <w:t>资金性质</w:t>
            </w:r>
          </w:p>
        </w:tc>
        <w:tc>
          <w:tcPr>
            <w:tcW w:w="1487" w:type="dxa"/>
            <w:gridSpan w:val="2"/>
          </w:tcPr>
          <w:p w14:paraId="0C3C5BAB">
            <w:pPr>
              <w:spacing w:line="480" w:lineRule="exact"/>
              <w:rPr>
                <w:rFonts w:ascii="宋体" w:hAnsi="宋体" w:cs="宋体"/>
                <w:color w:val="auto"/>
                <w:sz w:val="22"/>
                <w:szCs w:val="22"/>
                <w:highlight w:val="none"/>
              </w:rPr>
            </w:pPr>
            <w:r>
              <w:rPr>
                <w:rFonts w:hint="eastAsia" w:ascii="宋体" w:hAnsi="宋体" w:cs="宋体"/>
                <w:color w:val="auto"/>
                <w:sz w:val="22"/>
                <w:szCs w:val="22"/>
                <w:highlight w:val="none"/>
              </w:rPr>
              <w:t>生产性</w:t>
            </w:r>
          </w:p>
        </w:tc>
        <w:tc>
          <w:tcPr>
            <w:tcW w:w="1488" w:type="dxa"/>
          </w:tcPr>
          <w:p w14:paraId="33639B7E">
            <w:pPr>
              <w:spacing w:line="480" w:lineRule="exact"/>
              <w:ind w:left="220" w:hanging="220" w:hangingChars="100"/>
              <w:rPr>
                <w:rFonts w:ascii="宋体" w:hAnsi="宋体" w:cs="宋体"/>
                <w:color w:val="auto"/>
                <w:sz w:val="22"/>
                <w:szCs w:val="22"/>
                <w:highlight w:val="none"/>
              </w:rPr>
            </w:pPr>
            <w:r>
              <w:rPr>
                <w:rFonts w:hint="eastAsia" w:ascii="宋体" w:hAnsi="宋体" w:cs="宋体"/>
                <w:color w:val="auto"/>
                <w:sz w:val="22"/>
                <w:szCs w:val="22"/>
                <w:highlight w:val="none"/>
              </w:rPr>
              <w:t xml:space="preserve">      万元</w:t>
            </w:r>
          </w:p>
        </w:tc>
        <w:tc>
          <w:tcPr>
            <w:tcW w:w="1488" w:type="dxa"/>
            <w:vMerge w:val="continue"/>
          </w:tcPr>
          <w:p w14:paraId="1935D668">
            <w:pPr>
              <w:spacing w:line="480" w:lineRule="exact"/>
              <w:rPr>
                <w:rFonts w:ascii="宋体" w:hAnsi="宋体" w:cs="宋体"/>
                <w:color w:val="auto"/>
                <w:sz w:val="22"/>
                <w:szCs w:val="22"/>
                <w:highlight w:val="none"/>
              </w:rPr>
            </w:pPr>
          </w:p>
        </w:tc>
        <w:tc>
          <w:tcPr>
            <w:tcW w:w="1502" w:type="dxa"/>
            <w:vMerge w:val="continue"/>
          </w:tcPr>
          <w:p w14:paraId="07DBF8E7">
            <w:pPr>
              <w:spacing w:line="480" w:lineRule="exact"/>
              <w:rPr>
                <w:rFonts w:ascii="宋体" w:hAnsi="宋体" w:cs="宋体"/>
                <w:color w:val="auto"/>
                <w:sz w:val="22"/>
                <w:szCs w:val="22"/>
                <w:highlight w:val="none"/>
              </w:rPr>
            </w:pPr>
          </w:p>
        </w:tc>
        <w:tc>
          <w:tcPr>
            <w:tcW w:w="4064" w:type="dxa"/>
            <w:gridSpan w:val="4"/>
            <w:vMerge w:val="continue"/>
          </w:tcPr>
          <w:p w14:paraId="48D50DC4">
            <w:pPr>
              <w:spacing w:line="480" w:lineRule="exact"/>
              <w:rPr>
                <w:rFonts w:ascii="宋体" w:hAnsi="宋体" w:cs="宋体"/>
                <w:color w:val="auto"/>
                <w:sz w:val="22"/>
                <w:szCs w:val="22"/>
                <w:highlight w:val="none"/>
              </w:rPr>
            </w:pPr>
          </w:p>
        </w:tc>
      </w:tr>
      <w:tr w14:paraId="2BBD6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1227" w:type="dxa"/>
            <w:vMerge w:val="continue"/>
          </w:tcPr>
          <w:p w14:paraId="65D4EA9A">
            <w:pPr>
              <w:spacing w:line="480" w:lineRule="exact"/>
              <w:rPr>
                <w:rFonts w:ascii="宋体" w:hAnsi="宋体" w:cs="宋体"/>
                <w:color w:val="auto"/>
                <w:sz w:val="22"/>
                <w:szCs w:val="22"/>
                <w:highlight w:val="none"/>
              </w:rPr>
            </w:pPr>
          </w:p>
        </w:tc>
        <w:tc>
          <w:tcPr>
            <w:tcW w:w="1115" w:type="dxa"/>
            <w:vMerge w:val="continue"/>
          </w:tcPr>
          <w:p w14:paraId="21288D6C">
            <w:pPr>
              <w:spacing w:line="480" w:lineRule="exact"/>
              <w:rPr>
                <w:rFonts w:ascii="宋体" w:hAnsi="宋体" w:cs="宋体"/>
                <w:color w:val="auto"/>
                <w:sz w:val="22"/>
                <w:szCs w:val="22"/>
                <w:highlight w:val="none"/>
              </w:rPr>
            </w:pPr>
          </w:p>
        </w:tc>
        <w:tc>
          <w:tcPr>
            <w:tcW w:w="1689" w:type="dxa"/>
            <w:vMerge w:val="continue"/>
          </w:tcPr>
          <w:p w14:paraId="76609D64">
            <w:pPr>
              <w:spacing w:line="480" w:lineRule="exact"/>
              <w:rPr>
                <w:rFonts w:ascii="宋体" w:hAnsi="宋体" w:cs="宋体"/>
                <w:color w:val="auto"/>
                <w:sz w:val="22"/>
                <w:szCs w:val="22"/>
                <w:highlight w:val="none"/>
              </w:rPr>
            </w:pPr>
          </w:p>
        </w:tc>
        <w:tc>
          <w:tcPr>
            <w:tcW w:w="728" w:type="dxa"/>
            <w:vMerge w:val="continue"/>
          </w:tcPr>
          <w:p w14:paraId="3EA2C0AF">
            <w:pPr>
              <w:spacing w:line="480" w:lineRule="exact"/>
              <w:rPr>
                <w:rFonts w:ascii="宋体" w:hAnsi="宋体" w:cs="宋体"/>
                <w:color w:val="auto"/>
                <w:sz w:val="22"/>
                <w:szCs w:val="22"/>
                <w:highlight w:val="none"/>
              </w:rPr>
            </w:pPr>
          </w:p>
        </w:tc>
        <w:tc>
          <w:tcPr>
            <w:tcW w:w="1487" w:type="dxa"/>
            <w:gridSpan w:val="2"/>
          </w:tcPr>
          <w:p w14:paraId="06E60428">
            <w:pPr>
              <w:spacing w:line="480" w:lineRule="exact"/>
              <w:rPr>
                <w:rFonts w:ascii="宋体" w:hAnsi="宋体" w:cs="宋体"/>
                <w:color w:val="auto"/>
                <w:sz w:val="22"/>
                <w:szCs w:val="22"/>
                <w:highlight w:val="none"/>
              </w:rPr>
            </w:pPr>
            <w:r>
              <w:rPr>
                <w:rFonts w:hint="eastAsia" w:ascii="宋体" w:hAnsi="宋体" w:cs="宋体"/>
                <w:color w:val="auto"/>
                <w:sz w:val="22"/>
                <w:szCs w:val="22"/>
                <w:highlight w:val="none"/>
              </w:rPr>
              <w:t>非生产性</w:t>
            </w:r>
          </w:p>
        </w:tc>
        <w:tc>
          <w:tcPr>
            <w:tcW w:w="1488" w:type="dxa"/>
          </w:tcPr>
          <w:p w14:paraId="1351E536">
            <w:pPr>
              <w:spacing w:line="480" w:lineRule="exact"/>
              <w:ind w:left="220" w:hanging="220" w:hangingChars="100"/>
              <w:rPr>
                <w:rFonts w:ascii="宋体" w:hAnsi="宋体" w:cs="宋体"/>
                <w:color w:val="auto"/>
                <w:sz w:val="22"/>
                <w:szCs w:val="22"/>
                <w:highlight w:val="none"/>
              </w:rPr>
            </w:pPr>
            <w:r>
              <w:rPr>
                <w:rFonts w:hint="eastAsia" w:ascii="宋体" w:hAnsi="宋体" w:cs="宋体"/>
                <w:color w:val="auto"/>
                <w:sz w:val="22"/>
                <w:szCs w:val="22"/>
                <w:highlight w:val="none"/>
              </w:rPr>
              <w:t xml:space="preserve">      万元</w:t>
            </w:r>
          </w:p>
        </w:tc>
        <w:tc>
          <w:tcPr>
            <w:tcW w:w="1488" w:type="dxa"/>
            <w:vMerge w:val="continue"/>
          </w:tcPr>
          <w:p w14:paraId="07A43BF1">
            <w:pPr>
              <w:spacing w:line="480" w:lineRule="exact"/>
              <w:rPr>
                <w:rFonts w:ascii="宋体" w:hAnsi="宋体" w:cs="宋体"/>
                <w:color w:val="auto"/>
                <w:sz w:val="22"/>
                <w:szCs w:val="22"/>
                <w:highlight w:val="none"/>
              </w:rPr>
            </w:pPr>
          </w:p>
        </w:tc>
        <w:tc>
          <w:tcPr>
            <w:tcW w:w="1502" w:type="dxa"/>
            <w:vMerge w:val="continue"/>
          </w:tcPr>
          <w:p w14:paraId="30FFE022">
            <w:pPr>
              <w:spacing w:line="480" w:lineRule="exact"/>
              <w:rPr>
                <w:rFonts w:ascii="宋体" w:hAnsi="宋体" w:cs="宋体"/>
                <w:color w:val="auto"/>
                <w:sz w:val="22"/>
                <w:szCs w:val="22"/>
                <w:highlight w:val="none"/>
              </w:rPr>
            </w:pPr>
          </w:p>
        </w:tc>
        <w:tc>
          <w:tcPr>
            <w:tcW w:w="4064" w:type="dxa"/>
            <w:gridSpan w:val="4"/>
            <w:vMerge w:val="continue"/>
          </w:tcPr>
          <w:p w14:paraId="441E69AC">
            <w:pPr>
              <w:spacing w:line="480" w:lineRule="exact"/>
              <w:rPr>
                <w:rFonts w:ascii="宋体" w:hAnsi="宋体" w:cs="宋体"/>
                <w:color w:val="auto"/>
                <w:sz w:val="22"/>
                <w:szCs w:val="22"/>
                <w:highlight w:val="none"/>
              </w:rPr>
            </w:pPr>
          </w:p>
        </w:tc>
      </w:tr>
    </w:tbl>
    <w:p w14:paraId="796FC671">
      <w:pPr>
        <w:spacing w:line="460" w:lineRule="exact"/>
        <w:ind w:firstLine="541" w:firstLineChars="245"/>
        <w:rPr>
          <w:rFonts w:ascii="宋体" w:hAnsi="宋体" w:cs="宋体"/>
          <w:b/>
          <w:bCs/>
          <w:color w:val="auto"/>
          <w:sz w:val="22"/>
          <w:szCs w:val="22"/>
          <w:highlight w:val="none"/>
        </w:rPr>
      </w:pPr>
    </w:p>
    <w:p w14:paraId="4D6842A5">
      <w:pPr>
        <w:spacing w:line="460" w:lineRule="exact"/>
        <w:rPr>
          <w:rFonts w:ascii="宋体" w:hAnsi="宋体" w:cs="宋体"/>
          <w:color w:val="auto"/>
          <w:sz w:val="22"/>
          <w:szCs w:val="22"/>
          <w:highlight w:val="none"/>
        </w:rPr>
        <w:sectPr>
          <w:pgSz w:w="16840" w:h="11907" w:orient="landscape"/>
          <w:pgMar w:top="1134" w:right="1134" w:bottom="1134" w:left="1134" w:header="851" w:footer="992" w:gutter="0"/>
          <w:cols w:space="720" w:num="1"/>
          <w:docGrid w:linePitch="312" w:charSpace="0"/>
        </w:sectPr>
      </w:pPr>
    </w:p>
    <w:p w14:paraId="7D64AE88">
      <w:pPr>
        <w:spacing w:line="460" w:lineRule="exact"/>
        <w:jc w:val="center"/>
        <w:outlineLvl w:val="3"/>
        <w:rPr>
          <w:rFonts w:ascii="宋体" w:hAnsi="宋体" w:cs="宋体"/>
          <w:b/>
          <w:bCs/>
          <w:color w:val="auto"/>
          <w:sz w:val="22"/>
          <w:szCs w:val="22"/>
          <w:highlight w:val="none"/>
        </w:rPr>
      </w:pPr>
      <w:r>
        <w:rPr>
          <w:rFonts w:hint="eastAsia" w:ascii="宋体" w:hAnsi="宋体" w:cs="宋体"/>
          <w:b/>
          <w:bCs/>
          <w:color w:val="auto"/>
          <w:sz w:val="28"/>
          <w:szCs w:val="28"/>
          <w:highlight w:val="none"/>
        </w:rPr>
        <w:t>3、偏离表</w:t>
      </w:r>
    </w:p>
    <w:p w14:paraId="64894C0B">
      <w:pPr>
        <w:spacing w:line="360" w:lineRule="auto"/>
        <w:jc w:val="left"/>
        <w:rPr>
          <w:rFonts w:ascii="宋体" w:hAnsi="宋体" w:cs="宋体"/>
          <w:bCs/>
          <w:color w:val="auto"/>
          <w:sz w:val="22"/>
          <w:szCs w:val="22"/>
          <w:highlight w:val="none"/>
        </w:rPr>
      </w:pPr>
    </w:p>
    <w:p w14:paraId="02F9804A">
      <w:pPr>
        <w:spacing w:line="360" w:lineRule="auto"/>
        <w:jc w:val="left"/>
        <w:rPr>
          <w:rFonts w:ascii="宋体" w:hAnsi="宋体" w:cs="宋体"/>
          <w:bCs/>
          <w:color w:val="auto"/>
          <w:sz w:val="22"/>
          <w:szCs w:val="22"/>
          <w:highlight w:val="none"/>
        </w:rPr>
      </w:pPr>
      <w:r>
        <w:rPr>
          <w:rFonts w:hint="eastAsia" w:ascii="宋体" w:hAnsi="宋体" w:cs="宋体"/>
          <w:bCs/>
          <w:color w:val="auto"/>
          <w:sz w:val="22"/>
          <w:szCs w:val="22"/>
          <w:highlight w:val="none"/>
        </w:rPr>
        <w:t>项 目 编 号：</w:t>
      </w:r>
    </w:p>
    <w:p w14:paraId="5B13FC6D">
      <w:pPr>
        <w:spacing w:line="360" w:lineRule="auto"/>
        <w:rPr>
          <w:rFonts w:ascii="宋体" w:hAnsi="宋体" w:cs="宋体"/>
          <w:b/>
          <w:bCs/>
          <w:color w:val="auto"/>
          <w:sz w:val="22"/>
          <w:szCs w:val="22"/>
          <w:highlight w:val="none"/>
        </w:rPr>
      </w:pPr>
      <w:r>
        <w:rPr>
          <w:rFonts w:hint="eastAsia" w:ascii="宋体" w:hAnsi="宋体" w:cs="宋体"/>
          <w:bCs/>
          <w:color w:val="auto"/>
          <w:sz w:val="22"/>
          <w:szCs w:val="22"/>
          <w:highlight w:val="none"/>
        </w:rPr>
        <w:t>项 目 名 称：</w:t>
      </w:r>
      <w:r>
        <w:rPr>
          <w:rFonts w:hint="eastAsia" w:ascii="宋体" w:hAnsi="宋体" w:cs="宋体"/>
          <w:bCs/>
          <w:color w:val="auto"/>
          <w:sz w:val="22"/>
          <w:szCs w:val="22"/>
          <w:highlight w:val="none"/>
          <w:lang w:eastAsia="zh-CN"/>
        </w:rPr>
        <w:t>双人课桌、单人椅子（重）</w:t>
      </w:r>
      <w:r>
        <w:rPr>
          <w:rFonts w:hint="eastAsia" w:ascii="宋体" w:hAnsi="宋体" w:cs="宋体"/>
          <w:bCs/>
          <w:color w:val="auto"/>
          <w:sz w:val="22"/>
          <w:szCs w:val="22"/>
          <w:highlight w:val="none"/>
        </w:rPr>
        <w:t xml:space="preserve"> </w:t>
      </w:r>
    </w:p>
    <w:tbl>
      <w:tblPr>
        <w:tblStyle w:val="52"/>
        <w:tblW w:w="0" w:type="auto"/>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2587"/>
        <w:gridCol w:w="2348"/>
        <w:gridCol w:w="2741"/>
        <w:gridCol w:w="1138"/>
      </w:tblGrid>
      <w:tr w14:paraId="2EE4E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48" w:type="dxa"/>
            <w:shd w:val="clear" w:color="auto" w:fill="FFFFFF"/>
            <w:vAlign w:val="center"/>
          </w:tcPr>
          <w:p w14:paraId="6EEFF786">
            <w:pPr>
              <w:jc w:val="center"/>
              <w:rPr>
                <w:rFonts w:ascii="宋体" w:hAnsi="宋体" w:cs="宋体"/>
                <w:b/>
                <w:color w:val="auto"/>
                <w:sz w:val="22"/>
                <w:szCs w:val="22"/>
                <w:highlight w:val="none"/>
              </w:rPr>
            </w:pPr>
            <w:r>
              <w:rPr>
                <w:rFonts w:hint="eastAsia" w:ascii="宋体" w:hAnsi="宋体" w:cs="宋体"/>
                <w:b/>
                <w:color w:val="auto"/>
                <w:sz w:val="22"/>
                <w:szCs w:val="22"/>
                <w:highlight w:val="none"/>
              </w:rPr>
              <w:t>序号</w:t>
            </w:r>
          </w:p>
        </w:tc>
        <w:tc>
          <w:tcPr>
            <w:tcW w:w="2587" w:type="dxa"/>
            <w:shd w:val="clear" w:color="auto" w:fill="FFFFFF"/>
            <w:vAlign w:val="center"/>
          </w:tcPr>
          <w:p w14:paraId="2618C8AA">
            <w:pPr>
              <w:jc w:val="center"/>
              <w:rPr>
                <w:rFonts w:ascii="宋体" w:hAnsi="宋体" w:cs="宋体"/>
                <w:b/>
                <w:color w:val="auto"/>
                <w:sz w:val="22"/>
                <w:szCs w:val="22"/>
                <w:highlight w:val="none"/>
              </w:rPr>
            </w:pPr>
            <w:r>
              <w:rPr>
                <w:rFonts w:hint="eastAsia" w:ascii="宋体" w:hAnsi="宋体" w:cs="宋体"/>
                <w:b/>
                <w:color w:val="auto"/>
                <w:sz w:val="22"/>
                <w:szCs w:val="22"/>
                <w:highlight w:val="none"/>
              </w:rPr>
              <w:t>磋商文件条目</w:t>
            </w:r>
          </w:p>
        </w:tc>
        <w:tc>
          <w:tcPr>
            <w:tcW w:w="2348" w:type="dxa"/>
            <w:shd w:val="clear" w:color="auto" w:fill="FFFFFF"/>
            <w:vAlign w:val="center"/>
          </w:tcPr>
          <w:p w14:paraId="3A86A530">
            <w:pPr>
              <w:jc w:val="center"/>
              <w:rPr>
                <w:rFonts w:ascii="宋体" w:hAnsi="宋体" w:cs="宋体"/>
                <w:b/>
                <w:color w:val="auto"/>
                <w:sz w:val="22"/>
                <w:szCs w:val="22"/>
                <w:highlight w:val="none"/>
              </w:rPr>
            </w:pPr>
            <w:r>
              <w:rPr>
                <w:rFonts w:hint="eastAsia" w:ascii="宋体" w:hAnsi="宋体" w:cs="宋体"/>
                <w:b/>
                <w:color w:val="auto"/>
                <w:sz w:val="22"/>
                <w:szCs w:val="22"/>
                <w:highlight w:val="none"/>
              </w:rPr>
              <w:t>磋商文件规格要求</w:t>
            </w:r>
          </w:p>
        </w:tc>
        <w:tc>
          <w:tcPr>
            <w:tcW w:w="2741" w:type="dxa"/>
            <w:shd w:val="clear" w:color="auto" w:fill="FFFFFF"/>
            <w:vAlign w:val="center"/>
          </w:tcPr>
          <w:p w14:paraId="24A2D76A">
            <w:pPr>
              <w:jc w:val="center"/>
              <w:rPr>
                <w:rFonts w:ascii="宋体" w:hAnsi="宋体" w:cs="宋体"/>
                <w:b/>
                <w:color w:val="auto"/>
                <w:sz w:val="22"/>
                <w:szCs w:val="22"/>
                <w:highlight w:val="none"/>
              </w:rPr>
            </w:pPr>
            <w:r>
              <w:rPr>
                <w:rFonts w:hint="eastAsia" w:ascii="宋体" w:hAnsi="宋体" w:cs="宋体"/>
                <w:b/>
                <w:color w:val="auto"/>
                <w:sz w:val="22"/>
                <w:szCs w:val="22"/>
                <w:highlight w:val="none"/>
              </w:rPr>
              <w:t>磋商响应文件对应规格</w:t>
            </w:r>
          </w:p>
        </w:tc>
        <w:tc>
          <w:tcPr>
            <w:tcW w:w="1138" w:type="dxa"/>
            <w:shd w:val="clear" w:color="auto" w:fill="FFFFFF"/>
            <w:vAlign w:val="center"/>
          </w:tcPr>
          <w:p w14:paraId="055DCF6F">
            <w:pPr>
              <w:jc w:val="center"/>
              <w:rPr>
                <w:rFonts w:ascii="宋体" w:hAnsi="宋体" w:cs="宋体"/>
                <w:b/>
                <w:color w:val="auto"/>
                <w:sz w:val="22"/>
                <w:szCs w:val="22"/>
                <w:highlight w:val="none"/>
              </w:rPr>
            </w:pPr>
            <w:r>
              <w:rPr>
                <w:rFonts w:hint="eastAsia" w:ascii="宋体" w:hAnsi="宋体" w:cs="宋体"/>
                <w:b/>
                <w:color w:val="auto"/>
                <w:sz w:val="22"/>
                <w:szCs w:val="22"/>
                <w:highlight w:val="none"/>
              </w:rPr>
              <w:t>说   明</w:t>
            </w:r>
          </w:p>
        </w:tc>
      </w:tr>
      <w:tr w14:paraId="0F660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848" w:type="dxa"/>
            <w:vAlign w:val="center"/>
          </w:tcPr>
          <w:p w14:paraId="04E5D62C">
            <w:pPr>
              <w:ind w:firstLine="220" w:firstLineChars="100"/>
              <w:rPr>
                <w:rFonts w:ascii="宋体" w:hAnsi="宋体" w:cs="宋体"/>
                <w:color w:val="auto"/>
                <w:sz w:val="22"/>
                <w:szCs w:val="22"/>
                <w:highlight w:val="none"/>
              </w:rPr>
            </w:pPr>
          </w:p>
        </w:tc>
        <w:tc>
          <w:tcPr>
            <w:tcW w:w="2587" w:type="dxa"/>
            <w:vAlign w:val="center"/>
          </w:tcPr>
          <w:p w14:paraId="01F2E7F3">
            <w:pPr>
              <w:jc w:val="center"/>
              <w:rPr>
                <w:rFonts w:ascii="宋体" w:hAnsi="宋体" w:cs="宋体"/>
                <w:color w:val="auto"/>
                <w:sz w:val="22"/>
                <w:szCs w:val="22"/>
                <w:highlight w:val="none"/>
              </w:rPr>
            </w:pPr>
          </w:p>
        </w:tc>
        <w:tc>
          <w:tcPr>
            <w:tcW w:w="2348" w:type="dxa"/>
            <w:vAlign w:val="center"/>
          </w:tcPr>
          <w:p w14:paraId="77A927B2">
            <w:pPr>
              <w:jc w:val="center"/>
              <w:rPr>
                <w:rFonts w:ascii="宋体" w:hAnsi="宋体" w:cs="宋体"/>
                <w:color w:val="auto"/>
                <w:sz w:val="22"/>
                <w:szCs w:val="22"/>
                <w:highlight w:val="none"/>
              </w:rPr>
            </w:pPr>
          </w:p>
        </w:tc>
        <w:tc>
          <w:tcPr>
            <w:tcW w:w="2741" w:type="dxa"/>
            <w:vAlign w:val="center"/>
          </w:tcPr>
          <w:p w14:paraId="1ABADBBC">
            <w:pPr>
              <w:jc w:val="center"/>
              <w:rPr>
                <w:rFonts w:ascii="宋体" w:hAnsi="宋体" w:cs="宋体"/>
                <w:color w:val="auto"/>
                <w:sz w:val="22"/>
                <w:szCs w:val="22"/>
                <w:highlight w:val="none"/>
              </w:rPr>
            </w:pPr>
          </w:p>
        </w:tc>
        <w:tc>
          <w:tcPr>
            <w:tcW w:w="1138" w:type="dxa"/>
            <w:vAlign w:val="center"/>
          </w:tcPr>
          <w:p w14:paraId="5D6ACBE3">
            <w:pPr>
              <w:jc w:val="center"/>
              <w:rPr>
                <w:rFonts w:ascii="宋体" w:hAnsi="宋体" w:cs="宋体"/>
                <w:color w:val="auto"/>
                <w:sz w:val="22"/>
                <w:szCs w:val="22"/>
                <w:highlight w:val="none"/>
              </w:rPr>
            </w:pPr>
          </w:p>
        </w:tc>
      </w:tr>
      <w:tr w14:paraId="08D1A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848" w:type="dxa"/>
            <w:vAlign w:val="center"/>
          </w:tcPr>
          <w:p w14:paraId="60A9B59B">
            <w:pPr>
              <w:jc w:val="center"/>
              <w:rPr>
                <w:rFonts w:ascii="宋体" w:hAnsi="宋体" w:cs="宋体"/>
                <w:color w:val="auto"/>
                <w:sz w:val="22"/>
                <w:szCs w:val="22"/>
                <w:highlight w:val="none"/>
              </w:rPr>
            </w:pPr>
          </w:p>
        </w:tc>
        <w:tc>
          <w:tcPr>
            <w:tcW w:w="2587" w:type="dxa"/>
            <w:vAlign w:val="center"/>
          </w:tcPr>
          <w:p w14:paraId="4C3A8A57">
            <w:pPr>
              <w:jc w:val="center"/>
              <w:rPr>
                <w:rFonts w:ascii="宋体" w:hAnsi="宋体" w:cs="宋体"/>
                <w:color w:val="auto"/>
                <w:sz w:val="22"/>
                <w:szCs w:val="22"/>
                <w:highlight w:val="none"/>
              </w:rPr>
            </w:pPr>
          </w:p>
        </w:tc>
        <w:tc>
          <w:tcPr>
            <w:tcW w:w="2348" w:type="dxa"/>
            <w:vAlign w:val="center"/>
          </w:tcPr>
          <w:p w14:paraId="06EE99AB">
            <w:pPr>
              <w:jc w:val="center"/>
              <w:rPr>
                <w:rFonts w:ascii="宋体" w:hAnsi="宋体" w:cs="宋体"/>
                <w:color w:val="auto"/>
                <w:sz w:val="22"/>
                <w:szCs w:val="22"/>
                <w:highlight w:val="none"/>
              </w:rPr>
            </w:pPr>
          </w:p>
        </w:tc>
        <w:tc>
          <w:tcPr>
            <w:tcW w:w="2741" w:type="dxa"/>
            <w:vAlign w:val="center"/>
          </w:tcPr>
          <w:p w14:paraId="6BC10ABC">
            <w:pPr>
              <w:jc w:val="center"/>
              <w:rPr>
                <w:rFonts w:ascii="宋体" w:hAnsi="宋体" w:cs="宋体"/>
                <w:color w:val="auto"/>
                <w:sz w:val="22"/>
                <w:szCs w:val="22"/>
                <w:highlight w:val="none"/>
              </w:rPr>
            </w:pPr>
          </w:p>
        </w:tc>
        <w:tc>
          <w:tcPr>
            <w:tcW w:w="1138" w:type="dxa"/>
            <w:vAlign w:val="center"/>
          </w:tcPr>
          <w:p w14:paraId="0EA52BAE">
            <w:pPr>
              <w:jc w:val="center"/>
              <w:rPr>
                <w:rFonts w:ascii="宋体" w:hAnsi="宋体" w:cs="宋体"/>
                <w:color w:val="auto"/>
                <w:sz w:val="22"/>
                <w:szCs w:val="22"/>
                <w:highlight w:val="none"/>
              </w:rPr>
            </w:pPr>
          </w:p>
        </w:tc>
      </w:tr>
      <w:tr w14:paraId="164E0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848" w:type="dxa"/>
            <w:vAlign w:val="center"/>
          </w:tcPr>
          <w:p w14:paraId="4F8F9D00">
            <w:pPr>
              <w:jc w:val="center"/>
              <w:rPr>
                <w:rFonts w:ascii="宋体" w:hAnsi="宋体" w:cs="宋体"/>
                <w:color w:val="auto"/>
                <w:sz w:val="22"/>
                <w:szCs w:val="22"/>
                <w:highlight w:val="none"/>
              </w:rPr>
            </w:pPr>
          </w:p>
        </w:tc>
        <w:tc>
          <w:tcPr>
            <w:tcW w:w="2587" w:type="dxa"/>
            <w:vAlign w:val="center"/>
          </w:tcPr>
          <w:p w14:paraId="19D2C0B8">
            <w:pPr>
              <w:jc w:val="center"/>
              <w:rPr>
                <w:rFonts w:ascii="宋体" w:hAnsi="宋体" w:cs="宋体"/>
                <w:color w:val="auto"/>
                <w:sz w:val="22"/>
                <w:szCs w:val="22"/>
                <w:highlight w:val="none"/>
              </w:rPr>
            </w:pPr>
          </w:p>
        </w:tc>
        <w:tc>
          <w:tcPr>
            <w:tcW w:w="2348" w:type="dxa"/>
            <w:vAlign w:val="center"/>
          </w:tcPr>
          <w:p w14:paraId="3EA2A55B">
            <w:pPr>
              <w:jc w:val="center"/>
              <w:rPr>
                <w:rFonts w:ascii="宋体" w:hAnsi="宋体" w:cs="宋体"/>
                <w:color w:val="auto"/>
                <w:sz w:val="22"/>
                <w:szCs w:val="22"/>
                <w:highlight w:val="none"/>
              </w:rPr>
            </w:pPr>
          </w:p>
        </w:tc>
        <w:tc>
          <w:tcPr>
            <w:tcW w:w="2741" w:type="dxa"/>
            <w:vAlign w:val="center"/>
          </w:tcPr>
          <w:p w14:paraId="2502ABA0">
            <w:pPr>
              <w:jc w:val="center"/>
              <w:rPr>
                <w:rFonts w:ascii="宋体" w:hAnsi="宋体" w:cs="宋体"/>
                <w:color w:val="auto"/>
                <w:sz w:val="22"/>
                <w:szCs w:val="22"/>
                <w:highlight w:val="none"/>
              </w:rPr>
            </w:pPr>
          </w:p>
        </w:tc>
        <w:tc>
          <w:tcPr>
            <w:tcW w:w="1138" w:type="dxa"/>
            <w:vAlign w:val="center"/>
          </w:tcPr>
          <w:p w14:paraId="4C3CB9D7">
            <w:pPr>
              <w:jc w:val="center"/>
              <w:rPr>
                <w:rFonts w:ascii="宋体" w:hAnsi="宋体" w:cs="宋体"/>
                <w:color w:val="auto"/>
                <w:sz w:val="22"/>
                <w:szCs w:val="22"/>
                <w:highlight w:val="none"/>
              </w:rPr>
            </w:pPr>
          </w:p>
        </w:tc>
      </w:tr>
      <w:tr w14:paraId="13590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848" w:type="dxa"/>
            <w:vAlign w:val="center"/>
          </w:tcPr>
          <w:p w14:paraId="19626D41">
            <w:pPr>
              <w:jc w:val="center"/>
              <w:rPr>
                <w:rFonts w:ascii="宋体" w:hAnsi="宋体" w:cs="宋体"/>
                <w:color w:val="auto"/>
                <w:sz w:val="22"/>
                <w:szCs w:val="22"/>
                <w:highlight w:val="none"/>
              </w:rPr>
            </w:pPr>
          </w:p>
        </w:tc>
        <w:tc>
          <w:tcPr>
            <w:tcW w:w="2587" w:type="dxa"/>
            <w:vAlign w:val="center"/>
          </w:tcPr>
          <w:p w14:paraId="7C8D684F">
            <w:pPr>
              <w:jc w:val="center"/>
              <w:rPr>
                <w:rFonts w:ascii="宋体" w:hAnsi="宋体" w:cs="宋体"/>
                <w:color w:val="auto"/>
                <w:sz w:val="22"/>
                <w:szCs w:val="22"/>
                <w:highlight w:val="none"/>
              </w:rPr>
            </w:pPr>
          </w:p>
        </w:tc>
        <w:tc>
          <w:tcPr>
            <w:tcW w:w="2348" w:type="dxa"/>
            <w:vAlign w:val="center"/>
          </w:tcPr>
          <w:p w14:paraId="3CEA2860">
            <w:pPr>
              <w:jc w:val="center"/>
              <w:rPr>
                <w:rFonts w:ascii="宋体" w:hAnsi="宋体" w:cs="宋体"/>
                <w:color w:val="auto"/>
                <w:sz w:val="22"/>
                <w:szCs w:val="22"/>
                <w:highlight w:val="none"/>
              </w:rPr>
            </w:pPr>
          </w:p>
        </w:tc>
        <w:tc>
          <w:tcPr>
            <w:tcW w:w="2741" w:type="dxa"/>
            <w:vAlign w:val="center"/>
          </w:tcPr>
          <w:p w14:paraId="39378DFB">
            <w:pPr>
              <w:jc w:val="center"/>
              <w:rPr>
                <w:rFonts w:ascii="宋体" w:hAnsi="宋体" w:cs="宋体"/>
                <w:color w:val="auto"/>
                <w:sz w:val="22"/>
                <w:szCs w:val="22"/>
                <w:highlight w:val="none"/>
              </w:rPr>
            </w:pPr>
          </w:p>
        </w:tc>
        <w:tc>
          <w:tcPr>
            <w:tcW w:w="1138" w:type="dxa"/>
            <w:vAlign w:val="center"/>
          </w:tcPr>
          <w:p w14:paraId="0C8A956A">
            <w:pPr>
              <w:jc w:val="center"/>
              <w:rPr>
                <w:rFonts w:ascii="宋体" w:hAnsi="宋体" w:cs="宋体"/>
                <w:color w:val="auto"/>
                <w:sz w:val="22"/>
                <w:szCs w:val="22"/>
                <w:highlight w:val="none"/>
              </w:rPr>
            </w:pPr>
          </w:p>
        </w:tc>
      </w:tr>
      <w:tr w14:paraId="4D878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848" w:type="dxa"/>
            <w:vAlign w:val="center"/>
          </w:tcPr>
          <w:p w14:paraId="60780979">
            <w:pPr>
              <w:jc w:val="center"/>
              <w:rPr>
                <w:rFonts w:ascii="宋体" w:hAnsi="宋体" w:cs="宋体"/>
                <w:color w:val="auto"/>
                <w:sz w:val="22"/>
                <w:szCs w:val="22"/>
                <w:highlight w:val="none"/>
              </w:rPr>
            </w:pPr>
          </w:p>
        </w:tc>
        <w:tc>
          <w:tcPr>
            <w:tcW w:w="2587" w:type="dxa"/>
            <w:vAlign w:val="center"/>
          </w:tcPr>
          <w:p w14:paraId="6D44AE7C">
            <w:pPr>
              <w:jc w:val="center"/>
              <w:rPr>
                <w:rFonts w:ascii="宋体" w:hAnsi="宋体" w:cs="宋体"/>
                <w:color w:val="auto"/>
                <w:sz w:val="22"/>
                <w:szCs w:val="22"/>
                <w:highlight w:val="none"/>
              </w:rPr>
            </w:pPr>
          </w:p>
        </w:tc>
        <w:tc>
          <w:tcPr>
            <w:tcW w:w="2348" w:type="dxa"/>
            <w:vAlign w:val="center"/>
          </w:tcPr>
          <w:p w14:paraId="537AB672">
            <w:pPr>
              <w:jc w:val="center"/>
              <w:rPr>
                <w:rFonts w:ascii="宋体" w:hAnsi="宋体" w:cs="宋体"/>
                <w:color w:val="auto"/>
                <w:sz w:val="22"/>
                <w:szCs w:val="22"/>
                <w:highlight w:val="none"/>
              </w:rPr>
            </w:pPr>
          </w:p>
        </w:tc>
        <w:tc>
          <w:tcPr>
            <w:tcW w:w="2741" w:type="dxa"/>
            <w:vAlign w:val="center"/>
          </w:tcPr>
          <w:p w14:paraId="52F1C822">
            <w:pPr>
              <w:jc w:val="center"/>
              <w:rPr>
                <w:rFonts w:ascii="宋体" w:hAnsi="宋体" w:cs="宋体"/>
                <w:color w:val="auto"/>
                <w:sz w:val="22"/>
                <w:szCs w:val="22"/>
                <w:highlight w:val="none"/>
              </w:rPr>
            </w:pPr>
          </w:p>
        </w:tc>
        <w:tc>
          <w:tcPr>
            <w:tcW w:w="1138" w:type="dxa"/>
            <w:vAlign w:val="center"/>
          </w:tcPr>
          <w:p w14:paraId="02D3D1A7">
            <w:pPr>
              <w:jc w:val="center"/>
              <w:rPr>
                <w:rFonts w:ascii="宋体" w:hAnsi="宋体" w:cs="宋体"/>
                <w:color w:val="auto"/>
                <w:sz w:val="22"/>
                <w:szCs w:val="22"/>
                <w:highlight w:val="none"/>
              </w:rPr>
            </w:pPr>
          </w:p>
        </w:tc>
      </w:tr>
      <w:tr w14:paraId="44BC3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848" w:type="dxa"/>
            <w:vAlign w:val="center"/>
          </w:tcPr>
          <w:p w14:paraId="7DD7EC18">
            <w:pPr>
              <w:ind w:firstLine="220" w:firstLineChars="100"/>
              <w:rPr>
                <w:rFonts w:ascii="宋体" w:hAnsi="宋体" w:cs="宋体"/>
                <w:color w:val="auto"/>
                <w:sz w:val="22"/>
                <w:szCs w:val="22"/>
                <w:highlight w:val="none"/>
              </w:rPr>
            </w:pPr>
          </w:p>
        </w:tc>
        <w:tc>
          <w:tcPr>
            <w:tcW w:w="2587" w:type="dxa"/>
            <w:vAlign w:val="center"/>
          </w:tcPr>
          <w:p w14:paraId="3BABE8C2">
            <w:pPr>
              <w:jc w:val="center"/>
              <w:rPr>
                <w:rFonts w:ascii="宋体" w:hAnsi="宋体" w:cs="宋体"/>
                <w:color w:val="auto"/>
                <w:sz w:val="22"/>
                <w:szCs w:val="22"/>
                <w:highlight w:val="none"/>
              </w:rPr>
            </w:pPr>
          </w:p>
        </w:tc>
        <w:tc>
          <w:tcPr>
            <w:tcW w:w="2348" w:type="dxa"/>
            <w:vAlign w:val="center"/>
          </w:tcPr>
          <w:p w14:paraId="5CB7547A">
            <w:pPr>
              <w:jc w:val="center"/>
              <w:rPr>
                <w:rFonts w:ascii="宋体" w:hAnsi="宋体" w:cs="宋体"/>
                <w:color w:val="auto"/>
                <w:sz w:val="22"/>
                <w:szCs w:val="22"/>
                <w:highlight w:val="none"/>
              </w:rPr>
            </w:pPr>
          </w:p>
        </w:tc>
        <w:tc>
          <w:tcPr>
            <w:tcW w:w="2741" w:type="dxa"/>
            <w:vAlign w:val="center"/>
          </w:tcPr>
          <w:p w14:paraId="4E44B229">
            <w:pPr>
              <w:jc w:val="center"/>
              <w:rPr>
                <w:rFonts w:ascii="宋体" w:hAnsi="宋体" w:cs="宋体"/>
                <w:color w:val="auto"/>
                <w:sz w:val="22"/>
                <w:szCs w:val="22"/>
                <w:highlight w:val="none"/>
              </w:rPr>
            </w:pPr>
          </w:p>
        </w:tc>
        <w:tc>
          <w:tcPr>
            <w:tcW w:w="1138" w:type="dxa"/>
            <w:vAlign w:val="center"/>
          </w:tcPr>
          <w:p w14:paraId="370135CC">
            <w:pPr>
              <w:jc w:val="center"/>
              <w:rPr>
                <w:rFonts w:ascii="宋体" w:hAnsi="宋体" w:cs="宋体"/>
                <w:color w:val="auto"/>
                <w:sz w:val="22"/>
                <w:szCs w:val="22"/>
                <w:highlight w:val="none"/>
              </w:rPr>
            </w:pPr>
          </w:p>
        </w:tc>
      </w:tr>
      <w:tr w14:paraId="56668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848" w:type="dxa"/>
            <w:vAlign w:val="center"/>
          </w:tcPr>
          <w:p w14:paraId="19836EED">
            <w:pPr>
              <w:jc w:val="center"/>
              <w:rPr>
                <w:rFonts w:ascii="宋体" w:hAnsi="宋体" w:cs="宋体"/>
                <w:color w:val="auto"/>
                <w:sz w:val="22"/>
                <w:szCs w:val="22"/>
                <w:highlight w:val="none"/>
              </w:rPr>
            </w:pPr>
          </w:p>
        </w:tc>
        <w:tc>
          <w:tcPr>
            <w:tcW w:w="2587" w:type="dxa"/>
            <w:vAlign w:val="center"/>
          </w:tcPr>
          <w:p w14:paraId="542AC99B">
            <w:pPr>
              <w:jc w:val="center"/>
              <w:rPr>
                <w:rFonts w:ascii="宋体" w:hAnsi="宋体" w:cs="宋体"/>
                <w:color w:val="auto"/>
                <w:sz w:val="22"/>
                <w:szCs w:val="22"/>
                <w:highlight w:val="none"/>
              </w:rPr>
            </w:pPr>
          </w:p>
        </w:tc>
        <w:tc>
          <w:tcPr>
            <w:tcW w:w="2348" w:type="dxa"/>
            <w:vAlign w:val="center"/>
          </w:tcPr>
          <w:p w14:paraId="45E14BB9">
            <w:pPr>
              <w:jc w:val="center"/>
              <w:rPr>
                <w:rFonts w:ascii="宋体" w:hAnsi="宋体" w:cs="宋体"/>
                <w:color w:val="auto"/>
                <w:sz w:val="22"/>
                <w:szCs w:val="22"/>
                <w:highlight w:val="none"/>
              </w:rPr>
            </w:pPr>
          </w:p>
        </w:tc>
        <w:tc>
          <w:tcPr>
            <w:tcW w:w="2741" w:type="dxa"/>
            <w:vAlign w:val="center"/>
          </w:tcPr>
          <w:p w14:paraId="3865F50E">
            <w:pPr>
              <w:jc w:val="center"/>
              <w:rPr>
                <w:rFonts w:ascii="宋体" w:hAnsi="宋体" w:cs="宋体"/>
                <w:color w:val="auto"/>
                <w:sz w:val="22"/>
                <w:szCs w:val="22"/>
                <w:highlight w:val="none"/>
              </w:rPr>
            </w:pPr>
          </w:p>
        </w:tc>
        <w:tc>
          <w:tcPr>
            <w:tcW w:w="1138" w:type="dxa"/>
            <w:vAlign w:val="center"/>
          </w:tcPr>
          <w:p w14:paraId="1FA62DA0">
            <w:pPr>
              <w:jc w:val="center"/>
              <w:rPr>
                <w:rFonts w:ascii="宋体" w:hAnsi="宋体" w:cs="宋体"/>
                <w:color w:val="auto"/>
                <w:sz w:val="22"/>
                <w:szCs w:val="22"/>
                <w:highlight w:val="none"/>
              </w:rPr>
            </w:pPr>
          </w:p>
        </w:tc>
      </w:tr>
      <w:tr w14:paraId="576FB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848" w:type="dxa"/>
            <w:vAlign w:val="center"/>
          </w:tcPr>
          <w:p w14:paraId="3A06E510">
            <w:pPr>
              <w:jc w:val="center"/>
              <w:rPr>
                <w:rFonts w:ascii="宋体" w:hAnsi="宋体" w:cs="宋体"/>
                <w:color w:val="auto"/>
                <w:sz w:val="22"/>
                <w:szCs w:val="22"/>
                <w:highlight w:val="none"/>
              </w:rPr>
            </w:pPr>
          </w:p>
        </w:tc>
        <w:tc>
          <w:tcPr>
            <w:tcW w:w="2587" w:type="dxa"/>
            <w:vAlign w:val="center"/>
          </w:tcPr>
          <w:p w14:paraId="79190F8B">
            <w:pPr>
              <w:jc w:val="center"/>
              <w:rPr>
                <w:rFonts w:ascii="宋体" w:hAnsi="宋体" w:cs="宋体"/>
                <w:color w:val="auto"/>
                <w:sz w:val="22"/>
                <w:szCs w:val="22"/>
                <w:highlight w:val="none"/>
              </w:rPr>
            </w:pPr>
          </w:p>
        </w:tc>
        <w:tc>
          <w:tcPr>
            <w:tcW w:w="2348" w:type="dxa"/>
            <w:vAlign w:val="center"/>
          </w:tcPr>
          <w:p w14:paraId="60AAD074">
            <w:pPr>
              <w:jc w:val="center"/>
              <w:rPr>
                <w:rFonts w:ascii="宋体" w:hAnsi="宋体" w:cs="宋体"/>
                <w:color w:val="auto"/>
                <w:sz w:val="22"/>
                <w:szCs w:val="22"/>
                <w:highlight w:val="none"/>
              </w:rPr>
            </w:pPr>
          </w:p>
        </w:tc>
        <w:tc>
          <w:tcPr>
            <w:tcW w:w="2741" w:type="dxa"/>
            <w:vAlign w:val="center"/>
          </w:tcPr>
          <w:p w14:paraId="16D34CD2">
            <w:pPr>
              <w:jc w:val="center"/>
              <w:rPr>
                <w:rFonts w:ascii="宋体" w:hAnsi="宋体" w:cs="宋体"/>
                <w:color w:val="auto"/>
                <w:sz w:val="22"/>
                <w:szCs w:val="22"/>
                <w:highlight w:val="none"/>
              </w:rPr>
            </w:pPr>
          </w:p>
        </w:tc>
        <w:tc>
          <w:tcPr>
            <w:tcW w:w="1138" w:type="dxa"/>
            <w:vAlign w:val="center"/>
          </w:tcPr>
          <w:p w14:paraId="5F8D5581">
            <w:pPr>
              <w:jc w:val="center"/>
              <w:rPr>
                <w:rFonts w:ascii="宋体" w:hAnsi="宋体" w:cs="宋体"/>
                <w:color w:val="auto"/>
                <w:sz w:val="22"/>
                <w:szCs w:val="22"/>
                <w:highlight w:val="none"/>
              </w:rPr>
            </w:pPr>
          </w:p>
        </w:tc>
      </w:tr>
      <w:tr w14:paraId="3E863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848" w:type="dxa"/>
            <w:vAlign w:val="center"/>
          </w:tcPr>
          <w:p w14:paraId="0CE28EE5">
            <w:pPr>
              <w:jc w:val="center"/>
              <w:rPr>
                <w:rFonts w:ascii="宋体" w:hAnsi="宋体" w:cs="宋体"/>
                <w:color w:val="auto"/>
                <w:sz w:val="22"/>
                <w:szCs w:val="22"/>
                <w:highlight w:val="none"/>
              </w:rPr>
            </w:pPr>
          </w:p>
        </w:tc>
        <w:tc>
          <w:tcPr>
            <w:tcW w:w="2587" w:type="dxa"/>
            <w:vAlign w:val="center"/>
          </w:tcPr>
          <w:p w14:paraId="54612113">
            <w:pPr>
              <w:jc w:val="center"/>
              <w:rPr>
                <w:rFonts w:ascii="宋体" w:hAnsi="宋体" w:cs="宋体"/>
                <w:color w:val="auto"/>
                <w:sz w:val="22"/>
                <w:szCs w:val="22"/>
                <w:highlight w:val="none"/>
              </w:rPr>
            </w:pPr>
          </w:p>
        </w:tc>
        <w:tc>
          <w:tcPr>
            <w:tcW w:w="2348" w:type="dxa"/>
            <w:vAlign w:val="center"/>
          </w:tcPr>
          <w:p w14:paraId="1D9FF70A">
            <w:pPr>
              <w:jc w:val="center"/>
              <w:rPr>
                <w:rFonts w:ascii="宋体" w:hAnsi="宋体" w:cs="宋体"/>
                <w:color w:val="auto"/>
                <w:sz w:val="22"/>
                <w:szCs w:val="22"/>
                <w:highlight w:val="none"/>
              </w:rPr>
            </w:pPr>
          </w:p>
        </w:tc>
        <w:tc>
          <w:tcPr>
            <w:tcW w:w="2741" w:type="dxa"/>
            <w:vAlign w:val="center"/>
          </w:tcPr>
          <w:p w14:paraId="3F9542DB">
            <w:pPr>
              <w:jc w:val="center"/>
              <w:rPr>
                <w:rFonts w:ascii="宋体" w:hAnsi="宋体" w:cs="宋体"/>
                <w:color w:val="auto"/>
                <w:sz w:val="22"/>
                <w:szCs w:val="22"/>
                <w:highlight w:val="none"/>
              </w:rPr>
            </w:pPr>
          </w:p>
        </w:tc>
        <w:tc>
          <w:tcPr>
            <w:tcW w:w="1138" w:type="dxa"/>
            <w:vAlign w:val="center"/>
          </w:tcPr>
          <w:p w14:paraId="66CEF058">
            <w:pPr>
              <w:jc w:val="center"/>
              <w:rPr>
                <w:rFonts w:ascii="宋体" w:hAnsi="宋体" w:cs="宋体"/>
                <w:color w:val="auto"/>
                <w:sz w:val="22"/>
                <w:szCs w:val="22"/>
                <w:highlight w:val="none"/>
              </w:rPr>
            </w:pPr>
          </w:p>
        </w:tc>
      </w:tr>
      <w:tr w14:paraId="37862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848" w:type="dxa"/>
            <w:vAlign w:val="center"/>
          </w:tcPr>
          <w:p w14:paraId="790EF562">
            <w:pPr>
              <w:jc w:val="center"/>
              <w:rPr>
                <w:rFonts w:ascii="宋体" w:hAnsi="宋体" w:cs="宋体"/>
                <w:color w:val="auto"/>
                <w:sz w:val="22"/>
                <w:szCs w:val="22"/>
                <w:highlight w:val="none"/>
              </w:rPr>
            </w:pPr>
          </w:p>
        </w:tc>
        <w:tc>
          <w:tcPr>
            <w:tcW w:w="2587" w:type="dxa"/>
            <w:vAlign w:val="center"/>
          </w:tcPr>
          <w:p w14:paraId="71AB134F">
            <w:pPr>
              <w:jc w:val="center"/>
              <w:rPr>
                <w:rFonts w:ascii="宋体" w:hAnsi="宋体" w:cs="宋体"/>
                <w:color w:val="auto"/>
                <w:sz w:val="22"/>
                <w:szCs w:val="22"/>
                <w:highlight w:val="none"/>
              </w:rPr>
            </w:pPr>
          </w:p>
        </w:tc>
        <w:tc>
          <w:tcPr>
            <w:tcW w:w="2348" w:type="dxa"/>
            <w:vAlign w:val="center"/>
          </w:tcPr>
          <w:p w14:paraId="22C58B07">
            <w:pPr>
              <w:jc w:val="center"/>
              <w:rPr>
                <w:rFonts w:ascii="宋体" w:hAnsi="宋体" w:cs="宋体"/>
                <w:color w:val="auto"/>
                <w:sz w:val="22"/>
                <w:szCs w:val="22"/>
                <w:highlight w:val="none"/>
              </w:rPr>
            </w:pPr>
          </w:p>
        </w:tc>
        <w:tc>
          <w:tcPr>
            <w:tcW w:w="2741" w:type="dxa"/>
            <w:vAlign w:val="center"/>
          </w:tcPr>
          <w:p w14:paraId="796CDC73">
            <w:pPr>
              <w:jc w:val="center"/>
              <w:rPr>
                <w:rFonts w:ascii="宋体" w:hAnsi="宋体" w:cs="宋体"/>
                <w:color w:val="auto"/>
                <w:sz w:val="22"/>
                <w:szCs w:val="22"/>
                <w:highlight w:val="none"/>
              </w:rPr>
            </w:pPr>
          </w:p>
        </w:tc>
        <w:tc>
          <w:tcPr>
            <w:tcW w:w="1138" w:type="dxa"/>
            <w:vAlign w:val="center"/>
          </w:tcPr>
          <w:p w14:paraId="154DE4F0">
            <w:pPr>
              <w:jc w:val="center"/>
              <w:rPr>
                <w:rFonts w:ascii="宋体" w:hAnsi="宋体" w:cs="宋体"/>
                <w:color w:val="auto"/>
                <w:sz w:val="22"/>
                <w:szCs w:val="22"/>
                <w:highlight w:val="none"/>
              </w:rPr>
            </w:pPr>
          </w:p>
        </w:tc>
      </w:tr>
      <w:tr w14:paraId="4F02D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848" w:type="dxa"/>
            <w:vAlign w:val="center"/>
          </w:tcPr>
          <w:p w14:paraId="076B925F">
            <w:pPr>
              <w:jc w:val="center"/>
              <w:rPr>
                <w:rFonts w:ascii="宋体" w:hAnsi="宋体" w:cs="宋体"/>
                <w:color w:val="auto"/>
                <w:sz w:val="22"/>
                <w:szCs w:val="22"/>
                <w:highlight w:val="none"/>
              </w:rPr>
            </w:pPr>
          </w:p>
        </w:tc>
        <w:tc>
          <w:tcPr>
            <w:tcW w:w="2587" w:type="dxa"/>
            <w:vAlign w:val="center"/>
          </w:tcPr>
          <w:p w14:paraId="1ECFF64C">
            <w:pPr>
              <w:jc w:val="center"/>
              <w:rPr>
                <w:rFonts w:ascii="宋体" w:hAnsi="宋体" w:cs="宋体"/>
                <w:color w:val="auto"/>
                <w:sz w:val="22"/>
                <w:szCs w:val="22"/>
                <w:highlight w:val="none"/>
              </w:rPr>
            </w:pPr>
          </w:p>
        </w:tc>
        <w:tc>
          <w:tcPr>
            <w:tcW w:w="2348" w:type="dxa"/>
            <w:vAlign w:val="center"/>
          </w:tcPr>
          <w:p w14:paraId="05C81FD8">
            <w:pPr>
              <w:jc w:val="center"/>
              <w:rPr>
                <w:rFonts w:ascii="宋体" w:hAnsi="宋体" w:cs="宋体"/>
                <w:color w:val="auto"/>
                <w:sz w:val="22"/>
                <w:szCs w:val="22"/>
                <w:highlight w:val="none"/>
              </w:rPr>
            </w:pPr>
          </w:p>
        </w:tc>
        <w:tc>
          <w:tcPr>
            <w:tcW w:w="2741" w:type="dxa"/>
            <w:vAlign w:val="center"/>
          </w:tcPr>
          <w:p w14:paraId="1E29F347">
            <w:pPr>
              <w:jc w:val="center"/>
              <w:rPr>
                <w:rFonts w:ascii="宋体" w:hAnsi="宋体" w:cs="宋体"/>
                <w:color w:val="auto"/>
                <w:sz w:val="22"/>
                <w:szCs w:val="22"/>
                <w:highlight w:val="none"/>
              </w:rPr>
            </w:pPr>
          </w:p>
        </w:tc>
        <w:tc>
          <w:tcPr>
            <w:tcW w:w="1138" w:type="dxa"/>
            <w:vAlign w:val="center"/>
          </w:tcPr>
          <w:p w14:paraId="21E573F9">
            <w:pPr>
              <w:jc w:val="center"/>
              <w:rPr>
                <w:rFonts w:ascii="宋体" w:hAnsi="宋体" w:cs="宋体"/>
                <w:color w:val="auto"/>
                <w:sz w:val="22"/>
                <w:szCs w:val="22"/>
                <w:highlight w:val="none"/>
              </w:rPr>
            </w:pPr>
          </w:p>
        </w:tc>
      </w:tr>
    </w:tbl>
    <w:p w14:paraId="7E5235C9">
      <w:pPr>
        <w:pStyle w:val="30"/>
        <w:spacing w:line="400" w:lineRule="atLeast"/>
        <w:ind w:left="537" w:hanging="537" w:hangingChars="243"/>
        <w:rPr>
          <w:rFonts w:hAnsi="宋体" w:cs="宋体"/>
          <w:color w:val="auto"/>
          <w:sz w:val="22"/>
          <w:szCs w:val="22"/>
          <w:highlight w:val="none"/>
        </w:rPr>
      </w:pPr>
      <w:r>
        <w:rPr>
          <w:rFonts w:hint="eastAsia" w:hAnsi="宋体" w:cs="宋体"/>
          <w:color w:val="auto"/>
          <w:sz w:val="22"/>
          <w:szCs w:val="22"/>
          <w:highlight w:val="none"/>
        </w:rPr>
        <w:t xml:space="preserve"> 注： 如有偏离，必须在偏离表中进行详细对比说明并注明正偏离（负偏离），如不说明偏离情况，视为完全响应磋商文件要求无偏离。</w:t>
      </w:r>
    </w:p>
    <w:p w14:paraId="3A080BB2">
      <w:pPr>
        <w:rPr>
          <w:rFonts w:ascii="宋体" w:hAnsi="宋体" w:cs="宋体"/>
          <w:color w:val="auto"/>
          <w:sz w:val="22"/>
          <w:szCs w:val="22"/>
          <w:highlight w:val="none"/>
        </w:rPr>
      </w:pPr>
    </w:p>
    <w:p w14:paraId="556DC592">
      <w:pPr>
        <w:pStyle w:val="30"/>
        <w:spacing w:line="360" w:lineRule="auto"/>
        <w:ind w:left="5360" w:leftChars="2500" w:hanging="110" w:hangingChars="50"/>
        <w:rPr>
          <w:rFonts w:hAnsi="宋体" w:cs="宋体"/>
          <w:b w:val="0"/>
          <w:bCs/>
          <w:color w:val="auto"/>
          <w:sz w:val="22"/>
          <w:szCs w:val="22"/>
          <w:highlight w:val="none"/>
        </w:rPr>
      </w:pPr>
      <w:r>
        <w:rPr>
          <w:rFonts w:hint="eastAsia" w:hAnsi="宋体" w:cs="宋体"/>
          <w:b w:val="0"/>
          <w:bCs/>
          <w:color w:val="auto"/>
          <w:sz w:val="22"/>
          <w:szCs w:val="22"/>
          <w:highlight w:val="none"/>
        </w:rPr>
        <w:t>磋商供应商全称（盖章）：</w:t>
      </w:r>
    </w:p>
    <w:p w14:paraId="346A0181">
      <w:pPr>
        <w:spacing w:line="360" w:lineRule="auto"/>
        <w:rPr>
          <w:rFonts w:ascii="宋体" w:hAnsi="宋体" w:cs="宋体"/>
          <w:bCs/>
          <w:color w:val="auto"/>
          <w:sz w:val="22"/>
          <w:szCs w:val="22"/>
          <w:highlight w:val="none"/>
        </w:rPr>
      </w:pPr>
      <w:r>
        <w:rPr>
          <w:rFonts w:hint="eastAsia" w:ascii="宋体" w:hAnsi="宋体" w:cs="宋体"/>
          <w:bCs/>
          <w:color w:val="auto"/>
          <w:sz w:val="22"/>
          <w:szCs w:val="22"/>
          <w:highlight w:val="none"/>
        </w:rPr>
        <w:t xml:space="preserve">                                                磋商供应商代表（签字）：</w:t>
      </w:r>
    </w:p>
    <w:p w14:paraId="137B7288">
      <w:pPr>
        <w:spacing w:line="360" w:lineRule="auto"/>
        <w:rPr>
          <w:rFonts w:ascii="宋体" w:hAnsi="宋体" w:cs="宋体"/>
          <w:bCs/>
          <w:color w:val="auto"/>
          <w:sz w:val="22"/>
          <w:szCs w:val="22"/>
          <w:highlight w:val="none"/>
        </w:rPr>
      </w:pPr>
      <w:r>
        <w:rPr>
          <w:rFonts w:hint="eastAsia" w:ascii="宋体" w:hAnsi="宋体" w:cs="宋体"/>
          <w:bCs/>
          <w:color w:val="auto"/>
          <w:sz w:val="22"/>
          <w:szCs w:val="22"/>
          <w:highlight w:val="none"/>
        </w:rPr>
        <w:t xml:space="preserve">                                                日    期：</w:t>
      </w:r>
    </w:p>
    <w:p w14:paraId="44E2D1AE">
      <w:pPr>
        <w:spacing w:line="400" w:lineRule="exact"/>
        <w:jc w:val="center"/>
        <w:outlineLvl w:val="3"/>
        <w:rPr>
          <w:rFonts w:ascii="宋体" w:hAnsi="宋体" w:cs="宋体"/>
          <w:b/>
          <w:bCs/>
          <w:color w:val="auto"/>
          <w:sz w:val="28"/>
          <w:szCs w:val="28"/>
          <w:highlight w:val="none"/>
          <w:lang w:val="zh-CN"/>
        </w:rPr>
      </w:pPr>
      <w:r>
        <w:rPr>
          <w:rFonts w:hint="eastAsia" w:ascii="宋体" w:hAnsi="宋体" w:cs="宋体"/>
          <w:b/>
          <w:bCs/>
          <w:color w:val="auto"/>
          <w:sz w:val="28"/>
          <w:szCs w:val="28"/>
          <w:highlight w:val="none"/>
        </w:rPr>
        <w:t>4、详细供货清单说明一览表</w:t>
      </w:r>
    </w:p>
    <w:p w14:paraId="073BEB49">
      <w:pPr>
        <w:spacing w:line="360" w:lineRule="auto"/>
        <w:rPr>
          <w:rFonts w:ascii="宋体" w:hAnsi="宋体" w:cs="宋体"/>
          <w:color w:val="auto"/>
          <w:sz w:val="22"/>
          <w:szCs w:val="22"/>
          <w:highlight w:val="none"/>
        </w:rPr>
      </w:pPr>
      <w:r>
        <w:rPr>
          <w:rFonts w:hint="eastAsia" w:ascii="宋体" w:hAnsi="宋体" w:cs="宋体"/>
          <w:color w:val="auto"/>
          <w:sz w:val="22"/>
          <w:szCs w:val="22"/>
          <w:highlight w:val="none"/>
        </w:rPr>
        <w:t xml:space="preserve">项目编号： </w:t>
      </w:r>
    </w:p>
    <w:p w14:paraId="6A74595E">
      <w:pPr>
        <w:keepNext/>
        <w:spacing w:line="360" w:lineRule="auto"/>
        <w:rPr>
          <w:rFonts w:hint="eastAsia" w:eastAsia="宋体"/>
          <w:color w:val="auto"/>
          <w:highlight w:val="none"/>
          <w:lang w:eastAsia="zh-CN"/>
        </w:rPr>
      </w:pPr>
      <w:r>
        <w:rPr>
          <w:rFonts w:hint="eastAsia" w:ascii="宋体" w:hAnsi="宋体" w:cs="宋体"/>
          <w:color w:val="auto"/>
          <w:sz w:val="22"/>
          <w:szCs w:val="22"/>
          <w:highlight w:val="none"/>
        </w:rPr>
        <w:t>项目名称：</w:t>
      </w:r>
      <w:r>
        <w:rPr>
          <w:rFonts w:hint="eastAsia" w:ascii="宋体" w:hAnsi="宋体" w:cs="宋体"/>
          <w:color w:val="auto"/>
          <w:sz w:val="22"/>
          <w:szCs w:val="22"/>
          <w:highlight w:val="none"/>
          <w:lang w:eastAsia="zh-CN"/>
        </w:rPr>
        <w:t>双人课桌、单人椅子（重）</w:t>
      </w:r>
    </w:p>
    <w:tbl>
      <w:tblPr>
        <w:tblStyle w:val="52"/>
        <w:tblpPr w:leftFromText="180" w:rightFromText="180" w:vertAnchor="text" w:horzAnchor="margin" w:tblpY="1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692"/>
        <w:gridCol w:w="2880"/>
        <w:gridCol w:w="1661"/>
        <w:gridCol w:w="1260"/>
        <w:gridCol w:w="1219"/>
      </w:tblGrid>
      <w:tr w14:paraId="36791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828" w:type="dxa"/>
            <w:shd w:val="clear" w:color="auto" w:fill="FFFFFF"/>
            <w:vAlign w:val="center"/>
          </w:tcPr>
          <w:p w14:paraId="31ACF305">
            <w:pPr>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序号</w:t>
            </w:r>
          </w:p>
        </w:tc>
        <w:tc>
          <w:tcPr>
            <w:tcW w:w="1692" w:type="dxa"/>
            <w:shd w:val="clear" w:color="auto" w:fill="FFFFFF"/>
            <w:vAlign w:val="center"/>
          </w:tcPr>
          <w:p w14:paraId="1332D748">
            <w:pPr>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设备名称</w:t>
            </w:r>
          </w:p>
        </w:tc>
        <w:tc>
          <w:tcPr>
            <w:tcW w:w="2880" w:type="dxa"/>
            <w:shd w:val="clear" w:color="auto" w:fill="FFFFFF"/>
            <w:vAlign w:val="center"/>
          </w:tcPr>
          <w:p w14:paraId="1581CB01">
            <w:pPr>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规格及技术参数</w:t>
            </w:r>
          </w:p>
        </w:tc>
        <w:tc>
          <w:tcPr>
            <w:tcW w:w="1661" w:type="dxa"/>
            <w:shd w:val="clear" w:color="auto" w:fill="FFFFFF"/>
            <w:vAlign w:val="center"/>
          </w:tcPr>
          <w:p w14:paraId="6DB84483">
            <w:pPr>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原产地</w:t>
            </w:r>
          </w:p>
          <w:p w14:paraId="3BC77FC8">
            <w:pPr>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（生产厂家）</w:t>
            </w:r>
          </w:p>
        </w:tc>
        <w:tc>
          <w:tcPr>
            <w:tcW w:w="1260" w:type="dxa"/>
            <w:shd w:val="clear" w:color="auto" w:fill="FFFFFF"/>
            <w:vAlign w:val="center"/>
          </w:tcPr>
          <w:p w14:paraId="2E782E4F">
            <w:pPr>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数量</w:t>
            </w:r>
          </w:p>
        </w:tc>
        <w:tc>
          <w:tcPr>
            <w:tcW w:w="1219" w:type="dxa"/>
            <w:shd w:val="clear" w:color="auto" w:fill="FFFFFF"/>
            <w:vAlign w:val="center"/>
          </w:tcPr>
          <w:p w14:paraId="65C9B821">
            <w:pPr>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质保期</w:t>
            </w:r>
          </w:p>
        </w:tc>
      </w:tr>
      <w:tr w14:paraId="7C1CF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vAlign w:val="center"/>
          </w:tcPr>
          <w:p w14:paraId="59180EEF">
            <w:pPr>
              <w:spacing w:line="360" w:lineRule="auto"/>
              <w:jc w:val="center"/>
              <w:rPr>
                <w:rFonts w:ascii="新宋体" w:hAnsi="新宋体" w:eastAsia="新宋体"/>
                <w:color w:val="auto"/>
                <w:sz w:val="22"/>
                <w:szCs w:val="22"/>
                <w:highlight w:val="none"/>
              </w:rPr>
            </w:pPr>
          </w:p>
        </w:tc>
        <w:tc>
          <w:tcPr>
            <w:tcW w:w="1692" w:type="dxa"/>
            <w:vAlign w:val="center"/>
          </w:tcPr>
          <w:p w14:paraId="0A500C8D">
            <w:pPr>
              <w:spacing w:line="360" w:lineRule="auto"/>
              <w:jc w:val="center"/>
              <w:rPr>
                <w:rFonts w:ascii="新宋体" w:hAnsi="新宋体" w:eastAsia="新宋体"/>
                <w:b/>
                <w:bCs/>
                <w:color w:val="auto"/>
                <w:sz w:val="22"/>
                <w:szCs w:val="22"/>
                <w:highlight w:val="none"/>
              </w:rPr>
            </w:pPr>
          </w:p>
        </w:tc>
        <w:tc>
          <w:tcPr>
            <w:tcW w:w="2880" w:type="dxa"/>
            <w:vAlign w:val="center"/>
          </w:tcPr>
          <w:p w14:paraId="33AAA7E0">
            <w:pPr>
              <w:spacing w:line="360" w:lineRule="auto"/>
              <w:jc w:val="center"/>
              <w:rPr>
                <w:rFonts w:ascii="新宋体" w:hAnsi="新宋体" w:eastAsia="新宋体"/>
                <w:b/>
                <w:bCs/>
                <w:color w:val="auto"/>
                <w:sz w:val="22"/>
                <w:szCs w:val="22"/>
                <w:highlight w:val="none"/>
              </w:rPr>
            </w:pPr>
          </w:p>
        </w:tc>
        <w:tc>
          <w:tcPr>
            <w:tcW w:w="1661" w:type="dxa"/>
            <w:vAlign w:val="center"/>
          </w:tcPr>
          <w:p w14:paraId="798A0896">
            <w:pPr>
              <w:spacing w:line="360" w:lineRule="auto"/>
              <w:jc w:val="center"/>
              <w:rPr>
                <w:rFonts w:ascii="新宋体" w:hAnsi="新宋体" w:eastAsia="新宋体"/>
                <w:b/>
                <w:bCs/>
                <w:color w:val="auto"/>
                <w:sz w:val="22"/>
                <w:szCs w:val="22"/>
                <w:highlight w:val="none"/>
              </w:rPr>
            </w:pPr>
          </w:p>
        </w:tc>
        <w:tc>
          <w:tcPr>
            <w:tcW w:w="1260" w:type="dxa"/>
            <w:vAlign w:val="center"/>
          </w:tcPr>
          <w:p w14:paraId="6E345916">
            <w:pPr>
              <w:spacing w:line="360" w:lineRule="auto"/>
              <w:jc w:val="center"/>
              <w:rPr>
                <w:rFonts w:ascii="新宋体" w:hAnsi="新宋体" w:eastAsia="新宋体"/>
                <w:b/>
                <w:bCs/>
                <w:color w:val="auto"/>
                <w:sz w:val="22"/>
                <w:szCs w:val="22"/>
                <w:highlight w:val="none"/>
              </w:rPr>
            </w:pPr>
          </w:p>
        </w:tc>
        <w:tc>
          <w:tcPr>
            <w:tcW w:w="1219" w:type="dxa"/>
          </w:tcPr>
          <w:p w14:paraId="162F7B77">
            <w:pPr>
              <w:rPr>
                <w:rFonts w:ascii="新宋体" w:hAnsi="新宋体" w:eastAsia="新宋体"/>
                <w:color w:val="auto"/>
                <w:sz w:val="22"/>
                <w:szCs w:val="22"/>
                <w:highlight w:val="none"/>
              </w:rPr>
            </w:pPr>
          </w:p>
        </w:tc>
      </w:tr>
      <w:tr w14:paraId="64C26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vAlign w:val="center"/>
          </w:tcPr>
          <w:p w14:paraId="379F5E60">
            <w:pPr>
              <w:spacing w:line="360" w:lineRule="auto"/>
              <w:jc w:val="center"/>
              <w:rPr>
                <w:rFonts w:ascii="新宋体" w:hAnsi="新宋体" w:eastAsia="新宋体"/>
                <w:color w:val="auto"/>
                <w:sz w:val="22"/>
                <w:szCs w:val="22"/>
                <w:highlight w:val="none"/>
              </w:rPr>
            </w:pPr>
          </w:p>
        </w:tc>
        <w:tc>
          <w:tcPr>
            <w:tcW w:w="1692" w:type="dxa"/>
            <w:vAlign w:val="center"/>
          </w:tcPr>
          <w:p w14:paraId="789EB77D">
            <w:pPr>
              <w:spacing w:line="360" w:lineRule="auto"/>
              <w:jc w:val="center"/>
              <w:rPr>
                <w:rFonts w:ascii="新宋体" w:hAnsi="新宋体" w:eastAsia="新宋体"/>
                <w:b/>
                <w:bCs/>
                <w:color w:val="auto"/>
                <w:sz w:val="22"/>
                <w:szCs w:val="22"/>
                <w:highlight w:val="none"/>
              </w:rPr>
            </w:pPr>
          </w:p>
        </w:tc>
        <w:tc>
          <w:tcPr>
            <w:tcW w:w="2880" w:type="dxa"/>
            <w:vAlign w:val="center"/>
          </w:tcPr>
          <w:p w14:paraId="4C0893FC">
            <w:pPr>
              <w:spacing w:line="360" w:lineRule="auto"/>
              <w:jc w:val="center"/>
              <w:rPr>
                <w:rFonts w:ascii="新宋体" w:hAnsi="新宋体" w:eastAsia="新宋体"/>
                <w:b/>
                <w:bCs/>
                <w:color w:val="auto"/>
                <w:sz w:val="22"/>
                <w:szCs w:val="22"/>
                <w:highlight w:val="none"/>
              </w:rPr>
            </w:pPr>
          </w:p>
        </w:tc>
        <w:tc>
          <w:tcPr>
            <w:tcW w:w="1661" w:type="dxa"/>
            <w:vAlign w:val="center"/>
          </w:tcPr>
          <w:p w14:paraId="4EDB9CC3">
            <w:pPr>
              <w:spacing w:line="360" w:lineRule="auto"/>
              <w:jc w:val="center"/>
              <w:rPr>
                <w:rFonts w:ascii="新宋体" w:hAnsi="新宋体" w:eastAsia="新宋体"/>
                <w:b/>
                <w:bCs/>
                <w:color w:val="auto"/>
                <w:sz w:val="22"/>
                <w:szCs w:val="22"/>
                <w:highlight w:val="none"/>
              </w:rPr>
            </w:pPr>
          </w:p>
        </w:tc>
        <w:tc>
          <w:tcPr>
            <w:tcW w:w="1260" w:type="dxa"/>
            <w:vAlign w:val="center"/>
          </w:tcPr>
          <w:p w14:paraId="366C3602">
            <w:pPr>
              <w:spacing w:line="360" w:lineRule="auto"/>
              <w:jc w:val="center"/>
              <w:rPr>
                <w:rFonts w:ascii="新宋体" w:hAnsi="新宋体" w:eastAsia="新宋体"/>
                <w:b/>
                <w:bCs/>
                <w:color w:val="auto"/>
                <w:sz w:val="22"/>
                <w:szCs w:val="22"/>
                <w:highlight w:val="none"/>
              </w:rPr>
            </w:pPr>
          </w:p>
        </w:tc>
        <w:tc>
          <w:tcPr>
            <w:tcW w:w="1219" w:type="dxa"/>
          </w:tcPr>
          <w:p w14:paraId="0AA88B3A">
            <w:pPr>
              <w:rPr>
                <w:rFonts w:ascii="新宋体" w:hAnsi="新宋体" w:eastAsia="新宋体"/>
                <w:color w:val="auto"/>
                <w:sz w:val="22"/>
                <w:szCs w:val="22"/>
                <w:highlight w:val="none"/>
              </w:rPr>
            </w:pPr>
          </w:p>
        </w:tc>
      </w:tr>
      <w:tr w14:paraId="78C59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vAlign w:val="center"/>
          </w:tcPr>
          <w:p w14:paraId="0FD93007">
            <w:pPr>
              <w:spacing w:line="360" w:lineRule="auto"/>
              <w:jc w:val="center"/>
              <w:rPr>
                <w:rFonts w:ascii="新宋体" w:hAnsi="新宋体" w:eastAsia="新宋体"/>
                <w:color w:val="auto"/>
                <w:sz w:val="22"/>
                <w:szCs w:val="22"/>
                <w:highlight w:val="none"/>
              </w:rPr>
            </w:pPr>
          </w:p>
        </w:tc>
        <w:tc>
          <w:tcPr>
            <w:tcW w:w="1692" w:type="dxa"/>
            <w:vAlign w:val="center"/>
          </w:tcPr>
          <w:p w14:paraId="477C1D87">
            <w:pPr>
              <w:spacing w:line="360" w:lineRule="auto"/>
              <w:jc w:val="center"/>
              <w:rPr>
                <w:rFonts w:ascii="新宋体" w:hAnsi="新宋体" w:eastAsia="新宋体"/>
                <w:b/>
                <w:bCs/>
                <w:color w:val="auto"/>
                <w:sz w:val="22"/>
                <w:szCs w:val="22"/>
                <w:highlight w:val="none"/>
              </w:rPr>
            </w:pPr>
          </w:p>
        </w:tc>
        <w:tc>
          <w:tcPr>
            <w:tcW w:w="2880" w:type="dxa"/>
            <w:vAlign w:val="center"/>
          </w:tcPr>
          <w:p w14:paraId="3CCE9804">
            <w:pPr>
              <w:spacing w:line="360" w:lineRule="auto"/>
              <w:jc w:val="center"/>
              <w:rPr>
                <w:rFonts w:ascii="新宋体" w:hAnsi="新宋体" w:eastAsia="新宋体"/>
                <w:b/>
                <w:bCs/>
                <w:color w:val="auto"/>
                <w:sz w:val="22"/>
                <w:szCs w:val="22"/>
                <w:highlight w:val="none"/>
              </w:rPr>
            </w:pPr>
          </w:p>
        </w:tc>
        <w:tc>
          <w:tcPr>
            <w:tcW w:w="1661" w:type="dxa"/>
            <w:vAlign w:val="center"/>
          </w:tcPr>
          <w:p w14:paraId="257E9F66">
            <w:pPr>
              <w:spacing w:line="360" w:lineRule="auto"/>
              <w:jc w:val="center"/>
              <w:rPr>
                <w:rFonts w:ascii="新宋体" w:hAnsi="新宋体" w:eastAsia="新宋体"/>
                <w:b/>
                <w:bCs/>
                <w:color w:val="auto"/>
                <w:sz w:val="22"/>
                <w:szCs w:val="22"/>
                <w:highlight w:val="none"/>
              </w:rPr>
            </w:pPr>
          </w:p>
        </w:tc>
        <w:tc>
          <w:tcPr>
            <w:tcW w:w="1260" w:type="dxa"/>
            <w:vAlign w:val="center"/>
          </w:tcPr>
          <w:p w14:paraId="7A407B6D">
            <w:pPr>
              <w:spacing w:line="360" w:lineRule="auto"/>
              <w:jc w:val="center"/>
              <w:rPr>
                <w:rFonts w:ascii="新宋体" w:hAnsi="新宋体" w:eastAsia="新宋体"/>
                <w:b/>
                <w:bCs/>
                <w:color w:val="auto"/>
                <w:sz w:val="22"/>
                <w:szCs w:val="22"/>
                <w:highlight w:val="none"/>
              </w:rPr>
            </w:pPr>
          </w:p>
        </w:tc>
        <w:tc>
          <w:tcPr>
            <w:tcW w:w="1219" w:type="dxa"/>
          </w:tcPr>
          <w:p w14:paraId="13FB738C">
            <w:pPr>
              <w:rPr>
                <w:rFonts w:ascii="新宋体" w:hAnsi="新宋体" w:eastAsia="新宋体"/>
                <w:color w:val="auto"/>
                <w:sz w:val="22"/>
                <w:szCs w:val="22"/>
                <w:highlight w:val="none"/>
              </w:rPr>
            </w:pPr>
          </w:p>
        </w:tc>
      </w:tr>
      <w:tr w14:paraId="7D392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vAlign w:val="center"/>
          </w:tcPr>
          <w:p w14:paraId="11A68CA4">
            <w:pPr>
              <w:spacing w:line="360" w:lineRule="auto"/>
              <w:jc w:val="center"/>
              <w:rPr>
                <w:rFonts w:ascii="新宋体" w:hAnsi="新宋体" w:eastAsia="新宋体"/>
                <w:color w:val="auto"/>
                <w:sz w:val="22"/>
                <w:szCs w:val="22"/>
                <w:highlight w:val="none"/>
              </w:rPr>
            </w:pPr>
          </w:p>
        </w:tc>
        <w:tc>
          <w:tcPr>
            <w:tcW w:w="1692" w:type="dxa"/>
            <w:vAlign w:val="center"/>
          </w:tcPr>
          <w:p w14:paraId="3C2B10AD">
            <w:pPr>
              <w:spacing w:line="360" w:lineRule="auto"/>
              <w:jc w:val="center"/>
              <w:rPr>
                <w:rFonts w:ascii="新宋体" w:hAnsi="新宋体" w:eastAsia="新宋体"/>
                <w:b/>
                <w:bCs/>
                <w:color w:val="auto"/>
                <w:sz w:val="22"/>
                <w:szCs w:val="22"/>
                <w:highlight w:val="none"/>
              </w:rPr>
            </w:pPr>
          </w:p>
        </w:tc>
        <w:tc>
          <w:tcPr>
            <w:tcW w:w="2880" w:type="dxa"/>
            <w:vAlign w:val="center"/>
          </w:tcPr>
          <w:p w14:paraId="5DDC2D85">
            <w:pPr>
              <w:spacing w:line="360" w:lineRule="auto"/>
              <w:jc w:val="center"/>
              <w:rPr>
                <w:rFonts w:ascii="新宋体" w:hAnsi="新宋体" w:eastAsia="新宋体"/>
                <w:b/>
                <w:bCs/>
                <w:color w:val="auto"/>
                <w:sz w:val="22"/>
                <w:szCs w:val="22"/>
                <w:highlight w:val="none"/>
              </w:rPr>
            </w:pPr>
          </w:p>
        </w:tc>
        <w:tc>
          <w:tcPr>
            <w:tcW w:w="1661" w:type="dxa"/>
            <w:vAlign w:val="center"/>
          </w:tcPr>
          <w:p w14:paraId="59C4DFDC">
            <w:pPr>
              <w:spacing w:line="360" w:lineRule="auto"/>
              <w:jc w:val="center"/>
              <w:rPr>
                <w:rFonts w:ascii="新宋体" w:hAnsi="新宋体" w:eastAsia="新宋体"/>
                <w:b/>
                <w:bCs/>
                <w:color w:val="auto"/>
                <w:sz w:val="22"/>
                <w:szCs w:val="22"/>
                <w:highlight w:val="none"/>
              </w:rPr>
            </w:pPr>
          </w:p>
        </w:tc>
        <w:tc>
          <w:tcPr>
            <w:tcW w:w="1260" w:type="dxa"/>
            <w:vAlign w:val="center"/>
          </w:tcPr>
          <w:p w14:paraId="54BBBFA6">
            <w:pPr>
              <w:spacing w:line="360" w:lineRule="auto"/>
              <w:jc w:val="center"/>
              <w:rPr>
                <w:rFonts w:ascii="新宋体" w:hAnsi="新宋体" w:eastAsia="新宋体"/>
                <w:b/>
                <w:bCs/>
                <w:color w:val="auto"/>
                <w:sz w:val="22"/>
                <w:szCs w:val="22"/>
                <w:highlight w:val="none"/>
              </w:rPr>
            </w:pPr>
          </w:p>
        </w:tc>
        <w:tc>
          <w:tcPr>
            <w:tcW w:w="1219" w:type="dxa"/>
          </w:tcPr>
          <w:p w14:paraId="03D86BEB">
            <w:pPr>
              <w:rPr>
                <w:rFonts w:ascii="新宋体" w:hAnsi="新宋体" w:eastAsia="新宋体"/>
                <w:color w:val="auto"/>
                <w:sz w:val="22"/>
                <w:szCs w:val="22"/>
                <w:highlight w:val="none"/>
              </w:rPr>
            </w:pPr>
          </w:p>
        </w:tc>
      </w:tr>
      <w:tr w14:paraId="414F8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vAlign w:val="center"/>
          </w:tcPr>
          <w:p w14:paraId="3815456B">
            <w:pPr>
              <w:spacing w:line="360" w:lineRule="auto"/>
              <w:jc w:val="center"/>
              <w:rPr>
                <w:rFonts w:ascii="新宋体" w:hAnsi="新宋体" w:eastAsia="新宋体"/>
                <w:color w:val="auto"/>
                <w:sz w:val="22"/>
                <w:szCs w:val="22"/>
                <w:highlight w:val="none"/>
              </w:rPr>
            </w:pPr>
          </w:p>
        </w:tc>
        <w:tc>
          <w:tcPr>
            <w:tcW w:w="1692" w:type="dxa"/>
            <w:vAlign w:val="center"/>
          </w:tcPr>
          <w:p w14:paraId="63603C9F">
            <w:pPr>
              <w:spacing w:line="360" w:lineRule="auto"/>
              <w:jc w:val="center"/>
              <w:rPr>
                <w:rFonts w:ascii="新宋体" w:hAnsi="新宋体" w:eastAsia="新宋体"/>
                <w:b/>
                <w:bCs/>
                <w:color w:val="auto"/>
                <w:sz w:val="22"/>
                <w:szCs w:val="22"/>
                <w:highlight w:val="none"/>
              </w:rPr>
            </w:pPr>
          </w:p>
        </w:tc>
        <w:tc>
          <w:tcPr>
            <w:tcW w:w="2880" w:type="dxa"/>
            <w:vAlign w:val="center"/>
          </w:tcPr>
          <w:p w14:paraId="22AB08DD">
            <w:pPr>
              <w:spacing w:line="360" w:lineRule="auto"/>
              <w:jc w:val="center"/>
              <w:rPr>
                <w:rFonts w:ascii="新宋体" w:hAnsi="新宋体" w:eastAsia="新宋体"/>
                <w:b/>
                <w:bCs/>
                <w:color w:val="auto"/>
                <w:sz w:val="22"/>
                <w:szCs w:val="22"/>
                <w:highlight w:val="none"/>
              </w:rPr>
            </w:pPr>
          </w:p>
        </w:tc>
        <w:tc>
          <w:tcPr>
            <w:tcW w:w="1661" w:type="dxa"/>
            <w:vAlign w:val="center"/>
          </w:tcPr>
          <w:p w14:paraId="51D913FC">
            <w:pPr>
              <w:spacing w:line="360" w:lineRule="auto"/>
              <w:jc w:val="center"/>
              <w:rPr>
                <w:rFonts w:ascii="新宋体" w:hAnsi="新宋体" w:eastAsia="新宋体"/>
                <w:b/>
                <w:bCs/>
                <w:color w:val="auto"/>
                <w:sz w:val="22"/>
                <w:szCs w:val="22"/>
                <w:highlight w:val="none"/>
              </w:rPr>
            </w:pPr>
          </w:p>
        </w:tc>
        <w:tc>
          <w:tcPr>
            <w:tcW w:w="1260" w:type="dxa"/>
            <w:vAlign w:val="center"/>
          </w:tcPr>
          <w:p w14:paraId="67BD61B6">
            <w:pPr>
              <w:spacing w:line="360" w:lineRule="auto"/>
              <w:jc w:val="center"/>
              <w:rPr>
                <w:rFonts w:ascii="新宋体" w:hAnsi="新宋体" w:eastAsia="新宋体"/>
                <w:b/>
                <w:bCs/>
                <w:color w:val="auto"/>
                <w:sz w:val="22"/>
                <w:szCs w:val="22"/>
                <w:highlight w:val="none"/>
              </w:rPr>
            </w:pPr>
          </w:p>
        </w:tc>
        <w:tc>
          <w:tcPr>
            <w:tcW w:w="1219" w:type="dxa"/>
          </w:tcPr>
          <w:p w14:paraId="7944CDAD">
            <w:pPr>
              <w:rPr>
                <w:rFonts w:ascii="新宋体" w:hAnsi="新宋体" w:eastAsia="新宋体"/>
                <w:color w:val="auto"/>
                <w:sz w:val="22"/>
                <w:szCs w:val="22"/>
                <w:highlight w:val="none"/>
              </w:rPr>
            </w:pPr>
          </w:p>
        </w:tc>
      </w:tr>
      <w:tr w14:paraId="0E631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vAlign w:val="center"/>
          </w:tcPr>
          <w:p w14:paraId="3A46CFCF">
            <w:pPr>
              <w:spacing w:line="360" w:lineRule="auto"/>
              <w:jc w:val="center"/>
              <w:rPr>
                <w:rFonts w:ascii="新宋体" w:hAnsi="新宋体" w:eastAsia="新宋体"/>
                <w:color w:val="auto"/>
                <w:sz w:val="22"/>
                <w:szCs w:val="22"/>
                <w:highlight w:val="none"/>
              </w:rPr>
            </w:pPr>
          </w:p>
        </w:tc>
        <w:tc>
          <w:tcPr>
            <w:tcW w:w="1692" w:type="dxa"/>
            <w:vAlign w:val="center"/>
          </w:tcPr>
          <w:p w14:paraId="7829BEF5">
            <w:pPr>
              <w:spacing w:line="360" w:lineRule="auto"/>
              <w:jc w:val="center"/>
              <w:rPr>
                <w:rFonts w:ascii="新宋体" w:hAnsi="新宋体" w:eastAsia="新宋体"/>
                <w:b/>
                <w:bCs/>
                <w:color w:val="auto"/>
                <w:sz w:val="22"/>
                <w:szCs w:val="22"/>
                <w:highlight w:val="none"/>
              </w:rPr>
            </w:pPr>
          </w:p>
        </w:tc>
        <w:tc>
          <w:tcPr>
            <w:tcW w:w="2880" w:type="dxa"/>
            <w:vAlign w:val="center"/>
          </w:tcPr>
          <w:p w14:paraId="1F462034">
            <w:pPr>
              <w:spacing w:line="360" w:lineRule="auto"/>
              <w:jc w:val="center"/>
              <w:rPr>
                <w:rFonts w:ascii="新宋体" w:hAnsi="新宋体" w:eastAsia="新宋体"/>
                <w:b/>
                <w:bCs/>
                <w:color w:val="auto"/>
                <w:sz w:val="22"/>
                <w:szCs w:val="22"/>
                <w:highlight w:val="none"/>
              </w:rPr>
            </w:pPr>
          </w:p>
        </w:tc>
        <w:tc>
          <w:tcPr>
            <w:tcW w:w="1661" w:type="dxa"/>
            <w:vAlign w:val="center"/>
          </w:tcPr>
          <w:p w14:paraId="68630069">
            <w:pPr>
              <w:spacing w:line="360" w:lineRule="auto"/>
              <w:jc w:val="center"/>
              <w:rPr>
                <w:rFonts w:ascii="新宋体" w:hAnsi="新宋体" w:eastAsia="新宋体"/>
                <w:b/>
                <w:bCs/>
                <w:color w:val="auto"/>
                <w:sz w:val="22"/>
                <w:szCs w:val="22"/>
                <w:highlight w:val="none"/>
              </w:rPr>
            </w:pPr>
          </w:p>
        </w:tc>
        <w:tc>
          <w:tcPr>
            <w:tcW w:w="1260" w:type="dxa"/>
            <w:vAlign w:val="center"/>
          </w:tcPr>
          <w:p w14:paraId="517B06E3">
            <w:pPr>
              <w:spacing w:line="360" w:lineRule="auto"/>
              <w:jc w:val="center"/>
              <w:rPr>
                <w:rFonts w:ascii="新宋体" w:hAnsi="新宋体" w:eastAsia="新宋体"/>
                <w:b/>
                <w:bCs/>
                <w:color w:val="auto"/>
                <w:sz w:val="22"/>
                <w:szCs w:val="22"/>
                <w:highlight w:val="none"/>
              </w:rPr>
            </w:pPr>
          </w:p>
        </w:tc>
        <w:tc>
          <w:tcPr>
            <w:tcW w:w="1219" w:type="dxa"/>
          </w:tcPr>
          <w:p w14:paraId="4F02A599">
            <w:pPr>
              <w:rPr>
                <w:rFonts w:ascii="新宋体" w:hAnsi="新宋体" w:eastAsia="新宋体"/>
                <w:color w:val="auto"/>
                <w:sz w:val="22"/>
                <w:szCs w:val="22"/>
                <w:highlight w:val="none"/>
              </w:rPr>
            </w:pPr>
          </w:p>
        </w:tc>
      </w:tr>
      <w:tr w14:paraId="6DF4A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vAlign w:val="center"/>
          </w:tcPr>
          <w:p w14:paraId="54A72CBB">
            <w:pPr>
              <w:spacing w:line="360" w:lineRule="auto"/>
              <w:jc w:val="center"/>
              <w:rPr>
                <w:rFonts w:ascii="新宋体" w:hAnsi="新宋体" w:eastAsia="新宋体"/>
                <w:color w:val="auto"/>
                <w:sz w:val="22"/>
                <w:szCs w:val="22"/>
                <w:highlight w:val="none"/>
              </w:rPr>
            </w:pPr>
          </w:p>
        </w:tc>
        <w:tc>
          <w:tcPr>
            <w:tcW w:w="1692" w:type="dxa"/>
            <w:vAlign w:val="center"/>
          </w:tcPr>
          <w:p w14:paraId="7BE9A992">
            <w:pPr>
              <w:spacing w:line="360" w:lineRule="auto"/>
              <w:jc w:val="center"/>
              <w:rPr>
                <w:rFonts w:ascii="新宋体" w:hAnsi="新宋体" w:eastAsia="新宋体"/>
                <w:color w:val="auto"/>
                <w:sz w:val="22"/>
                <w:szCs w:val="22"/>
                <w:highlight w:val="none"/>
              </w:rPr>
            </w:pPr>
          </w:p>
        </w:tc>
        <w:tc>
          <w:tcPr>
            <w:tcW w:w="2880" w:type="dxa"/>
            <w:vAlign w:val="center"/>
          </w:tcPr>
          <w:p w14:paraId="5B6A39DF">
            <w:pPr>
              <w:spacing w:line="360" w:lineRule="auto"/>
              <w:jc w:val="center"/>
              <w:rPr>
                <w:rFonts w:ascii="新宋体" w:hAnsi="新宋体" w:eastAsia="新宋体"/>
                <w:b/>
                <w:bCs/>
                <w:color w:val="auto"/>
                <w:sz w:val="22"/>
                <w:szCs w:val="22"/>
                <w:highlight w:val="none"/>
              </w:rPr>
            </w:pPr>
          </w:p>
        </w:tc>
        <w:tc>
          <w:tcPr>
            <w:tcW w:w="1661" w:type="dxa"/>
            <w:vAlign w:val="center"/>
          </w:tcPr>
          <w:p w14:paraId="72077E9E">
            <w:pPr>
              <w:spacing w:line="360" w:lineRule="auto"/>
              <w:jc w:val="center"/>
              <w:rPr>
                <w:rFonts w:ascii="新宋体" w:hAnsi="新宋体" w:eastAsia="新宋体"/>
                <w:b/>
                <w:bCs/>
                <w:color w:val="auto"/>
                <w:sz w:val="22"/>
                <w:szCs w:val="22"/>
                <w:highlight w:val="none"/>
              </w:rPr>
            </w:pPr>
          </w:p>
        </w:tc>
        <w:tc>
          <w:tcPr>
            <w:tcW w:w="1260" w:type="dxa"/>
            <w:vAlign w:val="center"/>
          </w:tcPr>
          <w:p w14:paraId="18B65A00">
            <w:pPr>
              <w:spacing w:line="360" w:lineRule="auto"/>
              <w:jc w:val="center"/>
              <w:rPr>
                <w:rFonts w:ascii="新宋体" w:hAnsi="新宋体" w:eastAsia="新宋体"/>
                <w:b/>
                <w:bCs/>
                <w:color w:val="auto"/>
                <w:sz w:val="22"/>
                <w:szCs w:val="22"/>
                <w:highlight w:val="none"/>
              </w:rPr>
            </w:pPr>
          </w:p>
        </w:tc>
        <w:tc>
          <w:tcPr>
            <w:tcW w:w="1219" w:type="dxa"/>
          </w:tcPr>
          <w:p w14:paraId="44C65AC9">
            <w:pPr>
              <w:rPr>
                <w:rFonts w:ascii="新宋体" w:hAnsi="新宋体" w:eastAsia="新宋体"/>
                <w:color w:val="auto"/>
                <w:sz w:val="22"/>
                <w:szCs w:val="22"/>
                <w:highlight w:val="none"/>
              </w:rPr>
            </w:pPr>
          </w:p>
        </w:tc>
      </w:tr>
      <w:tr w14:paraId="72AD2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vAlign w:val="center"/>
          </w:tcPr>
          <w:p w14:paraId="24987640">
            <w:pPr>
              <w:spacing w:line="360" w:lineRule="auto"/>
              <w:jc w:val="center"/>
              <w:rPr>
                <w:rFonts w:ascii="新宋体" w:hAnsi="新宋体" w:eastAsia="新宋体"/>
                <w:color w:val="auto"/>
                <w:sz w:val="22"/>
                <w:szCs w:val="22"/>
                <w:highlight w:val="none"/>
              </w:rPr>
            </w:pPr>
          </w:p>
        </w:tc>
        <w:tc>
          <w:tcPr>
            <w:tcW w:w="1692" w:type="dxa"/>
            <w:vAlign w:val="center"/>
          </w:tcPr>
          <w:p w14:paraId="616350AF">
            <w:pPr>
              <w:spacing w:line="360" w:lineRule="auto"/>
              <w:jc w:val="center"/>
              <w:rPr>
                <w:rFonts w:ascii="新宋体" w:hAnsi="新宋体" w:eastAsia="新宋体"/>
                <w:b/>
                <w:bCs/>
                <w:color w:val="auto"/>
                <w:sz w:val="22"/>
                <w:szCs w:val="22"/>
                <w:highlight w:val="none"/>
              </w:rPr>
            </w:pPr>
          </w:p>
        </w:tc>
        <w:tc>
          <w:tcPr>
            <w:tcW w:w="2880" w:type="dxa"/>
            <w:vAlign w:val="center"/>
          </w:tcPr>
          <w:p w14:paraId="77489C2F">
            <w:pPr>
              <w:spacing w:line="360" w:lineRule="auto"/>
              <w:jc w:val="center"/>
              <w:rPr>
                <w:rFonts w:ascii="新宋体" w:hAnsi="新宋体" w:eastAsia="新宋体"/>
                <w:color w:val="auto"/>
                <w:sz w:val="22"/>
                <w:szCs w:val="22"/>
                <w:highlight w:val="none"/>
              </w:rPr>
            </w:pPr>
          </w:p>
        </w:tc>
        <w:tc>
          <w:tcPr>
            <w:tcW w:w="1661" w:type="dxa"/>
            <w:vAlign w:val="center"/>
          </w:tcPr>
          <w:p w14:paraId="50326467">
            <w:pPr>
              <w:spacing w:line="360" w:lineRule="auto"/>
              <w:jc w:val="center"/>
              <w:rPr>
                <w:rFonts w:ascii="新宋体" w:hAnsi="新宋体" w:eastAsia="新宋体"/>
                <w:b/>
                <w:bCs/>
                <w:color w:val="auto"/>
                <w:sz w:val="22"/>
                <w:szCs w:val="22"/>
                <w:highlight w:val="none"/>
              </w:rPr>
            </w:pPr>
          </w:p>
        </w:tc>
        <w:tc>
          <w:tcPr>
            <w:tcW w:w="1260" w:type="dxa"/>
            <w:vAlign w:val="center"/>
          </w:tcPr>
          <w:p w14:paraId="7261E547">
            <w:pPr>
              <w:spacing w:line="360" w:lineRule="auto"/>
              <w:jc w:val="center"/>
              <w:rPr>
                <w:rFonts w:ascii="新宋体" w:hAnsi="新宋体" w:eastAsia="新宋体"/>
                <w:b/>
                <w:bCs/>
                <w:color w:val="auto"/>
                <w:sz w:val="22"/>
                <w:szCs w:val="22"/>
                <w:highlight w:val="none"/>
              </w:rPr>
            </w:pPr>
          </w:p>
        </w:tc>
        <w:tc>
          <w:tcPr>
            <w:tcW w:w="1219" w:type="dxa"/>
          </w:tcPr>
          <w:p w14:paraId="2EA73E58">
            <w:pPr>
              <w:rPr>
                <w:rFonts w:ascii="新宋体" w:hAnsi="新宋体" w:eastAsia="新宋体"/>
                <w:color w:val="auto"/>
                <w:sz w:val="22"/>
                <w:szCs w:val="22"/>
                <w:highlight w:val="none"/>
              </w:rPr>
            </w:pPr>
          </w:p>
        </w:tc>
      </w:tr>
      <w:tr w14:paraId="33DE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vAlign w:val="center"/>
          </w:tcPr>
          <w:p w14:paraId="5CE8E63A">
            <w:pPr>
              <w:spacing w:line="360" w:lineRule="auto"/>
              <w:jc w:val="center"/>
              <w:rPr>
                <w:rFonts w:ascii="新宋体" w:hAnsi="新宋体" w:eastAsia="新宋体"/>
                <w:color w:val="auto"/>
                <w:sz w:val="22"/>
                <w:szCs w:val="22"/>
                <w:highlight w:val="none"/>
              </w:rPr>
            </w:pPr>
          </w:p>
        </w:tc>
        <w:tc>
          <w:tcPr>
            <w:tcW w:w="1692" w:type="dxa"/>
            <w:vAlign w:val="center"/>
          </w:tcPr>
          <w:p w14:paraId="16DE451E">
            <w:pPr>
              <w:spacing w:line="360" w:lineRule="auto"/>
              <w:jc w:val="center"/>
              <w:rPr>
                <w:rFonts w:ascii="新宋体" w:hAnsi="新宋体" w:eastAsia="新宋体"/>
                <w:color w:val="auto"/>
                <w:sz w:val="22"/>
                <w:szCs w:val="22"/>
                <w:highlight w:val="none"/>
              </w:rPr>
            </w:pPr>
          </w:p>
        </w:tc>
        <w:tc>
          <w:tcPr>
            <w:tcW w:w="2880" w:type="dxa"/>
          </w:tcPr>
          <w:p w14:paraId="3246D4D9">
            <w:pPr>
              <w:spacing w:line="360" w:lineRule="auto"/>
              <w:rPr>
                <w:rFonts w:ascii="新宋体" w:hAnsi="新宋体" w:eastAsia="新宋体"/>
                <w:b/>
                <w:bCs/>
                <w:color w:val="auto"/>
                <w:sz w:val="22"/>
                <w:szCs w:val="22"/>
                <w:highlight w:val="none"/>
              </w:rPr>
            </w:pPr>
          </w:p>
        </w:tc>
        <w:tc>
          <w:tcPr>
            <w:tcW w:w="1661" w:type="dxa"/>
            <w:vAlign w:val="center"/>
          </w:tcPr>
          <w:p w14:paraId="05853202">
            <w:pPr>
              <w:spacing w:line="360" w:lineRule="auto"/>
              <w:jc w:val="center"/>
              <w:rPr>
                <w:rFonts w:ascii="新宋体" w:hAnsi="新宋体" w:eastAsia="新宋体"/>
                <w:b/>
                <w:bCs/>
                <w:color w:val="auto"/>
                <w:sz w:val="22"/>
                <w:szCs w:val="22"/>
                <w:highlight w:val="none"/>
              </w:rPr>
            </w:pPr>
          </w:p>
        </w:tc>
        <w:tc>
          <w:tcPr>
            <w:tcW w:w="1260" w:type="dxa"/>
            <w:vAlign w:val="center"/>
          </w:tcPr>
          <w:p w14:paraId="1152C907">
            <w:pPr>
              <w:spacing w:line="360" w:lineRule="auto"/>
              <w:jc w:val="center"/>
              <w:rPr>
                <w:rFonts w:ascii="新宋体" w:hAnsi="新宋体" w:eastAsia="新宋体"/>
                <w:b/>
                <w:bCs/>
                <w:color w:val="auto"/>
                <w:sz w:val="22"/>
                <w:szCs w:val="22"/>
                <w:highlight w:val="none"/>
              </w:rPr>
            </w:pPr>
          </w:p>
        </w:tc>
        <w:tc>
          <w:tcPr>
            <w:tcW w:w="1219" w:type="dxa"/>
          </w:tcPr>
          <w:p w14:paraId="3C8FB6FE">
            <w:pPr>
              <w:rPr>
                <w:rFonts w:ascii="新宋体" w:hAnsi="新宋体" w:eastAsia="新宋体"/>
                <w:color w:val="auto"/>
                <w:sz w:val="22"/>
                <w:szCs w:val="22"/>
                <w:highlight w:val="none"/>
              </w:rPr>
            </w:pPr>
          </w:p>
        </w:tc>
      </w:tr>
      <w:tr w14:paraId="3240D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vAlign w:val="center"/>
          </w:tcPr>
          <w:p w14:paraId="6A38B178">
            <w:pPr>
              <w:spacing w:line="360" w:lineRule="auto"/>
              <w:jc w:val="center"/>
              <w:rPr>
                <w:rFonts w:ascii="新宋体" w:hAnsi="新宋体" w:eastAsia="新宋体"/>
                <w:color w:val="auto"/>
                <w:sz w:val="22"/>
                <w:szCs w:val="22"/>
                <w:highlight w:val="none"/>
              </w:rPr>
            </w:pPr>
          </w:p>
        </w:tc>
        <w:tc>
          <w:tcPr>
            <w:tcW w:w="1692" w:type="dxa"/>
            <w:vAlign w:val="center"/>
          </w:tcPr>
          <w:p w14:paraId="02FCB5ED">
            <w:pPr>
              <w:spacing w:line="360" w:lineRule="auto"/>
              <w:jc w:val="center"/>
              <w:rPr>
                <w:rFonts w:ascii="新宋体" w:hAnsi="新宋体" w:eastAsia="新宋体"/>
                <w:b/>
                <w:bCs/>
                <w:color w:val="auto"/>
                <w:sz w:val="22"/>
                <w:szCs w:val="22"/>
                <w:highlight w:val="none"/>
              </w:rPr>
            </w:pPr>
          </w:p>
        </w:tc>
        <w:tc>
          <w:tcPr>
            <w:tcW w:w="2880" w:type="dxa"/>
          </w:tcPr>
          <w:p w14:paraId="578981A6">
            <w:pPr>
              <w:spacing w:line="360" w:lineRule="auto"/>
              <w:rPr>
                <w:rFonts w:ascii="新宋体" w:hAnsi="新宋体" w:eastAsia="新宋体"/>
                <w:color w:val="auto"/>
                <w:sz w:val="22"/>
                <w:szCs w:val="22"/>
                <w:highlight w:val="none"/>
              </w:rPr>
            </w:pPr>
          </w:p>
        </w:tc>
        <w:tc>
          <w:tcPr>
            <w:tcW w:w="1661" w:type="dxa"/>
            <w:vAlign w:val="center"/>
          </w:tcPr>
          <w:p w14:paraId="701CACDA">
            <w:pPr>
              <w:spacing w:line="360" w:lineRule="auto"/>
              <w:jc w:val="center"/>
              <w:rPr>
                <w:rFonts w:ascii="新宋体" w:hAnsi="新宋体" w:eastAsia="新宋体"/>
                <w:b/>
                <w:bCs/>
                <w:color w:val="auto"/>
                <w:sz w:val="22"/>
                <w:szCs w:val="22"/>
                <w:highlight w:val="none"/>
              </w:rPr>
            </w:pPr>
          </w:p>
        </w:tc>
        <w:tc>
          <w:tcPr>
            <w:tcW w:w="1260" w:type="dxa"/>
            <w:vAlign w:val="center"/>
          </w:tcPr>
          <w:p w14:paraId="00B3DF36">
            <w:pPr>
              <w:spacing w:line="360" w:lineRule="auto"/>
              <w:jc w:val="center"/>
              <w:rPr>
                <w:rFonts w:ascii="新宋体" w:hAnsi="新宋体" w:eastAsia="新宋体"/>
                <w:b/>
                <w:bCs/>
                <w:color w:val="auto"/>
                <w:sz w:val="22"/>
                <w:szCs w:val="22"/>
                <w:highlight w:val="none"/>
              </w:rPr>
            </w:pPr>
          </w:p>
        </w:tc>
        <w:tc>
          <w:tcPr>
            <w:tcW w:w="1219" w:type="dxa"/>
          </w:tcPr>
          <w:p w14:paraId="0DD6EB60">
            <w:pPr>
              <w:rPr>
                <w:rFonts w:ascii="新宋体" w:hAnsi="新宋体" w:eastAsia="新宋体"/>
                <w:color w:val="auto"/>
                <w:sz w:val="22"/>
                <w:szCs w:val="22"/>
                <w:highlight w:val="none"/>
              </w:rPr>
            </w:pPr>
          </w:p>
        </w:tc>
      </w:tr>
      <w:tr w14:paraId="58D85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vAlign w:val="center"/>
          </w:tcPr>
          <w:p w14:paraId="02B8854F">
            <w:pPr>
              <w:spacing w:line="360" w:lineRule="auto"/>
              <w:jc w:val="center"/>
              <w:rPr>
                <w:rFonts w:ascii="新宋体" w:hAnsi="新宋体" w:eastAsia="新宋体"/>
                <w:color w:val="auto"/>
                <w:sz w:val="22"/>
                <w:szCs w:val="22"/>
                <w:highlight w:val="none"/>
              </w:rPr>
            </w:pPr>
          </w:p>
        </w:tc>
        <w:tc>
          <w:tcPr>
            <w:tcW w:w="1692" w:type="dxa"/>
            <w:vAlign w:val="center"/>
          </w:tcPr>
          <w:p w14:paraId="55EF8AAA">
            <w:pPr>
              <w:spacing w:line="360" w:lineRule="auto"/>
              <w:jc w:val="center"/>
              <w:rPr>
                <w:rFonts w:ascii="新宋体" w:hAnsi="新宋体" w:eastAsia="新宋体"/>
                <w:color w:val="auto"/>
                <w:sz w:val="22"/>
                <w:szCs w:val="22"/>
                <w:highlight w:val="none"/>
              </w:rPr>
            </w:pPr>
          </w:p>
        </w:tc>
        <w:tc>
          <w:tcPr>
            <w:tcW w:w="2880" w:type="dxa"/>
          </w:tcPr>
          <w:p w14:paraId="063DD98F">
            <w:pPr>
              <w:spacing w:line="360" w:lineRule="auto"/>
              <w:rPr>
                <w:rFonts w:ascii="新宋体" w:hAnsi="新宋体" w:eastAsia="新宋体"/>
                <w:color w:val="auto"/>
                <w:sz w:val="22"/>
                <w:szCs w:val="22"/>
                <w:highlight w:val="none"/>
              </w:rPr>
            </w:pPr>
          </w:p>
        </w:tc>
        <w:tc>
          <w:tcPr>
            <w:tcW w:w="1661" w:type="dxa"/>
            <w:vAlign w:val="center"/>
          </w:tcPr>
          <w:p w14:paraId="3B51A611">
            <w:pPr>
              <w:spacing w:line="360" w:lineRule="auto"/>
              <w:jc w:val="center"/>
              <w:rPr>
                <w:rFonts w:ascii="新宋体" w:hAnsi="新宋体" w:eastAsia="新宋体"/>
                <w:b/>
                <w:bCs/>
                <w:color w:val="auto"/>
                <w:sz w:val="22"/>
                <w:szCs w:val="22"/>
                <w:highlight w:val="none"/>
              </w:rPr>
            </w:pPr>
          </w:p>
        </w:tc>
        <w:tc>
          <w:tcPr>
            <w:tcW w:w="1260" w:type="dxa"/>
            <w:vAlign w:val="center"/>
          </w:tcPr>
          <w:p w14:paraId="520F6ED4">
            <w:pPr>
              <w:spacing w:line="360" w:lineRule="auto"/>
              <w:jc w:val="center"/>
              <w:rPr>
                <w:rFonts w:ascii="新宋体" w:hAnsi="新宋体" w:eastAsia="新宋体"/>
                <w:b/>
                <w:bCs/>
                <w:color w:val="auto"/>
                <w:sz w:val="22"/>
                <w:szCs w:val="22"/>
                <w:highlight w:val="none"/>
              </w:rPr>
            </w:pPr>
          </w:p>
        </w:tc>
        <w:tc>
          <w:tcPr>
            <w:tcW w:w="1219" w:type="dxa"/>
          </w:tcPr>
          <w:p w14:paraId="5CEC7B5A">
            <w:pPr>
              <w:rPr>
                <w:rFonts w:ascii="新宋体" w:hAnsi="新宋体" w:eastAsia="新宋体"/>
                <w:color w:val="auto"/>
                <w:sz w:val="22"/>
                <w:szCs w:val="22"/>
                <w:highlight w:val="none"/>
              </w:rPr>
            </w:pPr>
          </w:p>
        </w:tc>
      </w:tr>
      <w:tr w14:paraId="14BE4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vAlign w:val="center"/>
          </w:tcPr>
          <w:p w14:paraId="6F25C052">
            <w:pPr>
              <w:spacing w:line="360" w:lineRule="auto"/>
              <w:jc w:val="center"/>
              <w:rPr>
                <w:rFonts w:ascii="新宋体" w:hAnsi="新宋体" w:eastAsia="新宋体"/>
                <w:color w:val="auto"/>
                <w:sz w:val="22"/>
                <w:szCs w:val="22"/>
                <w:highlight w:val="none"/>
              </w:rPr>
            </w:pPr>
          </w:p>
        </w:tc>
        <w:tc>
          <w:tcPr>
            <w:tcW w:w="1692" w:type="dxa"/>
            <w:vAlign w:val="center"/>
          </w:tcPr>
          <w:p w14:paraId="0DE90F40">
            <w:pPr>
              <w:spacing w:line="360" w:lineRule="auto"/>
              <w:jc w:val="center"/>
              <w:rPr>
                <w:rFonts w:ascii="新宋体" w:hAnsi="新宋体" w:eastAsia="新宋体"/>
                <w:color w:val="auto"/>
                <w:sz w:val="22"/>
                <w:szCs w:val="22"/>
                <w:highlight w:val="none"/>
              </w:rPr>
            </w:pPr>
          </w:p>
        </w:tc>
        <w:tc>
          <w:tcPr>
            <w:tcW w:w="2880" w:type="dxa"/>
          </w:tcPr>
          <w:p w14:paraId="43253DE1">
            <w:pPr>
              <w:spacing w:line="360" w:lineRule="auto"/>
              <w:rPr>
                <w:rFonts w:ascii="新宋体" w:hAnsi="新宋体" w:eastAsia="新宋体"/>
                <w:color w:val="auto"/>
                <w:sz w:val="22"/>
                <w:szCs w:val="22"/>
                <w:highlight w:val="none"/>
              </w:rPr>
            </w:pPr>
          </w:p>
        </w:tc>
        <w:tc>
          <w:tcPr>
            <w:tcW w:w="1661" w:type="dxa"/>
            <w:vAlign w:val="center"/>
          </w:tcPr>
          <w:p w14:paraId="6B7614A2">
            <w:pPr>
              <w:spacing w:line="360" w:lineRule="auto"/>
              <w:jc w:val="center"/>
              <w:rPr>
                <w:rFonts w:ascii="新宋体" w:hAnsi="新宋体" w:eastAsia="新宋体"/>
                <w:b/>
                <w:bCs/>
                <w:color w:val="auto"/>
                <w:sz w:val="22"/>
                <w:szCs w:val="22"/>
                <w:highlight w:val="none"/>
              </w:rPr>
            </w:pPr>
          </w:p>
        </w:tc>
        <w:tc>
          <w:tcPr>
            <w:tcW w:w="1260" w:type="dxa"/>
            <w:vAlign w:val="center"/>
          </w:tcPr>
          <w:p w14:paraId="3E4161F6">
            <w:pPr>
              <w:spacing w:line="360" w:lineRule="auto"/>
              <w:jc w:val="center"/>
              <w:rPr>
                <w:rFonts w:ascii="新宋体" w:hAnsi="新宋体" w:eastAsia="新宋体"/>
                <w:b/>
                <w:bCs/>
                <w:color w:val="auto"/>
                <w:sz w:val="22"/>
                <w:szCs w:val="22"/>
                <w:highlight w:val="none"/>
              </w:rPr>
            </w:pPr>
          </w:p>
        </w:tc>
        <w:tc>
          <w:tcPr>
            <w:tcW w:w="1219" w:type="dxa"/>
          </w:tcPr>
          <w:p w14:paraId="74F40C9F">
            <w:pPr>
              <w:rPr>
                <w:rFonts w:ascii="新宋体" w:hAnsi="新宋体" w:eastAsia="新宋体"/>
                <w:color w:val="auto"/>
                <w:sz w:val="22"/>
                <w:szCs w:val="22"/>
                <w:highlight w:val="none"/>
              </w:rPr>
            </w:pPr>
          </w:p>
        </w:tc>
      </w:tr>
      <w:tr w14:paraId="05114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vAlign w:val="center"/>
          </w:tcPr>
          <w:p w14:paraId="5F532CD8">
            <w:pPr>
              <w:spacing w:line="360" w:lineRule="auto"/>
              <w:jc w:val="center"/>
              <w:rPr>
                <w:rFonts w:ascii="新宋体" w:hAnsi="新宋体" w:eastAsia="新宋体"/>
                <w:color w:val="auto"/>
                <w:sz w:val="22"/>
                <w:szCs w:val="22"/>
                <w:highlight w:val="none"/>
              </w:rPr>
            </w:pPr>
          </w:p>
        </w:tc>
        <w:tc>
          <w:tcPr>
            <w:tcW w:w="1692" w:type="dxa"/>
            <w:vAlign w:val="center"/>
          </w:tcPr>
          <w:p w14:paraId="73072157">
            <w:pPr>
              <w:spacing w:line="360" w:lineRule="auto"/>
              <w:jc w:val="center"/>
              <w:rPr>
                <w:rFonts w:ascii="新宋体" w:hAnsi="新宋体" w:eastAsia="新宋体"/>
                <w:b/>
                <w:bCs/>
                <w:color w:val="auto"/>
                <w:sz w:val="22"/>
                <w:szCs w:val="22"/>
                <w:highlight w:val="none"/>
              </w:rPr>
            </w:pPr>
          </w:p>
        </w:tc>
        <w:tc>
          <w:tcPr>
            <w:tcW w:w="2880" w:type="dxa"/>
            <w:vAlign w:val="center"/>
          </w:tcPr>
          <w:p w14:paraId="3EAC8016">
            <w:pPr>
              <w:spacing w:line="360" w:lineRule="auto"/>
              <w:jc w:val="center"/>
              <w:rPr>
                <w:rFonts w:ascii="新宋体" w:hAnsi="新宋体" w:eastAsia="新宋体"/>
                <w:b/>
                <w:bCs/>
                <w:color w:val="auto"/>
                <w:sz w:val="22"/>
                <w:szCs w:val="22"/>
                <w:highlight w:val="none"/>
              </w:rPr>
            </w:pPr>
          </w:p>
        </w:tc>
        <w:tc>
          <w:tcPr>
            <w:tcW w:w="1661" w:type="dxa"/>
            <w:vAlign w:val="center"/>
          </w:tcPr>
          <w:p w14:paraId="321C5045">
            <w:pPr>
              <w:spacing w:line="360" w:lineRule="auto"/>
              <w:jc w:val="center"/>
              <w:rPr>
                <w:rFonts w:ascii="新宋体" w:hAnsi="新宋体" w:eastAsia="新宋体"/>
                <w:b/>
                <w:bCs/>
                <w:color w:val="auto"/>
                <w:sz w:val="22"/>
                <w:szCs w:val="22"/>
                <w:highlight w:val="none"/>
              </w:rPr>
            </w:pPr>
          </w:p>
        </w:tc>
        <w:tc>
          <w:tcPr>
            <w:tcW w:w="1260" w:type="dxa"/>
            <w:vAlign w:val="center"/>
          </w:tcPr>
          <w:p w14:paraId="3C6DD50E">
            <w:pPr>
              <w:spacing w:line="360" w:lineRule="auto"/>
              <w:jc w:val="center"/>
              <w:rPr>
                <w:rFonts w:ascii="新宋体" w:hAnsi="新宋体" w:eastAsia="新宋体"/>
                <w:b/>
                <w:bCs/>
                <w:color w:val="auto"/>
                <w:sz w:val="22"/>
                <w:szCs w:val="22"/>
                <w:highlight w:val="none"/>
              </w:rPr>
            </w:pPr>
          </w:p>
        </w:tc>
        <w:tc>
          <w:tcPr>
            <w:tcW w:w="1219" w:type="dxa"/>
          </w:tcPr>
          <w:p w14:paraId="1FF6A0E5">
            <w:pPr>
              <w:rPr>
                <w:rFonts w:ascii="新宋体" w:hAnsi="新宋体" w:eastAsia="新宋体"/>
                <w:color w:val="auto"/>
                <w:sz w:val="22"/>
                <w:szCs w:val="22"/>
                <w:highlight w:val="none"/>
              </w:rPr>
            </w:pPr>
          </w:p>
        </w:tc>
      </w:tr>
      <w:tr w14:paraId="4BD57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vAlign w:val="center"/>
          </w:tcPr>
          <w:p w14:paraId="6D90BA05">
            <w:pPr>
              <w:spacing w:line="360" w:lineRule="auto"/>
              <w:jc w:val="center"/>
              <w:rPr>
                <w:rFonts w:ascii="新宋体" w:hAnsi="新宋体" w:eastAsia="新宋体"/>
                <w:color w:val="auto"/>
                <w:sz w:val="22"/>
                <w:szCs w:val="22"/>
                <w:highlight w:val="none"/>
              </w:rPr>
            </w:pPr>
          </w:p>
        </w:tc>
        <w:tc>
          <w:tcPr>
            <w:tcW w:w="1692" w:type="dxa"/>
            <w:vAlign w:val="center"/>
          </w:tcPr>
          <w:p w14:paraId="5307E701">
            <w:pPr>
              <w:spacing w:line="360" w:lineRule="auto"/>
              <w:rPr>
                <w:rFonts w:ascii="新宋体" w:hAnsi="新宋体" w:eastAsia="新宋体"/>
                <w:b/>
                <w:bCs/>
                <w:color w:val="auto"/>
                <w:sz w:val="22"/>
                <w:szCs w:val="22"/>
                <w:highlight w:val="none"/>
              </w:rPr>
            </w:pPr>
          </w:p>
        </w:tc>
        <w:tc>
          <w:tcPr>
            <w:tcW w:w="2880" w:type="dxa"/>
            <w:vAlign w:val="center"/>
          </w:tcPr>
          <w:p w14:paraId="750DBAC6">
            <w:pPr>
              <w:spacing w:line="360" w:lineRule="auto"/>
              <w:jc w:val="center"/>
              <w:rPr>
                <w:rFonts w:ascii="新宋体" w:hAnsi="新宋体" w:eastAsia="新宋体"/>
                <w:b/>
                <w:bCs/>
                <w:color w:val="auto"/>
                <w:sz w:val="22"/>
                <w:szCs w:val="22"/>
                <w:highlight w:val="none"/>
              </w:rPr>
            </w:pPr>
          </w:p>
        </w:tc>
        <w:tc>
          <w:tcPr>
            <w:tcW w:w="1661" w:type="dxa"/>
            <w:vAlign w:val="center"/>
          </w:tcPr>
          <w:p w14:paraId="6B6F2EAD">
            <w:pPr>
              <w:spacing w:line="360" w:lineRule="auto"/>
              <w:jc w:val="center"/>
              <w:rPr>
                <w:rFonts w:ascii="新宋体" w:hAnsi="新宋体" w:eastAsia="新宋体"/>
                <w:b/>
                <w:bCs/>
                <w:color w:val="auto"/>
                <w:sz w:val="22"/>
                <w:szCs w:val="22"/>
                <w:highlight w:val="none"/>
              </w:rPr>
            </w:pPr>
          </w:p>
        </w:tc>
        <w:tc>
          <w:tcPr>
            <w:tcW w:w="1260" w:type="dxa"/>
            <w:vAlign w:val="center"/>
          </w:tcPr>
          <w:p w14:paraId="739792EB">
            <w:pPr>
              <w:spacing w:line="360" w:lineRule="auto"/>
              <w:jc w:val="center"/>
              <w:rPr>
                <w:rFonts w:ascii="新宋体" w:hAnsi="新宋体" w:eastAsia="新宋体"/>
                <w:b/>
                <w:bCs/>
                <w:color w:val="auto"/>
                <w:sz w:val="22"/>
                <w:szCs w:val="22"/>
                <w:highlight w:val="none"/>
              </w:rPr>
            </w:pPr>
          </w:p>
        </w:tc>
        <w:tc>
          <w:tcPr>
            <w:tcW w:w="1219" w:type="dxa"/>
          </w:tcPr>
          <w:p w14:paraId="0413CF28">
            <w:pPr>
              <w:rPr>
                <w:rFonts w:ascii="新宋体" w:hAnsi="新宋体" w:eastAsia="新宋体"/>
                <w:color w:val="auto"/>
                <w:sz w:val="22"/>
                <w:szCs w:val="22"/>
                <w:highlight w:val="none"/>
              </w:rPr>
            </w:pPr>
          </w:p>
        </w:tc>
      </w:tr>
      <w:tr w14:paraId="7EBFA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vAlign w:val="center"/>
          </w:tcPr>
          <w:p w14:paraId="2334537C">
            <w:pPr>
              <w:spacing w:line="360" w:lineRule="auto"/>
              <w:jc w:val="center"/>
              <w:rPr>
                <w:rFonts w:ascii="新宋体" w:hAnsi="新宋体" w:eastAsia="新宋体"/>
                <w:b/>
                <w:bCs/>
                <w:color w:val="auto"/>
                <w:sz w:val="22"/>
                <w:szCs w:val="22"/>
                <w:highlight w:val="none"/>
              </w:rPr>
            </w:pPr>
          </w:p>
        </w:tc>
        <w:tc>
          <w:tcPr>
            <w:tcW w:w="1692" w:type="dxa"/>
            <w:vAlign w:val="center"/>
          </w:tcPr>
          <w:p w14:paraId="3922400A">
            <w:pPr>
              <w:spacing w:line="360" w:lineRule="auto"/>
              <w:rPr>
                <w:rFonts w:ascii="新宋体" w:hAnsi="新宋体" w:eastAsia="新宋体"/>
                <w:b/>
                <w:bCs/>
                <w:color w:val="auto"/>
                <w:sz w:val="22"/>
                <w:szCs w:val="22"/>
                <w:highlight w:val="none"/>
              </w:rPr>
            </w:pPr>
          </w:p>
        </w:tc>
        <w:tc>
          <w:tcPr>
            <w:tcW w:w="2880" w:type="dxa"/>
            <w:vAlign w:val="center"/>
          </w:tcPr>
          <w:p w14:paraId="66EDB177">
            <w:pPr>
              <w:spacing w:line="360" w:lineRule="auto"/>
              <w:jc w:val="center"/>
              <w:rPr>
                <w:rFonts w:ascii="新宋体" w:hAnsi="新宋体" w:eastAsia="新宋体"/>
                <w:b/>
                <w:bCs/>
                <w:color w:val="auto"/>
                <w:sz w:val="22"/>
                <w:szCs w:val="22"/>
                <w:highlight w:val="none"/>
              </w:rPr>
            </w:pPr>
          </w:p>
        </w:tc>
        <w:tc>
          <w:tcPr>
            <w:tcW w:w="1661" w:type="dxa"/>
            <w:vAlign w:val="center"/>
          </w:tcPr>
          <w:p w14:paraId="32C028F7">
            <w:pPr>
              <w:spacing w:line="360" w:lineRule="auto"/>
              <w:jc w:val="center"/>
              <w:rPr>
                <w:rFonts w:ascii="新宋体" w:hAnsi="新宋体" w:eastAsia="新宋体"/>
                <w:b/>
                <w:bCs/>
                <w:color w:val="auto"/>
                <w:sz w:val="22"/>
                <w:szCs w:val="22"/>
                <w:highlight w:val="none"/>
              </w:rPr>
            </w:pPr>
          </w:p>
        </w:tc>
        <w:tc>
          <w:tcPr>
            <w:tcW w:w="1260" w:type="dxa"/>
            <w:vAlign w:val="center"/>
          </w:tcPr>
          <w:p w14:paraId="22426817">
            <w:pPr>
              <w:spacing w:line="360" w:lineRule="auto"/>
              <w:jc w:val="center"/>
              <w:rPr>
                <w:rFonts w:ascii="新宋体" w:hAnsi="新宋体" w:eastAsia="新宋体"/>
                <w:b/>
                <w:bCs/>
                <w:color w:val="auto"/>
                <w:sz w:val="22"/>
                <w:szCs w:val="22"/>
                <w:highlight w:val="none"/>
              </w:rPr>
            </w:pPr>
          </w:p>
        </w:tc>
        <w:tc>
          <w:tcPr>
            <w:tcW w:w="1219" w:type="dxa"/>
          </w:tcPr>
          <w:p w14:paraId="244E3167">
            <w:pPr>
              <w:rPr>
                <w:rFonts w:ascii="新宋体" w:hAnsi="新宋体" w:eastAsia="新宋体"/>
                <w:color w:val="auto"/>
                <w:sz w:val="22"/>
                <w:szCs w:val="22"/>
                <w:highlight w:val="none"/>
              </w:rPr>
            </w:pPr>
          </w:p>
        </w:tc>
      </w:tr>
      <w:tr w14:paraId="47385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vAlign w:val="center"/>
          </w:tcPr>
          <w:p w14:paraId="3147024A">
            <w:pPr>
              <w:spacing w:line="360" w:lineRule="auto"/>
              <w:jc w:val="center"/>
              <w:rPr>
                <w:rFonts w:ascii="新宋体" w:hAnsi="新宋体" w:eastAsia="新宋体"/>
                <w:bCs/>
                <w:color w:val="auto"/>
                <w:sz w:val="22"/>
                <w:szCs w:val="22"/>
                <w:highlight w:val="none"/>
              </w:rPr>
            </w:pPr>
          </w:p>
        </w:tc>
        <w:tc>
          <w:tcPr>
            <w:tcW w:w="1692" w:type="dxa"/>
            <w:vAlign w:val="center"/>
          </w:tcPr>
          <w:p w14:paraId="5F005CA0">
            <w:pPr>
              <w:spacing w:line="360" w:lineRule="auto"/>
              <w:rPr>
                <w:rFonts w:ascii="新宋体" w:hAnsi="新宋体" w:eastAsia="新宋体"/>
                <w:color w:val="auto"/>
                <w:sz w:val="22"/>
                <w:szCs w:val="22"/>
                <w:highlight w:val="none"/>
              </w:rPr>
            </w:pPr>
          </w:p>
        </w:tc>
        <w:tc>
          <w:tcPr>
            <w:tcW w:w="2880" w:type="dxa"/>
            <w:vAlign w:val="center"/>
          </w:tcPr>
          <w:p w14:paraId="70200072">
            <w:pPr>
              <w:spacing w:line="360" w:lineRule="auto"/>
              <w:jc w:val="center"/>
              <w:rPr>
                <w:rFonts w:ascii="新宋体" w:hAnsi="新宋体" w:eastAsia="新宋体"/>
                <w:b/>
                <w:bCs/>
                <w:color w:val="auto"/>
                <w:sz w:val="22"/>
                <w:szCs w:val="22"/>
                <w:highlight w:val="none"/>
              </w:rPr>
            </w:pPr>
          </w:p>
        </w:tc>
        <w:tc>
          <w:tcPr>
            <w:tcW w:w="1661" w:type="dxa"/>
            <w:vAlign w:val="center"/>
          </w:tcPr>
          <w:p w14:paraId="0D74FC09">
            <w:pPr>
              <w:spacing w:line="360" w:lineRule="auto"/>
              <w:jc w:val="center"/>
              <w:rPr>
                <w:rFonts w:ascii="新宋体" w:hAnsi="新宋体" w:eastAsia="新宋体"/>
                <w:b/>
                <w:bCs/>
                <w:color w:val="auto"/>
                <w:sz w:val="22"/>
                <w:szCs w:val="22"/>
                <w:highlight w:val="none"/>
              </w:rPr>
            </w:pPr>
          </w:p>
        </w:tc>
        <w:tc>
          <w:tcPr>
            <w:tcW w:w="1260" w:type="dxa"/>
            <w:vAlign w:val="center"/>
          </w:tcPr>
          <w:p w14:paraId="4E6983C5">
            <w:pPr>
              <w:spacing w:line="360" w:lineRule="auto"/>
              <w:jc w:val="center"/>
              <w:rPr>
                <w:rFonts w:ascii="新宋体" w:hAnsi="新宋体" w:eastAsia="新宋体"/>
                <w:b/>
                <w:bCs/>
                <w:color w:val="auto"/>
                <w:sz w:val="22"/>
                <w:szCs w:val="22"/>
                <w:highlight w:val="none"/>
              </w:rPr>
            </w:pPr>
          </w:p>
        </w:tc>
        <w:tc>
          <w:tcPr>
            <w:tcW w:w="1219" w:type="dxa"/>
          </w:tcPr>
          <w:p w14:paraId="798FF79D">
            <w:pPr>
              <w:rPr>
                <w:rFonts w:ascii="新宋体" w:hAnsi="新宋体" w:eastAsia="新宋体"/>
                <w:color w:val="auto"/>
                <w:sz w:val="22"/>
                <w:szCs w:val="22"/>
                <w:highlight w:val="none"/>
              </w:rPr>
            </w:pPr>
          </w:p>
        </w:tc>
      </w:tr>
      <w:tr w14:paraId="75F67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vAlign w:val="center"/>
          </w:tcPr>
          <w:p w14:paraId="23F7E37E">
            <w:pPr>
              <w:spacing w:line="360" w:lineRule="auto"/>
              <w:jc w:val="center"/>
              <w:rPr>
                <w:rFonts w:ascii="新宋体" w:hAnsi="新宋体" w:eastAsia="新宋体"/>
                <w:b/>
                <w:bCs/>
                <w:color w:val="auto"/>
                <w:sz w:val="22"/>
                <w:szCs w:val="22"/>
                <w:highlight w:val="none"/>
              </w:rPr>
            </w:pPr>
          </w:p>
        </w:tc>
        <w:tc>
          <w:tcPr>
            <w:tcW w:w="1692" w:type="dxa"/>
            <w:vAlign w:val="center"/>
          </w:tcPr>
          <w:p w14:paraId="2D460DAA">
            <w:pPr>
              <w:spacing w:line="360" w:lineRule="auto"/>
              <w:rPr>
                <w:rFonts w:ascii="新宋体" w:hAnsi="新宋体" w:eastAsia="新宋体"/>
                <w:b/>
                <w:bCs/>
                <w:color w:val="auto"/>
                <w:sz w:val="22"/>
                <w:szCs w:val="22"/>
                <w:highlight w:val="none"/>
              </w:rPr>
            </w:pPr>
          </w:p>
        </w:tc>
        <w:tc>
          <w:tcPr>
            <w:tcW w:w="2880" w:type="dxa"/>
            <w:vAlign w:val="center"/>
          </w:tcPr>
          <w:p w14:paraId="0D391059">
            <w:pPr>
              <w:spacing w:line="360" w:lineRule="auto"/>
              <w:jc w:val="center"/>
              <w:rPr>
                <w:rFonts w:ascii="新宋体" w:hAnsi="新宋体" w:eastAsia="新宋体"/>
                <w:b/>
                <w:bCs/>
                <w:color w:val="auto"/>
                <w:sz w:val="22"/>
                <w:szCs w:val="22"/>
                <w:highlight w:val="none"/>
              </w:rPr>
            </w:pPr>
          </w:p>
        </w:tc>
        <w:tc>
          <w:tcPr>
            <w:tcW w:w="1661" w:type="dxa"/>
            <w:vAlign w:val="center"/>
          </w:tcPr>
          <w:p w14:paraId="76181007">
            <w:pPr>
              <w:spacing w:line="360" w:lineRule="auto"/>
              <w:jc w:val="center"/>
              <w:rPr>
                <w:rFonts w:ascii="新宋体" w:hAnsi="新宋体" w:eastAsia="新宋体"/>
                <w:b/>
                <w:bCs/>
                <w:color w:val="auto"/>
                <w:sz w:val="22"/>
                <w:szCs w:val="22"/>
                <w:highlight w:val="none"/>
              </w:rPr>
            </w:pPr>
          </w:p>
        </w:tc>
        <w:tc>
          <w:tcPr>
            <w:tcW w:w="1260" w:type="dxa"/>
            <w:vAlign w:val="center"/>
          </w:tcPr>
          <w:p w14:paraId="3EF80E75">
            <w:pPr>
              <w:spacing w:line="360" w:lineRule="auto"/>
              <w:jc w:val="center"/>
              <w:rPr>
                <w:rFonts w:ascii="新宋体" w:hAnsi="新宋体" w:eastAsia="新宋体"/>
                <w:b/>
                <w:bCs/>
                <w:color w:val="auto"/>
                <w:sz w:val="22"/>
                <w:szCs w:val="22"/>
                <w:highlight w:val="none"/>
              </w:rPr>
            </w:pPr>
          </w:p>
        </w:tc>
        <w:tc>
          <w:tcPr>
            <w:tcW w:w="1219" w:type="dxa"/>
          </w:tcPr>
          <w:p w14:paraId="735D0580">
            <w:pPr>
              <w:rPr>
                <w:rFonts w:ascii="新宋体" w:hAnsi="新宋体" w:eastAsia="新宋体"/>
                <w:color w:val="auto"/>
                <w:sz w:val="22"/>
                <w:szCs w:val="22"/>
                <w:highlight w:val="none"/>
              </w:rPr>
            </w:pPr>
          </w:p>
        </w:tc>
      </w:tr>
      <w:tr w14:paraId="496CC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vAlign w:val="center"/>
          </w:tcPr>
          <w:p w14:paraId="2D179B58">
            <w:pPr>
              <w:spacing w:line="360" w:lineRule="auto"/>
              <w:jc w:val="center"/>
              <w:rPr>
                <w:rFonts w:ascii="新宋体" w:hAnsi="新宋体" w:eastAsia="新宋体"/>
                <w:b/>
                <w:bCs/>
                <w:color w:val="auto"/>
                <w:sz w:val="22"/>
                <w:szCs w:val="22"/>
                <w:highlight w:val="none"/>
              </w:rPr>
            </w:pPr>
          </w:p>
        </w:tc>
        <w:tc>
          <w:tcPr>
            <w:tcW w:w="1692" w:type="dxa"/>
            <w:vAlign w:val="center"/>
          </w:tcPr>
          <w:p w14:paraId="3C058828">
            <w:pPr>
              <w:spacing w:line="360" w:lineRule="auto"/>
              <w:rPr>
                <w:rFonts w:ascii="新宋体" w:hAnsi="新宋体" w:eastAsia="新宋体"/>
                <w:color w:val="auto"/>
                <w:sz w:val="22"/>
                <w:szCs w:val="22"/>
                <w:highlight w:val="none"/>
              </w:rPr>
            </w:pPr>
          </w:p>
        </w:tc>
        <w:tc>
          <w:tcPr>
            <w:tcW w:w="2880" w:type="dxa"/>
            <w:vAlign w:val="center"/>
          </w:tcPr>
          <w:p w14:paraId="672BE6E6">
            <w:pPr>
              <w:spacing w:line="360" w:lineRule="auto"/>
              <w:jc w:val="center"/>
              <w:rPr>
                <w:rFonts w:ascii="新宋体" w:hAnsi="新宋体" w:eastAsia="新宋体"/>
                <w:b/>
                <w:bCs/>
                <w:color w:val="auto"/>
                <w:sz w:val="22"/>
                <w:szCs w:val="22"/>
                <w:highlight w:val="none"/>
              </w:rPr>
            </w:pPr>
          </w:p>
        </w:tc>
        <w:tc>
          <w:tcPr>
            <w:tcW w:w="1661" w:type="dxa"/>
            <w:vAlign w:val="center"/>
          </w:tcPr>
          <w:p w14:paraId="60D8165E">
            <w:pPr>
              <w:spacing w:line="360" w:lineRule="auto"/>
              <w:jc w:val="center"/>
              <w:rPr>
                <w:rFonts w:ascii="新宋体" w:hAnsi="新宋体" w:eastAsia="新宋体"/>
                <w:b/>
                <w:bCs/>
                <w:color w:val="auto"/>
                <w:sz w:val="22"/>
                <w:szCs w:val="22"/>
                <w:highlight w:val="none"/>
              </w:rPr>
            </w:pPr>
          </w:p>
        </w:tc>
        <w:tc>
          <w:tcPr>
            <w:tcW w:w="1260" w:type="dxa"/>
            <w:vAlign w:val="center"/>
          </w:tcPr>
          <w:p w14:paraId="0074C355">
            <w:pPr>
              <w:spacing w:line="360" w:lineRule="auto"/>
              <w:jc w:val="center"/>
              <w:rPr>
                <w:rFonts w:ascii="新宋体" w:hAnsi="新宋体" w:eastAsia="新宋体"/>
                <w:b/>
                <w:bCs/>
                <w:color w:val="auto"/>
                <w:sz w:val="22"/>
                <w:szCs w:val="22"/>
                <w:highlight w:val="none"/>
              </w:rPr>
            </w:pPr>
          </w:p>
        </w:tc>
        <w:tc>
          <w:tcPr>
            <w:tcW w:w="1219" w:type="dxa"/>
          </w:tcPr>
          <w:p w14:paraId="1BCBB136">
            <w:pPr>
              <w:rPr>
                <w:rFonts w:ascii="新宋体" w:hAnsi="新宋体" w:eastAsia="新宋体"/>
                <w:color w:val="auto"/>
                <w:sz w:val="22"/>
                <w:szCs w:val="22"/>
                <w:highlight w:val="none"/>
              </w:rPr>
            </w:pPr>
          </w:p>
        </w:tc>
      </w:tr>
      <w:tr w14:paraId="0B5E5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vAlign w:val="center"/>
          </w:tcPr>
          <w:p w14:paraId="461D7B70">
            <w:pPr>
              <w:spacing w:line="360" w:lineRule="auto"/>
              <w:jc w:val="center"/>
              <w:rPr>
                <w:rFonts w:ascii="新宋体" w:hAnsi="新宋体" w:eastAsia="新宋体"/>
                <w:b/>
                <w:bCs/>
                <w:color w:val="auto"/>
                <w:sz w:val="22"/>
                <w:szCs w:val="22"/>
                <w:highlight w:val="none"/>
              </w:rPr>
            </w:pPr>
          </w:p>
        </w:tc>
        <w:tc>
          <w:tcPr>
            <w:tcW w:w="1692" w:type="dxa"/>
            <w:vAlign w:val="center"/>
          </w:tcPr>
          <w:p w14:paraId="168B0CBF">
            <w:pPr>
              <w:spacing w:line="360" w:lineRule="auto"/>
              <w:rPr>
                <w:rFonts w:ascii="新宋体" w:hAnsi="新宋体" w:eastAsia="新宋体"/>
                <w:b/>
                <w:bCs/>
                <w:color w:val="auto"/>
                <w:sz w:val="22"/>
                <w:szCs w:val="22"/>
                <w:highlight w:val="none"/>
              </w:rPr>
            </w:pPr>
          </w:p>
        </w:tc>
        <w:tc>
          <w:tcPr>
            <w:tcW w:w="2880" w:type="dxa"/>
            <w:vAlign w:val="center"/>
          </w:tcPr>
          <w:p w14:paraId="6EED26AB">
            <w:pPr>
              <w:spacing w:line="360" w:lineRule="auto"/>
              <w:jc w:val="center"/>
              <w:rPr>
                <w:rFonts w:ascii="新宋体" w:hAnsi="新宋体" w:eastAsia="新宋体"/>
                <w:b/>
                <w:bCs/>
                <w:color w:val="auto"/>
                <w:sz w:val="22"/>
                <w:szCs w:val="22"/>
                <w:highlight w:val="none"/>
              </w:rPr>
            </w:pPr>
          </w:p>
        </w:tc>
        <w:tc>
          <w:tcPr>
            <w:tcW w:w="1661" w:type="dxa"/>
            <w:vAlign w:val="center"/>
          </w:tcPr>
          <w:p w14:paraId="045B172F">
            <w:pPr>
              <w:spacing w:line="360" w:lineRule="auto"/>
              <w:jc w:val="center"/>
              <w:rPr>
                <w:rFonts w:ascii="新宋体" w:hAnsi="新宋体" w:eastAsia="新宋体"/>
                <w:b/>
                <w:bCs/>
                <w:color w:val="auto"/>
                <w:sz w:val="22"/>
                <w:szCs w:val="22"/>
                <w:highlight w:val="none"/>
              </w:rPr>
            </w:pPr>
          </w:p>
        </w:tc>
        <w:tc>
          <w:tcPr>
            <w:tcW w:w="1260" w:type="dxa"/>
            <w:vAlign w:val="center"/>
          </w:tcPr>
          <w:p w14:paraId="796FFFBC">
            <w:pPr>
              <w:spacing w:line="360" w:lineRule="auto"/>
              <w:jc w:val="center"/>
              <w:rPr>
                <w:rFonts w:ascii="新宋体" w:hAnsi="新宋体" w:eastAsia="新宋体"/>
                <w:b/>
                <w:bCs/>
                <w:color w:val="auto"/>
                <w:sz w:val="22"/>
                <w:szCs w:val="22"/>
                <w:highlight w:val="none"/>
              </w:rPr>
            </w:pPr>
          </w:p>
        </w:tc>
        <w:tc>
          <w:tcPr>
            <w:tcW w:w="1219" w:type="dxa"/>
          </w:tcPr>
          <w:p w14:paraId="46DBC916">
            <w:pPr>
              <w:rPr>
                <w:rFonts w:ascii="新宋体" w:hAnsi="新宋体" w:eastAsia="新宋体"/>
                <w:color w:val="auto"/>
                <w:sz w:val="22"/>
                <w:szCs w:val="22"/>
                <w:highlight w:val="none"/>
              </w:rPr>
            </w:pPr>
          </w:p>
        </w:tc>
      </w:tr>
      <w:tr w14:paraId="5284C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vAlign w:val="center"/>
          </w:tcPr>
          <w:p w14:paraId="5ADC96EE">
            <w:pPr>
              <w:spacing w:line="360" w:lineRule="auto"/>
              <w:jc w:val="center"/>
              <w:rPr>
                <w:rFonts w:ascii="新宋体" w:hAnsi="新宋体" w:eastAsia="新宋体"/>
                <w:b/>
                <w:bCs/>
                <w:color w:val="auto"/>
                <w:sz w:val="22"/>
                <w:szCs w:val="22"/>
                <w:highlight w:val="none"/>
              </w:rPr>
            </w:pPr>
          </w:p>
        </w:tc>
        <w:tc>
          <w:tcPr>
            <w:tcW w:w="1692" w:type="dxa"/>
            <w:vAlign w:val="center"/>
          </w:tcPr>
          <w:p w14:paraId="2B0C7BBB">
            <w:pPr>
              <w:spacing w:line="360" w:lineRule="auto"/>
              <w:rPr>
                <w:rFonts w:ascii="新宋体" w:hAnsi="新宋体" w:eastAsia="新宋体"/>
                <w:b/>
                <w:bCs/>
                <w:color w:val="auto"/>
                <w:sz w:val="22"/>
                <w:szCs w:val="22"/>
                <w:highlight w:val="none"/>
              </w:rPr>
            </w:pPr>
          </w:p>
        </w:tc>
        <w:tc>
          <w:tcPr>
            <w:tcW w:w="2880" w:type="dxa"/>
            <w:vAlign w:val="center"/>
          </w:tcPr>
          <w:p w14:paraId="4A91A255">
            <w:pPr>
              <w:spacing w:line="360" w:lineRule="auto"/>
              <w:jc w:val="center"/>
              <w:rPr>
                <w:rFonts w:ascii="新宋体" w:hAnsi="新宋体" w:eastAsia="新宋体"/>
                <w:b/>
                <w:bCs/>
                <w:color w:val="auto"/>
                <w:sz w:val="22"/>
                <w:szCs w:val="22"/>
                <w:highlight w:val="none"/>
              </w:rPr>
            </w:pPr>
          </w:p>
        </w:tc>
        <w:tc>
          <w:tcPr>
            <w:tcW w:w="1661" w:type="dxa"/>
            <w:vAlign w:val="center"/>
          </w:tcPr>
          <w:p w14:paraId="242974F3">
            <w:pPr>
              <w:spacing w:line="360" w:lineRule="auto"/>
              <w:jc w:val="center"/>
              <w:rPr>
                <w:rFonts w:ascii="新宋体" w:hAnsi="新宋体" w:eastAsia="新宋体"/>
                <w:b/>
                <w:bCs/>
                <w:color w:val="auto"/>
                <w:sz w:val="22"/>
                <w:szCs w:val="22"/>
                <w:highlight w:val="none"/>
              </w:rPr>
            </w:pPr>
          </w:p>
        </w:tc>
        <w:tc>
          <w:tcPr>
            <w:tcW w:w="1260" w:type="dxa"/>
            <w:vAlign w:val="center"/>
          </w:tcPr>
          <w:p w14:paraId="7BD3ECB4">
            <w:pPr>
              <w:spacing w:line="360" w:lineRule="auto"/>
              <w:jc w:val="center"/>
              <w:rPr>
                <w:rFonts w:ascii="新宋体" w:hAnsi="新宋体" w:eastAsia="新宋体"/>
                <w:b/>
                <w:bCs/>
                <w:color w:val="auto"/>
                <w:sz w:val="22"/>
                <w:szCs w:val="22"/>
                <w:highlight w:val="none"/>
              </w:rPr>
            </w:pPr>
          </w:p>
        </w:tc>
        <w:tc>
          <w:tcPr>
            <w:tcW w:w="1219" w:type="dxa"/>
          </w:tcPr>
          <w:p w14:paraId="7FBC2B02">
            <w:pPr>
              <w:rPr>
                <w:rFonts w:ascii="新宋体" w:hAnsi="新宋体" w:eastAsia="新宋体"/>
                <w:color w:val="auto"/>
                <w:sz w:val="22"/>
                <w:szCs w:val="22"/>
                <w:highlight w:val="none"/>
              </w:rPr>
            </w:pPr>
          </w:p>
        </w:tc>
      </w:tr>
      <w:tr w14:paraId="66371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vAlign w:val="center"/>
          </w:tcPr>
          <w:p w14:paraId="7365BB7F">
            <w:pPr>
              <w:spacing w:line="360" w:lineRule="auto"/>
              <w:jc w:val="center"/>
              <w:rPr>
                <w:rFonts w:ascii="新宋体" w:hAnsi="新宋体" w:eastAsia="新宋体"/>
                <w:color w:val="auto"/>
                <w:sz w:val="22"/>
                <w:szCs w:val="22"/>
                <w:highlight w:val="none"/>
              </w:rPr>
            </w:pPr>
          </w:p>
        </w:tc>
        <w:tc>
          <w:tcPr>
            <w:tcW w:w="1692" w:type="dxa"/>
            <w:vAlign w:val="center"/>
          </w:tcPr>
          <w:p w14:paraId="4672143C">
            <w:pPr>
              <w:spacing w:line="360" w:lineRule="auto"/>
              <w:rPr>
                <w:rFonts w:ascii="新宋体" w:hAnsi="新宋体" w:eastAsia="新宋体"/>
                <w:color w:val="auto"/>
                <w:sz w:val="22"/>
                <w:szCs w:val="22"/>
                <w:highlight w:val="none"/>
              </w:rPr>
            </w:pPr>
          </w:p>
        </w:tc>
        <w:tc>
          <w:tcPr>
            <w:tcW w:w="2880" w:type="dxa"/>
            <w:vAlign w:val="center"/>
          </w:tcPr>
          <w:p w14:paraId="08E8608F">
            <w:pPr>
              <w:spacing w:line="360" w:lineRule="auto"/>
              <w:jc w:val="center"/>
              <w:rPr>
                <w:rFonts w:ascii="新宋体" w:hAnsi="新宋体" w:eastAsia="新宋体"/>
                <w:b/>
                <w:bCs/>
                <w:color w:val="auto"/>
                <w:sz w:val="22"/>
                <w:szCs w:val="22"/>
                <w:highlight w:val="none"/>
              </w:rPr>
            </w:pPr>
          </w:p>
        </w:tc>
        <w:tc>
          <w:tcPr>
            <w:tcW w:w="1661" w:type="dxa"/>
            <w:vAlign w:val="center"/>
          </w:tcPr>
          <w:p w14:paraId="5DD7BC78">
            <w:pPr>
              <w:spacing w:line="360" w:lineRule="auto"/>
              <w:jc w:val="center"/>
              <w:rPr>
                <w:rFonts w:ascii="新宋体" w:hAnsi="新宋体" w:eastAsia="新宋体"/>
                <w:b/>
                <w:bCs/>
                <w:color w:val="auto"/>
                <w:sz w:val="22"/>
                <w:szCs w:val="22"/>
                <w:highlight w:val="none"/>
              </w:rPr>
            </w:pPr>
          </w:p>
        </w:tc>
        <w:tc>
          <w:tcPr>
            <w:tcW w:w="1260" w:type="dxa"/>
            <w:vAlign w:val="center"/>
          </w:tcPr>
          <w:p w14:paraId="022AFB78">
            <w:pPr>
              <w:spacing w:line="360" w:lineRule="auto"/>
              <w:jc w:val="center"/>
              <w:rPr>
                <w:rFonts w:ascii="新宋体" w:hAnsi="新宋体" w:eastAsia="新宋体"/>
                <w:b/>
                <w:bCs/>
                <w:color w:val="auto"/>
                <w:sz w:val="22"/>
                <w:szCs w:val="22"/>
                <w:highlight w:val="none"/>
              </w:rPr>
            </w:pPr>
          </w:p>
        </w:tc>
        <w:tc>
          <w:tcPr>
            <w:tcW w:w="1219" w:type="dxa"/>
          </w:tcPr>
          <w:p w14:paraId="32271FAC">
            <w:pPr>
              <w:rPr>
                <w:rFonts w:ascii="新宋体" w:hAnsi="新宋体" w:eastAsia="新宋体"/>
                <w:color w:val="auto"/>
                <w:sz w:val="22"/>
                <w:szCs w:val="22"/>
                <w:highlight w:val="none"/>
              </w:rPr>
            </w:pPr>
          </w:p>
        </w:tc>
      </w:tr>
      <w:tr w14:paraId="3405F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vAlign w:val="center"/>
          </w:tcPr>
          <w:p w14:paraId="6EACF8E8">
            <w:pPr>
              <w:spacing w:line="360" w:lineRule="auto"/>
              <w:rPr>
                <w:rFonts w:ascii="新宋体" w:hAnsi="新宋体" w:eastAsia="新宋体"/>
                <w:color w:val="auto"/>
                <w:sz w:val="22"/>
                <w:szCs w:val="22"/>
                <w:highlight w:val="none"/>
              </w:rPr>
            </w:pPr>
          </w:p>
        </w:tc>
        <w:tc>
          <w:tcPr>
            <w:tcW w:w="1692" w:type="dxa"/>
            <w:vAlign w:val="center"/>
          </w:tcPr>
          <w:p w14:paraId="73C205A5">
            <w:pPr>
              <w:spacing w:line="360" w:lineRule="auto"/>
              <w:rPr>
                <w:rFonts w:ascii="新宋体" w:hAnsi="新宋体" w:eastAsia="新宋体"/>
                <w:color w:val="auto"/>
                <w:sz w:val="22"/>
                <w:szCs w:val="22"/>
                <w:highlight w:val="none"/>
              </w:rPr>
            </w:pPr>
          </w:p>
        </w:tc>
        <w:tc>
          <w:tcPr>
            <w:tcW w:w="2880" w:type="dxa"/>
            <w:vAlign w:val="center"/>
          </w:tcPr>
          <w:p w14:paraId="3F0C61CB">
            <w:pPr>
              <w:spacing w:line="360" w:lineRule="auto"/>
              <w:jc w:val="center"/>
              <w:rPr>
                <w:rFonts w:ascii="新宋体" w:hAnsi="新宋体" w:eastAsia="新宋体"/>
                <w:b/>
                <w:bCs/>
                <w:color w:val="auto"/>
                <w:sz w:val="22"/>
                <w:szCs w:val="22"/>
                <w:highlight w:val="none"/>
              </w:rPr>
            </w:pPr>
          </w:p>
        </w:tc>
        <w:tc>
          <w:tcPr>
            <w:tcW w:w="1661" w:type="dxa"/>
            <w:vAlign w:val="center"/>
          </w:tcPr>
          <w:p w14:paraId="4F6652F5">
            <w:pPr>
              <w:spacing w:line="360" w:lineRule="auto"/>
              <w:jc w:val="center"/>
              <w:rPr>
                <w:rFonts w:ascii="新宋体" w:hAnsi="新宋体" w:eastAsia="新宋体"/>
                <w:b/>
                <w:bCs/>
                <w:color w:val="auto"/>
                <w:sz w:val="22"/>
                <w:szCs w:val="22"/>
                <w:highlight w:val="none"/>
              </w:rPr>
            </w:pPr>
          </w:p>
        </w:tc>
        <w:tc>
          <w:tcPr>
            <w:tcW w:w="1260" w:type="dxa"/>
            <w:vAlign w:val="center"/>
          </w:tcPr>
          <w:p w14:paraId="641F1CE8">
            <w:pPr>
              <w:spacing w:line="360" w:lineRule="auto"/>
              <w:jc w:val="center"/>
              <w:rPr>
                <w:rFonts w:ascii="新宋体" w:hAnsi="新宋体" w:eastAsia="新宋体"/>
                <w:b/>
                <w:bCs/>
                <w:color w:val="auto"/>
                <w:sz w:val="22"/>
                <w:szCs w:val="22"/>
                <w:highlight w:val="none"/>
              </w:rPr>
            </w:pPr>
          </w:p>
        </w:tc>
        <w:tc>
          <w:tcPr>
            <w:tcW w:w="1219" w:type="dxa"/>
          </w:tcPr>
          <w:p w14:paraId="088B59CE">
            <w:pPr>
              <w:rPr>
                <w:rFonts w:ascii="新宋体" w:hAnsi="新宋体" w:eastAsia="新宋体"/>
                <w:color w:val="auto"/>
                <w:sz w:val="22"/>
                <w:szCs w:val="22"/>
                <w:highlight w:val="none"/>
              </w:rPr>
            </w:pPr>
          </w:p>
        </w:tc>
      </w:tr>
      <w:tr w14:paraId="577C6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vAlign w:val="center"/>
          </w:tcPr>
          <w:p w14:paraId="4F3E2287">
            <w:pPr>
              <w:spacing w:line="360" w:lineRule="auto"/>
              <w:jc w:val="center"/>
              <w:rPr>
                <w:rFonts w:ascii="新宋体" w:hAnsi="新宋体" w:eastAsia="新宋体"/>
                <w:b/>
                <w:bCs/>
                <w:color w:val="auto"/>
                <w:sz w:val="22"/>
                <w:szCs w:val="22"/>
                <w:highlight w:val="none"/>
              </w:rPr>
            </w:pPr>
          </w:p>
        </w:tc>
        <w:tc>
          <w:tcPr>
            <w:tcW w:w="1692" w:type="dxa"/>
          </w:tcPr>
          <w:p w14:paraId="3A2A8A08">
            <w:pPr>
              <w:spacing w:line="360" w:lineRule="auto"/>
              <w:rPr>
                <w:rFonts w:ascii="新宋体" w:hAnsi="新宋体" w:eastAsia="新宋体"/>
                <w:color w:val="auto"/>
                <w:sz w:val="22"/>
                <w:szCs w:val="22"/>
                <w:highlight w:val="none"/>
              </w:rPr>
            </w:pPr>
          </w:p>
        </w:tc>
        <w:tc>
          <w:tcPr>
            <w:tcW w:w="2880" w:type="dxa"/>
            <w:vAlign w:val="center"/>
          </w:tcPr>
          <w:p w14:paraId="6103C10F">
            <w:pPr>
              <w:spacing w:line="360" w:lineRule="auto"/>
              <w:jc w:val="center"/>
              <w:rPr>
                <w:rFonts w:ascii="新宋体" w:hAnsi="新宋体" w:eastAsia="新宋体"/>
                <w:b/>
                <w:bCs/>
                <w:color w:val="auto"/>
                <w:sz w:val="22"/>
                <w:szCs w:val="22"/>
                <w:highlight w:val="none"/>
              </w:rPr>
            </w:pPr>
          </w:p>
        </w:tc>
        <w:tc>
          <w:tcPr>
            <w:tcW w:w="1661" w:type="dxa"/>
            <w:vAlign w:val="center"/>
          </w:tcPr>
          <w:p w14:paraId="442B6EB5">
            <w:pPr>
              <w:spacing w:line="360" w:lineRule="auto"/>
              <w:jc w:val="center"/>
              <w:rPr>
                <w:rFonts w:ascii="新宋体" w:hAnsi="新宋体" w:eastAsia="新宋体"/>
                <w:b/>
                <w:bCs/>
                <w:color w:val="auto"/>
                <w:sz w:val="22"/>
                <w:szCs w:val="22"/>
                <w:highlight w:val="none"/>
              </w:rPr>
            </w:pPr>
          </w:p>
        </w:tc>
        <w:tc>
          <w:tcPr>
            <w:tcW w:w="1260" w:type="dxa"/>
            <w:vAlign w:val="center"/>
          </w:tcPr>
          <w:p w14:paraId="072ED1A5">
            <w:pPr>
              <w:spacing w:line="360" w:lineRule="auto"/>
              <w:jc w:val="center"/>
              <w:rPr>
                <w:rFonts w:ascii="新宋体" w:hAnsi="新宋体" w:eastAsia="新宋体"/>
                <w:b/>
                <w:bCs/>
                <w:color w:val="auto"/>
                <w:sz w:val="22"/>
                <w:szCs w:val="22"/>
                <w:highlight w:val="none"/>
              </w:rPr>
            </w:pPr>
          </w:p>
        </w:tc>
        <w:tc>
          <w:tcPr>
            <w:tcW w:w="1219" w:type="dxa"/>
          </w:tcPr>
          <w:p w14:paraId="27A526A7">
            <w:pPr>
              <w:rPr>
                <w:rFonts w:ascii="新宋体" w:hAnsi="新宋体" w:eastAsia="新宋体"/>
                <w:color w:val="auto"/>
                <w:sz w:val="22"/>
                <w:szCs w:val="22"/>
                <w:highlight w:val="none"/>
              </w:rPr>
            </w:pPr>
          </w:p>
        </w:tc>
      </w:tr>
    </w:tbl>
    <w:p w14:paraId="6367C395">
      <w:pPr>
        <w:pStyle w:val="30"/>
        <w:spacing w:line="400" w:lineRule="atLeast"/>
        <w:rPr>
          <w:rFonts w:hAnsi="宋体" w:cs="宋体"/>
          <w:color w:val="auto"/>
          <w:sz w:val="22"/>
          <w:szCs w:val="22"/>
          <w:highlight w:val="none"/>
        </w:rPr>
      </w:pPr>
    </w:p>
    <w:p w14:paraId="43720860">
      <w:pPr>
        <w:spacing w:line="460" w:lineRule="exact"/>
        <w:ind w:firstLine="5060" w:firstLineChars="2300"/>
        <w:rPr>
          <w:rFonts w:ascii="宋体" w:hAnsi="宋体" w:cs="宋体"/>
          <w:color w:val="auto"/>
          <w:sz w:val="22"/>
          <w:szCs w:val="22"/>
          <w:highlight w:val="none"/>
        </w:rPr>
      </w:pPr>
      <w:r>
        <w:rPr>
          <w:rFonts w:hint="eastAsia" w:ascii="宋体" w:hAnsi="宋体" w:cs="宋体"/>
          <w:color w:val="auto"/>
          <w:sz w:val="22"/>
          <w:szCs w:val="22"/>
          <w:highlight w:val="none"/>
        </w:rPr>
        <w:t>磋商供应商全称（盖章）：</w:t>
      </w:r>
    </w:p>
    <w:p w14:paraId="1912F554">
      <w:pPr>
        <w:spacing w:line="460" w:lineRule="exact"/>
        <w:ind w:firstLine="5060" w:firstLineChars="2300"/>
        <w:rPr>
          <w:rFonts w:ascii="宋体" w:hAnsi="宋体" w:cs="宋体"/>
          <w:color w:val="auto"/>
          <w:sz w:val="22"/>
          <w:szCs w:val="22"/>
          <w:highlight w:val="none"/>
        </w:rPr>
      </w:pPr>
      <w:r>
        <w:rPr>
          <w:rFonts w:hint="eastAsia" w:ascii="宋体" w:hAnsi="宋体" w:cs="宋体"/>
          <w:color w:val="auto"/>
          <w:sz w:val="22"/>
          <w:szCs w:val="22"/>
          <w:highlight w:val="none"/>
        </w:rPr>
        <w:t>磋商供应商代表（签字）：</w:t>
      </w:r>
    </w:p>
    <w:p w14:paraId="302C5A0A">
      <w:pPr>
        <w:spacing w:line="460" w:lineRule="exact"/>
        <w:ind w:firstLine="5060" w:firstLineChars="2300"/>
        <w:rPr>
          <w:rFonts w:ascii="宋体" w:hAnsi="宋体" w:cs="宋体"/>
          <w:color w:val="auto"/>
          <w:sz w:val="22"/>
          <w:szCs w:val="22"/>
          <w:highlight w:val="none"/>
        </w:rPr>
      </w:pPr>
      <w:r>
        <w:rPr>
          <w:rFonts w:hint="eastAsia" w:ascii="宋体" w:hAnsi="宋体" w:cs="宋体"/>
          <w:color w:val="auto"/>
          <w:sz w:val="22"/>
          <w:szCs w:val="22"/>
          <w:highlight w:val="none"/>
        </w:rPr>
        <w:t>日  期：</w:t>
      </w:r>
    </w:p>
    <w:p w14:paraId="22FB1E1C">
      <w:pPr>
        <w:spacing w:line="460" w:lineRule="exact"/>
        <w:ind w:firstLine="5060" w:firstLineChars="2300"/>
        <w:rPr>
          <w:rFonts w:ascii="宋体" w:hAnsi="宋体" w:cs="宋体"/>
          <w:color w:val="auto"/>
          <w:sz w:val="22"/>
          <w:szCs w:val="22"/>
          <w:highlight w:val="none"/>
        </w:rPr>
      </w:pPr>
    </w:p>
    <w:p w14:paraId="514A8B7F">
      <w:pPr>
        <w:spacing w:line="460" w:lineRule="exact"/>
        <w:rPr>
          <w:rFonts w:ascii="宋体" w:hAnsi="宋体" w:cs="宋体"/>
          <w:color w:val="auto"/>
          <w:sz w:val="22"/>
          <w:szCs w:val="22"/>
          <w:highlight w:val="none"/>
        </w:rPr>
      </w:pPr>
    </w:p>
    <w:p w14:paraId="6A033F26">
      <w:pPr>
        <w:rPr>
          <w:rFonts w:ascii="宋体" w:hAnsi="宋体" w:cs="宋体"/>
          <w:b/>
          <w:color w:val="auto"/>
          <w:sz w:val="24"/>
          <w:highlight w:val="none"/>
        </w:rPr>
      </w:pPr>
      <w:r>
        <w:rPr>
          <w:rFonts w:hint="eastAsia" w:ascii="宋体" w:hAnsi="宋体" w:cs="宋体"/>
          <w:b/>
          <w:color w:val="auto"/>
          <w:sz w:val="24"/>
          <w:highlight w:val="none"/>
        </w:rPr>
        <w:br w:type="page"/>
      </w:r>
    </w:p>
    <w:p w14:paraId="1B47482E">
      <w:pPr>
        <w:spacing w:line="400" w:lineRule="exact"/>
        <w:jc w:val="center"/>
        <w:outlineLvl w:val="3"/>
        <w:rPr>
          <w:rFonts w:ascii="宋体" w:hAnsi="宋体" w:cs="宋体"/>
          <w:b/>
          <w:bCs/>
          <w:color w:val="auto"/>
          <w:sz w:val="28"/>
          <w:szCs w:val="28"/>
          <w:highlight w:val="none"/>
          <w:lang w:val="zh-CN"/>
        </w:rPr>
      </w:pPr>
      <w:r>
        <w:rPr>
          <w:rFonts w:hint="eastAsia" w:ascii="宋体" w:hAnsi="宋体" w:cs="宋体"/>
          <w:b/>
          <w:bCs/>
          <w:color w:val="auto"/>
          <w:sz w:val="28"/>
          <w:szCs w:val="28"/>
          <w:highlight w:val="none"/>
        </w:rPr>
        <w:t>5、备品、易损件、备件、专用工具清单</w:t>
      </w:r>
    </w:p>
    <w:p w14:paraId="22177B3B">
      <w:pPr>
        <w:spacing w:line="360" w:lineRule="auto"/>
        <w:rPr>
          <w:rFonts w:ascii="宋体" w:hAnsi="宋体" w:cs="宋体"/>
          <w:color w:val="auto"/>
          <w:sz w:val="22"/>
          <w:szCs w:val="22"/>
          <w:highlight w:val="none"/>
        </w:rPr>
      </w:pPr>
      <w:r>
        <w:rPr>
          <w:rFonts w:hint="eastAsia" w:ascii="宋体" w:hAnsi="宋体" w:cs="宋体"/>
          <w:color w:val="auto"/>
          <w:sz w:val="22"/>
          <w:szCs w:val="22"/>
          <w:highlight w:val="none"/>
        </w:rPr>
        <w:t xml:space="preserve">项目编号： </w:t>
      </w:r>
    </w:p>
    <w:p w14:paraId="6A21EF66">
      <w:pPr>
        <w:keepNext/>
        <w:spacing w:line="360" w:lineRule="auto"/>
        <w:rPr>
          <w:rFonts w:hint="eastAsia" w:eastAsia="宋体"/>
          <w:color w:val="auto"/>
          <w:highlight w:val="none"/>
          <w:lang w:eastAsia="zh-CN"/>
        </w:rPr>
      </w:pPr>
      <w:r>
        <w:rPr>
          <w:rFonts w:hint="eastAsia" w:ascii="宋体" w:hAnsi="宋体" w:cs="宋体"/>
          <w:color w:val="auto"/>
          <w:sz w:val="22"/>
          <w:szCs w:val="22"/>
          <w:highlight w:val="none"/>
        </w:rPr>
        <w:t>项目名称：</w:t>
      </w:r>
      <w:r>
        <w:rPr>
          <w:rFonts w:hint="eastAsia" w:ascii="宋体" w:hAnsi="宋体" w:cs="宋体"/>
          <w:color w:val="auto"/>
          <w:sz w:val="22"/>
          <w:szCs w:val="22"/>
          <w:highlight w:val="none"/>
          <w:lang w:eastAsia="zh-CN"/>
        </w:rPr>
        <w:t>双人课桌、单人椅子（重）</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1240"/>
        <w:gridCol w:w="1404"/>
        <w:gridCol w:w="796"/>
        <w:gridCol w:w="3704"/>
        <w:gridCol w:w="1568"/>
      </w:tblGrid>
      <w:tr w14:paraId="1C175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956" w:type="dxa"/>
            <w:shd w:val="clear" w:color="auto" w:fill="FFFFFF"/>
            <w:vAlign w:val="center"/>
          </w:tcPr>
          <w:p w14:paraId="09B09FE5">
            <w:pPr>
              <w:spacing w:line="400" w:lineRule="exact"/>
              <w:jc w:val="center"/>
              <w:rPr>
                <w:rFonts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序号</w:t>
            </w:r>
          </w:p>
        </w:tc>
        <w:tc>
          <w:tcPr>
            <w:tcW w:w="1240" w:type="dxa"/>
            <w:shd w:val="clear" w:color="auto" w:fill="FFFFFF"/>
            <w:vAlign w:val="center"/>
          </w:tcPr>
          <w:p w14:paraId="75C34CBE">
            <w:pPr>
              <w:spacing w:line="400" w:lineRule="exact"/>
              <w:jc w:val="center"/>
              <w:rPr>
                <w:rFonts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名  称</w:t>
            </w:r>
          </w:p>
        </w:tc>
        <w:tc>
          <w:tcPr>
            <w:tcW w:w="1404" w:type="dxa"/>
            <w:shd w:val="clear" w:color="auto" w:fill="FFFFFF"/>
            <w:vAlign w:val="center"/>
          </w:tcPr>
          <w:p w14:paraId="391BB6B2">
            <w:pPr>
              <w:spacing w:line="400" w:lineRule="exact"/>
              <w:jc w:val="center"/>
              <w:rPr>
                <w:rFonts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规格型号</w:t>
            </w:r>
          </w:p>
        </w:tc>
        <w:tc>
          <w:tcPr>
            <w:tcW w:w="796" w:type="dxa"/>
            <w:shd w:val="clear" w:color="auto" w:fill="FFFFFF"/>
            <w:vAlign w:val="center"/>
          </w:tcPr>
          <w:p w14:paraId="429EEEE3">
            <w:pPr>
              <w:spacing w:line="400" w:lineRule="exact"/>
              <w:jc w:val="center"/>
              <w:rPr>
                <w:rFonts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数量</w:t>
            </w:r>
          </w:p>
        </w:tc>
        <w:tc>
          <w:tcPr>
            <w:tcW w:w="3704" w:type="dxa"/>
            <w:shd w:val="clear" w:color="auto" w:fill="FFFFFF"/>
            <w:vAlign w:val="center"/>
          </w:tcPr>
          <w:p w14:paraId="05E6AE00">
            <w:pPr>
              <w:spacing w:line="400" w:lineRule="exact"/>
              <w:jc w:val="center"/>
              <w:rPr>
                <w:rFonts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原产地/制造商</w:t>
            </w:r>
          </w:p>
        </w:tc>
        <w:tc>
          <w:tcPr>
            <w:tcW w:w="1568" w:type="dxa"/>
            <w:shd w:val="clear" w:color="auto" w:fill="FFFFFF"/>
            <w:vAlign w:val="center"/>
          </w:tcPr>
          <w:p w14:paraId="32701361">
            <w:pPr>
              <w:spacing w:line="400" w:lineRule="exact"/>
              <w:jc w:val="center"/>
              <w:rPr>
                <w:rFonts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备注</w:t>
            </w:r>
          </w:p>
        </w:tc>
      </w:tr>
      <w:tr w14:paraId="5142E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vAlign w:val="center"/>
          </w:tcPr>
          <w:p w14:paraId="1DB18E57">
            <w:pPr>
              <w:spacing w:line="400" w:lineRule="exact"/>
              <w:jc w:val="center"/>
              <w:rPr>
                <w:rFonts w:ascii="新宋体" w:hAnsi="新宋体" w:eastAsia="新宋体" w:cs="新宋体"/>
                <w:color w:val="auto"/>
                <w:sz w:val="22"/>
                <w:szCs w:val="22"/>
                <w:highlight w:val="none"/>
              </w:rPr>
            </w:pPr>
          </w:p>
        </w:tc>
        <w:tc>
          <w:tcPr>
            <w:tcW w:w="1240" w:type="dxa"/>
          </w:tcPr>
          <w:p w14:paraId="6869DDA1">
            <w:pPr>
              <w:spacing w:line="400" w:lineRule="exact"/>
              <w:rPr>
                <w:rFonts w:ascii="新宋体" w:hAnsi="新宋体" w:eastAsia="新宋体" w:cs="新宋体"/>
                <w:color w:val="auto"/>
                <w:sz w:val="22"/>
                <w:szCs w:val="22"/>
                <w:highlight w:val="none"/>
              </w:rPr>
            </w:pPr>
          </w:p>
        </w:tc>
        <w:tc>
          <w:tcPr>
            <w:tcW w:w="1404" w:type="dxa"/>
          </w:tcPr>
          <w:p w14:paraId="5A357A0E">
            <w:pPr>
              <w:spacing w:line="400" w:lineRule="exact"/>
              <w:rPr>
                <w:rFonts w:ascii="新宋体" w:hAnsi="新宋体" w:eastAsia="新宋体" w:cs="新宋体"/>
                <w:color w:val="auto"/>
                <w:sz w:val="22"/>
                <w:szCs w:val="22"/>
                <w:highlight w:val="none"/>
              </w:rPr>
            </w:pPr>
          </w:p>
        </w:tc>
        <w:tc>
          <w:tcPr>
            <w:tcW w:w="796" w:type="dxa"/>
          </w:tcPr>
          <w:p w14:paraId="39AF0C18">
            <w:pPr>
              <w:spacing w:line="400" w:lineRule="exact"/>
              <w:rPr>
                <w:rFonts w:ascii="新宋体" w:hAnsi="新宋体" w:eastAsia="新宋体" w:cs="新宋体"/>
                <w:color w:val="auto"/>
                <w:sz w:val="22"/>
                <w:szCs w:val="22"/>
                <w:highlight w:val="none"/>
              </w:rPr>
            </w:pPr>
          </w:p>
        </w:tc>
        <w:tc>
          <w:tcPr>
            <w:tcW w:w="3704" w:type="dxa"/>
          </w:tcPr>
          <w:p w14:paraId="12064F4F">
            <w:pPr>
              <w:spacing w:line="400" w:lineRule="exact"/>
              <w:rPr>
                <w:rFonts w:ascii="新宋体" w:hAnsi="新宋体" w:eastAsia="新宋体" w:cs="新宋体"/>
                <w:color w:val="auto"/>
                <w:sz w:val="22"/>
                <w:szCs w:val="22"/>
                <w:highlight w:val="none"/>
              </w:rPr>
            </w:pPr>
          </w:p>
        </w:tc>
        <w:tc>
          <w:tcPr>
            <w:tcW w:w="1568" w:type="dxa"/>
          </w:tcPr>
          <w:p w14:paraId="22FBB05E">
            <w:pPr>
              <w:spacing w:line="400" w:lineRule="exact"/>
              <w:rPr>
                <w:rFonts w:ascii="新宋体" w:hAnsi="新宋体" w:eastAsia="新宋体" w:cs="新宋体"/>
                <w:color w:val="auto"/>
                <w:sz w:val="22"/>
                <w:szCs w:val="22"/>
                <w:highlight w:val="none"/>
              </w:rPr>
            </w:pPr>
          </w:p>
        </w:tc>
      </w:tr>
      <w:tr w14:paraId="2F2D2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vAlign w:val="center"/>
          </w:tcPr>
          <w:p w14:paraId="542891B4">
            <w:pPr>
              <w:spacing w:line="400" w:lineRule="exact"/>
              <w:jc w:val="center"/>
              <w:rPr>
                <w:rFonts w:ascii="新宋体" w:hAnsi="新宋体" w:eastAsia="新宋体" w:cs="新宋体"/>
                <w:color w:val="auto"/>
                <w:sz w:val="22"/>
                <w:szCs w:val="22"/>
                <w:highlight w:val="none"/>
              </w:rPr>
            </w:pPr>
          </w:p>
        </w:tc>
        <w:tc>
          <w:tcPr>
            <w:tcW w:w="1240" w:type="dxa"/>
          </w:tcPr>
          <w:p w14:paraId="1E6251A3">
            <w:pPr>
              <w:spacing w:line="400" w:lineRule="exact"/>
              <w:rPr>
                <w:rFonts w:ascii="新宋体" w:hAnsi="新宋体" w:eastAsia="新宋体" w:cs="新宋体"/>
                <w:color w:val="auto"/>
                <w:sz w:val="22"/>
                <w:szCs w:val="22"/>
                <w:highlight w:val="none"/>
              </w:rPr>
            </w:pPr>
          </w:p>
        </w:tc>
        <w:tc>
          <w:tcPr>
            <w:tcW w:w="1404" w:type="dxa"/>
          </w:tcPr>
          <w:p w14:paraId="57E7F634">
            <w:pPr>
              <w:spacing w:line="400" w:lineRule="exact"/>
              <w:rPr>
                <w:rFonts w:ascii="新宋体" w:hAnsi="新宋体" w:eastAsia="新宋体" w:cs="新宋体"/>
                <w:color w:val="auto"/>
                <w:sz w:val="22"/>
                <w:szCs w:val="22"/>
                <w:highlight w:val="none"/>
              </w:rPr>
            </w:pPr>
          </w:p>
        </w:tc>
        <w:tc>
          <w:tcPr>
            <w:tcW w:w="796" w:type="dxa"/>
          </w:tcPr>
          <w:p w14:paraId="47890108">
            <w:pPr>
              <w:spacing w:line="400" w:lineRule="exact"/>
              <w:rPr>
                <w:rFonts w:ascii="新宋体" w:hAnsi="新宋体" w:eastAsia="新宋体" w:cs="新宋体"/>
                <w:color w:val="auto"/>
                <w:sz w:val="22"/>
                <w:szCs w:val="22"/>
                <w:highlight w:val="none"/>
              </w:rPr>
            </w:pPr>
          </w:p>
        </w:tc>
        <w:tc>
          <w:tcPr>
            <w:tcW w:w="3704" w:type="dxa"/>
          </w:tcPr>
          <w:p w14:paraId="43F0FBE3">
            <w:pPr>
              <w:spacing w:line="400" w:lineRule="exact"/>
              <w:rPr>
                <w:rFonts w:ascii="新宋体" w:hAnsi="新宋体" w:eastAsia="新宋体" w:cs="新宋体"/>
                <w:color w:val="auto"/>
                <w:sz w:val="22"/>
                <w:szCs w:val="22"/>
                <w:highlight w:val="none"/>
              </w:rPr>
            </w:pPr>
          </w:p>
        </w:tc>
        <w:tc>
          <w:tcPr>
            <w:tcW w:w="1568" w:type="dxa"/>
          </w:tcPr>
          <w:p w14:paraId="10C0AF8C">
            <w:pPr>
              <w:spacing w:line="400" w:lineRule="exact"/>
              <w:rPr>
                <w:rFonts w:ascii="新宋体" w:hAnsi="新宋体" w:eastAsia="新宋体" w:cs="新宋体"/>
                <w:color w:val="auto"/>
                <w:sz w:val="22"/>
                <w:szCs w:val="22"/>
                <w:highlight w:val="none"/>
              </w:rPr>
            </w:pPr>
          </w:p>
        </w:tc>
      </w:tr>
      <w:tr w14:paraId="5F340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vAlign w:val="center"/>
          </w:tcPr>
          <w:p w14:paraId="61B219A5">
            <w:pPr>
              <w:spacing w:line="400" w:lineRule="exact"/>
              <w:jc w:val="center"/>
              <w:rPr>
                <w:rFonts w:ascii="新宋体" w:hAnsi="新宋体" w:eastAsia="新宋体" w:cs="新宋体"/>
                <w:color w:val="auto"/>
                <w:sz w:val="22"/>
                <w:szCs w:val="22"/>
                <w:highlight w:val="none"/>
              </w:rPr>
            </w:pPr>
          </w:p>
        </w:tc>
        <w:tc>
          <w:tcPr>
            <w:tcW w:w="1240" w:type="dxa"/>
          </w:tcPr>
          <w:p w14:paraId="753D808C">
            <w:pPr>
              <w:spacing w:line="400" w:lineRule="exact"/>
              <w:rPr>
                <w:rFonts w:ascii="新宋体" w:hAnsi="新宋体" w:eastAsia="新宋体" w:cs="新宋体"/>
                <w:color w:val="auto"/>
                <w:sz w:val="22"/>
                <w:szCs w:val="22"/>
                <w:highlight w:val="none"/>
              </w:rPr>
            </w:pPr>
          </w:p>
        </w:tc>
        <w:tc>
          <w:tcPr>
            <w:tcW w:w="1404" w:type="dxa"/>
          </w:tcPr>
          <w:p w14:paraId="6F3E4181">
            <w:pPr>
              <w:spacing w:line="400" w:lineRule="exact"/>
              <w:rPr>
                <w:rFonts w:ascii="新宋体" w:hAnsi="新宋体" w:eastAsia="新宋体" w:cs="新宋体"/>
                <w:color w:val="auto"/>
                <w:sz w:val="22"/>
                <w:szCs w:val="22"/>
                <w:highlight w:val="none"/>
              </w:rPr>
            </w:pPr>
          </w:p>
        </w:tc>
        <w:tc>
          <w:tcPr>
            <w:tcW w:w="796" w:type="dxa"/>
          </w:tcPr>
          <w:p w14:paraId="105F2CF8">
            <w:pPr>
              <w:spacing w:line="400" w:lineRule="exact"/>
              <w:rPr>
                <w:rFonts w:ascii="新宋体" w:hAnsi="新宋体" w:eastAsia="新宋体" w:cs="新宋体"/>
                <w:color w:val="auto"/>
                <w:sz w:val="22"/>
                <w:szCs w:val="22"/>
                <w:highlight w:val="none"/>
              </w:rPr>
            </w:pPr>
          </w:p>
        </w:tc>
        <w:tc>
          <w:tcPr>
            <w:tcW w:w="3704" w:type="dxa"/>
          </w:tcPr>
          <w:p w14:paraId="4EDA74CD">
            <w:pPr>
              <w:spacing w:line="400" w:lineRule="exact"/>
              <w:rPr>
                <w:rFonts w:ascii="新宋体" w:hAnsi="新宋体" w:eastAsia="新宋体" w:cs="新宋体"/>
                <w:color w:val="auto"/>
                <w:sz w:val="22"/>
                <w:szCs w:val="22"/>
                <w:highlight w:val="none"/>
              </w:rPr>
            </w:pPr>
          </w:p>
        </w:tc>
        <w:tc>
          <w:tcPr>
            <w:tcW w:w="1568" w:type="dxa"/>
          </w:tcPr>
          <w:p w14:paraId="421958D9">
            <w:pPr>
              <w:spacing w:line="400" w:lineRule="exact"/>
              <w:rPr>
                <w:rFonts w:ascii="新宋体" w:hAnsi="新宋体" w:eastAsia="新宋体" w:cs="新宋体"/>
                <w:color w:val="auto"/>
                <w:sz w:val="22"/>
                <w:szCs w:val="22"/>
                <w:highlight w:val="none"/>
              </w:rPr>
            </w:pPr>
          </w:p>
        </w:tc>
      </w:tr>
      <w:tr w14:paraId="3DC5E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vAlign w:val="center"/>
          </w:tcPr>
          <w:p w14:paraId="409095A4">
            <w:pPr>
              <w:spacing w:line="400" w:lineRule="exact"/>
              <w:jc w:val="center"/>
              <w:rPr>
                <w:rFonts w:ascii="新宋体" w:hAnsi="新宋体" w:eastAsia="新宋体" w:cs="新宋体"/>
                <w:color w:val="auto"/>
                <w:sz w:val="22"/>
                <w:szCs w:val="22"/>
                <w:highlight w:val="none"/>
              </w:rPr>
            </w:pPr>
          </w:p>
        </w:tc>
        <w:tc>
          <w:tcPr>
            <w:tcW w:w="1240" w:type="dxa"/>
          </w:tcPr>
          <w:p w14:paraId="223C9F09">
            <w:pPr>
              <w:spacing w:line="400" w:lineRule="exact"/>
              <w:rPr>
                <w:rFonts w:ascii="新宋体" w:hAnsi="新宋体" w:eastAsia="新宋体" w:cs="新宋体"/>
                <w:color w:val="auto"/>
                <w:sz w:val="22"/>
                <w:szCs w:val="22"/>
                <w:highlight w:val="none"/>
              </w:rPr>
            </w:pPr>
          </w:p>
        </w:tc>
        <w:tc>
          <w:tcPr>
            <w:tcW w:w="1404" w:type="dxa"/>
          </w:tcPr>
          <w:p w14:paraId="6C533356">
            <w:pPr>
              <w:spacing w:line="400" w:lineRule="exact"/>
              <w:rPr>
                <w:rFonts w:ascii="新宋体" w:hAnsi="新宋体" w:eastAsia="新宋体" w:cs="新宋体"/>
                <w:color w:val="auto"/>
                <w:sz w:val="22"/>
                <w:szCs w:val="22"/>
                <w:highlight w:val="none"/>
              </w:rPr>
            </w:pPr>
          </w:p>
        </w:tc>
        <w:tc>
          <w:tcPr>
            <w:tcW w:w="796" w:type="dxa"/>
          </w:tcPr>
          <w:p w14:paraId="5AA7C0D5">
            <w:pPr>
              <w:spacing w:line="400" w:lineRule="exact"/>
              <w:rPr>
                <w:rFonts w:ascii="新宋体" w:hAnsi="新宋体" w:eastAsia="新宋体" w:cs="新宋体"/>
                <w:color w:val="auto"/>
                <w:sz w:val="22"/>
                <w:szCs w:val="22"/>
                <w:highlight w:val="none"/>
              </w:rPr>
            </w:pPr>
          </w:p>
        </w:tc>
        <w:tc>
          <w:tcPr>
            <w:tcW w:w="3704" w:type="dxa"/>
          </w:tcPr>
          <w:p w14:paraId="0A10F7C9">
            <w:pPr>
              <w:spacing w:line="400" w:lineRule="exact"/>
              <w:rPr>
                <w:rFonts w:ascii="新宋体" w:hAnsi="新宋体" w:eastAsia="新宋体" w:cs="新宋体"/>
                <w:color w:val="auto"/>
                <w:sz w:val="22"/>
                <w:szCs w:val="22"/>
                <w:highlight w:val="none"/>
              </w:rPr>
            </w:pPr>
          </w:p>
        </w:tc>
        <w:tc>
          <w:tcPr>
            <w:tcW w:w="1568" w:type="dxa"/>
          </w:tcPr>
          <w:p w14:paraId="71A96751">
            <w:pPr>
              <w:spacing w:line="400" w:lineRule="exact"/>
              <w:rPr>
                <w:rFonts w:ascii="新宋体" w:hAnsi="新宋体" w:eastAsia="新宋体" w:cs="新宋体"/>
                <w:color w:val="auto"/>
                <w:sz w:val="22"/>
                <w:szCs w:val="22"/>
                <w:highlight w:val="none"/>
              </w:rPr>
            </w:pPr>
          </w:p>
        </w:tc>
      </w:tr>
      <w:tr w14:paraId="100E5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vAlign w:val="center"/>
          </w:tcPr>
          <w:p w14:paraId="12DA44A8">
            <w:pPr>
              <w:spacing w:line="400" w:lineRule="exact"/>
              <w:jc w:val="center"/>
              <w:rPr>
                <w:rFonts w:ascii="新宋体" w:hAnsi="新宋体" w:eastAsia="新宋体" w:cs="新宋体"/>
                <w:color w:val="auto"/>
                <w:sz w:val="22"/>
                <w:szCs w:val="22"/>
                <w:highlight w:val="none"/>
              </w:rPr>
            </w:pPr>
          </w:p>
        </w:tc>
        <w:tc>
          <w:tcPr>
            <w:tcW w:w="1240" w:type="dxa"/>
          </w:tcPr>
          <w:p w14:paraId="224538FC">
            <w:pPr>
              <w:spacing w:line="400" w:lineRule="exact"/>
              <w:rPr>
                <w:rFonts w:ascii="新宋体" w:hAnsi="新宋体" w:eastAsia="新宋体" w:cs="新宋体"/>
                <w:color w:val="auto"/>
                <w:sz w:val="22"/>
                <w:szCs w:val="22"/>
                <w:highlight w:val="none"/>
              </w:rPr>
            </w:pPr>
          </w:p>
        </w:tc>
        <w:tc>
          <w:tcPr>
            <w:tcW w:w="1404" w:type="dxa"/>
          </w:tcPr>
          <w:p w14:paraId="056164CA">
            <w:pPr>
              <w:spacing w:line="400" w:lineRule="exact"/>
              <w:rPr>
                <w:rFonts w:ascii="新宋体" w:hAnsi="新宋体" w:eastAsia="新宋体" w:cs="新宋体"/>
                <w:color w:val="auto"/>
                <w:sz w:val="22"/>
                <w:szCs w:val="22"/>
                <w:highlight w:val="none"/>
              </w:rPr>
            </w:pPr>
          </w:p>
        </w:tc>
        <w:tc>
          <w:tcPr>
            <w:tcW w:w="796" w:type="dxa"/>
          </w:tcPr>
          <w:p w14:paraId="6A54DAC7">
            <w:pPr>
              <w:spacing w:line="400" w:lineRule="exact"/>
              <w:rPr>
                <w:rFonts w:ascii="新宋体" w:hAnsi="新宋体" w:eastAsia="新宋体" w:cs="新宋体"/>
                <w:color w:val="auto"/>
                <w:sz w:val="22"/>
                <w:szCs w:val="22"/>
                <w:highlight w:val="none"/>
              </w:rPr>
            </w:pPr>
          </w:p>
        </w:tc>
        <w:tc>
          <w:tcPr>
            <w:tcW w:w="3704" w:type="dxa"/>
          </w:tcPr>
          <w:p w14:paraId="5FC2942B">
            <w:pPr>
              <w:spacing w:line="400" w:lineRule="exact"/>
              <w:rPr>
                <w:rFonts w:ascii="新宋体" w:hAnsi="新宋体" w:eastAsia="新宋体" w:cs="新宋体"/>
                <w:color w:val="auto"/>
                <w:sz w:val="22"/>
                <w:szCs w:val="22"/>
                <w:highlight w:val="none"/>
              </w:rPr>
            </w:pPr>
          </w:p>
        </w:tc>
        <w:tc>
          <w:tcPr>
            <w:tcW w:w="1568" w:type="dxa"/>
          </w:tcPr>
          <w:p w14:paraId="77EC2EBE">
            <w:pPr>
              <w:spacing w:line="400" w:lineRule="exact"/>
              <w:rPr>
                <w:rFonts w:ascii="新宋体" w:hAnsi="新宋体" w:eastAsia="新宋体" w:cs="新宋体"/>
                <w:color w:val="auto"/>
                <w:sz w:val="22"/>
                <w:szCs w:val="22"/>
                <w:highlight w:val="none"/>
              </w:rPr>
            </w:pPr>
          </w:p>
        </w:tc>
      </w:tr>
      <w:tr w14:paraId="2919B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vAlign w:val="center"/>
          </w:tcPr>
          <w:p w14:paraId="671F63E4">
            <w:pPr>
              <w:spacing w:line="400" w:lineRule="exact"/>
              <w:jc w:val="center"/>
              <w:rPr>
                <w:rFonts w:ascii="新宋体" w:hAnsi="新宋体" w:eastAsia="新宋体" w:cs="新宋体"/>
                <w:color w:val="auto"/>
                <w:sz w:val="22"/>
                <w:szCs w:val="22"/>
                <w:highlight w:val="none"/>
              </w:rPr>
            </w:pPr>
          </w:p>
        </w:tc>
        <w:tc>
          <w:tcPr>
            <w:tcW w:w="1240" w:type="dxa"/>
          </w:tcPr>
          <w:p w14:paraId="342537E1">
            <w:pPr>
              <w:spacing w:line="400" w:lineRule="exact"/>
              <w:rPr>
                <w:rFonts w:ascii="新宋体" w:hAnsi="新宋体" w:eastAsia="新宋体" w:cs="新宋体"/>
                <w:color w:val="auto"/>
                <w:sz w:val="22"/>
                <w:szCs w:val="22"/>
                <w:highlight w:val="none"/>
              </w:rPr>
            </w:pPr>
          </w:p>
        </w:tc>
        <w:tc>
          <w:tcPr>
            <w:tcW w:w="1404" w:type="dxa"/>
          </w:tcPr>
          <w:p w14:paraId="7D990FE2">
            <w:pPr>
              <w:spacing w:line="400" w:lineRule="exact"/>
              <w:rPr>
                <w:rFonts w:ascii="新宋体" w:hAnsi="新宋体" w:eastAsia="新宋体" w:cs="新宋体"/>
                <w:color w:val="auto"/>
                <w:sz w:val="22"/>
                <w:szCs w:val="22"/>
                <w:highlight w:val="none"/>
              </w:rPr>
            </w:pPr>
          </w:p>
        </w:tc>
        <w:tc>
          <w:tcPr>
            <w:tcW w:w="796" w:type="dxa"/>
          </w:tcPr>
          <w:p w14:paraId="60B9B1C3">
            <w:pPr>
              <w:spacing w:line="400" w:lineRule="exact"/>
              <w:rPr>
                <w:rFonts w:ascii="新宋体" w:hAnsi="新宋体" w:eastAsia="新宋体" w:cs="新宋体"/>
                <w:color w:val="auto"/>
                <w:sz w:val="22"/>
                <w:szCs w:val="22"/>
                <w:highlight w:val="none"/>
              </w:rPr>
            </w:pPr>
          </w:p>
        </w:tc>
        <w:tc>
          <w:tcPr>
            <w:tcW w:w="3704" w:type="dxa"/>
          </w:tcPr>
          <w:p w14:paraId="4B3B8450">
            <w:pPr>
              <w:spacing w:line="400" w:lineRule="exact"/>
              <w:rPr>
                <w:rFonts w:ascii="新宋体" w:hAnsi="新宋体" w:eastAsia="新宋体" w:cs="新宋体"/>
                <w:color w:val="auto"/>
                <w:sz w:val="22"/>
                <w:szCs w:val="22"/>
                <w:highlight w:val="none"/>
              </w:rPr>
            </w:pPr>
          </w:p>
        </w:tc>
        <w:tc>
          <w:tcPr>
            <w:tcW w:w="1568" w:type="dxa"/>
          </w:tcPr>
          <w:p w14:paraId="11A46EC9">
            <w:pPr>
              <w:spacing w:line="400" w:lineRule="exact"/>
              <w:rPr>
                <w:rFonts w:ascii="新宋体" w:hAnsi="新宋体" w:eastAsia="新宋体" w:cs="新宋体"/>
                <w:color w:val="auto"/>
                <w:sz w:val="22"/>
                <w:szCs w:val="22"/>
                <w:highlight w:val="none"/>
              </w:rPr>
            </w:pPr>
          </w:p>
        </w:tc>
      </w:tr>
      <w:tr w14:paraId="14A58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vAlign w:val="center"/>
          </w:tcPr>
          <w:p w14:paraId="7727CB5C">
            <w:pPr>
              <w:spacing w:line="400" w:lineRule="exact"/>
              <w:jc w:val="center"/>
              <w:rPr>
                <w:rFonts w:ascii="新宋体" w:hAnsi="新宋体" w:eastAsia="新宋体" w:cs="新宋体"/>
                <w:color w:val="auto"/>
                <w:sz w:val="22"/>
                <w:szCs w:val="22"/>
                <w:highlight w:val="none"/>
              </w:rPr>
            </w:pPr>
          </w:p>
        </w:tc>
        <w:tc>
          <w:tcPr>
            <w:tcW w:w="1240" w:type="dxa"/>
          </w:tcPr>
          <w:p w14:paraId="7A1C8CA6">
            <w:pPr>
              <w:spacing w:line="400" w:lineRule="exact"/>
              <w:rPr>
                <w:rFonts w:ascii="新宋体" w:hAnsi="新宋体" w:eastAsia="新宋体" w:cs="新宋体"/>
                <w:color w:val="auto"/>
                <w:sz w:val="22"/>
                <w:szCs w:val="22"/>
                <w:highlight w:val="none"/>
              </w:rPr>
            </w:pPr>
          </w:p>
        </w:tc>
        <w:tc>
          <w:tcPr>
            <w:tcW w:w="1404" w:type="dxa"/>
          </w:tcPr>
          <w:p w14:paraId="67DF0F87">
            <w:pPr>
              <w:spacing w:line="400" w:lineRule="exact"/>
              <w:rPr>
                <w:rFonts w:ascii="新宋体" w:hAnsi="新宋体" w:eastAsia="新宋体" w:cs="新宋体"/>
                <w:color w:val="auto"/>
                <w:sz w:val="22"/>
                <w:szCs w:val="22"/>
                <w:highlight w:val="none"/>
              </w:rPr>
            </w:pPr>
          </w:p>
        </w:tc>
        <w:tc>
          <w:tcPr>
            <w:tcW w:w="796" w:type="dxa"/>
          </w:tcPr>
          <w:p w14:paraId="173D431C">
            <w:pPr>
              <w:spacing w:line="400" w:lineRule="exact"/>
              <w:rPr>
                <w:rFonts w:ascii="新宋体" w:hAnsi="新宋体" w:eastAsia="新宋体" w:cs="新宋体"/>
                <w:color w:val="auto"/>
                <w:sz w:val="22"/>
                <w:szCs w:val="22"/>
                <w:highlight w:val="none"/>
              </w:rPr>
            </w:pPr>
          </w:p>
        </w:tc>
        <w:tc>
          <w:tcPr>
            <w:tcW w:w="3704" w:type="dxa"/>
          </w:tcPr>
          <w:p w14:paraId="05DD0B53">
            <w:pPr>
              <w:spacing w:line="400" w:lineRule="exact"/>
              <w:rPr>
                <w:rFonts w:ascii="新宋体" w:hAnsi="新宋体" w:eastAsia="新宋体" w:cs="新宋体"/>
                <w:color w:val="auto"/>
                <w:sz w:val="22"/>
                <w:szCs w:val="22"/>
                <w:highlight w:val="none"/>
              </w:rPr>
            </w:pPr>
          </w:p>
        </w:tc>
        <w:tc>
          <w:tcPr>
            <w:tcW w:w="1568" w:type="dxa"/>
          </w:tcPr>
          <w:p w14:paraId="63232954">
            <w:pPr>
              <w:spacing w:line="400" w:lineRule="exact"/>
              <w:rPr>
                <w:rFonts w:ascii="新宋体" w:hAnsi="新宋体" w:eastAsia="新宋体" w:cs="新宋体"/>
                <w:color w:val="auto"/>
                <w:sz w:val="22"/>
                <w:szCs w:val="22"/>
                <w:highlight w:val="none"/>
              </w:rPr>
            </w:pPr>
          </w:p>
        </w:tc>
      </w:tr>
      <w:tr w14:paraId="6F6D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vAlign w:val="center"/>
          </w:tcPr>
          <w:p w14:paraId="24E48FBE">
            <w:pPr>
              <w:spacing w:line="400" w:lineRule="exact"/>
              <w:jc w:val="center"/>
              <w:rPr>
                <w:rFonts w:ascii="新宋体" w:hAnsi="新宋体" w:eastAsia="新宋体" w:cs="新宋体"/>
                <w:color w:val="auto"/>
                <w:sz w:val="22"/>
                <w:szCs w:val="22"/>
                <w:highlight w:val="none"/>
              </w:rPr>
            </w:pPr>
          </w:p>
        </w:tc>
        <w:tc>
          <w:tcPr>
            <w:tcW w:w="1240" w:type="dxa"/>
          </w:tcPr>
          <w:p w14:paraId="69174CA9">
            <w:pPr>
              <w:spacing w:line="400" w:lineRule="exact"/>
              <w:rPr>
                <w:rFonts w:ascii="新宋体" w:hAnsi="新宋体" w:eastAsia="新宋体" w:cs="新宋体"/>
                <w:color w:val="auto"/>
                <w:sz w:val="22"/>
                <w:szCs w:val="22"/>
                <w:highlight w:val="none"/>
              </w:rPr>
            </w:pPr>
          </w:p>
        </w:tc>
        <w:tc>
          <w:tcPr>
            <w:tcW w:w="1404" w:type="dxa"/>
          </w:tcPr>
          <w:p w14:paraId="395D8A45">
            <w:pPr>
              <w:spacing w:line="400" w:lineRule="exact"/>
              <w:rPr>
                <w:rFonts w:ascii="新宋体" w:hAnsi="新宋体" w:eastAsia="新宋体" w:cs="新宋体"/>
                <w:color w:val="auto"/>
                <w:sz w:val="22"/>
                <w:szCs w:val="22"/>
                <w:highlight w:val="none"/>
              </w:rPr>
            </w:pPr>
          </w:p>
        </w:tc>
        <w:tc>
          <w:tcPr>
            <w:tcW w:w="796" w:type="dxa"/>
          </w:tcPr>
          <w:p w14:paraId="60C4DDAB">
            <w:pPr>
              <w:spacing w:line="400" w:lineRule="exact"/>
              <w:rPr>
                <w:rFonts w:ascii="新宋体" w:hAnsi="新宋体" w:eastAsia="新宋体" w:cs="新宋体"/>
                <w:color w:val="auto"/>
                <w:sz w:val="22"/>
                <w:szCs w:val="22"/>
                <w:highlight w:val="none"/>
              </w:rPr>
            </w:pPr>
          </w:p>
        </w:tc>
        <w:tc>
          <w:tcPr>
            <w:tcW w:w="3704" w:type="dxa"/>
          </w:tcPr>
          <w:p w14:paraId="4DB0648A">
            <w:pPr>
              <w:spacing w:line="400" w:lineRule="exact"/>
              <w:rPr>
                <w:rFonts w:ascii="新宋体" w:hAnsi="新宋体" w:eastAsia="新宋体" w:cs="新宋体"/>
                <w:color w:val="auto"/>
                <w:sz w:val="22"/>
                <w:szCs w:val="22"/>
                <w:highlight w:val="none"/>
              </w:rPr>
            </w:pPr>
          </w:p>
        </w:tc>
        <w:tc>
          <w:tcPr>
            <w:tcW w:w="1568" w:type="dxa"/>
          </w:tcPr>
          <w:p w14:paraId="0F266EBA">
            <w:pPr>
              <w:spacing w:line="400" w:lineRule="exact"/>
              <w:rPr>
                <w:rFonts w:ascii="新宋体" w:hAnsi="新宋体" w:eastAsia="新宋体" w:cs="新宋体"/>
                <w:color w:val="auto"/>
                <w:sz w:val="22"/>
                <w:szCs w:val="22"/>
                <w:highlight w:val="none"/>
              </w:rPr>
            </w:pPr>
          </w:p>
        </w:tc>
      </w:tr>
      <w:tr w14:paraId="4EFC4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vAlign w:val="center"/>
          </w:tcPr>
          <w:p w14:paraId="04048FE3">
            <w:pPr>
              <w:spacing w:line="400" w:lineRule="exact"/>
              <w:jc w:val="center"/>
              <w:rPr>
                <w:rFonts w:ascii="新宋体" w:hAnsi="新宋体" w:eastAsia="新宋体" w:cs="新宋体"/>
                <w:color w:val="auto"/>
                <w:sz w:val="22"/>
                <w:szCs w:val="22"/>
                <w:highlight w:val="none"/>
              </w:rPr>
            </w:pPr>
          </w:p>
        </w:tc>
        <w:tc>
          <w:tcPr>
            <w:tcW w:w="1240" w:type="dxa"/>
          </w:tcPr>
          <w:p w14:paraId="273FF9C2">
            <w:pPr>
              <w:spacing w:line="400" w:lineRule="exact"/>
              <w:rPr>
                <w:rFonts w:ascii="新宋体" w:hAnsi="新宋体" w:eastAsia="新宋体" w:cs="新宋体"/>
                <w:color w:val="auto"/>
                <w:sz w:val="22"/>
                <w:szCs w:val="22"/>
                <w:highlight w:val="none"/>
              </w:rPr>
            </w:pPr>
          </w:p>
        </w:tc>
        <w:tc>
          <w:tcPr>
            <w:tcW w:w="1404" w:type="dxa"/>
          </w:tcPr>
          <w:p w14:paraId="65C09C42">
            <w:pPr>
              <w:spacing w:line="400" w:lineRule="exact"/>
              <w:rPr>
                <w:rFonts w:ascii="新宋体" w:hAnsi="新宋体" w:eastAsia="新宋体" w:cs="新宋体"/>
                <w:color w:val="auto"/>
                <w:sz w:val="22"/>
                <w:szCs w:val="22"/>
                <w:highlight w:val="none"/>
              </w:rPr>
            </w:pPr>
          </w:p>
        </w:tc>
        <w:tc>
          <w:tcPr>
            <w:tcW w:w="796" w:type="dxa"/>
          </w:tcPr>
          <w:p w14:paraId="2E0BB900">
            <w:pPr>
              <w:spacing w:line="400" w:lineRule="exact"/>
              <w:rPr>
                <w:rFonts w:ascii="新宋体" w:hAnsi="新宋体" w:eastAsia="新宋体" w:cs="新宋体"/>
                <w:color w:val="auto"/>
                <w:sz w:val="22"/>
                <w:szCs w:val="22"/>
                <w:highlight w:val="none"/>
              </w:rPr>
            </w:pPr>
          </w:p>
        </w:tc>
        <w:tc>
          <w:tcPr>
            <w:tcW w:w="3704" w:type="dxa"/>
          </w:tcPr>
          <w:p w14:paraId="1C5EDB74">
            <w:pPr>
              <w:spacing w:line="400" w:lineRule="exact"/>
              <w:rPr>
                <w:rFonts w:ascii="新宋体" w:hAnsi="新宋体" w:eastAsia="新宋体" w:cs="新宋体"/>
                <w:color w:val="auto"/>
                <w:sz w:val="22"/>
                <w:szCs w:val="22"/>
                <w:highlight w:val="none"/>
              </w:rPr>
            </w:pPr>
          </w:p>
        </w:tc>
        <w:tc>
          <w:tcPr>
            <w:tcW w:w="1568" w:type="dxa"/>
          </w:tcPr>
          <w:p w14:paraId="4D8C80DE">
            <w:pPr>
              <w:spacing w:line="400" w:lineRule="exact"/>
              <w:rPr>
                <w:rFonts w:ascii="新宋体" w:hAnsi="新宋体" w:eastAsia="新宋体" w:cs="新宋体"/>
                <w:color w:val="auto"/>
                <w:sz w:val="22"/>
                <w:szCs w:val="22"/>
                <w:highlight w:val="none"/>
              </w:rPr>
            </w:pPr>
          </w:p>
        </w:tc>
      </w:tr>
      <w:tr w14:paraId="5D13E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vAlign w:val="center"/>
          </w:tcPr>
          <w:p w14:paraId="03DAB82E">
            <w:pPr>
              <w:spacing w:line="400" w:lineRule="exact"/>
              <w:jc w:val="center"/>
              <w:rPr>
                <w:rFonts w:ascii="新宋体" w:hAnsi="新宋体" w:eastAsia="新宋体" w:cs="新宋体"/>
                <w:color w:val="auto"/>
                <w:sz w:val="22"/>
                <w:szCs w:val="22"/>
                <w:highlight w:val="none"/>
              </w:rPr>
            </w:pPr>
          </w:p>
        </w:tc>
        <w:tc>
          <w:tcPr>
            <w:tcW w:w="1240" w:type="dxa"/>
          </w:tcPr>
          <w:p w14:paraId="435B652F">
            <w:pPr>
              <w:spacing w:line="400" w:lineRule="exact"/>
              <w:rPr>
                <w:rFonts w:ascii="新宋体" w:hAnsi="新宋体" w:eastAsia="新宋体" w:cs="新宋体"/>
                <w:color w:val="auto"/>
                <w:sz w:val="22"/>
                <w:szCs w:val="22"/>
                <w:highlight w:val="none"/>
              </w:rPr>
            </w:pPr>
          </w:p>
        </w:tc>
        <w:tc>
          <w:tcPr>
            <w:tcW w:w="1404" w:type="dxa"/>
          </w:tcPr>
          <w:p w14:paraId="1BE4ED66">
            <w:pPr>
              <w:spacing w:line="400" w:lineRule="exact"/>
              <w:rPr>
                <w:rFonts w:ascii="新宋体" w:hAnsi="新宋体" w:eastAsia="新宋体" w:cs="新宋体"/>
                <w:color w:val="auto"/>
                <w:sz w:val="22"/>
                <w:szCs w:val="22"/>
                <w:highlight w:val="none"/>
              </w:rPr>
            </w:pPr>
          </w:p>
        </w:tc>
        <w:tc>
          <w:tcPr>
            <w:tcW w:w="796" w:type="dxa"/>
          </w:tcPr>
          <w:p w14:paraId="41BC66F7">
            <w:pPr>
              <w:spacing w:line="400" w:lineRule="exact"/>
              <w:rPr>
                <w:rFonts w:ascii="新宋体" w:hAnsi="新宋体" w:eastAsia="新宋体" w:cs="新宋体"/>
                <w:color w:val="auto"/>
                <w:sz w:val="22"/>
                <w:szCs w:val="22"/>
                <w:highlight w:val="none"/>
              </w:rPr>
            </w:pPr>
          </w:p>
        </w:tc>
        <w:tc>
          <w:tcPr>
            <w:tcW w:w="3704" w:type="dxa"/>
          </w:tcPr>
          <w:p w14:paraId="28A1057E">
            <w:pPr>
              <w:spacing w:line="400" w:lineRule="exact"/>
              <w:rPr>
                <w:rFonts w:ascii="新宋体" w:hAnsi="新宋体" w:eastAsia="新宋体" w:cs="新宋体"/>
                <w:color w:val="auto"/>
                <w:sz w:val="22"/>
                <w:szCs w:val="22"/>
                <w:highlight w:val="none"/>
              </w:rPr>
            </w:pPr>
          </w:p>
        </w:tc>
        <w:tc>
          <w:tcPr>
            <w:tcW w:w="1568" w:type="dxa"/>
          </w:tcPr>
          <w:p w14:paraId="09E973C1">
            <w:pPr>
              <w:spacing w:line="400" w:lineRule="exact"/>
              <w:rPr>
                <w:rFonts w:ascii="新宋体" w:hAnsi="新宋体" w:eastAsia="新宋体" w:cs="新宋体"/>
                <w:color w:val="auto"/>
                <w:sz w:val="22"/>
                <w:szCs w:val="22"/>
                <w:highlight w:val="none"/>
              </w:rPr>
            </w:pPr>
          </w:p>
        </w:tc>
      </w:tr>
      <w:tr w14:paraId="20CCB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vAlign w:val="center"/>
          </w:tcPr>
          <w:p w14:paraId="5EE9CA39">
            <w:pPr>
              <w:spacing w:line="400" w:lineRule="exact"/>
              <w:jc w:val="center"/>
              <w:rPr>
                <w:rFonts w:ascii="新宋体" w:hAnsi="新宋体" w:eastAsia="新宋体" w:cs="新宋体"/>
                <w:color w:val="auto"/>
                <w:sz w:val="22"/>
                <w:szCs w:val="22"/>
                <w:highlight w:val="none"/>
              </w:rPr>
            </w:pPr>
          </w:p>
        </w:tc>
        <w:tc>
          <w:tcPr>
            <w:tcW w:w="1240" w:type="dxa"/>
          </w:tcPr>
          <w:p w14:paraId="351A409C">
            <w:pPr>
              <w:spacing w:line="400" w:lineRule="exact"/>
              <w:rPr>
                <w:rFonts w:ascii="新宋体" w:hAnsi="新宋体" w:eastAsia="新宋体" w:cs="新宋体"/>
                <w:color w:val="auto"/>
                <w:sz w:val="22"/>
                <w:szCs w:val="22"/>
                <w:highlight w:val="none"/>
              </w:rPr>
            </w:pPr>
          </w:p>
        </w:tc>
        <w:tc>
          <w:tcPr>
            <w:tcW w:w="1404" w:type="dxa"/>
          </w:tcPr>
          <w:p w14:paraId="7FBF6643">
            <w:pPr>
              <w:spacing w:line="400" w:lineRule="exact"/>
              <w:rPr>
                <w:rFonts w:ascii="新宋体" w:hAnsi="新宋体" w:eastAsia="新宋体" w:cs="新宋体"/>
                <w:color w:val="auto"/>
                <w:sz w:val="22"/>
                <w:szCs w:val="22"/>
                <w:highlight w:val="none"/>
              </w:rPr>
            </w:pPr>
          </w:p>
        </w:tc>
        <w:tc>
          <w:tcPr>
            <w:tcW w:w="796" w:type="dxa"/>
          </w:tcPr>
          <w:p w14:paraId="4706B13A">
            <w:pPr>
              <w:spacing w:line="400" w:lineRule="exact"/>
              <w:rPr>
                <w:rFonts w:ascii="新宋体" w:hAnsi="新宋体" w:eastAsia="新宋体" w:cs="新宋体"/>
                <w:color w:val="auto"/>
                <w:sz w:val="22"/>
                <w:szCs w:val="22"/>
                <w:highlight w:val="none"/>
              </w:rPr>
            </w:pPr>
          </w:p>
        </w:tc>
        <w:tc>
          <w:tcPr>
            <w:tcW w:w="3704" w:type="dxa"/>
          </w:tcPr>
          <w:p w14:paraId="19F2267A">
            <w:pPr>
              <w:spacing w:line="400" w:lineRule="exact"/>
              <w:rPr>
                <w:rFonts w:ascii="新宋体" w:hAnsi="新宋体" w:eastAsia="新宋体" w:cs="新宋体"/>
                <w:color w:val="auto"/>
                <w:sz w:val="22"/>
                <w:szCs w:val="22"/>
                <w:highlight w:val="none"/>
              </w:rPr>
            </w:pPr>
          </w:p>
        </w:tc>
        <w:tc>
          <w:tcPr>
            <w:tcW w:w="1568" w:type="dxa"/>
          </w:tcPr>
          <w:p w14:paraId="1688A245">
            <w:pPr>
              <w:spacing w:line="400" w:lineRule="exact"/>
              <w:rPr>
                <w:rFonts w:ascii="新宋体" w:hAnsi="新宋体" w:eastAsia="新宋体" w:cs="新宋体"/>
                <w:color w:val="auto"/>
                <w:sz w:val="22"/>
                <w:szCs w:val="22"/>
                <w:highlight w:val="none"/>
              </w:rPr>
            </w:pPr>
          </w:p>
        </w:tc>
      </w:tr>
      <w:tr w14:paraId="05637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vAlign w:val="center"/>
          </w:tcPr>
          <w:p w14:paraId="1F6529EF">
            <w:pPr>
              <w:spacing w:line="400" w:lineRule="exact"/>
              <w:jc w:val="center"/>
              <w:rPr>
                <w:rFonts w:ascii="新宋体" w:hAnsi="新宋体" w:eastAsia="新宋体" w:cs="新宋体"/>
                <w:color w:val="auto"/>
                <w:sz w:val="22"/>
                <w:szCs w:val="22"/>
                <w:highlight w:val="none"/>
              </w:rPr>
            </w:pPr>
          </w:p>
        </w:tc>
        <w:tc>
          <w:tcPr>
            <w:tcW w:w="1240" w:type="dxa"/>
          </w:tcPr>
          <w:p w14:paraId="1EAF7C07">
            <w:pPr>
              <w:spacing w:line="400" w:lineRule="exact"/>
              <w:rPr>
                <w:rFonts w:ascii="新宋体" w:hAnsi="新宋体" w:eastAsia="新宋体" w:cs="新宋体"/>
                <w:color w:val="auto"/>
                <w:sz w:val="22"/>
                <w:szCs w:val="22"/>
                <w:highlight w:val="none"/>
              </w:rPr>
            </w:pPr>
          </w:p>
        </w:tc>
        <w:tc>
          <w:tcPr>
            <w:tcW w:w="1404" w:type="dxa"/>
          </w:tcPr>
          <w:p w14:paraId="69244A8E">
            <w:pPr>
              <w:spacing w:line="400" w:lineRule="exact"/>
              <w:rPr>
                <w:rFonts w:ascii="新宋体" w:hAnsi="新宋体" w:eastAsia="新宋体" w:cs="新宋体"/>
                <w:color w:val="auto"/>
                <w:sz w:val="22"/>
                <w:szCs w:val="22"/>
                <w:highlight w:val="none"/>
              </w:rPr>
            </w:pPr>
          </w:p>
        </w:tc>
        <w:tc>
          <w:tcPr>
            <w:tcW w:w="796" w:type="dxa"/>
          </w:tcPr>
          <w:p w14:paraId="6BA2A305">
            <w:pPr>
              <w:spacing w:line="400" w:lineRule="exact"/>
              <w:rPr>
                <w:rFonts w:ascii="新宋体" w:hAnsi="新宋体" w:eastAsia="新宋体" w:cs="新宋体"/>
                <w:color w:val="auto"/>
                <w:sz w:val="22"/>
                <w:szCs w:val="22"/>
                <w:highlight w:val="none"/>
              </w:rPr>
            </w:pPr>
          </w:p>
        </w:tc>
        <w:tc>
          <w:tcPr>
            <w:tcW w:w="3704" w:type="dxa"/>
          </w:tcPr>
          <w:p w14:paraId="0655891B">
            <w:pPr>
              <w:spacing w:line="400" w:lineRule="exact"/>
              <w:rPr>
                <w:rFonts w:ascii="新宋体" w:hAnsi="新宋体" w:eastAsia="新宋体" w:cs="新宋体"/>
                <w:color w:val="auto"/>
                <w:sz w:val="22"/>
                <w:szCs w:val="22"/>
                <w:highlight w:val="none"/>
              </w:rPr>
            </w:pPr>
          </w:p>
        </w:tc>
        <w:tc>
          <w:tcPr>
            <w:tcW w:w="1568" w:type="dxa"/>
          </w:tcPr>
          <w:p w14:paraId="498B3CEA">
            <w:pPr>
              <w:spacing w:line="400" w:lineRule="exact"/>
              <w:rPr>
                <w:rFonts w:ascii="新宋体" w:hAnsi="新宋体" w:eastAsia="新宋体" w:cs="新宋体"/>
                <w:color w:val="auto"/>
                <w:sz w:val="22"/>
                <w:szCs w:val="22"/>
                <w:highlight w:val="none"/>
              </w:rPr>
            </w:pPr>
          </w:p>
        </w:tc>
      </w:tr>
      <w:tr w14:paraId="4081D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vAlign w:val="center"/>
          </w:tcPr>
          <w:p w14:paraId="261DE682">
            <w:pPr>
              <w:spacing w:line="400" w:lineRule="exact"/>
              <w:jc w:val="center"/>
              <w:rPr>
                <w:rFonts w:ascii="新宋体" w:hAnsi="新宋体" w:eastAsia="新宋体" w:cs="新宋体"/>
                <w:color w:val="auto"/>
                <w:sz w:val="22"/>
                <w:szCs w:val="22"/>
                <w:highlight w:val="none"/>
              </w:rPr>
            </w:pPr>
          </w:p>
        </w:tc>
        <w:tc>
          <w:tcPr>
            <w:tcW w:w="1240" w:type="dxa"/>
          </w:tcPr>
          <w:p w14:paraId="091ACCC2">
            <w:pPr>
              <w:spacing w:line="400" w:lineRule="exact"/>
              <w:rPr>
                <w:rFonts w:ascii="新宋体" w:hAnsi="新宋体" w:eastAsia="新宋体" w:cs="新宋体"/>
                <w:color w:val="auto"/>
                <w:sz w:val="22"/>
                <w:szCs w:val="22"/>
                <w:highlight w:val="none"/>
              </w:rPr>
            </w:pPr>
          </w:p>
        </w:tc>
        <w:tc>
          <w:tcPr>
            <w:tcW w:w="1404" w:type="dxa"/>
          </w:tcPr>
          <w:p w14:paraId="467D1050">
            <w:pPr>
              <w:spacing w:line="400" w:lineRule="exact"/>
              <w:rPr>
                <w:rFonts w:ascii="新宋体" w:hAnsi="新宋体" w:eastAsia="新宋体" w:cs="新宋体"/>
                <w:color w:val="auto"/>
                <w:sz w:val="22"/>
                <w:szCs w:val="22"/>
                <w:highlight w:val="none"/>
              </w:rPr>
            </w:pPr>
          </w:p>
        </w:tc>
        <w:tc>
          <w:tcPr>
            <w:tcW w:w="796" w:type="dxa"/>
          </w:tcPr>
          <w:p w14:paraId="6DA0A123">
            <w:pPr>
              <w:spacing w:line="400" w:lineRule="exact"/>
              <w:rPr>
                <w:rFonts w:ascii="新宋体" w:hAnsi="新宋体" w:eastAsia="新宋体" w:cs="新宋体"/>
                <w:color w:val="auto"/>
                <w:sz w:val="22"/>
                <w:szCs w:val="22"/>
                <w:highlight w:val="none"/>
              </w:rPr>
            </w:pPr>
          </w:p>
        </w:tc>
        <w:tc>
          <w:tcPr>
            <w:tcW w:w="3704" w:type="dxa"/>
          </w:tcPr>
          <w:p w14:paraId="6778EDA6">
            <w:pPr>
              <w:spacing w:line="400" w:lineRule="exact"/>
              <w:rPr>
                <w:rFonts w:ascii="新宋体" w:hAnsi="新宋体" w:eastAsia="新宋体" w:cs="新宋体"/>
                <w:color w:val="auto"/>
                <w:sz w:val="22"/>
                <w:szCs w:val="22"/>
                <w:highlight w:val="none"/>
              </w:rPr>
            </w:pPr>
          </w:p>
        </w:tc>
        <w:tc>
          <w:tcPr>
            <w:tcW w:w="1568" w:type="dxa"/>
          </w:tcPr>
          <w:p w14:paraId="6C4CFDDB">
            <w:pPr>
              <w:spacing w:line="400" w:lineRule="exact"/>
              <w:rPr>
                <w:rFonts w:ascii="新宋体" w:hAnsi="新宋体" w:eastAsia="新宋体" w:cs="新宋体"/>
                <w:color w:val="auto"/>
                <w:sz w:val="22"/>
                <w:szCs w:val="22"/>
                <w:highlight w:val="none"/>
              </w:rPr>
            </w:pPr>
          </w:p>
        </w:tc>
      </w:tr>
      <w:tr w14:paraId="5654D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vAlign w:val="center"/>
          </w:tcPr>
          <w:p w14:paraId="299B8203">
            <w:pPr>
              <w:spacing w:line="400" w:lineRule="exact"/>
              <w:jc w:val="center"/>
              <w:rPr>
                <w:rFonts w:ascii="新宋体" w:hAnsi="新宋体" w:eastAsia="新宋体" w:cs="新宋体"/>
                <w:color w:val="auto"/>
                <w:sz w:val="22"/>
                <w:szCs w:val="22"/>
                <w:highlight w:val="none"/>
              </w:rPr>
            </w:pPr>
          </w:p>
        </w:tc>
        <w:tc>
          <w:tcPr>
            <w:tcW w:w="1240" w:type="dxa"/>
          </w:tcPr>
          <w:p w14:paraId="19637666">
            <w:pPr>
              <w:spacing w:line="400" w:lineRule="exact"/>
              <w:rPr>
                <w:rFonts w:ascii="新宋体" w:hAnsi="新宋体" w:eastAsia="新宋体" w:cs="新宋体"/>
                <w:color w:val="auto"/>
                <w:sz w:val="22"/>
                <w:szCs w:val="22"/>
                <w:highlight w:val="none"/>
              </w:rPr>
            </w:pPr>
          </w:p>
        </w:tc>
        <w:tc>
          <w:tcPr>
            <w:tcW w:w="1404" w:type="dxa"/>
          </w:tcPr>
          <w:p w14:paraId="57606704">
            <w:pPr>
              <w:spacing w:line="400" w:lineRule="exact"/>
              <w:rPr>
                <w:rFonts w:ascii="新宋体" w:hAnsi="新宋体" w:eastAsia="新宋体" w:cs="新宋体"/>
                <w:color w:val="auto"/>
                <w:sz w:val="22"/>
                <w:szCs w:val="22"/>
                <w:highlight w:val="none"/>
              </w:rPr>
            </w:pPr>
          </w:p>
        </w:tc>
        <w:tc>
          <w:tcPr>
            <w:tcW w:w="796" w:type="dxa"/>
          </w:tcPr>
          <w:p w14:paraId="3E1B8679">
            <w:pPr>
              <w:spacing w:line="400" w:lineRule="exact"/>
              <w:rPr>
                <w:rFonts w:ascii="新宋体" w:hAnsi="新宋体" w:eastAsia="新宋体" w:cs="新宋体"/>
                <w:color w:val="auto"/>
                <w:sz w:val="22"/>
                <w:szCs w:val="22"/>
                <w:highlight w:val="none"/>
              </w:rPr>
            </w:pPr>
          </w:p>
        </w:tc>
        <w:tc>
          <w:tcPr>
            <w:tcW w:w="3704" w:type="dxa"/>
          </w:tcPr>
          <w:p w14:paraId="01AAE441">
            <w:pPr>
              <w:spacing w:line="400" w:lineRule="exact"/>
              <w:rPr>
                <w:rFonts w:ascii="新宋体" w:hAnsi="新宋体" w:eastAsia="新宋体" w:cs="新宋体"/>
                <w:color w:val="auto"/>
                <w:sz w:val="22"/>
                <w:szCs w:val="22"/>
                <w:highlight w:val="none"/>
              </w:rPr>
            </w:pPr>
          </w:p>
        </w:tc>
        <w:tc>
          <w:tcPr>
            <w:tcW w:w="1568" w:type="dxa"/>
          </w:tcPr>
          <w:p w14:paraId="4D728C74">
            <w:pPr>
              <w:spacing w:line="400" w:lineRule="exact"/>
              <w:rPr>
                <w:rFonts w:ascii="新宋体" w:hAnsi="新宋体" w:eastAsia="新宋体" w:cs="新宋体"/>
                <w:color w:val="auto"/>
                <w:sz w:val="22"/>
                <w:szCs w:val="22"/>
                <w:highlight w:val="none"/>
              </w:rPr>
            </w:pPr>
          </w:p>
        </w:tc>
      </w:tr>
      <w:tr w14:paraId="0539C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vAlign w:val="center"/>
          </w:tcPr>
          <w:p w14:paraId="78D7F2DF">
            <w:pPr>
              <w:spacing w:line="400" w:lineRule="exact"/>
              <w:jc w:val="center"/>
              <w:rPr>
                <w:rFonts w:ascii="新宋体" w:hAnsi="新宋体" w:eastAsia="新宋体" w:cs="新宋体"/>
                <w:color w:val="auto"/>
                <w:sz w:val="22"/>
                <w:szCs w:val="22"/>
                <w:highlight w:val="none"/>
              </w:rPr>
            </w:pPr>
          </w:p>
        </w:tc>
        <w:tc>
          <w:tcPr>
            <w:tcW w:w="1240" w:type="dxa"/>
          </w:tcPr>
          <w:p w14:paraId="64EFD1D1">
            <w:pPr>
              <w:spacing w:line="400" w:lineRule="exact"/>
              <w:rPr>
                <w:rFonts w:ascii="新宋体" w:hAnsi="新宋体" w:eastAsia="新宋体" w:cs="新宋体"/>
                <w:color w:val="auto"/>
                <w:sz w:val="22"/>
                <w:szCs w:val="22"/>
                <w:highlight w:val="none"/>
              </w:rPr>
            </w:pPr>
          </w:p>
        </w:tc>
        <w:tc>
          <w:tcPr>
            <w:tcW w:w="1404" w:type="dxa"/>
          </w:tcPr>
          <w:p w14:paraId="293FBB35">
            <w:pPr>
              <w:spacing w:line="400" w:lineRule="exact"/>
              <w:rPr>
                <w:rFonts w:ascii="新宋体" w:hAnsi="新宋体" w:eastAsia="新宋体" w:cs="新宋体"/>
                <w:color w:val="auto"/>
                <w:sz w:val="22"/>
                <w:szCs w:val="22"/>
                <w:highlight w:val="none"/>
              </w:rPr>
            </w:pPr>
          </w:p>
        </w:tc>
        <w:tc>
          <w:tcPr>
            <w:tcW w:w="796" w:type="dxa"/>
          </w:tcPr>
          <w:p w14:paraId="4317DECD">
            <w:pPr>
              <w:spacing w:line="400" w:lineRule="exact"/>
              <w:rPr>
                <w:rFonts w:ascii="新宋体" w:hAnsi="新宋体" w:eastAsia="新宋体" w:cs="新宋体"/>
                <w:color w:val="auto"/>
                <w:sz w:val="22"/>
                <w:szCs w:val="22"/>
                <w:highlight w:val="none"/>
              </w:rPr>
            </w:pPr>
          </w:p>
        </w:tc>
        <w:tc>
          <w:tcPr>
            <w:tcW w:w="3704" w:type="dxa"/>
          </w:tcPr>
          <w:p w14:paraId="3E64D10D">
            <w:pPr>
              <w:spacing w:line="400" w:lineRule="exact"/>
              <w:rPr>
                <w:rFonts w:ascii="新宋体" w:hAnsi="新宋体" w:eastAsia="新宋体" w:cs="新宋体"/>
                <w:color w:val="auto"/>
                <w:sz w:val="22"/>
                <w:szCs w:val="22"/>
                <w:highlight w:val="none"/>
              </w:rPr>
            </w:pPr>
          </w:p>
        </w:tc>
        <w:tc>
          <w:tcPr>
            <w:tcW w:w="1568" w:type="dxa"/>
          </w:tcPr>
          <w:p w14:paraId="651B2E28">
            <w:pPr>
              <w:spacing w:line="400" w:lineRule="exact"/>
              <w:rPr>
                <w:rFonts w:ascii="新宋体" w:hAnsi="新宋体" w:eastAsia="新宋体" w:cs="新宋体"/>
                <w:color w:val="auto"/>
                <w:sz w:val="22"/>
                <w:szCs w:val="22"/>
                <w:highlight w:val="none"/>
              </w:rPr>
            </w:pPr>
          </w:p>
        </w:tc>
      </w:tr>
      <w:tr w14:paraId="76E57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vAlign w:val="center"/>
          </w:tcPr>
          <w:p w14:paraId="6B1F0E58">
            <w:pPr>
              <w:spacing w:line="400" w:lineRule="exact"/>
              <w:jc w:val="center"/>
              <w:rPr>
                <w:rFonts w:ascii="新宋体" w:hAnsi="新宋体" w:eastAsia="新宋体" w:cs="新宋体"/>
                <w:color w:val="auto"/>
                <w:sz w:val="22"/>
                <w:szCs w:val="22"/>
                <w:highlight w:val="none"/>
              </w:rPr>
            </w:pPr>
          </w:p>
        </w:tc>
        <w:tc>
          <w:tcPr>
            <w:tcW w:w="1240" w:type="dxa"/>
          </w:tcPr>
          <w:p w14:paraId="4C6700A8">
            <w:pPr>
              <w:spacing w:line="400" w:lineRule="exact"/>
              <w:rPr>
                <w:rFonts w:ascii="新宋体" w:hAnsi="新宋体" w:eastAsia="新宋体" w:cs="新宋体"/>
                <w:color w:val="auto"/>
                <w:sz w:val="22"/>
                <w:szCs w:val="22"/>
                <w:highlight w:val="none"/>
              </w:rPr>
            </w:pPr>
          </w:p>
        </w:tc>
        <w:tc>
          <w:tcPr>
            <w:tcW w:w="1404" w:type="dxa"/>
          </w:tcPr>
          <w:p w14:paraId="0B0451D9">
            <w:pPr>
              <w:spacing w:line="400" w:lineRule="exact"/>
              <w:rPr>
                <w:rFonts w:ascii="新宋体" w:hAnsi="新宋体" w:eastAsia="新宋体" w:cs="新宋体"/>
                <w:color w:val="auto"/>
                <w:sz w:val="22"/>
                <w:szCs w:val="22"/>
                <w:highlight w:val="none"/>
              </w:rPr>
            </w:pPr>
          </w:p>
        </w:tc>
        <w:tc>
          <w:tcPr>
            <w:tcW w:w="796" w:type="dxa"/>
          </w:tcPr>
          <w:p w14:paraId="21F576E2">
            <w:pPr>
              <w:spacing w:line="400" w:lineRule="exact"/>
              <w:rPr>
                <w:rFonts w:ascii="新宋体" w:hAnsi="新宋体" w:eastAsia="新宋体" w:cs="新宋体"/>
                <w:color w:val="auto"/>
                <w:sz w:val="22"/>
                <w:szCs w:val="22"/>
                <w:highlight w:val="none"/>
              </w:rPr>
            </w:pPr>
          </w:p>
        </w:tc>
        <w:tc>
          <w:tcPr>
            <w:tcW w:w="3704" w:type="dxa"/>
          </w:tcPr>
          <w:p w14:paraId="4A1046F1">
            <w:pPr>
              <w:spacing w:line="400" w:lineRule="exact"/>
              <w:rPr>
                <w:rFonts w:ascii="新宋体" w:hAnsi="新宋体" w:eastAsia="新宋体" w:cs="新宋体"/>
                <w:color w:val="auto"/>
                <w:sz w:val="22"/>
                <w:szCs w:val="22"/>
                <w:highlight w:val="none"/>
              </w:rPr>
            </w:pPr>
          </w:p>
        </w:tc>
        <w:tc>
          <w:tcPr>
            <w:tcW w:w="1568" w:type="dxa"/>
          </w:tcPr>
          <w:p w14:paraId="29E5E6D2">
            <w:pPr>
              <w:spacing w:line="400" w:lineRule="exact"/>
              <w:rPr>
                <w:rFonts w:ascii="新宋体" w:hAnsi="新宋体" w:eastAsia="新宋体" w:cs="新宋体"/>
                <w:color w:val="auto"/>
                <w:sz w:val="22"/>
                <w:szCs w:val="22"/>
                <w:highlight w:val="none"/>
              </w:rPr>
            </w:pPr>
          </w:p>
        </w:tc>
      </w:tr>
      <w:tr w14:paraId="66865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vAlign w:val="center"/>
          </w:tcPr>
          <w:p w14:paraId="4E4B1E84">
            <w:pPr>
              <w:spacing w:line="400" w:lineRule="exact"/>
              <w:jc w:val="center"/>
              <w:rPr>
                <w:rFonts w:ascii="新宋体" w:hAnsi="新宋体" w:eastAsia="新宋体" w:cs="新宋体"/>
                <w:color w:val="auto"/>
                <w:sz w:val="22"/>
                <w:szCs w:val="22"/>
                <w:highlight w:val="none"/>
              </w:rPr>
            </w:pPr>
          </w:p>
        </w:tc>
        <w:tc>
          <w:tcPr>
            <w:tcW w:w="1240" w:type="dxa"/>
          </w:tcPr>
          <w:p w14:paraId="044B7ED7">
            <w:pPr>
              <w:spacing w:line="400" w:lineRule="exact"/>
              <w:rPr>
                <w:rFonts w:ascii="新宋体" w:hAnsi="新宋体" w:eastAsia="新宋体" w:cs="新宋体"/>
                <w:color w:val="auto"/>
                <w:sz w:val="22"/>
                <w:szCs w:val="22"/>
                <w:highlight w:val="none"/>
              </w:rPr>
            </w:pPr>
          </w:p>
        </w:tc>
        <w:tc>
          <w:tcPr>
            <w:tcW w:w="1404" w:type="dxa"/>
          </w:tcPr>
          <w:p w14:paraId="06589D6D">
            <w:pPr>
              <w:spacing w:line="400" w:lineRule="exact"/>
              <w:rPr>
                <w:rFonts w:ascii="新宋体" w:hAnsi="新宋体" w:eastAsia="新宋体" w:cs="新宋体"/>
                <w:color w:val="auto"/>
                <w:sz w:val="22"/>
                <w:szCs w:val="22"/>
                <w:highlight w:val="none"/>
              </w:rPr>
            </w:pPr>
          </w:p>
        </w:tc>
        <w:tc>
          <w:tcPr>
            <w:tcW w:w="796" w:type="dxa"/>
          </w:tcPr>
          <w:p w14:paraId="6ED8EC3B">
            <w:pPr>
              <w:spacing w:line="400" w:lineRule="exact"/>
              <w:rPr>
                <w:rFonts w:ascii="新宋体" w:hAnsi="新宋体" w:eastAsia="新宋体" w:cs="新宋体"/>
                <w:color w:val="auto"/>
                <w:sz w:val="22"/>
                <w:szCs w:val="22"/>
                <w:highlight w:val="none"/>
              </w:rPr>
            </w:pPr>
          </w:p>
        </w:tc>
        <w:tc>
          <w:tcPr>
            <w:tcW w:w="3704" w:type="dxa"/>
          </w:tcPr>
          <w:p w14:paraId="5AE46C5B">
            <w:pPr>
              <w:spacing w:line="400" w:lineRule="exact"/>
              <w:rPr>
                <w:rFonts w:ascii="新宋体" w:hAnsi="新宋体" w:eastAsia="新宋体" w:cs="新宋体"/>
                <w:color w:val="auto"/>
                <w:sz w:val="22"/>
                <w:szCs w:val="22"/>
                <w:highlight w:val="none"/>
              </w:rPr>
            </w:pPr>
          </w:p>
        </w:tc>
        <w:tc>
          <w:tcPr>
            <w:tcW w:w="1568" w:type="dxa"/>
          </w:tcPr>
          <w:p w14:paraId="4344F665">
            <w:pPr>
              <w:spacing w:line="400" w:lineRule="exact"/>
              <w:rPr>
                <w:rFonts w:ascii="新宋体" w:hAnsi="新宋体" w:eastAsia="新宋体" w:cs="新宋体"/>
                <w:color w:val="auto"/>
                <w:sz w:val="22"/>
                <w:szCs w:val="22"/>
                <w:highlight w:val="none"/>
              </w:rPr>
            </w:pPr>
          </w:p>
        </w:tc>
      </w:tr>
      <w:tr w14:paraId="428C8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vAlign w:val="center"/>
          </w:tcPr>
          <w:p w14:paraId="4C81E2BA">
            <w:pPr>
              <w:spacing w:line="400" w:lineRule="exact"/>
              <w:jc w:val="center"/>
              <w:rPr>
                <w:rFonts w:ascii="新宋体" w:hAnsi="新宋体" w:eastAsia="新宋体" w:cs="新宋体"/>
                <w:color w:val="auto"/>
                <w:sz w:val="22"/>
                <w:szCs w:val="22"/>
                <w:highlight w:val="none"/>
              </w:rPr>
            </w:pPr>
          </w:p>
        </w:tc>
        <w:tc>
          <w:tcPr>
            <w:tcW w:w="1240" w:type="dxa"/>
          </w:tcPr>
          <w:p w14:paraId="74D8A2EA">
            <w:pPr>
              <w:spacing w:line="400" w:lineRule="exact"/>
              <w:rPr>
                <w:rFonts w:ascii="新宋体" w:hAnsi="新宋体" w:eastAsia="新宋体" w:cs="新宋体"/>
                <w:color w:val="auto"/>
                <w:sz w:val="22"/>
                <w:szCs w:val="22"/>
                <w:highlight w:val="none"/>
              </w:rPr>
            </w:pPr>
          </w:p>
        </w:tc>
        <w:tc>
          <w:tcPr>
            <w:tcW w:w="1404" w:type="dxa"/>
          </w:tcPr>
          <w:p w14:paraId="755CEE72">
            <w:pPr>
              <w:spacing w:line="400" w:lineRule="exact"/>
              <w:rPr>
                <w:rFonts w:ascii="新宋体" w:hAnsi="新宋体" w:eastAsia="新宋体" w:cs="新宋体"/>
                <w:color w:val="auto"/>
                <w:sz w:val="22"/>
                <w:szCs w:val="22"/>
                <w:highlight w:val="none"/>
              </w:rPr>
            </w:pPr>
          </w:p>
        </w:tc>
        <w:tc>
          <w:tcPr>
            <w:tcW w:w="796" w:type="dxa"/>
          </w:tcPr>
          <w:p w14:paraId="1EEE2139">
            <w:pPr>
              <w:spacing w:line="400" w:lineRule="exact"/>
              <w:rPr>
                <w:rFonts w:ascii="新宋体" w:hAnsi="新宋体" w:eastAsia="新宋体" w:cs="新宋体"/>
                <w:color w:val="auto"/>
                <w:sz w:val="22"/>
                <w:szCs w:val="22"/>
                <w:highlight w:val="none"/>
              </w:rPr>
            </w:pPr>
          </w:p>
        </w:tc>
        <w:tc>
          <w:tcPr>
            <w:tcW w:w="3704" w:type="dxa"/>
          </w:tcPr>
          <w:p w14:paraId="0749E4C5">
            <w:pPr>
              <w:spacing w:line="400" w:lineRule="exact"/>
              <w:rPr>
                <w:rFonts w:ascii="新宋体" w:hAnsi="新宋体" w:eastAsia="新宋体" w:cs="新宋体"/>
                <w:color w:val="auto"/>
                <w:sz w:val="22"/>
                <w:szCs w:val="22"/>
                <w:highlight w:val="none"/>
              </w:rPr>
            </w:pPr>
          </w:p>
        </w:tc>
        <w:tc>
          <w:tcPr>
            <w:tcW w:w="1568" w:type="dxa"/>
          </w:tcPr>
          <w:p w14:paraId="2984DCAB">
            <w:pPr>
              <w:spacing w:line="400" w:lineRule="exact"/>
              <w:rPr>
                <w:rFonts w:ascii="新宋体" w:hAnsi="新宋体" w:eastAsia="新宋体" w:cs="新宋体"/>
                <w:color w:val="auto"/>
                <w:sz w:val="22"/>
                <w:szCs w:val="22"/>
                <w:highlight w:val="none"/>
              </w:rPr>
            </w:pPr>
          </w:p>
        </w:tc>
      </w:tr>
      <w:tr w14:paraId="66CB1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vAlign w:val="center"/>
          </w:tcPr>
          <w:p w14:paraId="3A296A5A">
            <w:pPr>
              <w:spacing w:line="400" w:lineRule="exact"/>
              <w:jc w:val="center"/>
              <w:rPr>
                <w:rFonts w:ascii="新宋体" w:hAnsi="新宋体" w:eastAsia="新宋体" w:cs="新宋体"/>
                <w:color w:val="auto"/>
                <w:sz w:val="22"/>
                <w:szCs w:val="22"/>
                <w:highlight w:val="none"/>
              </w:rPr>
            </w:pPr>
          </w:p>
        </w:tc>
        <w:tc>
          <w:tcPr>
            <w:tcW w:w="1240" w:type="dxa"/>
          </w:tcPr>
          <w:p w14:paraId="6C97BADB">
            <w:pPr>
              <w:spacing w:line="400" w:lineRule="exact"/>
              <w:rPr>
                <w:rFonts w:ascii="新宋体" w:hAnsi="新宋体" w:eastAsia="新宋体" w:cs="新宋体"/>
                <w:color w:val="auto"/>
                <w:sz w:val="22"/>
                <w:szCs w:val="22"/>
                <w:highlight w:val="none"/>
              </w:rPr>
            </w:pPr>
          </w:p>
        </w:tc>
        <w:tc>
          <w:tcPr>
            <w:tcW w:w="1404" w:type="dxa"/>
          </w:tcPr>
          <w:p w14:paraId="53FC7A34">
            <w:pPr>
              <w:spacing w:line="400" w:lineRule="exact"/>
              <w:rPr>
                <w:rFonts w:ascii="新宋体" w:hAnsi="新宋体" w:eastAsia="新宋体" w:cs="新宋体"/>
                <w:color w:val="auto"/>
                <w:sz w:val="22"/>
                <w:szCs w:val="22"/>
                <w:highlight w:val="none"/>
              </w:rPr>
            </w:pPr>
          </w:p>
        </w:tc>
        <w:tc>
          <w:tcPr>
            <w:tcW w:w="796" w:type="dxa"/>
          </w:tcPr>
          <w:p w14:paraId="6D4DB25D">
            <w:pPr>
              <w:spacing w:line="400" w:lineRule="exact"/>
              <w:rPr>
                <w:rFonts w:ascii="新宋体" w:hAnsi="新宋体" w:eastAsia="新宋体" w:cs="新宋体"/>
                <w:color w:val="auto"/>
                <w:sz w:val="22"/>
                <w:szCs w:val="22"/>
                <w:highlight w:val="none"/>
              </w:rPr>
            </w:pPr>
          </w:p>
        </w:tc>
        <w:tc>
          <w:tcPr>
            <w:tcW w:w="3704" w:type="dxa"/>
          </w:tcPr>
          <w:p w14:paraId="3EBB9AD6">
            <w:pPr>
              <w:spacing w:line="400" w:lineRule="exact"/>
              <w:rPr>
                <w:rFonts w:ascii="新宋体" w:hAnsi="新宋体" w:eastAsia="新宋体" w:cs="新宋体"/>
                <w:color w:val="auto"/>
                <w:sz w:val="22"/>
                <w:szCs w:val="22"/>
                <w:highlight w:val="none"/>
              </w:rPr>
            </w:pPr>
          </w:p>
        </w:tc>
        <w:tc>
          <w:tcPr>
            <w:tcW w:w="1568" w:type="dxa"/>
          </w:tcPr>
          <w:p w14:paraId="489985CD">
            <w:pPr>
              <w:spacing w:line="400" w:lineRule="exact"/>
              <w:rPr>
                <w:rFonts w:ascii="新宋体" w:hAnsi="新宋体" w:eastAsia="新宋体" w:cs="新宋体"/>
                <w:color w:val="auto"/>
                <w:sz w:val="22"/>
                <w:szCs w:val="22"/>
                <w:highlight w:val="none"/>
              </w:rPr>
            </w:pPr>
          </w:p>
        </w:tc>
      </w:tr>
      <w:tr w14:paraId="72B10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vAlign w:val="center"/>
          </w:tcPr>
          <w:p w14:paraId="1F79886A">
            <w:pPr>
              <w:spacing w:line="400" w:lineRule="exact"/>
              <w:jc w:val="center"/>
              <w:rPr>
                <w:rFonts w:ascii="新宋体" w:hAnsi="新宋体" w:eastAsia="新宋体" w:cs="新宋体"/>
                <w:color w:val="auto"/>
                <w:sz w:val="22"/>
                <w:szCs w:val="22"/>
                <w:highlight w:val="none"/>
              </w:rPr>
            </w:pPr>
          </w:p>
        </w:tc>
        <w:tc>
          <w:tcPr>
            <w:tcW w:w="1240" w:type="dxa"/>
          </w:tcPr>
          <w:p w14:paraId="78D3FEFA">
            <w:pPr>
              <w:spacing w:line="400" w:lineRule="exact"/>
              <w:rPr>
                <w:rFonts w:ascii="新宋体" w:hAnsi="新宋体" w:eastAsia="新宋体" w:cs="新宋体"/>
                <w:color w:val="auto"/>
                <w:sz w:val="22"/>
                <w:szCs w:val="22"/>
                <w:highlight w:val="none"/>
              </w:rPr>
            </w:pPr>
          </w:p>
        </w:tc>
        <w:tc>
          <w:tcPr>
            <w:tcW w:w="1404" w:type="dxa"/>
          </w:tcPr>
          <w:p w14:paraId="64851C6F">
            <w:pPr>
              <w:spacing w:line="400" w:lineRule="exact"/>
              <w:rPr>
                <w:rFonts w:ascii="新宋体" w:hAnsi="新宋体" w:eastAsia="新宋体" w:cs="新宋体"/>
                <w:color w:val="auto"/>
                <w:sz w:val="22"/>
                <w:szCs w:val="22"/>
                <w:highlight w:val="none"/>
              </w:rPr>
            </w:pPr>
          </w:p>
        </w:tc>
        <w:tc>
          <w:tcPr>
            <w:tcW w:w="796" w:type="dxa"/>
          </w:tcPr>
          <w:p w14:paraId="2A590072">
            <w:pPr>
              <w:spacing w:line="400" w:lineRule="exact"/>
              <w:rPr>
                <w:rFonts w:ascii="新宋体" w:hAnsi="新宋体" w:eastAsia="新宋体" w:cs="新宋体"/>
                <w:color w:val="auto"/>
                <w:sz w:val="22"/>
                <w:szCs w:val="22"/>
                <w:highlight w:val="none"/>
              </w:rPr>
            </w:pPr>
          </w:p>
        </w:tc>
        <w:tc>
          <w:tcPr>
            <w:tcW w:w="3704" w:type="dxa"/>
          </w:tcPr>
          <w:p w14:paraId="007ED2A6">
            <w:pPr>
              <w:spacing w:line="400" w:lineRule="exact"/>
              <w:rPr>
                <w:rFonts w:ascii="新宋体" w:hAnsi="新宋体" w:eastAsia="新宋体" w:cs="新宋体"/>
                <w:color w:val="auto"/>
                <w:sz w:val="22"/>
                <w:szCs w:val="22"/>
                <w:highlight w:val="none"/>
              </w:rPr>
            </w:pPr>
          </w:p>
        </w:tc>
        <w:tc>
          <w:tcPr>
            <w:tcW w:w="1568" w:type="dxa"/>
          </w:tcPr>
          <w:p w14:paraId="7D3FD7BE">
            <w:pPr>
              <w:spacing w:line="400" w:lineRule="exact"/>
              <w:rPr>
                <w:rFonts w:ascii="新宋体" w:hAnsi="新宋体" w:eastAsia="新宋体" w:cs="新宋体"/>
                <w:color w:val="auto"/>
                <w:sz w:val="22"/>
                <w:szCs w:val="22"/>
                <w:highlight w:val="none"/>
              </w:rPr>
            </w:pPr>
          </w:p>
        </w:tc>
      </w:tr>
    </w:tbl>
    <w:p w14:paraId="798D74C0">
      <w:pPr>
        <w:spacing w:line="400" w:lineRule="exact"/>
        <w:rPr>
          <w:rFonts w:ascii="宋体" w:hAnsi="宋体" w:cs="宋体"/>
          <w:color w:val="auto"/>
          <w:sz w:val="22"/>
          <w:szCs w:val="22"/>
          <w:highlight w:val="none"/>
        </w:rPr>
      </w:pPr>
    </w:p>
    <w:p w14:paraId="5EBA3DF3">
      <w:pPr>
        <w:spacing w:line="400" w:lineRule="exact"/>
        <w:ind w:firstLine="5280" w:firstLineChars="2400"/>
        <w:rPr>
          <w:rFonts w:ascii="宋体" w:hAnsi="宋体" w:cs="宋体"/>
          <w:color w:val="auto"/>
          <w:sz w:val="22"/>
          <w:szCs w:val="22"/>
          <w:highlight w:val="none"/>
        </w:rPr>
      </w:pPr>
      <w:r>
        <w:rPr>
          <w:rFonts w:hint="eastAsia" w:ascii="宋体" w:hAnsi="宋体" w:cs="宋体"/>
          <w:color w:val="auto"/>
          <w:sz w:val="22"/>
          <w:szCs w:val="22"/>
          <w:highlight w:val="none"/>
        </w:rPr>
        <w:t>磋商供应商全称（盖章）：</w:t>
      </w:r>
    </w:p>
    <w:p w14:paraId="268EED4E">
      <w:pPr>
        <w:spacing w:line="400" w:lineRule="exact"/>
        <w:rPr>
          <w:rFonts w:ascii="宋体" w:hAnsi="宋体" w:cs="宋体"/>
          <w:color w:val="auto"/>
          <w:sz w:val="22"/>
          <w:szCs w:val="22"/>
          <w:highlight w:val="none"/>
        </w:rPr>
      </w:pPr>
      <w:r>
        <w:rPr>
          <w:rFonts w:hint="eastAsia" w:ascii="宋体" w:hAnsi="宋体" w:cs="宋体"/>
          <w:color w:val="auto"/>
          <w:sz w:val="22"/>
          <w:szCs w:val="22"/>
          <w:highlight w:val="none"/>
        </w:rPr>
        <w:t xml:space="preserve">                                                磋商供应商代表（签字）：</w:t>
      </w:r>
    </w:p>
    <w:p w14:paraId="2889952A">
      <w:pPr>
        <w:spacing w:line="380" w:lineRule="exact"/>
        <w:rPr>
          <w:rFonts w:ascii="宋体" w:hAnsi="宋体" w:cs="宋体"/>
          <w:color w:val="auto"/>
          <w:sz w:val="22"/>
          <w:szCs w:val="22"/>
          <w:highlight w:val="none"/>
        </w:rPr>
      </w:pPr>
      <w:r>
        <w:rPr>
          <w:rFonts w:hint="eastAsia" w:ascii="宋体" w:hAnsi="宋体" w:cs="宋体"/>
          <w:color w:val="auto"/>
          <w:sz w:val="22"/>
          <w:szCs w:val="22"/>
          <w:highlight w:val="none"/>
        </w:rPr>
        <w:t xml:space="preserve">                                                日    期：</w:t>
      </w:r>
    </w:p>
    <w:p w14:paraId="4252D30E">
      <w:pPr>
        <w:rPr>
          <w:rFonts w:ascii="新宋体" w:hAnsi="新宋体" w:eastAsia="新宋体" w:cs="新宋体"/>
          <w:b/>
          <w:color w:val="auto"/>
          <w:sz w:val="24"/>
          <w:highlight w:val="none"/>
        </w:rPr>
      </w:pPr>
      <w:r>
        <w:rPr>
          <w:rFonts w:hint="eastAsia" w:ascii="新宋体" w:hAnsi="新宋体" w:eastAsia="新宋体" w:cs="新宋体"/>
          <w:b/>
          <w:color w:val="auto"/>
          <w:sz w:val="24"/>
          <w:highlight w:val="none"/>
        </w:rPr>
        <w:br w:type="page"/>
      </w:r>
    </w:p>
    <w:p w14:paraId="5BC33DF0">
      <w:pPr>
        <w:spacing w:line="400" w:lineRule="exact"/>
        <w:jc w:val="center"/>
        <w:outlineLvl w:val="3"/>
        <w:rPr>
          <w:rFonts w:ascii="宋体" w:hAnsi="宋体" w:cs="宋体"/>
          <w:b/>
          <w:bCs/>
          <w:color w:val="auto"/>
          <w:sz w:val="28"/>
          <w:szCs w:val="28"/>
          <w:highlight w:val="none"/>
          <w:lang w:val="zh-CN"/>
        </w:rPr>
      </w:pPr>
      <w:r>
        <w:rPr>
          <w:rFonts w:hint="eastAsia" w:ascii="宋体" w:hAnsi="宋体" w:cs="宋体"/>
          <w:b/>
          <w:bCs/>
          <w:color w:val="auto"/>
          <w:sz w:val="28"/>
          <w:szCs w:val="28"/>
          <w:highlight w:val="none"/>
        </w:rPr>
        <w:t>6、同类业绩</w:t>
      </w:r>
    </w:p>
    <w:p w14:paraId="77FC5604">
      <w:pPr>
        <w:spacing w:line="360" w:lineRule="auto"/>
        <w:rPr>
          <w:rFonts w:ascii="宋体" w:hAnsi="宋体" w:cs="宋体"/>
          <w:color w:val="auto"/>
          <w:sz w:val="22"/>
          <w:szCs w:val="22"/>
          <w:highlight w:val="none"/>
        </w:rPr>
      </w:pPr>
      <w:r>
        <w:rPr>
          <w:rFonts w:hint="eastAsia" w:ascii="宋体" w:hAnsi="宋体" w:cs="宋体"/>
          <w:color w:val="auto"/>
          <w:sz w:val="22"/>
          <w:szCs w:val="22"/>
          <w:highlight w:val="none"/>
        </w:rPr>
        <w:t xml:space="preserve">项目编号：  </w:t>
      </w:r>
    </w:p>
    <w:p w14:paraId="6C793447">
      <w:pPr>
        <w:keepNext/>
        <w:spacing w:line="360" w:lineRule="auto"/>
        <w:rPr>
          <w:rFonts w:hint="eastAsia" w:ascii="宋体" w:hAnsi="宋体" w:eastAsia="宋体" w:cs="宋体"/>
          <w:b/>
          <w:bCs/>
          <w:color w:val="auto"/>
          <w:sz w:val="22"/>
          <w:szCs w:val="22"/>
          <w:highlight w:val="none"/>
          <w:lang w:eastAsia="zh-CN"/>
        </w:rPr>
      </w:pPr>
      <w:r>
        <w:rPr>
          <w:rFonts w:hint="eastAsia" w:ascii="宋体" w:hAnsi="宋体" w:cs="宋体"/>
          <w:color w:val="auto"/>
          <w:sz w:val="22"/>
          <w:szCs w:val="22"/>
          <w:highlight w:val="none"/>
        </w:rPr>
        <w:t>项目名称：</w:t>
      </w:r>
      <w:r>
        <w:rPr>
          <w:rFonts w:hint="eastAsia" w:ascii="宋体" w:hAnsi="宋体" w:cs="宋体"/>
          <w:color w:val="auto"/>
          <w:sz w:val="22"/>
          <w:szCs w:val="22"/>
          <w:highlight w:val="none"/>
          <w:lang w:eastAsia="zh-CN"/>
        </w:rPr>
        <w:t>双人课桌、单人椅子（重）</w:t>
      </w:r>
    </w:p>
    <w:tbl>
      <w:tblPr>
        <w:tblStyle w:val="52"/>
        <w:tblpPr w:leftFromText="180" w:rightFromText="180" w:vertAnchor="text" w:horzAnchor="page" w:tblpX="1245" w:tblpY="16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2069"/>
        <w:gridCol w:w="2437"/>
        <w:gridCol w:w="1737"/>
        <w:gridCol w:w="1737"/>
        <w:gridCol w:w="926"/>
      </w:tblGrid>
      <w:tr w14:paraId="71346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62" w:type="dxa"/>
            <w:vAlign w:val="center"/>
          </w:tcPr>
          <w:p w14:paraId="01C45FBE">
            <w:pPr>
              <w:spacing w:line="380" w:lineRule="exact"/>
              <w:ind w:left="442" w:hanging="442" w:hangingChars="200"/>
              <w:jc w:val="center"/>
              <w:rPr>
                <w:rFonts w:ascii="宋体" w:hAnsi="宋体" w:cs="宋体"/>
                <w:b/>
                <w:bCs/>
                <w:color w:val="auto"/>
                <w:sz w:val="22"/>
                <w:szCs w:val="22"/>
                <w:highlight w:val="none"/>
              </w:rPr>
            </w:pPr>
            <w:r>
              <w:rPr>
                <w:rFonts w:hint="eastAsia" w:ascii="宋体" w:hAnsi="宋体" w:cs="宋体"/>
                <w:b/>
                <w:bCs/>
                <w:color w:val="auto"/>
                <w:sz w:val="22"/>
                <w:szCs w:val="22"/>
                <w:highlight w:val="none"/>
              </w:rPr>
              <w:t>序号</w:t>
            </w:r>
          </w:p>
        </w:tc>
        <w:tc>
          <w:tcPr>
            <w:tcW w:w="2069" w:type="dxa"/>
            <w:vAlign w:val="center"/>
          </w:tcPr>
          <w:p w14:paraId="280F2486">
            <w:pPr>
              <w:spacing w:line="380" w:lineRule="exact"/>
              <w:ind w:left="442" w:hanging="442" w:hangingChars="200"/>
              <w:jc w:val="center"/>
              <w:rPr>
                <w:rFonts w:ascii="宋体" w:hAnsi="宋体" w:cs="宋体"/>
                <w:b/>
                <w:bCs/>
                <w:color w:val="auto"/>
                <w:sz w:val="22"/>
                <w:szCs w:val="22"/>
                <w:highlight w:val="none"/>
              </w:rPr>
            </w:pPr>
            <w:r>
              <w:rPr>
                <w:rFonts w:hint="eastAsia" w:ascii="宋体" w:hAnsi="宋体" w:cs="宋体"/>
                <w:b/>
                <w:bCs/>
                <w:color w:val="auto"/>
                <w:sz w:val="22"/>
                <w:szCs w:val="22"/>
                <w:highlight w:val="none"/>
              </w:rPr>
              <w:t>用户名称</w:t>
            </w:r>
          </w:p>
        </w:tc>
        <w:tc>
          <w:tcPr>
            <w:tcW w:w="2437" w:type="dxa"/>
            <w:vAlign w:val="center"/>
          </w:tcPr>
          <w:p w14:paraId="5A677D36">
            <w:pPr>
              <w:spacing w:line="380" w:lineRule="exact"/>
              <w:ind w:left="442" w:hanging="442" w:hangingChars="200"/>
              <w:jc w:val="center"/>
              <w:rPr>
                <w:rFonts w:ascii="宋体" w:hAnsi="宋体" w:cs="宋体"/>
                <w:b/>
                <w:bCs/>
                <w:color w:val="auto"/>
                <w:sz w:val="22"/>
                <w:szCs w:val="22"/>
                <w:highlight w:val="none"/>
              </w:rPr>
            </w:pPr>
            <w:r>
              <w:rPr>
                <w:rFonts w:hint="eastAsia" w:ascii="宋体" w:hAnsi="宋体" w:cs="宋体"/>
                <w:b/>
                <w:bCs/>
                <w:color w:val="auto"/>
                <w:sz w:val="22"/>
                <w:szCs w:val="22"/>
                <w:highlight w:val="none"/>
              </w:rPr>
              <w:t>项目名称</w:t>
            </w:r>
          </w:p>
        </w:tc>
        <w:tc>
          <w:tcPr>
            <w:tcW w:w="1737" w:type="dxa"/>
            <w:vAlign w:val="center"/>
          </w:tcPr>
          <w:p w14:paraId="40C218FA">
            <w:pPr>
              <w:spacing w:line="380" w:lineRule="exact"/>
              <w:ind w:left="442" w:hanging="442" w:hangingChars="200"/>
              <w:jc w:val="center"/>
              <w:rPr>
                <w:rFonts w:ascii="宋体" w:hAnsi="宋体" w:cs="宋体"/>
                <w:b/>
                <w:bCs/>
                <w:color w:val="auto"/>
                <w:sz w:val="22"/>
                <w:szCs w:val="22"/>
                <w:highlight w:val="none"/>
              </w:rPr>
            </w:pPr>
            <w:r>
              <w:rPr>
                <w:rFonts w:hint="eastAsia" w:ascii="宋体" w:hAnsi="宋体" w:cs="宋体"/>
                <w:b/>
                <w:bCs/>
                <w:color w:val="auto"/>
                <w:sz w:val="22"/>
                <w:szCs w:val="22"/>
                <w:highlight w:val="none"/>
              </w:rPr>
              <w:t>合同金额</w:t>
            </w:r>
          </w:p>
        </w:tc>
        <w:tc>
          <w:tcPr>
            <w:tcW w:w="1737" w:type="dxa"/>
            <w:vAlign w:val="center"/>
          </w:tcPr>
          <w:p w14:paraId="52777FBA">
            <w:pPr>
              <w:spacing w:line="380" w:lineRule="exact"/>
              <w:ind w:left="442" w:hanging="442" w:hangingChars="200"/>
              <w:jc w:val="center"/>
              <w:rPr>
                <w:rFonts w:ascii="宋体" w:hAnsi="宋体" w:cs="宋体"/>
                <w:b/>
                <w:bCs/>
                <w:color w:val="auto"/>
                <w:sz w:val="22"/>
                <w:szCs w:val="22"/>
                <w:highlight w:val="none"/>
              </w:rPr>
            </w:pPr>
            <w:r>
              <w:rPr>
                <w:rFonts w:hint="eastAsia" w:ascii="宋体" w:hAnsi="宋体" w:cs="宋体"/>
                <w:b/>
                <w:bCs/>
                <w:color w:val="auto"/>
                <w:sz w:val="22"/>
                <w:szCs w:val="22"/>
                <w:highlight w:val="none"/>
              </w:rPr>
              <w:t>联系方式</w:t>
            </w:r>
          </w:p>
        </w:tc>
        <w:tc>
          <w:tcPr>
            <w:tcW w:w="926" w:type="dxa"/>
            <w:vAlign w:val="center"/>
          </w:tcPr>
          <w:p w14:paraId="0C96D568">
            <w:pPr>
              <w:spacing w:line="380" w:lineRule="exact"/>
              <w:ind w:left="442" w:hanging="442" w:hangingChars="200"/>
              <w:jc w:val="center"/>
              <w:rPr>
                <w:rFonts w:ascii="宋体" w:hAnsi="宋体" w:cs="宋体"/>
                <w:b/>
                <w:bCs/>
                <w:color w:val="auto"/>
                <w:sz w:val="22"/>
                <w:szCs w:val="22"/>
                <w:highlight w:val="none"/>
              </w:rPr>
            </w:pPr>
            <w:r>
              <w:rPr>
                <w:rFonts w:hint="eastAsia" w:ascii="宋体" w:hAnsi="宋体" w:cs="宋体"/>
                <w:b/>
                <w:bCs/>
                <w:color w:val="auto"/>
                <w:sz w:val="22"/>
                <w:szCs w:val="22"/>
                <w:highlight w:val="none"/>
              </w:rPr>
              <w:t>备注</w:t>
            </w:r>
          </w:p>
        </w:tc>
      </w:tr>
      <w:tr w14:paraId="2B649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62" w:type="dxa"/>
            <w:vAlign w:val="center"/>
          </w:tcPr>
          <w:p w14:paraId="542AE4C9">
            <w:pPr>
              <w:spacing w:line="380" w:lineRule="exact"/>
              <w:ind w:left="442" w:hanging="442" w:hangingChars="200"/>
              <w:jc w:val="center"/>
              <w:rPr>
                <w:rFonts w:ascii="宋体" w:hAnsi="宋体" w:cs="宋体"/>
                <w:b/>
                <w:bCs/>
                <w:color w:val="auto"/>
                <w:sz w:val="22"/>
                <w:szCs w:val="22"/>
                <w:highlight w:val="none"/>
              </w:rPr>
            </w:pPr>
          </w:p>
        </w:tc>
        <w:tc>
          <w:tcPr>
            <w:tcW w:w="2069" w:type="dxa"/>
            <w:vAlign w:val="center"/>
          </w:tcPr>
          <w:p w14:paraId="44A5C865">
            <w:pPr>
              <w:spacing w:line="380" w:lineRule="exact"/>
              <w:ind w:left="442" w:hanging="442" w:hangingChars="200"/>
              <w:jc w:val="center"/>
              <w:rPr>
                <w:rFonts w:ascii="宋体" w:hAnsi="宋体" w:cs="宋体"/>
                <w:b/>
                <w:bCs/>
                <w:color w:val="auto"/>
                <w:sz w:val="22"/>
                <w:szCs w:val="22"/>
                <w:highlight w:val="none"/>
              </w:rPr>
            </w:pPr>
          </w:p>
        </w:tc>
        <w:tc>
          <w:tcPr>
            <w:tcW w:w="2437" w:type="dxa"/>
            <w:vAlign w:val="center"/>
          </w:tcPr>
          <w:p w14:paraId="3B786FE5">
            <w:pPr>
              <w:spacing w:line="380" w:lineRule="exact"/>
              <w:ind w:left="442" w:hanging="442" w:hangingChars="200"/>
              <w:jc w:val="center"/>
              <w:rPr>
                <w:rFonts w:ascii="宋体" w:hAnsi="宋体" w:cs="宋体"/>
                <w:b/>
                <w:bCs/>
                <w:color w:val="auto"/>
                <w:sz w:val="22"/>
                <w:szCs w:val="22"/>
                <w:highlight w:val="none"/>
              </w:rPr>
            </w:pPr>
          </w:p>
        </w:tc>
        <w:tc>
          <w:tcPr>
            <w:tcW w:w="1737" w:type="dxa"/>
            <w:vAlign w:val="center"/>
          </w:tcPr>
          <w:p w14:paraId="3E060AC0">
            <w:pPr>
              <w:spacing w:line="380" w:lineRule="exact"/>
              <w:ind w:left="442" w:hanging="442" w:hangingChars="200"/>
              <w:jc w:val="center"/>
              <w:rPr>
                <w:rFonts w:ascii="宋体" w:hAnsi="宋体" w:cs="宋体"/>
                <w:b/>
                <w:bCs/>
                <w:color w:val="auto"/>
                <w:sz w:val="22"/>
                <w:szCs w:val="22"/>
                <w:highlight w:val="none"/>
              </w:rPr>
            </w:pPr>
          </w:p>
        </w:tc>
        <w:tc>
          <w:tcPr>
            <w:tcW w:w="1737" w:type="dxa"/>
            <w:vAlign w:val="center"/>
          </w:tcPr>
          <w:p w14:paraId="01269FA5">
            <w:pPr>
              <w:spacing w:line="380" w:lineRule="exact"/>
              <w:ind w:left="442" w:hanging="442" w:hangingChars="200"/>
              <w:jc w:val="center"/>
              <w:rPr>
                <w:rFonts w:ascii="宋体" w:hAnsi="宋体" w:cs="宋体"/>
                <w:b/>
                <w:bCs/>
                <w:color w:val="auto"/>
                <w:sz w:val="22"/>
                <w:szCs w:val="22"/>
                <w:highlight w:val="none"/>
              </w:rPr>
            </w:pPr>
          </w:p>
        </w:tc>
        <w:tc>
          <w:tcPr>
            <w:tcW w:w="926" w:type="dxa"/>
            <w:vAlign w:val="center"/>
          </w:tcPr>
          <w:p w14:paraId="16BA5115">
            <w:pPr>
              <w:spacing w:line="380" w:lineRule="exact"/>
              <w:ind w:left="442" w:hanging="442" w:hangingChars="200"/>
              <w:jc w:val="center"/>
              <w:rPr>
                <w:rFonts w:ascii="宋体" w:hAnsi="宋体" w:cs="宋体"/>
                <w:b/>
                <w:bCs/>
                <w:color w:val="auto"/>
                <w:sz w:val="22"/>
                <w:szCs w:val="22"/>
                <w:highlight w:val="none"/>
              </w:rPr>
            </w:pPr>
          </w:p>
        </w:tc>
      </w:tr>
      <w:tr w14:paraId="53969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62" w:type="dxa"/>
            <w:vAlign w:val="center"/>
          </w:tcPr>
          <w:p w14:paraId="1CB1C121">
            <w:pPr>
              <w:spacing w:line="380" w:lineRule="exact"/>
              <w:ind w:left="442" w:hanging="442" w:hangingChars="200"/>
              <w:jc w:val="center"/>
              <w:rPr>
                <w:rFonts w:ascii="宋体" w:hAnsi="宋体" w:cs="宋体"/>
                <w:b/>
                <w:bCs/>
                <w:color w:val="auto"/>
                <w:sz w:val="22"/>
                <w:szCs w:val="22"/>
                <w:highlight w:val="none"/>
              </w:rPr>
            </w:pPr>
          </w:p>
        </w:tc>
        <w:tc>
          <w:tcPr>
            <w:tcW w:w="2069" w:type="dxa"/>
            <w:vAlign w:val="center"/>
          </w:tcPr>
          <w:p w14:paraId="709C4CD3">
            <w:pPr>
              <w:spacing w:line="380" w:lineRule="exact"/>
              <w:ind w:left="442" w:hanging="442" w:hangingChars="200"/>
              <w:jc w:val="center"/>
              <w:rPr>
                <w:rFonts w:ascii="宋体" w:hAnsi="宋体" w:cs="宋体"/>
                <w:b/>
                <w:bCs/>
                <w:color w:val="auto"/>
                <w:sz w:val="22"/>
                <w:szCs w:val="22"/>
                <w:highlight w:val="none"/>
              </w:rPr>
            </w:pPr>
          </w:p>
        </w:tc>
        <w:tc>
          <w:tcPr>
            <w:tcW w:w="2437" w:type="dxa"/>
            <w:vAlign w:val="center"/>
          </w:tcPr>
          <w:p w14:paraId="4A5874EE">
            <w:pPr>
              <w:spacing w:line="380" w:lineRule="exact"/>
              <w:ind w:left="442" w:hanging="442" w:hangingChars="200"/>
              <w:jc w:val="center"/>
              <w:rPr>
                <w:rFonts w:ascii="宋体" w:hAnsi="宋体" w:cs="宋体"/>
                <w:b/>
                <w:bCs/>
                <w:color w:val="auto"/>
                <w:sz w:val="22"/>
                <w:szCs w:val="22"/>
                <w:highlight w:val="none"/>
              </w:rPr>
            </w:pPr>
          </w:p>
        </w:tc>
        <w:tc>
          <w:tcPr>
            <w:tcW w:w="1737" w:type="dxa"/>
            <w:vAlign w:val="center"/>
          </w:tcPr>
          <w:p w14:paraId="3B09798F">
            <w:pPr>
              <w:spacing w:line="380" w:lineRule="exact"/>
              <w:ind w:left="442" w:hanging="442" w:hangingChars="200"/>
              <w:jc w:val="center"/>
              <w:rPr>
                <w:rFonts w:ascii="宋体" w:hAnsi="宋体" w:cs="宋体"/>
                <w:b/>
                <w:bCs/>
                <w:color w:val="auto"/>
                <w:sz w:val="22"/>
                <w:szCs w:val="22"/>
                <w:highlight w:val="none"/>
              </w:rPr>
            </w:pPr>
          </w:p>
        </w:tc>
        <w:tc>
          <w:tcPr>
            <w:tcW w:w="1737" w:type="dxa"/>
            <w:vAlign w:val="center"/>
          </w:tcPr>
          <w:p w14:paraId="251DDF5D">
            <w:pPr>
              <w:spacing w:line="380" w:lineRule="exact"/>
              <w:ind w:left="442" w:hanging="442" w:hangingChars="200"/>
              <w:jc w:val="center"/>
              <w:rPr>
                <w:rFonts w:ascii="宋体" w:hAnsi="宋体" w:cs="宋体"/>
                <w:b/>
                <w:bCs/>
                <w:color w:val="auto"/>
                <w:sz w:val="22"/>
                <w:szCs w:val="22"/>
                <w:highlight w:val="none"/>
              </w:rPr>
            </w:pPr>
          </w:p>
        </w:tc>
        <w:tc>
          <w:tcPr>
            <w:tcW w:w="926" w:type="dxa"/>
            <w:vAlign w:val="center"/>
          </w:tcPr>
          <w:p w14:paraId="06B9C9E1">
            <w:pPr>
              <w:spacing w:line="380" w:lineRule="exact"/>
              <w:ind w:left="442" w:hanging="442" w:hangingChars="200"/>
              <w:jc w:val="center"/>
              <w:rPr>
                <w:rFonts w:ascii="宋体" w:hAnsi="宋体" w:cs="宋体"/>
                <w:b/>
                <w:bCs/>
                <w:color w:val="auto"/>
                <w:sz w:val="22"/>
                <w:szCs w:val="22"/>
                <w:highlight w:val="none"/>
              </w:rPr>
            </w:pPr>
          </w:p>
        </w:tc>
      </w:tr>
      <w:tr w14:paraId="622F3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62" w:type="dxa"/>
            <w:vAlign w:val="center"/>
          </w:tcPr>
          <w:p w14:paraId="308DAD95">
            <w:pPr>
              <w:spacing w:line="380" w:lineRule="exact"/>
              <w:ind w:left="442" w:hanging="442" w:hangingChars="200"/>
              <w:jc w:val="center"/>
              <w:rPr>
                <w:rFonts w:ascii="宋体" w:hAnsi="宋体" w:cs="宋体"/>
                <w:b/>
                <w:bCs/>
                <w:color w:val="auto"/>
                <w:sz w:val="22"/>
                <w:szCs w:val="22"/>
                <w:highlight w:val="none"/>
              </w:rPr>
            </w:pPr>
          </w:p>
        </w:tc>
        <w:tc>
          <w:tcPr>
            <w:tcW w:w="2069" w:type="dxa"/>
            <w:vAlign w:val="center"/>
          </w:tcPr>
          <w:p w14:paraId="007D17A2">
            <w:pPr>
              <w:spacing w:line="380" w:lineRule="exact"/>
              <w:ind w:left="442" w:hanging="442" w:hangingChars="200"/>
              <w:jc w:val="center"/>
              <w:rPr>
                <w:rFonts w:ascii="宋体" w:hAnsi="宋体" w:cs="宋体"/>
                <w:b/>
                <w:bCs/>
                <w:color w:val="auto"/>
                <w:sz w:val="22"/>
                <w:szCs w:val="22"/>
                <w:highlight w:val="none"/>
              </w:rPr>
            </w:pPr>
          </w:p>
        </w:tc>
        <w:tc>
          <w:tcPr>
            <w:tcW w:w="2437" w:type="dxa"/>
            <w:vAlign w:val="center"/>
          </w:tcPr>
          <w:p w14:paraId="63254C06">
            <w:pPr>
              <w:spacing w:line="380" w:lineRule="exact"/>
              <w:ind w:left="442" w:hanging="442" w:hangingChars="200"/>
              <w:jc w:val="center"/>
              <w:rPr>
                <w:rFonts w:ascii="宋体" w:hAnsi="宋体" w:cs="宋体"/>
                <w:b/>
                <w:bCs/>
                <w:color w:val="auto"/>
                <w:sz w:val="22"/>
                <w:szCs w:val="22"/>
                <w:highlight w:val="none"/>
              </w:rPr>
            </w:pPr>
          </w:p>
        </w:tc>
        <w:tc>
          <w:tcPr>
            <w:tcW w:w="1737" w:type="dxa"/>
            <w:vAlign w:val="center"/>
          </w:tcPr>
          <w:p w14:paraId="0076DBA8">
            <w:pPr>
              <w:spacing w:line="380" w:lineRule="exact"/>
              <w:ind w:left="442" w:hanging="442" w:hangingChars="200"/>
              <w:jc w:val="center"/>
              <w:rPr>
                <w:rFonts w:ascii="宋体" w:hAnsi="宋体" w:cs="宋体"/>
                <w:b/>
                <w:bCs/>
                <w:color w:val="auto"/>
                <w:sz w:val="22"/>
                <w:szCs w:val="22"/>
                <w:highlight w:val="none"/>
              </w:rPr>
            </w:pPr>
          </w:p>
        </w:tc>
        <w:tc>
          <w:tcPr>
            <w:tcW w:w="1737" w:type="dxa"/>
            <w:vAlign w:val="center"/>
          </w:tcPr>
          <w:p w14:paraId="70972BDF">
            <w:pPr>
              <w:spacing w:line="380" w:lineRule="exact"/>
              <w:ind w:left="442" w:hanging="442" w:hangingChars="200"/>
              <w:jc w:val="center"/>
              <w:rPr>
                <w:rFonts w:ascii="宋体" w:hAnsi="宋体" w:cs="宋体"/>
                <w:b/>
                <w:bCs/>
                <w:color w:val="auto"/>
                <w:sz w:val="22"/>
                <w:szCs w:val="22"/>
                <w:highlight w:val="none"/>
              </w:rPr>
            </w:pPr>
          </w:p>
        </w:tc>
        <w:tc>
          <w:tcPr>
            <w:tcW w:w="926" w:type="dxa"/>
            <w:vAlign w:val="center"/>
          </w:tcPr>
          <w:p w14:paraId="6086F2BF">
            <w:pPr>
              <w:spacing w:line="380" w:lineRule="exact"/>
              <w:ind w:left="442" w:hanging="442" w:hangingChars="200"/>
              <w:jc w:val="center"/>
              <w:rPr>
                <w:rFonts w:ascii="宋体" w:hAnsi="宋体" w:cs="宋体"/>
                <w:b/>
                <w:bCs/>
                <w:color w:val="auto"/>
                <w:sz w:val="22"/>
                <w:szCs w:val="22"/>
                <w:highlight w:val="none"/>
              </w:rPr>
            </w:pPr>
          </w:p>
        </w:tc>
      </w:tr>
      <w:tr w14:paraId="05449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62" w:type="dxa"/>
            <w:vAlign w:val="center"/>
          </w:tcPr>
          <w:p w14:paraId="172C34C1">
            <w:pPr>
              <w:spacing w:line="380" w:lineRule="exact"/>
              <w:ind w:left="442" w:hanging="442" w:hangingChars="200"/>
              <w:jc w:val="center"/>
              <w:rPr>
                <w:rFonts w:ascii="宋体" w:hAnsi="宋体" w:cs="宋体"/>
                <w:b/>
                <w:bCs/>
                <w:color w:val="auto"/>
                <w:sz w:val="22"/>
                <w:szCs w:val="22"/>
                <w:highlight w:val="none"/>
              </w:rPr>
            </w:pPr>
          </w:p>
        </w:tc>
        <w:tc>
          <w:tcPr>
            <w:tcW w:w="2069" w:type="dxa"/>
            <w:vAlign w:val="center"/>
          </w:tcPr>
          <w:p w14:paraId="64753DA1">
            <w:pPr>
              <w:spacing w:line="380" w:lineRule="exact"/>
              <w:ind w:left="442" w:hanging="442" w:hangingChars="200"/>
              <w:jc w:val="center"/>
              <w:rPr>
                <w:rFonts w:ascii="宋体" w:hAnsi="宋体" w:cs="宋体"/>
                <w:b/>
                <w:bCs/>
                <w:color w:val="auto"/>
                <w:sz w:val="22"/>
                <w:szCs w:val="22"/>
                <w:highlight w:val="none"/>
              </w:rPr>
            </w:pPr>
          </w:p>
        </w:tc>
        <w:tc>
          <w:tcPr>
            <w:tcW w:w="2437" w:type="dxa"/>
            <w:vAlign w:val="center"/>
          </w:tcPr>
          <w:p w14:paraId="7EE52452">
            <w:pPr>
              <w:spacing w:line="380" w:lineRule="exact"/>
              <w:ind w:left="442" w:hanging="442" w:hangingChars="200"/>
              <w:jc w:val="center"/>
              <w:rPr>
                <w:rFonts w:ascii="宋体" w:hAnsi="宋体" w:cs="宋体"/>
                <w:b/>
                <w:bCs/>
                <w:color w:val="auto"/>
                <w:sz w:val="22"/>
                <w:szCs w:val="22"/>
                <w:highlight w:val="none"/>
              </w:rPr>
            </w:pPr>
          </w:p>
        </w:tc>
        <w:tc>
          <w:tcPr>
            <w:tcW w:w="1737" w:type="dxa"/>
            <w:vAlign w:val="center"/>
          </w:tcPr>
          <w:p w14:paraId="1F83289B">
            <w:pPr>
              <w:spacing w:line="380" w:lineRule="exact"/>
              <w:ind w:left="442" w:hanging="442" w:hangingChars="200"/>
              <w:jc w:val="center"/>
              <w:rPr>
                <w:rFonts w:ascii="宋体" w:hAnsi="宋体" w:cs="宋体"/>
                <w:b/>
                <w:bCs/>
                <w:color w:val="auto"/>
                <w:sz w:val="22"/>
                <w:szCs w:val="22"/>
                <w:highlight w:val="none"/>
              </w:rPr>
            </w:pPr>
          </w:p>
        </w:tc>
        <w:tc>
          <w:tcPr>
            <w:tcW w:w="1737" w:type="dxa"/>
            <w:vAlign w:val="center"/>
          </w:tcPr>
          <w:p w14:paraId="13D8652C">
            <w:pPr>
              <w:spacing w:line="380" w:lineRule="exact"/>
              <w:ind w:left="442" w:hanging="442" w:hangingChars="200"/>
              <w:jc w:val="center"/>
              <w:rPr>
                <w:rFonts w:ascii="宋体" w:hAnsi="宋体" w:cs="宋体"/>
                <w:b/>
                <w:bCs/>
                <w:color w:val="auto"/>
                <w:sz w:val="22"/>
                <w:szCs w:val="22"/>
                <w:highlight w:val="none"/>
              </w:rPr>
            </w:pPr>
          </w:p>
        </w:tc>
        <w:tc>
          <w:tcPr>
            <w:tcW w:w="926" w:type="dxa"/>
            <w:vAlign w:val="center"/>
          </w:tcPr>
          <w:p w14:paraId="484B7763">
            <w:pPr>
              <w:spacing w:line="380" w:lineRule="exact"/>
              <w:ind w:left="442" w:hanging="442" w:hangingChars="200"/>
              <w:jc w:val="center"/>
              <w:rPr>
                <w:rFonts w:ascii="宋体" w:hAnsi="宋体" w:cs="宋体"/>
                <w:b/>
                <w:bCs/>
                <w:color w:val="auto"/>
                <w:sz w:val="22"/>
                <w:szCs w:val="22"/>
                <w:highlight w:val="none"/>
              </w:rPr>
            </w:pPr>
          </w:p>
        </w:tc>
      </w:tr>
      <w:tr w14:paraId="6023D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62" w:type="dxa"/>
            <w:vAlign w:val="center"/>
          </w:tcPr>
          <w:p w14:paraId="5C3A16D3">
            <w:pPr>
              <w:spacing w:line="380" w:lineRule="exact"/>
              <w:ind w:left="442" w:hanging="442" w:hangingChars="200"/>
              <w:jc w:val="center"/>
              <w:rPr>
                <w:rFonts w:ascii="宋体" w:hAnsi="宋体" w:cs="宋体"/>
                <w:b/>
                <w:bCs/>
                <w:color w:val="auto"/>
                <w:sz w:val="22"/>
                <w:szCs w:val="22"/>
                <w:highlight w:val="none"/>
              </w:rPr>
            </w:pPr>
          </w:p>
        </w:tc>
        <w:tc>
          <w:tcPr>
            <w:tcW w:w="2069" w:type="dxa"/>
            <w:vAlign w:val="center"/>
          </w:tcPr>
          <w:p w14:paraId="0A857A82">
            <w:pPr>
              <w:spacing w:line="380" w:lineRule="exact"/>
              <w:ind w:left="442" w:hanging="442" w:hangingChars="200"/>
              <w:jc w:val="center"/>
              <w:rPr>
                <w:rFonts w:ascii="宋体" w:hAnsi="宋体" w:cs="宋体"/>
                <w:b/>
                <w:bCs/>
                <w:color w:val="auto"/>
                <w:sz w:val="22"/>
                <w:szCs w:val="22"/>
                <w:highlight w:val="none"/>
              </w:rPr>
            </w:pPr>
          </w:p>
        </w:tc>
        <w:tc>
          <w:tcPr>
            <w:tcW w:w="2437" w:type="dxa"/>
            <w:vAlign w:val="center"/>
          </w:tcPr>
          <w:p w14:paraId="2FC242D9">
            <w:pPr>
              <w:spacing w:line="380" w:lineRule="exact"/>
              <w:ind w:left="442" w:hanging="442" w:hangingChars="200"/>
              <w:jc w:val="center"/>
              <w:rPr>
                <w:rFonts w:ascii="宋体" w:hAnsi="宋体" w:cs="宋体"/>
                <w:b/>
                <w:bCs/>
                <w:color w:val="auto"/>
                <w:sz w:val="22"/>
                <w:szCs w:val="22"/>
                <w:highlight w:val="none"/>
              </w:rPr>
            </w:pPr>
          </w:p>
        </w:tc>
        <w:tc>
          <w:tcPr>
            <w:tcW w:w="1737" w:type="dxa"/>
            <w:vAlign w:val="center"/>
          </w:tcPr>
          <w:p w14:paraId="1180F125">
            <w:pPr>
              <w:spacing w:line="380" w:lineRule="exact"/>
              <w:ind w:left="442" w:hanging="442" w:hangingChars="200"/>
              <w:jc w:val="center"/>
              <w:rPr>
                <w:rFonts w:ascii="宋体" w:hAnsi="宋体" w:cs="宋体"/>
                <w:b/>
                <w:bCs/>
                <w:color w:val="auto"/>
                <w:sz w:val="22"/>
                <w:szCs w:val="22"/>
                <w:highlight w:val="none"/>
              </w:rPr>
            </w:pPr>
          </w:p>
        </w:tc>
        <w:tc>
          <w:tcPr>
            <w:tcW w:w="1737" w:type="dxa"/>
            <w:vAlign w:val="center"/>
          </w:tcPr>
          <w:p w14:paraId="09C1095A">
            <w:pPr>
              <w:spacing w:line="380" w:lineRule="exact"/>
              <w:ind w:left="442" w:hanging="442" w:hangingChars="200"/>
              <w:jc w:val="center"/>
              <w:rPr>
                <w:rFonts w:ascii="宋体" w:hAnsi="宋体" w:cs="宋体"/>
                <w:b/>
                <w:bCs/>
                <w:color w:val="auto"/>
                <w:sz w:val="22"/>
                <w:szCs w:val="22"/>
                <w:highlight w:val="none"/>
              </w:rPr>
            </w:pPr>
          </w:p>
        </w:tc>
        <w:tc>
          <w:tcPr>
            <w:tcW w:w="926" w:type="dxa"/>
            <w:vAlign w:val="center"/>
          </w:tcPr>
          <w:p w14:paraId="538FF3F2">
            <w:pPr>
              <w:spacing w:line="380" w:lineRule="exact"/>
              <w:ind w:left="442" w:hanging="442" w:hangingChars="200"/>
              <w:jc w:val="center"/>
              <w:rPr>
                <w:rFonts w:ascii="宋体" w:hAnsi="宋体" w:cs="宋体"/>
                <w:b/>
                <w:bCs/>
                <w:color w:val="auto"/>
                <w:sz w:val="22"/>
                <w:szCs w:val="22"/>
                <w:highlight w:val="none"/>
              </w:rPr>
            </w:pPr>
          </w:p>
        </w:tc>
      </w:tr>
      <w:tr w14:paraId="58196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62" w:type="dxa"/>
            <w:vAlign w:val="center"/>
          </w:tcPr>
          <w:p w14:paraId="633E8A2B">
            <w:pPr>
              <w:spacing w:line="380" w:lineRule="exact"/>
              <w:ind w:left="442" w:hanging="442" w:hangingChars="200"/>
              <w:jc w:val="center"/>
              <w:rPr>
                <w:rFonts w:ascii="宋体" w:hAnsi="宋体" w:cs="宋体"/>
                <w:b/>
                <w:bCs/>
                <w:color w:val="auto"/>
                <w:sz w:val="22"/>
                <w:szCs w:val="22"/>
                <w:highlight w:val="none"/>
              </w:rPr>
            </w:pPr>
          </w:p>
        </w:tc>
        <w:tc>
          <w:tcPr>
            <w:tcW w:w="2069" w:type="dxa"/>
            <w:vAlign w:val="center"/>
          </w:tcPr>
          <w:p w14:paraId="6B682CBD">
            <w:pPr>
              <w:spacing w:line="380" w:lineRule="exact"/>
              <w:ind w:left="442" w:hanging="442" w:hangingChars="200"/>
              <w:jc w:val="center"/>
              <w:rPr>
                <w:rFonts w:ascii="宋体" w:hAnsi="宋体" w:cs="宋体"/>
                <w:b/>
                <w:bCs/>
                <w:color w:val="auto"/>
                <w:sz w:val="22"/>
                <w:szCs w:val="22"/>
                <w:highlight w:val="none"/>
              </w:rPr>
            </w:pPr>
          </w:p>
        </w:tc>
        <w:tc>
          <w:tcPr>
            <w:tcW w:w="2437" w:type="dxa"/>
            <w:vAlign w:val="center"/>
          </w:tcPr>
          <w:p w14:paraId="219F7883">
            <w:pPr>
              <w:spacing w:line="380" w:lineRule="exact"/>
              <w:ind w:left="442" w:hanging="442" w:hangingChars="200"/>
              <w:jc w:val="center"/>
              <w:rPr>
                <w:rFonts w:ascii="宋体" w:hAnsi="宋体" w:cs="宋体"/>
                <w:b/>
                <w:bCs/>
                <w:color w:val="auto"/>
                <w:sz w:val="22"/>
                <w:szCs w:val="22"/>
                <w:highlight w:val="none"/>
              </w:rPr>
            </w:pPr>
          </w:p>
        </w:tc>
        <w:tc>
          <w:tcPr>
            <w:tcW w:w="1737" w:type="dxa"/>
            <w:vAlign w:val="center"/>
          </w:tcPr>
          <w:p w14:paraId="50D1900D">
            <w:pPr>
              <w:spacing w:line="380" w:lineRule="exact"/>
              <w:ind w:left="442" w:hanging="442" w:hangingChars="200"/>
              <w:jc w:val="center"/>
              <w:rPr>
                <w:rFonts w:ascii="宋体" w:hAnsi="宋体" w:cs="宋体"/>
                <w:b/>
                <w:bCs/>
                <w:color w:val="auto"/>
                <w:sz w:val="22"/>
                <w:szCs w:val="22"/>
                <w:highlight w:val="none"/>
              </w:rPr>
            </w:pPr>
          </w:p>
        </w:tc>
        <w:tc>
          <w:tcPr>
            <w:tcW w:w="1737" w:type="dxa"/>
            <w:vAlign w:val="center"/>
          </w:tcPr>
          <w:p w14:paraId="325F8EA3">
            <w:pPr>
              <w:spacing w:line="380" w:lineRule="exact"/>
              <w:ind w:left="442" w:hanging="442" w:hangingChars="200"/>
              <w:jc w:val="center"/>
              <w:rPr>
                <w:rFonts w:ascii="宋体" w:hAnsi="宋体" w:cs="宋体"/>
                <w:b/>
                <w:bCs/>
                <w:color w:val="auto"/>
                <w:sz w:val="22"/>
                <w:szCs w:val="22"/>
                <w:highlight w:val="none"/>
              </w:rPr>
            </w:pPr>
          </w:p>
        </w:tc>
        <w:tc>
          <w:tcPr>
            <w:tcW w:w="926" w:type="dxa"/>
            <w:vAlign w:val="center"/>
          </w:tcPr>
          <w:p w14:paraId="05FDB076">
            <w:pPr>
              <w:spacing w:line="380" w:lineRule="exact"/>
              <w:ind w:left="442" w:hanging="442" w:hangingChars="200"/>
              <w:jc w:val="center"/>
              <w:rPr>
                <w:rFonts w:ascii="宋体" w:hAnsi="宋体" w:cs="宋体"/>
                <w:b/>
                <w:bCs/>
                <w:color w:val="auto"/>
                <w:sz w:val="22"/>
                <w:szCs w:val="22"/>
                <w:highlight w:val="none"/>
              </w:rPr>
            </w:pPr>
          </w:p>
        </w:tc>
      </w:tr>
      <w:tr w14:paraId="17D15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62" w:type="dxa"/>
            <w:vAlign w:val="center"/>
          </w:tcPr>
          <w:p w14:paraId="28FC63B1">
            <w:pPr>
              <w:spacing w:line="380" w:lineRule="exact"/>
              <w:ind w:left="442" w:hanging="442" w:hangingChars="200"/>
              <w:jc w:val="center"/>
              <w:rPr>
                <w:rFonts w:ascii="宋体" w:hAnsi="宋体" w:cs="宋体"/>
                <w:b/>
                <w:bCs/>
                <w:color w:val="auto"/>
                <w:sz w:val="22"/>
                <w:szCs w:val="22"/>
                <w:highlight w:val="none"/>
              </w:rPr>
            </w:pPr>
          </w:p>
        </w:tc>
        <w:tc>
          <w:tcPr>
            <w:tcW w:w="2069" w:type="dxa"/>
            <w:vAlign w:val="center"/>
          </w:tcPr>
          <w:p w14:paraId="02F2124A">
            <w:pPr>
              <w:spacing w:line="380" w:lineRule="exact"/>
              <w:ind w:left="442" w:hanging="442" w:hangingChars="200"/>
              <w:jc w:val="center"/>
              <w:rPr>
                <w:rFonts w:ascii="宋体" w:hAnsi="宋体" w:cs="宋体"/>
                <w:b/>
                <w:bCs/>
                <w:color w:val="auto"/>
                <w:sz w:val="22"/>
                <w:szCs w:val="22"/>
                <w:highlight w:val="none"/>
              </w:rPr>
            </w:pPr>
          </w:p>
        </w:tc>
        <w:tc>
          <w:tcPr>
            <w:tcW w:w="2437" w:type="dxa"/>
            <w:vAlign w:val="center"/>
          </w:tcPr>
          <w:p w14:paraId="2EC3C1B6">
            <w:pPr>
              <w:spacing w:line="380" w:lineRule="exact"/>
              <w:ind w:left="442" w:hanging="442" w:hangingChars="200"/>
              <w:jc w:val="center"/>
              <w:rPr>
                <w:rFonts w:ascii="宋体" w:hAnsi="宋体" w:cs="宋体"/>
                <w:b/>
                <w:bCs/>
                <w:color w:val="auto"/>
                <w:sz w:val="22"/>
                <w:szCs w:val="22"/>
                <w:highlight w:val="none"/>
              </w:rPr>
            </w:pPr>
          </w:p>
        </w:tc>
        <w:tc>
          <w:tcPr>
            <w:tcW w:w="1737" w:type="dxa"/>
            <w:vAlign w:val="center"/>
          </w:tcPr>
          <w:p w14:paraId="24F8F07D">
            <w:pPr>
              <w:spacing w:line="380" w:lineRule="exact"/>
              <w:ind w:left="442" w:hanging="442" w:hangingChars="200"/>
              <w:jc w:val="center"/>
              <w:rPr>
                <w:rFonts w:ascii="宋体" w:hAnsi="宋体" w:cs="宋体"/>
                <w:b/>
                <w:bCs/>
                <w:color w:val="auto"/>
                <w:sz w:val="22"/>
                <w:szCs w:val="22"/>
                <w:highlight w:val="none"/>
              </w:rPr>
            </w:pPr>
          </w:p>
        </w:tc>
        <w:tc>
          <w:tcPr>
            <w:tcW w:w="1737" w:type="dxa"/>
            <w:vAlign w:val="center"/>
          </w:tcPr>
          <w:p w14:paraId="79AFF287">
            <w:pPr>
              <w:spacing w:line="380" w:lineRule="exact"/>
              <w:ind w:left="442" w:hanging="442" w:hangingChars="200"/>
              <w:jc w:val="center"/>
              <w:rPr>
                <w:rFonts w:ascii="宋体" w:hAnsi="宋体" w:cs="宋体"/>
                <w:b/>
                <w:bCs/>
                <w:color w:val="auto"/>
                <w:sz w:val="22"/>
                <w:szCs w:val="22"/>
                <w:highlight w:val="none"/>
              </w:rPr>
            </w:pPr>
          </w:p>
        </w:tc>
        <w:tc>
          <w:tcPr>
            <w:tcW w:w="926" w:type="dxa"/>
            <w:vAlign w:val="center"/>
          </w:tcPr>
          <w:p w14:paraId="1E84AA72">
            <w:pPr>
              <w:spacing w:line="380" w:lineRule="exact"/>
              <w:ind w:left="442" w:hanging="442" w:hangingChars="200"/>
              <w:jc w:val="center"/>
              <w:rPr>
                <w:rFonts w:ascii="宋体" w:hAnsi="宋体" w:cs="宋体"/>
                <w:b/>
                <w:bCs/>
                <w:color w:val="auto"/>
                <w:sz w:val="22"/>
                <w:szCs w:val="22"/>
                <w:highlight w:val="none"/>
              </w:rPr>
            </w:pPr>
          </w:p>
        </w:tc>
      </w:tr>
      <w:tr w14:paraId="7521E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62" w:type="dxa"/>
            <w:vAlign w:val="center"/>
          </w:tcPr>
          <w:p w14:paraId="4138E5CB">
            <w:pPr>
              <w:spacing w:line="380" w:lineRule="exact"/>
              <w:ind w:left="442" w:hanging="442" w:hangingChars="200"/>
              <w:jc w:val="center"/>
              <w:rPr>
                <w:rFonts w:ascii="宋体" w:hAnsi="宋体" w:cs="宋体"/>
                <w:b/>
                <w:bCs/>
                <w:color w:val="auto"/>
                <w:sz w:val="22"/>
                <w:szCs w:val="22"/>
                <w:highlight w:val="none"/>
              </w:rPr>
            </w:pPr>
          </w:p>
        </w:tc>
        <w:tc>
          <w:tcPr>
            <w:tcW w:w="2069" w:type="dxa"/>
            <w:vAlign w:val="center"/>
          </w:tcPr>
          <w:p w14:paraId="0F3A9B67">
            <w:pPr>
              <w:spacing w:line="380" w:lineRule="exact"/>
              <w:ind w:left="442" w:hanging="442" w:hangingChars="200"/>
              <w:jc w:val="center"/>
              <w:rPr>
                <w:rFonts w:ascii="宋体" w:hAnsi="宋体" w:cs="宋体"/>
                <w:b/>
                <w:bCs/>
                <w:color w:val="auto"/>
                <w:sz w:val="22"/>
                <w:szCs w:val="22"/>
                <w:highlight w:val="none"/>
              </w:rPr>
            </w:pPr>
          </w:p>
        </w:tc>
        <w:tc>
          <w:tcPr>
            <w:tcW w:w="2437" w:type="dxa"/>
            <w:vAlign w:val="center"/>
          </w:tcPr>
          <w:p w14:paraId="2FB2C8D3">
            <w:pPr>
              <w:spacing w:line="380" w:lineRule="exact"/>
              <w:ind w:left="442" w:hanging="442" w:hangingChars="200"/>
              <w:jc w:val="center"/>
              <w:rPr>
                <w:rFonts w:ascii="宋体" w:hAnsi="宋体" w:cs="宋体"/>
                <w:b/>
                <w:bCs/>
                <w:color w:val="auto"/>
                <w:sz w:val="22"/>
                <w:szCs w:val="22"/>
                <w:highlight w:val="none"/>
              </w:rPr>
            </w:pPr>
          </w:p>
        </w:tc>
        <w:tc>
          <w:tcPr>
            <w:tcW w:w="1737" w:type="dxa"/>
            <w:vAlign w:val="center"/>
          </w:tcPr>
          <w:p w14:paraId="2E869F7C">
            <w:pPr>
              <w:spacing w:line="380" w:lineRule="exact"/>
              <w:ind w:left="442" w:hanging="442" w:hangingChars="200"/>
              <w:jc w:val="center"/>
              <w:rPr>
                <w:rFonts w:ascii="宋体" w:hAnsi="宋体" w:cs="宋体"/>
                <w:b/>
                <w:bCs/>
                <w:color w:val="auto"/>
                <w:sz w:val="22"/>
                <w:szCs w:val="22"/>
                <w:highlight w:val="none"/>
              </w:rPr>
            </w:pPr>
          </w:p>
        </w:tc>
        <w:tc>
          <w:tcPr>
            <w:tcW w:w="1737" w:type="dxa"/>
            <w:vAlign w:val="center"/>
          </w:tcPr>
          <w:p w14:paraId="3EDB9CBC">
            <w:pPr>
              <w:spacing w:line="380" w:lineRule="exact"/>
              <w:ind w:left="442" w:hanging="442" w:hangingChars="200"/>
              <w:jc w:val="center"/>
              <w:rPr>
                <w:rFonts w:ascii="宋体" w:hAnsi="宋体" w:cs="宋体"/>
                <w:b/>
                <w:bCs/>
                <w:color w:val="auto"/>
                <w:sz w:val="22"/>
                <w:szCs w:val="22"/>
                <w:highlight w:val="none"/>
              </w:rPr>
            </w:pPr>
          </w:p>
        </w:tc>
        <w:tc>
          <w:tcPr>
            <w:tcW w:w="926" w:type="dxa"/>
            <w:vAlign w:val="center"/>
          </w:tcPr>
          <w:p w14:paraId="44FD7F2B">
            <w:pPr>
              <w:spacing w:line="380" w:lineRule="exact"/>
              <w:ind w:left="442" w:hanging="442" w:hangingChars="200"/>
              <w:jc w:val="center"/>
              <w:rPr>
                <w:rFonts w:ascii="宋体" w:hAnsi="宋体" w:cs="宋体"/>
                <w:b/>
                <w:bCs/>
                <w:color w:val="auto"/>
                <w:sz w:val="22"/>
                <w:szCs w:val="22"/>
                <w:highlight w:val="none"/>
              </w:rPr>
            </w:pPr>
          </w:p>
        </w:tc>
      </w:tr>
      <w:tr w14:paraId="12CCD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62" w:type="dxa"/>
            <w:vAlign w:val="center"/>
          </w:tcPr>
          <w:p w14:paraId="56533DA3">
            <w:pPr>
              <w:spacing w:line="380" w:lineRule="exact"/>
              <w:ind w:left="442" w:hanging="442" w:hangingChars="200"/>
              <w:jc w:val="center"/>
              <w:rPr>
                <w:rFonts w:ascii="宋体" w:hAnsi="宋体" w:cs="宋体"/>
                <w:b/>
                <w:bCs/>
                <w:color w:val="auto"/>
                <w:sz w:val="22"/>
                <w:szCs w:val="22"/>
                <w:highlight w:val="none"/>
              </w:rPr>
            </w:pPr>
          </w:p>
        </w:tc>
        <w:tc>
          <w:tcPr>
            <w:tcW w:w="2069" w:type="dxa"/>
            <w:vAlign w:val="center"/>
          </w:tcPr>
          <w:p w14:paraId="717E0805">
            <w:pPr>
              <w:spacing w:line="380" w:lineRule="exact"/>
              <w:ind w:left="442" w:hanging="442" w:hangingChars="200"/>
              <w:jc w:val="center"/>
              <w:rPr>
                <w:rFonts w:ascii="宋体" w:hAnsi="宋体" w:cs="宋体"/>
                <w:b/>
                <w:bCs/>
                <w:color w:val="auto"/>
                <w:sz w:val="22"/>
                <w:szCs w:val="22"/>
                <w:highlight w:val="none"/>
              </w:rPr>
            </w:pPr>
          </w:p>
        </w:tc>
        <w:tc>
          <w:tcPr>
            <w:tcW w:w="2437" w:type="dxa"/>
            <w:vAlign w:val="center"/>
          </w:tcPr>
          <w:p w14:paraId="557B5FF3">
            <w:pPr>
              <w:spacing w:line="380" w:lineRule="exact"/>
              <w:ind w:left="442" w:hanging="442" w:hangingChars="200"/>
              <w:jc w:val="center"/>
              <w:rPr>
                <w:rFonts w:ascii="宋体" w:hAnsi="宋体" w:cs="宋体"/>
                <w:b/>
                <w:bCs/>
                <w:color w:val="auto"/>
                <w:sz w:val="22"/>
                <w:szCs w:val="22"/>
                <w:highlight w:val="none"/>
              </w:rPr>
            </w:pPr>
          </w:p>
        </w:tc>
        <w:tc>
          <w:tcPr>
            <w:tcW w:w="1737" w:type="dxa"/>
            <w:vAlign w:val="center"/>
          </w:tcPr>
          <w:p w14:paraId="58B91215">
            <w:pPr>
              <w:spacing w:line="380" w:lineRule="exact"/>
              <w:ind w:left="442" w:hanging="442" w:hangingChars="200"/>
              <w:jc w:val="center"/>
              <w:rPr>
                <w:rFonts w:ascii="宋体" w:hAnsi="宋体" w:cs="宋体"/>
                <w:b/>
                <w:bCs/>
                <w:color w:val="auto"/>
                <w:sz w:val="22"/>
                <w:szCs w:val="22"/>
                <w:highlight w:val="none"/>
              </w:rPr>
            </w:pPr>
          </w:p>
        </w:tc>
        <w:tc>
          <w:tcPr>
            <w:tcW w:w="1737" w:type="dxa"/>
            <w:vAlign w:val="center"/>
          </w:tcPr>
          <w:p w14:paraId="729F4C25">
            <w:pPr>
              <w:spacing w:line="380" w:lineRule="exact"/>
              <w:ind w:left="442" w:hanging="442" w:hangingChars="200"/>
              <w:jc w:val="center"/>
              <w:rPr>
                <w:rFonts w:ascii="宋体" w:hAnsi="宋体" w:cs="宋体"/>
                <w:b/>
                <w:bCs/>
                <w:color w:val="auto"/>
                <w:sz w:val="22"/>
                <w:szCs w:val="22"/>
                <w:highlight w:val="none"/>
              </w:rPr>
            </w:pPr>
          </w:p>
        </w:tc>
        <w:tc>
          <w:tcPr>
            <w:tcW w:w="926" w:type="dxa"/>
            <w:vAlign w:val="center"/>
          </w:tcPr>
          <w:p w14:paraId="5EA59C76">
            <w:pPr>
              <w:spacing w:line="380" w:lineRule="exact"/>
              <w:ind w:left="442" w:hanging="442" w:hangingChars="200"/>
              <w:jc w:val="center"/>
              <w:rPr>
                <w:rFonts w:ascii="宋体" w:hAnsi="宋体" w:cs="宋体"/>
                <w:b/>
                <w:bCs/>
                <w:color w:val="auto"/>
                <w:sz w:val="22"/>
                <w:szCs w:val="22"/>
                <w:highlight w:val="none"/>
              </w:rPr>
            </w:pPr>
          </w:p>
        </w:tc>
      </w:tr>
      <w:tr w14:paraId="460DA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62" w:type="dxa"/>
            <w:vAlign w:val="center"/>
          </w:tcPr>
          <w:p w14:paraId="27D587B5">
            <w:pPr>
              <w:spacing w:line="380" w:lineRule="exact"/>
              <w:ind w:left="442" w:hanging="442" w:hangingChars="200"/>
              <w:jc w:val="center"/>
              <w:rPr>
                <w:rFonts w:ascii="宋体" w:hAnsi="宋体" w:cs="宋体"/>
                <w:b/>
                <w:bCs/>
                <w:color w:val="auto"/>
                <w:sz w:val="22"/>
                <w:szCs w:val="22"/>
                <w:highlight w:val="none"/>
              </w:rPr>
            </w:pPr>
          </w:p>
        </w:tc>
        <w:tc>
          <w:tcPr>
            <w:tcW w:w="2069" w:type="dxa"/>
            <w:vAlign w:val="center"/>
          </w:tcPr>
          <w:p w14:paraId="3757C3FD">
            <w:pPr>
              <w:spacing w:line="380" w:lineRule="exact"/>
              <w:ind w:left="442" w:hanging="442" w:hangingChars="200"/>
              <w:jc w:val="center"/>
              <w:rPr>
                <w:rFonts w:ascii="宋体" w:hAnsi="宋体" w:cs="宋体"/>
                <w:b/>
                <w:bCs/>
                <w:color w:val="auto"/>
                <w:sz w:val="22"/>
                <w:szCs w:val="22"/>
                <w:highlight w:val="none"/>
              </w:rPr>
            </w:pPr>
          </w:p>
        </w:tc>
        <w:tc>
          <w:tcPr>
            <w:tcW w:w="2437" w:type="dxa"/>
            <w:vAlign w:val="center"/>
          </w:tcPr>
          <w:p w14:paraId="04022944">
            <w:pPr>
              <w:spacing w:line="380" w:lineRule="exact"/>
              <w:ind w:left="442" w:hanging="442" w:hangingChars="200"/>
              <w:jc w:val="center"/>
              <w:rPr>
                <w:rFonts w:ascii="宋体" w:hAnsi="宋体" w:cs="宋体"/>
                <w:b/>
                <w:bCs/>
                <w:color w:val="auto"/>
                <w:sz w:val="22"/>
                <w:szCs w:val="22"/>
                <w:highlight w:val="none"/>
              </w:rPr>
            </w:pPr>
          </w:p>
        </w:tc>
        <w:tc>
          <w:tcPr>
            <w:tcW w:w="1737" w:type="dxa"/>
            <w:vAlign w:val="center"/>
          </w:tcPr>
          <w:p w14:paraId="58F2AF1E">
            <w:pPr>
              <w:spacing w:line="380" w:lineRule="exact"/>
              <w:ind w:left="442" w:hanging="442" w:hangingChars="200"/>
              <w:jc w:val="center"/>
              <w:rPr>
                <w:rFonts w:ascii="宋体" w:hAnsi="宋体" w:cs="宋体"/>
                <w:b/>
                <w:bCs/>
                <w:color w:val="auto"/>
                <w:sz w:val="22"/>
                <w:szCs w:val="22"/>
                <w:highlight w:val="none"/>
              </w:rPr>
            </w:pPr>
          </w:p>
        </w:tc>
        <w:tc>
          <w:tcPr>
            <w:tcW w:w="1737" w:type="dxa"/>
            <w:vAlign w:val="center"/>
          </w:tcPr>
          <w:p w14:paraId="6CF94B0F">
            <w:pPr>
              <w:spacing w:line="380" w:lineRule="exact"/>
              <w:ind w:left="442" w:hanging="442" w:hangingChars="200"/>
              <w:jc w:val="center"/>
              <w:rPr>
                <w:rFonts w:ascii="宋体" w:hAnsi="宋体" w:cs="宋体"/>
                <w:b/>
                <w:bCs/>
                <w:color w:val="auto"/>
                <w:sz w:val="22"/>
                <w:szCs w:val="22"/>
                <w:highlight w:val="none"/>
              </w:rPr>
            </w:pPr>
          </w:p>
        </w:tc>
        <w:tc>
          <w:tcPr>
            <w:tcW w:w="926" w:type="dxa"/>
            <w:vAlign w:val="center"/>
          </w:tcPr>
          <w:p w14:paraId="1C5275A3">
            <w:pPr>
              <w:spacing w:line="380" w:lineRule="exact"/>
              <w:ind w:left="442" w:hanging="442" w:hangingChars="200"/>
              <w:jc w:val="center"/>
              <w:rPr>
                <w:rFonts w:ascii="宋体" w:hAnsi="宋体" w:cs="宋体"/>
                <w:b/>
                <w:bCs/>
                <w:color w:val="auto"/>
                <w:sz w:val="22"/>
                <w:szCs w:val="22"/>
                <w:highlight w:val="none"/>
              </w:rPr>
            </w:pPr>
          </w:p>
        </w:tc>
      </w:tr>
      <w:tr w14:paraId="7691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62" w:type="dxa"/>
            <w:vAlign w:val="center"/>
          </w:tcPr>
          <w:p w14:paraId="07D52033">
            <w:pPr>
              <w:spacing w:line="380" w:lineRule="exact"/>
              <w:ind w:left="442" w:hanging="442" w:hangingChars="200"/>
              <w:jc w:val="center"/>
              <w:rPr>
                <w:rFonts w:ascii="宋体" w:hAnsi="宋体" w:cs="宋体"/>
                <w:b/>
                <w:bCs/>
                <w:color w:val="auto"/>
                <w:sz w:val="22"/>
                <w:szCs w:val="22"/>
                <w:highlight w:val="none"/>
              </w:rPr>
            </w:pPr>
          </w:p>
        </w:tc>
        <w:tc>
          <w:tcPr>
            <w:tcW w:w="2069" w:type="dxa"/>
            <w:vAlign w:val="center"/>
          </w:tcPr>
          <w:p w14:paraId="52A6E7CA">
            <w:pPr>
              <w:spacing w:line="380" w:lineRule="exact"/>
              <w:ind w:left="442" w:hanging="442" w:hangingChars="200"/>
              <w:jc w:val="center"/>
              <w:rPr>
                <w:rFonts w:ascii="宋体" w:hAnsi="宋体" w:cs="宋体"/>
                <w:b/>
                <w:bCs/>
                <w:color w:val="auto"/>
                <w:sz w:val="22"/>
                <w:szCs w:val="22"/>
                <w:highlight w:val="none"/>
              </w:rPr>
            </w:pPr>
          </w:p>
        </w:tc>
        <w:tc>
          <w:tcPr>
            <w:tcW w:w="2437" w:type="dxa"/>
            <w:vAlign w:val="center"/>
          </w:tcPr>
          <w:p w14:paraId="25EA690B">
            <w:pPr>
              <w:spacing w:line="380" w:lineRule="exact"/>
              <w:ind w:left="442" w:hanging="442" w:hangingChars="200"/>
              <w:jc w:val="center"/>
              <w:rPr>
                <w:rFonts w:ascii="宋体" w:hAnsi="宋体" w:cs="宋体"/>
                <w:b/>
                <w:bCs/>
                <w:color w:val="auto"/>
                <w:sz w:val="22"/>
                <w:szCs w:val="22"/>
                <w:highlight w:val="none"/>
              </w:rPr>
            </w:pPr>
          </w:p>
        </w:tc>
        <w:tc>
          <w:tcPr>
            <w:tcW w:w="1737" w:type="dxa"/>
            <w:vAlign w:val="center"/>
          </w:tcPr>
          <w:p w14:paraId="096B1068">
            <w:pPr>
              <w:spacing w:line="380" w:lineRule="exact"/>
              <w:ind w:left="442" w:hanging="442" w:hangingChars="200"/>
              <w:jc w:val="center"/>
              <w:rPr>
                <w:rFonts w:ascii="宋体" w:hAnsi="宋体" w:cs="宋体"/>
                <w:b/>
                <w:bCs/>
                <w:color w:val="auto"/>
                <w:sz w:val="22"/>
                <w:szCs w:val="22"/>
                <w:highlight w:val="none"/>
              </w:rPr>
            </w:pPr>
          </w:p>
        </w:tc>
        <w:tc>
          <w:tcPr>
            <w:tcW w:w="1737" w:type="dxa"/>
            <w:vAlign w:val="center"/>
          </w:tcPr>
          <w:p w14:paraId="384FE37B">
            <w:pPr>
              <w:spacing w:line="380" w:lineRule="exact"/>
              <w:ind w:left="442" w:hanging="442" w:hangingChars="200"/>
              <w:jc w:val="center"/>
              <w:rPr>
                <w:rFonts w:ascii="宋体" w:hAnsi="宋体" w:cs="宋体"/>
                <w:b/>
                <w:bCs/>
                <w:color w:val="auto"/>
                <w:sz w:val="22"/>
                <w:szCs w:val="22"/>
                <w:highlight w:val="none"/>
              </w:rPr>
            </w:pPr>
          </w:p>
        </w:tc>
        <w:tc>
          <w:tcPr>
            <w:tcW w:w="926" w:type="dxa"/>
            <w:vAlign w:val="center"/>
          </w:tcPr>
          <w:p w14:paraId="341D3FD6">
            <w:pPr>
              <w:spacing w:line="380" w:lineRule="exact"/>
              <w:ind w:left="442" w:hanging="442" w:hangingChars="200"/>
              <w:jc w:val="center"/>
              <w:rPr>
                <w:rFonts w:ascii="宋体" w:hAnsi="宋体" w:cs="宋体"/>
                <w:b/>
                <w:bCs/>
                <w:color w:val="auto"/>
                <w:sz w:val="22"/>
                <w:szCs w:val="22"/>
                <w:highlight w:val="none"/>
              </w:rPr>
            </w:pPr>
          </w:p>
        </w:tc>
      </w:tr>
      <w:tr w14:paraId="1F8DF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62" w:type="dxa"/>
            <w:vAlign w:val="center"/>
          </w:tcPr>
          <w:p w14:paraId="6F40319B">
            <w:pPr>
              <w:spacing w:line="380" w:lineRule="exact"/>
              <w:ind w:left="442" w:hanging="442" w:hangingChars="200"/>
              <w:jc w:val="center"/>
              <w:rPr>
                <w:rFonts w:ascii="宋体" w:hAnsi="宋体" w:cs="宋体"/>
                <w:b/>
                <w:bCs/>
                <w:color w:val="auto"/>
                <w:sz w:val="22"/>
                <w:szCs w:val="22"/>
                <w:highlight w:val="none"/>
              </w:rPr>
            </w:pPr>
          </w:p>
        </w:tc>
        <w:tc>
          <w:tcPr>
            <w:tcW w:w="2069" w:type="dxa"/>
            <w:vAlign w:val="center"/>
          </w:tcPr>
          <w:p w14:paraId="6E202966">
            <w:pPr>
              <w:spacing w:line="380" w:lineRule="exact"/>
              <w:ind w:left="442" w:hanging="442" w:hangingChars="200"/>
              <w:jc w:val="center"/>
              <w:rPr>
                <w:rFonts w:ascii="宋体" w:hAnsi="宋体" w:cs="宋体"/>
                <w:b/>
                <w:bCs/>
                <w:color w:val="auto"/>
                <w:sz w:val="22"/>
                <w:szCs w:val="22"/>
                <w:highlight w:val="none"/>
              </w:rPr>
            </w:pPr>
          </w:p>
        </w:tc>
        <w:tc>
          <w:tcPr>
            <w:tcW w:w="2437" w:type="dxa"/>
            <w:vAlign w:val="center"/>
          </w:tcPr>
          <w:p w14:paraId="495365EA">
            <w:pPr>
              <w:spacing w:line="380" w:lineRule="exact"/>
              <w:ind w:left="442" w:hanging="442" w:hangingChars="200"/>
              <w:jc w:val="center"/>
              <w:rPr>
                <w:rFonts w:ascii="宋体" w:hAnsi="宋体" w:cs="宋体"/>
                <w:b/>
                <w:bCs/>
                <w:color w:val="auto"/>
                <w:sz w:val="22"/>
                <w:szCs w:val="22"/>
                <w:highlight w:val="none"/>
              </w:rPr>
            </w:pPr>
          </w:p>
        </w:tc>
        <w:tc>
          <w:tcPr>
            <w:tcW w:w="1737" w:type="dxa"/>
            <w:vAlign w:val="center"/>
          </w:tcPr>
          <w:p w14:paraId="568A02B3">
            <w:pPr>
              <w:spacing w:line="380" w:lineRule="exact"/>
              <w:ind w:left="442" w:hanging="442" w:hangingChars="200"/>
              <w:jc w:val="center"/>
              <w:rPr>
                <w:rFonts w:ascii="宋体" w:hAnsi="宋体" w:cs="宋体"/>
                <w:b/>
                <w:bCs/>
                <w:color w:val="auto"/>
                <w:sz w:val="22"/>
                <w:szCs w:val="22"/>
                <w:highlight w:val="none"/>
              </w:rPr>
            </w:pPr>
          </w:p>
        </w:tc>
        <w:tc>
          <w:tcPr>
            <w:tcW w:w="1737" w:type="dxa"/>
            <w:vAlign w:val="center"/>
          </w:tcPr>
          <w:p w14:paraId="4F0C531C">
            <w:pPr>
              <w:spacing w:line="380" w:lineRule="exact"/>
              <w:ind w:left="442" w:hanging="442" w:hangingChars="200"/>
              <w:jc w:val="center"/>
              <w:rPr>
                <w:rFonts w:ascii="宋体" w:hAnsi="宋体" w:cs="宋体"/>
                <w:b/>
                <w:bCs/>
                <w:color w:val="auto"/>
                <w:sz w:val="22"/>
                <w:szCs w:val="22"/>
                <w:highlight w:val="none"/>
              </w:rPr>
            </w:pPr>
          </w:p>
        </w:tc>
        <w:tc>
          <w:tcPr>
            <w:tcW w:w="926" w:type="dxa"/>
            <w:vAlign w:val="center"/>
          </w:tcPr>
          <w:p w14:paraId="173FA8BD">
            <w:pPr>
              <w:spacing w:line="380" w:lineRule="exact"/>
              <w:ind w:left="442" w:hanging="442" w:hangingChars="200"/>
              <w:jc w:val="center"/>
              <w:rPr>
                <w:rFonts w:ascii="宋体" w:hAnsi="宋体" w:cs="宋体"/>
                <w:b/>
                <w:bCs/>
                <w:color w:val="auto"/>
                <w:sz w:val="22"/>
                <w:szCs w:val="22"/>
                <w:highlight w:val="none"/>
              </w:rPr>
            </w:pPr>
          </w:p>
        </w:tc>
      </w:tr>
      <w:tr w14:paraId="78042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62" w:type="dxa"/>
            <w:vAlign w:val="center"/>
          </w:tcPr>
          <w:p w14:paraId="53D4F124">
            <w:pPr>
              <w:spacing w:line="380" w:lineRule="exact"/>
              <w:ind w:left="442" w:hanging="442" w:hangingChars="200"/>
              <w:jc w:val="center"/>
              <w:rPr>
                <w:rFonts w:ascii="宋体" w:hAnsi="宋体" w:cs="宋体"/>
                <w:b/>
                <w:bCs/>
                <w:color w:val="auto"/>
                <w:sz w:val="22"/>
                <w:szCs w:val="22"/>
                <w:highlight w:val="none"/>
              </w:rPr>
            </w:pPr>
          </w:p>
        </w:tc>
        <w:tc>
          <w:tcPr>
            <w:tcW w:w="2069" w:type="dxa"/>
            <w:vAlign w:val="center"/>
          </w:tcPr>
          <w:p w14:paraId="16B2F4FF">
            <w:pPr>
              <w:spacing w:line="380" w:lineRule="exact"/>
              <w:ind w:left="442" w:hanging="442" w:hangingChars="200"/>
              <w:jc w:val="center"/>
              <w:rPr>
                <w:rFonts w:ascii="宋体" w:hAnsi="宋体" w:cs="宋体"/>
                <w:b/>
                <w:bCs/>
                <w:color w:val="auto"/>
                <w:sz w:val="22"/>
                <w:szCs w:val="22"/>
                <w:highlight w:val="none"/>
              </w:rPr>
            </w:pPr>
          </w:p>
        </w:tc>
        <w:tc>
          <w:tcPr>
            <w:tcW w:w="2437" w:type="dxa"/>
            <w:vAlign w:val="center"/>
          </w:tcPr>
          <w:p w14:paraId="3AA972C4">
            <w:pPr>
              <w:spacing w:line="380" w:lineRule="exact"/>
              <w:ind w:left="442" w:hanging="442" w:hangingChars="200"/>
              <w:jc w:val="center"/>
              <w:rPr>
                <w:rFonts w:ascii="宋体" w:hAnsi="宋体" w:cs="宋体"/>
                <w:b/>
                <w:bCs/>
                <w:color w:val="auto"/>
                <w:sz w:val="22"/>
                <w:szCs w:val="22"/>
                <w:highlight w:val="none"/>
              </w:rPr>
            </w:pPr>
          </w:p>
        </w:tc>
        <w:tc>
          <w:tcPr>
            <w:tcW w:w="1737" w:type="dxa"/>
            <w:vAlign w:val="center"/>
          </w:tcPr>
          <w:p w14:paraId="74729D23">
            <w:pPr>
              <w:spacing w:line="380" w:lineRule="exact"/>
              <w:ind w:left="442" w:hanging="442" w:hangingChars="200"/>
              <w:jc w:val="center"/>
              <w:rPr>
                <w:rFonts w:ascii="宋体" w:hAnsi="宋体" w:cs="宋体"/>
                <w:b/>
                <w:bCs/>
                <w:color w:val="auto"/>
                <w:sz w:val="22"/>
                <w:szCs w:val="22"/>
                <w:highlight w:val="none"/>
              </w:rPr>
            </w:pPr>
          </w:p>
        </w:tc>
        <w:tc>
          <w:tcPr>
            <w:tcW w:w="1737" w:type="dxa"/>
            <w:vAlign w:val="center"/>
          </w:tcPr>
          <w:p w14:paraId="18C3558E">
            <w:pPr>
              <w:spacing w:line="380" w:lineRule="exact"/>
              <w:ind w:left="442" w:hanging="442" w:hangingChars="200"/>
              <w:jc w:val="center"/>
              <w:rPr>
                <w:rFonts w:ascii="宋体" w:hAnsi="宋体" w:cs="宋体"/>
                <w:b/>
                <w:bCs/>
                <w:color w:val="auto"/>
                <w:sz w:val="22"/>
                <w:szCs w:val="22"/>
                <w:highlight w:val="none"/>
              </w:rPr>
            </w:pPr>
          </w:p>
        </w:tc>
        <w:tc>
          <w:tcPr>
            <w:tcW w:w="926" w:type="dxa"/>
            <w:vAlign w:val="center"/>
          </w:tcPr>
          <w:p w14:paraId="70E98194">
            <w:pPr>
              <w:spacing w:line="380" w:lineRule="exact"/>
              <w:ind w:left="442" w:hanging="442" w:hangingChars="200"/>
              <w:jc w:val="center"/>
              <w:rPr>
                <w:rFonts w:ascii="宋体" w:hAnsi="宋体" w:cs="宋体"/>
                <w:b/>
                <w:bCs/>
                <w:color w:val="auto"/>
                <w:sz w:val="22"/>
                <w:szCs w:val="22"/>
                <w:highlight w:val="none"/>
              </w:rPr>
            </w:pPr>
          </w:p>
        </w:tc>
      </w:tr>
      <w:tr w14:paraId="40534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62" w:type="dxa"/>
            <w:vAlign w:val="center"/>
          </w:tcPr>
          <w:p w14:paraId="4B14AF6A">
            <w:pPr>
              <w:spacing w:line="380" w:lineRule="exact"/>
              <w:ind w:left="442" w:hanging="442" w:hangingChars="200"/>
              <w:jc w:val="center"/>
              <w:rPr>
                <w:rFonts w:ascii="宋体" w:hAnsi="宋体" w:cs="宋体"/>
                <w:b/>
                <w:bCs/>
                <w:color w:val="auto"/>
                <w:sz w:val="22"/>
                <w:szCs w:val="22"/>
                <w:highlight w:val="none"/>
              </w:rPr>
            </w:pPr>
          </w:p>
        </w:tc>
        <w:tc>
          <w:tcPr>
            <w:tcW w:w="2069" w:type="dxa"/>
            <w:vAlign w:val="center"/>
          </w:tcPr>
          <w:p w14:paraId="45C49B72">
            <w:pPr>
              <w:spacing w:line="380" w:lineRule="exact"/>
              <w:ind w:left="442" w:hanging="442" w:hangingChars="200"/>
              <w:jc w:val="center"/>
              <w:rPr>
                <w:rFonts w:ascii="宋体" w:hAnsi="宋体" w:cs="宋体"/>
                <w:b/>
                <w:bCs/>
                <w:color w:val="auto"/>
                <w:sz w:val="22"/>
                <w:szCs w:val="22"/>
                <w:highlight w:val="none"/>
              </w:rPr>
            </w:pPr>
          </w:p>
        </w:tc>
        <w:tc>
          <w:tcPr>
            <w:tcW w:w="2437" w:type="dxa"/>
            <w:vAlign w:val="center"/>
          </w:tcPr>
          <w:p w14:paraId="7D3C10A7">
            <w:pPr>
              <w:spacing w:line="380" w:lineRule="exact"/>
              <w:ind w:left="442" w:hanging="442" w:hangingChars="200"/>
              <w:jc w:val="center"/>
              <w:rPr>
                <w:rFonts w:ascii="宋体" w:hAnsi="宋体" w:cs="宋体"/>
                <w:b/>
                <w:bCs/>
                <w:color w:val="auto"/>
                <w:sz w:val="22"/>
                <w:szCs w:val="22"/>
                <w:highlight w:val="none"/>
              </w:rPr>
            </w:pPr>
          </w:p>
        </w:tc>
        <w:tc>
          <w:tcPr>
            <w:tcW w:w="1737" w:type="dxa"/>
            <w:vAlign w:val="center"/>
          </w:tcPr>
          <w:p w14:paraId="3245C255">
            <w:pPr>
              <w:spacing w:line="380" w:lineRule="exact"/>
              <w:ind w:left="442" w:hanging="442" w:hangingChars="200"/>
              <w:jc w:val="center"/>
              <w:rPr>
                <w:rFonts w:ascii="宋体" w:hAnsi="宋体" w:cs="宋体"/>
                <w:b/>
                <w:bCs/>
                <w:color w:val="auto"/>
                <w:sz w:val="22"/>
                <w:szCs w:val="22"/>
                <w:highlight w:val="none"/>
              </w:rPr>
            </w:pPr>
          </w:p>
        </w:tc>
        <w:tc>
          <w:tcPr>
            <w:tcW w:w="1737" w:type="dxa"/>
            <w:vAlign w:val="center"/>
          </w:tcPr>
          <w:p w14:paraId="67BA6DAA">
            <w:pPr>
              <w:spacing w:line="380" w:lineRule="exact"/>
              <w:ind w:left="442" w:hanging="442" w:hangingChars="200"/>
              <w:jc w:val="center"/>
              <w:rPr>
                <w:rFonts w:ascii="宋体" w:hAnsi="宋体" w:cs="宋体"/>
                <w:b/>
                <w:bCs/>
                <w:color w:val="auto"/>
                <w:sz w:val="22"/>
                <w:szCs w:val="22"/>
                <w:highlight w:val="none"/>
              </w:rPr>
            </w:pPr>
          </w:p>
        </w:tc>
        <w:tc>
          <w:tcPr>
            <w:tcW w:w="926" w:type="dxa"/>
            <w:vAlign w:val="center"/>
          </w:tcPr>
          <w:p w14:paraId="26D137E9">
            <w:pPr>
              <w:spacing w:line="380" w:lineRule="exact"/>
              <w:ind w:left="442" w:hanging="442" w:hangingChars="200"/>
              <w:jc w:val="center"/>
              <w:rPr>
                <w:rFonts w:ascii="宋体" w:hAnsi="宋体" w:cs="宋体"/>
                <w:b/>
                <w:bCs/>
                <w:color w:val="auto"/>
                <w:sz w:val="22"/>
                <w:szCs w:val="22"/>
                <w:highlight w:val="none"/>
              </w:rPr>
            </w:pPr>
          </w:p>
        </w:tc>
      </w:tr>
    </w:tbl>
    <w:p w14:paraId="27357149">
      <w:pPr>
        <w:pStyle w:val="30"/>
        <w:spacing w:line="400" w:lineRule="atLeast"/>
        <w:rPr>
          <w:rFonts w:hAnsi="宋体" w:cs="宋体"/>
          <w:color w:val="auto"/>
          <w:sz w:val="22"/>
          <w:highlight w:val="none"/>
        </w:rPr>
      </w:pPr>
    </w:p>
    <w:p w14:paraId="7E4F2A74">
      <w:pPr>
        <w:pStyle w:val="30"/>
        <w:spacing w:line="460" w:lineRule="atLeast"/>
        <w:ind w:left="657" w:leftChars="313" w:firstLine="3960" w:firstLineChars="1800"/>
        <w:rPr>
          <w:rFonts w:hAnsi="宋体" w:cs="宋体"/>
          <w:b w:val="0"/>
          <w:bCs/>
          <w:color w:val="auto"/>
          <w:sz w:val="22"/>
          <w:highlight w:val="none"/>
        </w:rPr>
      </w:pPr>
      <w:r>
        <w:rPr>
          <w:rFonts w:hint="eastAsia" w:hAnsi="宋体" w:cs="宋体"/>
          <w:b w:val="0"/>
          <w:bCs/>
          <w:color w:val="auto"/>
          <w:sz w:val="22"/>
          <w:highlight w:val="none"/>
        </w:rPr>
        <w:t>磋商供应商名称（盖章）：</w:t>
      </w:r>
    </w:p>
    <w:p w14:paraId="6D7E90FF">
      <w:pPr>
        <w:pStyle w:val="30"/>
        <w:spacing w:line="460" w:lineRule="atLeast"/>
        <w:ind w:left="660" w:hanging="660" w:hangingChars="300"/>
        <w:rPr>
          <w:rFonts w:hAnsi="宋体" w:cs="宋体"/>
          <w:b w:val="0"/>
          <w:bCs/>
          <w:color w:val="auto"/>
          <w:sz w:val="22"/>
          <w:highlight w:val="none"/>
        </w:rPr>
      </w:pPr>
      <w:r>
        <w:rPr>
          <w:rFonts w:hint="eastAsia" w:hAnsi="宋体" w:cs="宋体"/>
          <w:b w:val="0"/>
          <w:bCs/>
          <w:color w:val="auto"/>
          <w:sz w:val="22"/>
          <w:highlight w:val="none"/>
        </w:rPr>
        <w:t xml:space="preserve">                                          磋商供应商代表（签字）：   </w:t>
      </w:r>
    </w:p>
    <w:p w14:paraId="2627F6AC">
      <w:pPr>
        <w:pStyle w:val="30"/>
        <w:spacing w:line="460" w:lineRule="atLeast"/>
        <w:ind w:left="660" w:hanging="660" w:hangingChars="300"/>
        <w:rPr>
          <w:rFonts w:hAnsi="宋体" w:cs="宋体"/>
          <w:b w:val="0"/>
          <w:bCs/>
          <w:color w:val="auto"/>
          <w:sz w:val="22"/>
          <w:highlight w:val="none"/>
        </w:rPr>
      </w:pPr>
      <w:r>
        <w:rPr>
          <w:rFonts w:hint="eastAsia" w:hAnsi="宋体" w:cs="宋体"/>
          <w:b w:val="0"/>
          <w:bCs/>
          <w:color w:val="auto"/>
          <w:sz w:val="22"/>
          <w:highlight w:val="none"/>
        </w:rPr>
        <w:t xml:space="preserve">                                          日   期： </w:t>
      </w:r>
    </w:p>
    <w:p w14:paraId="577AD3B9">
      <w:pPr>
        <w:rPr>
          <w:rFonts w:ascii="宋体" w:hAnsi="宋体" w:cs="宋体"/>
          <w:b/>
          <w:bCs/>
          <w:color w:val="auto"/>
          <w:sz w:val="22"/>
          <w:szCs w:val="22"/>
          <w:highlight w:val="none"/>
        </w:rPr>
      </w:pPr>
    </w:p>
    <w:p w14:paraId="68638BBB">
      <w:pPr>
        <w:pStyle w:val="2"/>
        <w:ind w:left="442" w:hanging="442"/>
        <w:rPr>
          <w:rFonts w:ascii="宋体" w:hAnsi="宋体" w:cs="宋体"/>
          <w:b/>
          <w:bCs/>
          <w:color w:val="auto"/>
          <w:sz w:val="22"/>
          <w:szCs w:val="22"/>
          <w:highlight w:val="none"/>
        </w:rPr>
      </w:pPr>
    </w:p>
    <w:p w14:paraId="1934405B">
      <w:pPr>
        <w:spacing w:line="400" w:lineRule="exact"/>
        <w:jc w:val="center"/>
        <w:outlineLvl w:val="3"/>
        <w:rPr>
          <w:rFonts w:ascii="宋体" w:hAnsi="宋体" w:cs="宋体"/>
          <w:b/>
          <w:bCs/>
          <w:color w:val="auto"/>
          <w:sz w:val="28"/>
          <w:szCs w:val="28"/>
          <w:highlight w:val="none"/>
          <w:lang w:val="zh-CN"/>
        </w:rPr>
      </w:pPr>
      <w:r>
        <w:rPr>
          <w:rFonts w:hint="eastAsia" w:ascii="宋体" w:hAnsi="宋体" w:cs="宋体"/>
          <w:b/>
          <w:bCs/>
          <w:color w:val="auto"/>
          <w:sz w:val="28"/>
          <w:szCs w:val="28"/>
          <w:highlight w:val="none"/>
        </w:rPr>
        <w:t>7、其他</w:t>
      </w:r>
    </w:p>
    <w:p w14:paraId="09C1D382">
      <w:pPr>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一、商务部分</w:t>
      </w:r>
    </w:p>
    <w:p w14:paraId="2B33DD6E">
      <w:pPr>
        <w:snapToGrid w:val="0"/>
        <w:spacing w:line="460" w:lineRule="exact"/>
        <w:ind w:firstLine="880" w:firstLineChars="400"/>
        <w:rPr>
          <w:rFonts w:ascii="宋体" w:hAnsi="宋体" w:cs="宋体"/>
          <w:color w:val="auto"/>
          <w:sz w:val="22"/>
          <w:szCs w:val="22"/>
          <w:highlight w:val="none"/>
        </w:rPr>
      </w:pPr>
      <w:r>
        <w:rPr>
          <w:rFonts w:hint="eastAsia" w:ascii="宋体" w:hAnsi="宋体" w:cs="宋体"/>
          <w:color w:val="auto"/>
          <w:sz w:val="22"/>
          <w:szCs w:val="22"/>
          <w:highlight w:val="none"/>
        </w:rPr>
        <w:t>1.ISO9001质量管理体系认证证书</w:t>
      </w:r>
    </w:p>
    <w:p w14:paraId="6B736461">
      <w:pPr>
        <w:snapToGrid w:val="0"/>
        <w:spacing w:line="460" w:lineRule="exact"/>
        <w:ind w:firstLine="880" w:firstLineChars="400"/>
        <w:rPr>
          <w:rFonts w:ascii="宋体" w:hAnsi="宋体" w:cs="宋体"/>
          <w:color w:val="auto"/>
          <w:sz w:val="22"/>
          <w:szCs w:val="22"/>
          <w:highlight w:val="none"/>
        </w:rPr>
      </w:pPr>
      <w:r>
        <w:rPr>
          <w:rFonts w:hint="eastAsia" w:ascii="宋体" w:hAnsi="宋体" w:cs="宋体"/>
          <w:color w:val="auto"/>
          <w:sz w:val="22"/>
          <w:szCs w:val="22"/>
          <w:highlight w:val="none"/>
        </w:rPr>
        <w:t>2.ISO14001环境管理体系认证证书</w:t>
      </w:r>
    </w:p>
    <w:p w14:paraId="58E31970">
      <w:pPr>
        <w:snapToGrid w:val="0"/>
        <w:spacing w:line="460" w:lineRule="exact"/>
        <w:ind w:firstLine="880" w:firstLineChars="400"/>
        <w:rPr>
          <w:rFonts w:ascii="宋体" w:hAnsi="宋体" w:cs="宋体"/>
          <w:color w:val="auto"/>
          <w:sz w:val="22"/>
          <w:szCs w:val="22"/>
          <w:highlight w:val="none"/>
        </w:rPr>
      </w:pPr>
      <w:r>
        <w:rPr>
          <w:rFonts w:hint="eastAsia" w:ascii="宋体" w:hAnsi="宋体" w:cs="宋体"/>
          <w:color w:val="auto"/>
          <w:sz w:val="22"/>
          <w:szCs w:val="22"/>
          <w:highlight w:val="none"/>
        </w:rPr>
        <w:t>3.ISO45001 职业健康安全管理体系认证证书或(GB/T 28001 职业健康安全管理体系认证证书)</w:t>
      </w:r>
    </w:p>
    <w:p w14:paraId="5BD06AA3">
      <w:pPr>
        <w:snapToGrid w:val="0"/>
        <w:spacing w:line="460" w:lineRule="exact"/>
        <w:ind w:firstLine="880" w:firstLineChars="400"/>
        <w:rPr>
          <w:rFonts w:ascii="宋体" w:hAnsi="宋体" w:cs="宋体"/>
          <w:color w:val="auto"/>
          <w:sz w:val="22"/>
          <w:szCs w:val="22"/>
          <w:highlight w:val="none"/>
        </w:rPr>
      </w:pPr>
      <w:r>
        <w:rPr>
          <w:rFonts w:hint="eastAsia" w:ascii="宋体" w:hAnsi="宋体" w:cs="宋体"/>
          <w:color w:val="auto"/>
          <w:sz w:val="22"/>
          <w:szCs w:val="22"/>
          <w:highlight w:val="none"/>
        </w:rPr>
        <w:t>4.CQC 中国环保产品认证证书</w:t>
      </w:r>
    </w:p>
    <w:p w14:paraId="761761B7">
      <w:pPr>
        <w:snapToGrid w:val="0"/>
        <w:spacing w:line="460" w:lineRule="exact"/>
        <w:ind w:firstLine="880" w:firstLineChars="400"/>
        <w:rPr>
          <w:rFonts w:ascii="宋体" w:hAnsi="宋体" w:cs="宋体"/>
          <w:color w:val="auto"/>
          <w:sz w:val="22"/>
          <w:szCs w:val="22"/>
          <w:highlight w:val="none"/>
        </w:rPr>
      </w:pPr>
      <w:r>
        <w:rPr>
          <w:rFonts w:hint="eastAsia" w:ascii="宋体" w:hAnsi="宋体" w:cs="宋体"/>
          <w:color w:val="auto"/>
          <w:sz w:val="22"/>
          <w:szCs w:val="22"/>
          <w:highlight w:val="none"/>
        </w:rPr>
        <w:t>5.CEC 家具产品环保卫士认证证书</w:t>
      </w:r>
    </w:p>
    <w:p w14:paraId="5CBAEC35">
      <w:pPr>
        <w:snapToGrid w:val="0"/>
        <w:spacing w:line="460" w:lineRule="exact"/>
        <w:ind w:firstLine="880" w:firstLineChars="400"/>
        <w:rPr>
          <w:rFonts w:ascii="宋体" w:hAnsi="宋体" w:cs="宋体"/>
          <w:color w:val="auto"/>
          <w:sz w:val="22"/>
          <w:szCs w:val="22"/>
          <w:highlight w:val="none"/>
        </w:rPr>
      </w:pPr>
      <w:r>
        <w:rPr>
          <w:rFonts w:hint="eastAsia" w:ascii="宋体" w:hAnsi="宋体" w:cs="宋体"/>
          <w:color w:val="auto"/>
          <w:sz w:val="22"/>
          <w:szCs w:val="22"/>
          <w:highlight w:val="none"/>
        </w:rPr>
        <w:t>6.产品获得国家确定的认证机构出具的有效期之内的环境标志产品认证证书</w:t>
      </w:r>
    </w:p>
    <w:p w14:paraId="6D6E8887">
      <w:pPr>
        <w:snapToGrid w:val="0"/>
        <w:spacing w:line="460" w:lineRule="exact"/>
        <w:ind w:firstLine="880" w:firstLineChars="400"/>
        <w:rPr>
          <w:rFonts w:ascii="宋体" w:hAnsi="宋体" w:cs="宋体"/>
          <w:color w:val="auto"/>
          <w:sz w:val="22"/>
          <w:szCs w:val="22"/>
          <w:highlight w:val="none"/>
          <w:lang w:val="zh-CN"/>
        </w:rPr>
      </w:pPr>
      <w:r>
        <w:rPr>
          <w:rFonts w:hint="eastAsia" w:ascii="宋体" w:hAnsi="宋体" w:cs="宋体"/>
          <w:color w:val="auto"/>
          <w:sz w:val="22"/>
          <w:szCs w:val="22"/>
          <w:highlight w:val="none"/>
        </w:rPr>
        <w:t>7.同类案例</w:t>
      </w:r>
    </w:p>
    <w:p w14:paraId="00D1E1C9">
      <w:pPr>
        <w:snapToGrid w:val="0"/>
        <w:spacing w:line="4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二、技术部分</w:t>
      </w:r>
    </w:p>
    <w:p w14:paraId="18A6A8BD">
      <w:pPr>
        <w:snapToGrid w:val="0"/>
        <w:spacing w:line="460" w:lineRule="exact"/>
        <w:ind w:firstLine="880" w:firstLineChars="400"/>
        <w:rPr>
          <w:rFonts w:ascii="宋体" w:hAnsi="宋体" w:cs="宋体"/>
          <w:color w:val="auto"/>
          <w:sz w:val="22"/>
          <w:szCs w:val="22"/>
          <w:highlight w:val="none"/>
        </w:rPr>
      </w:pPr>
      <w:r>
        <w:rPr>
          <w:rFonts w:hint="eastAsia" w:ascii="宋体" w:hAnsi="宋体" w:cs="宋体"/>
          <w:color w:val="auto"/>
          <w:sz w:val="22"/>
          <w:szCs w:val="22"/>
          <w:highlight w:val="none"/>
        </w:rPr>
        <w:t>1.与采购标的相关的外观、结构、工艺及技术专利</w:t>
      </w:r>
    </w:p>
    <w:p w14:paraId="0463693D">
      <w:pPr>
        <w:snapToGrid w:val="0"/>
        <w:spacing w:line="460" w:lineRule="exact"/>
        <w:ind w:firstLine="880" w:firstLineChars="400"/>
        <w:rPr>
          <w:rFonts w:ascii="宋体" w:hAnsi="宋体" w:cs="宋体"/>
          <w:color w:val="auto"/>
          <w:sz w:val="22"/>
          <w:szCs w:val="22"/>
          <w:highlight w:val="none"/>
        </w:rPr>
      </w:pPr>
      <w:r>
        <w:rPr>
          <w:rFonts w:hint="eastAsia" w:ascii="宋体" w:hAnsi="宋体" w:cs="宋体"/>
          <w:color w:val="auto"/>
          <w:sz w:val="22"/>
          <w:szCs w:val="22"/>
          <w:highlight w:val="none"/>
        </w:rPr>
        <w:t>2.符合核心技术性能要求的与采购标的同品类成品检测报告（一年内）</w:t>
      </w:r>
    </w:p>
    <w:p w14:paraId="0E2E815E">
      <w:pPr>
        <w:snapToGrid w:val="0"/>
        <w:spacing w:line="460" w:lineRule="exact"/>
        <w:ind w:firstLine="880" w:firstLineChars="400"/>
        <w:rPr>
          <w:rFonts w:ascii="宋体" w:hAnsi="宋体" w:cs="宋体"/>
          <w:color w:val="auto"/>
          <w:sz w:val="22"/>
          <w:szCs w:val="22"/>
          <w:highlight w:val="none"/>
        </w:rPr>
      </w:pPr>
      <w:r>
        <w:rPr>
          <w:rFonts w:hint="eastAsia" w:ascii="宋体" w:hAnsi="宋体" w:cs="宋体"/>
          <w:color w:val="auto"/>
          <w:sz w:val="22"/>
          <w:szCs w:val="22"/>
          <w:highlight w:val="none"/>
        </w:rPr>
        <w:t>3.符合国家标准或行业标准要求的主要原材料（如人造板、面料、海绵、五金配件、封边条、涂料、胶黏剂、塑料件等）的检测报告（一年内）</w:t>
      </w:r>
    </w:p>
    <w:p w14:paraId="33A6394D">
      <w:pPr>
        <w:snapToGrid w:val="0"/>
        <w:spacing w:line="460" w:lineRule="exact"/>
        <w:ind w:firstLine="880" w:firstLineChars="400"/>
        <w:rPr>
          <w:rFonts w:ascii="宋体" w:hAnsi="宋体" w:cs="宋体"/>
          <w:color w:val="auto"/>
          <w:sz w:val="22"/>
          <w:szCs w:val="22"/>
          <w:highlight w:val="none"/>
        </w:rPr>
      </w:pPr>
      <w:r>
        <w:rPr>
          <w:rFonts w:hint="eastAsia" w:ascii="宋体" w:hAnsi="宋体" w:cs="宋体"/>
          <w:color w:val="auto"/>
          <w:sz w:val="22"/>
          <w:szCs w:val="22"/>
          <w:highlight w:val="none"/>
        </w:rPr>
        <w:t>4.技术规格响应情况</w:t>
      </w:r>
    </w:p>
    <w:p w14:paraId="65353386">
      <w:pPr>
        <w:snapToGrid w:val="0"/>
        <w:spacing w:line="460" w:lineRule="exact"/>
        <w:ind w:firstLine="880" w:firstLineChars="400"/>
        <w:rPr>
          <w:rFonts w:ascii="宋体" w:hAnsi="宋体" w:cs="宋体"/>
          <w:color w:val="auto"/>
          <w:sz w:val="22"/>
          <w:szCs w:val="22"/>
          <w:highlight w:val="none"/>
        </w:rPr>
      </w:pPr>
      <w:r>
        <w:rPr>
          <w:rFonts w:hint="eastAsia" w:ascii="宋体" w:hAnsi="宋体" w:cs="宋体"/>
          <w:color w:val="auto"/>
          <w:sz w:val="22"/>
          <w:szCs w:val="22"/>
          <w:highlight w:val="none"/>
        </w:rPr>
        <w:t>5.生产厂家的核心专业生产设备</w:t>
      </w:r>
    </w:p>
    <w:p w14:paraId="1ABABC0D">
      <w:pPr>
        <w:snapToGrid w:val="0"/>
        <w:spacing w:line="460" w:lineRule="exact"/>
        <w:ind w:firstLine="880" w:firstLineChars="400"/>
        <w:rPr>
          <w:rFonts w:ascii="宋体" w:hAnsi="宋体" w:cs="宋体"/>
          <w:color w:val="auto"/>
          <w:sz w:val="22"/>
          <w:szCs w:val="22"/>
          <w:highlight w:val="none"/>
        </w:rPr>
      </w:pPr>
      <w:r>
        <w:rPr>
          <w:rFonts w:hint="eastAsia" w:ascii="宋体" w:hAnsi="宋体" w:cs="宋体"/>
          <w:color w:val="auto"/>
          <w:sz w:val="22"/>
          <w:szCs w:val="22"/>
          <w:highlight w:val="none"/>
        </w:rPr>
        <w:t>6.技术团队履历及能力说明</w:t>
      </w:r>
    </w:p>
    <w:p w14:paraId="64921E10">
      <w:pPr>
        <w:snapToGrid w:val="0"/>
        <w:spacing w:line="460" w:lineRule="exact"/>
        <w:ind w:firstLine="880" w:firstLineChars="400"/>
        <w:rPr>
          <w:rFonts w:ascii="宋体" w:hAnsi="宋体" w:cs="宋体"/>
          <w:color w:val="auto"/>
          <w:sz w:val="22"/>
          <w:szCs w:val="22"/>
          <w:highlight w:val="none"/>
        </w:rPr>
      </w:pPr>
      <w:r>
        <w:rPr>
          <w:rFonts w:hint="eastAsia" w:ascii="宋体" w:hAnsi="宋体" w:cs="宋体"/>
          <w:color w:val="auto"/>
          <w:sz w:val="22"/>
          <w:szCs w:val="22"/>
          <w:highlight w:val="none"/>
        </w:rPr>
        <w:t>7.项目实施规划方案</w:t>
      </w:r>
    </w:p>
    <w:p w14:paraId="7263EA7D">
      <w:pPr>
        <w:snapToGrid w:val="0"/>
        <w:spacing w:line="460" w:lineRule="exact"/>
        <w:ind w:firstLine="880" w:firstLineChars="400"/>
        <w:rPr>
          <w:rFonts w:ascii="宋体" w:hAnsi="宋体" w:cs="宋体"/>
          <w:color w:val="auto"/>
          <w:sz w:val="22"/>
          <w:szCs w:val="22"/>
          <w:highlight w:val="none"/>
        </w:rPr>
      </w:pPr>
      <w:r>
        <w:rPr>
          <w:rFonts w:hint="eastAsia" w:ascii="宋体" w:hAnsi="宋体" w:cs="宋体"/>
          <w:color w:val="auto"/>
          <w:sz w:val="22"/>
          <w:szCs w:val="22"/>
          <w:highlight w:val="none"/>
        </w:rPr>
        <w:t>8.生产实施方案</w:t>
      </w:r>
    </w:p>
    <w:p w14:paraId="01AB4784">
      <w:pPr>
        <w:snapToGrid w:val="0"/>
        <w:spacing w:line="460" w:lineRule="exact"/>
        <w:ind w:firstLine="880" w:firstLineChars="400"/>
        <w:rPr>
          <w:rFonts w:ascii="宋体" w:hAnsi="宋体" w:cs="宋体"/>
          <w:color w:val="auto"/>
          <w:sz w:val="22"/>
          <w:szCs w:val="22"/>
          <w:highlight w:val="none"/>
        </w:rPr>
      </w:pPr>
      <w:r>
        <w:rPr>
          <w:rFonts w:hint="eastAsia" w:ascii="宋体" w:hAnsi="宋体" w:cs="宋体"/>
          <w:color w:val="auto"/>
          <w:sz w:val="22"/>
          <w:szCs w:val="22"/>
          <w:highlight w:val="none"/>
        </w:rPr>
        <w:t>9.品质管理管控方案</w:t>
      </w:r>
    </w:p>
    <w:p w14:paraId="5093BC1A">
      <w:pPr>
        <w:snapToGrid w:val="0"/>
        <w:spacing w:line="460" w:lineRule="exact"/>
        <w:ind w:firstLine="880" w:firstLineChars="400"/>
        <w:rPr>
          <w:rFonts w:ascii="宋体" w:hAnsi="宋体" w:cs="宋体"/>
          <w:color w:val="auto"/>
          <w:sz w:val="22"/>
          <w:szCs w:val="22"/>
          <w:highlight w:val="none"/>
        </w:rPr>
      </w:pPr>
      <w:r>
        <w:rPr>
          <w:rFonts w:hint="eastAsia" w:ascii="宋体" w:hAnsi="宋体" w:cs="宋体"/>
          <w:color w:val="auto"/>
          <w:sz w:val="22"/>
          <w:szCs w:val="22"/>
          <w:highlight w:val="none"/>
        </w:rPr>
        <w:t>10.安装服务实施方案</w:t>
      </w:r>
    </w:p>
    <w:p w14:paraId="3FD5DF73">
      <w:pPr>
        <w:snapToGrid w:val="0"/>
        <w:spacing w:line="460" w:lineRule="exact"/>
        <w:ind w:firstLine="880" w:firstLineChars="400"/>
        <w:rPr>
          <w:rFonts w:ascii="宋体" w:hAnsi="宋体" w:cs="宋体"/>
          <w:color w:val="auto"/>
          <w:sz w:val="22"/>
          <w:szCs w:val="22"/>
          <w:highlight w:val="none"/>
        </w:rPr>
      </w:pPr>
      <w:r>
        <w:rPr>
          <w:rFonts w:hint="eastAsia" w:ascii="宋体" w:hAnsi="宋体" w:cs="宋体"/>
          <w:color w:val="auto"/>
          <w:sz w:val="22"/>
          <w:szCs w:val="22"/>
          <w:highlight w:val="none"/>
        </w:rPr>
        <w:t>11.安装服务实施方案</w:t>
      </w:r>
    </w:p>
    <w:p w14:paraId="6A02ECC4">
      <w:pPr>
        <w:pStyle w:val="30"/>
        <w:spacing w:line="460" w:lineRule="atLeast"/>
        <w:ind w:left="660" w:hanging="660" w:hangingChars="300"/>
        <w:rPr>
          <w:rFonts w:hAnsi="宋体" w:cs="宋体"/>
          <w:b w:val="0"/>
          <w:bCs/>
          <w:color w:val="auto"/>
          <w:sz w:val="22"/>
          <w:highlight w:val="none"/>
        </w:rPr>
      </w:pPr>
    </w:p>
    <w:p w14:paraId="442C848F">
      <w:pPr>
        <w:pStyle w:val="30"/>
        <w:spacing w:line="460" w:lineRule="atLeast"/>
        <w:ind w:left="660" w:hanging="660" w:hangingChars="300"/>
        <w:rPr>
          <w:rFonts w:hAnsi="宋体" w:cs="宋体"/>
          <w:b w:val="0"/>
          <w:bCs/>
          <w:color w:val="auto"/>
          <w:sz w:val="22"/>
          <w:highlight w:val="none"/>
        </w:rPr>
      </w:pPr>
    </w:p>
    <w:p w14:paraId="1A3B47D1">
      <w:pPr>
        <w:pStyle w:val="30"/>
        <w:spacing w:line="460" w:lineRule="atLeast"/>
        <w:ind w:left="660" w:hanging="660" w:hangingChars="300"/>
        <w:rPr>
          <w:rFonts w:hAnsi="宋体" w:cs="宋体"/>
          <w:b w:val="0"/>
          <w:bCs/>
          <w:color w:val="auto"/>
          <w:sz w:val="22"/>
          <w:highlight w:val="none"/>
        </w:rPr>
      </w:pPr>
    </w:p>
    <w:p w14:paraId="1C01B088">
      <w:pPr>
        <w:pStyle w:val="30"/>
        <w:spacing w:line="460" w:lineRule="atLeast"/>
        <w:ind w:left="660" w:hanging="660" w:hangingChars="300"/>
        <w:rPr>
          <w:rFonts w:hAnsi="宋体" w:cs="宋体"/>
          <w:b w:val="0"/>
          <w:bCs/>
          <w:color w:val="auto"/>
          <w:sz w:val="22"/>
          <w:highlight w:val="none"/>
        </w:rPr>
      </w:pPr>
    </w:p>
    <w:p w14:paraId="4F861233">
      <w:pPr>
        <w:pStyle w:val="30"/>
        <w:spacing w:line="460" w:lineRule="atLeast"/>
        <w:ind w:left="660" w:hanging="660" w:hangingChars="300"/>
        <w:rPr>
          <w:rFonts w:hAnsi="宋体" w:cs="宋体"/>
          <w:b w:val="0"/>
          <w:bCs/>
          <w:color w:val="auto"/>
          <w:sz w:val="22"/>
          <w:highlight w:val="none"/>
        </w:rPr>
      </w:pPr>
    </w:p>
    <w:p w14:paraId="34DCDA6B">
      <w:pPr>
        <w:pStyle w:val="30"/>
        <w:spacing w:line="460" w:lineRule="atLeast"/>
        <w:ind w:left="660" w:hanging="660" w:hangingChars="300"/>
        <w:rPr>
          <w:rFonts w:hAnsi="宋体" w:cs="宋体"/>
          <w:b w:val="0"/>
          <w:bCs/>
          <w:color w:val="auto"/>
          <w:sz w:val="22"/>
          <w:highlight w:val="none"/>
        </w:rPr>
      </w:pPr>
    </w:p>
    <w:p w14:paraId="35637A8C">
      <w:pPr>
        <w:pStyle w:val="30"/>
        <w:spacing w:line="460" w:lineRule="atLeast"/>
        <w:ind w:left="660" w:hanging="660" w:hangingChars="300"/>
        <w:rPr>
          <w:rFonts w:hAnsi="宋体" w:cs="宋体"/>
          <w:b w:val="0"/>
          <w:bCs/>
          <w:color w:val="auto"/>
          <w:sz w:val="22"/>
          <w:highlight w:val="none"/>
        </w:rPr>
      </w:pPr>
      <w:r>
        <w:rPr>
          <w:rFonts w:hint="eastAsia" w:hAnsi="宋体" w:cs="宋体"/>
          <w:b w:val="0"/>
          <w:bCs/>
          <w:color w:val="auto"/>
          <w:sz w:val="22"/>
          <w:highlight w:val="none"/>
        </w:rPr>
        <w:t xml:space="preserve"> </w:t>
      </w:r>
    </w:p>
    <w:p w14:paraId="1D84A017">
      <w:pPr>
        <w:rPr>
          <w:rFonts w:ascii="宋体" w:hAnsi="宋体" w:cs="宋体"/>
          <w:b/>
          <w:bCs/>
          <w:color w:val="auto"/>
          <w:sz w:val="22"/>
          <w:szCs w:val="22"/>
          <w:highlight w:val="none"/>
        </w:rPr>
      </w:pPr>
    </w:p>
    <w:p w14:paraId="59CDA445">
      <w:pPr>
        <w:pStyle w:val="2"/>
        <w:ind w:left="442" w:hanging="442"/>
        <w:rPr>
          <w:rFonts w:ascii="宋体" w:hAnsi="宋体" w:cs="宋体"/>
          <w:b/>
          <w:bCs/>
          <w:color w:val="auto"/>
          <w:sz w:val="22"/>
          <w:szCs w:val="22"/>
          <w:highlight w:val="none"/>
        </w:rPr>
      </w:pPr>
    </w:p>
    <w:p w14:paraId="0ADC206E">
      <w:pPr>
        <w:outlineLvl w:val="1"/>
        <w:rPr>
          <w:rFonts w:ascii="宋体" w:hAnsi="宋体" w:cs="宋体"/>
          <w:b/>
          <w:bCs/>
          <w:color w:val="auto"/>
          <w:sz w:val="22"/>
          <w:szCs w:val="22"/>
          <w:highlight w:val="none"/>
        </w:rPr>
      </w:pPr>
      <w:bookmarkStart w:id="256" w:name="_Toc8505"/>
      <w:bookmarkStart w:id="257" w:name="_Toc7185"/>
      <w:r>
        <w:rPr>
          <w:rFonts w:hint="eastAsia" w:ascii="宋体" w:hAnsi="宋体" w:cs="宋体"/>
          <w:b/>
          <w:bCs/>
          <w:color w:val="auto"/>
          <w:sz w:val="22"/>
          <w:szCs w:val="22"/>
          <w:highlight w:val="none"/>
        </w:rPr>
        <w:t>附件四</w:t>
      </w:r>
      <w:bookmarkEnd w:id="256"/>
      <w:bookmarkEnd w:id="257"/>
    </w:p>
    <w:p w14:paraId="5D321E2C">
      <w:pPr>
        <w:spacing w:line="460" w:lineRule="exact"/>
        <w:jc w:val="center"/>
        <w:outlineLvl w:val="2"/>
        <w:rPr>
          <w:rFonts w:ascii="宋体" w:hAnsi="宋体" w:cs="宋体"/>
          <w:b/>
          <w:bCs/>
          <w:color w:val="auto"/>
          <w:sz w:val="28"/>
          <w:szCs w:val="28"/>
          <w:highlight w:val="none"/>
          <w:lang w:val="zh-CN"/>
        </w:rPr>
      </w:pPr>
      <w:bookmarkStart w:id="258" w:name="_Toc5968"/>
      <w:bookmarkStart w:id="259" w:name="_Toc5443"/>
      <w:r>
        <w:rPr>
          <w:rFonts w:hint="eastAsia" w:ascii="宋体" w:hAnsi="宋体" w:cs="宋体"/>
          <w:b/>
          <w:bCs/>
          <w:color w:val="auto"/>
          <w:sz w:val="28"/>
          <w:szCs w:val="28"/>
          <w:highlight w:val="none"/>
          <w:lang w:val="zh-CN"/>
        </w:rPr>
        <w:t>预付款保函示范文本</w:t>
      </w:r>
      <w:bookmarkEnd w:id="258"/>
      <w:bookmarkEnd w:id="259"/>
    </w:p>
    <w:p w14:paraId="148CA97A">
      <w:pPr>
        <w:widowControl/>
        <w:spacing w:line="460" w:lineRule="exact"/>
        <w:jc w:val="center"/>
        <w:rPr>
          <w:rFonts w:ascii="新宋体" w:hAnsi="新宋体" w:eastAsia="新宋体" w:cs="新宋体"/>
          <w:color w:val="auto"/>
          <w:kern w:val="0"/>
          <w:sz w:val="32"/>
          <w:szCs w:val="32"/>
          <w:highlight w:val="none"/>
        </w:rPr>
      </w:pPr>
      <w:r>
        <w:rPr>
          <w:rFonts w:hint="eastAsia" w:ascii="新宋体" w:hAnsi="新宋体" w:eastAsia="新宋体" w:cs="新宋体"/>
          <w:b/>
          <w:bCs/>
          <w:color w:val="auto"/>
          <w:kern w:val="0"/>
          <w:sz w:val="32"/>
          <w:szCs w:val="32"/>
          <w:highlight w:val="none"/>
        </w:rPr>
        <w:t>（独立保函）</w:t>
      </w:r>
    </w:p>
    <w:p w14:paraId="2397CEA6">
      <w:pPr>
        <w:widowControl/>
        <w:spacing w:line="460" w:lineRule="exac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 </w:t>
      </w:r>
    </w:p>
    <w:p w14:paraId="1EE86553">
      <w:pPr>
        <w:widowControl/>
        <w:spacing w:line="460" w:lineRule="exac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编号：           </w:t>
      </w:r>
    </w:p>
    <w:p w14:paraId="50474CAF">
      <w:pPr>
        <w:widowControl/>
        <w:spacing w:line="460" w:lineRule="exac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 </w:t>
      </w:r>
    </w:p>
    <w:p w14:paraId="11E72847">
      <w:pPr>
        <w:widowControl/>
        <w:spacing w:line="460" w:lineRule="exac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申请人：                                      受益人：温州医科大学</w:t>
      </w:r>
    </w:p>
    <w:p w14:paraId="4F0E697E">
      <w:pPr>
        <w:widowControl/>
        <w:spacing w:line="460" w:lineRule="exac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地址：                                        地址：</w:t>
      </w:r>
    </w:p>
    <w:p w14:paraId="6F21DAB4">
      <w:pPr>
        <w:widowControl/>
        <w:spacing w:line="460" w:lineRule="exac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开立人：</w:t>
      </w:r>
    </w:p>
    <w:p w14:paraId="0471FE59">
      <w:pPr>
        <w:widowControl/>
        <w:spacing w:line="460" w:lineRule="exac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地址：</w:t>
      </w:r>
    </w:p>
    <w:p w14:paraId="3C19AED3">
      <w:pPr>
        <w:widowControl/>
        <w:spacing w:line="460" w:lineRule="exac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 </w:t>
      </w:r>
    </w:p>
    <w:p w14:paraId="0BF777A1">
      <w:pPr>
        <w:widowControl/>
        <w:spacing w:line="460" w:lineRule="exac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u w:val="single"/>
        </w:rPr>
        <w:t>温州医科大学</w:t>
      </w:r>
      <w:r>
        <w:rPr>
          <w:rFonts w:hint="eastAsia" w:ascii="新宋体" w:hAnsi="新宋体" w:eastAsia="新宋体" w:cs="新宋体"/>
          <w:color w:val="auto"/>
          <w:kern w:val="0"/>
          <w:sz w:val="22"/>
          <w:szCs w:val="22"/>
          <w:highlight w:val="none"/>
        </w:rPr>
        <w:t>（受益人名称）：</w:t>
      </w:r>
    </w:p>
    <w:p w14:paraId="62191BA4">
      <w:pPr>
        <w:widowControl/>
        <w:spacing w:line="460" w:lineRule="exact"/>
        <w:ind w:firstLine="420"/>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鉴于</w:t>
      </w:r>
      <w:r>
        <w:rPr>
          <w:rFonts w:hint="eastAsia" w:ascii="新宋体" w:hAnsi="新宋体" w:eastAsia="新宋体" w:cs="新宋体"/>
          <w:color w:val="auto"/>
          <w:kern w:val="0"/>
          <w:sz w:val="22"/>
          <w:szCs w:val="22"/>
          <w:highlight w:val="none"/>
          <w:u w:val="single"/>
        </w:rPr>
        <w:t>  贵方 </w:t>
      </w:r>
      <w:r>
        <w:rPr>
          <w:rFonts w:hint="eastAsia" w:ascii="新宋体" w:hAnsi="新宋体" w:eastAsia="新宋体" w:cs="新宋体"/>
          <w:color w:val="auto"/>
          <w:kern w:val="0"/>
          <w:sz w:val="22"/>
          <w:szCs w:val="22"/>
          <w:highlight w:val="none"/>
        </w:rPr>
        <w:t>（以下简称“受益人”）与</w:t>
      </w:r>
      <w:r>
        <w:rPr>
          <w:rFonts w:hint="eastAsia" w:ascii="新宋体" w:hAnsi="新宋体" w:eastAsia="新宋体" w:cs="新宋体"/>
          <w:color w:val="auto"/>
          <w:kern w:val="0"/>
          <w:sz w:val="22"/>
          <w:szCs w:val="22"/>
          <w:highlight w:val="none"/>
          <w:u w:val="single"/>
        </w:rPr>
        <w:t>         </w:t>
      </w:r>
      <w:r>
        <w:rPr>
          <w:rFonts w:hint="eastAsia" w:ascii="新宋体" w:hAnsi="新宋体" w:eastAsia="新宋体" w:cs="新宋体"/>
          <w:color w:val="auto"/>
          <w:kern w:val="0"/>
          <w:sz w:val="22"/>
          <w:szCs w:val="22"/>
          <w:highlight w:val="none"/>
        </w:rPr>
        <w:t>（以下简称“申请人”）于</w:t>
      </w:r>
      <w:r>
        <w:rPr>
          <w:rFonts w:hint="eastAsia" w:ascii="新宋体" w:hAnsi="新宋体" w:eastAsia="新宋体" w:cs="新宋体"/>
          <w:color w:val="auto"/>
          <w:kern w:val="0"/>
          <w:sz w:val="22"/>
          <w:szCs w:val="22"/>
          <w:highlight w:val="none"/>
          <w:u w:val="single"/>
        </w:rPr>
        <w:t>   </w:t>
      </w:r>
      <w:r>
        <w:rPr>
          <w:rFonts w:hint="eastAsia" w:ascii="新宋体" w:hAnsi="新宋体" w:eastAsia="新宋体" w:cs="新宋体"/>
          <w:color w:val="auto"/>
          <w:kern w:val="0"/>
          <w:sz w:val="22"/>
          <w:szCs w:val="22"/>
          <w:highlight w:val="none"/>
        </w:rPr>
        <w:t>年</w:t>
      </w:r>
      <w:r>
        <w:rPr>
          <w:rFonts w:hint="eastAsia" w:ascii="新宋体" w:hAnsi="新宋体" w:eastAsia="新宋体" w:cs="新宋体"/>
          <w:color w:val="auto"/>
          <w:kern w:val="0"/>
          <w:sz w:val="22"/>
          <w:szCs w:val="22"/>
          <w:highlight w:val="none"/>
          <w:u w:val="single"/>
        </w:rPr>
        <w:t>   </w:t>
      </w:r>
      <w:r>
        <w:rPr>
          <w:rFonts w:hint="eastAsia" w:ascii="新宋体" w:hAnsi="新宋体" w:eastAsia="新宋体" w:cs="新宋体"/>
          <w:color w:val="auto"/>
          <w:kern w:val="0"/>
          <w:sz w:val="22"/>
          <w:szCs w:val="22"/>
          <w:highlight w:val="none"/>
        </w:rPr>
        <w:t>月</w:t>
      </w:r>
      <w:r>
        <w:rPr>
          <w:rFonts w:hint="eastAsia" w:ascii="新宋体" w:hAnsi="新宋体" w:eastAsia="新宋体" w:cs="新宋体"/>
          <w:color w:val="auto"/>
          <w:kern w:val="0"/>
          <w:sz w:val="22"/>
          <w:szCs w:val="22"/>
          <w:highlight w:val="none"/>
          <w:u w:val="single"/>
        </w:rPr>
        <w:t>   </w:t>
      </w:r>
      <w:r>
        <w:rPr>
          <w:rFonts w:hint="eastAsia" w:ascii="新宋体" w:hAnsi="新宋体" w:eastAsia="新宋体" w:cs="新宋体"/>
          <w:color w:val="auto"/>
          <w:kern w:val="0"/>
          <w:sz w:val="22"/>
          <w:szCs w:val="22"/>
          <w:highlight w:val="none"/>
        </w:rPr>
        <w:t>日就</w:t>
      </w:r>
      <w:r>
        <w:rPr>
          <w:rFonts w:hint="eastAsia" w:ascii="新宋体" w:hAnsi="新宋体" w:eastAsia="新宋体" w:cs="新宋体"/>
          <w:color w:val="auto"/>
          <w:kern w:val="0"/>
          <w:sz w:val="22"/>
          <w:szCs w:val="22"/>
          <w:highlight w:val="none"/>
          <w:u w:val="single"/>
        </w:rPr>
        <w:t>           </w:t>
      </w:r>
      <w:r>
        <w:rPr>
          <w:rFonts w:hint="eastAsia" w:ascii="新宋体" w:hAnsi="新宋体" w:eastAsia="新宋体" w:cs="新宋体"/>
          <w:color w:val="auto"/>
          <w:kern w:val="0"/>
          <w:sz w:val="22"/>
          <w:szCs w:val="22"/>
          <w:highlight w:val="none"/>
        </w:rPr>
        <w:t>项目（以下简称“本项目”，合同编号：</w:t>
      </w:r>
      <w:r>
        <w:rPr>
          <w:rFonts w:hint="eastAsia" w:ascii="新宋体" w:hAnsi="新宋体" w:eastAsia="新宋体" w:cs="新宋体"/>
          <w:color w:val="auto"/>
          <w:kern w:val="0"/>
          <w:sz w:val="22"/>
          <w:szCs w:val="22"/>
          <w:highlight w:val="none"/>
          <w:u w:val="single"/>
        </w:rPr>
        <w:t>       </w:t>
      </w:r>
      <w:r>
        <w:rPr>
          <w:rFonts w:hint="eastAsia" w:ascii="新宋体" w:hAnsi="新宋体" w:eastAsia="新宋体" w:cs="新宋体"/>
          <w:color w:val="auto"/>
          <w:kern w:val="0"/>
          <w:sz w:val="22"/>
          <w:szCs w:val="22"/>
          <w:highlight w:val="none"/>
        </w:rPr>
        <w:t>）货物和服务有关事项签订合同（以下简称“主合同”），我方（即“开立人”）根据主合同了解到申请人为主合同项下之供应商，受益人为主合同项下之买方，基于申请人的请求，我方同意就申请人按照合同约定正确和合理地为合同目的使用预付款，向贵方提供不可撤销、不可转让的见索即付独立保函（以下简称“本保函”）。</w:t>
      </w:r>
    </w:p>
    <w:p w14:paraId="7F937425">
      <w:pPr>
        <w:widowControl/>
        <w:spacing w:line="460" w:lineRule="exact"/>
        <w:ind w:firstLine="420"/>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一、本保函担保范围：申请人未按照合同约定正确和合理地为合同目的使用预付款，应当向贵方承担的违约责任和赔偿因此造成的损失、利息、律师费、诉讼费用等实现债权的费用。</w:t>
      </w:r>
    </w:p>
    <w:p w14:paraId="6DAF5E79">
      <w:pPr>
        <w:widowControl/>
        <w:spacing w:line="460" w:lineRule="exact"/>
        <w:ind w:firstLine="420"/>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二、本保函担保金额最高不超过人民币（大写）</w:t>
      </w:r>
      <w:r>
        <w:rPr>
          <w:rFonts w:hint="eastAsia" w:ascii="新宋体" w:hAnsi="新宋体" w:eastAsia="新宋体" w:cs="新宋体"/>
          <w:color w:val="auto"/>
          <w:kern w:val="0"/>
          <w:sz w:val="22"/>
          <w:szCs w:val="22"/>
          <w:highlight w:val="none"/>
          <w:u w:val="single"/>
        </w:rPr>
        <w:t>          </w:t>
      </w:r>
      <w:r>
        <w:rPr>
          <w:rFonts w:hint="eastAsia" w:ascii="新宋体" w:hAnsi="新宋体" w:eastAsia="新宋体" w:cs="新宋体"/>
          <w:color w:val="auto"/>
          <w:kern w:val="0"/>
          <w:sz w:val="22"/>
          <w:szCs w:val="22"/>
          <w:highlight w:val="none"/>
        </w:rPr>
        <w:t>元（¥</w:t>
      </w:r>
      <w:r>
        <w:rPr>
          <w:rFonts w:hint="eastAsia" w:ascii="新宋体" w:hAnsi="新宋体" w:eastAsia="新宋体" w:cs="新宋体"/>
          <w:color w:val="auto"/>
          <w:kern w:val="0"/>
          <w:sz w:val="22"/>
          <w:szCs w:val="22"/>
          <w:highlight w:val="none"/>
          <w:u w:val="single"/>
        </w:rPr>
        <w:t>       </w:t>
      </w:r>
      <w:r>
        <w:rPr>
          <w:rFonts w:hint="eastAsia" w:ascii="新宋体" w:hAnsi="新宋体" w:eastAsia="新宋体" w:cs="新宋体"/>
          <w:color w:val="auto"/>
          <w:kern w:val="0"/>
          <w:sz w:val="22"/>
          <w:szCs w:val="22"/>
          <w:highlight w:val="none"/>
        </w:rPr>
        <w:t>）。</w:t>
      </w:r>
    </w:p>
    <w:p w14:paraId="7712C14A">
      <w:pPr>
        <w:widowControl/>
        <w:spacing w:line="460" w:lineRule="exact"/>
        <w:ind w:firstLine="420"/>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三、本保函有效期自开立之日起至买方全额扣回预付款后</w:t>
      </w:r>
      <w:r>
        <w:rPr>
          <w:rFonts w:hint="eastAsia" w:ascii="新宋体" w:hAnsi="新宋体" w:eastAsia="新宋体" w:cs="新宋体"/>
          <w:color w:val="auto"/>
          <w:kern w:val="0"/>
          <w:sz w:val="22"/>
          <w:szCs w:val="22"/>
          <w:highlight w:val="none"/>
          <w:u w:val="single"/>
        </w:rPr>
        <w:t>     </w:t>
      </w:r>
      <w:r>
        <w:rPr>
          <w:rFonts w:hint="eastAsia" w:ascii="新宋体" w:hAnsi="新宋体" w:eastAsia="新宋体" w:cs="新宋体"/>
          <w:color w:val="auto"/>
          <w:kern w:val="0"/>
          <w:sz w:val="22"/>
          <w:szCs w:val="22"/>
          <w:highlight w:val="none"/>
        </w:rPr>
        <w:t>日止，最迟不超过开立之日起1年，即</w:t>
      </w:r>
      <w:r>
        <w:rPr>
          <w:rFonts w:hint="eastAsia" w:ascii="新宋体" w:hAnsi="新宋体" w:eastAsia="新宋体" w:cs="新宋体"/>
          <w:color w:val="auto"/>
          <w:kern w:val="0"/>
          <w:sz w:val="22"/>
          <w:szCs w:val="22"/>
          <w:highlight w:val="none"/>
          <w:u w:val="single"/>
        </w:rPr>
        <w:t>    </w:t>
      </w:r>
      <w:r>
        <w:rPr>
          <w:rFonts w:hint="eastAsia" w:ascii="新宋体" w:hAnsi="新宋体" w:eastAsia="新宋体" w:cs="新宋体"/>
          <w:color w:val="auto"/>
          <w:kern w:val="0"/>
          <w:sz w:val="22"/>
          <w:szCs w:val="22"/>
          <w:highlight w:val="none"/>
        </w:rPr>
        <w:t>年</w:t>
      </w:r>
      <w:r>
        <w:rPr>
          <w:rFonts w:hint="eastAsia" w:ascii="新宋体" w:hAnsi="新宋体" w:eastAsia="新宋体" w:cs="新宋体"/>
          <w:color w:val="auto"/>
          <w:kern w:val="0"/>
          <w:sz w:val="22"/>
          <w:szCs w:val="22"/>
          <w:highlight w:val="none"/>
          <w:u w:val="single"/>
        </w:rPr>
        <w:t>    </w:t>
      </w:r>
      <w:r>
        <w:rPr>
          <w:rFonts w:hint="eastAsia" w:ascii="新宋体" w:hAnsi="新宋体" w:eastAsia="新宋体" w:cs="新宋体"/>
          <w:color w:val="auto"/>
          <w:kern w:val="0"/>
          <w:sz w:val="22"/>
          <w:szCs w:val="22"/>
          <w:highlight w:val="none"/>
        </w:rPr>
        <w:t>月</w:t>
      </w:r>
      <w:r>
        <w:rPr>
          <w:rFonts w:hint="eastAsia" w:ascii="新宋体" w:hAnsi="新宋体" w:eastAsia="新宋体" w:cs="新宋体"/>
          <w:color w:val="auto"/>
          <w:kern w:val="0"/>
          <w:sz w:val="22"/>
          <w:szCs w:val="22"/>
          <w:highlight w:val="none"/>
          <w:u w:val="single"/>
        </w:rPr>
        <w:t>    </w:t>
      </w:r>
      <w:r>
        <w:rPr>
          <w:rFonts w:hint="eastAsia" w:ascii="新宋体" w:hAnsi="新宋体" w:eastAsia="新宋体" w:cs="新宋体"/>
          <w:color w:val="auto"/>
          <w:kern w:val="0"/>
          <w:sz w:val="22"/>
          <w:szCs w:val="22"/>
          <w:highlight w:val="none"/>
        </w:rPr>
        <w:t>日。</w:t>
      </w:r>
    </w:p>
    <w:p w14:paraId="6E689F12">
      <w:pPr>
        <w:widowControl/>
        <w:spacing w:line="460" w:lineRule="exact"/>
        <w:ind w:firstLine="420"/>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四、我方承诺，在收到受益人发来的书面付款通知后的</w:t>
      </w:r>
      <w:r>
        <w:rPr>
          <w:rFonts w:hint="eastAsia" w:ascii="新宋体" w:hAnsi="新宋体" w:eastAsia="新宋体" w:cs="新宋体"/>
          <w:color w:val="auto"/>
          <w:kern w:val="0"/>
          <w:sz w:val="22"/>
          <w:szCs w:val="22"/>
          <w:highlight w:val="none"/>
          <w:u w:val="single"/>
        </w:rPr>
        <w:t>7</w:t>
      </w:r>
      <w:r>
        <w:rPr>
          <w:rFonts w:hint="eastAsia" w:ascii="新宋体" w:hAnsi="新宋体" w:eastAsia="新宋体" w:cs="新宋体"/>
          <w:color w:val="auto"/>
          <w:kern w:val="0"/>
          <w:sz w:val="22"/>
          <w:szCs w:val="22"/>
          <w:highlight w:val="none"/>
        </w:rPr>
        <w:t>日内无条件支付，前述书面付款通知即为付款要求之单据，且应满足以下要求：</w:t>
      </w:r>
    </w:p>
    <w:p w14:paraId="411CE9F8">
      <w:pPr>
        <w:widowControl/>
        <w:spacing w:line="460" w:lineRule="exact"/>
        <w:ind w:firstLine="420"/>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（1）付款通知到达的日期在本保函的有效期内；</w:t>
      </w:r>
    </w:p>
    <w:p w14:paraId="1756007E">
      <w:pPr>
        <w:widowControl/>
        <w:spacing w:line="460" w:lineRule="exact"/>
        <w:ind w:firstLine="420"/>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（2）载明要求支付的金额；</w:t>
      </w:r>
    </w:p>
    <w:p w14:paraId="1862292F">
      <w:pPr>
        <w:widowControl/>
        <w:spacing w:line="460" w:lineRule="exact"/>
        <w:ind w:firstLine="420"/>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（3）载明申请人违反合同义务的条款和内容；</w:t>
      </w:r>
    </w:p>
    <w:p w14:paraId="140D76EB">
      <w:pPr>
        <w:widowControl/>
        <w:spacing w:line="460" w:lineRule="exact"/>
        <w:ind w:firstLine="420"/>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（4）声明不存在合同文件约定或我国法律规定免除申请人或开立人支付责任的情形；</w:t>
      </w:r>
    </w:p>
    <w:p w14:paraId="0DD17B5D">
      <w:pPr>
        <w:widowControl/>
        <w:spacing w:line="460" w:lineRule="exact"/>
        <w:ind w:firstLine="420"/>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（5）付款通知应在本保函有效期内到达的地址是：</w:t>
      </w:r>
      <w:r>
        <w:rPr>
          <w:rFonts w:hint="eastAsia" w:ascii="新宋体" w:hAnsi="新宋体" w:eastAsia="新宋体" w:cs="新宋体"/>
          <w:color w:val="auto"/>
          <w:kern w:val="0"/>
          <w:sz w:val="22"/>
          <w:szCs w:val="22"/>
          <w:highlight w:val="none"/>
          <w:u w:val="single"/>
        </w:rPr>
        <w:t>             </w:t>
      </w:r>
      <w:r>
        <w:rPr>
          <w:rFonts w:hint="eastAsia" w:ascii="新宋体" w:hAnsi="新宋体" w:eastAsia="新宋体" w:cs="新宋体"/>
          <w:color w:val="auto"/>
          <w:kern w:val="0"/>
          <w:sz w:val="22"/>
          <w:szCs w:val="22"/>
          <w:highlight w:val="none"/>
        </w:rPr>
        <w:t>。</w:t>
      </w:r>
    </w:p>
    <w:p w14:paraId="66AD6AD8">
      <w:pPr>
        <w:widowControl/>
        <w:spacing w:line="460" w:lineRule="exact"/>
        <w:ind w:firstLine="420"/>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受益人发出的书面付款通知应由其为鉴明受益人法定代表人（负责人）或授权代理人签字并加盖公章。</w:t>
      </w:r>
    </w:p>
    <w:p w14:paraId="121F0E7F">
      <w:pPr>
        <w:widowControl/>
        <w:spacing w:line="460" w:lineRule="exact"/>
        <w:ind w:firstLine="420"/>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五、本保函项下的权利不得转让，不得设定担保。贵方未经我方书面同意转让本保函或其项下任何权利，对我方不发生法律效力。</w:t>
      </w:r>
    </w:p>
    <w:p w14:paraId="3CE8C5B5">
      <w:pPr>
        <w:widowControl/>
        <w:spacing w:line="460" w:lineRule="exact"/>
        <w:ind w:firstLine="420"/>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六、与本保函有关的基础合同不成立、不生效、无效、被撤销、被解除，不影响本保函的独立有效。</w:t>
      </w:r>
    </w:p>
    <w:p w14:paraId="7CF8BD61">
      <w:pPr>
        <w:widowControl/>
        <w:spacing w:line="460" w:lineRule="exact"/>
        <w:ind w:firstLine="420"/>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七、本保函适用的法律为中华人民共和国法律，争议裁判管辖地为中华人民共和国浙江省</w:t>
      </w:r>
      <w:r>
        <w:rPr>
          <w:rFonts w:hint="eastAsia" w:ascii="新宋体" w:hAnsi="新宋体" w:eastAsia="新宋体" w:cs="新宋体"/>
          <w:color w:val="auto"/>
          <w:kern w:val="0"/>
          <w:sz w:val="22"/>
          <w:szCs w:val="22"/>
          <w:highlight w:val="none"/>
          <w:u w:val="single"/>
        </w:rPr>
        <w:t>温州市瓯海区</w:t>
      </w:r>
      <w:r>
        <w:rPr>
          <w:rFonts w:hint="eastAsia" w:ascii="新宋体" w:hAnsi="新宋体" w:eastAsia="新宋体" w:cs="新宋体"/>
          <w:color w:val="auto"/>
          <w:kern w:val="0"/>
          <w:sz w:val="22"/>
          <w:szCs w:val="22"/>
          <w:highlight w:val="none"/>
        </w:rPr>
        <w:t>。</w:t>
      </w:r>
    </w:p>
    <w:p w14:paraId="5F83D8F2">
      <w:pPr>
        <w:widowControl/>
        <w:spacing w:line="460" w:lineRule="exact"/>
        <w:ind w:firstLine="420"/>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八、本保函自我方法定代表人或授权代表签字并加盖公章之日起生效。</w:t>
      </w:r>
    </w:p>
    <w:p w14:paraId="56AD7E74">
      <w:pPr>
        <w:widowControl/>
        <w:spacing w:line="460" w:lineRule="exact"/>
        <w:ind w:firstLine="420"/>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 </w:t>
      </w:r>
    </w:p>
    <w:p w14:paraId="0E9040C7">
      <w:pPr>
        <w:widowControl/>
        <w:spacing w:line="460" w:lineRule="exact"/>
        <w:ind w:firstLine="420"/>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 </w:t>
      </w:r>
    </w:p>
    <w:p w14:paraId="51A98BFD">
      <w:pPr>
        <w:widowControl/>
        <w:spacing w:line="460" w:lineRule="exact"/>
        <w:ind w:firstLine="420"/>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开 立 人：                        （公章）</w:t>
      </w:r>
    </w:p>
    <w:p w14:paraId="41B599CE">
      <w:pPr>
        <w:widowControl/>
        <w:spacing w:line="460" w:lineRule="exact"/>
        <w:ind w:firstLine="420"/>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法定代表人（或授权代表）：               （签字）</w:t>
      </w:r>
    </w:p>
    <w:p w14:paraId="1F77F671">
      <w:pPr>
        <w:widowControl/>
        <w:spacing w:line="460" w:lineRule="exact"/>
        <w:ind w:firstLine="420"/>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地    址：                                       </w:t>
      </w:r>
    </w:p>
    <w:p w14:paraId="73374905">
      <w:pPr>
        <w:widowControl/>
        <w:spacing w:line="460" w:lineRule="exact"/>
        <w:ind w:firstLine="420"/>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                </w:t>
      </w:r>
    </w:p>
    <w:p w14:paraId="56431669">
      <w:pPr>
        <w:widowControl/>
        <w:spacing w:line="460" w:lineRule="exact"/>
        <w:ind w:firstLine="420"/>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电    话：                 </w:t>
      </w:r>
    </w:p>
    <w:p w14:paraId="475747B5">
      <w:pPr>
        <w:widowControl/>
        <w:spacing w:line="460" w:lineRule="exact"/>
        <w:ind w:firstLine="420"/>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                </w:t>
      </w:r>
    </w:p>
    <w:p w14:paraId="0BF0A5B5">
      <w:pPr>
        <w:widowControl/>
        <w:spacing w:line="460" w:lineRule="exac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    </w:t>
      </w:r>
    </w:p>
    <w:p w14:paraId="7B1B640F">
      <w:pPr>
        <w:widowControl/>
        <w:spacing w:line="460" w:lineRule="exac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开立时间：      年      月        日</w:t>
      </w:r>
    </w:p>
    <w:p w14:paraId="3B992159">
      <w:pPr>
        <w:pStyle w:val="3"/>
        <w:ind w:left="840" w:hanging="420"/>
        <w:rPr>
          <w:color w:val="auto"/>
          <w:highlight w:val="none"/>
        </w:rPr>
      </w:pPr>
    </w:p>
    <w:p w14:paraId="7B10C749">
      <w:pPr>
        <w:rPr>
          <w:color w:val="auto"/>
          <w:highlight w:val="none"/>
        </w:rPr>
      </w:pPr>
    </w:p>
    <w:p w14:paraId="232C3C2B">
      <w:pPr>
        <w:pStyle w:val="2"/>
        <w:rPr>
          <w:color w:val="auto"/>
          <w:highlight w:val="none"/>
        </w:rPr>
      </w:pPr>
    </w:p>
    <w:p w14:paraId="5D9E392C">
      <w:pPr>
        <w:rPr>
          <w:color w:val="auto"/>
          <w:highlight w:val="none"/>
        </w:rPr>
      </w:pPr>
    </w:p>
    <w:p w14:paraId="17D0EA26">
      <w:pPr>
        <w:pStyle w:val="2"/>
        <w:rPr>
          <w:color w:val="auto"/>
          <w:highlight w:val="none"/>
        </w:rPr>
      </w:pPr>
    </w:p>
    <w:p w14:paraId="5B8CC8DC">
      <w:pPr>
        <w:rPr>
          <w:color w:val="auto"/>
          <w:highlight w:val="none"/>
        </w:rPr>
      </w:pPr>
    </w:p>
    <w:p w14:paraId="69A36843">
      <w:pPr>
        <w:pStyle w:val="2"/>
        <w:rPr>
          <w:color w:val="auto"/>
          <w:highlight w:val="none"/>
        </w:rPr>
      </w:pPr>
    </w:p>
    <w:p w14:paraId="1D6CBF2E">
      <w:pPr>
        <w:rPr>
          <w:color w:val="auto"/>
          <w:highlight w:val="none"/>
        </w:rPr>
      </w:pPr>
    </w:p>
    <w:p w14:paraId="7BE1AA05">
      <w:pPr>
        <w:pStyle w:val="2"/>
        <w:rPr>
          <w:color w:val="auto"/>
          <w:highlight w:val="none"/>
        </w:rPr>
      </w:pPr>
    </w:p>
    <w:p w14:paraId="7456D5A0">
      <w:pPr>
        <w:rPr>
          <w:color w:val="auto"/>
          <w:highlight w:val="none"/>
        </w:rPr>
      </w:pPr>
    </w:p>
    <w:p w14:paraId="6AA87C6B">
      <w:pPr>
        <w:pStyle w:val="2"/>
        <w:rPr>
          <w:color w:val="auto"/>
          <w:highlight w:val="none"/>
        </w:rPr>
      </w:pPr>
    </w:p>
    <w:p w14:paraId="62902AD4">
      <w:pPr>
        <w:rPr>
          <w:color w:val="auto"/>
          <w:highlight w:val="none"/>
        </w:rPr>
      </w:pPr>
    </w:p>
    <w:p w14:paraId="19125600">
      <w:pPr>
        <w:pStyle w:val="2"/>
        <w:rPr>
          <w:color w:val="auto"/>
          <w:highlight w:val="none"/>
        </w:rPr>
      </w:pPr>
    </w:p>
    <w:p w14:paraId="6D2D5C5A">
      <w:pPr>
        <w:rPr>
          <w:color w:val="auto"/>
          <w:highlight w:val="none"/>
        </w:rPr>
      </w:pPr>
    </w:p>
    <w:p w14:paraId="4381E98B">
      <w:pPr>
        <w:pStyle w:val="2"/>
        <w:rPr>
          <w:color w:val="auto"/>
          <w:highlight w:val="none"/>
        </w:rPr>
      </w:pPr>
    </w:p>
    <w:p w14:paraId="2D6424F3">
      <w:pPr>
        <w:rPr>
          <w:color w:val="auto"/>
          <w:highlight w:val="none"/>
        </w:rPr>
      </w:pPr>
    </w:p>
    <w:p w14:paraId="700656CC">
      <w:pPr>
        <w:pStyle w:val="5"/>
        <w:rPr>
          <w:rFonts w:ascii="宋体" w:hAnsi="宋体" w:eastAsia="宋体" w:cs="宋体"/>
          <w:b w:val="0"/>
          <w:color w:val="auto"/>
          <w:sz w:val="22"/>
          <w:szCs w:val="22"/>
          <w:highlight w:val="none"/>
        </w:rPr>
      </w:pPr>
      <w:bookmarkStart w:id="260" w:name="_Toc22426"/>
      <w:bookmarkStart w:id="261" w:name="_Toc1931"/>
      <w:bookmarkStart w:id="262" w:name="_Toc30191"/>
      <w:bookmarkStart w:id="263" w:name="_Toc19012"/>
      <w:bookmarkStart w:id="264" w:name="_Toc27936"/>
      <w:bookmarkStart w:id="265" w:name="_Toc28528"/>
      <w:r>
        <w:rPr>
          <w:rFonts w:hint="eastAsia" w:ascii="宋体" w:hAnsi="宋体" w:eastAsia="宋体" w:cs="宋体"/>
          <w:color w:val="auto"/>
          <w:highlight w:val="none"/>
        </w:rPr>
        <w:t xml:space="preserve">第四部分   </w:t>
      </w:r>
      <w:bookmarkStart w:id="266" w:name="_Toc221356895"/>
      <w:bookmarkStart w:id="267" w:name="_Toc221356958"/>
      <w:r>
        <w:rPr>
          <w:rFonts w:hint="eastAsia" w:ascii="宋体" w:hAnsi="宋体" w:eastAsia="宋体" w:cs="宋体"/>
          <w:color w:val="auto"/>
          <w:highlight w:val="none"/>
        </w:rPr>
        <w:t>项目技术规范和服务要求</w:t>
      </w:r>
      <w:bookmarkEnd w:id="260"/>
      <w:bookmarkEnd w:id="261"/>
      <w:bookmarkEnd w:id="262"/>
      <w:bookmarkEnd w:id="263"/>
      <w:bookmarkEnd w:id="264"/>
      <w:bookmarkEnd w:id="265"/>
      <w:bookmarkEnd w:id="266"/>
      <w:bookmarkEnd w:id="267"/>
      <w:bookmarkStart w:id="268" w:name="_Toc195502588"/>
      <w:bookmarkStart w:id="269" w:name="_Toc195502498"/>
      <w:bookmarkStart w:id="270" w:name="_Toc202085298"/>
    </w:p>
    <w:bookmarkEnd w:id="268"/>
    <w:bookmarkEnd w:id="269"/>
    <w:bookmarkEnd w:id="270"/>
    <w:p w14:paraId="0844F81E">
      <w:pPr>
        <w:keepNext/>
        <w:keepLines/>
        <w:rPr>
          <w:rFonts w:ascii="宋体" w:hAnsi="宋体" w:cs="宋体"/>
          <w:color w:val="auto"/>
          <w:highlight w:val="none"/>
        </w:rPr>
      </w:pPr>
    </w:p>
    <w:p w14:paraId="32979308">
      <w:pPr>
        <w:spacing w:line="460" w:lineRule="exact"/>
        <w:ind w:firstLine="541" w:firstLineChars="245"/>
        <w:outlineLvl w:val="1"/>
        <w:rPr>
          <w:rFonts w:ascii="新宋体" w:hAnsi="新宋体" w:eastAsia="新宋体" w:cs="新宋体"/>
          <w:b/>
          <w:bCs/>
          <w:color w:val="auto"/>
          <w:sz w:val="22"/>
          <w:szCs w:val="22"/>
          <w:highlight w:val="none"/>
        </w:rPr>
      </w:pPr>
      <w:bookmarkStart w:id="271" w:name="_Toc7819"/>
      <w:bookmarkStart w:id="272" w:name="_Toc22329"/>
      <w:bookmarkStart w:id="273" w:name="_Toc27706"/>
      <w:bookmarkStart w:id="274" w:name="_Toc11910"/>
      <w:bookmarkStart w:id="275" w:name="_Toc9439"/>
      <w:r>
        <w:rPr>
          <w:rFonts w:hint="eastAsia" w:ascii="新宋体" w:hAnsi="新宋体" w:eastAsia="新宋体" w:cs="新宋体"/>
          <w:b/>
          <w:bCs/>
          <w:color w:val="auto"/>
          <w:sz w:val="22"/>
          <w:szCs w:val="22"/>
          <w:highlight w:val="none"/>
        </w:rPr>
        <w:t>一、总则</w:t>
      </w:r>
      <w:bookmarkEnd w:id="271"/>
      <w:bookmarkEnd w:id="272"/>
      <w:bookmarkEnd w:id="273"/>
      <w:bookmarkEnd w:id="274"/>
    </w:p>
    <w:p w14:paraId="6A2714F0">
      <w:pPr>
        <w:spacing w:line="460" w:lineRule="exact"/>
        <w:ind w:firstLine="541" w:firstLineChars="245"/>
        <w:rPr>
          <w:rFonts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1、本项目为交钥匙工程。磋商供应商应提供所投所有货物及其附件的设计、采购、制造、检测、试验、至最终目的地的运输和保险、现场仓储以及安装、验收、技术服务及培训、相关文件的提交、质保期维护等所有服务，在磋商响应文件相应的部分明确。</w:t>
      </w:r>
    </w:p>
    <w:p w14:paraId="22BE6B0F">
      <w:pPr>
        <w:autoSpaceDE w:val="0"/>
        <w:autoSpaceDN w:val="0"/>
        <w:adjustRightInd w:val="0"/>
        <w:snapToGrid w:val="0"/>
        <w:spacing w:line="460" w:lineRule="exact"/>
        <w:ind w:firstLine="440" w:firstLineChars="200"/>
        <w:textAlignment w:val="bottom"/>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2、本技术规范要求提出的是基本技术要求，并未对所有技术细节作出规定，供应商应提供符合本技术要求和国家标准、行业标准的优质产品。</w:t>
      </w:r>
    </w:p>
    <w:p w14:paraId="14471A84">
      <w:pPr>
        <w:autoSpaceDE w:val="0"/>
        <w:autoSpaceDN w:val="0"/>
        <w:adjustRightInd w:val="0"/>
        <w:snapToGrid w:val="0"/>
        <w:spacing w:line="460" w:lineRule="exact"/>
        <w:ind w:firstLine="440" w:firstLineChars="200"/>
        <w:textAlignment w:val="bottom"/>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供应商产品与本技术要求不一致时，供应商应在磋商响应文件中予以说明，并由磋商小组鉴定供应商产品能否达到要求。如供应商没有在磋商响应文件中提出异议，则视为供应商提供的产品完全按照本磋商文件要求。</w:t>
      </w:r>
    </w:p>
    <w:p w14:paraId="346E9F73">
      <w:pPr>
        <w:autoSpaceDE w:val="0"/>
        <w:autoSpaceDN w:val="0"/>
        <w:adjustRightInd w:val="0"/>
        <w:snapToGrid w:val="0"/>
        <w:spacing w:line="460" w:lineRule="exact"/>
        <w:ind w:firstLine="440" w:firstLineChars="200"/>
        <w:textAlignment w:val="bottom"/>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4、技术要求及标准的执行</w:t>
      </w:r>
    </w:p>
    <w:p w14:paraId="43E4E0F6">
      <w:pPr>
        <w:autoSpaceDE w:val="0"/>
        <w:autoSpaceDN w:val="0"/>
        <w:adjustRightInd w:val="0"/>
        <w:snapToGrid w:val="0"/>
        <w:spacing w:line="460" w:lineRule="exact"/>
        <w:ind w:firstLine="440" w:firstLineChars="200"/>
        <w:textAlignment w:val="bottom"/>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供应商提供的产品应标明所执行的质量标准，若同一标准已颁发新标准，则按最新标准执行。若同一产品同时有几个标准（国际标准、国家标准、行业标准、企业标准等），则按最高层次的标准执行。</w:t>
      </w:r>
    </w:p>
    <w:p w14:paraId="5EDF2D3B">
      <w:pPr>
        <w:autoSpaceDE w:val="0"/>
        <w:autoSpaceDN w:val="0"/>
        <w:adjustRightInd w:val="0"/>
        <w:snapToGrid w:val="0"/>
        <w:spacing w:line="460" w:lineRule="exact"/>
        <w:ind w:firstLine="440" w:firstLineChars="200"/>
        <w:textAlignment w:val="bottom"/>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5、产品的设计、加工制造、材料、探伤、电气装置、检验、试验等应参照适合于该项目的相关标准、试验规范，以及技术规格书规定的有关要求。所有计量仪器必须符合国际计量标准。这些标准应包括：</w:t>
      </w:r>
    </w:p>
    <w:p w14:paraId="0C636540">
      <w:pPr>
        <w:autoSpaceDE w:val="0"/>
        <w:autoSpaceDN w:val="0"/>
        <w:adjustRightInd w:val="0"/>
        <w:snapToGrid w:val="0"/>
        <w:spacing w:line="460" w:lineRule="exact"/>
        <w:ind w:firstLine="440" w:firstLineChars="200"/>
        <w:textAlignment w:val="bottom"/>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QB/T 2530            木制柜</w:t>
      </w:r>
    </w:p>
    <w:p w14:paraId="1831B399">
      <w:pPr>
        <w:autoSpaceDE w:val="0"/>
        <w:autoSpaceDN w:val="0"/>
        <w:adjustRightInd w:val="0"/>
        <w:snapToGrid w:val="0"/>
        <w:spacing w:line="460" w:lineRule="exact"/>
        <w:ind w:firstLine="440" w:firstLineChars="200"/>
        <w:textAlignment w:val="bottom"/>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QB/T 1241            家具五金      家具拉手安装尺寸</w:t>
      </w:r>
    </w:p>
    <w:p w14:paraId="119BDE5F">
      <w:pPr>
        <w:autoSpaceDE w:val="0"/>
        <w:autoSpaceDN w:val="0"/>
        <w:adjustRightInd w:val="0"/>
        <w:snapToGrid w:val="0"/>
        <w:spacing w:line="460" w:lineRule="exact"/>
        <w:ind w:firstLine="440" w:firstLineChars="200"/>
        <w:textAlignment w:val="bottom"/>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QB/T 2454            家具五金      抽屉导轨要求和检验</w:t>
      </w:r>
    </w:p>
    <w:p w14:paraId="342ECA39">
      <w:pPr>
        <w:autoSpaceDE w:val="0"/>
        <w:autoSpaceDN w:val="0"/>
        <w:adjustRightInd w:val="0"/>
        <w:snapToGrid w:val="0"/>
        <w:spacing w:line="460" w:lineRule="exact"/>
        <w:ind w:firstLine="440" w:firstLineChars="200"/>
        <w:textAlignment w:val="bottom"/>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GB/T 3324            木家具通用技术条件</w:t>
      </w:r>
    </w:p>
    <w:p w14:paraId="207B9FDB">
      <w:pPr>
        <w:autoSpaceDE w:val="0"/>
        <w:autoSpaceDN w:val="0"/>
        <w:adjustRightInd w:val="0"/>
        <w:snapToGrid w:val="0"/>
        <w:spacing w:line="460" w:lineRule="exact"/>
        <w:ind w:firstLine="440" w:firstLineChars="200"/>
        <w:textAlignment w:val="bottom"/>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GB/T 3325            金属家具通用技术条件</w:t>
      </w:r>
    </w:p>
    <w:p w14:paraId="40F09357">
      <w:pPr>
        <w:autoSpaceDE w:val="0"/>
        <w:autoSpaceDN w:val="0"/>
        <w:adjustRightInd w:val="0"/>
        <w:snapToGrid w:val="0"/>
        <w:spacing w:line="460" w:lineRule="exact"/>
        <w:ind w:firstLine="440" w:firstLineChars="200"/>
        <w:textAlignment w:val="bottom"/>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GB/T 3326            家具  桌、椅、凳类主要尺寸</w:t>
      </w:r>
    </w:p>
    <w:p w14:paraId="500CE1C7">
      <w:pPr>
        <w:autoSpaceDE w:val="0"/>
        <w:autoSpaceDN w:val="0"/>
        <w:adjustRightInd w:val="0"/>
        <w:snapToGrid w:val="0"/>
        <w:spacing w:line="460" w:lineRule="exact"/>
        <w:ind w:firstLine="440" w:firstLineChars="200"/>
        <w:textAlignment w:val="bottom"/>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GB/T 3327            家具  柜类主要尺寸</w:t>
      </w:r>
    </w:p>
    <w:p w14:paraId="5D5D4537">
      <w:pPr>
        <w:tabs>
          <w:tab w:val="left" w:pos="2835"/>
        </w:tabs>
        <w:autoSpaceDE w:val="0"/>
        <w:autoSpaceDN w:val="0"/>
        <w:adjustRightInd w:val="0"/>
        <w:snapToGrid w:val="0"/>
        <w:spacing w:line="460" w:lineRule="exact"/>
        <w:ind w:firstLine="440" w:firstLineChars="200"/>
        <w:textAlignment w:val="bottom"/>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QB/T 1951.1          木家具  质量检验及质量评定</w:t>
      </w:r>
    </w:p>
    <w:p w14:paraId="1747587D">
      <w:pPr>
        <w:autoSpaceDE w:val="0"/>
        <w:autoSpaceDN w:val="0"/>
        <w:adjustRightInd w:val="0"/>
        <w:snapToGrid w:val="0"/>
        <w:spacing w:line="460" w:lineRule="exact"/>
        <w:ind w:firstLine="440" w:firstLineChars="200"/>
        <w:textAlignment w:val="bottom"/>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QB/T 1951.2          金属家具  质量检验及质量评定</w:t>
      </w:r>
    </w:p>
    <w:p w14:paraId="092B1687">
      <w:pPr>
        <w:tabs>
          <w:tab w:val="left" w:pos="720"/>
        </w:tabs>
        <w:autoSpaceDE w:val="0"/>
        <w:autoSpaceDN w:val="0"/>
        <w:adjustRightInd w:val="0"/>
        <w:snapToGrid w:val="0"/>
        <w:spacing w:line="460" w:lineRule="exact"/>
        <w:ind w:firstLine="440" w:firstLineChars="200"/>
        <w:textAlignment w:val="bottom"/>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由采购人认可的其它权威标准，这些标准应为最新版本。</w:t>
      </w:r>
    </w:p>
    <w:p w14:paraId="4F67AC17">
      <w:pPr>
        <w:tabs>
          <w:tab w:val="left" w:pos="720"/>
        </w:tabs>
        <w:autoSpaceDE w:val="0"/>
        <w:autoSpaceDN w:val="0"/>
        <w:adjustRightInd w:val="0"/>
        <w:snapToGrid w:val="0"/>
        <w:spacing w:line="460" w:lineRule="exact"/>
        <w:ind w:firstLine="440" w:firstLineChars="200"/>
        <w:textAlignment w:val="bottom"/>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6、技术质量要求：</w:t>
      </w:r>
    </w:p>
    <w:p w14:paraId="61AE873A">
      <w:pPr>
        <w:autoSpaceDE w:val="0"/>
        <w:autoSpaceDN w:val="0"/>
        <w:adjustRightInd w:val="0"/>
        <w:snapToGrid w:val="0"/>
        <w:spacing w:line="460" w:lineRule="exact"/>
        <w:ind w:firstLine="440" w:firstLineChars="200"/>
        <w:textAlignment w:val="bottom"/>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木家具及辅材料的有害物质限量分别执行以下四项含有强制性条款的国家标准：</w:t>
      </w:r>
    </w:p>
    <w:p w14:paraId="1AEA97CB">
      <w:pPr>
        <w:autoSpaceDE w:val="0"/>
        <w:autoSpaceDN w:val="0"/>
        <w:adjustRightInd w:val="0"/>
        <w:snapToGrid w:val="0"/>
        <w:spacing w:line="460" w:lineRule="exact"/>
        <w:ind w:firstLine="440" w:firstLineChars="200"/>
        <w:textAlignment w:val="bottom"/>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GB18580-2017 《室内装饰装修材料  人造板及其制品中甲醛释放限量》</w:t>
      </w:r>
    </w:p>
    <w:p w14:paraId="6DBCA8C1">
      <w:pPr>
        <w:autoSpaceDE w:val="0"/>
        <w:autoSpaceDN w:val="0"/>
        <w:adjustRightInd w:val="0"/>
        <w:snapToGrid w:val="0"/>
        <w:spacing w:line="460" w:lineRule="exact"/>
        <w:ind w:firstLine="440" w:firstLineChars="200"/>
        <w:textAlignment w:val="bottom"/>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GB18581-2009 《室内装饰装修材料  溶剂型木器涂料中有害物质限量》</w:t>
      </w:r>
    </w:p>
    <w:p w14:paraId="2E004C54">
      <w:pPr>
        <w:autoSpaceDE w:val="0"/>
        <w:autoSpaceDN w:val="0"/>
        <w:adjustRightInd w:val="0"/>
        <w:snapToGrid w:val="0"/>
        <w:spacing w:line="460" w:lineRule="exact"/>
        <w:ind w:firstLine="440" w:firstLineChars="200"/>
        <w:textAlignment w:val="bottom"/>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GB18583-2008 《室内装饰装修材料  胶粘剂中有害物质限量》</w:t>
      </w:r>
    </w:p>
    <w:p w14:paraId="2DF653B3">
      <w:pPr>
        <w:autoSpaceDE w:val="0"/>
        <w:autoSpaceDN w:val="0"/>
        <w:adjustRightInd w:val="0"/>
        <w:snapToGrid w:val="0"/>
        <w:spacing w:line="460" w:lineRule="exact"/>
        <w:ind w:firstLine="440" w:firstLineChars="200"/>
        <w:textAlignment w:val="bottom"/>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GB18584-2001 《室内装饰装修材料  木家具中有害物质限量》</w:t>
      </w:r>
    </w:p>
    <w:p w14:paraId="771D7ECA">
      <w:pPr>
        <w:tabs>
          <w:tab w:val="left" w:pos="720"/>
        </w:tabs>
        <w:autoSpaceDE w:val="0"/>
        <w:autoSpaceDN w:val="0"/>
        <w:adjustRightInd w:val="0"/>
        <w:snapToGrid w:val="0"/>
        <w:spacing w:line="460" w:lineRule="exact"/>
        <w:ind w:firstLine="440" w:firstLineChars="200"/>
        <w:textAlignment w:val="bottom"/>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7、供应商应提供绿色环保家具，所使用的主辅材料必须符合国家环保标准。</w:t>
      </w:r>
    </w:p>
    <w:p w14:paraId="63A369F7">
      <w:pPr>
        <w:spacing w:line="460" w:lineRule="exact"/>
        <w:ind w:firstLine="541" w:firstLineChars="245"/>
        <w:outlineLvl w:val="1"/>
        <w:rPr>
          <w:rFonts w:ascii="宋体" w:hAnsi="宋体" w:cs="宋体"/>
          <w:b/>
          <w:bCs/>
          <w:color w:val="auto"/>
          <w:sz w:val="22"/>
          <w:szCs w:val="22"/>
          <w:highlight w:val="none"/>
        </w:rPr>
      </w:pPr>
      <w:bookmarkStart w:id="276" w:name="_Toc23121"/>
      <w:bookmarkStart w:id="277" w:name="_Toc14799"/>
      <w:bookmarkStart w:id="278" w:name="_Toc24760"/>
      <w:bookmarkStart w:id="279" w:name="_Toc5905"/>
      <w:bookmarkStart w:id="280" w:name="_Toc30318"/>
      <w:r>
        <w:rPr>
          <w:rFonts w:hint="eastAsia" w:ascii="宋体" w:hAnsi="宋体" w:cs="宋体"/>
          <w:b/>
          <w:bCs/>
          <w:color w:val="auto"/>
          <w:sz w:val="22"/>
          <w:szCs w:val="22"/>
          <w:highlight w:val="none"/>
        </w:rPr>
        <w:t>二、基本要求</w:t>
      </w:r>
      <w:bookmarkEnd w:id="276"/>
      <w:bookmarkEnd w:id="277"/>
    </w:p>
    <w:p w14:paraId="4C3690EC">
      <w:pPr>
        <w:spacing w:line="460" w:lineRule="exact"/>
        <w:ind w:firstLine="440" w:firstLineChars="200"/>
        <w:rPr>
          <w:rFonts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1、采购内容</w:t>
      </w:r>
    </w:p>
    <w:tbl>
      <w:tblPr>
        <w:tblStyle w:val="53"/>
        <w:tblW w:w="0" w:type="auto"/>
        <w:tblInd w:w="5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3449"/>
        <w:gridCol w:w="988"/>
        <w:gridCol w:w="1425"/>
        <w:gridCol w:w="2425"/>
      </w:tblGrid>
      <w:tr w14:paraId="3AC22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Align w:val="center"/>
          </w:tcPr>
          <w:p w14:paraId="2AA6B37B">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序号</w:t>
            </w:r>
          </w:p>
        </w:tc>
        <w:tc>
          <w:tcPr>
            <w:tcW w:w="3449" w:type="dxa"/>
            <w:vAlign w:val="center"/>
          </w:tcPr>
          <w:p w14:paraId="3AA04B93">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项目名称</w:t>
            </w:r>
          </w:p>
        </w:tc>
        <w:tc>
          <w:tcPr>
            <w:tcW w:w="988" w:type="dxa"/>
            <w:vAlign w:val="center"/>
          </w:tcPr>
          <w:p w14:paraId="492FA045">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数量</w:t>
            </w:r>
          </w:p>
        </w:tc>
        <w:tc>
          <w:tcPr>
            <w:tcW w:w="1425" w:type="dxa"/>
            <w:vAlign w:val="center"/>
          </w:tcPr>
          <w:p w14:paraId="43E33D2B">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单位</w:t>
            </w:r>
          </w:p>
        </w:tc>
        <w:tc>
          <w:tcPr>
            <w:tcW w:w="2425" w:type="dxa"/>
            <w:vAlign w:val="center"/>
          </w:tcPr>
          <w:p w14:paraId="2BA61EBF">
            <w:pPr>
              <w:spacing w:line="460" w:lineRule="exact"/>
              <w:jc w:val="center"/>
              <w:rPr>
                <w:color w:val="auto"/>
                <w:highlight w:val="none"/>
              </w:rPr>
            </w:pPr>
            <w:r>
              <w:rPr>
                <w:rFonts w:hint="eastAsia" w:ascii="宋体" w:hAnsi="宋体" w:cs="宋体"/>
                <w:color w:val="auto"/>
                <w:sz w:val="22"/>
                <w:highlight w:val="none"/>
              </w:rPr>
              <w:t>预算金额</w:t>
            </w:r>
          </w:p>
        </w:tc>
      </w:tr>
      <w:tr w14:paraId="0C55B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Align w:val="center"/>
          </w:tcPr>
          <w:p w14:paraId="1D7EFA06">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1</w:t>
            </w:r>
          </w:p>
        </w:tc>
        <w:tc>
          <w:tcPr>
            <w:tcW w:w="3449" w:type="dxa"/>
            <w:vAlign w:val="center"/>
          </w:tcPr>
          <w:p w14:paraId="690832A4">
            <w:pPr>
              <w:spacing w:line="460" w:lineRule="exact"/>
              <w:jc w:val="center"/>
              <w:rPr>
                <w:rFonts w:ascii="宋体" w:hAnsi="宋体" w:cs="宋体"/>
                <w:color w:val="auto"/>
                <w:sz w:val="22"/>
                <w:highlight w:val="none"/>
              </w:rPr>
            </w:pPr>
            <w:r>
              <w:rPr>
                <w:rFonts w:hint="eastAsia" w:ascii="宋体" w:hAnsi="宋体" w:cs="宋体"/>
                <w:color w:val="auto"/>
                <w:kern w:val="0"/>
                <w:sz w:val="22"/>
                <w:highlight w:val="none"/>
              </w:rPr>
              <w:t>课桌</w:t>
            </w:r>
            <w:r>
              <w:rPr>
                <w:rFonts w:hint="eastAsia" w:ascii="宋体" w:hAnsi="宋体" w:cs="宋体"/>
                <w:color w:val="auto"/>
                <w:sz w:val="22"/>
                <w:highlight w:val="none"/>
              </w:rPr>
              <w:t>（</w:t>
            </w:r>
            <w:r>
              <w:rPr>
                <w:rFonts w:hint="eastAsia" w:ascii="宋体" w:hAnsi="宋体" w:cs="宋体"/>
                <w:color w:val="auto"/>
                <w:kern w:val="0"/>
                <w:sz w:val="22"/>
                <w:highlight w:val="none"/>
              </w:rPr>
              <w:t>二人位</w:t>
            </w:r>
            <w:r>
              <w:rPr>
                <w:rFonts w:hint="eastAsia" w:ascii="宋体" w:hAnsi="宋体" w:cs="宋体"/>
                <w:color w:val="auto"/>
                <w:sz w:val="22"/>
                <w:highlight w:val="none"/>
              </w:rPr>
              <w:t>）</w:t>
            </w:r>
          </w:p>
        </w:tc>
        <w:tc>
          <w:tcPr>
            <w:tcW w:w="988" w:type="dxa"/>
          </w:tcPr>
          <w:p w14:paraId="3181DC00">
            <w:pPr>
              <w:spacing w:line="460" w:lineRule="exact"/>
              <w:jc w:val="center"/>
              <w:rPr>
                <w:rFonts w:ascii="宋体" w:hAnsi="宋体" w:cs="宋体"/>
                <w:color w:val="auto"/>
                <w:sz w:val="22"/>
                <w:highlight w:val="none"/>
              </w:rPr>
            </w:pPr>
            <w:r>
              <w:rPr>
                <w:rFonts w:hint="eastAsia" w:ascii="宋体" w:hAnsi="宋体" w:cs="宋体"/>
                <w:color w:val="auto"/>
                <w:kern w:val="0"/>
                <w:sz w:val="22"/>
                <w:highlight w:val="none"/>
              </w:rPr>
              <w:t>340</w:t>
            </w:r>
          </w:p>
        </w:tc>
        <w:tc>
          <w:tcPr>
            <w:tcW w:w="1425" w:type="dxa"/>
            <w:vAlign w:val="center"/>
          </w:tcPr>
          <w:p w14:paraId="356D572F">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张</w:t>
            </w:r>
          </w:p>
        </w:tc>
        <w:tc>
          <w:tcPr>
            <w:tcW w:w="2425" w:type="dxa"/>
            <w:vMerge w:val="restart"/>
            <w:vAlign w:val="center"/>
          </w:tcPr>
          <w:p w14:paraId="3850213D">
            <w:pPr>
              <w:spacing w:line="460" w:lineRule="exact"/>
              <w:jc w:val="center"/>
              <w:rPr>
                <w:color w:val="auto"/>
                <w:highlight w:val="none"/>
              </w:rPr>
            </w:pPr>
            <w:r>
              <w:rPr>
                <w:rFonts w:ascii="宋体" w:hAnsi="宋体" w:cs="宋体"/>
                <w:color w:val="auto"/>
                <w:sz w:val="24"/>
                <w:highlight w:val="none"/>
              </w:rPr>
              <w:t>272000</w:t>
            </w:r>
            <w:r>
              <w:rPr>
                <w:rFonts w:hint="eastAsia" w:ascii="宋体" w:hAnsi="宋体" w:cs="宋体"/>
                <w:color w:val="auto"/>
                <w:sz w:val="22"/>
                <w:szCs w:val="22"/>
                <w:highlight w:val="none"/>
                <w:shd w:val="clear" w:color="auto" w:fill="FFFFFF"/>
              </w:rPr>
              <w:t>元</w:t>
            </w:r>
          </w:p>
        </w:tc>
      </w:tr>
      <w:tr w14:paraId="648E8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Align w:val="center"/>
          </w:tcPr>
          <w:p w14:paraId="3B96F626">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2</w:t>
            </w:r>
          </w:p>
        </w:tc>
        <w:tc>
          <w:tcPr>
            <w:tcW w:w="3449" w:type="dxa"/>
            <w:vAlign w:val="center"/>
          </w:tcPr>
          <w:p w14:paraId="708019D6">
            <w:pPr>
              <w:jc w:val="center"/>
              <w:rPr>
                <w:rFonts w:ascii="宋体" w:hAnsi="宋体" w:cs="宋体"/>
                <w:color w:val="auto"/>
                <w:sz w:val="22"/>
                <w:highlight w:val="none"/>
              </w:rPr>
            </w:pPr>
            <w:r>
              <w:rPr>
                <w:rFonts w:hint="eastAsia" w:ascii="宋体" w:hAnsi="宋体" w:cs="宋体"/>
                <w:color w:val="auto"/>
                <w:kern w:val="0"/>
                <w:sz w:val="22"/>
                <w:highlight w:val="none"/>
              </w:rPr>
              <w:t>椅子</w:t>
            </w:r>
            <w:r>
              <w:rPr>
                <w:rFonts w:hint="eastAsia" w:ascii="宋体" w:hAnsi="宋体" w:cs="宋体"/>
                <w:color w:val="auto"/>
                <w:sz w:val="22"/>
                <w:highlight w:val="none"/>
              </w:rPr>
              <w:t>（</w:t>
            </w:r>
            <w:r>
              <w:rPr>
                <w:rFonts w:hint="eastAsia" w:ascii="宋体" w:hAnsi="宋体" w:cs="宋体"/>
                <w:color w:val="auto"/>
                <w:kern w:val="0"/>
                <w:sz w:val="22"/>
                <w:highlight w:val="none"/>
              </w:rPr>
              <w:t>常规</w:t>
            </w:r>
            <w:r>
              <w:rPr>
                <w:rFonts w:hint="eastAsia" w:ascii="宋体" w:hAnsi="宋体" w:cs="宋体"/>
                <w:color w:val="auto"/>
                <w:sz w:val="22"/>
                <w:highlight w:val="none"/>
              </w:rPr>
              <w:t>）</w:t>
            </w:r>
          </w:p>
        </w:tc>
        <w:tc>
          <w:tcPr>
            <w:tcW w:w="988" w:type="dxa"/>
          </w:tcPr>
          <w:p w14:paraId="2015893B">
            <w:pPr>
              <w:spacing w:line="460" w:lineRule="exact"/>
              <w:jc w:val="center"/>
              <w:rPr>
                <w:rFonts w:ascii="宋体" w:hAnsi="宋体" w:cs="宋体"/>
                <w:color w:val="auto"/>
                <w:sz w:val="22"/>
                <w:highlight w:val="none"/>
              </w:rPr>
            </w:pPr>
            <w:r>
              <w:rPr>
                <w:rFonts w:hint="eastAsia" w:ascii="宋体" w:hAnsi="宋体" w:cs="宋体"/>
                <w:color w:val="auto"/>
                <w:kern w:val="0"/>
                <w:sz w:val="22"/>
                <w:highlight w:val="none"/>
              </w:rPr>
              <w:t>680</w:t>
            </w:r>
          </w:p>
        </w:tc>
        <w:tc>
          <w:tcPr>
            <w:tcW w:w="1425" w:type="dxa"/>
            <w:vAlign w:val="center"/>
          </w:tcPr>
          <w:p w14:paraId="52CAA359">
            <w:pPr>
              <w:spacing w:line="460" w:lineRule="exact"/>
              <w:jc w:val="center"/>
              <w:rPr>
                <w:rFonts w:ascii="宋体" w:hAnsi="宋体" w:cs="宋体"/>
                <w:color w:val="auto"/>
                <w:sz w:val="22"/>
                <w:highlight w:val="none"/>
              </w:rPr>
            </w:pPr>
            <w:r>
              <w:rPr>
                <w:rFonts w:hint="eastAsia" w:ascii="宋体" w:hAnsi="宋体" w:cs="宋体"/>
                <w:color w:val="auto"/>
                <w:sz w:val="22"/>
                <w:highlight w:val="none"/>
              </w:rPr>
              <w:t>张</w:t>
            </w:r>
          </w:p>
        </w:tc>
        <w:tc>
          <w:tcPr>
            <w:tcW w:w="2425" w:type="dxa"/>
            <w:vMerge w:val="continue"/>
            <w:vAlign w:val="center"/>
          </w:tcPr>
          <w:p w14:paraId="1ED3B5E9">
            <w:pPr>
              <w:spacing w:line="460" w:lineRule="exact"/>
              <w:jc w:val="center"/>
              <w:rPr>
                <w:rFonts w:ascii="宋体" w:hAnsi="宋体" w:cs="宋体"/>
                <w:color w:val="auto"/>
                <w:sz w:val="22"/>
                <w:szCs w:val="22"/>
                <w:highlight w:val="none"/>
                <w:shd w:val="clear" w:color="auto" w:fill="FFFFFF"/>
              </w:rPr>
            </w:pPr>
          </w:p>
        </w:tc>
      </w:tr>
    </w:tbl>
    <w:p w14:paraId="1647CC6E">
      <w:pPr>
        <w:spacing w:line="460" w:lineRule="exact"/>
        <w:ind w:firstLine="440" w:firstLineChars="200"/>
        <w:rPr>
          <w:rFonts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2、功能要求：满足学生日常学习和生活的需要。</w:t>
      </w:r>
    </w:p>
    <w:p w14:paraId="2B7D0F5C">
      <w:pPr>
        <w:spacing w:line="460" w:lineRule="exact"/>
        <w:ind w:firstLine="440" w:firstLineChars="200"/>
        <w:rPr>
          <w:rFonts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3、交货期要求：</w:t>
      </w:r>
      <w:r>
        <w:rPr>
          <w:rFonts w:hint="eastAsia" w:ascii="宋体" w:hAnsi="宋体" w:cs="宋体"/>
          <w:color w:val="auto"/>
          <w:kern w:val="0"/>
          <w:sz w:val="22"/>
          <w:highlight w:val="none"/>
        </w:rPr>
        <w:t>合同签订后30日内完成供货，具体安装、调试时间由采购人使用部门通知，保证使用方可正常使用</w:t>
      </w:r>
      <w:r>
        <w:rPr>
          <w:rFonts w:hint="eastAsia" w:ascii="新宋体" w:hAnsi="新宋体" w:eastAsia="新宋体" w:cs="新宋体"/>
          <w:bCs/>
          <w:color w:val="auto"/>
          <w:sz w:val="22"/>
          <w:szCs w:val="22"/>
          <w:highlight w:val="none"/>
        </w:rPr>
        <w:t>。</w:t>
      </w:r>
    </w:p>
    <w:p w14:paraId="65714973">
      <w:pPr>
        <w:spacing w:line="460" w:lineRule="exact"/>
        <w:ind w:firstLine="440" w:firstLineChars="200"/>
        <w:rPr>
          <w:rFonts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4、本项目免费质量保证期要求不低于</w:t>
      </w:r>
      <w:r>
        <w:rPr>
          <w:rFonts w:hint="eastAsia" w:ascii="新宋体" w:hAnsi="新宋体" w:eastAsia="新宋体" w:cs="新宋体"/>
          <w:bCs/>
          <w:color w:val="auto"/>
          <w:sz w:val="22"/>
          <w:szCs w:val="22"/>
          <w:highlight w:val="none"/>
          <w:u w:val="single"/>
        </w:rPr>
        <w:t xml:space="preserve">  5  </w:t>
      </w:r>
      <w:r>
        <w:rPr>
          <w:rFonts w:hint="eastAsia" w:ascii="新宋体" w:hAnsi="新宋体" w:eastAsia="新宋体" w:cs="新宋体"/>
          <w:bCs/>
          <w:color w:val="auto"/>
          <w:sz w:val="22"/>
          <w:szCs w:val="22"/>
          <w:highlight w:val="none"/>
        </w:rPr>
        <w:t>年。免费质量保证期从货物供货、安装、调试正常且经采购人验收合格后开始计算。</w:t>
      </w:r>
    </w:p>
    <w:p w14:paraId="1C9437B1">
      <w:pPr>
        <w:spacing w:line="460" w:lineRule="exact"/>
        <w:ind w:firstLine="440" w:firstLineChars="200"/>
        <w:rPr>
          <w:rFonts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 xml:space="preserve">5、核心产品。非单一产品采购项目，采购人根据采购项目技术构成、产品价格比重等合理确定核心产品，本项目核心产品为  </w:t>
      </w:r>
      <w:r>
        <w:rPr>
          <w:rFonts w:hint="eastAsia" w:ascii="宋体" w:hAnsi="宋体" w:cs="宋体"/>
          <w:color w:val="auto"/>
          <w:kern w:val="0"/>
          <w:sz w:val="22"/>
          <w:highlight w:val="none"/>
        </w:rPr>
        <w:t>课桌</w:t>
      </w:r>
      <w:r>
        <w:rPr>
          <w:rFonts w:hint="eastAsia" w:ascii="宋体" w:hAnsi="宋体" w:cs="宋体"/>
          <w:color w:val="auto"/>
          <w:sz w:val="22"/>
          <w:highlight w:val="none"/>
        </w:rPr>
        <w:t>（</w:t>
      </w:r>
      <w:r>
        <w:rPr>
          <w:rFonts w:hint="eastAsia" w:ascii="宋体" w:hAnsi="宋体" w:cs="宋体"/>
          <w:color w:val="auto"/>
          <w:kern w:val="0"/>
          <w:sz w:val="22"/>
          <w:highlight w:val="none"/>
        </w:rPr>
        <w:t>二人位</w:t>
      </w:r>
      <w:r>
        <w:rPr>
          <w:rFonts w:hint="eastAsia" w:ascii="宋体" w:hAnsi="宋体" w:cs="宋体"/>
          <w:color w:val="auto"/>
          <w:sz w:val="22"/>
          <w:highlight w:val="none"/>
        </w:rPr>
        <w:t>）</w:t>
      </w:r>
      <w:r>
        <w:rPr>
          <w:rFonts w:hint="eastAsia" w:ascii="新宋体" w:hAnsi="新宋体" w:eastAsia="新宋体" w:cs="新宋体"/>
          <w:bCs/>
          <w:color w:val="auto"/>
          <w:sz w:val="22"/>
          <w:szCs w:val="22"/>
          <w:highlight w:val="none"/>
        </w:rPr>
        <w:t xml:space="preserve">、 </w:t>
      </w:r>
      <w:r>
        <w:rPr>
          <w:rFonts w:hint="eastAsia" w:ascii="宋体" w:hAnsi="宋体" w:cs="宋体"/>
          <w:color w:val="auto"/>
          <w:kern w:val="0"/>
          <w:sz w:val="22"/>
          <w:highlight w:val="none"/>
        </w:rPr>
        <w:t>椅子</w:t>
      </w:r>
      <w:r>
        <w:rPr>
          <w:rFonts w:hint="eastAsia" w:ascii="宋体" w:hAnsi="宋体" w:cs="宋体"/>
          <w:color w:val="auto"/>
          <w:sz w:val="22"/>
          <w:highlight w:val="none"/>
        </w:rPr>
        <w:t>（</w:t>
      </w:r>
      <w:r>
        <w:rPr>
          <w:rFonts w:hint="eastAsia" w:ascii="宋体" w:hAnsi="宋体" w:cs="宋体"/>
          <w:color w:val="auto"/>
          <w:kern w:val="0"/>
          <w:sz w:val="22"/>
          <w:highlight w:val="none"/>
        </w:rPr>
        <w:t>常规</w:t>
      </w:r>
      <w:r>
        <w:rPr>
          <w:rFonts w:hint="eastAsia" w:ascii="宋体" w:hAnsi="宋体" w:cs="宋体"/>
          <w:color w:val="auto"/>
          <w:sz w:val="22"/>
          <w:highlight w:val="none"/>
        </w:rPr>
        <w:t>）</w:t>
      </w:r>
      <w:r>
        <w:rPr>
          <w:rFonts w:hint="eastAsia" w:ascii="新宋体" w:hAnsi="新宋体" w:eastAsia="新宋体" w:cs="新宋体"/>
          <w:bCs/>
          <w:color w:val="auto"/>
          <w:sz w:val="22"/>
          <w:szCs w:val="22"/>
          <w:highlight w:val="none"/>
        </w:rPr>
        <w:t xml:space="preserve"> 。</w:t>
      </w:r>
    </w:p>
    <w:p w14:paraId="75C2DDFA">
      <w:pPr>
        <w:spacing w:line="460" w:lineRule="exact"/>
        <w:ind w:firstLine="440" w:firstLineChars="200"/>
        <w:rPr>
          <w:rFonts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6、交货地点：</w:t>
      </w:r>
      <w:r>
        <w:rPr>
          <w:rFonts w:hint="eastAsia" w:ascii="新宋体" w:hAnsi="新宋体" w:eastAsia="新宋体" w:cs="新宋体"/>
          <w:bCs/>
          <w:color w:val="auto"/>
          <w:sz w:val="22"/>
          <w:szCs w:val="22"/>
          <w:highlight w:val="none"/>
          <w:u w:val="single"/>
        </w:rPr>
        <w:t xml:space="preserve"> 采购人指定地点 </w:t>
      </w:r>
      <w:r>
        <w:rPr>
          <w:rFonts w:hint="eastAsia" w:ascii="新宋体" w:hAnsi="新宋体" w:eastAsia="新宋体" w:cs="新宋体"/>
          <w:bCs/>
          <w:color w:val="auto"/>
          <w:sz w:val="22"/>
          <w:szCs w:val="22"/>
          <w:highlight w:val="none"/>
        </w:rPr>
        <w:t>。</w:t>
      </w:r>
    </w:p>
    <w:p w14:paraId="54236B52">
      <w:pPr>
        <w:spacing w:line="460" w:lineRule="exact"/>
        <w:ind w:firstLine="541" w:firstLineChars="245"/>
        <w:outlineLvl w:val="1"/>
        <w:rPr>
          <w:rFonts w:ascii="宋体" w:hAnsi="宋体" w:cs="宋体"/>
          <w:b/>
          <w:bCs/>
          <w:color w:val="auto"/>
          <w:sz w:val="22"/>
          <w:szCs w:val="22"/>
          <w:highlight w:val="none"/>
        </w:rPr>
      </w:pPr>
      <w:bookmarkStart w:id="281" w:name="_Toc27196"/>
      <w:bookmarkStart w:id="282" w:name="_Toc12769"/>
      <w:r>
        <w:rPr>
          <w:rFonts w:hint="eastAsia" w:ascii="宋体" w:hAnsi="宋体" w:cs="宋体"/>
          <w:b/>
          <w:bCs/>
          <w:color w:val="auto"/>
          <w:sz w:val="22"/>
          <w:szCs w:val="22"/>
          <w:highlight w:val="none"/>
        </w:rPr>
        <w:t>三、样品</w:t>
      </w:r>
      <w:bookmarkEnd w:id="281"/>
      <w:bookmarkEnd w:id="282"/>
    </w:p>
    <w:p w14:paraId="10817383">
      <w:pPr>
        <w:spacing w:line="460" w:lineRule="exact"/>
        <w:ind w:firstLine="539" w:firstLineChars="245"/>
        <w:rPr>
          <w:rFonts w:ascii="宋体" w:cs="Arial"/>
          <w:color w:val="auto"/>
          <w:sz w:val="22"/>
          <w:szCs w:val="22"/>
          <w:highlight w:val="none"/>
        </w:rPr>
      </w:pPr>
      <w:r>
        <w:rPr>
          <w:rFonts w:hint="eastAsia" w:ascii="宋体" w:cs="Arial"/>
          <w:color w:val="auto"/>
          <w:sz w:val="22"/>
          <w:szCs w:val="22"/>
          <w:highlight w:val="none"/>
        </w:rPr>
        <w:t>投标人应按下表要求提供样品，评标委员会有权对投标样品进行破坏性试验，采购人将不予以补偿。中标人样品封存在采购人指定地点作为验收依据之一，</w:t>
      </w:r>
      <w:r>
        <w:rPr>
          <w:rFonts w:hint="eastAsia" w:ascii="宋体"/>
          <w:color w:val="auto"/>
          <w:sz w:val="22"/>
          <w:highlight w:val="none"/>
        </w:rPr>
        <w:t>其余投标人提供的样品予以退还且由其自行承担相应费用。</w:t>
      </w:r>
      <w:r>
        <w:rPr>
          <w:rFonts w:hint="eastAsia" w:ascii="宋体" w:cs="黑体"/>
          <w:color w:val="auto"/>
          <w:sz w:val="22"/>
          <w:szCs w:val="22"/>
          <w:highlight w:val="none"/>
        </w:rPr>
        <w:t>投标人在开标当天8时30分至投标文件递交截止时间前将样品送至温州市鹿城区勤民路鹿城壹号18幢803室</w:t>
      </w:r>
      <w:r>
        <w:rPr>
          <w:rFonts w:hint="eastAsia" w:ascii="宋体" w:cs="Arial"/>
          <w:color w:val="auto"/>
          <w:sz w:val="22"/>
          <w:szCs w:val="22"/>
          <w:highlight w:val="none"/>
        </w:rPr>
        <w:t>。</w:t>
      </w:r>
    </w:p>
    <w:tbl>
      <w:tblPr>
        <w:tblStyle w:val="52"/>
        <w:tblW w:w="0" w:type="auto"/>
        <w:tblInd w:w="93"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66"/>
        <w:gridCol w:w="6750"/>
        <w:gridCol w:w="2127"/>
      </w:tblGrid>
      <w:tr w14:paraId="0B00CE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3" w:hRule="atLeast"/>
        </w:trPr>
        <w:tc>
          <w:tcPr>
            <w:tcW w:w="866" w:type="dxa"/>
            <w:noWrap/>
            <w:vAlign w:val="center"/>
          </w:tcPr>
          <w:p w14:paraId="4FEBB1B4">
            <w:pPr>
              <w:spacing w:line="420" w:lineRule="exact"/>
              <w:jc w:val="center"/>
              <w:rPr>
                <w:rFonts w:ascii="宋体"/>
                <w:color w:val="auto"/>
                <w:sz w:val="22"/>
                <w:highlight w:val="none"/>
              </w:rPr>
            </w:pPr>
            <w:r>
              <w:rPr>
                <w:rFonts w:ascii="宋体"/>
                <w:color w:val="auto"/>
                <w:sz w:val="22"/>
                <w:highlight w:val="none"/>
              </w:rPr>
              <w:t>序号</w:t>
            </w:r>
          </w:p>
        </w:tc>
        <w:tc>
          <w:tcPr>
            <w:tcW w:w="6750" w:type="dxa"/>
            <w:noWrap/>
            <w:vAlign w:val="center"/>
          </w:tcPr>
          <w:p w14:paraId="2C9B1A9F">
            <w:pPr>
              <w:spacing w:line="420" w:lineRule="exact"/>
              <w:jc w:val="center"/>
              <w:rPr>
                <w:rFonts w:ascii="宋体"/>
                <w:color w:val="auto"/>
                <w:sz w:val="22"/>
                <w:highlight w:val="none"/>
              </w:rPr>
            </w:pPr>
            <w:r>
              <w:rPr>
                <w:rFonts w:hint="eastAsia" w:ascii="宋体"/>
                <w:color w:val="auto"/>
                <w:sz w:val="22"/>
                <w:highlight w:val="none"/>
              </w:rPr>
              <w:t xml:space="preserve">名称 </w:t>
            </w:r>
          </w:p>
        </w:tc>
        <w:tc>
          <w:tcPr>
            <w:tcW w:w="2127" w:type="dxa"/>
            <w:noWrap/>
            <w:vAlign w:val="center"/>
          </w:tcPr>
          <w:p w14:paraId="55ABDF5B">
            <w:pPr>
              <w:spacing w:line="420" w:lineRule="exact"/>
              <w:jc w:val="center"/>
              <w:rPr>
                <w:rFonts w:ascii="宋体"/>
                <w:color w:val="auto"/>
                <w:sz w:val="22"/>
                <w:highlight w:val="none"/>
              </w:rPr>
            </w:pPr>
            <w:r>
              <w:rPr>
                <w:rFonts w:hint="eastAsia" w:ascii="宋体"/>
                <w:color w:val="auto"/>
                <w:sz w:val="22"/>
                <w:highlight w:val="none"/>
              </w:rPr>
              <w:t>数量</w:t>
            </w:r>
          </w:p>
        </w:tc>
      </w:tr>
      <w:tr w14:paraId="27A89A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866" w:type="dxa"/>
            <w:noWrap/>
            <w:vAlign w:val="center"/>
          </w:tcPr>
          <w:p w14:paraId="6E37A0E7">
            <w:pPr>
              <w:spacing w:line="420" w:lineRule="exact"/>
              <w:jc w:val="center"/>
              <w:rPr>
                <w:rFonts w:ascii="宋体"/>
                <w:color w:val="auto"/>
                <w:sz w:val="22"/>
                <w:highlight w:val="none"/>
              </w:rPr>
            </w:pPr>
            <w:r>
              <w:rPr>
                <w:rFonts w:hint="eastAsia" w:ascii="宋体"/>
                <w:color w:val="auto"/>
                <w:sz w:val="22"/>
                <w:highlight w:val="none"/>
              </w:rPr>
              <w:t>1</w:t>
            </w:r>
          </w:p>
        </w:tc>
        <w:tc>
          <w:tcPr>
            <w:tcW w:w="6750" w:type="dxa"/>
            <w:noWrap/>
            <w:vAlign w:val="center"/>
          </w:tcPr>
          <w:p w14:paraId="5A8A0574">
            <w:pPr>
              <w:spacing w:line="420" w:lineRule="exact"/>
              <w:jc w:val="center"/>
              <w:rPr>
                <w:rFonts w:ascii="宋体"/>
                <w:color w:val="auto"/>
                <w:sz w:val="22"/>
                <w:highlight w:val="none"/>
              </w:rPr>
            </w:pPr>
            <w:r>
              <w:rPr>
                <w:rFonts w:hint="eastAsia" w:ascii="宋体" w:hAnsi="宋体" w:cs="宋体"/>
                <w:color w:val="auto"/>
                <w:kern w:val="0"/>
                <w:sz w:val="22"/>
                <w:highlight w:val="none"/>
              </w:rPr>
              <w:t>课桌</w:t>
            </w:r>
            <w:r>
              <w:rPr>
                <w:rFonts w:hint="eastAsia" w:ascii="宋体" w:hAnsi="宋体" w:cs="宋体"/>
                <w:color w:val="auto"/>
                <w:sz w:val="22"/>
                <w:highlight w:val="none"/>
              </w:rPr>
              <w:t>（</w:t>
            </w:r>
            <w:r>
              <w:rPr>
                <w:rFonts w:hint="eastAsia" w:ascii="宋体" w:hAnsi="宋体" w:cs="宋体"/>
                <w:color w:val="auto"/>
                <w:kern w:val="0"/>
                <w:sz w:val="22"/>
                <w:highlight w:val="none"/>
              </w:rPr>
              <w:t>二人位</w:t>
            </w:r>
            <w:r>
              <w:rPr>
                <w:rFonts w:hint="eastAsia" w:ascii="宋体" w:hAnsi="宋体" w:cs="宋体"/>
                <w:color w:val="auto"/>
                <w:sz w:val="22"/>
                <w:highlight w:val="none"/>
              </w:rPr>
              <w:t>）</w:t>
            </w:r>
          </w:p>
        </w:tc>
        <w:tc>
          <w:tcPr>
            <w:tcW w:w="2127" w:type="dxa"/>
            <w:noWrap/>
            <w:vAlign w:val="center"/>
          </w:tcPr>
          <w:p w14:paraId="6E9E8F43">
            <w:pPr>
              <w:spacing w:line="420" w:lineRule="exact"/>
              <w:jc w:val="center"/>
              <w:rPr>
                <w:rFonts w:ascii="宋体"/>
                <w:color w:val="auto"/>
                <w:sz w:val="22"/>
                <w:highlight w:val="none"/>
              </w:rPr>
            </w:pPr>
            <w:r>
              <w:rPr>
                <w:rFonts w:ascii="宋体"/>
                <w:color w:val="auto"/>
                <w:sz w:val="22"/>
                <w:highlight w:val="none"/>
              </w:rPr>
              <w:t>一</w:t>
            </w:r>
            <w:r>
              <w:rPr>
                <w:rFonts w:hint="eastAsia" w:ascii="宋体"/>
                <w:color w:val="auto"/>
                <w:sz w:val="22"/>
                <w:highlight w:val="none"/>
              </w:rPr>
              <w:t xml:space="preserve">张 </w:t>
            </w:r>
          </w:p>
        </w:tc>
      </w:tr>
      <w:tr w14:paraId="71BFA86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866" w:type="dxa"/>
            <w:noWrap/>
            <w:vAlign w:val="center"/>
          </w:tcPr>
          <w:p w14:paraId="2226C2E5">
            <w:pPr>
              <w:spacing w:line="420" w:lineRule="exact"/>
              <w:jc w:val="center"/>
              <w:rPr>
                <w:rFonts w:ascii="宋体"/>
                <w:color w:val="auto"/>
                <w:sz w:val="22"/>
                <w:highlight w:val="none"/>
              </w:rPr>
            </w:pPr>
            <w:r>
              <w:rPr>
                <w:rFonts w:hint="eastAsia" w:ascii="宋体"/>
                <w:color w:val="auto"/>
                <w:sz w:val="22"/>
                <w:highlight w:val="none"/>
              </w:rPr>
              <w:t>2</w:t>
            </w:r>
          </w:p>
        </w:tc>
        <w:tc>
          <w:tcPr>
            <w:tcW w:w="6750" w:type="dxa"/>
            <w:noWrap/>
            <w:vAlign w:val="center"/>
          </w:tcPr>
          <w:p w14:paraId="129E830D">
            <w:pPr>
              <w:spacing w:line="420" w:lineRule="exact"/>
              <w:jc w:val="center"/>
              <w:rPr>
                <w:rFonts w:ascii="宋体" w:hAnsi="宋体" w:cs="宋体"/>
                <w:color w:val="auto"/>
                <w:kern w:val="0"/>
                <w:sz w:val="22"/>
                <w:highlight w:val="none"/>
              </w:rPr>
            </w:pPr>
            <w:r>
              <w:rPr>
                <w:rFonts w:hint="eastAsia" w:ascii="宋体" w:hAnsi="宋体" w:cs="宋体"/>
                <w:color w:val="auto"/>
                <w:kern w:val="0"/>
                <w:sz w:val="22"/>
                <w:highlight w:val="none"/>
              </w:rPr>
              <w:t>椅子</w:t>
            </w:r>
            <w:r>
              <w:rPr>
                <w:rFonts w:hint="eastAsia" w:ascii="宋体" w:hAnsi="宋体" w:cs="宋体"/>
                <w:color w:val="auto"/>
                <w:sz w:val="22"/>
                <w:highlight w:val="none"/>
              </w:rPr>
              <w:t>（</w:t>
            </w:r>
            <w:r>
              <w:rPr>
                <w:rFonts w:hint="eastAsia" w:ascii="宋体" w:hAnsi="宋体" w:cs="宋体"/>
                <w:color w:val="auto"/>
                <w:kern w:val="0"/>
                <w:sz w:val="22"/>
                <w:highlight w:val="none"/>
              </w:rPr>
              <w:t>常规</w:t>
            </w:r>
            <w:r>
              <w:rPr>
                <w:rFonts w:hint="eastAsia" w:ascii="宋体" w:hAnsi="宋体" w:cs="宋体"/>
                <w:color w:val="auto"/>
                <w:sz w:val="22"/>
                <w:highlight w:val="none"/>
              </w:rPr>
              <w:t>）</w:t>
            </w:r>
          </w:p>
        </w:tc>
        <w:tc>
          <w:tcPr>
            <w:tcW w:w="2127" w:type="dxa"/>
            <w:noWrap/>
            <w:vAlign w:val="center"/>
          </w:tcPr>
          <w:p w14:paraId="609BE05F">
            <w:pPr>
              <w:spacing w:line="420" w:lineRule="exact"/>
              <w:jc w:val="center"/>
              <w:rPr>
                <w:rFonts w:ascii="宋体"/>
                <w:color w:val="auto"/>
                <w:sz w:val="22"/>
                <w:highlight w:val="none"/>
              </w:rPr>
            </w:pPr>
            <w:r>
              <w:rPr>
                <w:rFonts w:ascii="宋体"/>
                <w:color w:val="auto"/>
                <w:sz w:val="22"/>
                <w:highlight w:val="none"/>
              </w:rPr>
              <w:t>一</w:t>
            </w:r>
            <w:r>
              <w:rPr>
                <w:rFonts w:hint="eastAsia" w:ascii="宋体"/>
                <w:color w:val="auto"/>
                <w:sz w:val="22"/>
                <w:highlight w:val="none"/>
              </w:rPr>
              <w:t>张</w:t>
            </w:r>
          </w:p>
        </w:tc>
      </w:tr>
    </w:tbl>
    <w:p w14:paraId="7D97CCE5">
      <w:pPr>
        <w:pStyle w:val="2"/>
        <w:ind w:left="442" w:hanging="442"/>
        <w:rPr>
          <w:rFonts w:ascii="宋体" w:hAnsi="宋体" w:cs="宋体"/>
          <w:b/>
          <w:bCs/>
          <w:color w:val="auto"/>
          <w:sz w:val="22"/>
          <w:szCs w:val="22"/>
          <w:highlight w:val="none"/>
        </w:rPr>
      </w:pPr>
      <w:r>
        <w:rPr>
          <w:rFonts w:hint="eastAsia" w:ascii="宋体" w:hAnsi="宋体" w:cs="宋体"/>
          <w:b/>
          <w:bCs/>
          <w:color w:val="auto"/>
          <w:sz w:val="22"/>
          <w:szCs w:val="22"/>
          <w:highlight w:val="none"/>
          <w:u w:val="single"/>
        </w:rPr>
        <w:t xml:space="preserve"> </w:t>
      </w:r>
    </w:p>
    <w:p w14:paraId="14FFDC1F">
      <w:pPr>
        <w:pStyle w:val="3"/>
        <w:ind w:left="862" w:hanging="442"/>
        <w:rPr>
          <w:rFonts w:ascii="宋体" w:hAnsi="宋体"/>
          <w:b/>
          <w:bCs/>
          <w:color w:val="auto"/>
          <w:sz w:val="22"/>
          <w:szCs w:val="22"/>
          <w:highlight w:val="none"/>
        </w:rPr>
      </w:pPr>
    </w:p>
    <w:p w14:paraId="5A2D7785">
      <w:pPr>
        <w:pStyle w:val="3"/>
        <w:ind w:left="862" w:hanging="442"/>
        <w:rPr>
          <w:rFonts w:ascii="宋体" w:hAnsi="宋体"/>
          <w:b/>
          <w:bCs/>
          <w:color w:val="auto"/>
          <w:sz w:val="22"/>
          <w:szCs w:val="22"/>
          <w:highlight w:val="none"/>
        </w:rPr>
      </w:pPr>
    </w:p>
    <w:p w14:paraId="5F001C5E">
      <w:pPr>
        <w:pStyle w:val="3"/>
        <w:ind w:left="862" w:hanging="442"/>
        <w:rPr>
          <w:rFonts w:ascii="宋体" w:hAnsi="宋体"/>
          <w:b/>
          <w:bCs/>
          <w:color w:val="auto"/>
          <w:sz w:val="22"/>
          <w:szCs w:val="22"/>
          <w:highlight w:val="none"/>
        </w:rPr>
      </w:pPr>
    </w:p>
    <w:p w14:paraId="065A2502">
      <w:pPr>
        <w:pStyle w:val="3"/>
        <w:ind w:left="862" w:hanging="442"/>
        <w:rPr>
          <w:rFonts w:ascii="宋体" w:hAnsi="宋体"/>
          <w:b/>
          <w:bCs/>
          <w:color w:val="auto"/>
          <w:sz w:val="22"/>
          <w:szCs w:val="22"/>
          <w:highlight w:val="none"/>
        </w:rPr>
      </w:pPr>
    </w:p>
    <w:p w14:paraId="6B5E89E2">
      <w:pPr>
        <w:pStyle w:val="3"/>
        <w:ind w:left="862" w:hanging="442"/>
        <w:rPr>
          <w:rFonts w:ascii="宋体" w:hAnsi="宋体"/>
          <w:b/>
          <w:bCs/>
          <w:color w:val="auto"/>
          <w:sz w:val="22"/>
          <w:szCs w:val="22"/>
          <w:highlight w:val="none"/>
        </w:rPr>
      </w:pPr>
    </w:p>
    <w:p w14:paraId="075221F3">
      <w:pPr>
        <w:spacing w:line="460" w:lineRule="exact"/>
        <w:ind w:firstLine="541" w:firstLineChars="245"/>
        <w:outlineLvl w:val="1"/>
        <w:rPr>
          <w:rFonts w:ascii="宋体" w:hAnsi="宋体" w:cs="宋体"/>
          <w:b/>
          <w:bCs/>
          <w:color w:val="auto"/>
          <w:sz w:val="22"/>
          <w:szCs w:val="22"/>
          <w:highlight w:val="none"/>
        </w:rPr>
        <w:sectPr>
          <w:footerReference r:id="rId6" w:type="default"/>
          <w:pgSz w:w="11907" w:h="16840"/>
          <w:pgMar w:top="1134" w:right="1134" w:bottom="1134" w:left="1134" w:header="851" w:footer="992" w:gutter="0"/>
          <w:cols w:space="720" w:num="1"/>
          <w:docGrid w:linePitch="312" w:charSpace="0"/>
        </w:sectPr>
        <w:pPrChange w:id="6" w:author="采购中心" w:date="2024-07-16T10:47:00Z">
          <w:pPr>
            <w:spacing w:line="460" w:lineRule="exact"/>
            <w:ind w:firstLine="541" w:firstLineChars="245"/>
            <w:outlineLvl w:val="1"/>
          </w:pPr>
        </w:pPrChange>
      </w:pPr>
    </w:p>
    <w:p w14:paraId="7F309884">
      <w:pPr>
        <w:spacing w:line="460" w:lineRule="exact"/>
        <w:ind w:firstLine="541" w:firstLineChars="245"/>
        <w:outlineLvl w:val="1"/>
        <w:rPr>
          <w:rFonts w:ascii="宋体" w:hAnsi="宋体" w:cs="宋体"/>
          <w:b/>
          <w:bCs/>
          <w:color w:val="auto"/>
          <w:sz w:val="22"/>
          <w:szCs w:val="22"/>
          <w:highlight w:val="none"/>
        </w:rPr>
      </w:pPr>
      <w:bookmarkStart w:id="283" w:name="_Toc10572"/>
      <w:r>
        <w:rPr>
          <w:rFonts w:hint="eastAsia" w:ascii="宋体" w:hAnsi="宋体" w:cs="宋体"/>
          <w:b/>
          <w:bCs/>
          <w:color w:val="auto"/>
          <w:sz w:val="22"/>
          <w:szCs w:val="22"/>
          <w:highlight w:val="none"/>
        </w:rPr>
        <w:t>四、技术参数及配置</w:t>
      </w:r>
      <w:bookmarkEnd w:id="278"/>
      <w:bookmarkEnd w:id="279"/>
      <w:bookmarkEnd w:id="280"/>
      <w:bookmarkEnd w:id="283"/>
    </w:p>
    <w:tbl>
      <w:tblPr>
        <w:tblStyle w:val="52"/>
        <w:tblW w:w="14576" w:type="dxa"/>
        <w:tblInd w:w="-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567"/>
        <w:gridCol w:w="1693"/>
        <w:gridCol w:w="6807"/>
        <w:gridCol w:w="958"/>
        <w:gridCol w:w="2726"/>
      </w:tblGrid>
      <w:tr w14:paraId="02B93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Borders>
              <w:top w:val="single" w:color="auto" w:sz="4" w:space="0"/>
              <w:left w:val="single" w:color="auto" w:sz="4" w:space="0"/>
              <w:bottom w:val="single" w:color="auto" w:sz="4" w:space="0"/>
              <w:right w:val="single" w:color="auto" w:sz="4" w:space="0"/>
            </w:tcBorders>
            <w:vAlign w:val="center"/>
          </w:tcPr>
          <w:p w14:paraId="47DC40C8">
            <w:pPr>
              <w:spacing w:line="460" w:lineRule="exact"/>
              <w:jc w:val="center"/>
              <w:rPr>
                <w:rFonts w:ascii="新宋体" w:hAnsi="新宋体" w:eastAsia="新宋体" w:cs="新宋体"/>
                <w:b/>
                <w:bCs/>
                <w:color w:val="auto"/>
                <w:kern w:val="0"/>
                <w:sz w:val="22"/>
                <w:szCs w:val="22"/>
                <w:highlight w:val="none"/>
              </w:rPr>
            </w:pPr>
            <w:r>
              <w:rPr>
                <w:rFonts w:hint="eastAsia" w:ascii="新宋体" w:hAnsi="新宋体" w:eastAsia="新宋体" w:cs="新宋体"/>
                <w:b/>
                <w:bCs/>
                <w:color w:val="auto"/>
                <w:kern w:val="0"/>
                <w:sz w:val="22"/>
                <w:szCs w:val="22"/>
                <w:highlight w:val="none"/>
              </w:rPr>
              <w:t>序号</w:t>
            </w:r>
          </w:p>
        </w:tc>
        <w:tc>
          <w:tcPr>
            <w:tcW w:w="1567" w:type="dxa"/>
            <w:tcBorders>
              <w:top w:val="single" w:color="auto" w:sz="4" w:space="0"/>
              <w:left w:val="single" w:color="auto" w:sz="4" w:space="0"/>
              <w:bottom w:val="single" w:color="auto" w:sz="4" w:space="0"/>
              <w:right w:val="single" w:color="auto" w:sz="4" w:space="0"/>
            </w:tcBorders>
            <w:vAlign w:val="center"/>
          </w:tcPr>
          <w:p w14:paraId="59E7F8BF">
            <w:pPr>
              <w:spacing w:line="460" w:lineRule="exact"/>
              <w:jc w:val="center"/>
              <w:rPr>
                <w:rFonts w:ascii="新宋体" w:hAnsi="新宋体" w:eastAsia="新宋体" w:cs="新宋体"/>
                <w:b/>
                <w:bCs/>
                <w:color w:val="auto"/>
                <w:kern w:val="0"/>
                <w:sz w:val="22"/>
                <w:szCs w:val="22"/>
                <w:highlight w:val="none"/>
              </w:rPr>
            </w:pPr>
            <w:r>
              <w:rPr>
                <w:rFonts w:hint="eastAsia" w:ascii="新宋体" w:hAnsi="新宋体" w:eastAsia="新宋体" w:cs="新宋体"/>
                <w:b/>
                <w:bCs/>
                <w:color w:val="auto"/>
                <w:kern w:val="0"/>
                <w:sz w:val="22"/>
                <w:szCs w:val="22"/>
                <w:highlight w:val="none"/>
              </w:rPr>
              <w:t>产品名称</w:t>
            </w:r>
          </w:p>
        </w:tc>
        <w:tc>
          <w:tcPr>
            <w:tcW w:w="1693" w:type="dxa"/>
            <w:tcBorders>
              <w:top w:val="single" w:color="auto" w:sz="4" w:space="0"/>
              <w:left w:val="single" w:color="auto" w:sz="4" w:space="0"/>
              <w:bottom w:val="single" w:color="auto" w:sz="4" w:space="0"/>
              <w:right w:val="single" w:color="auto" w:sz="4" w:space="0"/>
            </w:tcBorders>
            <w:vAlign w:val="center"/>
          </w:tcPr>
          <w:p w14:paraId="18FFB65E">
            <w:pPr>
              <w:spacing w:line="460" w:lineRule="exact"/>
              <w:jc w:val="center"/>
              <w:rPr>
                <w:rFonts w:ascii="新宋体" w:hAnsi="新宋体" w:eastAsia="新宋体" w:cs="新宋体"/>
                <w:b/>
                <w:bCs/>
                <w:color w:val="auto"/>
                <w:kern w:val="0"/>
                <w:sz w:val="22"/>
                <w:szCs w:val="22"/>
                <w:highlight w:val="none"/>
              </w:rPr>
            </w:pPr>
            <w:r>
              <w:rPr>
                <w:rFonts w:hint="eastAsia" w:ascii="新宋体" w:hAnsi="新宋体" w:eastAsia="新宋体" w:cs="新宋体"/>
                <w:b/>
                <w:bCs/>
                <w:color w:val="auto"/>
                <w:kern w:val="0"/>
                <w:sz w:val="22"/>
                <w:szCs w:val="22"/>
                <w:highlight w:val="none"/>
              </w:rPr>
              <w:t>规格</w:t>
            </w:r>
            <w:r>
              <w:rPr>
                <w:rFonts w:hint="eastAsia" w:ascii="新宋体" w:hAnsi="新宋体" w:eastAsia="新宋体" w:cs="新宋体"/>
                <w:color w:val="auto"/>
                <w:kern w:val="0"/>
                <w:sz w:val="22"/>
                <w:szCs w:val="22"/>
                <w:highlight w:val="none"/>
              </w:rPr>
              <w:t>(mm)</w:t>
            </w:r>
          </w:p>
        </w:tc>
        <w:tc>
          <w:tcPr>
            <w:tcW w:w="6807" w:type="dxa"/>
            <w:tcBorders>
              <w:top w:val="single" w:color="auto" w:sz="4" w:space="0"/>
              <w:left w:val="single" w:color="auto" w:sz="4" w:space="0"/>
              <w:bottom w:val="single" w:color="auto" w:sz="4" w:space="0"/>
              <w:right w:val="single" w:color="auto" w:sz="4" w:space="0"/>
            </w:tcBorders>
            <w:vAlign w:val="center"/>
          </w:tcPr>
          <w:p w14:paraId="4E49F7E6">
            <w:pPr>
              <w:spacing w:line="460" w:lineRule="exact"/>
              <w:jc w:val="center"/>
              <w:rPr>
                <w:rFonts w:ascii="新宋体" w:hAnsi="新宋体" w:eastAsia="新宋体" w:cs="新宋体"/>
                <w:b/>
                <w:bCs/>
                <w:color w:val="auto"/>
                <w:kern w:val="0"/>
                <w:sz w:val="22"/>
                <w:szCs w:val="22"/>
                <w:highlight w:val="none"/>
              </w:rPr>
            </w:pPr>
            <w:r>
              <w:rPr>
                <w:rFonts w:hint="eastAsia" w:ascii="新宋体" w:hAnsi="新宋体" w:eastAsia="新宋体" w:cs="新宋体"/>
                <w:b/>
                <w:bCs/>
                <w:color w:val="auto"/>
                <w:kern w:val="0"/>
                <w:sz w:val="22"/>
                <w:szCs w:val="22"/>
                <w:highlight w:val="none"/>
              </w:rPr>
              <w:t>采购产品材质、工艺、</w:t>
            </w:r>
            <w:r>
              <w:rPr>
                <w:rFonts w:ascii="新宋体" w:hAnsi="新宋体" w:eastAsia="新宋体" w:cs="新宋体"/>
                <w:b/>
                <w:bCs/>
                <w:color w:val="auto"/>
                <w:kern w:val="0"/>
                <w:sz w:val="22"/>
                <w:szCs w:val="22"/>
                <w:highlight w:val="none"/>
              </w:rPr>
              <w:t>技术、</w:t>
            </w:r>
            <w:r>
              <w:rPr>
                <w:rFonts w:hint="eastAsia" w:ascii="新宋体" w:hAnsi="新宋体" w:eastAsia="新宋体" w:cs="新宋体"/>
                <w:b/>
                <w:bCs/>
                <w:color w:val="auto"/>
                <w:kern w:val="0"/>
                <w:sz w:val="22"/>
                <w:szCs w:val="22"/>
                <w:highlight w:val="none"/>
              </w:rPr>
              <w:t>配置要求</w:t>
            </w:r>
          </w:p>
        </w:tc>
        <w:tc>
          <w:tcPr>
            <w:tcW w:w="958" w:type="dxa"/>
            <w:tcBorders>
              <w:top w:val="single" w:color="auto" w:sz="4" w:space="0"/>
              <w:left w:val="single" w:color="auto" w:sz="4" w:space="0"/>
              <w:bottom w:val="single" w:color="auto" w:sz="4" w:space="0"/>
              <w:right w:val="single" w:color="auto" w:sz="4" w:space="0"/>
            </w:tcBorders>
            <w:vAlign w:val="center"/>
          </w:tcPr>
          <w:p w14:paraId="208746C7">
            <w:pPr>
              <w:spacing w:line="460" w:lineRule="exact"/>
              <w:jc w:val="center"/>
              <w:rPr>
                <w:rFonts w:ascii="新宋体" w:hAnsi="新宋体" w:eastAsia="新宋体" w:cs="新宋体"/>
                <w:b/>
                <w:bCs/>
                <w:color w:val="auto"/>
                <w:kern w:val="0"/>
                <w:sz w:val="22"/>
                <w:szCs w:val="22"/>
                <w:highlight w:val="none"/>
              </w:rPr>
            </w:pPr>
            <w:r>
              <w:rPr>
                <w:rFonts w:hint="eastAsia" w:ascii="新宋体" w:hAnsi="新宋体" w:eastAsia="新宋体" w:cs="新宋体"/>
                <w:b/>
                <w:bCs/>
                <w:color w:val="auto"/>
                <w:kern w:val="0"/>
                <w:sz w:val="22"/>
                <w:szCs w:val="22"/>
                <w:highlight w:val="none"/>
              </w:rPr>
              <w:t>数量</w:t>
            </w:r>
          </w:p>
        </w:tc>
        <w:tc>
          <w:tcPr>
            <w:tcW w:w="2726" w:type="dxa"/>
            <w:tcBorders>
              <w:top w:val="single" w:color="auto" w:sz="4" w:space="0"/>
              <w:left w:val="single" w:color="auto" w:sz="4" w:space="0"/>
              <w:bottom w:val="single" w:color="auto" w:sz="4" w:space="0"/>
              <w:right w:val="single" w:color="auto" w:sz="4" w:space="0"/>
            </w:tcBorders>
            <w:vAlign w:val="center"/>
          </w:tcPr>
          <w:p w14:paraId="6DAB7E9D">
            <w:pPr>
              <w:spacing w:line="460" w:lineRule="exact"/>
              <w:jc w:val="center"/>
              <w:rPr>
                <w:rFonts w:ascii="新宋体" w:hAnsi="新宋体" w:eastAsia="新宋体" w:cs="新宋体"/>
                <w:b/>
                <w:bCs/>
                <w:color w:val="auto"/>
                <w:kern w:val="0"/>
                <w:sz w:val="22"/>
                <w:szCs w:val="22"/>
                <w:highlight w:val="none"/>
              </w:rPr>
            </w:pPr>
            <w:r>
              <w:rPr>
                <w:rFonts w:hint="eastAsia" w:ascii="新宋体" w:hAnsi="新宋体" w:eastAsia="新宋体" w:cs="新宋体"/>
                <w:b/>
                <w:bCs/>
                <w:color w:val="auto"/>
                <w:kern w:val="0"/>
                <w:sz w:val="22"/>
                <w:szCs w:val="22"/>
                <w:highlight w:val="none"/>
              </w:rPr>
              <w:t>参考图片</w:t>
            </w:r>
          </w:p>
        </w:tc>
      </w:tr>
      <w:tr w14:paraId="69418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Borders>
              <w:top w:val="single" w:color="auto" w:sz="4" w:space="0"/>
              <w:left w:val="single" w:color="auto" w:sz="4" w:space="0"/>
              <w:bottom w:val="single" w:color="auto" w:sz="4" w:space="0"/>
              <w:right w:val="single" w:color="auto" w:sz="4" w:space="0"/>
            </w:tcBorders>
            <w:vAlign w:val="center"/>
          </w:tcPr>
          <w:p w14:paraId="3CA7F0DE">
            <w:pPr>
              <w:spacing w:line="460" w:lineRule="exact"/>
              <w:jc w:val="center"/>
              <w:rPr>
                <w:rFonts w:ascii="新宋体" w:hAnsi="新宋体" w:eastAsia="新宋体" w:cs="新宋体"/>
                <w:color w:val="auto"/>
                <w:kern w:val="0"/>
                <w:sz w:val="22"/>
                <w:szCs w:val="22"/>
                <w:highlight w:val="none"/>
              </w:rPr>
            </w:pPr>
            <w:r>
              <w:rPr>
                <w:rFonts w:ascii="新宋体" w:hAnsi="新宋体" w:eastAsia="新宋体" w:cs="新宋体"/>
                <w:color w:val="auto"/>
                <w:kern w:val="0"/>
                <w:sz w:val="22"/>
                <w:szCs w:val="22"/>
                <w:highlight w:val="none"/>
              </w:rPr>
              <w:t>1</w:t>
            </w:r>
          </w:p>
        </w:tc>
        <w:tc>
          <w:tcPr>
            <w:tcW w:w="1567" w:type="dxa"/>
            <w:tcBorders>
              <w:top w:val="single" w:color="auto" w:sz="4" w:space="0"/>
              <w:left w:val="single" w:color="auto" w:sz="4" w:space="0"/>
              <w:bottom w:val="single" w:color="auto" w:sz="4" w:space="0"/>
              <w:right w:val="single" w:color="auto" w:sz="4" w:space="0"/>
            </w:tcBorders>
            <w:vAlign w:val="center"/>
          </w:tcPr>
          <w:p w14:paraId="3D551D5D">
            <w:pPr>
              <w:spacing w:line="460" w:lineRule="exact"/>
              <w:jc w:val="center"/>
              <w:rPr>
                <w:rFonts w:ascii="新宋体" w:hAnsi="新宋体" w:eastAsia="新宋体" w:cs="新宋体"/>
                <w:color w:val="auto"/>
                <w:kern w:val="0"/>
                <w:sz w:val="22"/>
                <w:szCs w:val="22"/>
                <w:highlight w:val="none"/>
              </w:rPr>
            </w:pPr>
            <w:r>
              <w:rPr>
                <w:rFonts w:hint="eastAsia" w:ascii="宋体" w:hAnsi="宋体" w:cs="宋体"/>
                <w:color w:val="auto"/>
                <w:kern w:val="0"/>
                <w:sz w:val="22"/>
                <w:highlight w:val="none"/>
              </w:rPr>
              <w:t>课桌</w:t>
            </w:r>
          </w:p>
        </w:tc>
        <w:tc>
          <w:tcPr>
            <w:tcW w:w="1693" w:type="dxa"/>
            <w:tcBorders>
              <w:top w:val="single" w:color="auto" w:sz="4" w:space="0"/>
              <w:left w:val="single" w:color="auto" w:sz="4" w:space="0"/>
              <w:bottom w:val="single" w:color="auto" w:sz="4" w:space="0"/>
              <w:right w:val="single" w:color="auto" w:sz="4" w:space="0"/>
            </w:tcBorders>
            <w:vAlign w:val="center"/>
          </w:tcPr>
          <w:p w14:paraId="09D3FCAA">
            <w:pPr>
              <w:spacing w:line="460" w:lineRule="exact"/>
              <w:jc w:val="left"/>
              <w:rPr>
                <w:ins w:id="7" w:author="Administrator" w:date="2024-07-03T14:10:00Z"/>
                <w:rFonts w:ascii="宋体" w:hAnsi="宋体" w:cs="宋体"/>
                <w:color w:val="auto"/>
                <w:kern w:val="0"/>
                <w:sz w:val="22"/>
                <w:highlight w:val="none"/>
              </w:rPr>
            </w:pPr>
            <w:r>
              <w:rPr>
                <w:rFonts w:hint="eastAsia" w:ascii="宋体" w:hAnsi="宋体" w:cs="宋体"/>
                <w:color w:val="auto"/>
                <w:kern w:val="0"/>
                <w:sz w:val="22"/>
                <w:highlight w:val="none"/>
              </w:rPr>
              <w:t>二人位</w:t>
            </w:r>
          </w:p>
          <w:p w14:paraId="6E7AF708">
            <w:pPr>
              <w:spacing w:line="460" w:lineRule="exact"/>
              <w:jc w:val="left"/>
              <w:rPr>
                <w:rFonts w:ascii="新宋体" w:hAnsi="新宋体" w:eastAsia="新宋体" w:cs="新宋体"/>
                <w:color w:val="auto"/>
                <w:kern w:val="0"/>
                <w:sz w:val="22"/>
                <w:szCs w:val="22"/>
                <w:highlight w:val="none"/>
              </w:rPr>
            </w:pPr>
            <w:r>
              <w:rPr>
                <w:rFonts w:hint="eastAsia" w:ascii="宋体" w:hAnsi="宋体" w:cs="宋体"/>
                <w:color w:val="auto"/>
                <w:kern w:val="0"/>
                <w:sz w:val="22"/>
                <w:highlight w:val="none"/>
              </w:rPr>
              <w:t>1200*450*750</w:t>
            </w:r>
          </w:p>
        </w:tc>
        <w:tc>
          <w:tcPr>
            <w:tcW w:w="6807" w:type="dxa"/>
            <w:tcBorders>
              <w:top w:val="single" w:color="auto" w:sz="4" w:space="0"/>
              <w:left w:val="single" w:color="auto" w:sz="4" w:space="0"/>
              <w:bottom w:val="single" w:color="auto" w:sz="4" w:space="0"/>
              <w:right w:val="single" w:color="auto" w:sz="4" w:space="0"/>
            </w:tcBorders>
            <w:vAlign w:val="center"/>
          </w:tcPr>
          <w:p w14:paraId="0DF504FE">
            <w:pPr>
              <w:spacing w:line="460" w:lineRule="exact"/>
              <w:jc w:val="left"/>
              <w:rPr>
                <w:ins w:id="8" w:author="Administrator" w:date="2024-07-03T14:10:00Z"/>
                <w:rFonts w:ascii="宋体" w:hAnsi="宋体" w:cs="宋体"/>
                <w:color w:val="auto"/>
                <w:kern w:val="0"/>
                <w:sz w:val="22"/>
                <w:highlight w:val="none"/>
              </w:rPr>
            </w:pPr>
            <w:r>
              <w:rPr>
                <w:rFonts w:hint="eastAsia" w:ascii="宋体" w:hAnsi="宋体" w:cs="宋体"/>
                <w:color w:val="auto"/>
                <w:kern w:val="0"/>
                <w:sz w:val="22"/>
                <w:highlight w:val="none"/>
              </w:rPr>
              <w:t>1、桌板基材：桌面厚度为25±2mm，高密度创花板基材，(甲醛释放量≤0.026mg/m3，有害物质释放量符合GB18580-2017标准.)级环保标准。所有材料均经过防虫、防腐等化学处理。</w:t>
            </w:r>
            <w:r>
              <w:rPr>
                <w:rFonts w:hint="eastAsia" w:ascii="宋体" w:hAnsi="宋体" w:cs="宋体"/>
                <w:color w:val="auto"/>
                <w:kern w:val="0"/>
                <w:sz w:val="22"/>
                <w:highlight w:val="none"/>
              </w:rPr>
              <w:br w:type="textWrapping"/>
            </w:r>
          </w:p>
          <w:p w14:paraId="7E132F7F">
            <w:pPr>
              <w:spacing w:line="460" w:lineRule="exact"/>
              <w:jc w:val="left"/>
              <w:rPr>
                <w:ins w:id="9" w:author="Administrator" w:date="2024-07-03T14:10:00Z"/>
                <w:rFonts w:ascii="宋体" w:hAnsi="宋体" w:cs="宋体"/>
                <w:color w:val="auto"/>
                <w:kern w:val="0"/>
                <w:sz w:val="22"/>
                <w:highlight w:val="none"/>
              </w:rPr>
            </w:pPr>
            <w:r>
              <w:rPr>
                <w:rFonts w:hint="eastAsia" w:ascii="宋体" w:hAnsi="宋体" w:cs="宋体"/>
                <w:color w:val="auto"/>
                <w:kern w:val="0"/>
                <w:sz w:val="22"/>
                <w:highlight w:val="none"/>
              </w:rPr>
              <w:t>2、桌板贴面：优质三聚氰胺纸饰面，封边条采用优质 PVC同色封边，厚度≥2.0mm。全自动无缝隙封边工艺，严密、平整、无脱胶、表面无露胶，经200℃高温压制于边部，有效防止水气侵入。提供近一年内CMA认证检验机构出具的封边条抽样检验报告，检测依据QB/T 4463-2013《家具用封边条技术要求》;QB/T 4371-2012《家具抗菌性能的评价》标准，理化性能耐光色牢度检测合格，抗菌性能检测合格。</w:t>
            </w:r>
          </w:p>
          <w:p w14:paraId="1BB7266B">
            <w:pPr>
              <w:spacing w:line="460" w:lineRule="exact"/>
              <w:jc w:val="left"/>
              <w:rPr>
                <w:ins w:id="10" w:author="Administrator" w:date="2024-07-03T14:10:00Z"/>
                <w:rFonts w:ascii="宋体" w:hAnsi="宋体" w:cs="宋体"/>
                <w:color w:val="auto"/>
                <w:kern w:val="0"/>
                <w:sz w:val="22"/>
                <w:highlight w:val="none"/>
              </w:rPr>
            </w:pPr>
            <w:r>
              <w:rPr>
                <w:rFonts w:hint="eastAsia" w:ascii="宋体" w:hAnsi="宋体" w:cs="宋体"/>
                <w:color w:val="auto"/>
                <w:kern w:val="0"/>
                <w:sz w:val="22"/>
                <w:highlight w:val="none"/>
              </w:rPr>
              <w:t>胶水：采用优质环保热熔胶，符合GB 18583-2008《室内装修装饰材料胶黏剂中有害物质限量》。</w:t>
            </w:r>
          </w:p>
          <w:p w14:paraId="7157AE92">
            <w:pPr>
              <w:spacing w:line="460" w:lineRule="exact"/>
              <w:jc w:val="left"/>
              <w:rPr>
                <w:ins w:id="11" w:author="Administrator" w:date="2024-07-03T14:10:00Z"/>
                <w:rFonts w:ascii="宋体" w:hAnsi="宋体" w:cs="宋体"/>
                <w:color w:val="auto"/>
                <w:kern w:val="0"/>
                <w:sz w:val="22"/>
                <w:highlight w:val="none"/>
              </w:rPr>
            </w:pPr>
            <w:r>
              <w:rPr>
                <w:rFonts w:hint="eastAsia" w:ascii="宋体" w:hAnsi="宋体" w:cs="宋体"/>
                <w:color w:val="auto"/>
                <w:kern w:val="0"/>
                <w:sz w:val="22"/>
                <w:highlight w:val="none"/>
              </w:rPr>
              <w:t>3、底脚：底脚尺寸：430*70*70*2mm两件；冷轧钢材质，厚度为2.0±0.1mm。</w:t>
            </w:r>
          </w:p>
          <w:p w14:paraId="0ED27402">
            <w:pPr>
              <w:spacing w:line="460" w:lineRule="exact"/>
              <w:jc w:val="left"/>
              <w:rPr>
                <w:ins w:id="12" w:author="Administrator" w:date="2024-07-03T14:10:00Z"/>
                <w:rFonts w:ascii="宋体" w:hAnsi="宋体" w:cs="宋体"/>
                <w:color w:val="auto"/>
                <w:kern w:val="0"/>
                <w:sz w:val="22"/>
                <w:highlight w:val="none"/>
              </w:rPr>
            </w:pPr>
            <w:r>
              <w:rPr>
                <w:rFonts w:hint="eastAsia" w:ascii="宋体" w:hAnsi="宋体" w:cs="宋体"/>
                <w:color w:val="auto"/>
                <w:kern w:val="0"/>
                <w:sz w:val="22"/>
                <w:highlight w:val="none"/>
              </w:rPr>
              <w:t>采用高温静电喷涂优质高精度冷扎钢而成，牢固耐用，美观大方，表面达到光滑平整，无毛刺。</w:t>
            </w:r>
          </w:p>
          <w:p w14:paraId="0E858701">
            <w:pPr>
              <w:spacing w:line="460" w:lineRule="exact"/>
              <w:jc w:val="left"/>
              <w:rPr>
                <w:ins w:id="13" w:author="Administrator" w:date="2024-07-03T14:10:00Z"/>
                <w:rFonts w:ascii="宋体" w:hAnsi="宋体" w:cs="宋体"/>
                <w:color w:val="auto"/>
                <w:kern w:val="0"/>
                <w:sz w:val="22"/>
                <w:highlight w:val="none"/>
              </w:rPr>
            </w:pPr>
            <w:r>
              <w:rPr>
                <w:rFonts w:hint="eastAsia" w:ascii="宋体" w:hAnsi="宋体" w:cs="宋体"/>
                <w:color w:val="auto"/>
                <w:kern w:val="0"/>
                <w:sz w:val="22"/>
                <w:highlight w:val="none"/>
              </w:rPr>
              <w:t>4、立柱：立柱方管尺寸：630*70*30mm，包含塑胶装饰盖；冷轧钢材质,厚度为1.2±0.1MM，采用高温静电喷涂处理，表面达到光滑平整，无毛刺。</w:t>
            </w:r>
          </w:p>
          <w:p w14:paraId="0AB57AC2">
            <w:pPr>
              <w:spacing w:line="460" w:lineRule="exact"/>
              <w:jc w:val="left"/>
              <w:rPr>
                <w:ins w:id="14" w:author="Administrator" w:date="2024-07-03T14:10:00Z"/>
                <w:rFonts w:ascii="宋体" w:hAnsi="宋体" w:cs="宋体"/>
                <w:color w:val="auto"/>
                <w:kern w:val="0"/>
                <w:sz w:val="22"/>
                <w:highlight w:val="none"/>
              </w:rPr>
            </w:pPr>
            <w:r>
              <w:rPr>
                <w:rFonts w:hint="eastAsia" w:ascii="宋体" w:hAnsi="宋体" w:cs="宋体"/>
                <w:color w:val="auto"/>
                <w:kern w:val="0"/>
                <w:sz w:val="22"/>
                <w:highlight w:val="none"/>
              </w:rPr>
              <w:t>5、横梁：台面方管横梁尺寸：约995</w:t>
            </w:r>
            <w:ins w:id="15" w:author="采购中心" w:date="2024-07-16T10:45:00Z">
              <w:r>
                <w:rPr>
                  <w:rFonts w:hint="eastAsia" w:ascii="宋体" w:hAnsi="宋体" w:cs="宋体"/>
                  <w:color w:val="auto"/>
                  <w:kern w:val="0"/>
                  <w:sz w:val="22"/>
                  <w:highlight w:val="none"/>
                </w:rPr>
                <w:t>±5</w:t>
              </w:r>
            </w:ins>
            <w:r>
              <w:rPr>
                <w:rFonts w:hint="eastAsia" w:ascii="宋体" w:hAnsi="宋体" w:cs="宋体"/>
                <w:color w:val="auto"/>
                <w:kern w:val="0"/>
                <w:sz w:val="22"/>
                <w:highlight w:val="none"/>
              </w:rPr>
              <w:t>*385</w:t>
            </w:r>
            <w:ins w:id="16" w:author="采购中心" w:date="2024-07-16T10:45:00Z">
              <w:r>
                <w:rPr>
                  <w:rFonts w:hint="eastAsia" w:ascii="宋体" w:hAnsi="宋体" w:cs="宋体"/>
                  <w:color w:val="auto"/>
                  <w:kern w:val="0"/>
                  <w:sz w:val="22"/>
                  <w:highlight w:val="none"/>
                </w:rPr>
                <w:t>±</w:t>
              </w:r>
            </w:ins>
            <w:ins w:id="17" w:author="采购中心" w:date="2024-07-16T10:46:00Z">
              <w:r>
                <w:rPr>
                  <w:rFonts w:hint="eastAsia" w:ascii="宋体" w:hAnsi="宋体" w:cs="宋体"/>
                  <w:color w:val="auto"/>
                  <w:kern w:val="0"/>
                  <w:sz w:val="22"/>
                  <w:highlight w:val="none"/>
                </w:rPr>
                <w:t>3</w:t>
              </w:r>
            </w:ins>
            <w:r>
              <w:rPr>
                <w:rFonts w:hint="eastAsia" w:ascii="宋体" w:hAnsi="宋体" w:cs="宋体"/>
                <w:color w:val="auto"/>
                <w:kern w:val="0"/>
                <w:sz w:val="22"/>
                <w:highlight w:val="none"/>
              </w:rPr>
              <w:t>mm冷轧钢材质,厚度为1.5±0.1MM，</w:t>
            </w:r>
            <w:r>
              <w:rPr>
                <w:rFonts w:hint="eastAsia" w:ascii="宋体" w:hAnsi="宋体" w:cs="宋体"/>
                <w:color w:val="auto"/>
                <w:kern w:val="0"/>
                <w:sz w:val="24"/>
                <w:highlight w:val="none"/>
              </w:rPr>
              <w:drawing>
                <wp:anchor distT="0" distB="0" distL="114300" distR="114300" simplePos="0" relativeHeight="251666432" behindDoc="0" locked="0" layoutInCell="1" allowOverlap="1">
                  <wp:simplePos x="0" y="0"/>
                  <wp:positionH relativeFrom="column">
                    <wp:posOffset>4999990</wp:posOffset>
                  </wp:positionH>
                  <wp:positionV relativeFrom="paragraph">
                    <wp:posOffset>1630045</wp:posOffset>
                  </wp:positionV>
                  <wp:extent cx="1304925" cy="2828925"/>
                  <wp:effectExtent l="0" t="0" r="9525" b="952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1304925" cy="2828925"/>
                          </a:xfrm>
                          <a:prstGeom prst="rect">
                            <a:avLst/>
                          </a:prstGeom>
                          <a:noFill/>
                          <a:ln>
                            <a:noFill/>
                          </a:ln>
                        </pic:spPr>
                      </pic:pic>
                    </a:graphicData>
                  </a:graphic>
                </wp:anchor>
              </w:drawing>
            </w:r>
            <w:r>
              <w:rPr>
                <w:rFonts w:hint="eastAsia" w:ascii="宋体" w:hAnsi="宋体" w:cs="宋体"/>
                <w:color w:val="auto"/>
                <w:kern w:val="0"/>
                <w:sz w:val="24"/>
                <w:highlight w:val="none"/>
              </w:rPr>
              <w:drawing>
                <wp:anchor distT="0" distB="0" distL="114300" distR="114300" simplePos="0" relativeHeight="251665408" behindDoc="0" locked="0" layoutInCell="1" allowOverlap="1">
                  <wp:simplePos x="0" y="0"/>
                  <wp:positionH relativeFrom="column">
                    <wp:posOffset>4850765</wp:posOffset>
                  </wp:positionH>
                  <wp:positionV relativeFrom="paragraph">
                    <wp:posOffset>15875</wp:posOffset>
                  </wp:positionV>
                  <wp:extent cx="1743075" cy="1314450"/>
                  <wp:effectExtent l="0" t="0" r="9525" b="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1743075" cy="1314450"/>
                          </a:xfrm>
                          <a:prstGeom prst="rect">
                            <a:avLst/>
                          </a:prstGeom>
                          <a:noFill/>
                          <a:ln>
                            <a:noFill/>
                          </a:ln>
                        </pic:spPr>
                      </pic:pic>
                    </a:graphicData>
                  </a:graphic>
                </wp:anchor>
              </w:drawing>
            </w:r>
            <w:r>
              <w:rPr>
                <w:rFonts w:hint="eastAsia" w:ascii="宋体" w:hAnsi="宋体" w:cs="宋体"/>
                <w:color w:val="auto"/>
                <w:kern w:val="0"/>
                <w:sz w:val="22"/>
                <w:highlight w:val="none"/>
              </w:rPr>
              <w:t>高温静电喷，表面达到光滑平整，无毛刺。</w:t>
            </w:r>
            <w:r>
              <w:rPr>
                <w:rFonts w:hint="eastAsia" w:ascii="宋体" w:hAnsi="宋体" w:cs="宋体"/>
                <w:color w:val="auto"/>
                <w:kern w:val="0"/>
                <w:sz w:val="22"/>
                <w:highlight w:val="none"/>
              </w:rPr>
              <w:br w:type="textWrapping"/>
            </w:r>
          </w:p>
          <w:p w14:paraId="3E191241">
            <w:pPr>
              <w:spacing w:line="460" w:lineRule="exact"/>
              <w:jc w:val="left"/>
              <w:rPr>
                <w:ins w:id="18" w:author="Administrator" w:date="2024-07-03T14:10:00Z"/>
                <w:rFonts w:ascii="宋体" w:hAnsi="宋体" w:cs="宋体"/>
                <w:color w:val="auto"/>
                <w:kern w:val="0"/>
                <w:sz w:val="22"/>
                <w:highlight w:val="none"/>
              </w:rPr>
            </w:pPr>
            <w:r>
              <w:rPr>
                <w:rFonts w:hint="eastAsia" w:ascii="宋体" w:hAnsi="宋体" w:cs="宋体"/>
                <w:color w:val="auto"/>
                <w:kern w:val="0"/>
                <w:sz w:val="22"/>
                <w:highlight w:val="none"/>
              </w:rPr>
              <w:t>6、书网：书网层尺寸：</w:t>
            </w:r>
            <w:ins w:id="19" w:author="采购中心" w:date="2024-07-16T10:48:00Z">
              <w:r>
                <w:rPr>
                  <w:rFonts w:hint="eastAsia" w:ascii="宋体" w:hAnsi="宋体" w:cs="宋体"/>
                  <w:color w:val="auto"/>
                  <w:kern w:val="0"/>
                  <w:sz w:val="22"/>
                  <w:highlight w:val="none"/>
                </w:rPr>
                <w:t xml:space="preserve"> </w:t>
              </w:r>
            </w:ins>
            <w:r>
              <w:rPr>
                <w:rFonts w:hint="eastAsia" w:ascii="宋体" w:hAnsi="宋体" w:cs="宋体"/>
                <w:color w:val="auto"/>
                <w:kern w:val="0"/>
                <w:sz w:val="22"/>
                <w:highlight w:val="none"/>
              </w:rPr>
              <w:t>862</w:t>
            </w:r>
            <w:ins w:id="20" w:author="采购中心" w:date="2024-07-16T10:46:00Z">
              <w:r>
                <w:rPr>
                  <w:rFonts w:hint="eastAsia" w:ascii="宋体" w:hAnsi="宋体" w:cs="宋体"/>
                  <w:color w:val="auto"/>
                  <w:kern w:val="0"/>
                  <w:sz w:val="22"/>
                  <w:highlight w:val="none"/>
                </w:rPr>
                <w:t>±5</w:t>
              </w:r>
            </w:ins>
            <w:r>
              <w:rPr>
                <w:rFonts w:hint="eastAsia" w:ascii="宋体" w:hAnsi="宋体" w:cs="宋体"/>
                <w:color w:val="auto"/>
                <w:kern w:val="0"/>
                <w:sz w:val="22"/>
                <w:highlight w:val="none"/>
              </w:rPr>
              <w:t>*208</w:t>
            </w:r>
            <w:ins w:id="21" w:author="采购中心" w:date="2024-07-16T10:47:00Z">
              <w:r>
                <w:rPr>
                  <w:rFonts w:hint="eastAsia" w:ascii="宋体" w:hAnsi="宋体" w:cs="宋体"/>
                  <w:color w:val="auto"/>
                  <w:kern w:val="0"/>
                  <w:sz w:val="22"/>
                  <w:highlight w:val="none"/>
                </w:rPr>
                <w:t>±3</w:t>
              </w:r>
            </w:ins>
            <w:r>
              <w:rPr>
                <w:rFonts w:hint="eastAsia" w:ascii="宋体" w:hAnsi="宋体" w:cs="宋体"/>
                <w:color w:val="auto"/>
                <w:kern w:val="0"/>
                <w:sz w:val="22"/>
                <w:highlight w:val="none"/>
              </w:rPr>
              <w:t>mm，采用优质钢板，厚度为1.2±0.1mm，经夹具焊接成型与片钢组成表面采用防锈静电喷涂处理，表面达到光滑平整，无毛刺。</w:t>
            </w:r>
          </w:p>
          <w:p w14:paraId="6EEA3963">
            <w:pPr>
              <w:spacing w:line="460" w:lineRule="exact"/>
              <w:jc w:val="left"/>
              <w:rPr>
                <w:ins w:id="22" w:author="Administrator" w:date="2024-07-03T14:10:00Z"/>
                <w:rFonts w:ascii="宋体" w:hAnsi="宋体" w:cs="宋体"/>
                <w:color w:val="auto"/>
                <w:kern w:val="0"/>
                <w:sz w:val="22"/>
                <w:highlight w:val="none"/>
              </w:rPr>
            </w:pPr>
            <w:r>
              <w:rPr>
                <w:rFonts w:hint="eastAsia" w:ascii="宋体" w:hAnsi="宋体" w:cs="宋体"/>
                <w:color w:val="auto"/>
                <w:kern w:val="0"/>
                <w:sz w:val="22"/>
                <w:highlight w:val="none"/>
              </w:rPr>
              <w:t>7、脚轮：采用优质2.0英寸尼龙静音脚轮。</w:t>
            </w:r>
          </w:p>
          <w:p w14:paraId="6A2A52B0">
            <w:pPr>
              <w:spacing w:line="460" w:lineRule="exact"/>
              <w:jc w:val="left"/>
              <w:rPr>
                <w:ins w:id="23" w:author="Administrator" w:date="2024-07-03T14:10:00Z"/>
                <w:rFonts w:ascii="宋体" w:hAnsi="宋体" w:cs="宋体"/>
                <w:color w:val="auto"/>
                <w:kern w:val="0"/>
                <w:sz w:val="22"/>
                <w:highlight w:val="none"/>
              </w:rPr>
            </w:pPr>
            <w:r>
              <w:rPr>
                <w:rFonts w:hint="eastAsia" w:ascii="宋体" w:hAnsi="宋体" w:cs="宋体"/>
                <w:color w:val="auto"/>
                <w:kern w:val="0"/>
                <w:sz w:val="22"/>
                <w:highlight w:val="none"/>
              </w:rPr>
              <w:t>8、外观设计：采用人体工程理念及个性化需求，整件产品拼接好，接缝齐整，整体颜色基本相符，过渡自然;台架有拉杆拆叠装置，脚轮采用的PU万向脚轮带刹车，造型美观大方，有现代特色，桌面圆角设计，圆润、饱满不划手；钢管的焊接采用二氧化碳保护焊新工艺,焊接表面波纹均匀,焊接处无夹渣、气孔焊瘤焊丝咬边和飞溅,并保证无脱焊、虚焊、焊穿等现象，产品强度好，造型美观。</w:t>
            </w:r>
          </w:p>
          <w:p w14:paraId="3024201C">
            <w:pPr>
              <w:spacing w:line="460" w:lineRule="exact"/>
              <w:jc w:val="left"/>
              <w:rPr>
                <w:ins w:id="24" w:author="Administrator" w:date="2024-07-03T14:10:00Z"/>
                <w:rFonts w:ascii="宋体" w:hAnsi="宋体" w:cs="宋体"/>
                <w:color w:val="auto"/>
                <w:kern w:val="0"/>
                <w:sz w:val="22"/>
                <w:highlight w:val="none"/>
              </w:rPr>
            </w:pPr>
            <w:r>
              <w:rPr>
                <w:rFonts w:hint="eastAsia" w:ascii="宋体" w:hAnsi="宋体" w:cs="宋体"/>
                <w:color w:val="auto"/>
                <w:kern w:val="0"/>
                <w:sz w:val="22"/>
                <w:highlight w:val="none"/>
              </w:rPr>
              <w:t>9、台面打开尺寸：总长为1200mm;宽为450mm;高度为750mm。</w:t>
            </w:r>
          </w:p>
          <w:p w14:paraId="2D3C9458">
            <w:pPr>
              <w:spacing w:line="460" w:lineRule="exact"/>
              <w:jc w:val="left"/>
              <w:rPr>
                <w:ins w:id="25" w:author="Administrator" w:date="2024-07-03T14:10:00Z"/>
                <w:rFonts w:ascii="宋体" w:hAnsi="宋体" w:cs="宋体"/>
                <w:color w:val="auto"/>
                <w:kern w:val="0"/>
                <w:sz w:val="22"/>
                <w:highlight w:val="none"/>
              </w:rPr>
            </w:pPr>
            <w:r>
              <w:rPr>
                <w:rFonts w:hint="eastAsia" w:ascii="宋体" w:hAnsi="宋体" w:cs="宋体"/>
                <w:color w:val="auto"/>
                <w:kern w:val="0"/>
                <w:sz w:val="22"/>
                <w:highlight w:val="none"/>
              </w:rPr>
              <w:t>10、颜色：桌架为灰色，挡板为高级灰，桌面为亚光白。</w:t>
            </w:r>
          </w:p>
          <w:p w14:paraId="3B094D32">
            <w:pPr>
              <w:spacing w:line="460" w:lineRule="exact"/>
              <w:jc w:val="left"/>
              <w:rPr>
                <w:rFonts w:ascii="新宋体" w:hAnsi="新宋体" w:eastAsia="新宋体" w:cs="新宋体"/>
                <w:color w:val="auto"/>
                <w:kern w:val="0"/>
                <w:sz w:val="22"/>
                <w:szCs w:val="22"/>
                <w:highlight w:val="none"/>
              </w:rPr>
            </w:pPr>
            <w:r>
              <w:rPr>
                <w:rFonts w:hint="eastAsia" w:ascii="宋体" w:hAnsi="宋体" w:cs="宋体"/>
                <w:color w:val="auto"/>
                <w:kern w:val="0"/>
                <w:sz w:val="22"/>
                <w:highlight w:val="none"/>
              </w:rPr>
              <w:t>11、钢材要求：提供近一年内CMA认证检验机构出具的钢管抽样检验报告，检验依据QB/T3827-1999标准，乙酸盐雾连续喷雾1000h达到10级，耐腐蚀项目符合GB/T3325-2017标准要求。</w:t>
            </w:r>
          </w:p>
        </w:tc>
        <w:tc>
          <w:tcPr>
            <w:tcW w:w="958" w:type="dxa"/>
            <w:tcBorders>
              <w:top w:val="single" w:color="auto" w:sz="4" w:space="0"/>
              <w:left w:val="single" w:color="auto" w:sz="4" w:space="0"/>
              <w:bottom w:val="single" w:color="auto" w:sz="4" w:space="0"/>
              <w:right w:val="single" w:color="auto" w:sz="4" w:space="0"/>
            </w:tcBorders>
            <w:vAlign w:val="center"/>
          </w:tcPr>
          <w:p w14:paraId="5339FE8F">
            <w:pPr>
              <w:spacing w:line="460" w:lineRule="exact"/>
              <w:jc w:val="center"/>
              <w:rPr>
                <w:rFonts w:ascii="新宋体" w:hAnsi="新宋体" w:cs="新宋体"/>
                <w:color w:val="auto"/>
                <w:kern w:val="0"/>
                <w:sz w:val="22"/>
                <w:szCs w:val="22"/>
                <w:highlight w:val="none"/>
              </w:rPr>
            </w:pPr>
            <w:r>
              <w:rPr>
                <w:rFonts w:hint="eastAsia" w:ascii="宋体" w:hAnsi="宋体" w:cs="宋体"/>
                <w:color w:val="auto"/>
                <w:kern w:val="0"/>
                <w:sz w:val="22"/>
                <w:highlight w:val="none"/>
              </w:rPr>
              <w:t>340</w:t>
            </w:r>
            <w:r>
              <w:rPr>
                <w:rFonts w:hint="eastAsia" w:ascii="新宋体" w:hAnsi="新宋体" w:eastAsia="新宋体" w:cs="新宋体"/>
                <w:color w:val="auto"/>
                <w:kern w:val="0"/>
                <w:sz w:val="22"/>
                <w:szCs w:val="22"/>
                <w:highlight w:val="none"/>
              </w:rPr>
              <w:t>张</w:t>
            </w:r>
          </w:p>
        </w:tc>
        <w:tc>
          <w:tcPr>
            <w:tcW w:w="2726" w:type="dxa"/>
            <w:tcBorders>
              <w:top w:val="single" w:color="auto" w:sz="4" w:space="0"/>
              <w:left w:val="single" w:color="auto" w:sz="4" w:space="0"/>
              <w:bottom w:val="single" w:color="auto" w:sz="4" w:space="0"/>
              <w:right w:val="single" w:color="auto" w:sz="4" w:space="0"/>
            </w:tcBorders>
            <w:vAlign w:val="center"/>
          </w:tcPr>
          <w:p w14:paraId="43AB4457">
            <w:pPr>
              <w:jc w:val="center"/>
              <w:rPr>
                <w:rFonts w:ascii="新宋体" w:hAnsi="新宋体" w:eastAsia="新宋体" w:cs="新宋体"/>
                <w:color w:val="auto"/>
                <w:kern w:val="0"/>
                <w:sz w:val="22"/>
                <w:szCs w:val="22"/>
                <w:highlight w:val="none"/>
              </w:rPr>
            </w:pPr>
            <w:r>
              <w:rPr>
                <w:rFonts w:hint="eastAsia" w:ascii="宋体" w:hAnsi="宋体" w:cs="宋体"/>
                <w:color w:val="auto"/>
                <w:kern w:val="0"/>
                <w:sz w:val="24"/>
                <w:highlight w:val="none"/>
              </w:rPr>
              <w:drawing>
                <wp:anchor distT="0" distB="0" distL="114300" distR="114300" simplePos="0" relativeHeight="251664384" behindDoc="0" locked="0" layoutInCell="1" allowOverlap="1">
                  <wp:simplePos x="0" y="0"/>
                  <wp:positionH relativeFrom="column">
                    <wp:posOffset>-38735</wp:posOffset>
                  </wp:positionH>
                  <wp:positionV relativeFrom="paragraph">
                    <wp:posOffset>3183890</wp:posOffset>
                  </wp:positionV>
                  <wp:extent cx="1762125" cy="1323975"/>
                  <wp:effectExtent l="0" t="0" r="9525" b="9525"/>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tretch>
                            <a:fillRect/>
                          </a:stretch>
                        </pic:blipFill>
                        <pic:spPr>
                          <a:xfrm>
                            <a:off x="0" y="0"/>
                            <a:ext cx="1762125" cy="1323975"/>
                          </a:xfrm>
                          <a:prstGeom prst="rect">
                            <a:avLst/>
                          </a:prstGeom>
                          <a:noFill/>
                          <a:ln>
                            <a:noFill/>
                          </a:ln>
                        </pic:spPr>
                      </pic:pic>
                    </a:graphicData>
                  </a:graphic>
                </wp:anchor>
              </w:drawing>
            </w:r>
            <w:r>
              <w:rPr>
                <w:rFonts w:hint="eastAsia" w:ascii="宋体" w:hAnsi="宋体" w:cs="宋体"/>
                <w:color w:val="auto"/>
                <w:kern w:val="0"/>
                <w:sz w:val="24"/>
                <w:highlight w:val="none"/>
              </w:rPr>
              <w:drawing>
                <wp:anchor distT="0" distB="0" distL="114300" distR="114300" simplePos="0" relativeHeight="251663360" behindDoc="0" locked="0" layoutInCell="1" allowOverlap="1">
                  <wp:simplePos x="0" y="0"/>
                  <wp:positionH relativeFrom="column">
                    <wp:posOffset>-24130</wp:posOffset>
                  </wp:positionH>
                  <wp:positionV relativeFrom="paragraph">
                    <wp:posOffset>1815465</wp:posOffset>
                  </wp:positionV>
                  <wp:extent cx="1771650" cy="1190625"/>
                  <wp:effectExtent l="0" t="0" r="0" b="9525"/>
                  <wp:wrapNone/>
                  <wp:docPr id="5" name="图片 48751" descr="微信图片_2022060815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8751" descr="微信图片_20220608154323"/>
                          <pic:cNvPicPr>
                            <a:picLocks noChangeAspect="1"/>
                          </pic:cNvPicPr>
                        </pic:nvPicPr>
                        <pic:blipFill>
                          <a:blip r:embed="rId12"/>
                          <a:stretch>
                            <a:fillRect/>
                          </a:stretch>
                        </pic:blipFill>
                        <pic:spPr>
                          <a:xfrm>
                            <a:off x="0" y="0"/>
                            <a:ext cx="1771650" cy="1190625"/>
                          </a:xfrm>
                          <a:prstGeom prst="rect">
                            <a:avLst/>
                          </a:prstGeom>
                          <a:noFill/>
                          <a:ln>
                            <a:noFill/>
                          </a:ln>
                        </pic:spPr>
                      </pic:pic>
                    </a:graphicData>
                  </a:graphic>
                </wp:anchor>
              </w:drawing>
            </w:r>
            <w:r>
              <w:rPr>
                <w:rFonts w:hint="eastAsia" w:ascii="宋体" w:hAnsi="宋体" w:cs="宋体"/>
                <w:color w:val="auto"/>
                <w:kern w:val="0"/>
                <w:sz w:val="24"/>
                <w:highlight w:val="none"/>
              </w:rPr>
              <w:drawing>
                <wp:anchor distT="0" distB="0" distL="114300" distR="114300" simplePos="0" relativeHeight="251662336" behindDoc="0" locked="0" layoutInCell="1" allowOverlap="1">
                  <wp:simplePos x="0" y="0"/>
                  <wp:positionH relativeFrom="column">
                    <wp:posOffset>-59055</wp:posOffset>
                  </wp:positionH>
                  <wp:positionV relativeFrom="paragraph">
                    <wp:posOffset>428625</wp:posOffset>
                  </wp:positionV>
                  <wp:extent cx="1800225" cy="1219200"/>
                  <wp:effectExtent l="0" t="0" r="9525" b="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1800225" cy="1219200"/>
                          </a:xfrm>
                          <a:prstGeom prst="rect">
                            <a:avLst/>
                          </a:prstGeom>
                          <a:noFill/>
                          <a:ln>
                            <a:noFill/>
                          </a:ln>
                        </pic:spPr>
                      </pic:pic>
                    </a:graphicData>
                  </a:graphic>
                </wp:anchor>
              </w:drawing>
            </w:r>
          </w:p>
        </w:tc>
      </w:tr>
      <w:tr w14:paraId="2F88C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Borders>
              <w:top w:val="single" w:color="auto" w:sz="4" w:space="0"/>
              <w:left w:val="single" w:color="auto" w:sz="4" w:space="0"/>
              <w:bottom w:val="single" w:color="auto" w:sz="4" w:space="0"/>
              <w:right w:val="single" w:color="auto" w:sz="4" w:space="0"/>
            </w:tcBorders>
            <w:vAlign w:val="center"/>
          </w:tcPr>
          <w:p w14:paraId="433F049C">
            <w:pPr>
              <w:spacing w:line="46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2</w:t>
            </w:r>
          </w:p>
        </w:tc>
        <w:tc>
          <w:tcPr>
            <w:tcW w:w="1567" w:type="dxa"/>
            <w:tcBorders>
              <w:top w:val="single" w:color="auto" w:sz="4" w:space="0"/>
              <w:left w:val="single" w:color="auto" w:sz="4" w:space="0"/>
              <w:bottom w:val="single" w:color="auto" w:sz="4" w:space="0"/>
              <w:right w:val="single" w:color="auto" w:sz="4" w:space="0"/>
            </w:tcBorders>
            <w:vAlign w:val="center"/>
          </w:tcPr>
          <w:p w14:paraId="3594E167">
            <w:pPr>
              <w:spacing w:line="460" w:lineRule="exact"/>
              <w:jc w:val="center"/>
              <w:rPr>
                <w:rFonts w:ascii="宋体" w:hAnsi="宋体" w:cs="宋体"/>
                <w:color w:val="auto"/>
                <w:kern w:val="0"/>
                <w:sz w:val="22"/>
                <w:highlight w:val="none"/>
              </w:rPr>
            </w:pPr>
            <w:r>
              <w:rPr>
                <w:rFonts w:hint="eastAsia" w:ascii="宋体" w:hAnsi="宋体" w:cs="宋体"/>
                <w:color w:val="auto"/>
                <w:kern w:val="0"/>
                <w:sz w:val="22"/>
                <w:highlight w:val="none"/>
              </w:rPr>
              <w:t>椅子</w:t>
            </w:r>
          </w:p>
        </w:tc>
        <w:tc>
          <w:tcPr>
            <w:tcW w:w="1693" w:type="dxa"/>
            <w:tcBorders>
              <w:top w:val="single" w:color="auto" w:sz="4" w:space="0"/>
              <w:left w:val="single" w:color="auto" w:sz="4" w:space="0"/>
              <w:bottom w:val="single" w:color="auto" w:sz="4" w:space="0"/>
              <w:right w:val="single" w:color="auto" w:sz="4" w:space="0"/>
            </w:tcBorders>
            <w:vAlign w:val="center"/>
          </w:tcPr>
          <w:p w14:paraId="28B349E7">
            <w:pPr>
              <w:spacing w:line="460" w:lineRule="exact"/>
              <w:jc w:val="left"/>
              <w:rPr>
                <w:rFonts w:ascii="宋体" w:hAnsi="宋体" w:cs="宋体"/>
                <w:color w:val="auto"/>
                <w:kern w:val="0"/>
                <w:sz w:val="22"/>
                <w:highlight w:val="none"/>
              </w:rPr>
            </w:pPr>
            <w:r>
              <w:rPr>
                <w:rFonts w:hint="eastAsia" w:ascii="宋体" w:hAnsi="宋体" w:cs="宋体"/>
                <w:color w:val="auto"/>
                <w:kern w:val="0"/>
                <w:sz w:val="22"/>
                <w:highlight w:val="none"/>
              </w:rPr>
              <w:t>常规</w:t>
            </w:r>
          </w:p>
        </w:tc>
        <w:tc>
          <w:tcPr>
            <w:tcW w:w="6807" w:type="dxa"/>
            <w:tcBorders>
              <w:top w:val="single" w:color="auto" w:sz="4" w:space="0"/>
              <w:left w:val="single" w:color="auto" w:sz="4" w:space="0"/>
              <w:bottom w:val="single" w:color="auto" w:sz="4" w:space="0"/>
              <w:right w:val="single" w:color="auto" w:sz="4" w:space="0"/>
            </w:tcBorders>
            <w:vAlign w:val="center"/>
          </w:tcPr>
          <w:p w14:paraId="576105C6">
            <w:pPr>
              <w:spacing w:line="460" w:lineRule="exact"/>
              <w:jc w:val="left"/>
              <w:rPr>
                <w:ins w:id="26" w:author="Administrator" w:date="2024-07-03T14:10:00Z"/>
                <w:rFonts w:ascii="宋体" w:hAnsi="宋体" w:cs="宋体"/>
                <w:color w:val="auto"/>
                <w:kern w:val="0"/>
                <w:sz w:val="22"/>
                <w:highlight w:val="none"/>
              </w:rPr>
            </w:pPr>
            <w:r>
              <w:rPr>
                <w:rFonts w:hint="eastAsia" w:ascii="宋体" w:hAnsi="宋体" w:cs="宋体"/>
                <w:color w:val="auto"/>
                <w:kern w:val="0"/>
                <w:sz w:val="22"/>
                <w:highlight w:val="none"/>
              </w:rPr>
              <w:t>1、椅架:本产品椅架采用直径12±1mm实心钢筋管电镀架，可承重至少200公斤，电镀工艺处理，有效防止生锈或者色泽暗淡，底部交叉受力，结构更加稳固，承重力更强。</w:t>
            </w:r>
          </w:p>
          <w:p w14:paraId="3AD8B8AB">
            <w:pPr>
              <w:spacing w:line="460" w:lineRule="exact"/>
              <w:jc w:val="left"/>
              <w:rPr>
                <w:ins w:id="27" w:author="Administrator" w:date="2024-07-03T14:10:00Z"/>
                <w:rFonts w:ascii="宋体" w:hAnsi="宋体" w:cs="宋体"/>
                <w:color w:val="auto"/>
                <w:kern w:val="0"/>
                <w:sz w:val="22"/>
                <w:highlight w:val="none"/>
              </w:rPr>
            </w:pPr>
            <w:r>
              <w:rPr>
                <w:rFonts w:hint="eastAsia" w:ascii="宋体" w:hAnsi="宋体" w:cs="宋体"/>
                <w:color w:val="auto"/>
                <w:kern w:val="0"/>
                <w:sz w:val="22"/>
                <w:highlight w:val="none"/>
              </w:rPr>
              <w:t>2、涂装：经抛丸除油、除锈、精细打磨、酸洗磷化、静电喷塑粉工</w:t>
            </w:r>
            <w:r>
              <w:rPr>
                <w:rFonts w:hint="eastAsia" w:ascii="宋体" w:hAnsi="宋体" w:cs="宋体"/>
                <w:color w:val="auto"/>
                <w:kern w:val="0"/>
                <w:sz w:val="22"/>
                <w:highlight w:val="none"/>
              </w:rPr>
              <w:drawing>
                <wp:anchor distT="0" distB="0" distL="114300" distR="114300" simplePos="0" relativeHeight="251667456" behindDoc="0" locked="0" layoutInCell="1" allowOverlap="1">
                  <wp:simplePos x="0" y="0"/>
                  <wp:positionH relativeFrom="column">
                    <wp:posOffset>5141595</wp:posOffset>
                  </wp:positionH>
                  <wp:positionV relativeFrom="paragraph">
                    <wp:posOffset>216535</wp:posOffset>
                  </wp:positionV>
                  <wp:extent cx="1228725" cy="1314450"/>
                  <wp:effectExtent l="0" t="0" r="9525" b="0"/>
                  <wp:wrapNone/>
                  <wp:docPr id="9" name="图片 48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8747"/>
                          <pic:cNvPicPr>
                            <a:picLocks noChangeAspect="1"/>
                          </pic:cNvPicPr>
                        </pic:nvPicPr>
                        <pic:blipFill>
                          <a:blip r:embed="rId14"/>
                          <a:stretch>
                            <a:fillRect/>
                          </a:stretch>
                        </pic:blipFill>
                        <pic:spPr>
                          <a:xfrm>
                            <a:off x="0" y="0"/>
                            <a:ext cx="1228725" cy="1314450"/>
                          </a:xfrm>
                          <a:prstGeom prst="rect">
                            <a:avLst/>
                          </a:prstGeom>
                          <a:noFill/>
                          <a:ln w="1">
                            <a:noFill/>
                          </a:ln>
                        </pic:spPr>
                      </pic:pic>
                    </a:graphicData>
                  </a:graphic>
                </wp:anchor>
              </w:drawing>
            </w:r>
            <w:r>
              <w:rPr>
                <w:rFonts w:hint="eastAsia" w:ascii="宋体" w:hAnsi="宋体" w:cs="宋体"/>
                <w:color w:val="auto"/>
                <w:kern w:val="0"/>
                <w:sz w:val="22"/>
                <w:highlight w:val="none"/>
              </w:rPr>
              <w:t>艺。</w:t>
            </w:r>
          </w:p>
          <w:p w14:paraId="286FE96B">
            <w:pPr>
              <w:spacing w:line="460" w:lineRule="exact"/>
              <w:jc w:val="left"/>
              <w:rPr>
                <w:ins w:id="28" w:author="Administrator" w:date="2024-07-03T14:10:00Z"/>
                <w:rFonts w:ascii="宋体" w:hAnsi="宋体" w:cs="宋体"/>
                <w:color w:val="auto"/>
                <w:kern w:val="0"/>
                <w:sz w:val="22"/>
                <w:highlight w:val="none"/>
              </w:rPr>
            </w:pPr>
            <w:r>
              <w:rPr>
                <w:rFonts w:hint="eastAsia" w:ascii="宋体" w:hAnsi="宋体" w:cs="宋体"/>
                <w:color w:val="auto"/>
                <w:kern w:val="0"/>
                <w:sz w:val="22"/>
                <w:highlight w:val="none"/>
              </w:rPr>
              <w:t>3、椅身:背板采用PP原料，曲线设计，贴合腰部，与及冷轧钢技术生成。</w:t>
            </w:r>
          </w:p>
          <w:p w14:paraId="0F097610">
            <w:pPr>
              <w:spacing w:line="460" w:lineRule="exact"/>
              <w:jc w:val="left"/>
              <w:rPr>
                <w:ins w:id="29" w:author="Administrator" w:date="2024-07-03T14:10:00Z"/>
                <w:rFonts w:ascii="宋体" w:hAnsi="宋体" w:cs="宋体"/>
                <w:color w:val="auto"/>
                <w:kern w:val="0"/>
                <w:sz w:val="22"/>
                <w:highlight w:val="none"/>
              </w:rPr>
            </w:pPr>
            <w:r>
              <w:rPr>
                <w:rFonts w:hint="eastAsia" w:ascii="宋体" w:hAnsi="宋体" w:cs="宋体"/>
                <w:color w:val="auto"/>
                <w:kern w:val="0"/>
                <w:sz w:val="22"/>
                <w:highlight w:val="none"/>
              </w:rPr>
              <w:t>4、坐垫:材料采用改性聚丙烯一次注塑成型，前沿向下的弧度设计，符合人体工程学原理。适用范围广:课室、会议室、办公室、演讲室等、均可使用。</w:t>
            </w:r>
          </w:p>
          <w:p w14:paraId="30725140">
            <w:pPr>
              <w:spacing w:line="460" w:lineRule="exact"/>
              <w:jc w:val="left"/>
              <w:rPr>
                <w:ins w:id="30" w:author="Administrator" w:date="2024-07-03T14:10:00Z"/>
                <w:rFonts w:ascii="宋体" w:hAnsi="宋体" w:cs="宋体"/>
                <w:color w:val="auto"/>
                <w:kern w:val="0"/>
                <w:sz w:val="22"/>
                <w:highlight w:val="none"/>
              </w:rPr>
            </w:pPr>
            <w:r>
              <w:rPr>
                <w:rFonts w:hint="eastAsia" w:ascii="宋体" w:hAnsi="宋体" w:cs="宋体"/>
                <w:color w:val="auto"/>
                <w:kern w:val="0"/>
                <w:sz w:val="22"/>
                <w:highlight w:val="none"/>
              </w:rPr>
              <w:t>5、规格：480±5mm*470±5mm*790±5mm（L、W、H）</w:t>
            </w:r>
          </w:p>
          <w:p w14:paraId="00A71A04">
            <w:pPr>
              <w:spacing w:line="460" w:lineRule="exact"/>
              <w:jc w:val="left"/>
              <w:rPr>
                <w:rFonts w:ascii="宋体" w:hAnsi="宋体" w:cs="宋体"/>
                <w:color w:val="auto"/>
                <w:kern w:val="0"/>
                <w:sz w:val="22"/>
                <w:highlight w:val="none"/>
              </w:rPr>
            </w:pPr>
            <w:r>
              <w:rPr>
                <w:rFonts w:hint="eastAsia" w:ascii="宋体" w:hAnsi="宋体" w:cs="宋体"/>
                <w:color w:val="auto"/>
                <w:kern w:val="0"/>
                <w:sz w:val="22"/>
                <w:highlight w:val="none"/>
              </w:rPr>
              <w:t>6、塑料件要求：提供近一年内CMA认证检验机构出具的塑料件抽烟检验报告，检测依据GB/T 32487-2016《塑料家具通用技术条件》标准，塑料材料理化性能冲击强度达到6000J/㎡，符合检测要求</w:t>
            </w:r>
          </w:p>
        </w:tc>
        <w:tc>
          <w:tcPr>
            <w:tcW w:w="958" w:type="dxa"/>
            <w:tcBorders>
              <w:top w:val="single" w:color="auto" w:sz="4" w:space="0"/>
              <w:left w:val="single" w:color="auto" w:sz="4" w:space="0"/>
              <w:bottom w:val="single" w:color="auto" w:sz="4" w:space="0"/>
              <w:right w:val="single" w:color="auto" w:sz="4" w:space="0"/>
            </w:tcBorders>
            <w:vAlign w:val="center"/>
          </w:tcPr>
          <w:p w14:paraId="28B14519">
            <w:pPr>
              <w:spacing w:line="460" w:lineRule="exact"/>
              <w:jc w:val="center"/>
              <w:rPr>
                <w:rFonts w:ascii="宋体" w:hAnsi="宋体" w:cs="宋体"/>
                <w:color w:val="auto"/>
                <w:kern w:val="0"/>
                <w:sz w:val="22"/>
                <w:highlight w:val="none"/>
              </w:rPr>
            </w:pPr>
            <w:r>
              <w:rPr>
                <w:rFonts w:hint="eastAsia" w:ascii="宋体" w:hAnsi="宋体" w:cs="宋体"/>
                <w:color w:val="auto"/>
                <w:kern w:val="0"/>
                <w:sz w:val="22"/>
                <w:highlight w:val="none"/>
              </w:rPr>
              <w:t>680张</w:t>
            </w:r>
          </w:p>
        </w:tc>
        <w:tc>
          <w:tcPr>
            <w:tcW w:w="2726" w:type="dxa"/>
            <w:tcBorders>
              <w:top w:val="single" w:color="auto" w:sz="4" w:space="0"/>
              <w:left w:val="single" w:color="auto" w:sz="4" w:space="0"/>
              <w:bottom w:val="single" w:color="auto" w:sz="4" w:space="0"/>
              <w:right w:val="single" w:color="auto" w:sz="4" w:space="0"/>
            </w:tcBorders>
            <w:vAlign w:val="center"/>
          </w:tcPr>
          <w:p w14:paraId="778F0DC0">
            <w:pPr>
              <w:jc w:val="center"/>
              <w:rPr>
                <w:rFonts w:ascii="宋体" w:hAnsi="宋体" w:cs="宋体"/>
                <w:color w:val="auto"/>
                <w:kern w:val="0"/>
                <w:sz w:val="24"/>
                <w:highlight w:val="none"/>
              </w:rPr>
            </w:pPr>
          </w:p>
        </w:tc>
      </w:tr>
    </w:tbl>
    <w:p w14:paraId="63BF8894">
      <w:pPr>
        <w:spacing w:line="460" w:lineRule="exact"/>
        <w:ind w:firstLine="442" w:firstLineChars="200"/>
        <w:rPr>
          <w:rFonts w:ascii="新宋体" w:hAnsi="新宋体" w:eastAsia="新宋体" w:cs="新宋体"/>
          <w:b/>
          <w:color w:val="auto"/>
          <w:sz w:val="22"/>
          <w:szCs w:val="22"/>
          <w:highlight w:val="none"/>
          <w:lang w:val="zh-CN"/>
        </w:rPr>
      </w:pPr>
      <w:r>
        <w:rPr>
          <w:rFonts w:hint="eastAsia" w:ascii="新宋体" w:hAnsi="新宋体" w:eastAsia="新宋体" w:cs="新宋体"/>
          <w:b/>
          <w:color w:val="auto"/>
          <w:sz w:val="22"/>
          <w:szCs w:val="22"/>
          <w:highlight w:val="none"/>
        </w:rPr>
        <w:t>1</w:t>
      </w:r>
      <w:r>
        <w:rPr>
          <w:rFonts w:hint="eastAsia" w:ascii="新宋体" w:hAnsi="新宋体" w:eastAsia="新宋体" w:cs="新宋体"/>
          <w:b/>
          <w:color w:val="auto"/>
          <w:sz w:val="22"/>
          <w:szCs w:val="22"/>
          <w:highlight w:val="none"/>
          <w:lang w:val="zh-CN"/>
        </w:rPr>
        <w:t>、投标人可根据以上所列设备的技术配置及技术性能要求作为参考选用产品，但所选产品的技术配置及技术性能应相当于或高于</w:t>
      </w:r>
      <w:r>
        <w:rPr>
          <w:rFonts w:hint="eastAsia" w:ascii="新宋体" w:hAnsi="新宋体" w:eastAsia="新宋体" w:cs="新宋体"/>
          <w:b/>
          <w:color w:val="auto"/>
          <w:sz w:val="22"/>
          <w:szCs w:val="22"/>
          <w:highlight w:val="none"/>
        </w:rPr>
        <w:t>招标</w:t>
      </w:r>
      <w:r>
        <w:rPr>
          <w:rFonts w:hint="eastAsia" w:ascii="新宋体" w:hAnsi="新宋体" w:eastAsia="新宋体" w:cs="新宋体"/>
          <w:b/>
          <w:color w:val="auto"/>
          <w:sz w:val="22"/>
          <w:szCs w:val="22"/>
          <w:highlight w:val="none"/>
          <w:lang w:val="zh-CN"/>
        </w:rPr>
        <w:t>文件要求，并满足采购需求，否则将可能作出对投标人不利的评定。</w:t>
      </w:r>
    </w:p>
    <w:p w14:paraId="62B741D1">
      <w:pPr>
        <w:spacing w:line="460" w:lineRule="exact"/>
        <w:ind w:firstLine="442" w:firstLineChars="200"/>
        <w:rPr>
          <w:color w:val="auto"/>
          <w:highlight w:val="none"/>
          <w:lang w:val="zh-CN"/>
        </w:rPr>
      </w:pPr>
      <w:r>
        <w:rPr>
          <w:rFonts w:hint="eastAsia" w:ascii="新宋体" w:hAnsi="新宋体" w:eastAsia="新宋体" w:cs="新宋体"/>
          <w:b/>
          <w:color w:val="auto"/>
          <w:sz w:val="22"/>
          <w:szCs w:val="22"/>
          <w:highlight w:val="none"/>
        </w:rPr>
        <w:t>2、</w:t>
      </w:r>
      <w:r>
        <w:rPr>
          <w:rFonts w:hint="eastAsia" w:ascii="新宋体" w:hAnsi="新宋体" w:eastAsia="新宋体" w:cs="新宋体"/>
          <w:b/>
          <w:color w:val="auto"/>
          <w:sz w:val="22"/>
          <w:szCs w:val="22"/>
          <w:highlight w:val="none"/>
          <w:lang w:val="zh-CN"/>
        </w:rPr>
        <w:t>报价应已包含所有可能发生的费用，后续项目实施过程中产生的费用由</w:t>
      </w:r>
      <w:r>
        <w:rPr>
          <w:rFonts w:hint="eastAsia" w:ascii="新宋体" w:hAnsi="新宋体" w:eastAsia="新宋体" w:cs="新宋体"/>
          <w:b/>
          <w:color w:val="auto"/>
          <w:sz w:val="22"/>
          <w:szCs w:val="22"/>
          <w:highlight w:val="none"/>
        </w:rPr>
        <w:t>中标人</w:t>
      </w:r>
      <w:r>
        <w:rPr>
          <w:rFonts w:hint="eastAsia" w:ascii="新宋体" w:hAnsi="新宋体" w:eastAsia="新宋体" w:cs="新宋体"/>
          <w:b/>
          <w:color w:val="auto"/>
          <w:sz w:val="22"/>
          <w:szCs w:val="22"/>
          <w:highlight w:val="none"/>
          <w:lang w:val="zh-CN"/>
        </w:rPr>
        <w:t>自行承担。</w:t>
      </w:r>
    </w:p>
    <w:p w14:paraId="6CE30DF6">
      <w:pPr>
        <w:spacing w:line="460" w:lineRule="exact"/>
        <w:ind w:firstLine="442" w:firstLineChars="200"/>
        <w:rPr>
          <w:rFonts w:ascii="新宋体" w:hAnsi="新宋体" w:eastAsia="新宋体" w:cs="新宋体"/>
          <w:b/>
          <w:color w:val="auto"/>
          <w:sz w:val="22"/>
          <w:szCs w:val="22"/>
          <w:highlight w:val="none"/>
          <w:lang w:val="zh-CN"/>
        </w:rPr>
      </w:pPr>
      <w:r>
        <w:rPr>
          <w:rFonts w:hint="eastAsia" w:ascii="新宋体" w:hAnsi="新宋体" w:eastAsia="新宋体" w:cs="新宋体"/>
          <w:b/>
          <w:color w:val="auto"/>
          <w:sz w:val="22"/>
          <w:szCs w:val="22"/>
          <w:highlight w:val="none"/>
        </w:rPr>
        <w:t>3</w:t>
      </w:r>
      <w:r>
        <w:rPr>
          <w:rFonts w:hint="eastAsia" w:ascii="新宋体" w:hAnsi="新宋体" w:eastAsia="新宋体" w:cs="新宋体"/>
          <w:b/>
          <w:color w:val="auto"/>
          <w:sz w:val="22"/>
          <w:szCs w:val="22"/>
          <w:highlight w:val="none"/>
          <w:lang w:val="zh-CN"/>
        </w:rPr>
        <w:t>、项目实施过程中，采购人有权对</w:t>
      </w:r>
      <w:r>
        <w:rPr>
          <w:rFonts w:hint="eastAsia" w:ascii="新宋体" w:hAnsi="新宋体" w:eastAsia="新宋体" w:cs="新宋体"/>
          <w:b/>
          <w:color w:val="auto"/>
          <w:sz w:val="22"/>
          <w:szCs w:val="22"/>
          <w:highlight w:val="none"/>
        </w:rPr>
        <w:t>中标</w:t>
      </w:r>
      <w:r>
        <w:rPr>
          <w:rFonts w:hint="eastAsia" w:ascii="新宋体" w:hAnsi="新宋体" w:eastAsia="新宋体" w:cs="新宋体"/>
          <w:b/>
          <w:color w:val="auto"/>
          <w:sz w:val="22"/>
          <w:szCs w:val="22"/>
          <w:highlight w:val="none"/>
          <w:lang w:val="zh-CN"/>
        </w:rPr>
        <w:t>产品进行性能测试（所发生的费用由成交代应商承担），以确保产品实际质量及性能满足需求，否则采购人有权拒绝收货，后果由投标人承担。</w:t>
      </w:r>
    </w:p>
    <w:p w14:paraId="700759C9">
      <w:pPr>
        <w:pStyle w:val="2"/>
        <w:ind w:left="440" w:hanging="440"/>
        <w:rPr>
          <w:rFonts w:ascii="新宋体" w:hAnsi="新宋体" w:eastAsia="新宋体" w:cs="新宋体"/>
          <w:bCs/>
          <w:color w:val="auto"/>
          <w:sz w:val="22"/>
          <w:szCs w:val="22"/>
          <w:highlight w:val="none"/>
        </w:rPr>
      </w:pPr>
    </w:p>
    <w:p w14:paraId="2E5026F7">
      <w:pPr>
        <w:pStyle w:val="3"/>
        <w:ind w:left="860" w:hanging="440"/>
        <w:rPr>
          <w:rFonts w:ascii="新宋体" w:hAnsi="新宋体" w:eastAsia="新宋体" w:cs="新宋体"/>
          <w:bCs/>
          <w:color w:val="auto"/>
          <w:sz w:val="22"/>
          <w:szCs w:val="22"/>
          <w:highlight w:val="none"/>
        </w:rPr>
        <w:sectPr>
          <w:pgSz w:w="16840" w:h="11907" w:orient="landscape"/>
          <w:pgMar w:top="1134" w:right="1134" w:bottom="1134" w:left="1134" w:header="851" w:footer="992" w:gutter="0"/>
          <w:cols w:space="720" w:num="1"/>
          <w:docGrid w:linePitch="312" w:charSpace="0"/>
        </w:sectPr>
      </w:pPr>
    </w:p>
    <w:p w14:paraId="31D89260">
      <w:pPr>
        <w:rPr>
          <w:color w:val="auto"/>
          <w:highlight w:val="none"/>
        </w:rPr>
      </w:pPr>
    </w:p>
    <w:p w14:paraId="13F9545F">
      <w:pPr>
        <w:spacing w:line="460" w:lineRule="exact"/>
        <w:ind w:firstLine="541" w:firstLineChars="245"/>
        <w:outlineLvl w:val="1"/>
        <w:rPr>
          <w:rFonts w:ascii="新宋体" w:hAnsi="新宋体" w:eastAsia="新宋体" w:cs="新宋体"/>
          <w:b/>
          <w:bCs/>
          <w:color w:val="auto"/>
          <w:sz w:val="22"/>
          <w:szCs w:val="22"/>
          <w:highlight w:val="none"/>
        </w:rPr>
      </w:pPr>
      <w:bookmarkStart w:id="284" w:name="_Toc14512"/>
      <w:bookmarkStart w:id="285" w:name="_Toc22587"/>
      <w:bookmarkStart w:id="286" w:name="_Toc25987"/>
      <w:r>
        <w:rPr>
          <w:rFonts w:hint="eastAsia" w:ascii="新宋体" w:hAnsi="新宋体" w:eastAsia="新宋体" w:cs="新宋体"/>
          <w:b/>
          <w:bCs/>
          <w:color w:val="auto"/>
          <w:sz w:val="22"/>
          <w:szCs w:val="22"/>
          <w:highlight w:val="none"/>
        </w:rPr>
        <w:t>五、服务标准、期限、效率等要求</w:t>
      </w:r>
      <w:bookmarkEnd w:id="284"/>
      <w:bookmarkEnd w:id="285"/>
      <w:bookmarkEnd w:id="286"/>
    </w:p>
    <w:p w14:paraId="45D51A40">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     1、磋商供应商需要提供合理的项目整体实施方案，能按照项目分解节点并可跟踪实施。</w:t>
      </w:r>
    </w:p>
    <w:p w14:paraId="740AFF21">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     2、磋商供应商需要提供生产实施方案，包括原材料采购、加工制作等各个环节的实施方案，在规定的时间内有计划的完成项目需求产品的生产和装配。</w:t>
      </w:r>
    </w:p>
    <w:p w14:paraId="73973DD6">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     3、磋商供应商需要提供品控管理方案，对产品品质有管理管控过程，有独立品管部门和专门品管人员，确保产品生产过程中的质量控制完善。</w:t>
      </w:r>
    </w:p>
    <w:p w14:paraId="6AF008CB">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     4、磋商供应商需要提供安装服务实施方案，根据货物交付时间节点，落实送货安装时间和人员安排，确保按期交付使用。</w:t>
      </w:r>
    </w:p>
    <w:p w14:paraId="7D9C9132">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     5、售后服务要求：</w:t>
      </w:r>
    </w:p>
    <w:p w14:paraId="25F3845B">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     （1）磋商供应商提供的售后服务应符合GB/T 37652-2019《家具售后服务要求》。</w:t>
      </w:r>
    </w:p>
    <w:p w14:paraId="0EC5A581">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     （2）质量保证期：本项目免费质量保证期要求不低于</w:t>
      </w:r>
      <w:r>
        <w:rPr>
          <w:rFonts w:hint="eastAsia" w:ascii="新宋体" w:hAnsi="新宋体" w:eastAsia="新宋体" w:cs="新宋体"/>
          <w:color w:val="auto"/>
          <w:sz w:val="22"/>
          <w:szCs w:val="22"/>
          <w:highlight w:val="none"/>
          <w:u w:val="single"/>
        </w:rPr>
        <w:t xml:space="preserve">  5  </w:t>
      </w:r>
      <w:r>
        <w:rPr>
          <w:rFonts w:hint="eastAsia" w:ascii="新宋体" w:hAnsi="新宋体" w:eastAsia="新宋体" w:cs="新宋体"/>
          <w:color w:val="auto"/>
          <w:sz w:val="22"/>
          <w:szCs w:val="22"/>
          <w:highlight w:val="none"/>
        </w:rPr>
        <w:t>年。免费质量保证期从货物供货、安装、调试正常且经采购人验收合格后开始计算。在此保证期内，如在正常使用过程中出现的质量问题，磋商供应商须负责免费维修或调换。</w:t>
      </w:r>
    </w:p>
    <w:p w14:paraId="3951A018">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     （3）</w:t>
      </w:r>
      <w:r>
        <w:rPr>
          <w:rFonts w:hint="eastAsia" w:ascii="宋体" w:hAnsi="宋体" w:cs="宋体"/>
          <w:color w:val="auto"/>
          <w:kern w:val="0"/>
          <w:sz w:val="22"/>
          <w:highlight w:val="none"/>
        </w:rPr>
        <w:t>出现故障等问题后，需2小时内快速响应问题，收到保修要求后24小时内到场维护，如有特殊情况不能到场，需征求用户同意。</w:t>
      </w:r>
    </w:p>
    <w:p w14:paraId="11626B11">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     6、项目团队要求：磋商供应商需要提供项目技术团队及其能力说明，提供人员清单、履历、专业技术能力等资料（采购人可根据具体项目设置相应的要求）。</w:t>
      </w:r>
    </w:p>
    <w:p w14:paraId="4596F999">
      <w:pPr>
        <w:spacing w:line="460" w:lineRule="exact"/>
        <w:ind w:firstLine="541" w:firstLineChars="245"/>
        <w:outlineLvl w:val="1"/>
        <w:rPr>
          <w:rFonts w:ascii="新宋体" w:hAnsi="新宋体" w:eastAsia="新宋体" w:cs="新宋体"/>
          <w:b/>
          <w:bCs/>
          <w:color w:val="auto"/>
          <w:sz w:val="22"/>
          <w:szCs w:val="22"/>
          <w:highlight w:val="none"/>
        </w:rPr>
      </w:pPr>
      <w:bookmarkStart w:id="287" w:name="_Toc17749"/>
      <w:bookmarkStart w:id="288" w:name="_Toc18387"/>
      <w:bookmarkStart w:id="289" w:name="_Toc7575"/>
      <w:r>
        <w:rPr>
          <w:rFonts w:hint="eastAsia" w:ascii="新宋体" w:hAnsi="新宋体" w:eastAsia="新宋体" w:cs="新宋体"/>
          <w:b/>
          <w:bCs/>
          <w:color w:val="auto"/>
          <w:sz w:val="22"/>
          <w:szCs w:val="22"/>
          <w:highlight w:val="none"/>
        </w:rPr>
        <w:t>六、验收标准</w:t>
      </w:r>
      <w:bookmarkEnd w:id="287"/>
      <w:bookmarkEnd w:id="288"/>
      <w:bookmarkEnd w:id="289"/>
    </w:p>
    <w:p w14:paraId="75EE53FA">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  ▲货物安装完成正常使用 30 天后，由供货商提出验收申请，项目单位同意后，按照学校验收的权限，相关部门及人员形成验收小组，验收小组根据磋商文件、磋商响应文件、合同等项目文件约定内容对项目进行最终验收。</w:t>
      </w:r>
    </w:p>
    <w:p w14:paraId="178D2852">
      <w:pPr>
        <w:spacing w:line="460" w:lineRule="exact"/>
        <w:ind w:firstLine="220" w:firstLineChars="1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  1、所供产品的规格、数量符合磋商文件磋商供应商磋商承诺及采购合同约定的要求。</w:t>
      </w:r>
    </w:p>
    <w:p w14:paraId="3C0A34C2">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    2、所供产品的材质、颜色符合磋商文件磋商供应商磋商承诺及采购合同约定的要求。</w:t>
      </w:r>
    </w:p>
    <w:p w14:paraId="6C154988">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    3、所供产品的外观完好，无严重碰撞、表皮脱落、五金件生锈等明显瑕疵。</w:t>
      </w:r>
    </w:p>
    <w:p w14:paraId="62E9B3DD">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    4、所供产品结构牢固，无安全隐患。</w:t>
      </w:r>
    </w:p>
    <w:p w14:paraId="50A66343">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    5、如有抽检要求的，检测结果符合磋商文件磋商供应商磋商承诺及采购合同约定的要求。</w:t>
      </w:r>
    </w:p>
    <w:p w14:paraId="7D471FA9">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    6、所有产品均已运输至指定地点，并安装调试完毕。</w:t>
      </w:r>
    </w:p>
    <w:p w14:paraId="302BD6B8">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    7、磋商文件磋商供应商磋商承诺及采购合同约定的附件、工具、技术资料等齐全；提供产品使用说明书、合格证。</w:t>
      </w:r>
    </w:p>
    <w:p w14:paraId="1F3DAFEB">
      <w:pPr>
        <w:spacing w:line="460" w:lineRule="exact"/>
        <w:ind w:firstLine="541" w:firstLineChars="245"/>
        <w:outlineLvl w:val="1"/>
        <w:rPr>
          <w:rFonts w:ascii="新宋体" w:hAnsi="新宋体" w:eastAsia="新宋体" w:cs="新宋体"/>
          <w:b/>
          <w:bCs/>
          <w:color w:val="auto"/>
          <w:sz w:val="22"/>
          <w:szCs w:val="22"/>
          <w:highlight w:val="none"/>
        </w:rPr>
      </w:pPr>
      <w:bookmarkStart w:id="290" w:name="_Toc9835"/>
      <w:bookmarkStart w:id="291" w:name="_Toc17973"/>
      <w:bookmarkStart w:id="292" w:name="_Toc9163"/>
      <w:bookmarkStart w:id="293" w:name="_Toc157410887"/>
      <w:r>
        <w:rPr>
          <w:rFonts w:hint="eastAsia" w:ascii="新宋体" w:hAnsi="新宋体" w:eastAsia="新宋体" w:cs="新宋体"/>
          <w:b/>
          <w:bCs/>
          <w:color w:val="auto"/>
          <w:sz w:val="22"/>
          <w:szCs w:val="22"/>
          <w:highlight w:val="none"/>
        </w:rPr>
        <w:t>七、工作范围：</w:t>
      </w:r>
      <w:bookmarkEnd w:id="290"/>
      <w:bookmarkEnd w:id="291"/>
      <w:bookmarkEnd w:id="292"/>
      <w:bookmarkEnd w:id="293"/>
    </w:p>
    <w:p w14:paraId="46E18B56">
      <w:pPr>
        <w:adjustRightInd w:val="0"/>
        <w:snapToGrid w:val="0"/>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根据磋商文件，各磋商供应商须按国家有关标准及规范完成下列工作：</w:t>
      </w:r>
    </w:p>
    <w:p w14:paraId="40D5FEFE">
      <w:pPr>
        <w:tabs>
          <w:tab w:val="left" w:pos="422"/>
          <w:tab w:val="left" w:pos="1740"/>
        </w:tabs>
        <w:adjustRightInd w:val="0"/>
        <w:snapToGrid w:val="0"/>
        <w:spacing w:line="460" w:lineRule="exact"/>
        <w:ind w:firstLine="431" w:firstLineChars="196"/>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1、提供完整成套的货物；</w:t>
      </w:r>
    </w:p>
    <w:p w14:paraId="075CC581">
      <w:pPr>
        <w:adjustRightInd w:val="0"/>
        <w:snapToGrid w:val="0"/>
        <w:spacing w:line="460" w:lineRule="exact"/>
        <w:ind w:firstLine="431" w:firstLineChars="196"/>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2、产品及相关附件的提供、运输、装卸、就位、安装、调试、检验、通过验收；</w:t>
      </w:r>
    </w:p>
    <w:p w14:paraId="7A7A061A">
      <w:pPr>
        <w:tabs>
          <w:tab w:val="left" w:pos="422"/>
        </w:tabs>
        <w:adjustRightInd w:val="0"/>
        <w:snapToGrid w:val="0"/>
        <w:spacing w:line="460" w:lineRule="exact"/>
        <w:ind w:firstLine="431" w:firstLineChars="196"/>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3、完成各项调试、检验、测试工作，并在采购人的配合下通过的验收；提供各种数据资料；直至通过验收；</w:t>
      </w:r>
    </w:p>
    <w:p w14:paraId="1A46E2AD">
      <w:pPr>
        <w:adjustRightInd w:val="0"/>
        <w:snapToGrid w:val="0"/>
        <w:spacing w:line="460" w:lineRule="exact"/>
        <w:ind w:firstLine="431" w:firstLineChars="196"/>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4、对使用单位的操作人员及维修人员进行技术培训；</w:t>
      </w:r>
    </w:p>
    <w:p w14:paraId="7BDEDF5E">
      <w:pPr>
        <w:adjustRightInd w:val="0"/>
        <w:snapToGrid w:val="0"/>
        <w:spacing w:line="460" w:lineRule="exact"/>
        <w:ind w:firstLine="431" w:firstLineChars="196"/>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5、质保期内的维保及维修；</w:t>
      </w:r>
    </w:p>
    <w:p w14:paraId="3A950BF2">
      <w:pPr>
        <w:adjustRightInd w:val="0"/>
        <w:snapToGrid w:val="0"/>
        <w:spacing w:line="460" w:lineRule="exact"/>
        <w:ind w:firstLine="431" w:firstLineChars="196"/>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6、售后服务的措施及承诺。</w:t>
      </w:r>
    </w:p>
    <w:p w14:paraId="00350A14">
      <w:pPr>
        <w:tabs>
          <w:tab w:val="left" w:pos="360"/>
        </w:tabs>
        <w:spacing w:line="460" w:lineRule="exact"/>
        <w:ind w:firstLine="550" w:firstLineChars="250"/>
        <w:rPr>
          <w:rFonts w:ascii="新宋体" w:hAnsi="新宋体" w:eastAsia="新宋体" w:cs="新宋体"/>
          <w:b/>
          <w:color w:val="auto"/>
          <w:sz w:val="22"/>
          <w:szCs w:val="22"/>
          <w:highlight w:val="none"/>
        </w:rPr>
      </w:pPr>
      <w:r>
        <w:rPr>
          <w:rFonts w:hint="eastAsia" w:ascii="新宋体" w:hAnsi="新宋体" w:eastAsia="新宋体" w:cs="新宋体"/>
          <w:color w:val="auto"/>
          <w:sz w:val="22"/>
          <w:szCs w:val="22"/>
          <w:highlight w:val="none"/>
          <w:u w:val="single"/>
        </w:rPr>
        <w:t>以上工作内容的费用均包含在总报价中。</w:t>
      </w:r>
    </w:p>
    <w:p w14:paraId="73C933CE">
      <w:pPr>
        <w:spacing w:line="460" w:lineRule="exact"/>
        <w:ind w:firstLine="541" w:firstLineChars="245"/>
        <w:outlineLvl w:val="1"/>
        <w:rPr>
          <w:rFonts w:ascii="新宋体" w:hAnsi="新宋体" w:eastAsia="新宋体" w:cs="新宋体"/>
          <w:b/>
          <w:bCs/>
          <w:color w:val="auto"/>
          <w:sz w:val="22"/>
          <w:szCs w:val="22"/>
          <w:highlight w:val="none"/>
        </w:rPr>
      </w:pPr>
      <w:bookmarkStart w:id="294" w:name="_Toc1976"/>
      <w:r>
        <w:rPr>
          <w:rFonts w:hint="eastAsia" w:ascii="新宋体" w:hAnsi="新宋体" w:eastAsia="新宋体" w:cs="新宋体"/>
          <w:b/>
          <w:bCs/>
          <w:color w:val="auto"/>
          <w:sz w:val="22"/>
          <w:szCs w:val="22"/>
          <w:highlight w:val="none"/>
        </w:rPr>
        <w:t>八、付款方式：</w:t>
      </w:r>
      <w:bookmarkEnd w:id="294"/>
    </w:p>
    <w:p w14:paraId="770E9CEC">
      <w:pPr>
        <w:spacing w:line="420" w:lineRule="exact"/>
        <w:ind w:firstLine="539" w:firstLineChars="245"/>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（1）普通付款：货到安装验收合格后，自收到专用发票后15个工作日内，甲方向乙方支付合同总价的100%。</w:t>
      </w:r>
    </w:p>
    <w:p w14:paraId="56A1ABC4">
      <w:pPr>
        <w:spacing w:line="420" w:lineRule="exact"/>
        <w:ind w:firstLine="539" w:firstLineChars="245"/>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中小企业付款：合同签订后5个工作日内，成交供应商向采购人缴纳合同总价的1%作为履约保证金。预付款金额为合同款金额的40%，在合同签订后、验收前，成交供应商须向采购人提交与预付款等额的“预付款保函”。采购人在收到“预付款保函”并具备实施条件后15个工作日内支付预付款；其余合同款在货到安装验收合格后，自收到专用发票后15个工作日内一次性付清。成交供应商向采购人开具履约保证金收据后15个工作日内，采购人无息退还履约保证金。成交供应商声明不需要预付款的，付款方式等同于普通付款。</w:t>
      </w:r>
    </w:p>
    <w:p w14:paraId="0B66018E">
      <w:pPr>
        <w:spacing w:line="420" w:lineRule="exact"/>
        <w:ind w:firstLine="539" w:firstLineChars="245"/>
        <w:rPr>
          <w:rFonts w:ascii="新宋体" w:hAnsi="新宋体" w:eastAsia="新宋体" w:cs="新宋体"/>
          <w:color w:val="auto"/>
          <w:sz w:val="22"/>
          <w:szCs w:val="22"/>
          <w:highlight w:val="none"/>
        </w:rPr>
      </w:pPr>
    </w:p>
    <w:p w14:paraId="1C311E16">
      <w:pPr>
        <w:rPr>
          <w:rFonts w:ascii="宋体" w:hAnsi="宋体"/>
          <w:b/>
          <w:color w:val="auto"/>
          <w:sz w:val="28"/>
          <w:szCs w:val="28"/>
          <w:highlight w:val="none"/>
        </w:rPr>
      </w:pPr>
    </w:p>
    <w:p w14:paraId="03368ED2">
      <w:pPr>
        <w:pStyle w:val="2"/>
        <w:ind w:left="562" w:hanging="562"/>
        <w:rPr>
          <w:rFonts w:ascii="宋体" w:hAnsi="宋体"/>
          <w:b/>
          <w:color w:val="auto"/>
          <w:sz w:val="28"/>
          <w:szCs w:val="28"/>
          <w:highlight w:val="none"/>
        </w:rPr>
      </w:pPr>
    </w:p>
    <w:p w14:paraId="7DB1F8AF">
      <w:pPr>
        <w:pStyle w:val="2"/>
        <w:ind w:left="440" w:hanging="440"/>
        <w:rPr>
          <w:color w:val="auto"/>
          <w:sz w:val="22"/>
          <w:szCs w:val="22"/>
          <w:highlight w:val="none"/>
        </w:rPr>
      </w:pPr>
      <w:r>
        <w:rPr>
          <w:rFonts w:ascii="宋体" w:hAnsi="宋体" w:cs="宋体"/>
          <w:color w:val="auto"/>
          <w:sz w:val="22"/>
          <w:szCs w:val="22"/>
          <w:highlight w:val="none"/>
        </w:rPr>
        <w:t xml:space="preserve">  </w:t>
      </w:r>
    </w:p>
    <w:p w14:paraId="46FA71A6">
      <w:pPr>
        <w:pStyle w:val="51"/>
        <w:ind w:firstLine="221"/>
        <w:rPr>
          <w:rFonts w:ascii="宋体" w:hAnsi="宋体" w:cs="宋体"/>
          <w:b/>
          <w:bCs/>
          <w:color w:val="auto"/>
          <w:sz w:val="22"/>
          <w:szCs w:val="22"/>
          <w:highlight w:val="none"/>
        </w:rPr>
      </w:pPr>
    </w:p>
    <w:p w14:paraId="37248B3C">
      <w:pPr>
        <w:pStyle w:val="44"/>
        <w:rPr>
          <w:rFonts w:ascii="宋体" w:hAnsi="宋体" w:cs="宋体"/>
          <w:b/>
          <w:bCs/>
          <w:color w:val="auto"/>
          <w:sz w:val="22"/>
          <w:szCs w:val="22"/>
          <w:highlight w:val="none"/>
        </w:rPr>
      </w:pPr>
    </w:p>
    <w:p w14:paraId="587377E3">
      <w:pPr>
        <w:rPr>
          <w:rFonts w:ascii="宋体" w:hAnsi="宋体" w:cs="宋体"/>
          <w:b/>
          <w:bCs/>
          <w:color w:val="auto"/>
          <w:sz w:val="22"/>
          <w:szCs w:val="22"/>
          <w:highlight w:val="none"/>
        </w:rPr>
      </w:pPr>
    </w:p>
    <w:p w14:paraId="44100B3B">
      <w:pPr>
        <w:pStyle w:val="2"/>
        <w:ind w:left="442" w:hanging="442"/>
        <w:rPr>
          <w:rFonts w:ascii="宋体" w:hAnsi="宋体" w:cs="宋体"/>
          <w:b/>
          <w:bCs/>
          <w:color w:val="auto"/>
          <w:sz w:val="22"/>
          <w:szCs w:val="22"/>
          <w:highlight w:val="none"/>
        </w:rPr>
      </w:pPr>
    </w:p>
    <w:p w14:paraId="74838C10">
      <w:pPr>
        <w:pStyle w:val="3"/>
        <w:ind w:left="862" w:hanging="442"/>
        <w:rPr>
          <w:rFonts w:ascii="宋体" w:hAnsi="宋体"/>
          <w:b/>
          <w:bCs/>
          <w:color w:val="auto"/>
          <w:sz w:val="22"/>
          <w:szCs w:val="22"/>
          <w:highlight w:val="none"/>
        </w:rPr>
      </w:pPr>
    </w:p>
    <w:p w14:paraId="25015690">
      <w:pPr>
        <w:rPr>
          <w:rFonts w:ascii="宋体" w:hAnsi="宋体" w:cs="宋体"/>
          <w:b/>
          <w:bCs/>
          <w:color w:val="auto"/>
          <w:sz w:val="22"/>
          <w:szCs w:val="22"/>
          <w:highlight w:val="none"/>
        </w:rPr>
      </w:pPr>
    </w:p>
    <w:p w14:paraId="5EE90BD0">
      <w:pPr>
        <w:pStyle w:val="2"/>
        <w:ind w:left="442" w:hanging="442"/>
        <w:rPr>
          <w:rFonts w:ascii="宋体" w:hAnsi="宋体" w:cs="宋体"/>
          <w:b/>
          <w:bCs/>
          <w:color w:val="auto"/>
          <w:sz w:val="22"/>
          <w:szCs w:val="22"/>
          <w:highlight w:val="none"/>
        </w:rPr>
      </w:pPr>
    </w:p>
    <w:p w14:paraId="6009B26D">
      <w:pPr>
        <w:pStyle w:val="3"/>
        <w:ind w:left="862" w:hanging="442"/>
        <w:rPr>
          <w:rFonts w:ascii="宋体" w:hAnsi="宋体"/>
          <w:b/>
          <w:bCs/>
          <w:color w:val="auto"/>
          <w:sz w:val="22"/>
          <w:szCs w:val="22"/>
          <w:highlight w:val="none"/>
        </w:rPr>
      </w:pPr>
    </w:p>
    <w:p w14:paraId="6B9878C8">
      <w:pPr>
        <w:rPr>
          <w:rFonts w:ascii="宋体" w:hAnsi="宋体" w:cs="宋体"/>
          <w:b/>
          <w:bCs/>
          <w:color w:val="auto"/>
          <w:sz w:val="22"/>
          <w:szCs w:val="22"/>
          <w:highlight w:val="none"/>
        </w:rPr>
      </w:pPr>
    </w:p>
    <w:p w14:paraId="1A44108F">
      <w:pPr>
        <w:pStyle w:val="2"/>
        <w:ind w:left="442" w:hanging="442"/>
        <w:rPr>
          <w:rFonts w:ascii="宋体" w:hAnsi="宋体" w:cs="宋体"/>
          <w:b/>
          <w:bCs/>
          <w:color w:val="auto"/>
          <w:sz w:val="22"/>
          <w:szCs w:val="22"/>
          <w:highlight w:val="none"/>
        </w:rPr>
      </w:pPr>
    </w:p>
    <w:p w14:paraId="5590C0B1">
      <w:pPr>
        <w:pStyle w:val="3"/>
        <w:ind w:left="862" w:hanging="442"/>
        <w:rPr>
          <w:rFonts w:ascii="宋体" w:hAnsi="宋体"/>
          <w:b/>
          <w:bCs/>
          <w:color w:val="auto"/>
          <w:sz w:val="22"/>
          <w:szCs w:val="22"/>
          <w:highlight w:val="none"/>
        </w:rPr>
      </w:pPr>
    </w:p>
    <w:p w14:paraId="08F64307">
      <w:pPr>
        <w:rPr>
          <w:rFonts w:ascii="宋体" w:hAnsi="宋体" w:cs="宋体"/>
          <w:b/>
          <w:bCs/>
          <w:color w:val="auto"/>
          <w:sz w:val="22"/>
          <w:szCs w:val="22"/>
          <w:highlight w:val="none"/>
        </w:rPr>
      </w:pPr>
    </w:p>
    <w:p w14:paraId="3E91AA84">
      <w:pPr>
        <w:pStyle w:val="2"/>
        <w:rPr>
          <w:color w:val="auto"/>
          <w:highlight w:val="none"/>
        </w:rPr>
      </w:pPr>
    </w:p>
    <w:p w14:paraId="77AB323F">
      <w:pPr>
        <w:pStyle w:val="44"/>
        <w:rPr>
          <w:rFonts w:ascii="宋体" w:hAnsi="宋体" w:cs="宋体"/>
          <w:b/>
          <w:bCs/>
          <w:color w:val="auto"/>
          <w:sz w:val="22"/>
          <w:szCs w:val="22"/>
          <w:highlight w:val="none"/>
        </w:rPr>
      </w:pPr>
    </w:p>
    <w:p w14:paraId="4F51ABFF">
      <w:pPr>
        <w:rPr>
          <w:color w:val="auto"/>
          <w:highlight w:val="none"/>
        </w:rPr>
      </w:pPr>
    </w:p>
    <w:p w14:paraId="5BC94ED8">
      <w:pPr>
        <w:spacing w:line="500" w:lineRule="exact"/>
        <w:ind w:firstLine="562" w:firstLineChars="200"/>
        <w:rPr>
          <w:rFonts w:ascii="宋体" w:hAnsi="宋体"/>
          <w:b/>
          <w:color w:val="auto"/>
          <w:sz w:val="28"/>
          <w:szCs w:val="28"/>
          <w:highlight w:val="none"/>
        </w:rPr>
      </w:pPr>
    </w:p>
    <w:p w14:paraId="645C20BF">
      <w:pPr>
        <w:jc w:val="center"/>
        <w:outlineLvl w:val="0"/>
        <w:rPr>
          <w:rStyle w:val="66"/>
          <w:rFonts w:ascii="宋体" w:hAnsi="宋体" w:eastAsia="宋体" w:cs="宋体"/>
          <w:color w:val="auto"/>
          <w:highlight w:val="none"/>
        </w:rPr>
      </w:pPr>
      <w:bookmarkStart w:id="295" w:name="_Toc12880"/>
      <w:bookmarkStart w:id="296" w:name="_Toc20156"/>
      <w:bookmarkStart w:id="297" w:name="_Toc22845"/>
      <w:bookmarkStart w:id="298" w:name="_Toc922"/>
      <w:bookmarkStart w:id="299" w:name="_Toc18052"/>
      <w:r>
        <w:rPr>
          <w:rStyle w:val="66"/>
          <w:rFonts w:hint="eastAsia" w:ascii="宋体" w:hAnsi="宋体" w:eastAsia="宋体" w:cs="宋体"/>
          <w:color w:val="auto"/>
          <w:highlight w:val="none"/>
        </w:rPr>
        <w:t>第五部分   磋商原则及方法</w:t>
      </w:r>
      <w:bookmarkEnd w:id="295"/>
      <w:bookmarkEnd w:id="296"/>
      <w:bookmarkEnd w:id="297"/>
      <w:bookmarkEnd w:id="298"/>
      <w:bookmarkEnd w:id="299"/>
    </w:p>
    <w:bookmarkEnd w:id="275"/>
    <w:p w14:paraId="6F55DE17">
      <w:pPr>
        <w:spacing w:line="460" w:lineRule="exact"/>
        <w:ind w:firstLine="541" w:firstLineChars="245"/>
        <w:rPr>
          <w:rFonts w:ascii="宋体" w:hAnsi="宋体" w:cs="宋体"/>
          <w:b/>
          <w:color w:val="auto"/>
          <w:sz w:val="22"/>
          <w:szCs w:val="22"/>
          <w:highlight w:val="none"/>
        </w:rPr>
      </w:pPr>
      <w:r>
        <w:rPr>
          <w:rFonts w:hint="eastAsia" w:ascii="宋体" w:hAnsi="宋体" w:cs="宋体"/>
          <w:b/>
          <w:color w:val="auto"/>
          <w:sz w:val="22"/>
          <w:szCs w:val="22"/>
          <w:highlight w:val="none"/>
        </w:rPr>
        <w:t>参照《中华人民共和国政府采购法》、《政府采购货物和服务招标投标管理办法》、《中华人民共和国政府采购法实施条例》和《政府采购竞争性磋商采购方式管理暂行办法》等相关法规特制定以下评审办法。</w:t>
      </w:r>
    </w:p>
    <w:p w14:paraId="439D7C79">
      <w:pPr>
        <w:spacing w:line="460" w:lineRule="exact"/>
        <w:ind w:firstLine="541" w:firstLineChars="245"/>
        <w:outlineLvl w:val="1"/>
        <w:rPr>
          <w:rFonts w:ascii="宋体" w:hAnsi="宋体" w:cs="宋体"/>
          <w:b/>
          <w:color w:val="auto"/>
          <w:sz w:val="22"/>
          <w:szCs w:val="22"/>
          <w:highlight w:val="none"/>
        </w:rPr>
      </w:pPr>
      <w:bookmarkStart w:id="300" w:name="_Toc26453"/>
      <w:bookmarkStart w:id="301" w:name="_Toc26692"/>
      <w:bookmarkStart w:id="302" w:name="_Toc2094"/>
      <w:bookmarkStart w:id="303" w:name="_Toc666"/>
      <w:bookmarkStart w:id="304" w:name="_Toc16532"/>
      <w:bookmarkStart w:id="305" w:name="_Toc7019"/>
      <w:r>
        <w:rPr>
          <w:rFonts w:hint="eastAsia" w:ascii="宋体" w:hAnsi="宋体" w:cs="宋体"/>
          <w:b/>
          <w:color w:val="auto"/>
          <w:sz w:val="22"/>
          <w:szCs w:val="22"/>
          <w:highlight w:val="none"/>
        </w:rPr>
        <w:t>一、总 则</w:t>
      </w:r>
      <w:bookmarkEnd w:id="300"/>
      <w:bookmarkEnd w:id="301"/>
      <w:bookmarkEnd w:id="302"/>
      <w:bookmarkEnd w:id="303"/>
      <w:bookmarkEnd w:id="304"/>
      <w:bookmarkEnd w:id="305"/>
    </w:p>
    <w:p w14:paraId="179DCBB1">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评审工作遵循“公平、公正、科学、择优”原则和“诚实、信誉、效率”的服务原则。最大限度的保护采购人权益，严格按照磋商文件的要求，对磋商响应文件进行综合评审。磋商供应商不得以任何方式干扰政府采购工作的进行，一经发现其磋商响应文件将被拒绝。</w:t>
      </w:r>
    </w:p>
    <w:p w14:paraId="44E976A6">
      <w:pPr>
        <w:spacing w:line="460" w:lineRule="exact"/>
        <w:ind w:firstLine="541" w:firstLineChars="245"/>
        <w:outlineLvl w:val="1"/>
        <w:rPr>
          <w:rFonts w:ascii="宋体" w:hAnsi="宋体" w:cs="宋体"/>
          <w:b/>
          <w:color w:val="auto"/>
          <w:sz w:val="22"/>
          <w:szCs w:val="22"/>
          <w:highlight w:val="none"/>
        </w:rPr>
      </w:pPr>
      <w:bookmarkStart w:id="306" w:name="_Toc25024"/>
      <w:bookmarkStart w:id="307" w:name="_Toc3894"/>
      <w:bookmarkStart w:id="308" w:name="_Toc14043"/>
      <w:bookmarkStart w:id="309" w:name="_Toc19010"/>
      <w:bookmarkStart w:id="310" w:name="_Toc25759"/>
      <w:bookmarkStart w:id="311" w:name="_Toc3042"/>
      <w:r>
        <w:rPr>
          <w:rFonts w:hint="eastAsia" w:ascii="宋体" w:hAnsi="宋体" w:cs="宋体"/>
          <w:b/>
          <w:color w:val="auto"/>
          <w:sz w:val="22"/>
          <w:szCs w:val="22"/>
          <w:highlight w:val="none"/>
        </w:rPr>
        <w:t>二、磋商组织</w:t>
      </w:r>
      <w:bookmarkEnd w:id="306"/>
      <w:bookmarkEnd w:id="307"/>
      <w:bookmarkEnd w:id="308"/>
      <w:bookmarkEnd w:id="309"/>
      <w:bookmarkEnd w:id="310"/>
      <w:bookmarkEnd w:id="311"/>
    </w:p>
    <w:p w14:paraId="7812B493">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磋商工作由采购人组建的磋商小组负责，磋商全过程由有关部门指导监督。</w:t>
      </w:r>
    </w:p>
    <w:p w14:paraId="46A37FFB">
      <w:pPr>
        <w:spacing w:line="460" w:lineRule="exact"/>
        <w:ind w:firstLine="541" w:firstLineChars="245"/>
        <w:outlineLvl w:val="1"/>
        <w:rPr>
          <w:rFonts w:ascii="宋体" w:hAnsi="宋体" w:cs="宋体"/>
          <w:b/>
          <w:color w:val="auto"/>
          <w:sz w:val="22"/>
          <w:szCs w:val="22"/>
          <w:highlight w:val="none"/>
        </w:rPr>
      </w:pPr>
      <w:bookmarkStart w:id="312" w:name="_Toc28866"/>
      <w:bookmarkStart w:id="313" w:name="_Toc20492"/>
      <w:bookmarkStart w:id="314" w:name="_Toc27013"/>
      <w:bookmarkStart w:id="315" w:name="_Toc28083"/>
      <w:bookmarkStart w:id="316" w:name="_Toc6419"/>
      <w:bookmarkStart w:id="317" w:name="_Toc1723"/>
      <w:r>
        <w:rPr>
          <w:rFonts w:hint="eastAsia" w:ascii="宋体" w:hAnsi="宋体" w:cs="宋体"/>
          <w:b/>
          <w:color w:val="auto"/>
          <w:sz w:val="22"/>
          <w:szCs w:val="22"/>
          <w:highlight w:val="none"/>
        </w:rPr>
        <w:t>三、评审程序</w:t>
      </w:r>
      <w:bookmarkEnd w:id="312"/>
      <w:bookmarkEnd w:id="313"/>
      <w:bookmarkEnd w:id="314"/>
      <w:bookmarkEnd w:id="315"/>
      <w:bookmarkEnd w:id="316"/>
      <w:bookmarkEnd w:id="317"/>
    </w:p>
    <w:p w14:paraId="57C019E2">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1、熟悉竞争性磋商文件和评审磋商办法；</w:t>
      </w:r>
    </w:p>
    <w:p w14:paraId="5BA30CA0">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2、开启磋商响应文件（一次报价不公布）；</w:t>
      </w:r>
    </w:p>
    <w:p w14:paraId="6125A940">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3、资格审查；</w:t>
      </w:r>
    </w:p>
    <w:p w14:paraId="4443442A">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4、磋商、询标（需要时）；</w:t>
      </w:r>
    </w:p>
    <w:p w14:paraId="73650F15">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5、磋商响应文件商务技术标评分；</w:t>
      </w:r>
    </w:p>
    <w:p w14:paraId="26ADDE8C">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6、磋商二次报价或最终报价；</w:t>
      </w:r>
    </w:p>
    <w:p w14:paraId="263DECBA">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7、磋商小组根据评审结果，提交评审报告。</w:t>
      </w:r>
    </w:p>
    <w:p w14:paraId="62B6CDCC">
      <w:pPr>
        <w:spacing w:line="460" w:lineRule="exact"/>
        <w:ind w:firstLine="541" w:firstLineChars="245"/>
        <w:outlineLvl w:val="1"/>
        <w:rPr>
          <w:rFonts w:ascii="宋体" w:hAnsi="宋体" w:cs="宋体"/>
          <w:b/>
          <w:color w:val="auto"/>
          <w:sz w:val="22"/>
          <w:szCs w:val="22"/>
          <w:highlight w:val="none"/>
        </w:rPr>
      </w:pPr>
      <w:bookmarkStart w:id="318" w:name="_Toc7284"/>
      <w:bookmarkStart w:id="319" w:name="_Toc10744"/>
      <w:bookmarkStart w:id="320" w:name="_Toc26052"/>
      <w:bookmarkStart w:id="321" w:name="_Toc16925"/>
      <w:bookmarkStart w:id="322" w:name="_Toc26344"/>
      <w:bookmarkStart w:id="323" w:name="_Toc14381"/>
      <w:r>
        <w:rPr>
          <w:rFonts w:hint="eastAsia" w:ascii="宋体" w:hAnsi="宋体" w:cs="宋体"/>
          <w:b/>
          <w:color w:val="auto"/>
          <w:sz w:val="22"/>
          <w:szCs w:val="22"/>
          <w:highlight w:val="none"/>
        </w:rPr>
        <w:t>四、综合评审</w:t>
      </w:r>
      <w:bookmarkEnd w:id="318"/>
      <w:bookmarkEnd w:id="319"/>
      <w:bookmarkEnd w:id="320"/>
      <w:bookmarkEnd w:id="321"/>
      <w:bookmarkEnd w:id="322"/>
      <w:bookmarkEnd w:id="323"/>
    </w:p>
    <w:p w14:paraId="5CFCD2C1">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1、本次评审采用综合评分法，即最大限度地满足竞争性磋商文件实质性要求前提下，按照竞争性磋商文件中规定的各项评分内容评审后，以评审总得分最高的磋商供应商，作为成交候选供应商。</w:t>
      </w:r>
    </w:p>
    <w:p w14:paraId="627AF8E2">
      <w:pPr>
        <w:spacing w:line="460" w:lineRule="exact"/>
        <w:ind w:firstLine="541" w:firstLineChars="245"/>
        <w:rPr>
          <w:rFonts w:ascii="宋体" w:hAnsi="宋体" w:cs="宋体"/>
          <w:b/>
          <w:bCs/>
          <w:color w:val="auto"/>
          <w:sz w:val="22"/>
          <w:szCs w:val="22"/>
          <w:highlight w:val="none"/>
        </w:rPr>
      </w:pPr>
      <w:r>
        <w:rPr>
          <w:rFonts w:hint="eastAsia" w:ascii="宋体" w:hAnsi="宋体" w:cs="宋体"/>
          <w:b/>
          <w:bCs/>
          <w:color w:val="auto"/>
          <w:sz w:val="22"/>
          <w:szCs w:val="22"/>
          <w:highlight w:val="none"/>
        </w:rPr>
        <w:t>2、提供相同品牌产品且通过资格审查、符合性审查的不同磋商供应商参加同一合同项下磋商报价的,按一家磋商供应商计算,评审后综合得分最高的同品牌磋商供应商获得成交供应商推荐资格；综合得分相同的,报价最低一家供应商获得成交供应商推荐资格；均相同时采取随机抽取方式确认一个磋商供应商获得成交供应商推荐资格,其他同品牌磋商供应商不作为成交候选人。</w:t>
      </w:r>
    </w:p>
    <w:p w14:paraId="11630AAB">
      <w:pPr>
        <w:spacing w:line="460" w:lineRule="exact"/>
        <w:ind w:firstLine="541" w:firstLineChars="245"/>
        <w:rPr>
          <w:b/>
          <w:bCs/>
          <w:color w:val="auto"/>
          <w:highlight w:val="none"/>
        </w:rPr>
      </w:pPr>
      <w:r>
        <w:rPr>
          <w:rFonts w:hint="eastAsia" w:ascii="宋体" w:hAnsi="宋体" w:cs="宋体"/>
          <w:b/>
          <w:bCs/>
          <w:color w:val="auto"/>
          <w:sz w:val="22"/>
          <w:szCs w:val="22"/>
          <w:highlight w:val="none"/>
        </w:rPr>
        <w:t>非单一产品采购项目，应当根据采购项目技术构成、产品价格比重等合理确定核心产品。多家磋商供应商提供的核心产品品牌相同的，按前款规定处理。</w:t>
      </w:r>
    </w:p>
    <w:p w14:paraId="2A63A265">
      <w:pPr>
        <w:spacing w:line="460" w:lineRule="exact"/>
        <w:ind w:firstLine="541" w:firstLineChars="245"/>
        <w:outlineLvl w:val="1"/>
        <w:rPr>
          <w:rFonts w:ascii="宋体" w:hAnsi="宋体" w:cs="宋体"/>
          <w:b/>
          <w:color w:val="auto"/>
          <w:sz w:val="22"/>
          <w:szCs w:val="22"/>
          <w:highlight w:val="none"/>
        </w:rPr>
      </w:pPr>
      <w:bookmarkStart w:id="324" w:name="_Toc9675"/>
      <w:bookmarkStart w:id="325" w:name="_Toc4505"/>
      <w:bookmarkStart w:id="326" w:name="_Toc32742"/>
      <w:bookmarkStart w:id="327" w:name="_Toc7715"/>
      <w:bookmarkStart w:id="328" w:name="_Toc15007"/>
      <w:bookmarkStart w:id="329" w:name="_Toc28720"/>
      <w:r>
        <w:rPr>
          <w:rFonts w:hint="eastAsia" w:ascii="宋体" w:hAnsi="宋体" w:cs="宋体"/>
          <w:b/>
          <w:color w:val="auto"/>
          <w:sz w:val="22"/>
          <w:szCs w:val="22"/>
          <w:highlight w:val="none"/>
        </w:rPr>
        <w:t>五、</w:t>
      </w:r>
      <w:r>
        <w:rPr>
          <w:rFonts w:hint="eastAsia" w:ascii="宋体" w:hAnsi="宋体" w:cs="宋体"/>
          <w:b/>
          <w:bCs/>
          <w:color w:val="auto"/>
          <w:sz w:val="22"/>
          <w:szCs w:val="22"/>
          <w:highlight w:val="none"/>
        </w:rPr>
        <w:t>评分</w:t>
      </w:r>
      <w:r>
        <w:rPr>
          <w:rFonts w:hint="eastAsia" w:ascii="宋体" w:hAnsi="宋体" w:cs="宋体"/>
          <w:b/>
          <w:color w:val="auto"/>
          <w:sz w:val="22"/>
          <w:szCs w:val="22"/>
          <w:highlight w:val="none"/>
        </w:rPr>
        <w:t>细则</w:t>
      </w:r>
      <w:bookmarkEnd w:id="324"/>
      <w:bookmarkEnd w:id="325"/>
      <w:bookmarkEnd w:id="326"/>
      <w:bookmarkEnd w:id="327"/>
      <w:bookmarkEnd w:id="328"/>
      <w:bookmarkEnd w:id="329"/>
    </w:p>
    <w:p w14:paraId="1DE43F64">
      <w:pPr>
        <w:spacing w:line="460" w:lineRule="exact"/>
        <w:ind w:firstLine="541" w:firstLineChars="245"/>
        <w:rPr>
          <w:rFonts w:ascii="宋体" w:hAnsi="宋体" w:cs="宋体"/>
          <w:b/>
          <w:color w:val="auto"/>
          <w:sz w:val="22"/>
          <w:szCs w:val="22"/>
          <w:highlight w:val="none"/>
        </w:rPr>
      </w:pPr>
      <w:r>
        <w:rPr>
          <w:rFonts w:hint="eastAsia" w:ascii="宋体" w:hAnsi="宋体" w:cs="宋体"/>
          <w:b/>
          <w:color w:val="auto"/>
          <w:sz w:val="22"/>
          <w:szCs w:val="22"/>
          <w:highlight w:val="none"/>
        </w:rPr>
        <w:t>总分设定为100分：技术标65分（权值65%），商务标（报价）35分（权值35%）</w:t>
      </w:r>
    </w:p>
    <w:p w14:paraId="7894AF69">
      <w:pPr>
        <w:spacing w:line="460" w:lineRule="exact"/>
        <w:ind w:firstLine="541" w:firstLineChars="245"/>
        <w:rPr>
          <w:rFonts w:ascii="宋体" w:hAnsi="宋体" w:cs="宋体"/>
          <w:b/>
          <w:color w:val="auto"/>
          <w:sz w:val="22"/>
          <w:szCs w:val="22"/>
          <w:highlight w:val="none"/>
        </w:rPr>
      </w:pPr>
      <w:r>
        <w:rPr>
          <w:rFonts w:hint="eastAsia" w:ascii="宋体" w:hAnsi="宋体" w:cs="宋体"/>
          <w:b/>
          <w:color w:val="auto"/>
          <w:sz w:val="22"/>
          <w:szCs w:val="22"/>
          <w:highlight w:val="none"/>
        </w:rPr>
        <w:t>1、商务技术分的评定：商务技术</w:t>
      </w:r>
      <w:r>
        <w:rPr>
          <w:rFonts w:hint="eastAsia" w:ascii="宋体" w:hAnsi="宋体" w:cs="宋体"/>
          <w:b/>
          <w:bCs/>
          <w:color w:val="auto"/>
          <w:sz w:val="22"/>
          <w:szCs w:val="22"/>
          <w:highlight w:val="none"/>
        </w:rPr>
        <w:t>65分（</w:t>
      </w:r>
      <w:r>
        <w:rPr>
          <w:rFonts w:hint="eastAsia" w:ascii="宋体" w:hAnsi="宋体" w:cs="宋体"/>
          <w:b/>
          <w:color w:val="auto"/>
          <w:sz w:val="22"/>
          <w:szCs w:val="22"/>
          <w:highlight w:val="none"/>
        </w:rPr>
        <w:t>商务技术</w:t>
      </w:r>
      <w:r>
        <w:rPr>
          <w:rFonts w:hint="eastAsia" w:ascii="宋体" w:hAnsi="宋体" w:cs="宋体"/>
          <w:b/>
          <w:bCs/>
          <w:color w:val="auto"/>
          <w:sz w:val="22"/>
          <w:szCs w:val="22"/>
          <w:highlight w:val="none"/>
        </w:rPr>
        <w:t>权值65%）</w:t>
      </w:r>
    </w:p>
    <w:p w14:paraId="3A190A4E">
      <w:pPr>
        <w:spacing w:line="460" w:lineRule="exact"/>
        <w:ind w:firstLine="539" w:firstLineChars="245"/>
        <w:jc w:val="left"/>
        <w:rPr>
          <w:color w:val="auto"/>
          <w:highlight w:val="none"/>
        </w:rPr>
      </w:pPr>
      <w:r>
        <w:rPr>
          <w:rFonts w:hint="eastAsia" w:ascii="宋体" w:hAnsi="宋体" w:cs="宋体"/>
          <w:color w:val="auto"/>
          <w:sz w:val="22"/>
          <w:szCs w:val="22"/>
          <w:highlight w:val="none"/>
        </w:rPr>
        <w:t>各磋商小组按下列评分项目进行评判，每人一张评分计算票，并记名。磋商响应文件各项评分内容由磋商小组成员各自评分，如某张票的一个因素项目超过规定的范围，则该张票无效。</w:t>
      </w:r>
      <w:r>
        <w:rPr>
          <w:rFonts w:hint="eastAsia" w:ascii="宋体" w:hAnsi="宋体" w:cs="宋体"/>
          <w:color w:val="auto"/>
          <w:sz w:val="22"/>
          <w:highlight w:val="none"/>
        </w:rPr>
        <w:t>各磋商小组成员对各磋商供应商的各项评分内容评分的算术平均值为各磋商供应商技术分得分</w:t>
      </w:r>
      <w:r>
        <w:rPr>
          <w:rFonts w:hint="eastAsia" w:ascii="宋体" w:hAnsi="宋体" w:cs="宋体"/>
          <w:color w:val="auto"/>
          <w:sz w:val="22"/>
          <w:szCs w:val="22"/>
          <w:highlight w:val="none"/>
        </w:rPr>
        <w:t>（小数点后按四舍五入保留2位）。</w:t>
      </w:r>
    </w:p>
    <w:tbl>
      <w:tblPr>
        <w:tblStyle w:val="52"/>
        <w:tblW w:w="9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7900"/>
        <w:gridCol w:w="925"/>
      </w:tblGrid>
      <w:tr w14:paraId="6FC72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14:paraId="69D14898">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序号</w:t>
            </w:r>
          </w:p>
        </w:tc>
        <w:tc>
          <w:tcPr>
            <w:tcW w:w="7900" w:type="dxa"/>
            <w:vAlign w:val="center"/>
          </w:tcPr>
          <w:p w14:paraId="0B717DD1">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 评分标准</w:t>
            </w:r>
          </w:p>
        </w:tc>
        <w:tc>
          <w:tcPr>
            <w:tcW w:w="925" w:type="dxa"/>
            <w:vAlign w:val="center"/>
          </w:tcPr>
          <w:p w14:paraId="6C414727">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分值</w:t>
            </w:r>
          </w:p>
        </w:tc>
      </w:tr>
      <w:tr w14:paraId="12A0D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3" w:type="dxa"/>
            <w:gridSpan w:val="3"/>
            <w:vAlign w:val="center"/>
          </w:tcPr>
          <w:p w14:paraId="244F071B">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商务部分</w:t>
            </w:r>
          </w:p>
        </w:tc>
      </w:tr>
      <w:tr w14:paraId="7D3CD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14:paraId="551695B4">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w:t>
            </w:r>
          </w:p>
        </w:tc>
        <w:tc>
          <w:tcPr>
            <w:tcW w:w="7900" w:type="dxa"/>
            <w:vAlign w:val="center"/>
          </w:tcPr>
          <w:p w14:paraId="200B7A2D">
            <w:pPr>
              <w:widowControl/>
              <w:spacing w:line="460" w:lineRule="exact"/>
              <w:jc w:val="left"/>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lang w:bidi="ar"/>
              </w:rPr>
              <w:t xml:space="preserve">生产厂家具有有效期内的ISO9001质量管理体系认证证书，提供证书扫描件，有得1分，没有不得分。 </w:t>
            </w:r>
          </w:p>
        </w:tc>
        <w:tc>
          <w:tcPr>
            <w:tcW w:w="925" w:type="dxa"/>
            <w:vAlign w:val="center"/>
          </w:tcPr>
          <w:p w14:paraId="57EDD78C">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1分</w:t>
            </w:r>
          </w:p>
        </w:tc>
      </w:tr>
      <w:tr w14:paraId="521EC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14:paraId="1CAF46D2">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w:t>
            </w:r>
          </w:p>
        </w:tc>
        <w:tc>
          <w:tcPr>
            <w:tcW w:w="7900" w:type="dxa"/>
            <w:vAlign w:val="center"/>
          </w:tcPr>
          <w:p w14:paraId="6D551A2D">
            <w:pPr>
              <w:widowControl/>
              <w:spacing w:line="460" w:lineRule="exact"/>
              <w:jc w:val="left"/>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lang w:bidi="ar"/>
              </w:rPr>
              <w:t>生产厂家具有有效期内的ISO14001环境管理体系认证证书，提供证书扫描件，有得1分，没有不得分。</w:t>
            </w:r>
          </w:p>
        </w:tc>
        <w:tc>
          <w:tcPr>
            <w:tcW w:w="925" w:type="dxa"/>
            <w:vAlign w:val="center"/>
          </w:tcPr>
          <w:p w14:paraId="17E0D87F">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1分</w:t>
            </w:r>
          </w:p>
        </w:tc>
      </w:tr>
      <w:tr w14:paraId="66307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14:paraId="7C191B92">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w:t>
            </w:r>
          </w:p>
        </w:tc>
        <w:tc>
          <w:tcPr>
            <w:tcW w:w="7900" w:type="dxa"/>
            <w:vAlign w:val="center"/>
          </w:tcPr>
          <w:p w14:paraId="2660C293">
            <w:pPr>
              <w:widowControl/>
              <w:spacing w:line="460" w:lineRule="exact"/>
              <w:jc w:val="left"/>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lang w:bidi="ar"/>
              </w:rPr>
              <w:t xml:space="preserve">生产厂家具有有效期内的 ISO45001 职业健康安全管理体系认证证书或(GB/T </w:t>
            </w:r>
          </w:p>
          <w:p w14:paraId="54726B69">
            <w:pPr>
              <w:widowControl/>
              <w:spacing w:line="460" w:lineRule="exact"/>
              <w:jc w:val="left"/>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lang w:bidi="ar"/>
              </w:rPr>
              <w:t>28001 职业健康安全管理体系认证证书)，提供证书扫描件，有得 1 分，没有不得分。</w:t>
            </w:r>
          </w:p>
        </w:tc>
        <w:tc>
          <w:tcPr>
            <w:tcW w:w="925" w:type="dxa"/>
            <w:vAlign w:val="center"/>
          </w:tcPr>
          <w:p w14:paraId="48761F4A">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1分</w:t>
            </w:r>
          </w:p>
        </w:tc>
      </w:tr>
      <w:tr w14:paraId="23E50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14:paraId="75AE9404">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w:t>
            </w:r>
          </w:p>
        </w:tc>
        <w:tc>
          <w:tcPr>
            <w:tcW w:w="7900" w:type="dxa"/>
            <w:vAlign w:val="center"/>
          </w:tcPr>
          <w:p w14:paraId="452C7878">
            <w:pPr>
              <w:widowControl/>
              <w:spacing w:line="460" w:lineRule="exact"/>
              <w:jc w:val="left"/>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lang w:bidi="ar"/>
              </w:rPr>
              <w:t>生产厂家具有有效期内的 CQC 中国环保产品认证证书</w:t>
            </w:r>
            <w:r>
              <w:rPr>
                <w:rFonts w:hint="eastAsia" w:ascii="新宋体" w:hAnsi="新宋体" w:eastAsia="新宋体" w:cs="新宋体"/>
                <w:color w:val="auto"/>
                <w:kern w:val="0"/>
                <w:sz w:val="22"/>
                <w:szCs w:val="22"/>
                <w:highlight w:val="none"/>
                <w:lang w:val="en-US" w:eastAsia="zh-CN" w:bidi="ar"/>
              </w:rPr>
              <w:t>和</w:t>
            </w:r>
            <w:r>
              <w:rPr>
                <w:rFonts w:hint="eastAsia" w:ascii="新宋体" w:hAnsi="新宋体" w:eastAsia="新宋体" w:cs="新宋体"/>
                <w:color w:val="auto"/>
                <w:kern w:val="0"/>
                <w:sz w:val="22"/>
                <w:szCs w:val="22"/>
                <w:highlight w:val="none"/>
                <w:lang w:bidi="ar"/>
              </w:rPr>
              <w:t xml:space="preserve">生产厂家具有有效期内的 CEC 家具产品环保卫士认证证书，提供证书扫描件，有得 </w:t>
            </w:r>
            <w:r>
              <w:rPr>
                <w:rFonts w:hint="eastAsia" w:ascii="新宋体" w:hAnsi="新宋体" w:eastAsia="新宋体" w:cs="新宋体"/>
                <w:color w:val="auto"/>
                <w:kern w:val="0"/>
                <w:sz w:val="22"/>
                <w:szCs w:val="22"/>
                <w:highlight w:val="none"/>
                <w:lang w:val="en-US" w:eastAsia="zh-CN" w:bidi="ar"/>
              </w:rPr>
              <w:t>1</w:t>
            </w:r>
            <w:r>
              <w:rPr>
                <w:rFonts w:hint="eastAsia" w:ascii="新宋体" w:hAnsi="新宋体" w:eastAsia="新宋体" w:cs="新宋体"/>
                <w:color w:val="auto"/>
                <w:kern w:val="0"/>
                <w:sz w:val="22"/>
                <w:szCs w:val="22"/>
                <w:highlight w:val="none"/>
                <w:lang w:bidi="ar"/>
              </w:rPr>
              <w:t xml:space="preserve"> 分，没有不得分。</w:t>
            </w:r>
          </w:p>
        </w:tc>
        <w:tc>
          <w:tcPr>
            <w:tcW w:w="925" w:type="dxa"/>
            <w:vAlign w:val="center"/>
          </w:tcPr>
          <w:p w14:paraId="1C71B44C">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分</w:t>
            </w:r>
          </w:p>
        </w:tc>
      </w:tr>
      <w:tr w14:paraId="2D830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14:paraId="5AE883E8">
            <w:pPr>
              <w:spacing w:line="460" w:lineRule="exact"/>
              <w:jc w:val="center"/>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lang w:val="en-US" w:eastAsia="zh-CN"/>
              </w:rPr>
              <w:t>5</w:t>
            </w:r>
          </w:p>
        </w:tc>
        <w:tc>
          <w:tcPr>
            <w:tcW w:w="7900" w:type="dxa"/>
            <w:vAlign w:val="center"/>
          </w:tcPr>
          <w:p w14:paraId="0CF6E4E6">
            <w:pPr>
              <w:widowControl/>
              <w:spacing w:line="46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lang w:bidi="ar"/>
              </w:rPr>
              <w:t>环境标志产品评审：产品获得国家确定的认证机构出具的有效期之内的环境标志产品认证证书，每项产品得</w:t>
            </w:r>
            <w:r>
              <w:rPr>
                <w:rFonts w:hint="eastAsia" w:ascii="新宋体" w:hAnsi="新宋体" w:eastAsia="新宋体" w:cs="新宋体"/>
                <w:color w:val="auto"/>
                <w:kern w:val="0"/>
                <w:sz w:val="22"/>
                <w:szCs w:val="22"/>
                <w:highlight w:val="none"/>
                <w:lang w:val="en-US" w:eastAsia="zh-CN" w:bidi="ar"/>
              </w:rPr>
              <w:t>0.5</w:t>
            </w:r>
            <w:r>
              <w:rPr>
                <w:rFonts w:hint="eastAsia" w:ascii="新宋体" w:hAnsi="新宋体" w:eastAsia="新宋体" w:cs="新宋体"/>
                <w:color w:val="auto"/>
                <w:kern w:val="0"/>
                <w:sz w:val="22"/>
                <w:szCs w:val="22"/>
                <w:highlight w:val="none"/>
                <w:lang w:bidi="ar"/>
              </w:rPr>
              <w:t xml:space="preserve">分，最高得 </w:t>
            </w:r>
            <w:r>
              <w:rPr>
                <w:rFonts w:hint="eastAsia" w:ascii="新宋体" w:hAnsi="新宋体" w:eastAsia="新宋体" w:cs="新宋体"/>
                <w:color w:val="auto"/>
                <w:kern w:val="0"/>
                <w:sz w:val="22"/>
                <w:szCs w:val="22"/>
                <w:highlight w:val="none"/>
                <w:lang w:val="en-US" w:eastAsia="zh-CN" w:bidi="ar"/>
              </w:rPr>
              <w:t>1</w:t>
            </w:r>
            <w:r>
              <w:rPr>
                <w:rFonts w:hint="eastAsia" w:ascii="新宋体" w:hAnsi="新宋体" w:eastAsia="新宋体" w:cs="新宋体"/>
                <w:color w:val="auto"/>
                <w:kern w:val="0"/>
                <w:sz w:val="22"/>
                <w:szCs w:val="22"/>
                <w:highlight w:val="none"/>
                <w:lang w:bidi="ar"/>
              </w:rPr>
              <w:t xml:space="preserve"> 分。供应商须提供证书扫描件，否则不得分。</w:t>
            </w:r>
          </w:p>
        </w:tc>
        <w:tc>
          <w:tcPr>
            <w:tcW w:w="925" w:type="dxa"/>
            <w:vAlign w:val="center"/>
          </w:tcPr>
          <w:p w14:paraId="3690DE76">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分</w:t>
            </w:r>
          </w:p>
        </w:tc>
      </w:tr>
      <w:tr w14:paraId="76430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14:paraId="66EF7934">
            <w:pPr>
              <w:spacing w:line="460" w:lineRule="exact"/>
              <w:jc w:val="center"/>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lang w:val="en-US" w:eastAsia="zh-CN"/>
              </w:rPr>
              <w:t>6</w:t>
            </w:r>
          </w:p>
        </w:tc>
        <w:tc>
          <w:tcPr>
            <w:tcW w:w="7900" w:type="dxa"/>
            <w:vAlign w:val="center"/>
          </w:tcPr>
          <w:p w14:paraId="29631611">
            <w:pPr>
              <w:widowControl/>
              <w:spacing w:line="46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lang w:bidi="ar"/>
              </w:rPr>
              <w:t>供应商磋商截止时间前三年（以合同签订时间为准）的同类案例，每个案例需提供合同和验收报告扫描件，每个案例得 1分，最高得 3 分（同类案例是指与采购标的同品类的产品案例）。</w:t>
            </w:r>
          </w:p>
        </w:tc>
        <w:tc>
          <w:tcPr>
            <w:tcW w:w="925" w:type="dxa"/>
            <w:vAlign w:val="center"/>
          </w:tcPr>
          <w:p w14:paraId="283C8BF9">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3分</w:t>
            </w:r>
          </w:p>
        </w:tc>
      </w:tr>
      <w:tr w14:paraId="3B0DD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3" w:type="dxa"/>
            <w:gridSpan w:val="3"/>
            <w:vAlign w:val="center"/>
          </w:tcPr>
          <w:p w14:paraId="68D60C43">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技术部分</w:t>
            </w:r>
          </w:p>
        </w:tc>
      </w:tr>
      <w:tr w14:paraId="11F51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14:paraId="0EB61FB9">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w:t>
            </w:r>
          </w:p>
        </w:tc>
        <w:tc>
          <w:tcPr>
            <w:tcW w:w="7900" w:type="dxa"/>
            <w:vAlign w:val="center"/>
          </w:tcPr>
          <w:p w14:paraId="704DF50A">
            <w:pPr>
              <w:widowControl/>
              <w:spacing w:line="460" w:lineRule="exact"/>
              <w:jc w:val="left"/>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lang w:bidi="ar"/>
              </w:rPr>
              <w:t xml:space="preserve">与采购标的相关的外观、结构、工艺及技术专利（发明、实用新型、外观设计，专利须在保护期内）： </w:t>
            </w:r>
          </w:p>
          <w:p w14:paraId="2D79114C">
            <w:pPr>
              <w:widowControl/>
              <w:spacing w:line="460" w:lineRule="exact"/>
              <w:jc w:val="left"/>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lang w:bidi="ar"/>
              </w:rPr>
              <w:t xml:space="preserve">1、每项发明专利得 1 分，最高得 3 分； </w:t>
            </w:r>
          </w:p>
          <w:p w14:paraId="0CC28F5A">
            <w:pPr>
              <w:widowControl/>
              <w:spacing w:line="460" w:lineRule="exact"/>
              <w:jc w:val="left"/>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lang w:bidi="ar"/>
              </w:rPr>
              <w:t xml:space="preserve">2、每项实用新型专利得 0.5 分，最高得 1 分； </w:t>
            </w:r>
          </w:p>
          <w:p w14:paraId="4CA23836">
            <w:pPr>
              <w:widowControl/>
              <w:spacing w:line="460" w:lineRule="exact"/>
              <w:jc w:val="left"/>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lang w:bidi="ar"/>
              </w:rPr>
              <w:t xml:space="preserve">3、每项外观专利得 0.25 分，最高得 0.5 分。 </w:t>
            </w:r>
          </w:p>
          <w:p w14:paraId="17A623D4">
            <w:pPr>
              <w:widowControl/>
              <w:spacing w:line="460" w:lineRule="exact"/>
              <w:jc w:val="left"/>
              <w:rPr>
                <w:rFonts w:ascii="新宋体" w:hAnsi="新宋体" w:eastAsia="新宋体" w:cs="新宋体"/>
                <w:snapToGrid w:val="0"/>
                <w:color w:val="auto"/>
                <w:kern w:val="0"/>
                <w:sz w:val="22"/>
                <w:szCs w:val="22"/>
                <w:highlight w:val="none"/>
              </w:rPr>
            </w:pPr>
            <w:r>
              <w:rPr>
                <w:rFonts w:hint="eastAsia" w:ascii="新宋体" w:hAnsi="新宋体" w:eastAsia="新宋体" w:cs="新宋体"/>
                <w:color w:val="auto"/>
                <w:kern w:val="0"/>
                <w:sz w:val="22"/>
                <w:szCs w:val="22"/>
                <w:highlight w:val="none"/>
                <w:lang w:bidi="ar"/>
              </w:rPr>
              <w:t>提供专利证书扫描件，本项目合计最高得3分。</w:t>
            </w:r>
          </w:p>
        </w:tc>
        <w:tc>
          <w:tcPr>
            <w:tcW w:w="925" w:type="dxa"/>
            <w:vAlign w:val="center"/>
          </w:tcPr>
          <w:p w14:paraId="6656CDEB">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3分</w:t>
            </w:r>
          </w:p>
        </w:tc>
      </w:tr>
      <w:tr w14:paraId="30A87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14:paraId="75CB98B3">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w:t>
            </w:r>
          </w:p>
        </w:tc>
        <w:tc>
          <w:tcPr>
            <w:tcW w:w="7900" w:type="dxa"/>
            <w:vAlign w:val="center"/>
          </w:tcPr>
          <w:p w14:paraId="6BEA2BE1">
            <w:pPr>
              <w:widowControl/>
              <w:spacing w:line="460" w:lineRule="exact"/>
              <w:jc w:val="left"/>
              <w:rPr>
                <w:rFonts w:ascii="新宋体" w:hAnsi="新宋体" w:eastAsia="新宋体" w:cs="新宋体"/>
                <w:color w:val="auto"/>
                <w:kern w:val="0"/>
                <w:sz w:val="22"/>
                <w:szCs w:val="22"/>
                <w:highlight w:val="none"/>
                <w:lang w:bidi="ar"/>
              </w:rPr>
            </w:pPr>
            <w:r>
              <w:rPr>
                <w:rFonts w:hint="eastAsia" w:ascii="新宋体" w:hAnsi="新宋体" w:eastAsia="新宋体" w:cs="新宋体"/>
                <w:color w:val="auto"/>
                <w:kern w:val="0"/>
                <w:sz w:val="22"/>
                <w:szCs w:val="22"/>
                <w:highlight w:val="none"/>
                <w:lang w:bidi="ar"/>
              </w:rPr>
              <w:t>提供符合核心技术性能要求的与采购标的同品类（阶梯课桌椅）成品检测报告（2022年5月1日以来）</w:t>
            </w:r>
          </w:p>
          <w:p w14:paraId="7F8C6602">
            <w:pPr>
              <w:widowControl/>
              <w:spacing w:line="460" w:lineRule="exact"/>
              <w:jc w:val="left"/>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lang w:bidi="ar"/>
              </w:rPr>
              <w:t xml:space="preserve">1、力学性能(稳定性全项、符合采购需求的强度及耐久性全项），符合得 1.5 分,不符合不得分； </w:t>
            </w:r>
          </w:p>
          <w:p w14:paraId="49AC5BDE">
            <w:pPr>
              <w:widowControl/>
              <w:spacing w:line="460" w:lineRule="exact"/>
              <w:jc w:val="left"/>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lang w:bidi="ar"/>
              </w:rPr>
              <w:t xml:space="preserve">2、产品涉及的表面理化性能（如：漆膜、软硬质覆面、金属件、封边条表面胶合强度等），符合得 0.5 分，不符合不得分； </w:t>
            </w:r>
          </w:p>
          <w:p w14:paraId="62634E24">
            <w:pPr>
              <w:widowControl/>
              <w:spacing w:line="460" w:lineRule="exact"/>
              <w:jc w:val="left"/>
              <w:rPr>
                <w:rFonts w:ascii="新宋体" w:hAnsi="新宋体" w:eastAsia="新宋体" w:cs="新宋体"/>
                <w:color w:val="auto"/>
                <w:kern w:val="0"/>
                <w:sz w:val="22"/>
                <w:szCs w:val="22"/>
                <w:highlight w:val="none"/>
                <w:lang w:bidi="ar"/>
              </w:rPr>
            </w:pPr>
            <w:r>
              <w:rPr>
                <w:rFonts w:hint="eastAsia" w:ascii="新宋体" w:hAnsi="新宋体" w:eastAsia="新宋体" w:cs="新宋体"/>
                <w:color w:val="auto"/>
                <w:kern w:val="0"/>
                <w:sz w:val="22"/>
                <w:szCs w:val="22"/>
                <w:highlight w:val="none"/>
                <w:lang w:bidi="ar"/>
              </w:rPr>
              <w:t>3、甲醛释放量按对应的国家标准执行评分（选取两项中的其中一项） 得 1.5 分；</w:t>
            </w:r>
          </w:p>
          <w:p w14:paraId="615FABE4">
            <w:pPr>
              <w:widowControl/>
              <w:spacing w:line="460" w:lineRule="exact"/>
              <w:jc w:val="left"/>
              <w:rPr>
                <w:rFonts w:ascii="新宋体" w:hAnsi="新宋体" w:eastAsia="新宋体" w:cs="新宋体"/>
                <w:color w:val="auto"/>
                <w:kern w:val="0"/>
                <w:sz w:val="22"/>
                <w:szCs w:val="22"/>
                <w:highlight w:val="none"/>
                <w:lang w:bidi="ar"/>
              </w:rPr>
            </w:pPr>
            <w:r>
              <w:rPr>
                <w:rFonts w:hint="eastAsia" w:ascii="新宋体" w:hAnsi="新宋体" w:eastAsia="新宋体" w:cs="新宋体"/>
                <w:color w:val="auto"/>
                <w:kern w:val="0"/>
                <w:sz w:val="22"/>
                <w:szCs w:val="22"/>
                <w:highlight w:val="none"/>
                <w:lang w:bidi="ar"/>
              </w:rPr>
              <w:t>（1）按GB 18580-2017执行，甲醛释放量≤0.05mg/m3；</w:t>
            </w:r>
          </w:p>
          <w:p w14:paraId="08D796E3">
            <w:pPr>
              <w:widowControl/>
              <w:spacing w:line="460" w:lineRule="exact"/>
              <w:jc w:val="left"/>
              <w:rPr>
                <w:rFonts w:ascii="新宋体" w:hAnsi="新宋体" w:eastAsia="新宋体" w:cs="新宋体"/>
                <w:color w:val="auto"/>
                <w:kern w:val="0"/>
                <w:sz w:val="22"/>
                <w:szCs w:val="22"/>
                <w:highlight w:val="none"/>
                <w:lang w:bidi="ar"/>
              </w:rPr>
            </w:pPr>
            <w:r>
              <w:rPr>
                <w:rFonts w:hint="eastAsia" w:ascii="新宋体" w:hAnsi="新宋体" w:eastAsia="新宋体" w:cs="新宋体"/>
                <w:color w:val="auto"/>
                <w:kern w:val="0"/>
                <w:sz w:val="22"/>
                <w:szCs w:val="22"/>
                <w:highlight w:val="none"/>
                <w:lang w:bidi="ar"/>
              </w:rPr>
              <w:t>（2）按GB 18584-2001执行，甲醛释放量≤0.5mg/L；</w:t>
            </w:r>
          </w:p>
          <w:p w14:paraId="7FBF0198">
            <w:pPr>
              <w:widowControl/>
              <w:spacing w:line="460" w:lineRule="exact"/>
              <w:jc w:val="left"/>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lang w:bidi="ar"/>
              </w:rPr>
              <w:t xml:space="preserve">4、除第 3 项所涉及的甲醛释放量以外的安全性能和有害物质限量，符合得 1.5 分，不符合不得分。 </w:t>
            </w:r>
          </w:p>
          <w:p w14:paraId="379B6C10">
            <w:pPr>
              <w:widowControl/>
              <w:spacing w:line="460" w:lineRule="exact"/>
              <w:jc w:val="left"/>
              <w:rPr>
                <w:rFonts w:ascii="新宋体" w:hAnsi="新宋体" w:eastAsia="新宋体" w:cs="新宋体"/>
                <w:snapToGrid w:val="0"/>
                <w:color w:val="auto"/>
                <w:kern w:val="0"/>
                <w:sz w:val="22"/>
                <w:szCs w:val="22"/>
                <w:highlight w:val="none"/>
              </w:rPr>
            </w:pPr>
            <w:r>
              <w:rPr>
                <w:rFonts w:hint="eastAsia" w:ascii="新宋体" w:hAnsi="新宋体" w:eastAsia="新宋体" w:cs="新宋体"/>
                <w:color w:val="auto"/>
                <w:kern w:val="0"/>
                <w:sz w:val="22"/>
                <w:szCs w:val="22"/>
                <w:highlight w:val="none"/>
                <w:lang w:bidi="ar"/>
              </w:rPr>
              <w:t xml:space="preserve">注：出具的检测报告必须由具备家具成品及其原辅材料检测能力且具有CMA资质的第三方检测机构提供。 </w:t>
            </w:r>
          </w:p>
        </w:tc>
        <w:tc>
          <w:tcPr>
            <w:tcW w:w="925" w:type="dxa"/>
            <w:vAlign w:val="center"/>
          </w:tcPr>
          <w:p w14:paraId="716C656D">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5分</w:t>
            </w:r>
          </w:p>
        </w:tc>
      </w:tr>
      <w:tr w14:paraId="23EBA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14:paraId="3670E672">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w:t>
            </w:r>
          </w:p>
        </w:tc>
        <w:tc>
          <w:tcPr>
            <w:tcW w:w="7900" w:type="dxa"/>
            <w:vAlign w:val="center"/>
          </w:tcPr>
          <w:p w14:paraId="4DE25E50">
            <w:pPr>
              <w:widowControl/>
              <w:spacing w:line="460" w:lineRule="exact"/>
              <w:jc w:val="left"/>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lang w:bidi="ar"/>
              </w:rPr>
              <w:t>提供符合国家标准或行业标准要求的主要原材料（中密度纤维板、课桌型材、PVC封边、电解钢板、异形高频焊接管、紧固件、防霉抗菌喷涂粉末、座板、椅壳、托盘、尼龙件、连接件等）的检测报告（2023年5月1日以来）。每提供一个种类的原材料检测报告，得 0.5分，最高得</w:t>
            </w:r>
            <w:r>
              <w:rPr>
                <w:rFonts w:hint="eastAsia" w:ascii="新宋体" w:hAnsi="新宋体" w:eastAsia="新宋体" w:cs="新宋体"/>
                <w:color w:val="auto"/>
                <w:kern w:val="0"/>
                <w:sz w:val="22"/>
                <w:szCs w:val="22"/>
                <w:highlight w:val="none"/>
                <w:lang w:val="en-US" w:eastAsia="zh-CN" w:bidi="ar"/>
              </w:rPr>
              <w:t>2</w:t>
            </w:r>
            <w:r>
              <w:rPr>
                <w:rFonts w:hint="eastAsia" w:ascii="新宋体" w:hAnsi="新宋体" w:eastAsia="新宋体" w:cs="新宋体"/>
                <w:color w:val="auto"/>
                <w:kern w:val="0"/>
                <w:sz w:val="22"/>
                <w:szCs w:val="22"/>
                <w:highlight w:val="none"/>
                <w:lang w:bidi="ar"/>
              </w:rPr>
              <w:t xml:space="preserve"> 分。原材料供应商提供符合上述要求的检测报告也可采用，但必须提供供应商购买对应原材料的发票扫描件 </w:t>
            </w:r>
          </w:p>
          <w:p w14:paraId="79DF6F22">
            <w:pPr>
              <w:widowControl/>
              <w:spacing w:line="460" w:lineRule="exact"/>
              <w:jc w:val="left"/>
              <w:rPr>
                <w:rFonts w:ascii="新宋体" w:hAnsi="新宋体" w:eastAsia="新宋体" w:cs="新宋体"/>
                <w:snapToGrid w:val="0"/>
                <w:color w:val="auto"/>
                <w:kern w:val="0"/>
                <w:sz w:val="22"/>
                <w:szCs w:val="22"/>
                <w:highlight w:val="none"/>
              </w:rPr>
            </w:pPr>
            <w:r>
              <w:rPr>
                <w:rFonts w:hint="eastAsia" w:ascii="新宋体" w:hAnsi="新宋体" w:eastAsia="新宋体" w:cs="新宋体"/>
                <w:color w:val="auto"/>
                <w:kern w:val="0"/>
                <w:sz w:val="22"/>
                <w:szCs w:val="22"/>
                <w:highlight w:val="none"/>
                <w:lang w:bidi="ar"/>
              </w:rPr>
              <w:t>注：出具的检测报告必须由具备家具成品及其原辅材料检测能力且具有CMA资质的第三方检测机构提供。</w:t>
            </w:r>
          </w:p>
        </w:tc>
        <w:tc>
          <w:tcPr>
            <w:tcW w:w="925" w:type="dxa"/>
            <w:vAlign w:val="center"/>
          </w:tcPr>
          <w:p w14:paraId="6D99AB8F">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en-US" w:eastAsia="zh-CN"/>
              </w:rPr>
              <w:t>2</w:t>
            </w:r>
            <w:r>
              <w:rPr>
                <w:rFonts w:hint="eastAsia" w:ascii="新宋体" w:hAnsi="新宋体" w:eastAsia="新宋体" w:cs="新宋体"/>
                <w:color w:val="auto"/>
                <w:sz w:val="22"/>
                <w:szCs w:val="22"/>
                <w:highlight w:val="none"/>
              </w:rPr>
              <w:t>分</w:t>
            </w:r>
          </w:p>
        </w:tc>
      </w:tr>
      <w:tr w14:paraId="0512C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14:paraId="63D886A5">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w:t>
            </w:r>
          </w:p>
        </w:tc>
        <w:tc>
          <w:tcPr>
            <w:tcW w:w="7900" w:type="dxa"/>
            <w:vAlign w:val="center"/>
          </w:tcPr>
          <w:p w14:paraId="445D8FDB">
            <w:pPr>
              <w:widowControl/>
              <w:spacing w:line="460" w:lineRule="exact"/>
              <w:jc w:val="left"/>
              <w:rPr>
                <w:rFonts w:ascii="新宋体" w:hAnsi="新宋体" w:eastAsia="新宋体" w:cs="新宋体"/>
                <w:snapToGrid w:val="0"/>
                <w:color w:val="auto"/>
                <w:kern w:val="0"/>
                <w:sz w:val="22"/>
                <w:szCs w:val="22"/>
                <w:highlight w:val="none"/>
              </w:rPr>
            </w:pPr>
            <w:r>
              <w:rPr>
                <w:rFonts w:hint="eastAsia" w:ascii="宋体" w:hAnsi="宋体" w:cs="宋体"/>
                <w:color w:val="auto"/>
                <w:sz w:val="22"/>
                <w:szCs w:val="22"/>
                <w:highlight w:val="none"/>
                <w:lang w:bidi="ar"/>
              </w:rPr>
              <w:t>根据</w:t>
            </w:r>
            <w:r>
              <w:rPr>
                <w:rFonts w:ascii="宋体" w:hAnsi="宋体" w:cs="宋体"/>
                <w:color w:val="auto"/>
                <w:sz w:val="22"/>
                <w:szCs w:val="22"/>
                <w:highlight w:val="none"/>
                <w:lang w:bidi="ar"/>
              </w:rPr>
              <w:t>响应</w:t>
            </w:r>
            <w:r>
              <w:rPr>
                <w:rFonts w:hint="eastAsia" w:ascii="宋体" w:hAnsi="宋体" w:cs="宋体"/>
                <w:color w:val="auto"/>
                <w:sz w:val="22"/>
                <w:szCs w:val="22"/>
                <w:highlight w:val="none"/>
                <w:lang w:bidi="ar"/>
              </w:rPr>
              <w:t>产品</w:t>
            </w:r>
            <w:r>
              <w:rPr>
                <w:rFonts w:ascii="宋体" w:hAnsi="宋体" w:cs="宋体"/>
                <w:color w:val="auto"/>
                <w:sz w:val="22"/>
                <w:szCs w:val="22"/>
                <w:highlight w:val="none"/>
                <w:lang w:bidi="ar"/>
              </w:rPr>
              <w:t>材质、工艺、</w:t>
            </w:r>
            <w:r>
              <w:rPr>
                <w:rFonts w:hint="eastAsia" w:ascii="宋体" w:hAnsi="宋体" w:cs="宋体"/>
                <w:color w:val="auto"/>
                <w:sz w:val="22"/>
                <w:szCs w:val="22"/>
                <w:highlight w:val="none"/>
                <w:lang w:bidi="ar"/>
              </w:rPr>
              <w:t>技术</w:t>
            </w:r>
            <w:r>
              <w:rPr>
                <w:rFonts w:ascii="宋体" w:hAnsi="宋体" w:cs="宋体"/>
                <w:color w:val="auto"/>
                <w:sz w:val="22"/>
                <w:szCs w:val="22"/>
                <w:highlight w:val="none"/>
                <w:lang w:bidi="ar"/>
              </w:rPr>
              <w:t>和配置</w:t>
            </w:r>
            <w:r>
              <w:rPr>
                <w:rFonts w:hint="eastAsia" w:ascii="宋体" w:hAnsi="宋体" w:cs="宋体"/>
                <w:color w:val="auto"/>
                <w:sz w:val="22"/>
                <w:szCs w:val="22"/>
                <w:highlight w:val="none"/>
                <w:lang w:bidi="ar"/>
              </w:rPr>
              <w:t>指标与</w:t>
            </w:r>
            <w:r>
              <w:rPr>
                <w:rFonts w:ascii="宋体" w:hAnsi="宋体" w:cs="宋体"/>
                <w:color w:val="auto"/>
                <w:sz w:val="22"/>
                <w:szCs w:val="22"/>
                <w:highlight w:val="none"/>
                <w:lang w:bidi="ar"/>
              </w:rPr>
              <w:t>磋商</w:t>
            </w:r>
            <w:r>
              <w:rPr>
                <w:rFonts w:hint="eastAsia" w:ascii="宋体" w:hAnsi="宋体" w:cs="宋体"/>
                <w:color w:val="auto"/>
                <w:sz w:val="22"/>
                <w:szCs w:val="22"/>
                <w:highlight w:val="none"/>
                <w:lang w:bidi="ar"/>
              </w:rPr>
              <w:t>文件要求的响应程度，完全响应的得</w:t>
            </w:r>
            <w:r>
              <w:rPr>
                <w:rFonts w:hint="eastAsia" w:ascii="宋体" w:hAnsi="宋体" w:cs="宋体"/>
                <w:color w:val="auto"/>
                <w:sz w:val="22"/>
                <w:szCs w:val="22"/>
                <w:highlight w:val="none"/>
                <w:lang w:val="en-US" w:eastAsia="zh-CN" w:bidi="ar"/>
              </w:rPr>
              <w:t>10</w:t>
            </w:r>
            <w:r>
              <w:rPr>
                <w:rFonts w:hint="eastAsia" w:ascii="宋体" w:hAnsi="宋体" w:cs="宋体"/>
                <w:color w:val="auto"/>
                <w:sz w:val="22"/>
                <w:szCs w:val="22"/>
                <w:highlight w:val="none"/>
                <w:lang w:bidi="ar"/>
              </w:rPr>
              <w:t>分，每负偏离一项扣1分，扣完为止。</w:t>
            </w:r>
            <w:r>
              <w:rPr>
                <w:rFonts w:ascii="宋体" w:hAnsi="宋体" w:cs="宋体"/>
                <w:color w:val="auto"/>
                <w:sz w:val="24"/>
                <w:highlight w:val="none"/>
              </w:rPr>
              <w:t xml:space="preserve"> </w:t>
            </w:r>
          </w:p>
        </w:tc>
        <w:tc>
          <w:tcPr>
            <w:tcW w:w="925" w:type="dxa"/>
            <w:vAlign w:val="center"/>
          </w:tcPr>
          <w:p w14:paraId="6FAB5C57">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en-US" w:eastAsia="zh-CN"/>
              </w:rPr>
              <w:t>10</w:t>
            </w:r>
            <w:r>
              <w:rPr>
                <w:rFonts w:hint="eastAsia" w:ascii="新宋体" w:hAnsi="新宋体" w:eastAsia="新宋体" w:cs="新宋体"/>
                <w:color w:val="auto"/>
                <w:sz w:val="22"/>
                <w:szCs w:val="22"/>
                <w:highlight w:val="none"/>
              </w:rPr>
              <w:t>分</w:t>
            </w:r>
          </w:p>
        </w:tc>
      </w:tr>
      <w:tr w14:paraId="66483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14:paraId="6176AEC7">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w:t>
            </w:r>
          </w:p>
        </w:tc>
        <w:tc>
          <w:tcPr>
            <w:tcW w:w="7900" w:type="dxa"/>
            <w:vAlign w:val="center"/>
          </w:tcPr>
          <w:p w14:paraId="67D3FF66">
            <w:pPr>
              <w:widowControl/>
              <w:spacing w:line="460" w:lineRule="exact"/>
              <w:jc w:val="left"/>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lang w:bidi="ar"/>
              </w:rPr>
              <w:t xml:space="preserve">提供生产厂家的核心专业生产设备，每项设备得 0.5 分，最高得 3 分。核心生产设备按品类，具体要求如下： </w:t>
            </w:r>
          </w:p>
          <w:p w14:paraId="0F629C80">
            <w:pPr>
              <w:widowControl/>
              <w:spacing w:line="460" w:lineRule="exact"/>
              <w:jc w:val="left"/>
              <w:rPr>
                <w:rFonts w:ascii="新宋体" w:hAnsi="新宋体" w:eastAsia="新宋体" w:cs="新宋体"/>
                <w:snapToGrid w:val="0"/>
                <w:color w:val="auto"/>
                <w:kern w:val="0"/>
                <w:sz w:val="22"/>
                <w:szCs w:val="22"/>
                <w:highlight w:val="none"/>
              </w:rPr>
            </w:pPr>
            <w:r>
              <w:rPr>
                <w:rFonts w:hint="eastAsia" w:ascii="新宋体" w:hAnsi="新宋体" w:eastAsia="新宋体" w:cs="新宋体"/>
                <w:snapToGrid w:val="0"/>
                <w:color w:val="auto"/>
                <w:kern w:val="0"/>
                <w:sz w:val="22"/>
                <w:szCs w:val="22"/>
                <w:highlight w:val="none"/>
              </w:rPr>
              <w:t>焊接机器人工作站、全自动数控裁板锯、智能木工钻铣加工中心、砂光机、立式木工铣床、冷压机、三层热压机、双面刨床、十页拼板机、UV漆自动喷涂生产线、活性炭吸附处理设备、木工粉尘处理设备、喷漆废气处理设备、水洗式木磨粉尘处理设备、无尘面漆喷漆设备、色漆底漆面漆喷漆设备、室内中央吸尘机等设备.</w:t>
            </w:r>
          </w:p>
          <w:p w14:paraId="66A00231">
            <w:pPr>
              <w:widowControl/>
              <w:spacing w:line="460" w:lineRule="exact"/>
              <w:jc w:val="left"/>
              <w:rPr>
                <w:rFonts w:ascii="新宋体" w:hAnsi="新宋体" w:eastAsia="新宋体" w:cs="新宋体"/>
                <w:snapToGrid w:val="0"/>
                <w:color w:val="auto"/>
                <w:kern w:val="0"/>
                <w:sz w:val="22"/>
                <w:szCs w:val="22"/>
                <w:highlight w:val="none"/>
              </w:rPr>
            </w:pPr>
            <w:r>
              <w:rPr>
                <w:rFonts w:hint="eastAsia" w:ascii="新宋体" w:hAnsi="新宋体" w:eastAsia="新宋体" w:cs="新宋体"/>
                <w:snapToGrid w:val="0"/>
                <w:color w:val="auto"/>
                <w:kern w:val="0"/>
                <w:sz w:val="22"/>
                <w:szCs w:val="22"/>
                <w:highlight w:val="none"/>
              </w:rPr>
              <w:t>1.供应商需提供采购设备相对应名称的发票复印件以及该设备的现场实物照片，否则不计分。</w:t>
            </w:r>
          </w:p>
          <w:p w14:paraId="7DFBA709">
            <w:pPr>
              <w:widowControl/>
              <w:spacing w:line="460" w:lineRule="exact"/>
              <w:jc w:val="left"/>
              <w:rPr>
                <w:color w:val="auto"/>
                <w:highlight w:val="none"/>
              </w:rPr>
            </w:pPr>
            <w:r>
              <w:rPr>
                <w:rFonts w:hint="eastAsia" w:ascii="新宋体" w:hAnsi="新宋体" w:eastAsia="新宋体" w:cs="新宋体"/>
                <w:snapToGrid w:val="0"/>
                <w:color w:val="auto"/>
                <w:kern w:val="0"/>
                <w:sz w:val="22"/>
                <w:szCs w:val="22"/>
                <w:highlight w:val="none"/>
              </w:rPr>
              <w:t>2. 提供的设备名称叫法不一致，实则为同种设备或同种更先进的设备，需提供证明材料经评审小组一致认可酌情得分。</w:t>
            </w:r>
          </w:p>
        </w:tc>
        <w:tc>
          <w:tcPr>
            <w:tcW w:w="925" w:type="dxa"/>
            <w:vAlign w:val="center"/>
          </w:tcPr>
          <w:p w14:paraId="0B21D8F2">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3分</w:t>
            </w:r>
          </w:p>
        </w:tc>
      </w:tr>
      <w:tr w14:paraId="34FB3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14:paraId="4C551D8A">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w:t>
            </w:r>
          </w:p>
        </w:tc>
        <w:tc>
          <w:tcPr>
            <w:tcW w:w="7900" w:type="dxa"/>
            <w:vAlign w:val="center"/>
          </w:tcPr>
          <w:p w14:paraId="4CF7B8E7">
            <w:pPr>
              <w:widowControl/>
              <w:spacing w:line="460" w:lineRule="exact"/>
              <w:jc w:val="left"/>
              <w:rPr>
                <w:rFonts w:ascii="新宋体" w:hAnsi="新宋体" w:eastAsia="新宋体" w:cs="新宋体"/>
                <w:snapToGrid w:val="0"/>
                <w:color w:val="auto"/>
                <w:kern w:val="0"/>
                <w:sz w:val="22"/>
                <w:szCs w:val="22"/>
                <w:highlight w:val="none"/>
              </w:rPr>
            </w:pPr>
            <w:r>
              <w:rPr>
                <w:rFonts w:hint="eastAsia" w:ascii="新宋体" w:hAnsi="新宋体" w:eastAsia="新宋体" w:cs="新宋体"/>
                <w:color w:val="auto"/>
                <w:kern w:val="0"/>
                <w:sz w:val="22"/>
                <w:szCs w:val="22"/>
                <w:highlight w:val="none"/>
                <w:lang w:bidi="ar"/>
              </w:rPr>
              <w:t>技术团队履历及能力说明，须提供项目负责人、专业技术人员与本项目有关的能力证明以及和供应商之间的关系证明，包括但不限于职称证明、社保证明等材料。根据与采购需求的满足程度，由评审小组判定评分，最高得 2 分。</w:t>
            </w:r>
          </w:p>
        </w:tc>
        <w:tc>
          <w:tcPr>
            <w:tcW w:w="925" w:type="dxa"/>
            <w:vAlign w:val="center"/>
          </w:tcPr>
          <w:p w14:paraId="45A2306A">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2分</w:t>
            </w:r>
          </w:p>
        </w:tc>
      </w:tr>
      <w:tr w14:paraId="21101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14:paraId="688D59D1">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7</w:t>
            </w:r>
          </w:p>
        </w:tc>
        <w:tc>
          <w:tcPr>
            <w:tcW w:w="7900" w:type="dxa"/>
            <w:vAlign w:val="center"/>
          </w:tcPr>
          <w:p w14:paraId="04FCAFDC">
            <w:pPr>
              <w:widowControl/>
              <w:spacing w:line="460" w:lineRule="exact"/>
              <w:jc w:val="left"/>
              <w:rPr>
                <w:rFonts w:ascii="新宋体" w:hAnsi="新宋体" w:eastAsia="新宋体" w:cs="新宋体"/>
                <w:snapToGrid w:val="0"/>
                <w:color w:val="auto"/>
                <w:kern w:val="0"/>
                <w:sz w:val="22"/>
                <w:szCs w:val="22"/>
                <w:highlight w:val="none"/>
              </w:rPr>
            </w:pPr>
            <w:r>
              <w:rPr>
                <w:rFonts w:hint="eastAsia" w:ascii="新宋体" w:hAnsi="新宋体" w:eastAsia="新宋体" w:cs="新宋体"/>
                <w:color w:val="auto"/>
                <w:kern w:val="0"/>
                <w:sz w:val="22"/>
                <w:szCs w:val="22"/>
                <w:highlight w:val="none"/>
                <w:lang w:bidi="ar"/>
              </w:rPr>
              <w:t>项目实施规划方案，提出合理的项目整体实施方案，能按照项目分解节点，并可跟踪实施。根据供应商提供的方案与采购需求的满足程度，由评审小组判定评分，最高得 3 分。</w:t>
            </w:r>
          </w:p>
        </w:tc>
        <w:tc>
          <w:tcPr>
            <w:tcW w:w="925" w:type="dxa"/>
            <w:vAlign w:val="center"/>
          </w:tcPr>
          <w:p w14:paraId="077838CC">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3分</w:t>
            </w:r>
          </w:p>
        </w:tc>
      </w:tr>
      <w:tr w14:paraId="7EDA6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14:paraId="78A33382">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8</w:t>
            </w:r>
          </w:p>
        </w:tc>
        <w:tc>
          <w:tcPr>
            <w:tcW w:w="7900" w:type="dxa"/>
            <w:vAlign w:val="center"/>
          </w:tcPr>
          <w:p w14:paraId="730E7D15">
            <w:pPr>
              <w:widowControl/>
              <w:spacing w:line="460" w:lineRule="exact"/>
              <w:jc w:val="left"/>
              <w:rPr>
                <w:rFonts w:ascii="新宋体" w:hAnsi="新宋体" w:eastAsia="新宋体" w:cs="新宋体"/>
                <w:snapToGrid w:val="0"/>
                <w:color w:val="auto"/>
                <w:kern w:val="0"/>
                <w:sz w:val="22"/>
                <w:szCs w:val="22"/>
                <w:highlight w:val="none"/>
              </w:rPr>
            </w:pPr>
            <w:r>
              <w:rPr>
                <w:rFonts w:hint="eastAsia" w:ascii="新宋体" w:hAnsi="新宋体" w:eastAsia="新宋体" w:cs="新宋体"/>
                <w:color w:val="auto"/>
                <w:kern w:val="0"/>
                <w:sz w:val="22"/>
                <w:szCs w:val="22"/>
                <w:highlight w:val="none"/>
                <w:lang w:bidi="ar"/>
              </w:rPr>
              <w:t>生产实施方案，要具备生产能力，在规定的时间内有计划的完成项目需求产品的生产装配。根据供应商提供的方案与采购需求的满足程度，由评审小组判定评分，最高得 3分。</w:t>
            </w:r>
          </w:p>
        </w:tc>
        <w:tc>
          <w:tcPr>
            <w:tcW w:w="925" w:type="dxa"/>
            <w:vAlign w:val="center"/>
          </w:tcPr>
          <w:p w14:paraId="59CA4567">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3分</w:t>
            </w:r>
          </w:p>
        </w:tc>
      </w:tr>
      <w:tr w14:paraId="29AA8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14:paraId="74E7CF8A">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9</w:t>
            </w:r>
          </w:p>
        </w:tc>
        <w:tc>
          <w:tcPr>
            <w:tcW w:w="7900" w:type="dxa"/>
            <w:vAlign w:val="center"/>
          </w:tcPr>
          <w:p w14:paraId="0385AAD8">
            <w:pPr>
              <w:widowControl/>
              <w:spacing w:line="460" w:lineRule="exact"/>
              <w:jc w:val="left"/>
              <w:rPr>
                <w:rFonts w:ascii="新宋体" w:hAnsi="新宋体" w:eastAsia="新宋体" w:cs="新宋体"/>
                <w:snapToGrid w:val="0"/>
                <w:color w:val="auto"/>
                <w:kern w:val="0"/>
                <w:sz w:val="22"/>
                <w:szCs w:val="22"/>
                <w:highlight w:val="none"/>
              </w:rPr>
            </w:pPr>
            <w:r>
              <w:rPr>
                <w:rFonts w:hint="eastAsia" w:ascii="新宋体" w:hAnsi="新宋体" w:eastAsia="新宋体" w:cs="新宋体"/>
                <w:color w:val="auto"/>
                <w:kern w:val="0"/>
                <w:sz w:val="22"/>
                <w:szCs w:val="22"/>
                <w:highlight w:val="none"/>
                <w:lang w:bidi="ar"/>
              </w:rPr>
              <w:t>品质管理管控方案，有独立品管部门和专门品管人员，确保产品生产过程中的质量控制完善。根据供应商提供的方案与采购需求的满足程度，由评审小组判定评分，最高得 2 分。</w:t>
            </w:r>
          </w:p>
        </w:tc>
        <w:tc>
          <w:tcPr>
            <w:tcW w:w="925" w:type="dxa"/>
            <w:vAlign w:val="center"/>
          </w:tcPr>
          <w:p w14:paraId="5061C41D">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2分</w:t>
            </w:r>
          </w:p>
        </w:tc>
      </w:tr>
      <w:tr w14:paraId="36D2C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14:paraId="4D5E6A88">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10</w:t>
            </w:r>
          </w:p>
        </w:tc>
        <w:tc>
          <w:tcPr>
            <w:tcW w:w="7900" w:type="dxa"/>
            <w:vAlign w:val="center"/>
          </w:tcPr>
          <w:p w14:paraId="7D83430E">
            <w:pPr>
              <w:widowControl/>
              <w:spacing w:line="460" w:lineRule="exact"/>
              <w:jc w:val="left"/>
              <w:rPr>
                <w:rFonts w:ascii="新宋体" w:hAnsi="新宋体" w:eastAsia="新宋体" w:cs="新宋体"/>
                <w:snapToGrid w:val="0"/>
                <w:color w:val="auto"/>
                <w:kern w:val="0"/>
                <w:sz w:val="22"/>
                <w:szCs w:val="22"/>
                <w:highlight w:val="none"/>
              </w:rPr>
            </w:pPr>
            <w:r>
              <w:rPr>
                <w:rFonts w:hint="eastAsia" w:ascii="新宋体" w:hAnsi="新宋体" w:eastAsia="新宋体" w:cs="新宋体"/>
                <w:color w:val="auto"/>
                <w:kern w:val="0"/>
                <w:sz w:val="22"/>
                <w:szCs w:val="22"/>
                <w:highlight w:val="none"/>
                <w:lang w:bidi="ar"/>
              </w:rPr>
              <w:t>安装服务实施方案，安装方案的制定，根据货物交付时间节点，落实送货安装时间和人员安排，确保按期交付使用。根据供应商提供的方案与采购需求的满足情况，由评审小组判定评分，最高得 3 分。</w:t>
            </w:r>
          </w:p>
        </w:tc>
        <w:tc>
          <w:tcPr>
            <w:tcW w:w="925" w:type="dxa"/>
            <w:vAlign w:val="center"/>
          </w:tcPr>
          <w:p w14:paraId="0BCF1EAA">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3分</w:t>
            </w:r>
          </w:p>
        </w:tc>
      </w:tr>
      <w:tr w14:paraId="68941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14:paraId="563DCBE4">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11</w:t>
            </w:r>
          </w:p>
        </w:tc>
        <w:tc>
          <w:tcPr>
            <w:tcW w:w="7900" w:type="dxa"/>
            <w:vAlign w:val="center"/>
          </w:tcPr>
          <w:p w14:paraId="269B5773">
            <w:pPr>
              <w:widowControl/>
              <w:spacing w:line="460" w:lineRule="exact"/>
              <w:jc w:val="left"/>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lang w:bidi="ar"/>
              </w:rPr>
              <w:t xml:space="preserve">售后服务应对方案： </w:t>
            </w:r>
          </w:p>
          <w:p w14:paraId="73ABEDC4">
            <w:pPr>
              <w:widowControl/>
              <w:spacing w:line="460" w:lineRule="exact"/>
              <w:jc w:val="left"/>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lang w:bidi="ar"/>
              </w:rPr>
              <w:t xml:space="preserve">1、提供产品 5 年质量保证期（5 年内免费维修，不能维修免费更换），超过 5 年的每一年加 1 分，最高得 2 分； </w:t>
            </w:r>
          </w:p>
          <w:p w14:paraId="75FFF8F5">
            <w:pPr>
              <w:widowControl/>
              <w:spacing w:line="460" w:lineRule="exact"/>
              <w:jc w:val="left"/>
              <w:rPr>
                <w:rFonts w:ascii="新宋体" w:hAnsi="新宋体" w:eastAsia="新宋体" w:cs="新宋体"/>
                <w:snapToGrid w:val="0"/>
                <w:color w:val="auto"/>
                <w:kern w:val="0"/>
                <w:sz w:val="22"/>
                <w:szCs w:val="22"/>
                <w:highlight w:val="none"/>
              </w:rPr>
            </w:pPr>
            <w:r>
              <w:rPr>
                <w:rFonts w:hint="eastAsia" w:ascii="新宋体" w:hAnsi="新宋体" w:eastAsia="新宋体" w:cs="新宋体"/>
                <w:color w:val="auto"/>
                <w:kern w:val="0"/>
                <w:sz w:val="22"/>
                <w:szCs w:val="22"/>
                <w:highlight w:val="none"/>
                <w:lang w:bidi="ar"/>
              </w:rPr>
              <w:t xml:space="preserve">2、提供详细完整的“三包”措施及售后服务措施和方案（包括服务措施、产品质量保证、回访、技术培训等）。根据供应商提供的方案与采购需求的匹配情况，由评审小组判定评分，最高得 2 分。 </w:t>
            </w:r>
          </w:p>
        </w:tc>
        <w:tc>
          <w:tcPr>
            <w:tcW w:w="925" w:type="dxa"/>
            <w:vAlign w:val="center"/>
          </w:tcPr>
          <w:p w14:paraId="2DA912F7">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4分</w:t>
            </w:r>
          </w:p>
        </w:tc>
      </w:tr>
      <w:tr w14:paraId="7158B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3" w:type="dxa"/>
            <w:gridSpan w:val="3"/>
            <w:vAlign w:val="center"/>
          </w:tcPr>
          <w:p w14:paraId="62E5E0F2">
            <w:pPr>
              <w:widowControl/>
              <w:spacing w:line="460" w:lineRule="exact"/>
              <w:ind w:firstLine="539" w:firstLineChars="245"/>
              <w:jc w:val="center"/>
              <w:outlineLvl w:val="1"/>
              <w:rPr>
                <w:rFonts w:ascii="新宋体" w:hAnsi="新宋体" w:eastAsia="新宋体" w:cs="新宋体"/>
                <w:color w:val="auto"/>
                <w:sz w:val="22"/>
                <w:szCs w:val="22"/>
                <w:highlight w:val="none"/>
              </w:rPr>
            </w:pPr>
            <w:bookmarkStart w:id="330" w:name="_Toc6970"/>
            <w:bookmarkStart w:id="331" w:name="_Toc15925"/>
            <w:bookmarkStart w:id="332" w:name="_Toc7478"/>
            <w:bookmarkStart w:id="333" w:name="_Toc4947"/>
            <w:r>
              <w:rPr>
                <w:rFonts w:hint="eastAsia" w:ascii="新宋体" w:hAnsi="新宋体" w:eastAsia="新宋体" w:cs="新宋体"/>
                <w:color w:val="auto"/>
                <w:kern w:val="0"/>
                <w:sz w:val="22"/>
                <w:szCs w:val="22"/>
                <w:highlight w:val="none"/>
                <w:lang w:bidi="ar"/>
              </w:rPr>
              <w:t>样品部分（</w:t>
            </w:r>
            <w:r>
              <w:rPr>
                <w:rFonts w:hint="eastAsia" w:ascii="宋体" w:hAnsi="宋体" w:cs="宋体"/>
                <w:b/>
                <w:bCs/>
                <w:color w:val="auto"/>
                <w:sz w:val="22"/>
                <w:szCs w:val="22"/>
                <w:highlight w:val="none"/>
                <w:u w:val="single"/>
              </w:rPr>
              <w:t>未提供样品或提供样品种类数量不全的，磋商无效。</w:t>
            </w:r>
            <w:r>
              <w:rPr>
                <w:rFonts w:hint="eastAsia" w:ascii="新宋体" w:hAnsi="新宋体" w:eastAsia="新宋体" w:cs="新宋体"/>
                <w:color w:val="auto"/>
                <w:kern w:val="0"/>
                <w:sz w:val="22"/>
                <w:szCs w:val="22"/>
                <w:highlight w:val="none"/>
                <w:lang w:bidi="ar"/>
              </w:rPr>
              <w:t>）</w:t>
            </w:r>
            <w:bookmarkEnd w:id="330"/>
            <w:bookmarkEnd w:id="331"/>
            <w:bookmarkEnd w:id="332"/>
            <w:bookmarkEnd w:id="333"/>
          </w:p>
        </w:tc>
      </w:tr>
      <w:tr w14:paraId="17FAE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14:paraId="42C28D5F">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w:t>
            </w:r>
          </w:p>
        </w:tc>
        <w:tc>
          <w:tcPr>
            <w:tcW w:w="7900" w:type="dxa"/>
            <w:vAlign w:val="center"/>
          </w:tcPr>
          <w:p w14:paraId="12C53870">
            <w:pPr>
              <w:widowControl/>
              <w:spacing w:line="460" w:lineRule="exact"/>
              <w:jc w:val="left"/>
              <w:rPr>
                <w:rFonts w:ascii="新宋体" w:hAnsi="新宋体" w:eastAsia="新宋体" w:cs="新宋体"/>
                <w:color w:val="auto"/>
                <w:kern w:val="0"/>
                <w:sz w:val="22"/>
                <w:szCs w:val="22"/>
                <w:highlight w:val="none"/>
                <w:lang w:bidi="ar"/>
              </w:rPr>
            </w:pPr>
            <w:r>
              <w:rPr>
                <w:rFonts w:hint="eastAsia" w:ascii="新宋体" w:hAnsi="新宋体" w:eastAsia="新宋体" w:cs="新宋体"/>
                <w:color w:val="auto"/>
                <w:kern w:val="0"/>
                <w:sz w:val="22"/>
                <w:szCs w:val="22"/>
                <w:highlight w:val="none"/>
                <w:lang w:bidi="ar"/>
              </w:rPr>
              <w:t>产品主要尺寸、 形状及位置公差 ：</w:t>
            </w:r>
          </w:p>
          <w:p w14:paraId="54EECFC5">
            <w:pPr>
              <w:widowControl/>
              <w:spacing w:line="460" w:lineRule="exact"/>
              <w:jc w:val="left"/>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lang w:bidi="ar"/>
              </w:rPr>
              <w:t xml:space="preserve">采购人有明确要求且明示的产品尺寸(测量工具：0～3m钢卷尺，精度1mm)； </w:t>
            </w:r>
          </w:p>
          <w:p w14:paraId="68AE8F20">
            <w:pPr>
              <w:widowControl/>
              <w:spacing w:line="460" w:lineRule="exact"/>
              <w:jc w:val="left"/>
              <w:rPr>
                <w:rFonts w:ascii="新宋体" w:hAnsi="新宋体" w:eastAsia="新宋体" w:cs="新宋体"/>
                <w:color w:val="auto"/>
                <w:kern w:val="0"/>
                <w:sz w:val="22"/>
                <w:szCs w:val="22"/>
                <w:highlight w:val="none"/>
                <w:lang w:bidi="ar"/>
              </w:rPr>
            </w:pPr>
            <w:r>
              <w:rPr>
                <w:rFonts w:hint="eastAsia" w:ascii="新宋体" w:hAnsi="新宋体" w:eastAsia="新宋体" w:cs="新宋体"/>
                <w:b/>
                <w:bCs/>
                <w:color w:val="auto"/>
                <w:kern w:val="0"/>
                <w:sz w:val="22"/>
                <w:szCs w:val="22"/>
                <w:highlight w:val="none"/>
                <w:lang w:bidi="ar"/>
              </w:rPr>
              <w:t>每偏离一个参数指标扣</w:t>
            </w:r>
            <w:r>
              <w:rPr>
                <w:rFonts w:ascii="新宋体" w:hAnsi="新宋体" w:eastAsia="新宋体" w:cs="新宋体"/>
                <w:b/>
                <w:bCs/>
                <w:color w:val="auto"/>
                <w:kern w:val="0"/>
                <w:sz w:val="22"/>
                <w:szCs w:val="22"/>
                <w:highlight w:val="none"/>
                <w:lang w:bidi="ar"/>
              </w:rPr>
              <w:t>1</w:t>
            </w:r>
            <w:r>
              <w:rPr>
                <w:rFonts w:hint="eastAsia" w:ascii="新宋体" w:hAnsi="新宋体" w:eastAsia="新宋体" w:cs="新宋体"/>
                <w:b/>
                <w:bCs/>
                <w:color w:val="auto"/>
                <w:kern w:val="0"/>
                <w:sz w:val="22"/>
                <w:szCs w:val="22"/>
                <w:highlight w:val="none"/>
                <w:lang w:bidi="ar"/>
              </w:rPr>
              <w:t>分，扣完为止。</w:t>
            </w:r>
          </w:p>
        </w:tc>
        <w:tc>
          <w:tcPr>
            <w:tcW w:w="925" w:type="dxa"/>
            <w:vAlign w:val="center"/>
          </w:tcPr>
          <w:p w14:paraId="769944C1">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2分</w:t>
            </w:r>
          </w:p>
        </w:tc>
      </w:tr>
      <w:tr w14:paraId="262E5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14:paraId="41916801">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w:t>
            </w:r>
          </w:p>
        </w:tc>
        <w:tc>
          <w:tcPr>
            <w:tcW w:w="7900" w:type="dxa"/>
            <w:vAlign w:val="center"/>
          </w:tcPr>
          <w:p w14:paraId="0A12A901">
            <w:pPr>
              <w:widowControl/>
              <w:spacing w:line="460" w:lineRule="exact"/>
              <w:jc w:val="left"/>
              <w:rPr>
                <w:rFonts w:ascii="新宋体" w:hAnsi="新宋体" w:eastAsia="新宋体" w:cs="新宋体"/>
                <w:color w:val="auto"/>
                <w:kern w:val="0"/>
                <w:sz w:val="22"/>
                <w:szCs w:val="22"/>
                <w:highlight w:val="none"/>
                <w:lang w:bidi="ar"/>
              </w:rPr>
            </w:pPr>
            <w:r>
              <w:rPr>
                <w:rFonts w:hint="eastAsia" w:ascii="新宋体" w:hAnsi="新宋体" w:eastAsia="新宋体" w:cs="新宋体"/>
                <w:color w:val="auto"/>
                <w:kern w:val="0"/>
                <w:sz w:val="22"/>
                <w:szCs w:val="22"/>
                <w:highlight w:val="none"/>
                <w:lang w:bidi="ar"/>
              </w:rPr>
              <w:t>材料要求：</w:t>
            </w:r>
          </w:p>
          <w:p w14:paraId="63B91B14">
            <w:pPr>
              <w:widowControl/>
              <w:spacing w:line="460" w:lineRule="exact"/>
              <w:jc w:val="left"/>
              <w:rPr>
                <w:rFonts w:ascii="新宋体" w:hAnsi="新宋体" w:eastAsia="新宋体" w:cs="新宋体"/>
                <w:color w:val="auto"/>
                <w:kern w:val="0"/>
                <w:sz w:val="22"/>
                <w:szCs w:val="22"/>
                <w:highlight w:val="none"/>
                <w:lang w:bidi="ar"/>
              </w:rPr>
            </w:pPr>
            <w:r>
              <w:rPr>
                <w:rFonts w:hint="eastAsia" w:ascii="新宋体" w:hAnsi="新宋体" w:eastAsia="新宋体" w:cs="新宋体"/>
                <w:color w:val="auto"/>
                <w:kern w:val="0"/>
                <w:sz w:val="22"/>
                <w:szCs w:val="22"/>
                <w:highlight w:val="none"/>
                <w:lang w:bidi="ar"/>
              </w:rPr>
              <w:t>1、样品所选用板材、封边条等原辅材料与技术参数的符合性进行评分（0-2分）</w:t>
            </w:r>
          </w:p>
          <w:p w14:paraId="22E60E3C">
            <w:pPr>
              <w:widowControl/>
              <w:spacing w:line="460" w:lineRule="exact"/>
              <w:jc w:val="left"/>
              <w:rPr>
                <w:rFonts w:ascii="新宋体" w:hAnsi="新宋体" w:eastAsia="新宋体" w:cs="新宋体"/>
                <w:color w:val="auto"/>
                <w:kern w:val="0"/>
                <w:sz w:val="22"/>
                <w:szCs w:val="22"/>
                <w:highlight w:val="none"/>
                <w:lang w:bidi="ar"/>
              </w:rPr>
            </w:pPr>
            <w:r>
              <w:rPr>
                <w:rFonts w:hint="eastAsia" w:ascii="新宋体" w:hAnsi="新宋体" w:eastAsia="新宋体" w:cs="新宋体"/>
                <w:color w:val="auto"/>
                <w:kern w:val="0"/>
                <w:sz w:val="22"/>
                <w:szCs w:val="22"/>
                <w:highlight w:val="none"/>
                <w:lang w:bidi="ar"/>
              </w:rPr>
              <w:t>2、五金配件与技术参数的符合性进行评分 （0-1分）</w:t>
            </w:r>
          </w:p>
        </w:tc>
        <w:tc>
          <w:tcPr>
            <w:tcW w:w="925" w:type="dxa"/>
            <w:vAlign w:val="center"/>
          </w:tcPr>
          <w:p w14:paraId="5E84048B">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3分</w:t>
            </w:r>
          </w:p>
        </w:tc>
      </w:tr>
      <w:tr w14:paraId="3B734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14:paraId="53B940E6">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w:t>
            </w:r>
          </w:p>
        </w:tc>
        <w:tc>
          <w:tcPr>
            <w:tcW w:w="7900" w:type="dxa"/>
            <w:vAlign w:val="center"/>
          </w:tcPr>
          <w:p w14:paraId="07997149">
            <w:pPr>
              <w:widowControl/>
              <w:spacing w:line="460" w:lineRule="exact"/>
              <w:jc w:val="left"/>
              <w:rPr>
                <w:rFonts w:ascii="新宋体" w:hAnsi="新宋体" w:eastAsia="新宋体" w:cs="新宋体"/>
                <w:color w:val="auto"/>
                <w:kern w:val="0"/>
                <w:sz w:val="22"/>
                <w:szCs w:val="22"/>
                <w:highlight w:val="none"/>
                <w:lang w:bidi="ar"/>
              </w:rPr>
            </w:pPr>
            <w:r>
              <w:rPr>
                <w:rFonts w:hint="eastAsia" w:ascii="新宋体" w:hAnsi="新宋体" w:eastAsia="新宋体" w:cs="新宋体"/>
                <w:color w:val="auto"/>
                <w:kern w:val="0"/>
                <w:sz w:val="22"/>
                <w:szCs w:val="22"/>
                <w:highlight w:val="none"/>
                <w:lang w:bidi="ar"/>
              </w:rPr>
              <w:t>外观要求：</w:t>
            </w:r>
          </w:p>
          <w:p w14:paraId="3B9502E2">
            <w:pPr>
              <w:widowControl/>
              <w:spacing w:line="460" w:lineRule="exact"/>
              <w:jc w:val="left"/>
              <w:rPr>
                <w:rFonts w:ascii="新宋体" w:hAnsi="新宋体" w:eastAsia="新宋体" w:cs="新宋体"/>
                <w:color w:val="auto"/>
                <w:kern w:val="0"/>
                <w:sz w:val="22"/>
                <w:szCs w:val="22"/>
                <w:highlight w:val="none"/>
                <w:lang w:bidi="ar"/>
              </w:rPr>
            </w:pPr>
            <w:r>
              <w:rPr>
                <w:rFonts w:hint="eastAsia" w:ascii="新宋体" w:hAnsi="新宋体" w:eastAsia="新宋体" w:cs="新宋体"/>
                <w:color w:val="auto"/>
                <w:kern w:val="0"/>
                <w:sz w:val="22"/>
                <w:szCs w:val="22"/>
                <w:highlight w:val="none"/>
                <w:lang w:bidi="ar"/>
              </w:rPr>
              <w:t xml:space="preserve">1、不应有蛀虫现象，应无贯通裂缝；外表应无腐朽材。（0-1分）  </w:t>
            </w:r>
          </w:p>
          <w:p w14:paraId="40EB5A9D">
            <w:pPr>
              <w:widowControl/>
              <w:spacing w:line="460" w:lineRule="exact"/>
              <w:jc w:val="left"/>
              <w:rPr>
                <w:rFonts w:ascii="新宋体" w:hAnsi="新宋体" w:eastAsia="新宋体" w:cs="新宋体"/>
                <w:color w:val="auto"/>
                <w:kern w:val="0"/>
                <w:sz w:val="22"/>
                <w:szCs w:val="22"/>
                <w:highlight w:val="none"/>
                <w:lang w:bidi="ar"/>
              </w:rPr>
            </w:pPr>
            <w:r>
              <w:rPr>
                <w:rFonts w:hint="eastAsia" w:ascii="新宋体" w:hAnsi="新宋体" w:eastAsia="新宋体" w:cs="新宋体"/>
                <w:color w:val="auto"/>
                <w:kern w:val="0"/>
                <w:sz w:val="22"/>
                <w:szCs w:val="22"/>
                <w:highlight w:val="none"/>
                <w:lang w:bidi="ar"/>
              </w:rPr>
              <w:t xml:space="preserve">2、漆膜外观同色部件的色泽应相似；（0-1分） </w:t>
            </w:r>
          </w:p>
          <w:p w14:paraId="14AFC71C">
            <w:pPr>
              <w:widowControl/>
              <w:spacing w:line="460" w:lineRule="exact"/>
              <w:jc w:val="left"/>
              <w:rPr>
                <w:rFonts w:ascii="新宋体" w:hAnsi="新宋体" w:eastAsia="新宋体" w:cs="新宋体"/>
                <w:color w:val="auto"/>
                <w:kern w:val="0"/>
                <w:sz w:val="22"/>
                <w:szCs w:val="22"/>
                <w:highlight w:val="none"/>
                <w:lang w:bidi="ar"/>
              </w:rPr>
            </w:pPr>
            <w:r>
              <w:rPr>
                <w:rFonts w:hint="eastAsia" w:ascii="新宋体" w:hAnsi="新宋体" w:eastAsia="新宋体" w:cs="新宋体"/>
                <w:color w:val="auto"/>
                <w:kern w:val="0"/>
                <w:sz w:val="22"/>
                <w:szCs w:val="22"/>
                <w:highlight w:val="none"/>
                <w:lang w:bidi="ar"/>
              </w:rPr>
              <w:t xml:space="preserve">3、漆膜外观应无褪色、掉色现象；（0-1分） </w:t>
            </w:r>
          </w:p>
          <w:p w14:paraId="6FADDE74">
            <w:pPr>
              <w:widowControl/>
              <w:spacing w:line="460" w:lineRule="exact"/>
              <w:jc w:val="left"/>
              <w:rPr>
                <w:rFonts w:ascii="新宋体" w:hAnsi="新宋体" w:eastAsia="新宋体" w:cs="新宋体"/>
                <w:color w:val="auto"/>
                <w:kern w:val="0"/>
                <w:sz w:val="22"/>
                <w:szCs w:val="22"/>
                <w:highlight w:val="none"/>
                <w:lang w:bidi="ar"/>
              </w:rPr>
            </w:pPr>
            <w:r>
              <w:rPr>
                <w:rFonts w:hint="eastAsia" w:ascii="新宋体" w:hAnsi="新宋体" w:eastAsia="新宋体" w:cs="新宋体"/>
                <w:color w:val="auto"/>
                <w:kern w:val="0"/>
                <w:sz w:val="22"/>
                <w:szCs w:val="22"/>
                <w:highlight w:val="none"/>
                <w:lang w:bidi="ar"/>
              </w:rPr>
              <w:t>4、涂层不应有皱皮、发粘或漏漆现象； （0-1分）</w:t>
            </w:r>
          </w:p>
          <w:p w14:paraId="5C6A70D2">
            <w:pPr>
              <w:widowControl/>
              <w:spacing w:line="460" w:lineRule="exact"/>
              <w:jc w:val="left"/>
              <w:rPr>
                <w:rFonts w:ascii="新宋体" w:hAnsi="新宋体" w:eastAsia="新宋体" w:cs="新宋体"/>
                <w:color w:val="auto"/>
                <w:kern w:val="0"/>
                <w:sz w:val="22"/>
                <w:szCs w:val="22"/>
                <w:highlight w:val="none"/>
                <w:lang w:bidi="ar"/>
              </w:rPr>
            </w:pPr>
            <w:r>
              <w:rPr>
                <w:rFonts w:hint="eastAsia" w:ascii="新宋体" w:hAnsi="新宋体" w:eastAsia="新宋体" w:cs="新宋体"/>
                <w:color w:val="auto"/>
                <w:kern w:val="0"/>
                <w:sz w:val="22"/>
                <w:szCs w:val="22"/>
                <w:highlight w:val="none"/>
                <w:lang w:bidi="ar"/>
              </w:rPr>
              <w:t>5、涂层应平整光滑、清晰、无明显粒子、涨边现象；应无明显加工痕迹、划痕、雾光、白棱、白点、鼓泡、油白、流挂、缩孔、 刷毛、积粉和杂渣。（0-1分）</w:t>
            </w:r>
          </w:p>
        </w:tc>
        <w:tc>
          <w:tcPr>
            <w:tcW w:w="925" w:type="dxa"/>
            <w:vAlign w:val="center"/>
          </w:tcPr>
          <w:p w14:paraId="08F5E0A6">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5分</w:t>
            </w:r>
          </w:p>
        </w:tc>
      </w:tr>
      <w:tr w14:paraId="21DB4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14:paraId="3A251E7F">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w:t>
            </w:r>
          </w:p>
        </w:tc>
        <w:tc>
          <w:tcPr>
            <w:tcW w:w="7900" w:type="dxa"/>
            <w:vAlign w:val="center"/>
          </w:tcPr>
          <w:p w14:paraId="1AEE662B">
            <w:pPr>
              <w:widowControl/>
              <w:spacing w:line="460" w:lineRule="exact"/>
              <w:jc w:val="left"/>
              <w:rPr>
                <w:rFonts w:ascii="新宋体" w:hAnsi="新宋体" w:eastAsia="新宋体" w:cs="新宋体"/>
                <w:color w:val="auto"/>
                <w:kern w:val="0"/>
                <w:sz w:val="22"/>
                <w:szCs w:val="22"/>
                <w:highlight w:val="none"/>
                <w:lang w:bidi="ar"/>
              </w:rPr>
            </w:pPr>
            <w:r>
              <w:rPr>
                <w:rFonts w:hint="eastAsia" w:ascii="新宋体" w:hAnsi="新宋体" w:eastAsia="新宋体" w:cs="新宋体"/>
                <w:color w:val="auto"/>
                <w:kern w:val="0"/>
                <w:sz w:val="22"/>
                <w:szCs w:val="22"/>
                <w:highlight w:val="none"/>
                <w:lang w:bidi="ar"/>
              </w:rPr>
              <w:t>制作工艺：</w:t>
            </w:r>
          </w:p>
          <w:p w14:paraId="65FE4C3F">
            <w:pPr>
              <w:widowControl/>
              <w:spacing w:line="460" w:lineRule="exact"/>
              <w:jc w:val="left"/>
              <w:rPr>
                <w:rFonts w:ascii="新宋体" w:hAnsi="新宋体" w:eastAsia="新宋体" w:cs="新宋体"/>
                <w:color w:val="auto"/>
                <w:kern w:val="0"/>
                <w:sz w:val="22"/>
                <w:szCs w:val="22"/>
                <w:highlight w:val="none"/>
                <w:lang w:bidi="ar"/>
              </w:rPr>
            </w:pPr>
            <w:r>
              <w:rPr>
                <w:rFonts w:hint="eastAsia" w:ascii="新宋体" w:hAnsi="新宋体" w:eastAsia="新宋体" w:cs="新宋体"/>
                <w:color w:val="auto"/>
                <w:kern w:val="0"/>
                <w:sz w:val="22"/>
                <w:szCs w:val="22"/>
                <w:highlight w:val="none"/>
                <w:lang w:bidi="ar"/>
              </w:rPr>
              <w:t>1、零件结合应牢固，外表结合处缝隙紧密（0-1分）；</w:t>
            </w:r>
          </w:p>
          <w:p w14:paraId="40AE0A5B">
            <w:pPr>
              <w:widowControl/>
              <w:spacing w:line="460" w:lineRule="exact"/>
              <w:jc w:val="left"/>
              <w:rPr>
                <w:rFonts w:ascii="新宋体" w:hAnsi="新宋体" w:eastAsia="新宋体" w:cs="新宋体"/>
                <w:color w:val="auto"/>
                <w:kern w:val="0"/>
                <w:sz w:val="22"/>
                <w:szCs w:val="22"/>
                <w:highlight w:val="none"/>
                <w:lang w:bidi="ar"/>
              </w:rPr>
            </w:pPr>
            <w:r>
              <w:rPr>
                <w:rFonts w:hint="eastAsia" w:ascii="新宋体" w:hAnsi="新宋体" w:eastAsia="新宋体" w:cs="新宋体"/>
                <w:color w:val="auto"/>
                <w:kern w:val="0"/>
                <w:sz w:val="22"/>
                <w:szCs w:val="22"/>
                <w:highlight w:val="none"/>
                <w:lang w:bidi="ar"/>
              </w:rPr>
              <w:t>2、其他材料贴面的拼贴应严密、平整，不允许有脱胶、明显透胶、鼓泡、凹陷、压痕以及表面划伤、麻点、裂痕、崩角和刃口（0-1分）；</w:t>
            </w:r>
          </w:p>
          <w:p w14:paraId="34F808F3">
            <w:pPr>
              <w:widowControl/>
              <w:spacing w:line="460" w:lineRule="exact"/>
              <w:jc w:val="left"/>
              <w:rPr>
                <w:rFonts w:ascii="新宋体" w:hAnsi="新宋体" w:eastAsia="新宋体" w:cs="新宋体"/>
                <w:color w:val="auto"/>
                <w:kern w:val="0"/>
                <w:sz w:val="22"/>
                <w:szCs w:val="22"/>
                <w:highlight w:val="none"/>
                <w:lang w:bidi="ar"/>
              </w:rPr>
            </w:pPr>
            <w:r>
              <w:rPr>
                <w:rFonts w:hint="eastAsia" w:ascii="新宋体" w:hAnsi="新宋体" w:eastAsia="新宋体" w:cs="新宋体"/>
                <w:color w:val="auto"/>
                <w:kern w:val="0"/>
                <w:sz w:val="22"/>
                <w:szCs w:val="22"/>
                <w:highlight w:val="none"/>
                <w:lang w:bidi="ar"/>
              </w:rPr>
              <w:t>3、贴面的纹理、图案、颜色应对称相似（0-1分）；</w:t>
            </w:r>
          </w:p>
          <w:p w14:paraId="3375BFA8">
            <w:pPr>
              <w:widowControl/>
              <w:spacing w:line="460" w:lineRule="exact"/>
              <w:jc w:val="left"/>
              <w:rPr>
                <w:rFonts w:ascii="新宋体" w:hAnsi="新宋体" w:eastAsia="新宋体" w:cs="新宋体"/>
                <w:color w:val="auto"/>
                <w:kern w:val="0"/>
                <w:sz w:val="22"/>
                <w:szCs w:val="22"/>
                <w:highlight w:val="none"/>
                <w:lang w:bidi="ar"/>
              </w:rPr>
            </w:pPr>
            <w:r>
              <w:rPr>
                <w:rFonts w:hint="eastAsia" w:ascii="新宋体" w:hAnsi="新宋体" w:eastAsia="新宋体" w:cs="新宋体"/>
                <w:color w:val="auto"/>
                <w:kern w:val="0"/>
                <w:sz w:val="22"/>
                <w:szCs w:val="22"/>
                <w:highlight w:val="none"/>
                <w:lang w:bidi="ar"/>
              </w:rPr>
              <w:t>4、各种配件结合处应无崩茬或松动（0-1分）。</w:t>
            </w:r>
          </w:p>
        </w:tc>
        <w:tc>
          <w:tcPr>
            <w:tcW w:w="925" w:type="dxa"/>
            <w:vAlign w:val="center"/>
          </w:tcPr>
          <w:p w14:paraId="45A72354">
            <w:pPr>
              <w:pStyle w:val="2"/>
              <w:spacing w:line="460" w:lineRule="exact"/>
              <w:ind w:left="440" w:hanging="440"/>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4分</w:t>
            </w:r>
          </w:p>
        </w:tc>
      </w:tr>
      <w:tr w14:paraId="0D310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14:paraId="56288CAD">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w:t>
            </w:r>
          </w:p>
        </w:tc>
        <w:tc>
          <w:tcPr>
            <w:tcW w:w="7900" w:type="dxa"/>
            <w:vAlign w:val="center"/>
          </w:tcPr>
          <w:p w14:paraId="533D6D00">
            <w:pPr>
              <w:widowControl/>
              <w:spacing w:line="460" w:lineRule="exact"/>
              <w:jc w:val="left"/>
              <w:rPr>
                <w:rFonts w:ascii="新宋体" w:hAnsi="新宋体" w:eastAsia="新宋体" w:cs="新宋体"/>
                <w:color w:val="auto"/>
                <w:kern w:val="0"/>
                <w:sz w:val="22"/>
                <w:szCs w:val="22"/>
                <w:highlight w:val="none"/>
                <w:lang w:bidi="ar"/>
              </w:rPr>
            </w:pPr>
            <w:r>
              <w:rPr>
                <w:rFonts w:hint="eastAsia" w:ascii="新宋体" w:hAnsi="新宋体" w:eastAsia="新宋体" w:cs="新宋体"/>
                <w:color w:val="auto"/>
                <w:kern w:val="0"/>
                <w:sz w:val="22"/>
                <w:szCs w:val="22"/>
                <w:highlight w:val="none"/>
                <w:lang w:bidi="ar"/>
              </w:rPr>
              <w:t>结构及安全要求：</w:t>
            </w:r>
          </w:p>
          <w:p w14:paraId="6F39348A">
            <w:pPr>
              <w:widowControl/>
              <w:spacing w:line="460" w:lineRule="exact"/>
              <w:jc w:val="left"/>
              <w:rPr>
                <w:rFonts w:ascii="新宋体" w:hAnsi="新宋体" w:eastAsia="新宋体" w:cs="新宋体"/>
                <w:color w:val="auto"/>
                <w:kern w:val="0"/>
                <w:sz w:val="22"/>
                <w:szCs w:val="22"/>
                <w:highlight w:val="none"/>
                <w:lang w:bidi="ar"/>
              </w:rPr>
            </w:pPr>
            <w:r>
              <w:rPr>
                <w:rFonts w:hint="eastAsia" w:ascii="新宋体" w:hAnsi="新宋体" w:eastAsia="新宋体" w:cs="新宋体"/>
                <w:color w:val="auto"/>
                <w:kern w:val="0"/>
                <w:sz w:val="22"/>
                <w:szCs w:val="22"/>
                <w:highlight w:val="none"/>
                <w:lang w:bidi="ar"/>
              </w:rPr>
              <w:t>1、五金配件安装应无少件(选择孔除外)、透钉；（0-1分）</w:t>
            </w:r>
          </w:p>
          <w:p w14:paraId="08DA3EE1">
            <w:pPr>
              <w:widowControl/>
              <w:spacing w:line="460" w:lineRule="exact"/>
              <w:jc w:val="left"/>
              <w:rPr>
                <w:rFonts w:ascii="新宋体" w:hAnsi="新宋体" w:eastAsia="新宋体" w:cs="新宋体"/>
                <w:color w:val="auto"/>
                <w:kern w:val="0"/>
                <w:sz w:val="22"/>
                <w:szCs w:val="22"/>
                <w:highlight w:val="none"/>
                <w:lang w:bidi="ar"/>
              </w:rPr>
            </w:pPr>
            <w:r>
              <w:rPr>
                <w:rFonts w:hint="eastAsia" w:ascii="新宋体" w:hAnsi="新宋体" w:eastAsia="新宋体" w:cs="新宋体"/>
                <w:color w:val="auto"/>
                <w:kern w:val="0"/>
                <w:sz w:val="22"/>
                <w:szCs w:val="22"/>
                <w:highlight w:val="none"/>
                <w:lang w:bidi="ar"/>
              </w:rPr>
              <w:t>2、启闭零件和配件安装后，应使用灵活；（0-2分）</w:t>
            </w:r>
          </w:p>
        </w:tc>
        <w:tc>
          <w:tcPr>
            <w:tcW w:w="925" w:type="dxa"/>
            <w:vAlign w:val="center"/>
          </w:tcPr>
          <w:p w14:paraId="65DBB9C0">
            <w:pPr>
              <w:pStyle w:val="2"/>
              <w:spacing w:line="460" w:lineRule="exact"/>
              <w:ind w:left="440" w:hanging="440"/>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3分</w:t>
            </w:r>
          </w:p>
        </w:tc>
      </w:tr>
    </w:tbl>
    <w:p w14:paraId="65CD0497">
      <w:pPr>
        <w:pStyle w:val="2"/>
        <w:spacing w:line="460" w:lineRule="exact"/>
        <w:ind w:firstLine="0" w:firstLineChars="0"/>
        <w:rPr>
          <w:rFonts w:ascii="宋体" w:hAnsi="宋体" w:cs="宋体"/>
          <w:b/>
          <w:color w:val="auto"/>
          <w:sz w:val="22"/>
          <w:szCs w:val="22"/>
          <w:highlight w:val="none"/>
        </w:rPr>
      </w:pPr>
      <w:r>
        <w:rPr>
          <w:rFonts w:hint="eastAsia" w:ascii="宋体" w:hAnsi="宋体" w:cs="宋体"/>
          <w:b/>
          <w:color w:val="auto"/>
          <w:sz w:val="22"/>
          <w:szCs w:val="22"/>
          <w:highlight w:val="none"/>
        </w:rPr>
        <w:t>2、价格分的评定：</w:t>
      </w:r>
      <w:r>
        <w:rPr>
          <w:rFonts w:hint="eastAsia" w:ascii="宋体" w:hAnsi="宋体" w:cs="宋体"/>
          <w:b/>
          <w:bCs/>
          <w:color w:val="auto"/>
          <w:sz w:val="22"/>
          <w:szCs w:val="22"/>
          <w:highlight w:val="none"/>
        </w:rPr>
        <w:t>价格35分（价格权值35%）</w:t>
      </w:r>
      <w:r>
        <w:rPr>
          <w:rFonts w:hint="eastAsia" w:ascii="宋体" w:hAnsi="宋体" w:cs="宋体"/>
          <w:b/>
          <w:color w:val="auto"/>
          <w:sz w:val="22"/>
          <w:szCs w:val="22"/>
          <w:highlight w:val="none"/>
        </w:rPr>
        <w:t>：</w:t>
      </w:r>
    </w:p>
    <w:p w14:paraId="18425820">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满足竞争性磋商文件要求且最后报价最低的报价为评审基准价。</w:t>
      </w:r>
    </w:p>
    <w:p w14:paraId="3AFFCCC0">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1）有效磋商供应商的磋商报价等于评审基准价时其价格分为满分35分；</w:t>
      </w:r>
    </w:p>
    <w:p w14:paraId="2B1D9F23">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2）其他磋商供应商的价格分按以下公式计算：</w:t>
      </w:r>
    </w:p>
    <w:p w14:paraId="6CE8DE1D">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价格得分=（评审基准价/磋商供应商磋商报价）× 价格权值 ×100（四舍五入，保留小数点后2位）</w:t>
      </w:r>
    </w:p>
    <w:p w14:paraId="0F6B5146">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3、有效磋商供应商的综合得分为商务技术分和价格分的总和。</w:t>
      </w:r>
    </w:p>
    <w:p w14:paraId="5C3135BB">
      <w:pPr>
        <w:spacing w:line="460" w:lineRule="exact"/>
        <w:ind w:firstLine="541" w:firstLineChars="245"/>
        <w:rPr>
          <w:rFonts w:ascii="宋体" w:hAnsi="宋体" w:cs="宋体"/>
          <w:b/>
          <w:bCs/>
          <w:color w:val="auto"/>
          <w:sz w:val="22"/>
          <w:szCs w:val="22"/>
          <w:highlight w:val="none"/>
        </w:rPr>
      </w:pPr>
      <w:r>
        <w:rPr>
          <w:rFonts w:hint="eastAsia" w:ascii="宋体" w:hAnsi="宋体" w:cs="宋体"/>
          <w:b/>
          <w:bCs/>
          <w:color w:val="auto"/>
          <w:sz w:val="22"/>
          <w:szCs w:val="22"/>
          <w:highlight w:val="none"/>
        </w:rPr>
        <w:t>4、磋商小组认为磋商供应商的报价明显低于其他通过符合性审查磋商供应商的报价，有可能影响产品质量或者不能诚信履约的，应当要求其在评审现场合理的时间内提供书面说明，必要时提交相关证明材料；磋商供应商不能证明其报价合理性的，磋商小组应当将其作为无效处理。</w:t>
      </w:r>
    </w:p>
    <w:p w14:paraId="413CDD4A">
      <w:pPr>
        <w:spacing w:line="460" w:lineRule="exact"/>
        <w:ind w:firstLine="541" w:firstLineChars="245"/>
        <w:outlineLvl w:val="1"/>
        <w:rPr>
          <w:rFonts w:ascii="宋体" w:hAnsi="宋体" w:cs="宋体"/>
          <w:b/>
          <w:color w:val="auto"/>
          <w:sz w:val="22"/>
          <w:szCs w:val="22"/>
          <w:highlight w:val="none"/>
        </w:rPr>
      </w:pPr>
      <w:bookmarkStart w:id="334" w:name="_Toc30311"/>
      <w:bookmarkStart w:id="335" w:name="_Toc25365"/>
      <w:bookmarkStart w:id="336" w:name="_Toc26647"/>
      <w:bookmarkStart w:id="337" w:name="_Toc14522"/>
      <w:r>
        <w:rPr>
          <w:rFonts w:hint="eastAsia" w:ascii="宋体" w:hAnsi="宋体" w:cs="宋体"/>
          <w:b/>
          <w:color w:val="auto"/>
          <w:sz w:val="22"/>
          <w:szCs w:val="22"/>
          <w:highlight w:val="none"/>
        </w:rPr>
        <w:t>六、定标办法</w:t>
      </w:r>
      <w:bookmarkEnd w:id="334"/>
      <w:bookmarkEnd w:id="335"/>
      <w:bookmarkEnd w:id="336"/>
      <w:bookmarkEnd w:id="337"/>
    </w:p>
    <w:p w14:paraId="2236ED9B">
      <w:pPr>
        <w:spacing w:line="460" w:lineRule="exact"/>
        <w:ind w:firstLine="539" w:firstLineChars="245"/>
        <w:rPr>
          <w:rFonts w:ascii="宋体" w:hAnsi="宋体" w:cs="宋体"/>
          <w:b/>
          <w:color w:val="auto"/>
          <w:sz w:val="22"/>
          <w:szCs w:val="22"/>
          <w:highlight w:val="none"/>
        </w:rPr>
      </w:pPr>
      <w:r>
        <w:rPr>
          <w:rFonts w:hint="eastAsia" w:ascii="宋体" w:hAnsi="宋体" w:cs="宋体"/>
          <w:color w:val="auto"/>
          <w:sz w:val="22"/>
          <w:szCs w:val="22"/>
          <w:highlight w:val="none"/>
        </w:rPr>
        <w:t>1</w:t>
      </w: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确定成交候选人</w:t>
      </w:r>
    </w:p>
    <w:p w14:paraId="73711B04">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1.1由磋商小组确定成交候选人。</w:t>
      </w:r>
    </w:p>
    <w:p w14:paraId="463773D5">
      <w:pPr>
        <w:spacing w:line="460" w:lineRule="exact"/>
        <w:ind w:firstLine="539" w:firstLineChars="245"/>
        <w:rPr>
          <w:rFonts w:ascii="宋体" w:hAnsi="宋体" w:cs="宋体"/>
          <w:color w:val="auto"/>
          <w:highlight w:val="none"/>
        </w:rPr>
      </w:pPr>
      <w:r>
        <w:rPr>
          <w:rFonts w:hint="eastAsia" w:ascii="宋体" w:hAnsi="宋体" w:cs="宋体"/>
          <w:color w:val="auto"/>
          <w:sz w:val="22"/>
          <w:szCs w:val="22"/>
          <w:highlight w:val="none"/>
        </w:rPr>
        <w:t>1.2磋商小组依据法律、法规及磋商文件有关规定按评审后得分（即商务技术分与价格分之和）由高到低顺序排序，得分前三名的磋商供应商确定为该项目的第一、第二和第三成交候选人（得分相同的，按报价由低到高顺序排列。得分且报价相同的并列。）向采购人推荐。</w:t>
      </w:r>
    </w:p>
    <w:p w14:paraId="0FF6AA55">
      <w:pPr>
        <w:spacing w:line="460" w:lineRule="exact"/>
        <w:ind w:firstLine="541" w:firstLineChars="245"/>
        <w:rPr>
          <w:rFonts w:ascii="宋体" w:hAnsi="宋体" w:cs="宋体"/>
          <w:b/>
          <w:bCs/>
          <w:color w:val="auto"/>
          <w:sz w:val="22"/>
          <w:szCs w:val="22"/>
          <w:highlight w:val="none"/>
        </w:rPr>
      </w:pPr>
      <w:r>
        <w:rPr>
          <w:rFonts w:hint="eastAsia" w:ascii="宋体" w:hAnsi="宋体" w:cs="宋体"/>
          <w:b/>
          <w:bCs/>
          <w:color w:val="auto"/>
          <w:sz w:val="22"/>
          <w:szCs w:val="22"/>
          <w:highlight w:val="none"/>
        </w:rPr>
        <w:t>2、确定成交供应商</w:t>
      </w:r>
    </w:p>
    <w:p w14:paraId="13DE7E24">
      <w:pPr>
        <w:spacing w:line="46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     2.1采购人按照评审报告中推荐的成交候选供应商顺序确定成交供应商；也可以事先授权磋商小组按照推荐的成交候选供应商顺序直接确定成交供应商。成交候选人并列的，由磋商小组全体成员记名投票按少数服从多数的原则确定排名。</w:t>
      </w:r>
    </w:p>
    <w:p w14:paraId="6A44C2CC">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2.2如成交供应商放弃成交；或未能在规定时间内与采购单位签订合同的；或者经质疑，采购人审查后，确因排名第一的候选人在本次采购活动中存在违法违规行为或其他原因使质疑成立的，采购人可以视情况直接确定排名第二的候选人为成交供应商（以此类推)或重新组织采购。</w:t>
      </w:r>
    </w:p>
    <w:p w14:paraId="34934332">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3</w:t>
      </w: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rPr>
        <w:t>成交供应商确定后，采购人将在指定媒体公告成交结果，采购人向成交供应商发出成交通知书。</w:t>
      </w:r>
    </w:p>
    <w:p w14:paraId="52A1F774">
      <w:pPr>
        <w:spacing w:line="460" w:lineRule="exact"/>
        <w:ind w:firstLine="541" w:firstLineChars="245"/>
        <w:outlineLvl w:val="1"/>
        <w:rPr>
          <w:rFonts w:ascii="宋体" w:hAnsi="宋体" w:cs="宋体"/>
          <w:b/>
          <w:color w:val="auto"/>
          <w:sz w:val="22"/>
          <w:szCs w:val="22"/>
          <w:highlight w:val="none"/>
        </w:rPr>
      </w:pPr>
      <w:bookmarkStart w:id="338" w:name="_Toc4964"/>
      <w:bookmarkStart w:id="339" w:name="_Toc4872"/>
      <w:bookmarkStart w:id="340" w:name="_Toc19392"/>
      <w:bookmarkStart w:id="341" w:name="_Toc19523"/>
      <w:r>
        <w:rPr>
          <w:rFonts w:hint="eastAsia" w:ascii="宋体" w:hAnsi="宋体" w:cs="宋体"/>
          <w:b/>
          <w:color w:val="auto"/>
          <w:sz w:val="22"/>
          <w:szCs w:val="22"/>
          <w:highlight w:val="none"/>
        </w:rPr>
        <w:t>七、磋商供应商义务</w:t>
      </w:r>
      <w:bookmarkEnd w:id="338"/>
      <w:bookmarkEnd w:id="339"/>
      <w:bookmarkEnd w:id="340"/>
      <w:bookmarkEnd w:id="341"/>
    </w:p>
    <w:p w14:paraId="14205813">
      <w:pPr>
        <w:spacing w:line="460" w:lineRule="exact"/>
        <w:ind w:firstLine="539" w:firstLineChars="245"/>
        <w:rPr>
          <w:rFonts w:ascii="宋体" w:hAnsi="宋体" w:cs="宋体"/>
          <w:color w:val="auto"/>
          <w:sz w:val="22"/>
          <w:szCs w:val="22"/>
          <w:highlight w:val="none"/>
        </w:rPr>
      </w:pPr>
      <w:r>
        <w:rPr>
          <w:rFonts w:hint="eastAsia" w:ascii="宋体" w:hAnsi="宋体" w:cs="宋体"/>
          <w:color w:val="auto"/>
          <w:sz w:val="22"/>
          <w:szCs w:val="22"/>
          <w:highlight w:val="none"/>
        </w:rPr>
        <w:t>磋商供应商应随时接受磋商小组的询标，解答包括有关的商务技术、报价问题等。评审结束，所有评审资料存采购代理机构备查。</w:t>
      </w:r>
    </w:p>
    <w:sectPr>
      <w:footerReference r:id="rId7" w:type="default"/>
      <w:pgSz w:w="11907" w:h="16840"/>
      <w:pgMar w:top="1134" w:right="1134" w:bottom="1134" w:left="1134"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 w:name="ˎ̥">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9" w:usb3="00000000" w:csb0="000001FF" w:csb1="00000000"/>
  </w:font>
  <w:font w:name="新宋体">
    <w:panose1 w:val="02010609030101010101"/>
    <w:charset w:val="86"/>
    <w:family w:val="auto"/>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Century Gothic">
    <w:altName w:val="Yu Gothic UI"/>
    <w:panose1 w:val="020B0502020202020204"/>
    <w:charset w:val="00"/>
    <w:family w:val="swiss"/>
    <w:pitch w:val="default"/>
    <w:sig w:usb0="00000000" w:usb1="00000000" w:usb2="00000000" w:usb3="00000000" w:csb0="2000009F" w:csb1="DFD70000"/>
  </w:font>
  <w:font w:name="楷体_GB2312">
    <w:altName w:val="楷体"/>
    <w:panose1 w:val="00000000000000000000"/>
    <w:charset w:val="86"/>
    <w:family w:val="auto"/>
    <w:pitch w:val="default"/>
    <w:sig w:usb0="00000000" w:usb1="00000000" w:usb2="00000010" w:usb3="00000000" w:csb0="00040000" w:csb1="00000000"/>
  </w:font>
  <w:font w:name="PMingLiU">
    <w:altName w:val="Microsoft JhengHei UI"/>
    <w:panose1 w:val="02010601000101010101"/>
    <w:charset w:val="88"/>
    <w:family w:val="auto"/>
    <w:pitch w:val="default"/>
    <w:sig w:usb0="00000000" w:usb1="00000000" w:usb2="00000010" w:usb3="00000000" w:csb0="00100000" w:csb1="00000000"/>
  </w:font>
  <w:font w:name="Verdana">
    <w:panose1 w:val="020B0604030504040204"/>
    <w:charset w:val="00"/>
    <w:family w:val="swiss"/>
    <w:pitch w:val="default"/>
    <w:sig w:usb0="A00006FF" w:usb1="4000205B" w:usb2="00000010" w:usb3="00000000" w:csb0="2000019F"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 w:name="楷体">
    <w:panose1 w:val="02010609060101010101"/>
    <w:charset w:val="86"/>
    <w:family w:val="auto"/>
    <w:pitch w:val="default"/>
    <w:sig w:usb0="800002BF" w:usb1="38CF7CFA" w:usb2="00000016" w:usb3="00000000" w:csb0="00040001"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6B710">
    <w:pPr>
      <w:pStyle w:val="36"/>
      <w:ind w:right="360" w:firstLine="4500" w:firstLineChars="250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30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A67B1FA">
                          <w:pPr>
                            <w:pStyle w:val="36"/>
                            <w:rPr>
                              <w:rStyle w:val="56"/>
                            </w:rPr>
                          </w:pPr>
                          <w:r>
                            <w:rPr>
                              <w:rStyle w:val="56"/>
                              <w:rFonts w:hint="eastAsia"/>
                            </w:rPr>
                            <w:fldChar w:fldCharType="begin"/>
                          </w:r>
                          <w:r>
                            <w:rPr>
                              <w:rStyle w:val="56"/>
                              <w:rFonts w:hint="eastAsia"/>
                            </w:rPr>
                            <w:instrText xml:space="preserve"> PAGE  \* MERGEFORMAT </w:instrText>
                          </w:r>
                          <w:r>
                            <w:rPr>
                              <w:rStyle w:val="56"/>
                              <w:rFonts w:hint="eastAsia"/>
                            </w:rPr>
                            <w:fldChar w:fldCharType="separate"/>
                          </w:r>
                          <w:r>
                            <w:rPr>
                              <w:rStyle w:val="56"/>
                            </w:rPr>
                            <w:t>41</w:t>
                          </w:r>
                          <w:r>
                            <w:rPr>
                              <w:rStyle w:val="56"/>
                              <w:rFonts w:hint="eastAsia"/>
                            </w:rPr>
                            <w:fldChar w:fldCharType="end"/>
                          </w:r>
                          <w:r>
                            <w:rPr>
                              <w:rStyle w:val="56"/>
                              <w:rFonts w:hint="eastAsia"/>
                            </w:rPr>
                            <w:t xml:space="preserve"> / </w:t>
                          </w:r>
                          <w:r>
                            <w:rPr>
                              <w:rStyle w:val="56"/>
                              <w:rFonts w:hint="eastAsia"/>
                            </w:rPr>
                            <w:fldChar w:fldCharType="begin"/>
                          </w:r>
                          <w:r>
                            <w:rPr>
                              <w:rStyle w:val="56"/>
                              <w:rFonts w:hint="eastAsia"/>
                            </w:rPr>
                            <w:instrText xml:space="preserve"> NUMPAGES  \* MERGEFORMAT </w:instrText>
                          </w:r>
                          <w:r>
                            <w:rPr>
                              <w:rStyle w:val="56"/>
                              <w:rFonts w:hint="eastAsia"/>
                            </w:rPr>
                            <w:fldChar w:fldCharType="separate"/>
                          </w:r>
                          <w:ins w:id="0" w:author="采购中心" w:date="2024-07-16T10:47:00Z">
                            <w:r>
                              <w:rPr>
                                <w:rStyle w:val="56"/>
                              </w:rPr>
                              <w:t>62</w:t>
                            </w:r>
                          </w:ins>
                          <w:r>
                            <w:rPr>
                              <w:rStyle w:val="56"/>
                              <w:rFonts w:hint="eastAsia"/>
                            </w:rPr>
                            <w:fldChar w:fldCharType="end"/>
                          </w:r>
                        </w:p>
                      </w:txbxContent>
                    </wps:txbx>
                    <wps:bodyPr wrap="none" lIns="0" tIns="0" rIns="0" bIns="0">
                      <a:spAutoFit/>
                    </wps:bodyPr>
                  </wps:wsp>
                </a:graphicData>
              </a:graphic>
            </wp:anchor>
          </w:drawing>
        </mc:Choice>
        <mc:Fallback>
          <w:pict>
            <v:shape id="文本框 307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hpgkvTAAAABQEAAA8AAAAAAAAAAQAgAAAAIgAAAGRycy9k&#10;b3ducmV2LnhtbFBLAQIUABQAAAAIAIdO4kB44jRHzgEAAJsDAAAOAAAAAAAAAAEAIAAAACIBAABk&#10;cnMvZTJvRG9jLnhtbFBLBQYAAAAABgAGAFkBAABiBQAAAAA=&#10;">
              <v:fill on="f" focussize="0,0"/>
              <v:stroke on="f" weight="1.25pt"/>
              <v:imagedata o:title=""/>
              <o:lock v:ext="edit" aspectratio="f"/>
              <v:textbox inset="0mm,0mm,0mm,0mm" style="mso-fit-shape-to-text:t;">
                <w:txbxContent>
                  <w:p w14:paraId="7A67B1FA">
                    <w:pPr>
                      <w:pStyle w:val="36"/>
                      <w:rPr>
                        <w:rStyle w:val="56"/>
                      </w:rPr>
                    </w:pPr>
                    <w:r>
                      <w:rPr>
                        <w:rStyle w:val="56"/>
                        <w:rFonts w:hint="eastAsia"/>
                      </w:rPr>
                      <w:fldChar w:fldCharType="begin"/>
                    </w:r>
                    <w:r>
                      <w:rPr>
                        <w:rStyle w:val="56"/>
                        <w:rFonts w:hint="eastAsia"/>
                      </w:rPr>
                      <w:instrText xml:space="preserve"> PAGE  \* MERGEFORMAT </w:instrText>
                    </w:r>
                    <w:r>
                      <w:rPr>
                        <w:rStyle w:val="56"/>
                        <w:rFonts w:hint="eastAsia"/>
                      </w:rPr>
                      <w:fldChar w:fldCharType="separate"/>
                    </w:r>
                    <w:r>
                      <w:rPr>
                        <w:rStyle w:val="56"/>
                      </w:rPr>
                      <w:t>41</w:t>
                    </w:r>
                    <w:r>
                      <w:rPr>
                        <w:rStyle w:val="56"/>
                        <w:rFonts w:hint="eastAsia"/>
                      </w:rPr>
                      <w:fldChar w:fldCharType="end"/>
                    </w:r>
                    <w:r>
                      <w:rPr>
                        <w:rStyle w:val="56"/>
                        <w:rFonts w:hint="eastAsia"/>
                      </w:rPr>
                      <w:t xml:space="preserve"> / </w:t>
                    </w:r>
                    <w:r>
                      <w:rPr>
                        <w:rStyle w:val="56"/>
                        <w:rFonts w:hint="eastAsia"/>
                      </w:rPr>
                      <w:fldChar w:fldCharType="begin"/>
                    </w:r>
                    <w:r>
                      <w:rPr>
                        <w:rStyle w:val="56"/>
                        <w:rFonts w:hint="eastAsia"/>
                      </w:rPr>
                      <w:instrText xml:space="preserve"> NUMPAGES  \* MERGEFORMAT </w:instrText>
                    </w:r>
                    <w:r>
                      <w:rPr>
                        <w:rStyle w:val="56"/>
                        <w:rFonts w:hint="eastAsia"/>
                      </w:rPr>
                      <w:fldChar w:fldCharType="separate"/>
                    </w:r>
                    <w:ins w:id="1" w:author="采购中心" w:date="2024-07-16T10:47:00Z">
                      <w:r>
                        <w:rPr>
                          <w:rStyle w:val="56"/>
                        </w:rPr>
                        <w:t>62</w:t>
                      </w:r>
                    </w:ins>
                    <w:r>
                      <w:rPr>
                        <w:rStyle w:val="56"/>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3DF33">
    <w:pPr>
      <w:pStyle w:val="36"/>
      <w:ind w:right="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422275" cy="120650"/>
              <wp:effectExtent l="0" t="0" r="0" b="0"/>
              <wp:wrapNone/>
              <wp:docPr id="12" name="文本框 3077"/>
              <wp:cNvGraphicFramePr/>
              <a:graphic xmlns:a="http://schemas.openxmlformats.org/drawingml/2006/main">
                <a:graphicData uri="http://schemas.microsoft.com/office/word/2010/wordprocessingShape">
                  <wps:wsp>
                    <wps:cNvSpPr txBox="1"/>
                    <wps:spPr>
                      <a:xfrm>
                        <a:off x="0" y="0"/>
                        <a:ext cx="422275" cy="120650"/>
                      </a:xfrm>
                      <a:prstGeom prst="rect">
                        <a:avLst/>
                      </a:prstGeom>
                      <a:noFill/>
                      <a:ln w="15875">
                        <a:noFill/>
                      </a:ln>
                    </wps:spPr>
                    <wps:txbx>
                      <w:txbxContent>
                        <w:p w14:paraId="40B781BD">
                          <w:pPr>
                            <w:pStyle w:val="36"/>
                            <w:jc w:val="both"/>
                            <w:rPr>
                              <w:rStyle w:val="56"/>
                            </w:rPr>
                          </w:pPr>
                          <w:r>
                            <w:rPr>
                              <w:rStyle w:val="56"/>
                            </w:rPr>
                            <w:fldChar w:fldCharType="begin"/>
                          </w:r>
                          <w:r>
                            <w:rPr>
                              <w:rStyle w:val="56"/>
                            </w:rPr>
                            <w:instrText xml:space="preserve"> PAGE  \* MERGEFORMAT </w:instrText>
                          </w:r>
                          <w:r>
                            <w:rPr>
                              <w:rStyle w:val="56"/>
                            </w:rPr>
                            <w:fldChar w:fldCharType="separate"/>
                          </w:r>
                          <w:r>
                            <w:rPr>
                              <w:rStyle w:val="56"/>
                            </w:rPr>
                            <w:t>50</w:t>
                          </w:r>
                          <w:r>
                            <w:rPr>
                              <w:rStyle w:val="56"/>
                            </w:rPr>
                            <w:fldChar w:fldCharType="end"/>
                          </w:r>
                          <w:r>
                            <w:rPr>
                              <w:rStyle w:val="56"/>
                            </w:rPr>
                            <w:t xml:space="preserve"> / </w:t>
                          </w:r>
                          <w:r>
                            <w:rPr>
                              <w:rStyle w:val="56"/>
                            </w:rPr>
                            <w:fldChar w:fldCharType="begin"/>
                          </w:r>
                          <w:r>
                            <w:rPr>
                              <w:rStyle w:val="56"/>
                            </w:rPr>
                            <w:instrText xml:space="preserve"> NUMPAGES  \* MERGEFORMAT </w:instrText>
                          </w:r>
                          <w:r>
                            <w:rPr>
                              <w:rStyle w:val="56"/>
                            </w:rPr>
                            <w:fldChar w:fldCharType="separate"/>
                          </w:r>
                          <w:ins w:id="2" w:author="采购中心" w:date="2024-07-16T10:51:00Z">
                            <w:r>
                              <w:rPr>
                                <w:rStyle w:val="56"/>
                              </w:rPr>
                              <w:t>62</w:t>
                            </w:r>
                          </w:ins>
                          <w:r>
                            <w:rPr>
                              <w:rStyle w:val="56"/>
                            </w:rPr>
                            <w:fldChar w:fldCharType="end"/>
                          </w:r>
                        </w:p>
                      </w:txbxContent>
                    </wps:txbx>
                    <wps:bodyPr wrap="square" lIns="0" tIns="0" rIns="0" bIns="0"/>
                  </wps:wsp>
                </a:graphicData>
              </a:graphic>
            </wp:anchor>
          </w:drawing>
        </mc:Choice>
        <mc:Fallback>
          <w:pict>
            <v:shape id="文本框 3077" o:spid="_x0000_s1026" o:spt="202" type="#_x0000_t202" style="position:absolute;left:0pt;margin-top:0pt;height:9.5pt;width:33.25pt;mso-position-horizontal:center;mso-position-horizontal-relative:margin;z-index:251661312;mso-width-relative:page;mso-height-relative:page;" filled="f" stroked="f" coordsize="21600,21600" o:gfxdata="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x5aeXTAAAAAwEAAA8AAAAAAAAAAQAgAAAAIgAAAGRycy9kb3ducmV2&#10;LnhtbFBLAQIUABQAAAAIAIdO4kBFxpfWyAEAAIEDAAAOAAAAAAAAAAEAIAAAACIBAABkcnMvZTJv&#10;RG9jLnhtbFBLBQYAAAAABgAGAFkBAABcBQAAAAA=&#10;">
              <v:fill on="f" focussize="0,0"/>
              <v:stroke on="f" weight="1.25pt"/>
              <v:imagedata o:title=""/>
              <o:lock v:ext="edit" aspectratio="f"/>
              <v:textbox inset="0mm,0mm,0mm,0mm">
                <w:txbxContent>
                  <w:p w14:paraId="40B781BD">
                    <w:pPr>
                      <w:pStyle w:val="36"/>
                      <w:jc w:val="both"/>
                      <w:rPr>
                        <w:rStyle w:val="56"/>
                      </w:rPr>
                    </w:pPr>
                    <w:r>
                      <w:rPr>
                        <w:rStyle w:val="56"/>
                      </w:rPr>
                      <w:fldChar w:fldCharType="begin"/>
                    </w:r>
                    <w:r>
                      <w:rPr>
                        <w:rStyle w:val="56"/>
                      </w:rPr>
                      <w:instrText xml:space="preserve"> PAGE  \* MERGEFORMAT </w:instrText>
                    </w:r>
                    <w:r>
                      <w:rPr>
                        <w:rStyle w:val="56"/>
                      </w:rPr>
                      <w:fldChar w:fldCharType="separate"/>
                    </w:r>
                    <w:r>
                      <w:rPr>
                        <w:rStyle w:val="56"/>
                      </w:rPr>
                      <w:t>50</w:t>
                    </w:r>
                    <w:r>
                      <w:rPr>
                        <w:rStyle w:val="56"/>
                      </w:rPr>
                      <w:fldChar w:fldCharType="end"/>
                    </w:r>
                    <w:r>
                      <w:rPr>
                        <w:rStyle w:val="56"/>
                      </w:rPr>
                      <w:t xml:space="preserve"> / </w:t>
                    </w:r>
                    <w:r>
                      <w:rPr>
                        <w:rStyle w:val="56"/>
                      </w:rPr>
                      <w:fldChar w:fldCharType="begin"/>
                    </w:r>
                    <w:r>
                      <w:rPr>
                        <w:rStyle w:val="56"/>
                      </w:rPr>
                      <w:instrText xml:space="preserve"> NUMPAGES  \* MERGEFORMAT </w:instrText>
                    </w:r>
                    <w:r>
                      <w:rPr>
                        <w:rStyle w:val="56"/>
                      </w:rPr>
                      <w:fldChar w:fldCharType="separate"/>
                    </w:r>
                    <w:ins w:id="3" w:author="采购中心" w:date="2024-07-16T10:51:00Z">
                      <w:r>
                        <w:rPr>
                          <w:rStyle w:val="56"/>
                        </w:rPr>
                        <w:t>62</w:t>
                      </w:r>
                    </w:ins>
                    <w:r>
                      <w:rPr>
                        <w:rStyle w:val="56"/>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3F652">
    <w:pPr>
      <w:pStyle w:val="36"/>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22275" cy="120650"/>
              <wp:effectExtent l="0" t="0" r="0" b="0"/>
              <wp:wrapNone/>
              <wp:docPr id="10" name="文本框 3075"/>
              <wp:cNvGraphicFramePr/>
              <a:graphic xmlns:a="http://schemas.openxmlformats.org/drawingml/2006/main">
                <a:graphicData uri="http://schemas.microsoft.com/office/word/2010/wordprocessingShape">
                  <wps:wsp>
                    <wps:cNvSpPr txBox="1"/>
                    <wps:spPr>
                      <a:xfrm>
                        <a:off x="0" y="0"/>
                        <a:ext cx="422275" cy="120650"/>
                      </a:xfrm>
                      <a:prstGeom prst="rect">
                        <a:avLst/>
                      </a:prstGeom>
                      <a:noFill/>
                      <a:ln w="15875">
                        <a:noFill/>
                      </a:ln>
                    </wps:spPr>
                    <wps:txbx>
                      <w:txbxContent>
                        <w:p w14:paraId="3373C398">
                          <w:pPr>
                            <w:pStyle w:val="36"/>
                            <w:jc w:val="both"/>
                            <w:rPr>
                              <w:rStyle w:val="56"/>
                            </w:rPr>
                          </w:pPr>
                          <w:r>
                            <w:rPr>
                              <w:rStyle w:val="56"/>
                            </w:rPr>
                            <w:fldChar w:fldCharType="begin"/>
                          </w:r>
                          <w:r>
                            <w:rPr>
                              <w:rStyle w:val="56"/>
                            </w:rPr>
                            <w:instrText xml:space="preserve"> PAGE  \* MERGEFORMAT </w:instrText>
                          </w:r>
                          <w:r>
                            <w:rPr>
                              <w:rStyle w:val="56"/>
                            </w:rPr>
                            <w:fldChar w:fldCharType="separate"/>
                          </w:r>
                          <w:r>
                            <w:rPr>
                              <w:rStyle w:val="56"/>
                            </w:rPr>
                            <w:t>62</w:t>
                          </w:r>
                          <w:r>
                            <w:rPr>
                              <w:rStyle w:val="56"/>
                            </w:rPr>
                            <w:fldChar w:fldCharType="end"/>
                          </w:r>
                          <w:r>
                            <w:rPr>
                              <w:rStyle w:val="56"/>
                            </w:rPr>
                            <w:t xml:space="preserve"> / </w:t>
                          </w:r>
                          <w:r>
                            <w:rPr>
                              <w:rStyle w:val="56"/>
                            </w:rPr>
                            <w:fldChar w:fldCharType="begin"/>
                          </w:r>
                          <w:r>
                            <w:rPr>
                              <w:rStyle w:val="56"/>
                            </w:rPr>
                            <w:instrText xml:space="preserve"> NUMPAGES  \* MERGEFORMAT </w:instrText>
                          </w:r>
                          <w:r>
                            <w:rPr>
                              <w:rStyle w:val="56"/>
                            </w:rPr>
                            <w:fldChar w:fldCharType="separate"/>
                          </w:r>
                          <w:ins w:id="4" w:author="采购中心" w:date="2024-07-16T10:47:00Z">
                            <w:r>
                              <w:rPr>
                                <w:rStyle w:val="56"/>
                              </w:rPr>
                              <w:t>62</w:t>
                            </w:r>
                          </w:ins>
                          <w:r>
                            <w:rPr>
                              <w:rStyle w:val="56"/>
                            </w:rPr>
                            <w:fldChar w:fldCharType="end"/>
                          </w:r>
                        </w:p>
                      </w:txbxContent>
                    </wps:txbx>
                    <wps:bodyPr wrap="square" lIns="0" tIns="0" rIns="0" bIns="0"/>
                  </wps:wsp>
                </a:graphicData>
              </a:graphic>
            </wp:anchor>
          </w:drawing>
        </mc:Choice>
        <mc:Fallback>
          <w:pict>
            <v:shape id="文本框 3075" o:spid="_x0000_s1026" o:spt="202" type="#_x0000_t202" style="position:absolute;left:0pt;margin-top:0pt;height:9.5pt;width:33.25pt;mso-position-horizontal:center;mso-position-horizontal-relative:margin;z-index:251659264;mso-width-relative:page;mso-height-relative:page;" filled="f" stroked="f" coordsize="21600,21600" o:gfxdata="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8eWnl0wAAAAMBAAAPAAAAAAAAAAEAIAAAACIAAABkcnMvZG93bnJldi54&#10;bWxQSwECFAAUAAAACACHTuJAR0PuL8YBAACBAwAADgAAAAAAAAABACAAAAAiAQAAZHJzL2Uyb0Rv&#10;Yy54bWxQSwUGAAAAAAYABgBZAQAAWgUAAAAA&#10;">
              <v:fill on="f" focussize="0,0"/>
              <v:stroke on="f" weight="1.25pt"/>
              <v:imagedata o:title=""/>
              <o:lock v:ext="edit" aspectratio="f"/>
              <v:textbox inset="0mm,0mm,0mm,0mm">
                <w:txbxContent>
                  <w:p w14:paraId="3373C398">
                    <w:pPr>
                      <w:pStyle w:val="36"/>
                      <w:jc w:val="both"/>
                      <w:rPr>
                        <w:rStyle w:val="56"/>
                      </w:rPr>
                    </w:pPr>
                    <w:r>
                      <w:rPr>
                        <w:rStyle w:val="56"/>
                      </w:rPr>
                      <w:fldChar w:fldCharType="begin"/>
                    </w:r>
                    <w:r>
                      <w:rPr>
                        <w:rStyle w:val="56"/>
                      </w:rPr>
                      <w:instrText xml:space="preserve"> PAGE  \* MERGEFORMAT </w:instrText>
                    </w:r>
                    <w:r>
                      <w:rPr>
                        <w:rStyle w:val="56"/>
                      </w:rPr>
                      <w:fldChar w:fldCharType="separate"/>
                    </w:r>
                    <w:r>
                      <w:rPr>
                        <w:rStyle w:val="56"/>
                      </w:rPr>
                      <w:t>62</w:t>
                    </w:r>
                    <w:r>
                      <w:rPr>
                        <w:rStyle w:val="56"/>
                      </w:rPr>
                      <w:fldChar w:fldCharType="end"/>
                    </w:r>
                    <w:r>
                      <w:rPr>
                        <w:rStyle w:val="56"/>
                      </w:rPr>
                      <w:t xml:space="preserve"> / </w:t>
                    </w:r>
                    <w:r>
                      <w:rPr>
                        <w:rStyle w:val="56"/>
                      </w:rPr>
                      <w:fldChar w:fldCharType="begin"/>
                    </w:r>
                    <w:r>
                      <w:rPr>
                        <w:rStyle w:val="56"/>
                      </w:rPr>
                      <w:instrText xml:space="preserve"> NUMPAGES  \* MERGEFORMAT </w:instrText>
                    </w:r>
                    <w:r>
                      <w:rPr>
                        <w:rStyle w:val="56"/>
                      </w:rPr>
                      <w:fldChar w:fldCharType="separate"/>
                    </w:r>
                    <w:ins w:id="5" w:author="采购中心" w:date="2024-07-16T10:47:00Z">
                      <w:r>
                        <w:rPr>
                          <w:rStyle w:val="56"/>
                        </w:rPr>
                        <w:t>62</w:t>
                      </w:r>
                    </w:ins>
                    <w:r>
                      <w:rPr>
                        <w:rStyle w:val="56"/>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04F5A">
    <w:pPr>
      <w:pStyle w:val="37"/>
      <w:pBdr>
        <w:bottom w:val="single" w:color="auto" w:sz="6" w:space="0"/>
      </w:pBdr>
      <w:jc w:val="both"/>
    </w:pPr>
    <w:r>
      <w:rPr>
        <w:rFonts w:hint="eastAsia"/>
      </w:rPr>
      <w:t>温州医科大学磋商文件                                                  项目编号：</w:t>
    </w:r>
    <w:r>
      <w:rPr>
        <w:rFonts w:hint="eastAsia"/>
        <w:lang w:eastAsia="zh-CN"/>
      </w:rPr>
      <w:t>WMU- 2024CS919</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9E652">
    <w:pPr>
      <w:pStyle w:val="37"/>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F9EC89"/>
    <w:multiLevelType w:val="singleLevel"/>
    <w:tmpl w:val="BAF9EC89"/>
    <w:lvl w:ilvl="0" w:tentative="0">
      <w:start w:val="1"/>
      <w:numFmt w:val="chineseCounting"/>
      <w:suff w:val="nothing"/>
      <w:lvlText w:val="（%1）"/>
      <w:lvlJc w:val="left"/>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采购中心">
    <w15:presenceInfo w15:providerId="None" w15:userId="采购中心"/>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QzM2JkNDhjZjM1ZDA0OTYyYzExNzBlMGM3MmIzMGEifQ=="/>
  </w:docVars>
  <w:rsids>
    <w:rsidRoot w:val="00172A27"/>
    <w:rsid w:val="00016DD2"/>
    <w:rsid w:val="0002229F"/>
    <w:rsid w:val="00025DC7"/>
    <w:rsid w:val="000D5892"/>
    <w:rsid w:val="001043B8"/>
    <w:rsid w:val="001330A2"/>
    <w:rsid w:val="00141968"/>
    <w:rsid w:val="00172A27"/>
    <w:rsid w:val="0019455F"/>
    <w:rsid w:val="001D7D7C"/>
    <w:rsid w:val="003033AF"/>
    <w:rsid w:val="003A2A47"/>
    <w:rsid w:val="003B1E8D"/>
    <w:rsid w:val="003E6FB1"/>
    <w:rsid w:val="00467882"/>
    <w:rsid w:val="00475AAE"/>
    <w:rsid w:val="004925F2"/>
    <w:rsid w:val="005736BA"/>
    <w:rsid w:val="0057485A"/>
    <w:rsid w:val="005978B8"/>
    <w:rsid w:val="005F0A4C"/>
    <w:rsid w:val="00605459"/>
    <w:rsid w:val="006712ED"/>
    <w:rsid w:val="006F0BE0"/>
    <w:rsid w:val="0070080A"/>
    <w:rsid w:val="00705D5C"/>
    <w:rsid w:val="0074694C"/>
    <w:rsid w:val="0075479D"/>
    <w:rsid w:val="00767F98"/>
    <w:rsid w:val="0077607E"/>
    <w:rsid w:val="007953A3"/>
    <w:rsid w:val="007A5A00"/>
    <w:rsid w:val="008011C5"/>
    <w:rsid w:val="00824181"/>
    <w:rsid w:val="00872009"/>
    <w:rsid w:val="008C715B"/>
    <w:rsid w:val="008E3815"/>
    <w:rsid w:val="00944BC5"/>
    <w:rsid w:val="009D6EF6"/>
    <w:rsid w:val="009E4FBA"/>
    <w:rsid w:val="009F445E"/>
    <w:rsid w:val="00AD52BA"/>
    <w:rsid w:val="00B534A5"/>
    <w:rsid w:val="00B61CE5"/>
    <w:rsid w:val="00B72974"/>
    <w:rsid w:val="00B75E4F"/>
    <w:rsid w:val="00B75F10"/>
    <w:rsid w:val="00B90220"/>
    <w:rsid w:val="00BE7C5D"/>
    <w:rsid w:val="00C85187"/>
    <w:rsid w:val="00CA35F5"/>
    <w:rsid w:val="00CA4AE1"/>
    <w:rsid w:val="00CE261F"/>
    <w:rsid w:val="00D14C34"/>
    <w:rsid w:val="00D202C2"/>
    <w:rsid w:val="00D31581"/>
    <w:rsid w:val="00D95FAF"/>
    <w:rsid w:val="00DA24F1"/>
    <w:rsid w:val="00DB6D78"/>
    <w:rsid w:val="00DD141F"/>
    <w:rsid w:val="00DF49CA"/>
    <w:rsid w:val="00E230B2"/>
    <w:rsid w:val="00E348BC"/>
    <w:rsid w:val="00EC2597"/>
    <w:rsid w:val="00F42E54"/>
    <w:rsid w:val="00F505AC"/>
    <w:rsid w:val="00F83A04"/>
    <w:rsid w:val="00FA24F1"/>
    <w:rsid w:val="00FB7D84"/>
    <w:rsid w:val="00FC4656"/>
    <w:rsid w:val="0107477B"/>
    <w:rsid w:val="011F6B26"/>
    <w:rsid w:val="01372171"/>
    <w:rsid w:val="013F27ED"/>
    <w:rsid w:val="01444FC2"/>
    <w:rsid w:val="0152458B"/>
    <w:rsid w:val="015277DC"/>
    <w:rsid w:val="015C42F3"/>
    <w:rsid w:val="017973E5"/>
    <w:rsid w:val="01BB610E"/>
    <w:rsid w:val="01D267AE"/>
    <w:rsid w:val="01E55B53"/>
    <w:rsid w:val="01F15D70"/>
    <w:rsid w:val="020A385D"/>
    <w:rsid w:val="020E0E62"/>
    <w:rsid w:val="02241550"/>
    <w:rsid w:val="02437BF2"/>
    <w:rsid w:val="024A13AC"/>
    <w:rsid w:val="02614B1A"/>
    <w:rsid w:val="028F54FF"/>
    <w:rsid w:val="02974AC8"/>
    <w:rsid w:val="03002925"/>
    <w:rsid w:val="034C70E3"/>
    <w:rsid w:val="03541CD8"/>
    <w:rsid w:val="035449CF"/>
    <w:rsid w:val="035E4655"/>
    <w:rsid w:val="03601F25"/>
    <w:rsid w:val="03756184"/>
    <w:rsid w:val="03973EA6"/>
    <w:rsid w:val="03E3512A"/>
    <w:rsid w:val="04113D07"/>
    <w:rsid w:val="043053DA"/>
    <w:rsid w:val="044F4C88"/>
    <w:rsid w:val="04A51BAC"/>
    <w:rsid w:val="04B539BC"/>
    <w:rsid w:val="04CB22A6"/>
    <w:rsid w:val="05011E4D"/>
    <w:rsid w:val="050D4A5F"/>
    <w:rsid w:val="05241C5C"/>
    <w:rsid w:val="057C6E97"/>
    <w:rsid w:val="05B54827"/>
    <w:rsid w:val="05E2749C"/>
    <w:rsid w:val="05E9329B"/>
    <w:rsid w:val="062A2873"/>
    <w:rsid w:val="06402525"/>
    <w:rsid w:val="070545E2"/>
    <w:rsid w:val="0705724E"/>
    <w:rsid w:val="072006F5"/>
    <w:rsid w:val="073564AA"/>
    <w:rsid w:val="07453BEF"/>
    <w:rsid w:val="0747552D"/>
    <w:rsid w:val="07544F67"/>
    <w:rsid w:val="076E786E"/>
    <w:rsid w:val="07995C3D"/>
    <w:rsid w:val="07B16BEF"/>
    <w:rsid w:val="07B475E8"/>
    <w:rsid w:val="07C30E4D"/>
    <w:rsid w:val="07EF6B7E"/>
    <w:rsid w:val="07F43B72"/>
    <w:rsid w:val="07FF20A7"/>
    <w:rsid w:val="08186C61"/>
    <w:rsid w:val="082E6AED"/>
    <w:rsid w:val="08301451"/>
    <w:rsid w:val="087972CF"/>
    <w:rsid w:val="08805ACF"/>
    <w:rsid w:val="089A0148"/>
    <w:rsid w:val="08A072E6"/>
    <w:rsid w:val="090648B3"/>
    <w:rsid w:val="0908668B"/>
    <w:rsid w:val="09387F7D"/>
    <w:rsid w:val="093F28DD"/>
    <w:rsid w:val="09405F6A"/>
    <w:rsid w:val="096B25B6"/>
    <w:rsid w:val="096D3384"/>
    <w:rsid w:val="098C12EA"/>
    <w:rsid w:val="09C073F6"/>
    <w:rsid w:val="0A2A628A"/>
    <w:rsid w:val="0A4A4820"/>
    <w:rsid w:val="0A662A14"/>
    <w:rsid w:val="0A7022A3"/>
    <w:rsid w:val="0A97481C"/>
    <w:rsid w:val="0AA85CD1"/>
    <w:rsid w:val="0AE3391E"/>
    <w:rsid w:val="0AEB534A"/>
    <w:rsid w:val="0AEC0A73"/>
    <w:rsid w:val="0B08561C"/>
    <w:rsid w:val="0B0F3B3C"/>
    <w:rsid w:val="0B1A73CC"/>
    <w:rsid w:val="0B793B03"/>
    <w:rsid w:val="0B7D2716"/>
    <w:rsid w:val="0B7D6DAE"/>
    <w:rsid w:val="0BB23665"/>
    <w:rsid w:val="0BCB14A3"/>
    <w:rsid w:val="0BD66F7F"/>
    <w:rsid w:val="0C015C4E"/>
    <w:rsid w:val="0C262886"/>
    <w:rsid w:val="0C272E0B"/>
    <w:rsid w:val="0C331F58"/>
    <w:rsid w:val="0C3A18FA"/>
    <w:rsid w:val="0C3D2E11"/>
    <w:rsid w:val="0C710F12"/>
    <w:rsid w:val="0C8D5356"/>
    <w:rsid w:val="0C935463"/>
    <w:rsid w:val="0CBB2740"/>
    <w:rsid w:val="0CFD7670"/>
    <w:rsid w:val="0CFF7854"/>
    <w:rsid w:val="0D131EEF"/>
    <w:rsid w:val="0D1E6764"/>
    <w:rsid w:val="0D217569"/>
    <w:rsid w:val="0D3F34E2"/>
    <w:rsid w:val="0D452BE9"/>
    <w:rsid w:val="0D545189"/>
    <w:rsid w:val="0D677729"/>
    <w:rsid w:val="0D6B6185"/>
    <w:rsid w:val="0D7553C0"/>
    <w:rsid w:val="0D9715BA"/>
    <w:rsid w:val="0DB84DC7"/>
    <w:rsid w:val="0DE934ED"/>
    <w:rsid w:val="0DFC74A1"/>
    <w:rsid w:val="0E053600"/>
    <w:rsid w:val="0E48055A"/>
    <w:rsid w:val="0E892B37"/>
    <w:rsid w:val="0EB95367"/>
    <w:rsid w:val="0ECA1221"/>
    <w:rsid w:val="0ED10E9D"/>
    <w:rsid w:val="0EDE7AD9"/>
    <w:rsid w:val="0EDF69EB"/>
    <w:rsid w:val="0F2261B2"/>
    <w:rsid w:val="0F3754EB"/>
    <w:rsid w:val="0F5D2358"/>
    <w:rsid w:val="0F762C4A"/>
    <w:rsid w:val="0F79019B"/>
    <w:rsid w:val="0FBE1ECE"/>
    <w:rsid w:val="0FD36534"/>
    <w:rsid w:val="0FDF2AA2"/>
    <w:rsid w:val="0FE20A73"/>
    <w:rsid w:val="10003DE9"/>
    <w:rsid w:val="100376D9"/>
    <w:rsid w:val="1006133A"/>
    <w:rsid w:val="104211F7"/>
    <w:rsid w:val="106B1AC3"/>
    <w:rsid w:val="106F71AB"/>
    <w:rsid w:val="10883C55"/>
    <w:rsid w:val="1092654A"/>
    <w:rsid w:val="10B31D1B"/>
    <w:rsid w:val="10C12337"/>
    <w:rsid w:val="10C47A4A"/>
    <w:rsid w:val="10C928E0"/>
    <w:rsid w:val="10D90315"/>
    <w:rsid w:val="10E536D5"/>
    <w:rsid w:val="1126516A"/>
    <w:rsid w:val="11C43551"/>
    <w:rsid w:val="11DF71C9"/>
    <w:rsid w:val="120D4517"/>
    <w:rsid w:val="122311E2"/>
    <w:rsid w:val="125257CA"/>
    <w:rsid w:val="12AF7CF6"/>
    <w:rsid w:val="12B60843"/>
    <w:rsid w:val="12D637BE"/>
    <w:rsid w:val="12DA4BE2"/>
    <w:rsid w:val="12F01674"/>
    <w:rsid w:val="12FA6151"/>
    <w:rsid w:val="131266F0"/>
    <w:rsid w:val="13580201"/>
    <w:rsid w:val="13635613"/>
    <w:rsid w:val="138B6AD6"/>
    <w:rsid w:val="139E13A6"/>
    <w:rsid w:val="13A90F03"/>
    <w:rsid w:val="13BE6268"/>
    <w:rsid w:val="13C93111"/>
    <w:rsid w:val="1407509A"/>
    <w:rsid w:val="143652C2"/>
    <w:rsid w:val="144012B7"/>
    <w:rsid w:val="14842E95"/>
    <w:rsid w:val="14F95557"/>
    <w:rsid w:val="150B2E49"/>
    <w:rsid w:val="15150E31"/>
    <w:rsid w:val="159E4E04"/>
    <w:rsid w:val="15D53A02"/>
    <w:rsid w:val="15E94B40"/>
    <w:rsid w:val="15E96100"/>
    <w:rsid w:val="15F3003D"/>
    <w:rsid w:val="16075434"/>
    <w:rsid w:val="161A56A4"/>
    <w:rsid w:val="163004AD"/>
    <w:rsid w:val="16630751"/>
    <w:rsid w:val="166E0962"/>
    <w:rsid w:val="167F5567"/>
    <w:rsid w:val="1693619A"/>
    <w:rsid w:val="16AA3642"/>
    <w:rsid w:val="16F94DEE"/>
    <w:rsid w:val="171B618B"/>
    <w:rsid w:val="175F4275"/>
    <w:rsid w:val="178779AC"/>
    <w:rsid w:val="17981ED7"/>
    <w:rsid w:val="17B9696A"/>
    <w:rsid w:val="17D66CEA"/>
    <w:rsid w:val="18053987"/>
    <w:rsid w:val="1826131F"/>
    <w:rsid w:val="18271D4B"/>
    <w:rsid w:val="18642035"/>
    <w:rsid w:val="1877210B"/>
    <w:rsid w:val="18DA5364"/>
    <w:rsid w:val="18E109AB"/>
    <w:rsid w:val="18E64FD6"/>
    <w:rsid w:val="190727D5"/>
    <w:rsid w:val="19257F5C"/>
    <w:rsid w:val="194B0024"/>
    <w:rsid w:val="194D1E03"/>
    <w:rsid w:val="196210F5"/>
    <w:rsid w:val="196868F5"/>
    <w:rsid w:val="196E79CE"/>
    <w:rsid w:val="19EC27FE"/>
    <w:rsid w:val="1A1071C9"/>
    <w:rsid w:val="1A340690"/>
    <w:rsid w:val="1A8861D5"/>
    <w:rsid w:val="1A8E4AD8"/>
    <w:rsid w:val="1AF759DC"/>
    <w:rsid w:val="1B4643E1"/>
    <w:rsid w:val="1BBB665B"/>
    <w:rsid w:val="1BF57F17"/>
    <w:rsid w:val="1BF82DE0"/>
    <w:rsid w:val="1C2568C9"/>
    <w:rsid w:val="1C32098C"/>
    <w:rsid w:val="1C3705CD"/>
    <w:rsid w:val="1C420BEA"/>
    <w:rsid w:val="1C794E77"/>
    <w:rsid w:val="1C9660BA"/>
    <w:rsid w:val="1CAA5871"/>
    <w:rsid w:val="1CBE4C52"/>
    <w:rsid w:val="1CDA36AB"/>
    <w:rsid w:val="1CE16994"/>
    <w:rsid w:val="1D042D5C"/>
    <w:rsid w:val="1D07422E"/>
    <w:rsid w:val="1D2031B4"/>
    <w:rsid w:val="1D31465B"/>
    <w:rsid w:val="1D4D4E89"/>
    <w:rsid w:val="1D984AA7"/>
    <w:rsid w:val="1DC96A5B"/>
    <w:rsid w:val="1DCC2305"/>
    <w:rsid w:val="1DE72054"/>
    <w:rsid w:val="1DE8273A"/>
    <w:rsid w:val="1E4235E0"/>
    <w:rsid w:val="1E492FE9"/>
    <w:rsid w:val="1E694D77"/>
    <w:rsid w:val="1E8A5DE0"/>
    <w:rsid w:val="1EA0401F"/>
    <w:rsid w:val="1EC1289C"/>
    <w:rsid w:val="1EC85D86"/>
    <w:rsid w:val="1ED406AD"/>
    <w:rsid w:val="1EDF5DFF"/>
    <w:rsid w:val="1F0115E6"/>
    <w:rsid w:val="1F400D45"/>
    <w:rsid w:val="1F5B0E3C"/>
    <w:rsid w:val="1F69425B"/>
    <w:rsid w:val="1F812736"/>
    <w:rsid w:val="1F8A0D81"/>
    <w:rsid w:val="1F997D08"/>
    <w:rsid w:val="1F9A0B7D"/>
    <w:rsid w:val="1FAD00B8"/>
    <w:rsid w:val="1FC638E1"/>
    <w:rsid w:val="1FC740F3"/>
    <w:rsid w:val="1FD32D30"/>
    <w:rsid w:val="1FDC11CD"/>
    <w:rsid w:val="1FE57748"/>
    <w:rsid w:val="20077099"/>
    <w:rsid w:val="200D6F47"/>
    <w:rsid w:val="20125A90"/>
    <w:rsid w:val="2028604D"/>
    <w:rsid w:val="203C74A5"/>
    <w:rsid w:val="2053359A"/>
    <w:rsid w:val="20602C3B"/>
    <w:rsid w:val="20A95333"/>
    <w:rsid w:val="210407C2"/>
    <w:rsid w:val="21365423"/>
    <w:rsid w:val="213A4458"/>
    <w:rsid w:val="213D35C4"/>
    <w:rsid w:val="219465A8"/>
    <w:rsid w:val="21A572BA"/>
    <w:rsid w:val="22273C78"/>
    <w:rsid w:val="22611515"/>
    <w:rsid w:val="227472EC"/>
    <w:rsid w:val="22917405"/>
    <w:rsid w:val="22953CD1"/>
    <w:rsid w:val="22BC2FE9"/>
    <w:rsid w:val="23093AA8"/>
    <w:rsid w:val="238610A7"/>
    <w:rsid w:val="2387736F"/>
    <w:rsid w:val="239BBA44"/>
    <w:rsid w:val="23A07A94"/>
    <w:rsid w:val="24327716"/>
    <w:rsid w:val="244A4713"/>
    <w:rsid w:val="244E0E93"/>
    <w:rsid w:val="24C10CA1"/>
    <w:rsid w:val="24E44EF9"/>
    <w:rsid w:val="25001CA1"/>
    <w:rsid w:val="25133EC3"/>
    <w:rsid w:val="25203D1B"/>
    <w:rsid w:val="253F1B87"/>
    <w:rsid w:val="25831E3A"/>
    <w:rsid w:val="25BC27B3"/>
    <w:rsid w:val="25C15516"/>
    <w:rsid w:val="25D961F9"/>
    <w:rsid w:val="25DC45DF"/>
    <w:rsid w:val="26067BCA"/>
    <w:rsid w:val="26245372"/>
    <w:rsid w:val="264B1EE2"/>
    <w:rsid w:val="264B6355"/>
    <w:rsid w:val="26627459"/>
    <w:rsid w:val="26BB5760"/>
    <w:rsid w:val="26C413CE"/>
    <w:rsid w:val="26D15A67"/>
    <w:rsid w:val="26F84ED3"/>
    <w:rsid w:val="26FD49E5"/>
    <w:rsid w:val="27177B5F"/>
    <w:rsid w:val="27215E15"/>
    <w:rsid w:val="273374C3"/>
    <w:rsid w:val="27352E0C"/>
    <w:rsid w:val="27691FEB"/>
    <w:rsid w:val="276C2A47"/>
    <w:rsid w:val="27995126"/>
    <w:rsid w:val="27D822AE"/>
    <w:rsid w:val="27FB6EF7"/>
    <w:rsid w:val="280B7BBA"/>
    <w:rsid w:val="285F42FC"/>
    <w:rsid w:val="286607D4"/>
    <w:rsid w:val="28864A36"/>
    <w:rsid w:val="28AB52FD"/>
    <w:rsid w:val="28B700EB"/>
    <w:rsid w:val="28BB1CFA"/>
    <w:rsid w:val="28C93469"/>
    <w:rsid w:val="29007903"/>
    <w:rsid w:val="291E3312"/>
    <w:rsid w:val="294C745E"/>
    <w:rsid w:val="299A46A2"/>
    <w:rsid w:val="29C05EFF"/>
    <w:rsid w:val="29C1387D"/>
    <w:rsid w:val="2A0540EB"/>
    <w:rsid w:val="2A450970"/>
    <w:rsid w:val="2A4B75E1"/>
    <w:rsid w:val="2A8F75F4"/>
    <w:rsid w:val="2A9A167B"/>
    <w:rsid w:val="2AEC78EA"/>
    <w:rsid w:val="2AF00FDF"/>
    <w:rsid w:val="2B165412"/>
    <w:rsid w:val="2B536385"/>
    <w:rsid w:val="2B955CE5"/>
    <w:rsid w:val="2BA43086"/>
    <w:rsid w:val="2BA44C1F"/>
    <w:rsid w:val="2BC479C2"/>
    <w:rsid w:val="2BD93D51"/>
    <w:rsid w:val="2BEC7E2C"/>
    <w:rsid w:val="2C1D7843"/>
    <w:rsid w:val="2C242D48"/>
    <w:rsid w:val="2C294F8C"/>
    <w:rsid w:val="2C345177"/>
    <w:rsid w:val="2C4C6FDD"/>
    <w:rsid w:val="2C5C384A"/>
    <w:rsid w:val="2C6B6A7F"/>
    <w:rsid w:val="2CAA6184"/>
    <w:rsid w:val="2CAE3665"/>
    <w:rsid w:val="2D067826"/>
    <w:rsid w:val="2D3622E0"/>
    <w:rsid w:val="2D391DD0"/>
    <w:rsid w:val="2D4E6221"/>
    <w:rsid w:val="2D6B4B28"/>
    <w:rsid w:val="2D961A5A"/>
    <w:rsid w:val="2DE6392B"/>
    <w:rsid w:val="2DFF4A83"/>
    <w:rsid w:val="2E122008"/>
    <w:rsid w:val="2E180D7A"/>
    <w:rsid w:val="2E2E2168"/>
    <w:rsid w:val="2E40448B"/>
    <w:rsid w:val="2E693297"/>
    <w:rsid w:val="2E6F4D13"/>
    <w:rsid w:val="2EC861BD"/>
    <w:rsid w:val="2ED266D6"/>
    <w:rsid w:val="2F025B51"/>
    <w:rsid w:val="2F032CD9"/>
    <w:rsid w:val="2F5479BA"/>
    <w:rsid w:val="2F652DBB"/>
    <w:rsid w:val="2F6C589B"/>
    <w:rsid w:val="2FC87C04"/>
    <w:rsid w:val="30253D18"/>
    <w:rsid w:val="304618DE"/>
    <w:rsid w:val="304E56F7"/>
    <w:rsid w:val="30D00A85"/>
    <w:rsid w:val="311F6DD1"/>
    <w:rsid w:val="31280E5F"/>
    <w:rsid w:val="315C0464"/>
    <w:rsid w:val="317E778D"/>
    <w:rsid w:val="31A729C5"/>
    <w:rsid w:val="31AC33EA"/>
    <w:rsid w:val="32314873"/>
    <w:rsid w:val="32556035"/>
    <w:rsid w:val="32572E2A"/>
    <w:rsid w:val="32912E3E"/>
    <w:rsid w:val="32A06764"/>
    <w:rsid w:val="32B42BC5"/>
    <w:rsid w:val="32B703C5"/>
    <w:rsid w:val="32D5578E"/>
    <w:rsid w:val="331B051A"/>
    <w:rsid w:val="332A470C"/>
    <w:rsid w:val="333E0AA9"/>
    <w:rsid w:val="33492157"/>
    <w:rsid w:val="334D54A5"/>
    <w:rsid w:val="338C350C"/>
    <w:rsid w:val="33A725A4"/>
    <w:rsid w:val="33DF5176"/>
    <w:rsid w:val="33E96E13"/>
    <w:rsid w:val="34104E5F"/>
    <w:rsid w:val="341C76D3"/>
    <w:rsid w:val="342F1C9A"/>
    <w:rsid w:val="343A07D4"/>
    <w:rsid w:val="3472746F"/>
    <w:rsid w:val="34AB08B2"/>
    <w:rsid w:val="34CD2882"/>
    <w:rsid w:val="34F7608F"/>
    <w:rsid w:val="35134512"/>
    <w:rsid w:val="352441F3"/>
    <w:rsid w:val="352F238C"/>
    <w:rsid w:val="353A62AA"/>
    <w:rsid w:val="354E6AA6"/>
    <w:rsid w:val="3561697A"/>
    <w:rsid w:val="358A703E"/>
    <w:rsid w:val="359039E0"/>
    <w:rsid w:val="360C55AE"/>
    <w:rsid w:val="361B6F0C"/>
    <w:rsid w:val="367F3CF4"/>
    <w:rsid w:val="3693324F"/>
    <w:rsid w:val="36B81822"/>
    <w:rsid w:val="36CC5A63"/>
    <w:rsid w:val="36DD4630"/>
    <w:rsid w:val="36EC2369"/>
    <w:rsid w:val="375F7D75"/>
    <w:rsid w:val="3790271A"/>
    <w:rsid w:val="37AC2C61"/>
    <w:rsid w:val="37BF3380"/>
    <w:rsid w:val="37EA6A6A"/>
    <w:rsid w:val="38091819"/>
    <w:rsid w:val="380E4F1F"/>
    <w:rsid w:val="3811327A"/>
    <w:rsid w:val="38262013"/>
    <w:rsid w:val="38432EAC"/>
    <w:rsid w:val="384A0536"/>
    <w:rsid w:val="38930D40"/>
    <w:rsid w:val="39213268"/>
    <w:rsid w:val="39617AB4"/>
    <w:rsid w:val="39CD32B0"/>
    <w:rsid w:val="3A124335"/>
    <w:rsid w:val="3A9C4BBA"/>
    <w:rsid w:val="3A9F2513"/>
    <w:rsid w:val="3AB07AF3"/>
    <w:rsid w:val="3AC72086"/>
    <w:rsid w:val="3AC751D2"/>
    <w:rsid w:val="3B3E6753"/>
    <w:rsid w:val="3B5C2617"/>
    <w:rsid w:val="3BF93AB6"/>
    <w:rsid w:val="3C0C7345"/>
    <w:rsid w:val="3C1425E4"/>
    <w:rsid w:val="3C3E6F24"/>
    <w:rsid w:val="3C7D7C99"/>
    <w:rsid w:val="3C9B1352"/>
    <w:rsid w:val="3CC5239C"/>
    <w:rsid w:val="3D380096"/>
    <w:rsid w:val="3D4C0BB6"/>
    <w:rsid w:val="3D507557"/>
    <w:rsid w:val="3D585B11"/>
    <w:rsid w:val="3D642BC9"/>
    <w:rsid w:val="3D6669E6"/>
    <w:rsid w:val="3D7409E0"/>
    <w:rsid w:val="3D755F99"/>
    <w:rsid w:val="3D7A2502"/>
    <w:rsid w:val="3DD705A5"/>
    <w:rsid w:val="3E0A6B94"/>
    <w:rsid w:val="3E4C63DD"/>
    <w:rsid w:val="3E59117D"/>
    <w:rsid w:val="3E75B924"/>
    <w:rsid w:val="3EC12A78"/>
    <w:rsid w:val="3EDD4A14"/>
    <w:rsid w:val="3EFD35FC"/>
    <w:rsid w:val="3F1C67B3"/>
    <w:rsid w:val="3F2C0D2F"/>
    <w:rsid w:val="3F4E0AF4"/>
    <w:rsid w:val="3F6131BF"/>
    <w:rsid w:val="3F644127"/>
    <w:rsid w:val="3F87161D"/>
    <w:rsid w:val="3FC245C5"/>
    <w:rsid w:val="3FCB1275"/>
    <w:rsid w:val="3FF43235"/>
    <w:rsid w:val="3FF45099"/>
    <w:rsid w:val="401D6D4D"/>
    <w:rsid w:val="40254781"/>
    <w:rsid w:val="403060F0"/>
    <w:rsid w:val="40A065BD"/>
    <w:rsid w:val="40AB39E0"/>
    <w:rsid w:val="40B3401B"/>
    <w:rsid w:val="40BC5D48"/>
    <w:rsid w:val="40FF1F62"/>
    <w:rsid w:val="4197782B"/>
    <w:rsid w:val="41A3018B"/>
    <w:rsid w:val="41A535AA"/>
    <w:rsid w:val="41AA34F2"/>
    <w:rsid w:val="41E16A27"/>
    <w:rsid w:val="4237178D"/>
    <w:rsid w:val="4241137D"/>
    <w:rsid w:val="429C1435"/>
    <w:rsid w:val="42E16EB3"/>
    <w:rsid w:val="42E34762"/>
    <w:rsid w:val="42E63A08"/>
    <w:rsid w:val="42E94B51"/>
    <w:rsid w:val="4314169A"/>
    <w:rsid w:val="432705CC"/>
    <w:rsid w:val="434004A6"/>
    <w:rsid w:val="43470FC4"/>
    <w:rsid w:val="435A06C4"/>
    <w:rsid w:val="43665A5C"/>
    <w:rsid w:val="439F1B8F"/>
    <w:rsid w:val="43AF4742"/>
    <w:rsid w:val="43B8313D"/>
    <w:rsid w:val="4431337C"/>
    <w:rsid w:val="443644DA"/>
    <w:rsid w:val="444730A2"/>
    <w:rsid w:val="44473503"/>
    <w:rsid w:val="444A72BB"/>
    <w:rsid w:val="44587DBF"/>
    <w:rsid w:val="446D0F76"/>
    <w:rsid w:val="449F563D"/>
    <w:rsid w:val="44BB1973"/>
    <w:rsid w:val="44E57F64"/>
    <w:rsid w:val="44EB0D5C"/>
    <w:rsid w:val="44FE278B"/>
    <w:rsid w:val="45025959"/>
    <w:rsid w:val="4555322C"/>
    <w:rsid w:val="456C41D2"/>
    <w:rsid w:val="45714C61"/>
    <w:rsid w:val="458F25B2"/>
    <w:rsid w:val="45926E86"/>
    <w:rsid w:val="45AE7BDE"/>
    <w:rsid w:val="45EE76B2"/>
    <w:rsid w:val="46346F9E"/>
    <w:rsid w:val="46544D63"/>
    <w:rsid w:val="46840369"/>
    <w:rsid w:val="469461AE"/>
    <w:rsid w:val="46990B0B"/>
    <w:rsid w:val="46C96D69"/>
    <w:rsid w:val="46CD7FE0"/>
    <w:rsid w:val="470671AC"/>
    <w:rsid w:val="47166DC7"/>
    <w:rsid w:val="47AB6627"/>
    <w:rsid w:val="47C05CA9"/>
    <w:rsid w:val="47F021C3"/>
    <w:rsid w:val="47F354E7"/>
    <w:rsid w:val="48392FEA"/>
    <w:rsid w:val="48531B40"/>
    <w:rsid w:val="48690867"/>
    <w:rsid w:val="488C61D2"/>
    <w:rsid w:val="48991014"/>
    <w:rsid w:val="48DF1DC3"/>
    <w:rsid w:val="48EF319B"/>
    <w:rsid w:val="48EF714D"/>
    <w:rsid w:val="4924281B"/>
    <w:rsid w:val="49321AAF"/>
    <w:rsid w:val="494B4C4F"/>
    <w:rsid w:val="494F75D6"/>
    <w:rsid w:val="495F69C1"/>
    <w:rsid w:val="496770E4"/>
    <w:rsid w:val="49AC2396"/>
    <w:rsid w:val="49AD3D5C"/>
    <w:rsid w:val="49C56596"/>
    <w:rsid w:val="4A2138A6"/>
    <w:rsid w:val="4A48022F"/>
    <w:rsid w:val="4A5E6550"/>
    <w:rsid w:val="4A7103C0"/>
    <w:rsid w:val="4A7D7970"/>
    <w:rsid w:val="4ABF2E3F"/>
    <w:rsid w:val="4AC8014A"/>
    <w:rsid w:val="4AE419A1"/>
    <w:rsid w:val="4AEC71C1"/>
    <w:rsid w:val="4AFF0413"/>
    <w:rsid w:val="4B066AD1"/>
    <w:rsid w:val="4BBA1EA3"/>
    <w:rsid w:val="4C227943"/>
    <w:rsid w:val="4C9778E8"/>
    <w:rsid w:val="4C9F2852"/>
    <w:rsid w:val="4CB27F58"/>
    <w:rsid w:val="4CB92ABE"/>
    <w:rsid w:val="4CCC6242"/>
    <w:rsid w:val="4D0900C6"/>
    <w:rsid w:val="4D096E8F"/>
    <w:rsid w:val="4D2E48C1"/>
    <w:rsid w:val="4D3413B0"/>
    <w:rsid w:val="4D653CC4"/>
    <w:rsid w:val="4D6F4EDD"/>
    <w:rsid w:val="4D854E1E"/>
    <w:rsid w:val="4DA145FE"/>
    <w:rsid w:val="4DCF60C5"/>
    <w:rsid w:val="4DD32BB9"/>
    <w:rsid w:val="4E103A51"/>
    <w:rsid w:val="4E1C751D"/>
    <w:rsid w:val="4E2A36E9"/>
    <w:rsid w:val="4E2C41C7"/>
    <w:rsid w:val="4E412B2C"/>
    <w:rsid w:val="4E4671B8"/>
    <w:rsid w:val="4E522D0C"/>
    <w:rsid w:val="4EB44BE7"/>
    <w:rsid w:val="4F105740"/>
    <w:rsid w:val="4F116D63"/>
    <w:rsid w:val="4F3717BD"/>
    <w:rsid w:val="4F5F021D"/>
    <w:rsid w:val="4F610FB8"/>
    <w:rsid w:val="4F645A5D"/>
    <w:rsid w:val="4FCA241C"/>
    <w:rsid w:val="4FD31CE0"/>
    <w:rsid w:val="4FD84E79"/>
    <w:rsid w:val="4FDF2870"/>
    <w:rsid w:val="50132220"/>
    <w:rsid w:val="5026426A"/>
    <w:rsid w:val="50445F58"/>
    <w:rsid w:val="504A26F6"/>
    <w:rsid w:val="504F2B7C"/>
    <w:rsid w:val="50750D8C"/>
    <w:rsid w:val="50A456F9"/>
    <w:rsid w:val="50E50AC2"/>
    <w:rsid w:val="50F37CB3"/>
    <w:rsid w:val="50F91C69"/>
    <w:rsid w:val="510961FA"/>
    <w:rsid w:val="51256C9D"/>
    <w:rsid w:val="514915AE"/>
    <w:rsid w:val="51622499"/>
    <w:rsid w:val="519A7D87"/>
    <w:rsid w:val="51AC33C5"/>
    <w:rsid w:val="51AF57C6"/>
    <w:rsid w:val="51D91B03"/>
    <w:rsid w:val="523562A6"/>
    <w:rsid w:val="524A562E"/>
    <w:rsid w:val="52601278"/>
    <w:rsid w:val="5288376A"/>
    <w:rsid w:val="52C32C39"/>
    <w:rsid w:val="52D474B8"/>
    <w:rsid w:val="52DD1C78"/>
    <w:rsid w:val="52ED05BC"/>
    <w:rsid w:val="5319496F"/>
    <w:rsid w:val="533711EA"/>
    <w:rsid w:val="53567BEF"/>
    <w:rsid w:val="53576E60"/>
    <w:rsid w:val="53816B21"/>
    <w:rsid w:val="53B319B5"/>
    <w:rsid w:val="54421A1B"/>
    <w:rsid w:val="5449107B"/>
    <w:rsid w:val="544B29D0"/>
    <w:rsid w:val="544C52F5"/>
    <w:rsid w:val="545D71A0"/>
    <w:rsid w:val="54E95147"/>
    <w:rsid w:val="550D2648"/>
    <w:rsid w:val="559E2EBF"/>
    <w:rsid w:val="55CA584F"/>
    <w:rsid w:val="55D43D43"/>
    <w:rsid w:val="55DE55FC"/>
    <w:rsid w:val="55E97EAE"/>
    <w:rsid w:val="55EB6283"/>
    <w:rsid w:val="55FD7B2E"/>
    <w:rsid w:val="560517F8"/>
    <w:rsid w:val="561305EC"/>
    <w:rsid w:val="56241695"/>
    <w:rsid w:val="562B0B73"/>
    <w:rsid w:val="562B1343"/>
    <w:rsid w:val="5651208F"/>
    <w:rsid w:val="56B8479E"/>
    <w:rsid w:val="56BB2D2F"/>
    <w:rsid w:val="56C3708C"/>
    <w:rsid w:val="56ED629A"/>
    <w:rsid w:val="57071F43"/>
    <w:rsid w:val="57225A2C"/>
    <w:rsid w:val="572B4892"/>
    <w:rsid w:val="575801D6"/>
    <w:rsid w:val="57616002"/>
    <w:rsid w:val="578B0492"/>
    <w:rsid w:val="578E25D7"/>
    <w:rsid w:val="57C26B2D"/>
    <w:rsid w:val="57E66D1D"/>
    <w:rsid w:val="57ED6592"/>
    <w:rsid w:val="57F83669"/>
    <w:rsid w:val="5841719C"/>
    <w:rsid w:val="589D2963"/>
    <w:rsid w:val="58AE15EB"/>
    <w:rsid w:val="58DE757B"/>
    <w:rsid w:val="58EE3430"/>
    <w:rsid w:val="5921150F"/>
    <w:rsid w:val="59943DE5"/>
    <w:rsid w:val="59B20F9F"/>
    <w:rsid w:val="59B35B4B"/>
    <w:rsid w:val="59B67BE2"/>
    <w:rsid w:val="59B819C2"/>
    <w:rsid w:val="59E94E4A"/>
    <w:rsid w:val="5A6E1159"/>
    <w:rsid w:val="5A7066E6"/>
    <w:rsid w:val="5A7C0EA3"/>
    <w:rsid w:val="5A9F6BD3"/>
    <w:rsid w:val="5AB920FA"/>
    <w:rsid w:val="5ADF613B"/>
    <w:rsid w:val="5AE72FA7"/>
    <w:rsid w:val="5AED215F"/>
    <w:rsid w:val="5AFD02AF"/>
    <w:rsid w:val="5B021445"/>
    <w:rsid w:val="5B076E4A"/>
    <w:rsid w:val="5B13747C"/>
    <w:rsid w:val="5B1B2537"/>
    <w:rsid w:val="5B204573"/>
    <w:rsid w:val="5B58368C"/>
    <w:rsid w:val="5B95104C"/>
    <w:rsid w:val="5BEE69DD"/>
    <w:rsid w:val="5C0230C0"/>
    <w:rsid w:val="5C0F17BB"/>
    <w:rsid w:val="5C2D3CCB"/>
    <w:rsid w:val="5C3F1579"/>
    <w:rsid w:val="5C861647"/>
    <w:rsid w:val="5C942F44"/>
    <w:rsid w:val="5C964DBE"/>
    <w:rsid w:val="5C9B11E3"/>
    <w:rsid w:val="5CB42CBE"/>
    <w:rsid w:val="5CBB1864"/>
    <w:rsid w:val="5CBD3460"/>
    <w:rsid w:val="5CF94831"/>
    <w:rsid w:val="5D1C12A9"/>
    <w:rsid w:val="5D5729F6"/>
    <w:rsid w:val="5D6A3D29"/>
    <w:rsid w:val="5D9F77DE"/>
    <w:rsid w:val="5DA83D4F"/>
    <w:rsid w:val="5DB252C1"/>
    <w:rsid w:val="5DB67000"/>
    <w:rsid w:val="5DB93E54"/>
    <w:rsid w:val="5DE577D1"/>
    <w:rsid w:val="5DE70C7D"/>
    <w:rsid w:val="5E0C2497"/>
    <w:rsid w:val="5E1223FD"/>
    <w:rsid w:val="5E411A4B"/>
    <w:rsid w:val="5E473B1C"/>
    <w:rsid w:val="5EC400A3"/>
    <w:rsid w:val="5F042E24"/>
    <w:rsid w:val="5F2356CA"/>
    <w:rsid w:val="5F3E2B5F"/>
    <w:rsid w:val="5F522D7B"/>
    <w:rsid w:val="5F535EE5"/>
    <w:rsid w:val="5F644FE3"/>
    <w:rsid w:val="5F6E7AEA"/>
    <w:rsid w:val="5FA410D6"/>
    <w:rsid w:val="5FAB282F"/>
    <w:rsid w:val="5FBA1FC5"/>
    <w:rsid w:val="5FC25F15"/>
    <w:rsid w:val="5FC43550"/>
    <w:rsid w:val="5FCB6A79"/>
    <w:rsid w:val="5FDA9553"/>
    <w:rsid w:val="5FE71F50"/>
    <w:rsid w:val="5FF511BE"/>
    <w:rsid w:val="5FFF2396"/>
    <w:rsid w:val="5FFF3A3A"/>
    <w:rsid w:val="6007755F"/>
    <w:rsid w:val="604A14EE"/>
    <w:rsid w:val="60817E51"/>
    <w:rsid w:val="60B542AD"/>
    <w:rsid w:val="60C56EFB"/>
    <w:rsid w:val="61053D86"/>
    <w:rsid w:val="615B1AFB"/>
    <w:rsid w:val="61DE2370"/>
    <w:rsid w:val="61F71FD6"/>
    <w:rsid w:val="6203133E"/>
    <w:rsid w:val="622F7629"/>
    <w:rsid w:val="623A7D7A"/>
    <w:rsid w:val="626E4109"/>
    <w:rsid w:val="62804DB9"/>
    <w:rsid w:val="62980D9A"/>
    <w:rsid w:val="629F55E2"/>
    <w:rsid w:val="62CD53DB"/>
    <w:rsid w:val="62F616C7"/>
    <w:rsid w:val="63544BD1"/>
    <w:rsid w:val="635A423F"/>
    <w:rsid w:val="638527C3"/>
    <w:rsid w:val="63F8673F"/>
    <w:rsid w:val="63FF6967"/>
    <w:rsid w:val="6407452F"/>
    <w:rsid w:val="645F5DC9"/>
    <w:rsid w:val="646E3CB5"/>
    <w:rsid w:val="64E51842"/>
    <w:rsid w:val="657C36B8"/>
    <w:rsid w:val="65EB1A66"/>
    <w:rsid w:val="65F430E2"/>
    <w:rsid w:val="66117811"/>
    <w:rsid w:val="666E2046"/>
    <w:rsid w:val="66795C8E"/>
    <w:rsid w:val="669323DE"/>
    <w:rsid w:val="66A74A52"/>
    <w:rsid w:val="66AA37C4"/>
    <w:rsid w:val="66C04514"/>
    <w:rsid w:val="66D22371"/>
    <w:rsid w:val="66E11E63"/>
    <w:rsid w:val="67371992"/>
    <w:rsid w:val="673A3D9F"/>
    <w:rsid w:val="673A4648"/>
    <w:rsid w:val="6741323A"/>
    <w:rsid w:val="67580D25"/>
    <w:rsid w:val="67630CEF"/>
    <w:rsid w:val="67701028"/>
    <w:rsid w:val="67795629"/>
    <w:rsid w:val="677F598A"/>
    <w:rsid w:val="678A05F9"/>
    <w:rsid w:val="678A0690"/>
    <w:rsid w:val="67A75387"/>
    <w:rsid w:val="68100B7A"/>
    <w:rsid w:val="6819737B"/>
    <w:rsid w:val="68201E16"/>
    <w:rsid w:val="68A443E5"/>
    <w:rsid w:val="68F240C7"/>
    <w:rsid w:val="692B759D"/>
    <w:rsid w:val="693518F9"/>
    <w:rsid w:val="69412846"/>
    <w:rsid w:val="69694CF5"/>
    <w:rsid w:val="696B7731"/>
    <w:rsid w:val="69A06439"/>
    <w:rsid w:val="69B8614D"/>
    <w:rsid w:val="69D229D3"/>
    <w:rsid w:val="69D84081"/>
    <w:rsid w:val="69FD46DC"/>
    <w:rsid w:val="6A147F71"/>
    <w:rsid w:val="6A384C5A"/>
    <w:rsid w:val="6A726123"/>
    <w:rsid w:val="6A9B699A"/>
    <w:rsid w:val="6AE9755F"/>
    <w:rsid w:val="6AF763A4"/>
    <w:rsid w:val="6B0C0BEA"/>
    <w:rsid w:val="6B292FAB"/>
    <w:rsid w:val="6B7F5533"/>
    <w:rsid w:val="6B93280A"/>
    <w:rsid w:val="6BF43010"/>
    <w:rsid w:val="6C13477D"/>
    <w:rsid w:val="6C1B1900"/>
    <w:rsid w:val="6C234A4D"/>
    <w:rsid w:val="6C391476"/>
    <w:rsid w:val="6C4D0633"/>
    <w:rsid w:val="6C88304D"/>
    <w:rsid w:val="6C954F10"/>
    <w:rsid w:val="6CA13AB4"/>
    <w:rsid w:val="6CF65890"/>
    <w:rsid w:val="6CFF695D"/>
    <w:rsid w:val="6D032D5E"/>
    <w:rsid w:val="6D0675E3"/>
    <w:rsid w:val="6D4C14BC"/>
    <w:rsid w:val="6D6535F8"/>
    <w:rsid w:val="6D806F2F"/>
    <w:rsid w:val="6DDE7D58"/>
    <w:rsid w:val="6DE30B59"/>
    <w:rsid w:val="6E074888"/>
    <w:rsid w:val="6E12150B"/>
    <w:rsid w:val="6E1B0232"/>
    <w:rsid w:val="6E4101E5"/>
    <w:rsid w:val="6E835256"/>
    <w:rsid w:val="6EB74809"/>
    <w:rsid w:val="6EB90F5C"/>
    <w:rsid w:val="6EDF1252"/>
    <w:rsid w:val="6EF963B0"/>
    <w:rsid w:val="6EFD3C1A"/>
    <w:rsid w:val="6EFF15E7"/>
    <w:rsid w:val="6F0A071A"/>
    <w:rsid w:val="6F194CCB"/>
    <w:rsid w:val="6F366286"/>
    <w:rsid w:val="6F49026C"/>
    <w:rsid w:val="6F50716D"/>
    <w:rsid w:val="6F644F21"/>
    <w:rsid w:val="6F7B2B4B"/>
    <w:rsid w:val="6F7EFFA9"/>
    <w:rsid w:val="6F837F46"/>
    <w:rsid w:val="6F98233C"/>
    <w:rsid w:val="6FA8BE97"/>
    <w:rsid w:val="6FE74D84"/>
    <w:rsid w:val="70140259"/>
    <w:rsid w:val="701F5075"/>
    <w:rsid w:val="70402F20"/>
    <w:rsid w:val="70441C8E"/>
    <w:rsid w:val="70524D90"/>
    <w:rsid w:val="706F2E8E"/>
    <w:rsid w:val="70BA2FA5"/>
    <w:rsid w:val="70BD378A"/>
    <w:rsid w:val="712E47F6"/>
    <w:rsid w:val="7134474E"/>
    <w:rsid w:val="715A415B"/>
    <w:rsid w:val="7161483B"/>
    <w:rsid w:val="717363AB"/>
    <w:rsid w:val="71836742"/>
    <w:rsid w:val="71870707"/>
    <w:rsid w:val="71D40552"/>
    <w:rsid w:val="71E1094E"/>
    <w:rsid w:val="71F417B2"/>
    <w:rsid w:val="720D678D"/>
    <w:rsid w:val="7249538F"/>
    <w:rsid w:val="725F6BE2"/>
    <w:rsid w:val="72762278"/>
    <w:rsid w:val="72FD2856"/>
    <w:rsid w:val="731C7EC5"/>
    <w:rsid w:val="73251E72"/>
    <w:rsid w:val="733E62E4"/>
    <w:rsid w:val="73915317"/>
    <w:rsid w:val="73CA79D7"/>
    <w:rsid w:val="73E350DB"/>
    <w:rsid w:val="741218FE"/>
    <w:rsid w:val="745C3B28"/>
    <w:rsid w:val="747221FB"/>
    <w:rsid w:val="748E7375"/>
    <w:rsid w:val="74D156FD"/>
    <w:rsid w:val="74E840FD"/>
    <w:rsid w:val="751F640F"/>
    <w:rsid w:val="752407A4"/>
    <w:rsid w:val="75526983"/>
    <w:rsid w:val="75A33669"/>
    <w:rsid w:val="75A96327"/>
    <w:rsid w:val="75AD3CB7"/>
    <w:rsid w:val="75F7534C"/>
    <w:rsid w:val="76142AA0"/>
    <w:rsid w:val="7615746B"/>
    <w:rsid w:val="76240449"/>
    <w:rsid w:val="76414119"/>
    <w:rsid w:val="766D7A52"/>
    <w:rsid w:val="76BF7C12"/>
    <w:rsid w:val="76C030CD"/>
    <w:rsid w:val="76EA2099"/>
    <w:rsid w:val="77234FCF"/>
    <w:rsid w:val="7795168F"/>
    <w:rsid w:val="77C5082F"/>
    <w:rsid w:val="78122985"/>
    <w:rsid w:val="78926E68"/>
    <w:rsid w:val="789B791D"/>
    <w:rsid w:val="789D5077"/>
    <w:rsid w:val="78B13B95"/>
    <w:rsid w:val="78B617B4"/>
    <w:rsid w:val="78C52B6C"/>
    <w:rsid w:val="78CD0527"/>
    <w:rsid w:val="78FE24A2"/>
    <w:rsid w:val="79045905"/>
    <w:rsid w:val="79152FEB"/>
    <w:rsid w:val="797A63CF"/>
    <w:rsid w:val="79817742"/>
    <w:rsid w:val="79842ABB"/>
    <w:rsid w:val="79D1132C"/>
    <w:rsid w:val="79D234B5"/>
    <w:rsid w:val="79D84C43"/>
    <w:rsid w:val="79DA2354"/>
    <w:rsid w:val="79E7F454"/>
    <w:rsid w:val="79EC63BA"/>
    <w:rsid w:val="7A1D37FE"/>
    <w:rsid w:val="7A893971"/>
    <w:rsid w:val="7AA96EB5"/>
    <w:rsid w:val="7ABC3697"/>
    <w:rsid w:val="7AD45005"/>
    <w:rsid w:val="7AE4462C"/>
    <w:rsid w:val="7B244303"/>
    <w:rsid w:val="7B3C15C0"/>
    <w:rsid w:val="7B486A4D"/>
    <w:rsid w:val="7B751FD5"/>
    <w:rsid w:val="7BAD6EB9"/>
    <w:rsid w:val="7BBC2008"/>
    <w:rsid w:val="7BC040B8"/>
    <w:rsid w:val="7BD75BE6"/>
    <w:rsid w:val="7BD96D1A"/>
    <w:rsid w:val="7BF722B3"/>
    <w:rsid w:val="7C116E57"/>
    <w:rsid w:val="7C3E5A74"/>
    <w:rsid w:val="7C43783F"/>
    <w:rsid w:val="7C592AD4"/>
    <w:rsid w:val="7C6341CC"/>
    <w:rsid w:val="7CB7798D"/>
    <w:rsid w:val="7CCF79B4"/>
    <w:rsid w:val="7CD478E4"/>
    <w:rsid w:val="7CDE3370"/>
    <w:rsid w:val="7CE439ED"/>
    <w:rsid w:val="7CF53A15"/>
    <w:rsid w:val="7CF85706"/>
    <w:rsid w:val="7D0B53EF"/>
    <w:rsid w:val="7D846E42"/>
    <w:rsid w:val="7D9C2620"/>
    <w:rsid w:val="7DA01B79"/>
    <w:rsid w:val="7DC806DC"/>
    <w:rsid w:val="7DF62DC9"/>
    <w:rsid w:val="7E3B3F4D"/>
    <w:rsid w:val="7EA426CC"/>
    <w:rsid w:val="7EBD4CC0"/>
    <w:rsid w:val="7EC035FD"/>
    <w:rsid w:val="7EC40A24"/>
    <w:rsid w:val="7EE2740E"/>
    <w:rsid w:val="7EFF4F62"/>
    <w:rsid w:val="7F2733BE"/>
    <w:rsid w:val="7F283120"/>
    <w:rsid w:val="7F435AF9"/>
    <w:rsid w:val="7F4BCD02"/>
    <w:rsid w:val="7F525EB9"/>
    <w:rsid w:val="7F540119"/>
    <w:rsid w:val="7F6337BD"/>
    <w:rsid w:val="7F751AFD"/>
    <w:rsid w:val="7F846908"/>
    <w:rsid w:val="7FB551BC"/>
    <w:rsid w:val="7FD21701"/>
    <w:rsid w:val="7FDFB310"/>
    <w:rsid w:val="96DB4A44"/>
    <w:rsid w:val="DF7D31F0"/>
    <w:rsid w:val="DFF7507F"/>
    <w:rsid w:val="F7EFA2DF"/>
    <w:rsid w:val="F97737E4"/>
    <w:rsid w:val="FEDFC45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66"/>
    <w:qFormat/>
    <w:uiPriority w:val="0"/>
    <w:pPr>
      <w:keepNext/>
      <w:jc w:val="center"/>
      <w:outlineLvl w:val="0"/>
    </w:pPr>
    <w:rPr>
      <w:rFonts w:eastAsia="黑体"/>
      <w:b/>
      <w:sz w:val="32"/>
      <w:szCs w:val="20"/>
    </w:rPr>
  </w:style>
  <w:style w:type="paragraph" w:styleId="6">
    <w:name w:val="heading 2"/>
    <w:basedOn w:val="1"/>
    <w:next w:val="1"/>
    <w:link w:val="67"/>
    <w:qFormat/>
    <w:uiPriority w:val="0"/>
    <w:pPr>
      <w:keepNext/>
      <w:outlineLvl w:val="1"/>
    </w:pPr>
    <w:rPr>
      <w:rFonts w:ascii="仿宋_GB2312"/>
      <w:b/>
      <w:sz w:val="28"/>
      <w:szCs w:val="32"/>
    </w:rPr>
  </w:style>
  <w:style w:type="paragraph" w:styleId="7">
    <w:name w:val="heading 3"/>
    <w:basedOn w:val="1"/>
    <w:next w:val="1"/>
    <w:link w:val="68"/>
    <w:qFormat/>
    <w:uiPriority w:val="0"/>
    <w:pPr>
      <w:keepNext/>
      <w:keepLines/>
      <w:spacing w:line="540" w:lineRule="atLeast"/>
      <w:outlineLvl w:val="2"/>
    </w:pPr>
    <w:rPr>
      <w:rFonts w:eastAsia="黑体"/>
      <w:b/>
      <w:sz w:val="28"/>
      <w:szCs w:val="20"/>
    </w:rPr>
  </w:style>
  <w:style w:type="paragraph" w:styleId="8">
    <w:name w:val="heading 4"/>
    <w:basedOn w:val="1"/>
    <w:next w:val="1"/>
    <w:link w:val="69"/>
    <w:qFormat/>
    <w:uiPriority w:val="0"/>
    <w:pPr>
      <w:keepNext/>
      <w:keepLines/>
      <w:spacing w:line="540" w:lineRule="atLeast"/>
      <w:outlineLvl w:val="3"/>
    </w:pPr>
    <w:rPr>
      <w:sz w:val="28"/>
      <w:szCs w:val="28"/>
    </w:rPr>
  </w:style>
  <w:style w:type="paragraph" w:styleId="9">
    <w:name w:val="heading 5"/>
    <w:basedOn w:val="1"/>
    <w:next w:val="1"/>
    <w:link w:val="70"/>
    <w:qFormat/>
    <w:uiPriority w:val="0"/>
    <w:pPr>
      <w:keepNext/>
      <w:keepLines/>
      <w:spacing w:before="280" w:after="290" w:line="372" w:lineRule="auto"/>
      <w:outlineLvl w:val="4"/>
    </w:pPr>
    <w:rPr>
      <w:b/>
      <w:bCs/>
      <w:kern w:val="0"/>
      <w:sz w:val="28"/>
      <w:szCs w:val="28"/>
    </w:rPr>
  </w:style>
  <w:style w:type="paragraph" w:styleId="10">
    <w:name w:val="heading 6"/>
    <w:basedOn w:val="1"/>
    <w:next w:val="11"/>
    <w:link w:val="71"/>
    <w:qFormat/>
    <w:uiPriority w:val="0"/>
    <w:pPr>
      <w:keepNext/>
      <w:keepLines/>
      <w:spacing w:before="240" w:after="64" w:line="317" w:lineRule="auto"/>
      <w:outlineLvl w:val="5"/>
    </w:pPr>
    <w:rPr>
      <w:rFonts w:ascii="Arial" w:hAnsi="Arial" w:eastAsia="黑体"/>
      <w:b/>
      <w:sz w:val="24"/>
      <w:szCs w:val="20"/>
    </w:rPr>
  </w:style>
  <w:style w:type="paragraph" w:styleId="12">
    <w:name w:val="heading 7"/>
    <w:basedOn w:val="1"/>
    <w:next w:val="11"/>
    <w:link w:val="73"/>
    <w:qFormat/>
    <w:uiPriority w:val="0"/>
    <w:pPr>
      <w:keepNext/>
      <w:keepLines/>
      <w:spacing w:before="240" w:after="64" w:line="317" w:lineRule="auto"/>
      <w:outlineLvl w:val="6"/>
    </w:pPr>
    <w:rPr>
      <w:b/>
      <w:sz w:val="24"/>
      <w:szCs w:val="20"/>
    </w:rPr>
  </w:style>
  <w:style w:type="paragraph" w:styleId="13">
    <w:name w:val="heading 8"/>
    <w:basedOn w:val="1"/>
    <w:next w:val="11"/>
    <w:link w:val="74"/>
    <w:qFormat/>
    <w:uiPriority w:val="0"/>
    <w:pPr>
      <w:keepNext/>
      <w:keepLines/>
      <w:spacing w:before="240" w:after="64" w:line="317" w:lineRule="auto"/>
      <w:outlineLvl w:val="7"/>
    </w:pPr>
    <w:rPr>
      <w:rFonts w:ascii="Arial" w:hAnsi="Arial" w:eastAsia="黑体"/>
      <w:sz w:val="24"/>
      <w:szCs w:val="20"/>
    </w:rPr>
  </w:style>
  <w:style w:type="paragraph" w:styleId="14">
    <w:name w:val="heading 9"/>
    <w:basedOn w:val="1"/>
    <w:next w:val="11"/>
    <w:link w:val="75"/>
    <w:qFormat/>
    <w:uiPriority w:val="0"/>
    <w:pPr>
      <w:keepNext/>
      <w:keepLines/>
      <w:spacing w:before="240" w:after="64" w:line="317" w:lineRule="auto"/>
      <w:outlineLvl w:val="8"/>
    </w:pPr>
    <w:rPr>
      <w:rFonts w:ascii="Arial" w:hAnsi="Arial" w:eastAsia="黑体"/>
      <w:szCs w:val="20"/>
    </w:rPr>
  </w:style>
  <w:style w:type="character" w:default="1" w:styleId="54">
    <w:name w:val="Default Paragraph Font"/>
    <w:semiHidden/>
    <w:unhideWhenUsed/>
    <w:qFormat/>
    <w:uiPriority w:val="1"/>
  </w:style>
  <w:style w:type="table" w:default="1" w:styleId="52">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next w:val="3"/>
    <w:link w:val="94"/>
    <w:qFormat/>
    <w:uiPriority w:val="0"/>
    <w:pPr>
      <w:ind w:left="480" w:hanging="480" w:hangingChars="200"/>
    </w:pPr>
    <w:rPr>
      <w:sz w:val="24"/>
    </w:rPr>
  </w:style>
  <w:style w:type="paragraph" w:styleId="3">
    <w:name w:val="Body Text First Indent 2"/>
    <w:basedOn w:val="2"/>
    <w:link w:val="64"/>
    <w:qFormat/>
    <w:uiPriority w:val="0"/>
    <w:pPr>
      <w:spacing w:after="120"/>
      <w:ind w:left="420" w:leftChars="200" w:firstLine="420"/>
    </w:pPr>
    <w:rPr>
      <w:rFonts w:cs="宋体"/>
      <w:sz w:val="21"/>
      <w:szCs w:val="21"/>
    </w:rPr>
  </w:style>
  <w:style w:type="paragraph" w:styleId="4">
    <w:name w:val="macro"/>
    <w:link w:val="65"/>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Times New Roman" w:cs="Times New Roman"/>
      <w:kern w:val="2"/>
      <w:sz w:val="24"/>
      <w:szCs w:val="24"/>
      <w:lang w:val="en-US" w:eastAsia="zh-CN" w:bidi="ar-SA"/>
    </w:rPr>
  </w:style>
  <w:style w:type="paragraph" w:styleId="11">
    <w:name w:val="Normal Indent"/>
    <w:basedOn w:val="1"/>
    <w:next w:val="1"/>
    <w:link w:val="72"/>
    <w:qFormat/>
    <w:uiPriority w:val="0"/>
    <w:pPr>
      <w:adjustRightInd w:val="0"/>
      <w:spacing w:line="312" w:lineRule="atLeast"/>
      <w:ind w:firstLine="420"/>
      <w:textAlignment w:val="baseline"/>
    </w:pPr>
    <w:rPr>
      <w:rFonts w:ascii="仿宋_GB2312"/>
      <w:b/>
      <w:kern w:val="0"/>
      <w:szCs w:val="32"/>
    </w:rPr>
  </w:style>
  <w:style w:type="paragraph" w:styleId="15">
    <w:name w:val="toc 7"/>
    <w:basedOn w:val="1"/>
    <w:next w:val="1"/>
    <w:qFormat/>
    <w:uiPriority w:val="0"/>
    <w:pPr>
      <w:autoSpaceDE w:val="0"/>
      <w:autoSpaceDN w:val="0"/>
      <w:adjustRightInd w:val="0"/>
      <w:ind w:left="2520" w:leftChars="1200"/>
      <w:jc w:val="left"/>
    </w:pPr>
    <w:rPr>
      <w:kern w:val="0"/>
      <w:sz w:val="20"/>
      <w:szCs w:val="20"/>
    </w:rPr>
  </w:style>
  <w:style w:type="paragraph" w:styleId="16">
    <w:name w:val="List Number"/>
    <w:basedOn w:val="1"/>
    <w:qFormat/>
    <w:uiPriority w:val="0"/>
    <w:pPr>
      <w:tabs>
        <w:tab w:val="left" w:pos="360"/>
      </w:tabs>
      <w:ind w:left="360" w:hanging="360" w:hangingChars="200"/>
    </w:pPr>
  </w:style>
  <w:style w:type="paragraph" w:styleId="17">
    <w:name w:val="caption"/>
    <w:basedOn w:val="1"/>
    <w:next w:val="1"/>
    <w:qFormat/>
    <w:uiPriority w:val="0"/>
    <w:pPr>
      <w:autoSpaceDE w:val="0"/>
      <w:autoSpaceDN w:val="0"/>
      <w:adjustRightInd w:val="0"/>
      <w:jc w:val="left"/>
    </w:pPr>
    <w:rPr>
      <w:rFonts w:ascii="Arial" w:hAnsi="Arial" w:eastAsia="黑体" w:cs="Arial"/>
      <w:kern w:val="0"/>
      <w:sz w:val="20"/>
      <w:szCs w:val="20"/>
    </w:rPr>
  </w:style>
  <w:style w:type="paragraph" w:styleId="18">
    <w:name w:val="List Bullet"/>
    <w:basedOn w:val="1"/>
    <w:qFormat/>
    <w:uiPriority w:val="0"/>
    <w:pPr>
      <w:tabs>
        <w:tab w:val="left" w:pos="360"/>
      </w:tabs>
    </w:pPr>
    <w:rPr>
      <w:rFonts w:ascii="Calibri" w:hAnsi="Calibri"/>
      <w:szCs w:val="22"/>
    </w:rPr>
  </w:style>
  <w:style w:type="paragraph" w:styleId="19">
    <w:name w:val="Document Map"/>
    <w:basedOn w:val="1"/>
    <w:link w:val="76"/>
    <w:qFormat/>
    <w:uiPriority w:val="0"/>
    <w:pPr>
      <w:shd w:val="clear" w:color="auto" w:fill="000080"/>
    </w:pPr>
  </w:style>
  <w:style w:type="paragraph" w:styleId="20">
    <w:name w:val="annotation text"/>
    <w:basedOn w:val="1"/>
    <w:link w:val="77"/>
    <w:qFormat/>
    <w:uiPriority w:val="0"/>
    <w:pPr>
      <w:jc w:val="left"/>
    </w:pPr>
  </w:style>
  <w:style w:type="paragraph" w:styleId="21">
    <w:name w:val="Salutation"/>
    <w:basedOn w:val="1"/>
    <w:next w:val="1"/>
    <w:link w:val="78"/>
    <w:qFormat/>
    <w:uiPriority w:val="0"/>
    <w:pPr>
      <w:tabs>
        <w:tab w:val="left" w:pos="840"/>
      </w:tabs>
      <w:autoSpaceDE w:val="0"/>
      <w:autoSpaceDN w:val="0"/>
      <w:adjustRightInd w:val="0"/>
      <w:jc w:val="left"/>
    </w:pPr>
    <w:rPr>
      <w:rFonts w:ascii="仿宋_GB2312" w:eastAsia="仿宋_GB2312"/>
      <w:b/>
      <w:kern w:val="0"/>
      <w:sz w:val="24"/>
      <w:szCs w:val="32"/>
    </w:rPr>
  </w:style>
  <w:style w:type="paragraph" w:styleId="22">
    <w:name w:val="Body Text 3"/>
    <w:basedOn w:val="1"/>
    <w:link w:val="79"/>
    <w:qFormat/>
    <w:uiPriority w:val="0"/>
    <w:pPr>
      <w:autoSpaceDE w:val="0"/>
      <w:autoSpaceDN w:val="0"/>
      <w:adjustRightInd w:val="0"/>
      <w:jc w:val="center"/>
    </w:pPr>
  </w:style>
  <w:style w:type="paragraph" w:styleId="23">
    <w:name w:val="Body Text"/>
    <w:basedOn w:val="1"/>
    <w:next w:val="24"/>
    <w:link w:val="80"/>
    <w:qFormat/>
    <w:uiPriority w:val="0"/>
    <w:pPr>
      <w:spacing w:after="120"/>
    </w:pPr>
    <w:rPr>
      <w:rFonts w:ascii="仿宋_GB2312"/>
      <w:b/>
    </w:rPr>
  </w:style>
  <w:style w:type="paragraph" w:styleId="24">
    <w:name w:val="toc 2"/>
    <w:basedOn w:val="1"/>
    <w:next w:val="1"/>
    <w:qFormat/>
    <w:uiPriority w:val="0"/>
    <w:pPr>
      <w:ind w:left="420" w:leftChars="200"/>
    </w:pPr>
  </w:style>
  <w:style w:type="paragraph" w:styleId="25">
    <w:name w:val="List Number 3"/>
    <w:basedOn w:val="1"/>
    <w:qFormat/>
    <w:uiPriority w:val="0"/>
    <w:pPr>
      <w:tabs>
        <w:tab w:val="left" w:pos="1200"/>
      </w:tabs>
      <w:ind w:left="1200" w:leftChars="400" w:hanging="360" w:hangingChars="200"/>
    </w:pPr>
  </w:style>
  <w:style w:type="paragraph" w:styleId="26">
    <w:name w:val="Block Text"/>
    <w:basedOn w:val="1"/>
    <w:qFormat/>
    <w:uiPriority w:val="0"/>
    <w:pPr>
      <w:spacing w:line="520" w:lineRule="exact"/>
      <w:ind w:left="540" w:leftChars="257" w:right="-514"/>
    </w:pPr>
    <w:rPr>
      <w:rFonts w:ascii="宋体" w:hAnsi="宋体"/>
      <w:sz w:val="24"/>
    </w:rPr>
  </w:style>
  <w:style w:type="paragraph" w:styleId="27">
    <w:name w:val="List Bullet 2"/>
    <w:basedOn w:val="1"/>
    <w:qFormat/>
    <w:uiPriority w:val="0"/>
    <w:pPr>
      <w:tabs>
        <w:tab w:val="left" w:pos="780"/>
      </w:tabs>
      <w:spacing w:line="360" w:lineRule="auto"/>
      <w:ind w:left="780" w:leftChars="200" w:hanging="360" w:hangingChars="200"/>
    </w:pPr>
  </w:style>
  <w:style w:type="paragraph" w:styleId="28">
    <w:name w:val="toc 5"/>
    <w:basedOn w:val="1"/>
    <w:next w:val="1"/>
    <w:qFormat/>
    <w:uiPriority w:val="0"/>
    <w:pPr>
      <w:autoSpaceDE w:val="0"/>
      <w:autoSpaceDN w:val="0"/>
      <w:adjustRightInd w:val="0"/>
      <w:ind w:left="1680" w:leftChars="800"/>
      <w:jc w:val="left"/>
    </w:pPr>
    <w:rPr>
      <w:kern w:val="0"/>
      <w:sz w:val="20"/>
      <w:szCs w:val="20"/>
    </w:rPr>
  </w:style>
  <w:style w:type="paragraph" w:styleId="29">
    <w:name w:val="toc 3"/>
    <w:basedOn w:val="1"/>
    <w:next w:val="1"/>
    <w:qFormat/>
    <w:uiPriority w:val="0"/>
    <w:pPr>
      <w:ind w:left="840" w:leftChars="400"/>
    </w:pPr>
  </w:style>
  <w:style w:type="paragraph" w:styleId="30">
    <w:name w:val="Plain Text"/>
    <w:basedOn w:val="1"/>
    <w:link w:val="81"/>
    <w:qFormat/>
    <w:uiPriority w:val="0"/>
    <w:pPr>
      <w:widowControl/>
      <w:overflowPunct w:val="0"/>
      <w:autoSpaceDE w:val="0"/>
      <w:autoSpaceDN w:val="0"/>
      <w:adjustRightInd w:val="0"/>
      <w:jc w:val="left"/>
      <w:textAlignment w:val="baseline"/>
    </w:pPr>
    <w:rPr>
      <w:rFonts w:ascii="宋体" w:hAnsi="Courier New"/>
      <w:b/>
      <w:kern w:val="0"/>
      <w:szCs w:val="21"/>
    </w:rPr>
  </w:style>
  <w:style w:type="paragraph" w:styleId="31">
    <w:name w:val="List Number 4"/>
    <w:basedOn w:val="1"/>
    <w:qFormat/>
    <w:uiPriority w:val="0"/>
    <w:pPr>
      <w:tabs>
        <w:tab w:val="left" w:pos="840"/>
      </w:tabs>
      <w:autoSpaceDE w:val="0"/>
      <w:autoSpaceDN w:val="0"/>
      <w:adjustRightInd w:val="0"/>
      <w:spacing w:line="360" w:lineRule="atLeast"/>
      <w:ind w:left="840" w:hanging="420"/>
      <w:jc w:val="left"/>
    </w:pPr>
    <w:rPr>
      <w:kern w:val="0"/>
      <w:sz w:val="24"/>
      <w:szCs w:val="20"/>
    </w:rPr>
  </w:style>
  <w:style w:type="paragraph" w:styleId="32">
    <w:name w:val="toc 8"/>
    <w:basedOn w:val="1"/>
    <w:next w:val="1"/>
    <w:qFormat/>
    <w:uiPriority w:val="0"/>
    <w:pPr>
      <w:autoSpaceDE w:val="0"/>
      <w:autoSpaceDN w:val="0"/>
      <w:adjustRightInd w:val="0"/>
      <w:ind w:left="2940" w:leftChars="1400"/>
      <w:jc w:val="left"/>
    </w:pPr>
    <w:rPr>
      <w:kern w:val="0"/>
      <w:sz w:val="20"/>
      <w:szCs w:val="20"/>
    </w:rPr>
  </w:style>
  <w:style w:type="paragraph" w:styleId="33">
    <w:name w:val="Date"/>
    <w:basedOn w:val="1"/>
    <w:next w:val="1"/>
    <w:link w:val="82"/>
    <w:qFormat/>
    <w:uiPriority w:val="0"/>
    <w:pPr>
      <w:ind w:left="100" w:leftChars="2500"/>
    </w:pPr>
  </w:style>
  <w:style w:type="paragraph" w:styleId="34">
    <w:name w:val="Body Text Indent 2"/>
    <w:basedOn w:val="1"/>
    <w:link w:val="83"/>
    <w:qFormat/>
    <w:uiPriority w:val="0"/>
    <w:pPr>
      <w:spacing w:line="500" w:lineRule="exact"/>
      <w:ind w:firstLine="511" w:firstLineChars="213"/>
    </w:pPr>
    <w:rPr>
      <w:sz w:val="24"/>
    </w:rPr>
  </w:style>
  <w:style w:type="paragraph" w:styleId="35">
    <w:name w:val="Balloon Text"/>
    <w:basedOn w:val="1"/>
    <w:link w:val="84"/>
    <w:qFormat/>
    <w:uiPriority w:val="0"/>
    <w:rPr>
      <w:sz w:val="18"/>
      <w:szCs w:val="18"/>
    </w:rPr>
  </w:style>
  <w:style w:type="paragraph" w:styleId="36">
    <w:name w:val="footer"/>
    <w:basedOn w:val="1"/>
    <w:next w:val="1"/>
    <w:link w:val="85"/>
    <w:qFormat/>
    <w:uiPriority w:val="0"/>
    <w:pPr>
      <w:tabs>
        <w:tab w:val="center" w:pos="4153"/>
        <w:tab w:val="right" w:pos="8306"/>
      </w:tabs>
      <w:snapToGrid w:val="0"/>
      <w:jc w:val="left"/>
    </w:pPr>
    <w:rPr>
      <w:sz w:val="18"/>
      <w:szCs w:val="18"/>
    </w:rPr>
  </w:style>
  <w:style w:type="paragraph" w:styleId="37">
    <w:name w:val="header"/>
    <w:basedOn w:val="1"/>
    <w:link w:val="86"/>
    <w:qFormat/>
    <w:uiPriority w:val="0"/>
    <w:pPr>
      <w:pBdr>
        <w:bottom w:val="single" w:color="auto" w:sz="6" w:space="1"/>
      </w:pBdr>
      <w:tabs>
        <w:tab w:val="center" w:pos="4153"/>
        <w:tab w:val="right" w:pos="8306"/>
      </w:tabs>
      <w:snapToGrid w:val="0"/>
      <w:jc w:val="center"/>
    </w:pPr>
    <w:rPr>
      <w:sz w:val="18"/>
      <w:szCs w:val="18"/>
    </w:rPr>
  </w:style>
  <w:style w:type="paragraph" w:styleId="38">
    <w:name w:val="Signature"/>
    <w:basedOn w:val="1"/>
    <w:link w:val="87"/>
    <w:qFormat/>
    <w:uiPriority w:val="0"/>
    <w:pPr>
      <w:autoSpaceDE w:val="0"/>
      <w:autoSpaceDN w:val="0"/>
      <w:adjustRightInd w:val="0"/>
      <w:spacing w:after="600" w:line="312" w:lineRule="atLeast"/>
      <w:jc w:val="center"/>
      <w:textAlignment w:val="baseline"/>
    </w:pPr>
    <w:rPr>
      <w:rFonts w:ascii="仿宋_GB2312" w:eastAsia="仿宋_GB2312"/>
      <w:b/>
      <w:kern w:val="0"/>
      <w:sz w:val="24"/>
      <w:szCs w:val="32"/>
    </w:rPr>
  </w:style>
  <w:style w:type="paragraph" w:styleId="39">
    <w:name w:val="toc 1"/>
    <w:basedOn w:val="1"/>
    <w:next w:val="1"/>
    <w:qFormat/>
    <w:uiPriority w:val="0"/>
  </w:style>
  <w:style w:type="paragraph" w:styleId="40">
    <w:name w:val="toc 4"/>
    <w:basedOn w:val="1"/>
    <w:next w:val="1"/>
    <w:qFormat/>
    <w:uiPriority w:val="0"/>
    <w:pPr>
      <w:autoSpaceDE w:val="0"/>
      <w:autoSpaceDN w:val="0"/>
      <w:adjustRightInd w:val="0"/>
      <w:ind w:left="1260" w:leftChars="600"/>
      <w:jc w:val="left"/>
    </w:pPr>
    <w:rPr>
      <w:kern w:val="0"/>
      <w:sz w:val="20"/>
      <w:szCs w:val="20"/>
    </w:rPr>
  </w:style>
  <w:style w:type="paragraph" w:styleId="41">
    <w:name w:val="Subtitle"/>
    <w:basedOn w:val="1"/>
    <w:next w:val="1"/>
    <w:link w:val="88"/>
    <w:qFormat/>
    <w:uiPriority w:val="0"/>
    <w:pPr>
      <w:spacing w:before="240" w:after="60" w:line="312" w:lineRule="auto"/>
      <w:jc w:val="center"/>
      <w:outlineLvl w:val="1"/>
    </w:pPr>
    <w:rPr>
      <w:rFonts w:ascii="Cambria" w:hAnsi="Cambria"/>
      <w:b/>
      <w:bCs/>
      <w:kern w:val="28"/>
      <w:sz w:val="32"/>
      <w:szCs w:val="32"/>
    </w:rPr>
  </w:style>
  <w:style w:type="paragraph" w:styleId="42">
    <w:name w:val="List Number 5"/>
    <w:basedOn w:val="1"/>
    <w:qFormat/>
    <w:uiPriority w:val="0"/>
    <w:pPr>
      <w:tabs>
        <w:tab w:val="left" w:pos="2040"/>
      </w:tabs>
      <w:autoSpaceDE w:val="0"/>
      <w:autoSpaceDN w:val="0"/>
      <w:adjustRightInd w:val="0"/>
      <w:spacing w:line="400" w:lineRule="exact"/>
      <w:ind w:left="2040" w:hanging="360"/>
      <w:jc w:val="left"/>
    </w:pPr>
    <w:rPr>
      <w:kern w:val="0"/>
      <w:sz w:val="24"/>
      <w:szCs w:val="20"/>
    </w:rPr>
  </w:style>
  <w:style w:type="paragraph" w:styleId="43">
    <w:name w:val="List"/>
    <w:basedOn w:val="1"/>
    <w:qFormat/>
    <w:uiPriority w:val="0"/>
    <w:pPr>
      <w:ind w:left="200" w:hanging="200" w:hangingChars="200"/>
    </w:pPr>
  </w:style>
  <w:style w:type="paragraph" w:styleId="44">
    <w:name w:val="toc 6"/>
    <w:basedOn w:val="1"/>
    <w:next w:val="1"/>
    <w:qFormat/>
    <w:uiPriority w:val="0"/>
    <w:pPr>
      <w:autoSpaceDE w:val="0"/>
      <w:autoSpaceDN w:val="0"/>
      <w:adjustRightInd w:val="0"/>
      <w:ind w:left="2100" w:leftChars="1000"/>
      <w:jc w:val="left"/>
    </w:pPr>
    <w:rPr>
      <w:kern w:val="0"/>
      <w:sz w:val="20"/>
      <w:szCs w:val="20"/>
    </w:rPr>
  </w:style>
  <w:style w:type="paragraph" w:styleId="45">
    <w:name w:val="Body Text Indent 3"/>
    <w:basedOn w:val="1"/>
    <w:link w:val="89"/>
    <w:qFormat/>
    <w:uiPriority w:val="0"/>
    <w:pPr>
      <w:spacing w:line="500" w:lineRule="exact"/>
      <w:ind w:left="511" w:hanging="511" w:hangingChars="213"/>
    </w:pPr>
    <w:rPr>
      <w:sz w:val="24"/>
    </w:rPr>
  </w:style>
  <w:style w:type="paragraph" w:styleId="46">
    <w:name w:val="toc 9"/>
    <w:basedOn w:val="1"/>
    <w:next w:val="1"/>
    <w:qFormat/>
    <w:uiPriority w:val="0"/>
    <w:pPr>
      <w:autoSpaceDE w:val="0"/>
      <w:autoSpaceDN w:val="0"/>
      <w:adjustRightInd w:val="0"/>
      <w:ind w:left="3360" w:leftChars="1600"/>
      <w:jc w:val="left"/>
    </w:pPr>
    <w:rPr>
      <w:kern w:val="0"/>
      <w:sz w:val="20"/>
      <w:szCs w:val="20"/>
    </w:rPr>
  </w:style>
  <w:style w:type="paragraph" w:styleId="47">
    <w:name w:val="Body Text 2"/>
    <w:basedOn w:val="1"/>
    <w:link w:val="90"/>
    <w:qFormat/>
    <w:uiPriority w:val="0"/>
    <w:pPr>
      <w:autoSpaceDE w:val="0"/>
      <w:autoSpaceDN w:val="0"/>
      <w:adjustRightInd w:val="0"/>
      <w:spacing w:after="120" w:line="480" w:lineRule="auto"/>
      <w:jc w:val="left"/>
    </w:pPr>
  </w:style>
  <w:style w:type="paragraph" w:styleId="48">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9">
    <w:name w:val="Title"/>
    <w:basedOn w:val="1"/>
    <w:next w:val="1"/>
    <w:link w:val="91"/>
    <w:qFormat/>
    <w:uiPriority w:val="0"/>
    <w:pPr>
      <w:spacing w:before="240" w:after="60"/>
      <w:jc w:val="center"/>
      <w:outlineLvl w:val="0"/>
    </w:pPr>
    <w:rPr>
      <w:rFonts w:ascii="Cambria" w:hAnsi="Cambria"/>
      <w:b/>
      <w:bCs/>
      <w:sz w:val="32"/>
      <w:szCs w:val="32"/>
    </w:rPr>
  </w:style>
  <w:style w:type="paragraph" w:styleId="50">
    <w:name w:val="annotation subject"/>
    <w:basedOn w:val="20"/>
    <w:next w:val="20"/>
    <w:link w:val="92"/>
    <w:qFormat/>
    <w:uiPriority w:val="0"/>
    <w:rPr>
      <w:b/>
      <w:bCs/>
    </w:rPr>
  </w:style>
  <w:style w:type="paragraph" w:styleId="51">
    <w:name w:val="Body Text First Indent"/>
    <w:basedOn w:val="23"/>
    <w:next w:val="44"/>
    <w:link w:val="93"/>
    <w:qFormat/>
    <w:uiPriority w:val="0"/>
    <w:pPr>
      <w:autoSpaceDE w:val="0"/>
      <w:autoSpaceDN w:val="0"/>
      <w:adjustRightInd w:val="0"/>
      <w:ind w:firstLine="420" w:firstLineChars="100"/>
      <w:jc w:val="left"/>
    </w:pPr>
    <w:rPr>
      <w:rFonts w:ascii="Calibri"/>
      <w:b w:val="0"/>
      <w:kern w:val="0"/>
      <w:sz w:val="20"/>
      <w:szCs w:val="20"/>
    </w:rPr>
  </w:style>
  <w:style w:type="table" w:styleId="53">
    <w:name w:val="Table Grid"/>
    <w:basedOn w:val="5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5">
    <w:name w:val="Strong"/>
    <w:qFormat/>
    <w:uiPriority w:val="0"/>
    <w:rPr>
      <w:rFonts w:ascii="仿宋_GB2312" w:eastAsia="仿宋_GB2312"/>
      <w:bCs/>
      <w:sz w:val="32"/>
      <w:szCs w:val="32"/>
    </w:rPr>
  </w:style>
  <w:style w:type="character" w:styleId="56">
    <w:name w:val="page number"/>
    <w:qFormat/>
    <w:uiPriority w:val="0"/>
  </w:style>
  <w:style w:type="character" w:styleId="57">
    <w:name w:val="FollowedHyperlink"/>
    <w:qFormat/>
    <w:uiPriority w:val="0"/>
    <w:rPr>
      <w:rFonts w:ascii="仿宋_GB2312" w:eastAsia="仿宋_GB2312"/>
      <w:b/>
      <w:color w:val="800080"/>
      <w:sz w:val="32"/>
      <w:szCs w:val="32"/>
      <w:u w:val="none"/>
    </w:rPr>
  </w:style>
  <w:style w:type="character" w:styleId="58">
    <w:name w:val="Emphasis"/>
    <w:qFormat/>
    <w:uiPriority w:val="0"/>
    <w:rPr>
      <w:i/>
      <w:iCs/>
    </w:rPr>
  </w:style>
  <w:style w:type="character" w:styleId="59">
    <w:name w:val="line number"/>
    <w:qFormat/>
    <w:uiPriority w:val="0"/>
  </w:style>
  <w:style w:type="character" w:styleId="60">
    <w:name w:val="Hyperlink"/>
    <w:qFormat/>
    <w:uiPriority w:val="0"/>
    <w:rPr>
      <w:rFonts w:ascii="仿宋_GB2312" w:eastAsia="仿宋_GB2312"/>
      <w:b/>
      <w:color w:val="0000FF"/>
      <w:sz w:val="32"/>
      <w:szCs w:val="32"/>
      <w:u w:val="none"/>
    </w:rPr>
  </w:style>
  <w:style w:type="character" w:styleId="61">
    <w:name w:val="annotation reference"/>
    <w:qFormat/>
    <w:uiPriority w:val="0"/>
    <w:rPr>
      <w:sz w:val="21"/>
      <w:szCs w:val="21"/>
    </w:rPr>
  </w:style>
  <w:style w:type="character" w:styleId="62">
    <w:name w:val="HTML Cite"/>
    <w:qFormat/>
    <w:uiPriority w:val="0"/>
    <w:rPr>
      <w:color w:val="008000"/>
    </w:rPr>
  </w:style>
  <w:style w:type="character" w:customStyle="1" w:styleId="63">
    <w:name w:val="正文文本缩进 字符1"/>
    <w:qFormat/>
    <w:uiPriority w:val="0"/>
    <w:rPr>
      <w:rFonts w:hint="default" w:ascii="Calibri" w:hAnsi="Calibri" w:cs="Calibri"/>
      <w:kern w:val="2"/>
      <w:sz w:val="21"/>
      <w:szCs w:val="22"/>
    </w:rPr>
  </w:style>
  <w:style w:type="character" w:customStyle="1" w:styleId="64">
    <w:name w:val="正文首行缩进 2 Char"/>
    <w:link w:val="3"/>
    <w:qFormat/>
    <w:uiPriority w:val="0"/>
    <w:rPr>
      <w:rFonts w:hint="default" w:ascii="Calibri" w:hAnsi="Calibri" w:cs="Calibri"/>
      <w:kern w:val="2"/>
      <w:sz w:val="21"/>
      <w:szCs w:val="22"/>
    </w:rPr>
  </w:style>
  <w:style w:type="character" w:customStyle="1" w:styleId="65">
    <w:name w:val="宏文本 Char"/>
    <w:link w:val="4"/>
    <w:qFormat/>
    <w:uiPriority w:val="0"/>
    <w:rPr>
      <w:rFonts w:ascii="Courier New" w:hAnsi="Courier New" w:eastAsia="Times New Roman"/>
      <w:kern w:val="2"/>
      <w:sz w:val="24"/>
      <w:szCs w:val="24"/>
      <w:lang w:val="en-US" w:eastAsia="zh-CN" w:bidi="ar-SA"/>
    </w:rPr>
  </w:style>
  <w:style w:type="character" w:customStyle="1" w:styleId="66">
    <w:name w:val="标题 1 Char"/>
    <w:link w:val="5"/>
    <w:qFormat/>
    <w:uiPriority w:val="0"/>
    <w:rPr>
      <w:rFonts w:eastAsia="黑体"/>
      <w:b/>
      <w:kern w:val="2"/>
      <w:sz w:val="32"/>
      <w:lang w:val="en-US" w:eastAsia="zh-CN" w:bidi="ar-SA"/>
    </w:rPr>
  </w:style>
  <w:style w:type="character" w:customStyle="1" w:styleId="67">
    <w:name w:val="标题 2 Char"/>
    <w:link w:val="6"/>
    <w:qFormat/>
    <w:uiPriority w:val="0"/>
    <w:rPr>
      <w:rFonts w:ascii="仿宋_GB2312" w:eastAsia="宋体"/>
      <w:b/>
      <w:kern w:val="2"/>
      <w:sz w:val="28"/>
      <w:szCs w:val="32"/>
      <w:lang w:val="en-US" w:eastAsia="zh-CN" w:bidi="ar-SA"/>
    </w:rPr>
  </w:style>
  <w:style w:type="character" w:customStyle="1" w:styleId="68">
    <w:name w:val="标题 3 Char"/>
    <w:link w:val="7"/>
    <w:qFormat/>
    <w:uiPriority w:val="0"/>
    <w:rPr>
      <w:rFonts w:eastAsia="黑体"/>
      <w:b/>
      <w:kern w:val="2"/>
      <w:sz w:val="28"/>
      <w:lang w:val="en-US" w:eastAsia="zh-CN" w:bidi="ar-SA"/>
    </w:rPr>
  </w:style>
  <w:style w:type="character" w:customStyle="1" w:styleId="69">
    <w:name w:val="标题 4 Char"/>
    <w:link w:val="8"/>
    <w:qFormat/>
    <w:uiPriority w:val="0"/>
    <w:rPr>
      <w:rFonts w:eastAsia="宋体"/>
      <w:kern w:val="2"/>
      <w:sz w:val="28"/>
      <w:szCs w:val="28"/>
      <w:lang w:val="en-US" w:eastAsia="zh-CN" w:bidi="ar-SA"/>
    </w:rPr>
  </w:style>
  <w:style w:type="character" w:customStyle="1" w:styleId="70">
    <w:name w:val="标题 5 Char"/>
    <w:link w:val="9"/>
    <w:qFormat/>
    <w:uiPriority w:val="0"/>
    <w:rPr>
      <w:rFonts w:eastAsia="宋体"/>
      <w:b/>
      <w:bCs/>
      <w:sz w:val="28"/>
      <w:szCs w:val="28"/>
      <w:lang w:bidi="ar-SA"/>
    </w:rPr>
  </w:style>
  <w:style w:type="character" w:customStyle="1" w:styleId="71">
    <w:name w:val="标题 6 Char"/>
    <w:link w:val="10"/>
    <w:qFormat/>
    <w:uiPriority w:val="0"/>
    <w:rPr>
      <w:rFonts w:ascii="Arial" w:hAnsi="Arial" w:eastAsia="黑体"/>
      <w:b/>
      <w:kern w:val="2"/>
      <w:sz w:val="24"/>
      <w:lang w:val="en-US" w:eastAsia="zh-CN" w:bidi="ar-SA"/>
    </w:rPr>
  </w:style>
  <w:style w:type="character" w:customStyle="1" w:styleId="72">
    <w:name w:val="正文缩进 Char"/>
    <w:link w:val="11"/>
    <w:qFormat/>
    <w:uiPriority w:val="0"/>
    <w:rPr>
      <w:rFonts w:ascii="仿宋_GB2312" w:eastAsia="宋体"/>
      <w:b/>
      <w:sz w:val="21"/>
      <w:szCs w:val="32"/>
      <w:lang w:val="en-US" w:eastAsia="zh-CN" w:bidi="ar-SA"/>
    </w:rPr>
  </w:style>
  <w:style w:type="character" w:customStyle="1" w:styleId="73">
    <w:name w:val="标题 7 Char"/>
    <w:link w:val="12"/>
    <w:qFormat/>
    <w:uiPriority w:val="0"/>
    <w:rPr>
      <w:rFonts w:eastAsia="宋体"/>
      <w:b/>
      <w:kern w:val="2"/>
      <w:sz w:val="24"/>
      <w:lang w:val="en-US" w:eastAsia="zh-CN" w:bidi="ar-SA"/>
    </w:rPr>
  </w:style>
  <w:style w:type="character" w:customStyle="1" w:styleId="74">
    <w:name w:val="标题 8 Char"/>
    <w:link w:val="13"/>
    <w:qFormat/>
    <w:uiPriority w:val="0"/>
    <w:rPr>
      <w:rFonts w:ascii="Arial" w:hAnsi="Arial" w:eastAsia="黑体"/>
      <w:kern w:val="2"/>
      <w:sz w:val="24"/>
      <w:lang w:val="en-US" w:eastAsia="zh-CN" w:bidi="ar-SA"/>
    </w:rPr>
  </w:style>
  <w:style w:type="character" w:customStyle="1" w:styleId="75">
    <w:name w:val="标题 9 Char"/>
    <w:link w:val="14"/>
    <w:qFormat/>
    <w:uiPriority w:val="0"/>
    <w:rPr>
      <w:rFonts w:ascii="Arial" w:hAnsi="Arial" w:eastAsia="黑体"/>
      <w:kern w:val="2"/>
      <w:sz w:val="21"/>
      <w:lang w:val="en-US" w:eastAsia="zh-CN" w:bidi="ar-SA"/>
    </w:rPr>
  </w:style>
  <w:style w:type="character" w:customStyle="1" w:styleId="76">
    <w:name w:val="文档结构图 Char"/>
    <w:link w:val="19"/>
    <w:qFormat/>
    <w:uiPriority w:val="0"/>
    <w:rPr>
      <w:rFonts w:eastAsia="宋体"/>
      <w:kern w:val="2"/>
      <w:sz w:val="21"/>
      <w:szCs w:val="24"/>
      <w:lang w:val="en-US" w:eastAsia="zh-CN" w:bidi="ar-SA"/>
    </w:rPr>
  </w:style>
  <w:style w:type="character" w:customStyle="1" w:styleId="77">
    <w:name w:val="批注文字 Char"/>
    <w:link w:val="20"/>
    <w:qFormat/>
    <w:uiPriority w:val="0"/>
    <w:rPr>
      <w:rFonts w:eastAsia="宋体"/>
      <w:kern w:val="2"/>
      <w:sz w:val="21"/>
      <w:szCs w:val="24"/>
      <w:lang w:val="en-US" w:eastAsia="zh-CN" w:bidi="ar-SA"/>
    </w:rPr>
  </w:style>
  <w:style w:type="character" w:customStyle="1" w:styleId="78">
    <w:name w:val="称呼 Char"/>
    <w:link w:val="21"/>
    <w:qFormat/>
    <w:uiPriority w:val="0"/>
    <w:rPr>
      <w:rFonts w:ascii="仿宋_GB2312" w:eastAsia="仿宋_GB2312"/>
      <w:b/>
      <w:sz w:val="24"/>
      <w:szCs w:val="32"/>
    </w:rPr>
  </w:style>
  <w:style w:type="character" w:customStyle="1" w:styleId="79">
    <w:name w:val="正文文本 3 Char"/>
    <w:link w:val="22"/>
    <w:qFormat/>
    <w:uiPriority w:val="0"/>
  </w:style>
  <w:style w:type="character" w:customStyle="1" w:styleId="80">
    <w:name w:val="正文文本 Char"/>
    <w:link w:val="23"/>
    <w:qFormat/>
    <w:uiPriority w:val="0"/>
    <w:rPr>
      <w:rFonts w:ascii="仿宋_GB2312" w:eastAsia="宋体"/>
      <w:b/>
      <w:kern w:val="2"/>
      <w:sz w:val="21"/>
      <w:szCs w:val="24"/>
      <w:lang w:val="en-US" w:eastAsia="zh-CN" w:bidi="ar-SA"/>
    </w:rPr>
  </w:style>
  <w:style w:type="character" w:customStyle="1" w:styleId="81">
    <w:name w:val="纯文本 Char"/>
    <w:link w:val="30"/>
    <w:qFormat/>
    <w:uiPriority w:val="0"/>
    <w:rPr>
      <w:rFonts w:ascii="宋体" w:hAnsi="Courier New" w:eastAsia="宋体"/>
      <w:b/>
      <w:sz w:val="21"/>
      <w:szCs w:val="21"/>
      <w:lang w:val="en-US" w:eastAsia="zh-CN" w:bidi="ar-SA"/>
    </w:rPr>
  </w:style>
  <w:style w:type="character" w:customStyle="1" w:styleId="82">
    <w:name w:val="日期 Char"/>
    <w:link w:val="33"/>
    <w:qFormat/>
    <w:uiPriority w:val="0"/>
    <w:rPr>
      <w:rFonts w:eastAsia="宋体"/>
      <w:kern w:val="2"/>
      <w:sz w:val="21"/>
      <w:szCs w:val="24"/>
      <w:lang w:val="en-US" w:eastAsia="zh-CN" w:bidi="ar-SA"/>
    </w:rPr>
  </w:style>
  <w:style w:type="character" w:customStyle="1" w:styleId="83">
    <w:name w:val="正文文本缩进 2 Char"/>
    <w:link w:val="34"/>
    <w:qFormat/>
    <w:uiPriority w:val="0"/>
    <w:rPr>
      <w:rFonts w:eastAsia="宋体"/>
      <w:kern w:val="2"/>
      <w:sz w:val="24"/>
      <w:szCs w:val="24"/>
      <w:lang w:val="en-US" w:eastAsia="zh-CN" w:bidi="ar-SA"/>
    </w:rPr>
  </w:style>
  <w:style w:type="character" w:customStyle="1" w:styleId="84">
    <w:name w:val="批注框文本 Char"/>
    <w:link w:val="35"/>
    <w:qFormat/>
    <w:uiPriority w:val="0"/>
    <w:rPr>
      <w:rFonts w:eastAsia="宋体"/>
      <w:kern w:val="2"/>
      <w:sz w:val="18"/>
      <w:szCs w:val="18"/>
      <w:lang w:val="en-US" w:eastAsia="zh-CN" w:bidi="ar-SA"/>
    </w:rPr>
  </w:style>
  <w:style w:type="character" w:customStyle="1" w:styleId="85">
    <w:name w:val="页脚 Char"/>
    <w:link w:val="36"/>
    <w:qFormat/>
    <w:uiPriority w:val="0"/>
    <w:rPr>
      <w:rFonts w:eastAsia="宋体"/>
      <w:kern w:val="2"/>
      <w:sz w:val="18"/>
      <w:szCs w:val="18"/>
      <w:lang w:val="en-US" w:eastAsia="zh-CN" w:bidi="ar-SA"/>
    </w:rPr>
  </w:style>
  <w:style w:type="character" w:customStyle="1" w:styleId="86">
    <w:name w:val="页眉 Char"/>
    <w:link w:val="37"/>
    <w:qFormat/>
    <w:uiPriority w:val="0"/>
    <w:rPr>
      <w:rFonts w:eastAsia="宋体"/>
      <w:kern w:val="2"/>
      <w:sz w:val="18"/>
      <w:szCs w:val="18"/>
      <w:lang w:val="en-US" w:eastAsia="zh-CN" w:bidi="ar-SA"/>
    </w:rPr>
  </w:style>
  <w:style w:type="character" w:customStyle="1" w:styleId="87">
    <w:name w:val="签名 Char"/>
    <w:link w:val="38"/>
    <w:qFormat/>
    <w:uiPriority w:val="0"/>
    <w:rPr>
      <w:rFonts w:ascii="仿宋_GB2312" w:eastAsia="仿宋_GB2312"/>
      <w:b/>
      <w:sz w:val="24"/>
      <w:szCs w:val="32"/>
    </w:rPr>
  </w:style>
  <w:style w:type="character" w:customStyle="1" w:styleId="88">
    <w:name w:val="副标题 Char"/>
    <w:link w:val="41"/>
    <w:qFormat/>
    <w:uiPriority w:val="0"/>
    <w:rPr>
      <w:rFonts w:ascii="Cambria" w:hAnsi="Cambria" w:eastAsia="宋体"/>
      <w:b/>
      <w:bCs/>
      <w:kern w:val="28"/>
      <w:sz w:val="32"/>
      <w:szCs w:val="32"/>
      <w:lang w:val="en-US" w:eastAsia="zh-CN" w:bidi="ar-SA"/>
    </w:rPr>
  </w:style>
  <w:style w:type="character" w:customStyle="1" w:styleId="89">
    <w:name w:val="正文文本缩进 3 Char"/>
    <w:link w:val="45"/>
    <w:qFormat/>
    <w:uiPriority w:val="0"/>
    <w:rPr>
      <w:rFonts w:eastAsia="宋体"/>
      <w:kern w:val="2"/>
      <w:sz w:val="24"/>
      <w:szCs w:val="24"/>
      <w:lang w:val="en-US" w:eastAsia="zh-CN" w:bidi="ar-SA"/>
    </w:rPr>
  </w:style>
  <w:style w:type="character" w:customStyle="1" w:styleId="90">
    <w:name w:val="正文文本 2 Char"/>
    <w:link w:val="47"/>
    <w:qFormat/>
    <w:uiPriority w:val="0"/>
  </w:style>
  <w:style w:type="character" w:customStyle="1" w:styleId="91">
    <w:name w:val="标题 Char"/>
    <w:link w:val="49"/>
    <w:qFormat/>
    <w:uiPriority w:val="0"/>
    <w:rPr>
      <w:rFonts w:ascii="Cambria" w:hAnsi="Cambria" w:eastAsia="宋体"/>
      <w:b/>
      <w:bCs/>
      <w:kern w:val="2"/>
      <w:sz w:val="32"/>
      <w:szCs w:val="32"/>
      <w:lang w:val="en-US" w:eastAsia="zh-CN" w:bidi="ar-SA"/>
    </w:rPr>
  </w:style>
  <w:style w:type="character" w:customStyle="1" w:styleId="92">
    <w:name w:val="批注主题 Char"/>
    <w:link w:val="50"/>
    <w:qFormat/>
    <w:uiPriority w:val="0"/>
    <w:rPr>
      <w:rFonts w:eastAsia="宋体"/>
      <w:b/>
      <w:bCs/>
      <w:kern w:val="2"/>
      <w:sz w:val="21"/>
      <w:szCs w:val="24"/>
      <w:lang w:val="en-US" w:eastAsia="zh-CN" w:bidi="ar-SA"/>
    </w:rPr>
  </w:style>
  <w:style w:type="character" w:customStyle="1" w:styleId="93">
    <w:name w:val="正文首行缩进 Char"/>
    <w:link w:val="51"/>
    <w:qFormat/>
    <w:uiPriority w:val="0"/>
    <w:rPr>
      <w:rFonts w:eastAsia="宋体"/>
      <w:lang w:val="en-US" w:eastAsia="zh-CN" w:bidi="ar-SA"/>
    </w:rPr>
  </w:style>
  <w:style w:type="character" w:customStyle="1" w:styleId="94">
    <w:name w:val="正文文本缩进 Char"/>
    <w:link w:val="2"/>
    <w:qFormat/>
    <w:uiPriority w:val="0"/>
    <w:rPr>
      <w:rFonts w:eastAsia="宋体"/>
      <w:kern w:val="2"/>
      <w:sz w:val="24"/>
      <w:szCs w:val="24"/>
      <w:lang w:val="en-US" w:eastAsia="zh-CN" w:bidi="ar-SA"/>
    </w:rPr>
  </w:style>
  <w:style w:type="character" w:customStyle="1" w:styleId="95">
    <w:name w:val="font21"/>
    <w:qFormat/>
    <w:uiPriority w:val="0"/>
    <w:rPr>
      <w:rFonts w:ascii="Wingdings 2" w:hAnsi="Wingdings 2" w:eastAsia="Wingdings 2" w:cs="Wingdings 2"/>
      <w:b/>
      <w:color w:val="000000"/>
      <w:sz w:val="20"/>
      <w:szCs w:val="20"/>
      <w:u w:val="none"/>
    </w:rPr>
  </w:style>
  <w:style w:type="character" w:customStyle="1" w:styleId="96">
    <w:name w:val="Footer-Even Char2"/>
    <w:qFormat/>
    <w:uiPriority w:val="0"/>
    <w:rPr>
      <w:kern w:val="2"/>
      <w:sz w:val="18"/>
      <w:szCs w:val="18"/>
    </w:rPr>
  </w:style>
  <w:style w:type="character" w:customStyle="1" w:styleId="97">
    <w:name w:val="Style5"/>
    <w:qFormat/>
    <w:uiPriority w:val="0"/>
    <w:rPr>
      <w:rFonts w:ascii="Calibri" w:hAnsi="宋体" w:eastAsia="宋体" w:cs="Times New Roman"/>
      <w:sz w:val="22"/>
      <w:szCs w:val="22"/>
      <w:lang w:eastAsia="zh-CN"/>
    </w:rPr>
  </w:style>
  <w:style w:type="character" w:customStyle="1" w:styleId="98">
    <w:name w:val="正文1 Char Char"/>
    <w:link w:val="99"/>
    <w:qFormat/>
    <w:uiPriority w:val="0"/>
    <w:rPr>
      <w:rFonts w:ascii="宋体" w:hAnsi="宋体" w:eastAsia="宋体" w:cs="宋体"/>
      <w:sz w:val="21"/>
      <w:lang w:val="en-US" w:eastAsia="zh-CN" w:bidi="ar-SA"/>
    </w:rPr>
  </w:style>
  <w:style w:type="paragraph" w:customStyle="1" w:styleId="99">
    <w:name w:val="正文1"/>
    <w:basedOn w:val="1"/>
    <w:link w:val="98"/>
    <w:qFormat/>
    <w:uiPriority w:val="0"/>
    <w:pPr>
      <w:widowControl/>
      <w:spacing w:line="360" w:lineRule="auto"/>
      <w:ind w:left="360" w:firstLine="420"/>
      <w:jc w:val="left"/>
    </w:pPr>
    <w:rPr>
      <w:rFonts w:ascii="宋体" w:hAnsi="宋体" w:cs="宋体"/>
      <w:kern w:val="0"/>
      <w:szCs w:val="20"/>
    </w:rPr>
  </w:style>
  <w:style w:type="character" w:customStyle="1" w:styleId="100">
    <w:name w:val="heading 3 Char1"/>
    <w:qFormat/>
    <w:uiPriority w:val="0"/>
    <w:rPr>
      <w:rFonts w:eastAsia="宋体"/>
      <w:b/>
      <w:bCs/>
      <w:kern w:val="2"/>
      <w:sz w:val="32"/>
      <w:szCs w:val="32"/>
      <w:lang w:val="en-US" w:eastAsia="zh-CN" w:bidi="ar-SA"/>
    </w:rPr>
  </w:style>
  <w:style w:type="character" w:customStyle="1" w:styleId="101">
    <w:name w:val="style13"/>
    <w:qFormat/>
    <w:uiPriority w:val="0"/>
  </w:style>
  <w:style w:type="character" w:customStyle="1" w:styleId="102">
    <w:name w:val="heading 1 Char2"/>
    <w:qFormat/>
    <w:uiPriority w:val="0"/>
    <w:rPr>
      <w:b/>
      <w:bCs/>
      <w:kern w:val="44"/>
      <w:sz w:val="44"/>
      <w:szCs w:val="44"/>
    </w:rPr>
  </w:style>
  <w:style w:type="character" w:customStyle="1" w:styleId="103">
    <w:name w:val="heading 1 Char"/>
    <w:qFormat/>
    <w:uiPriority w:val="0"/>
    <w:rPr>
      <w:rFonts w:ascii="Arial" w:hAnsi="Arial" w:eastAsia="黑体"/>
      <w:b/>
      <w:sz w:val="36"/>
      <w:szCs w:val="36"/>
    </w:rPr>
  </w:style>
  <w:style w:type="character" w:customStyle="1" w:styleId="104">
    <w:name w:val="heading 2 Char2"/>
    <w:qFormat/>
    <w:uiPriority w:val="0"/>
    <w:rPr>
      <w:rFonts w:ascii="Cambria" w:hAnsi="Cambria"/>
      <w:b/>
      <w:bCs/>
      <w:kern w:val="2"/>
      <w:sz w:val="32"/>
      <w:szCs w:val="32"/>
    </w:rPr>
  </w:style>
  <w:style w:type="character" w:customStyle="1" w:styleId="105">
    <w:name w:val="heading 7 Char1"/>
    <w:qFormat/>
    <w:uiPriority w:val="0"/>
    <w:rPr>
      <w:rFonts w:ascii="Arial" w:hAnsi="Arial" w:eastAsia="黑体"/>
      <w:sz w:val="21"/>
      <w:szCs w:val="21"/>
      <w:lang w:val="en-US" w:eastAsia="zh-CN" w:bidi="ar-SA"/>
    </w:rPr>
  </w:style>
  <w:style w:type="character" w:customStyle="1" w:styleId="106">
    <w:name w:val="Plain Text Char"/>
    <w:qFormat/>
    <w:uiPriority w:val="0"/>
    <w:rPr>
      <w:rFonts w:ascii="宋体" w:hAnsi="Courier New" w:eastAsia="宋体" w:cs="Times New Roman"/>
      <w:sz w:val="21"/>
      <w:szCs w:val="21"/>
    </w:rPr>
  </w:style>
  <w:style w:type="character" w:customStyle="1" w:styleId="107">
    <w:name w:val="表格 Char Char"/>
    <w:link w:val="108"/>
    <w:qFormat/>
    <w:uiPriority w:val="0"/>
    <w:rPr>
      <w:rFonts w:ascii="宋体" w:hAnsi="宋体" w:eastAsia="宋体"/>
      <w:lang w:val="en-US" w:eastAsia="zh-CN" w:bidi="ar-SA"/>
    </w:rPr>
  </w:style>
  <w:style w:type="paragraph" w:customStyle="1" w:styleId="108">
    <w:name w:val="表格"/>
    <w:basedOn w:val="1"/>
    <w:link w:val="107"/>
    <w:qFormat/>
    <w:uiPriority w:val="0"/>
    <w:pPr>
      <w:autoSpaceDE w:val="0"/>
      <w:autoSpaceDN w:val="0"/>
      <w:adjustRightInd w:val="0"/>
      <w:snapToGrid w:val="0"/>
      <w:ind w:firstLine="42" w:firstLineChars="21"/>
      <w:jc w:val="left"/>
    </w:pPr>
    <w:rPr>
      <w:rFonts w:ascii="宋体" w:hAnsi="宋体"/>
      <w:kern w:val="0"/>
      <w:sz w:val="20"/>
      <w:szCs w:val="20"/>
    </w:rPr>
  </w:style>
  <w:style w:type="character" w:customStyle="1" w:styleId="109">
    <w:name w:val="Char Char17"/>
    <w:qFormat/>
    <w:uiPriority w:val="0"/>
    <w:rPr>
      <w:rFonts w:ascii="Cambria" w:hAnsi="Cambria"/>
      <w:b/>
      <w:bCs/>
      <w:kern w:val="2"/>
      <w:sz w:val="28"/>
      <w:szCs w:val="28"/>
    </w:rPr>
  </w:style>
  <w:style w:type="character" w:customStyle="1" w:styleId="110">
    <w:name w:val="明显参考1"/>
    <w:qFormat/>
    <w:uiPriority w:val="0"/>
    <w:rPr>
      <w:b/>
      <w:bCs/>
      <w:smallCaps/>
      <w:color w:val="C0504D"/>
      <w:spacing w:val="5"/>
      <w:u w:val="single"/>
    </w:rPr>
  </w:style>
  <w:style w:type="character" w:customStyle="1" w:styleId="111">
    <w:name w:val="Char Char27"/>
    <w:qFormat/>
    <w:uiPriority w:val="0"/>
    <w:rPr>
      <w:rFonts w:eastAsia="宋体"/>
      <w:kern w:val="2"/>
      <w:sz w:val="28"/>
      <w:lang w:val="en-US" w:eastAsia="zh-CN" w:bidi="ar-SA"/>
    </w:rPr>
  </w:style>
  <w:style w:type="character" w:customStyle="1" w:styleId="112">
    <w:name w:val="heading 8 Char1"/>
    <w:qFormat/>
    <w:uiPriority w:val="0"/>
    <w:rPr>
      <w:rFonts w:ascii="Arial" w:hAnsi="Arial" w:eastAsia="黑体"/>
      <w:sz w:val="24"/>
      <w:lang w:val="en-US" w:eastAsia="zh-CN" w:bidi="ar-SA"/>
    </w:rPr>
  </w:style>
  <w:style w:type="character" w:customStyle="1" w:styleId="113">
    <w:name w:val="Footer-Even Char1"/>
    <w:qFormat/>
    <w:uiPriority w:val="0"/>
    <w:rPr>
      <w:rFonts w:eastAsia="宋体"/>
      <w:kern w:val="2"/>
      <w:sz w:val="18"/>
      <w:szCs w:val="18"/>
      <w:lang w:val="en-US" w:eastAsia="zh-CN" w:bidi="ar-SA"/>
    </w:rPr>
  </w:style>
  <w:style w:type="character" w:customStyle="1" w:styleId="114">
    <w:name w:val="Style3"/>
    <w:qFormat/>
    <w:uiPriority w:val="0"/>
    <w:rPr>
      <w:rFonts w:ascii="Calibri" w:hAnsi="宋体" w:eastAsia="宋体" w:cs="Times New Roman"/>
      <w:szCs w:val="22"/>
      <w:lang w:eastAsia="zh-CN"/>
    </w:rPr>
  </w:style>
  <w:style w:type="character" w:customStyle="1" w:styleId="115">
    <w:name w:val="heading 4 Char1"/>
    <w:qFormat/>
    <w:uiPriority w:val="0"/>
    <w:rPr>
      <w:rFonts w:ascii="Cambria" w:hAnsi="Cambria" w:eastAsia="宋体"/>
      <w:b/>
      <w:bCs/>
      <w:kern w:val="2"/>
      <w:sz w:val="28"/>
      <w:szCs w:val="28"/>
      <w:lang w:val="en-US" w:eastAsia="zh-CN" w:bidi="ar-SA"/>
    </w:rPr>
  </w:style>
  <w:style w:type="character" w:customStyle="1" w:styleId="116">
    <w:name w:val="表正文 Char2"/>
    <w:qFormat/>
    <w:uiPriority w:val="0"/>
    <w:rPr>
      <w:rFonts w:ascii="Times New Roman" w:hAnsi="Times New Roman" w:eastAsia="宋体" w:cs="Times New Roman"/>
      <w:szCs w:val="24"/>
    </w:rPr>
  </w:style>
  <w:style w:type="character" w:customStyle="1" w:styleId="117">
    <w:name w:val="heading 3 Char2"/>
    <w:qFormat/>
    <w:uiPriority w:val="0"/>
    <w:rPr>
      <w:b/>
      <w:bCs/>
      <w:kern w:val="2"/>
      <w:sz w:val="32"/>
      <w:szCs w:val="32"/>
    </w:rPr>
  </w:style>
  <w:style w:type="character" w:customStyle="1" w:styleId="118">
    <w:name w:val="Char Char201"/>
    <w:qFormat/>
    <w:uiPriority w:val="0"/>
    <w:rPr>
      <w:rFonts w:ascii="Cambria" w:hAnsi="Cambria" w:eastAsia="宋体" w:cs="Times New Roman"/>
      <w:b/>
      <w:bCs/>
      <w:sz w:val="32"/>
      <w:szCs w:val="32"/>
    </w:rPr>
  </w:style>
  <w:style w:type="character" w:customStyle="1" w:styleId="119">
    <w:name w:val="Char Char4"/>
    <w:qFormat/>
    <w:uiPriority w:val="0"/>
    <w:rPr>
      <w:rFonts w:ascii="Cambria" w:hAnsi="Cambria" w:eastAsia="宋体"/>
      <w:b/>
      <w:bCs/>
      <w:sz w:val="32"/>
      <w:szCs w:val="32"/>
      <w:lang w:bidi="ar-SA"/>
    </w:rPr>
  </w:style>
  <w:style w:type="character" w:customStyle="1" w:styleId="120">
    <w:name w:val="Char Char12"/>
    <w:qFormat/>
    <w:uiPriority w:val="0"/>
    <w:rPr>
      <w:rFonts w:eastAsia="宋体"/>
      <w:kern w:val="2"/>
      <w:sz w:val="21"/>
      <w:szCs w:val="24"/>
      <w:lang w:val="en-US" w:eastAsia="zh-CN" w:bidi="ar-SA"/>
    </w:rPr>
  </w:style>
  <w:style w:type="character" w:customStyle="1" w:styleId="121">
    <w:name w:val="font31"/>
    <w:qFormat/>
    <w:uiPriority w:val="0"/>
    <w:rPr>
      <w:rFonts w:hint="eastAsia" w:ascii="宋体" w:hAnsi="宋体" w:eastAsia="宋体" w:cs="宋体"/>
      <w:color w:val="000000"/>
      <w:sz w:val="24"/>
      <w:szCs w:val="24"/>
      <w:u w:val="single"/>
    </w:rPr>
  </w:style>
  <w:style w:type="character" w:customStyle="1" w:styleId="122">
    <w:name w:val="不明显参考1"/>
    <w:qFormat/>
    <w:uiPriority w:val="0"/>
    <w:rPr>
      <w:smallCaps/>
      <w:color w:val="C0504D"/>
      <w:u w:val="single"/>
    </w:rPr>
  </w:style>
  <w:style w:type="character" w:customStyle="1" w:styleId="123">
    <w:name w:val="heading 2 Char"/>
    <w:qFormat/>
    <w:uiPriority w:val="0"/>
    <w:rPr>
      <w:rFonts w:ascii="Arial" w:hAnsi="Arial" w:eastAsia="黑体" w:cs="Times New Roman"/>
      <w:sz w:val="30"/>
      <w:szCs w:val="24"/>
    </w:rPr>
  </w:style>
  <w:style w:type="character" w:customStyle="1" w:styleId="124">
    <w:name w:val="Style1"/>
    <w:qFormat/>
    <w:uiPriority w:val="0"/>
    <w:rPr>
      <w:rFonts w:ascii="Calibri" w:hAnsi="宋体" w:eastAsia="宋体" w:cs="Times New Roman"/>
      <w:sz w:val="22"/>
      <w:szCs w:val="22"/>
      <w:lang w:eastAsia="zh-CN"/>
    </w:rPr>
  </w:style>
  <w:style w:type="character" w:customStyle="1" w:styleId="125">
    <w:name w:val="Char Char18"/>
    <w:qFormat/>
    <w:uiPriority w:val="0"/>
    <w:rPr>
      <w:b/>
      <w:bCs/>
      <w:kern w:val="2"/>
      <w:sz w:val="32"/>
      <w:szCs w:val="32"/>
    </w:rPr>
  </w:style>
  <w:style w:type="character" w:customStyle="1" w:styleId="126">
    <w:name w:val="书籍标题1"/>
    <w:qFormat/>
    <w:uiPriority w:val="0"/>
    <w:rPr>
      <w:b/>
      <w:bCs/>
      <w:smallCaps/>
      <w:spacing w:val="5"/>
    </w:rPr>
  </w:style>
  <w:style w:type="character" w:customStyle="1" w:styleId="127">
    <w:name w:val="_Style 126"/>
    <w:qFormat/>
    <w:uiPriority w:val="0"/>
    <w:rPr>
      <w:b/>
      <w:bCs/>
      <w:smallCaps/>
      <w:color w:val="C0504D"/>
      <w:spacing w:val="5"/>
      <w:u w:val="single"/>
    </w:rPr>
  </w:style>
  <w:style w:type="character" w:customStyle="1" w:styleId="128">
    <w:name w:val="Table Text Char Char"/>
    <w:link w:val="129"/>
    <w:qFormat/>
    <w:uiPriority w:val="0"/>
    <w:rPr>
      <w:sz w:val="21"/>
      <w:lang w:val="en-US" w:eastAsia="en-US" w:bidi="ar-SA"/>
    </w:rPr>
  </w:style>
  <w:style w:type="paragraph" w:customStyle="1" w:styleId="129">
    <w:name w:val="Table Text"/>
    <w:basedOn w:val="1"/>
    <w:link w:val="128"/>
    <w:qFormat/>
    <w:uiPriority w:val="0"/>
    <w:pPr>
      <w:widowControl/>
      <w:tabs>
        <w:tab w:val="decimal" w:pos="0"/>
      </w:tabs>
      <w:overflowPunct w:val="0"/>
      <w:autoSpaceDE w:val="0"/>
      <w:autoSpaceDN w:val="0"/>
      <w:adjustRightInd w:val="0"/>
      <w:jc w:val="left"/>
      <w:textAlignment w:val="baseline"/>
    </w:pPr>
    <w:rPr>
      <w:kern w:val="0"/>
      <w:szCs w:val="20"/>
      <w:lang w:eastAsia="en-US"/>
    </w:rPr>
  </w:style>
  <w:style w:type="character" w:customStyle="1" w:styleId="130">
    <w:name w:val="Char Char211"/>
    <w:qFormat/>
    <w:uiPriority w:val="0"/>
    <w:rPr>
      <w:rFonts w:ascii="Times New Roman" w:hAnsi="Times New Roman" w:eastAsia="宋体" w:cs="Times New Roman"/>
      <w:b/>
      <w:bCs/>
      <w:kern w:val="44"/>
      <w:sz w:val="44"/>
      <w:szCs w:val="44"/>
    </w:rPr>
  </w:style>
  <w:style w:type="character" w:customStyle="1" w:styleId="131">
    <w:name w:val="heading 4 Char"/>
    <w:qFormat/>
    <w:uiPriority w:val="0"/>
    <w:rPr>
      <w:rFonts w:ascii="Arial" w:hAnsi="Arial" w:eastAsia="黑体" w:cs="Times New Roman"/>
      <w:sz w:val="21"/>
      <w:szCs w:val="21"/>
    </w:rPr>
  </w:style>
  <w:style w:type="character" w:customStyle="1" w:styleId="132">
    <w:name w:val="Char Char22"/>
    <w:qFormat/>
    <w:uiPriority w:val="0"/>
    <w:rPr>
      <w:rFonts w:ascii="Arial" w:hAnsi="Arial" w:eastAsia="黑体"/>
      <w:b/>
      <w:bCs/>
      <w:kern w:val="44"/>
      <w:sz w:val="30"/>
      <w:szCs w:val="44"/>
      <w:lang w:val="en-US" w:eastAsia="zh-CN" w:bidi="ar-SA"/>
    </w:rPr>
  </w:style>
  <w:style w:type="character" w:customStyle="1" w:styleId="133">
    <w:name w:val="Char Char20"/>
    <w:qFormat/>
    <w:uiPriority w:val="0"/>
    <w:rPr>
      <w:b/>
      <w:bCs/>
      <w:kern w:val="44"/>
      <w:sz w:val="44"/>
      <w:szCs w:val="44"/>
    </w:rPr>
  </w:style>
  <w:style w:type="character" w:customStyle="1" w:styleId="134">
    <w:name w:val="heading 6 Char1"/>
    <w:qFormat/>
    <w:uiPriority w:val="0"/>
    <w:rPr>
      <w:rFonts w:ascii="Arial" w:hAnsi="Arial" w:eastAsia="黑体"/>
      <w:kern w:val="2"/>
      <w:sz w:val="24"/>
      <w:szCs w:val="24"/>
      <w:lang w:val="en-US" w:eastAsia="zh-CN" w:bidi="ar-SA"/>
    </w:rPr>
  </w:style>
  <w:style w:type="character" w:customStyle="1" w:styleId="135">
    <w:name w:val="Char Char21"/>
    <w:qFormat/>
    <w:uiPriority w:val="0"/>
    <w:rPr>
      <w:rFonts w:ascii="Times New Roman" w:hAnsi="Times New Roman" w:eastAsia="宋体" w:cs="Times New Roman"/>
      <w:b/>
      <w:bCs/>
      <w:kern w:val="44"/>
      <w:sz w:val="44"/>
      <w:szCs w:val="44"/>
    </w:rPr>
  </w:style>
  <w:style w:type="character" w:customStyle="1" w:styleId="136">
    <w:name w:val="Char Char15"/>
    <w:qFormat/>
    <w:uiPriority w:val="0"/>
    <w:rPr>
      <w:rFonts w:ascii="Arial" w:hAnsi="Arial" w:eastAsia="黑体"/>
      <w:sz w:val="24"/>
      <w:szCs w:val="24"/>
    </w:rPr>
  </w:style>
  <w:style w:type="character" w:customStyle="1" w:styleId="137">
    <w:name w:val="ändrad Char1"/>
    <w:qFormat/>
    <w:uiPriority w:val="0"/>
    <w:rPr>
      <w:rFonts w:ascii="仿宋_GB2312" w:eastAsia="宋体"/>
      <w:b/>
      <w:kern w:val="2"/>
      <w:sz w:val="21"/>
      <w:szCs w:val="24"/>
      <w:lang w:val="en-US" w:eastAsia="zh-CN" w:bidi="ar-SA"/>
    </w:rPr>
  </w:style>
  <w:style w:type="character" w:customStyle="1" w:styleId="138">
    <w:name w:val="heading 1 Char1"/>
    <w:qFormat/>
    <w:uiPriority w:val="0"/>
    <w:rPr>
      <w:rFonts w:eastAsia="宋体"/>
      <w:b/>
      <w:bCs/>
      <w:kern w:val="44"/>
      <w:sz w:val="44"/>
      <w:szCs w:val="44"/>
      <w:lang w:val="en-US" w:eastAsia="zh-CN" w:bidi="ar-SA"/>
    </w:rPr>
  </w:style>
  <w:style w:type="character" w:customStyle="1" w:styleId="139">
    <w:name w:val="PI Char"/>
    <w:qFormat/>
    <w:uiPriority w:val="0"/>
    <w:rPr>
      <w:rFonts w:ascii="宋体" w:hAnsi="宋体"/>
      <w:sz w:val="24"/>
    </w:rPr>
  </w:style>
  <w:style w:type="character" w:customStyle="1" w:styleId="140">
    <w:name w:val="heading 5 Char"/>
    <w:qFormat/>
    <w:uiPriority w:val="0"/>
    <w:rPr>
      <w:rFonts w:ascii="Arial" w:hAnsi="Arial" w:eastAsia="黑体"/>
      <w:sz w:val="21"/>
      <w:szCs w:val="21"/>
    </w:rPr>
  </w:style>
  <w:style w:type="character" w:customStyle="1" w:styleId="141">
    <w:name w:val="blue1"/>
    <w:qFormat/>
    <w:uiPriority w:val="0"/>
  </w:style>
  <w:style w:type="character" w:customStyle="1" w:styleId="142">
    <w:name w:val="Char Char2"/>
    <w:qFormat/>
    <w:uiPriority w:val="0"/>
    <w:rPr>
      <w:rFonts w:ascii="Arial" w:hAnsi="Arial" w:eastAsia="黑体"/>
      <w:b/>
      <w:bCs/>
      <w:kern w:val="44"/>
      <w:sz w:val="30"/>
      <w:szCs w:val="44"/>
      <w:lang w:val="en-US" w:eastAsia="zh-CN" w:bidi="ar-SA"/>
    </w:rPr>
  </w:style>
  <w:style w:type="character" w:customStyle="1" w:styleId="143">
    <w:name w:val="Char Char Char1"/>
    <w:qFormat/>
    <w:uiPriority w:val="0"/>
    <w:rPr>
      <w:rFonts w:ascii="宋体" w:hAnsi="Courier New"/>
      <w:sz w:val="21"/>
      <w:szCs w:val="21"/>
    </w:rPr>
  </w:style>
  <w:style w:type="character" w:customStyle="1" w:styleId="144">
    <w:name w:val="Style2"/>
    <w:qFormat/>
    <w:uiPriority w:val="0"/>
    <w:rPr>
      <w:rFonts w:ascii="Calibri" w:hAnsi="宋体" w:eastAsia="宋体" w:cs="Times New Roman"/>
      <w:sz w:val="22"/>
      <w:szCs w:val="22"/>
      <w:lang w:eastAsia="zh-CN"/>
    </w:rPr>
  </w:style>
  <w:style w:type="character" w:customStyle="1" w:styleId="145">
    <w:name w:val="Char Char41"/>
    <w:qFormat/>
    <w:uiPriority w:val="0"/>
    <w:rPr>
      <w:rFonts w:ascii="Cambria" w:hAnsi="Cambria" w:eastAsia="宋体"/>
      <w:b/>
      <w:bCs/>
      <w:sz w:val="32"/>
      <w:szCs w:val="32"/>
      <w:lang w:bidi="ar-SA"/>
    </w:rPr>
  </w:style>
  <w:style w:type="character" w:customStyle="1" w:styleId="146">
    <w:name w:val="样式 标题 3 + 黑体 小四 Char Char"/>
    <w:link w:val="147"/>
    <w:qFormat/>
    <w:uiPriority w:val="0"/>
    <w:rPr>
      <w:rFonts w:ascii="黑体" w:hAnsi="Arial" w:eastAsia="黑体"/>
      <w:bCs/>
      <w:sz w:val="24"/>
      <w:szCs w:val="24"/>
      <w:lang w:bidi="ar-SA"/>
    </w:rPr>
  </w:style>
  <w:style w:type="paragraph" w:customStyle="1" w:styleId="147">
    <w:name w:val="样式 标题 3 + 黑体 小四"/>
    <w:basedOn w:val="7"/>
    <w:link w:val="146"/>
    <w:qFormat/>
    <w:uiPriority w:val="0"/>
    <w:pPr>
      <w:spacing w:before="260" w:after="260" w:line="413" w:lineRule="auto"/>
    </w:pPr>
    <w:rPr>
      <w:rFonts w:ascii="黑体" w:hAnsi="Arial"/>
      <w:b w:val="0"/>
      <w:bCs/>
      <w:kern w:val="0"/>
      <w:sz w:val="24"/>
      <w:szCs w:val="24"/>
    </w:rPr>
  </w:style>
  <w:style w:type="character" w:customStyle="1" w:styleId="148">
    <w:name w:val="Char Char121"/>
    <w:qFormat/>
    <w:uiPriority w:val="0"/>
    <w:rPr>
      <w:rFonts w:eastAsia="宋体"/>
      <w:kern w:val="2"/>
      <w:sz w:val="21"/>
      <w:szCs w:val="24"/>
      <w:lang w:val="en-US" w:eastAsia="zh-CN" w:bidi="ar-SA"/>
    </w:rPr>
  </w:style>
  <w:style w:type="character" w:customStyle="1" w:styleId="149">
    <w:name w:val="Char Char111"/>
    <w:qFormat/>
    <w:uiPriority w:val="0"/>
    <w:rPr>
      <w:rFonts w:ascii="Times New Roman" w:hAnsi="Times New Roman" w:eastAsia="宋体" w:cs="Times New Roman"/>
      <w:sz w:val="18"/>
      <w:szCs w:val="18"/>
    </w:rPr>
  </w:style>
  <w:style w:type="character" w:customStyle="1" w:styleId="150">
    <w:name w:val="heading 5 Char1"/>
    <w:qFormat/>
    <w:uiPriority w:val="0"/>
    <w:rPr>
      <w:rFonts w:eastAsia="宋体"/>
      <w:b/>
      <w:bCs/>
      <w:kern w:val="2"/>
      <w:sz w:val="28"/>
      <w:szCs w:val="28"/>
      <w:lang w:val="en-US" w:eastAsia="zh-CN" w:bidi="ar-SA"/>
    </w:rPr>
  </w:style>
  <w:style w:type="character" w:customStyle="1" w:styleId="151">
    <w:name w:val="Char Char24"/>
    <w:qFormat/>
    <w:uiPriority w:val="0"/>
    <w:rPr>
      <w:rFonts w:eastAsia="宋体"/>
      <w:b/>
      <w:kern w:val="2"/>
      <w:sz w:val="28"/>
      <w:lang w:val="en-US" w:eastAsia="zh-CN" w:bidi="ar-SA"/>
    </w:rPr>
  </w:style>
  <w:style w:type="character" w:customStyle="1" w:styleId="152">
    <w:name w:val="明显强调1"/>
    <w:qFormat/>
    <w:uiPriority w:val="0"/>
    <w:rPr>
      <w:b/>
      <w:bCs/>
      <w:i/>
      <w:iCs/>
      <w:color w:val="4F81BD"/>
    </w:rPr>
  </w:style>
  <w:style w:type="character" w:customStyle="1" w:styleId="153">
    <w:name w:val="heading 4 Char2"/>
    <w:qFormat/>
    <w:uiPriority w:val="0"/>
    <w:rPr>
      <w:rFonts w:ascii="Cambria" w:hAnsi="Cambria"/>
      <w:b/>
      <w:bCs/>
      <w:kern w:val="2"/>
      <w:sz w:val="28"/>
      <w:szCs w:val="28"/>
    </w:rPr>
  </w:style>
  <w:style w:type="character" w:customStyle="1" w:styleId="154">
    <w:name w:val="Ò³Ã¼ Char Char1"/>
    <w:qFormat/>
    <w:uiPriority w:val="0"/>
    <w:rPr>
      <w:rFonts w:eastAsia="宋体"/>
      <w:kern w:val="2"/>
      <w:sz w:val="18"/>
      <w:szCs w:val="18"/>
      <w:lang w:val="en-US" w:eastAsia="zh-CN" w:bidi="ar-SA"/>
    </w:rPr>
  </w:style>
  <w:style w:type="character" w:customStyle="1" w:styleId="155">
    <w:name w:val="Char Char1"/>
    <w:qFormat/>
    <w:uiPriority w:val="0"/>
    <w:rPr>
      <w:rFonts w:eastAsia="宋体"/>
      <w:sz w:val="21"/>
      <w:lang w:val="en-US" w:eastAsia="zh-CN" w:bidi="ar-SA"/>
    </w:rPr>
  </w:style>
  <w:style w:type="character" w:customStyle="1" w:styleId="156">
    <w:name w:val="ListLabel 1"/>
    <w:qFormat/>
    <w:uiPriority w:val="7"/>
    <w:rPr>
      <w:rFonts w:ascii="宋体" w:hAnsi="宋体" w:cs="宋体"/>
      <w:color w:val="FF0000"/>
      <w:sz w:val="24"/>
    </w:rPr>
  </w:style>
  <w:style w:type="character" w:customStyle="1" w:styleId="157">
    <w:name w:val="不明显强调1"/>
    <w:qFormat/>
    <w:uiPriority w:val="0"/>
    <w:rPr>
      <w:i/>
      <w:iCs/>
      <w:color w:val="808080"/>
    </w:rPr>
  </w:style>
  <w:style w:type="character" w:customStyle="1" w:styleId="158">
    <w:name w:val="PI Char2"/>
    <w:qFormat/>
    <w:uiPriority w:val="0"/>
    <w:rPr>
      <w:kern w:val="2"/>
      <w:sz w:val="24"/>
      <w:szCs w:val="24"/>
    </w:rPr>
  </w:style>
  <w:style w:type="character" w:customStyle="1" w:styleId="159">
    <w:name w:val="Footer-Even Char"/>
    <w:qFormat/>
    <w:uiPriority w:val="0"/>
    <w:rPr>
      <w:sz w:val="18"/>
      <w:szCs w:val="18"/>
    </w:rPr>
  </w:style>
  <w:style w:type="character" w:customStyle="1" w:styleId="160">
    <w:name w:val="Char Char Char"/>
    <w:qFormat/>
    <w:uiPriority w:val="0"/>
    <w:rPr>
      <w:rFonts w:ascii="宋体" w:hAnsi="Courier New" w:eastAsia="宋体"/>
      <w:b/>
      <w:sz w:val="21"/>
      <w:szCs w:val="21"/>
      <w:lang w:val="en-US" w:eastAsia="zh-CN" w:bidi="ar-SA"/>
    </w:rPr>
  </w:style>
  <w:style w:type="character" w:customStyle="1" w:styleId="161">
    <w:name w:val="Char Char19"/>
    <w:qFormat/>
    <w:uiPriority w:val="0"/>
    <w:rPr>
      <w:rFonts w:ascii="Cambria" w:hAnsi="Cambria"/>
      <w:b/>
      <w:bCs/>
      <w:kern w:val="2"/>
      <w:sz w:val="32"/>
      <w:szCs w:val="32"/>
    </w:rPr>
  </w:style>
  <w:style w:type="character" w:customStyle="1" w:styleId="162">
    <w:name w:val="引用 Char"/>
    <w:link w:val="163"/>
    <w:qFormat/>
    <w:uiPriority w:val="0"/>
    <w:rPr>
      <w:rFonts w:ascii="Calibri" w:hAnsi="Calibri" w:eastAsia="宋体"/>
      <w:i/>
      <w:iCs/>
      <w:color w:val="000000"/>
      <w:lang w:val="en-US" w:eastAsia="zh-CN" w:bidi="ar-SA"/>
    </w:rPr>
  </w:style>
  <w:style w:type="paragraph" w:styleId="163">
    <w:name w:val="Quote"/>
    <w:basedOn w:val="1"/>
    <w:next w:val="1"/>
    <w:link w:val="162"/>
    <w:qFormat/>
    <w:uiPriority w:val="0"/>
    <w:rPr>
      <w:i/>
      <w:iCs/>
      <w:color w:val="000000"/>
      <w:kern w:val="0"/>
      <w:sz w:val="20"/>
      <w:szCs w:val="20"/>
    </w:rPr>
  </w:style>
  <w:style w:type="character" w:customStyle="1" w:styleId="164">
    <w:name w:val="样式 宋体"/>
    <w:qFormat/>
    <w:uiPriority w:val="0"/>
    <w:rPr>
      <w:rFonts w:ascii="宋体" w:hAnsi="宋体" w:eastAsia="宋体"/>
      <w:sz w:val="24"/>
      <w:szCs w:val="24"/>
    </w:rPr>
  </w:style>
  <w:style w:type="character" w:customStyle="1" w:styleId="165">
    <w:name w:val="Char Char61"/>
    <w:qFormat/>
    <w:uiPriority w:val="0"/>
    <w:rPr>
      <w:rFonts w:ascii="Times New Roman" w:hAnsi="Times New Roman" w:eastAsia="宋体" w:cs="Times New Roman"/>
      <w:szCs w:val="24"/>
    </w:rPr>
  </w:style>
  <w:style w:type="character" w:customStyle="1" w:styleId="166">
    <w:name w:val="Char Char6"/>
    <w:qFormat/>
    <w:uiPriority w:val="0"/>
    <w:rPr>
      <w:rFonts w:ascii="Times New Roman" w:hAnsi="Times New Roman" w:eastAsia="宋体" w:cs="Times New Roman"/>
      <w:szCs w:val="24"/>
    </w:rPr>
  </w:style>
  <w:style w:type="character" w:customStyle="1" w:styleId="167">
    <w:name w:val="无间隔 Char"/>
    <w:link w:val="168"/>
    <w:qFormat/>
    <w:uiPriority w:val="0"/>
    <w:rPr>
      <w:rFonts w:eastAsia="Times New Roman"/>
      <w:sz w:val="22"/>
      <w:szCs w:val="22"/>
      <w:lang w:val="en-US" w:eastAsia="zh-CN" w:bidi="ar-SA"/>
    </w:rPr>
  </w:style>
  <w:style w:type="paragraph" w:styleId="168">
    <w:name w:val="No Spacing"/>
    <w:link w:val="167"/>
    <w:qFormat/>
    <w:uiPriority w:val="0"/>
    <w:rPr>
      <w:rFonts w:ascii="Times New Roman" w:hAnsi="Times New Roman" w:eastAsia="Times New Roman" w:cs="Times New Roman"/>
      <w:sz w:val="22"/>
      <w:szCs w:val="22"/>
      <w:lang w:val="en-US" w:eastAsia="zh-CN" w:bidi="ar-SA"/>
    </w:rPr>
  </w:style>
  <w:style w:type="character" w:customStyle="1" w:styleId="169">
    <w:name w:val="Char Char271"/>
    <w:qFormat/>
    <w:uiPriority w:val="0"/>
    <w:rPr>
      <w:rFonts w:eastAsia="宋体"/>
      <w:kern w:val="2"/>
      <w:sz w:val="28"/>
      <w:lang w:val="en-US" w:eastAsia="zh-CN" w:bidi="ar-SA"/>
    </w:rPr>
  </w:style>
  <w:style w:type="character" w:customStyle="1" w:styleId="170">
    <w:name w:val="Ò³Ã¼ Char Char"/>
    <w:qFormat/>
    <w:uiPriority w:val="0"/>
    <w:rPr>
      <w:sz w:val="18"/>
      <w:szCs w:val="18"/>
    </w:rPr>
  </w:style>
  <w:style w:type="character" w:customStyle="1" w:styleId="171">
    <w:name w:val="_Style 170"/>
    <w:qFormat/>
    <w:uiPriority w:val="0"/>
    <w:rPr>
      <w:b/>
      <w:bCs/>
      <w:smallCaps/>
      <w:spacing w:val="5"/>
    </w:rPr>
  </w:style>
  <w:style w:type="character" w:customStyle="1" w:styleId="172">
    <w:name w:val="Ò³Ã¼ Char Char2"/>
    <w:qFormat/>
    <w:uiPriority w:val="0"/>
    <w:rPr>
      <w:kern w:val="2"/>
      <w:sz w:val="18"/>
      <w:szCs w:val="18"/>
    </w:rPr>
  </w:style>
  <w:style w:type="character" w:customStyle="1" w:styleId="173">
    <w:name w:val="明显引用 Char"/>
    <w:link w:val="174"/>
    <w:qFormat/>
    <w:uiPriority w:val="0"/>
    <w:rPr>
      <w:rFonts w:ascii="Calibri" w:hAnsi="Calibri" w:eastAsia="宋体"/>
      <w:b/>
      <w:bCs/>
      <w:i/>
      <w:iCs/>
      <w:color w:val="4F81BD"/>
      <w:lang w:val="en-US" w:eastAsia="zh-CN" w:bidi="ar-SA"/>
    </w:rPr>
  </w:style>
  <w:style w:type="paragraph" w:styleId="174">
    <w:name w:val="Intense Quote"/>
    <w:basedOn w:val="1"/>
    <w:next w:val="1"/>
    <w:link w:val="173"/>
    <w:qFormat/>
    <w:uiPriority w:val="0"/>
    <w:pPr>
      <w:pBdr>
        <w:bottom w:val="single" w:color="4F81BD" w:sz="4" w:space="4"/>
      </w:pBdr>
      <w:spacing w:before="200" w:after="280"/>
      <w:ind w:left="936" w:right="936"/>
    </w:pPr>
    <w:rPr>
      <w:b/>
      <w:bCs/>
      <w:i/>
      <w:iCs/>
      <w:color w:val="4F81BD"/>
      <w:kern w:val="0"/>
      <w:sz w:val="20"/>
      <w:szCs w:val="20"/>
    </w:rPr>
  </w:style>
  <w:style w:type="character" w:customStyle="1" w:styleId="175">
    <w:name w:val="heading 3 Char"/>
    <w:qFormat/>
    <w:uiPriority w:val="0"/>
    <w:rPr>
      <w:rFonts w:ascii="Arial" w:hAnsi="Arial" w:eastAsia="黑体"/>
      <w:sz w:val="28"/>
      <w:szCs w:val="24"/>
    </w:rPr>
  </w:style>
  <w:style w:type="character" w:customStyle="1" w:styleId="176">
    <w:name w:val="Char Char241"/>
    <w:qFormat/>
    <w:uiPriority w:val="0"/>
    <w:rPr>
      <w:rFonts w:eastAsia="宋体"/>
      <w:b/>
      <w:kern w:val="2"/>
      <w:sz w:val="28"/>
      <w:lang w:val="en-US" w:eastAsia="zh-CN" w:bidi="ar-SA"/>
    </w:rPr>
  </w:style>
  <w:style w:type="character" w:customStyle="1" w:styleId="177">
    <w:name w:val="PI Char1"/>
    <w:qFormat/>
    <w:uiPriority w:val="0"/>
    <w:rPr>
      <w:rFonts w:eastAsia="宋体"/>
      <w:kern w:val="2"/>
      <w:sz w:val="24"/>
      <w:szCs w:val="24"/>
      <w:lang w:val="en-US" w:eastAsia="zh-CN" w:bidi="ar-SA"/>
    </w:rPr>
  </w:style>
  <w:style w:type="character" w:customStyle="1" w:styleId="178">
    <w:name w:val="_Style 177"/>
    <w:qFormat/>
    <w:uiPriority w:val="0"/>
    <w:rPr>
      <w:smallCaps/>
      <w:color w:val="C0504D"/>
      <w:u w:val="single"/>
    </w:rPr>
  </w:style>
  <w:style w:type="character" w:customStyle="1" w:styleId="179">
    <w:name w:val="style41"/>
    <w:qFormat/>
    <w:uiPriority w:val="0"/>
    <w:rPr>
      <w:color w:val="auto"/>
    </w:rPr>
  </w:style>
  <w:style w:type="character" w:customStyle="1" w:styleId="180">
    <w:name w:val="Char Char16"/>
    <w:qFormat/>
    <w:uiPriority w:val="0"/>
    <w:rPr>
      <w:b/>
      <w:bCs/>
      <w:kern w:val="2"/>
      <w:sz w:val="28"/>
      <w:szCs w:val="28"/>
    </w:rPr>
  </w:style>
  <w:style w:type="character" w:customStyle="1" w:styleId="181">
    <w:name w:val="_Style 180"/>
    <w:qFormat/>
    <w:uiPriority w:val="0"/>
    <w:rPr>
      <w:i/>
      <w:iCs/>
      <w:color w:val="808080"/>
    </w:rPr>
  </w:style>
  <w:style w:type="character" w:customStyle="1" w:styleId="182">
    <w:name w:val="dandyren_title1"/>
    <w:qFormat/>
    <w:uiPriority w:val="0"/>
    <w:rPr>
      <w:b/>
      <w:bCs/>
      <w:color w:val="FF6633"/>
      <w:sz w:val="18"/>
      <w:szCs w:val="18"/>
    </w:rPr>
  </w:style>
  <w:style w:type="character" w:customStyle="1" w:styleId="183">
    <w:name w:val="style21"/>
    <w:qFormat/>
    <w:uiPriority w:val="0"/>
    <w:rPr>
      <w:sz w:val="15"/>
      <w:szCs w:val="15"/>
    </w:rPr>
  </w:style>
  <w:style w:type="character" w:customStyle="1" w:styleId="184">
    <w:name w:val="style111"/>
    <w:qFormat/>
    <w:uiPriority w:val="0"/>
    <w:rPr>
      <w:sz w:val="27"/>
      <w:szCs w:val="27"/>
    </w:rPr>
  </w:style>
  <w:style w:type="character" w:customStyle="1" w:styleId="185">
    <w:name w:val="smalltxt1"/>
    <w:qFormat/>
    <w:uiPriority w:val="0"/>
    <w:rPr>
      <w:rFonts w:hint="default" w:ascii="ˎ̥" w:hAnsi="ˎ̥"/>
      <w:sz w:val="24"/>
      <w:szCs w:val="24"/>
    </w:rPr>
  </w:style>
  <w:style w:type="character" w:customStyle="1" w:styleId="186">
    <w:name w:val="heading 5 Char2"/>
    <w:qFormat/>
    <w:uiPriority w:val="0"/>
    <w:rPr>
      <w:b/>
      <w:bCs/>
      <w:kern w:val="2"/>
      <w:sz w:val="28"/>
      <w:szCs w:val="28"/>
    </w:rPr>
  </w:style>
  <w:style w:type="character" w:customStyle="1" w:styleId="187">
    <w:name w:val="Char Char11"/>
    <w:qFormat/>
    <w:uiPriority w:val="0"/>
    <w:rPr>
      <w:rFonts w:ascii="Times New Roman" w:hAnsi="Times New Roman" w:eastAsia="宋体" w:cs="Times New Roman"/>
      <w:sz w:val="18"/>
      <w:szCs w:val="18"/>
    </w:rPr>
  </w:style>
  <w:style w:type="character" w:customStyle="1" w:styleId="188">
    <w:name w:val="样式2 Char Char"/>
    <w:link w:val="189"/>
    <w:qFormat/>
    <w:uiPriority w:val="0"/>
    <w:rPr>
      <w:rFonts w:ascii="宋体" w:hAnsi="宋体" w:eastAsia="宋体"/>
      <w:bCs/>
      <w:kern w:val="2"/>
      <w:sz w:val="28"/>
      <w:szCs w:val="28"/>
      <w:lang w:val="en-US" w:eastAsia="zh-CN" w:bidi="ar-SA"/>
    </w:rPr>
  </w:style>
  <w:style w:type="paragraph" w:customStyle="1" w:styleId="189">
    <w:name w:val="样式2"/>
    <w:basedOn w:val="6"/>
    <w:link w:val="188"/>
    <w:qFormat/>
    <w:uiPriority w:val="0"/>
    <w:pPr>
      <w:keepLines/>
      <w:snapToGrid w:val="0"/>
      <w:spacing w:before="260" w:after="156" w:afterLines="50" w:line="480" w:lineRule="exact"/>
      <w:ind w:firstLine="556"/>
    </w:pPr>
    <w:rPr>
      <w:rFonts w:ascii="宋体" w:hAnsi="宋体"/>
      <w:b w:val="0"/>
      <w:bCs/>
      <w:szCs w:val="28"/>
    </w:rPr>
  </w:style>
  <w:style w:type="character" w:customStyle="1" w:styleId="190">
    <w:name w:val="gray6"/>
    <w:qFormat/>
    <w:uiPriority w:val="0"/>
  </w:style>
  <w:style w:type="character" w:customStyle="1" w:styleId="191">
    <w:name w:val="Style4"/>
    <w:qFormat/>
    <w:uiPriority w:val="0"/>
    <w:rPr>
      <w:rFonts w:ascii="Calibri" w:hAnsi="宋体" w:eastAsia="宋体" w:cs="Times New Roman"/>
      <w:szCs w:val="22"/>
      <w:lang w:eastAsia="zh-CN"/>
    </w:rPr>
  </w:style>
  <w:style w:type="character" w:customStyle="1" w:styleId="192">
    <w:name w:val="Char Char Char Char Char Char Char Char Char"/>
    <w:qFormat/>
    <w:uiPriority w:val="0"/>
    <w:rPr>
      <w:rFonts w:ascii="宋体" w:hAnsi="Courier New" w:eastAsia="宋体"/>
      <w:sz w:val="21"/>
      <w:szCs w:val="21"/>
      <w:lang w:val="en-US" w:eastAsia="zh-CN" w:bidi="ar-SA"/>
    </w:rPr>
  </w:style>
  <w:style w:type="character" w:customStyle="1" w:styleId="193">
    <w:name w:val="pt141"/>
    <w:qFormat/>
    <w:uiPriority w:val="0"/>
    <w:rPr>
      <w:color w:val="330066"/>
      <w:spacing w:val="450"/>
      <w:sz w:val="22"/>
      <w:szCs w:val="22"/>
    </w:rPr>
  </w:style>
  <w:style w:type="character" w:customStyle="1" w:styleId="194">
    <w:name w:val="heading 2 Char1"/>
    <w:qFormat/>
    <w:uiPriority w:val="0"/>
    <w:rPr>
      <w:rFonts w:ascii="Cambria" w:hAnsi="Cambria" w:eastAsia="宋体"/>
      <w:b/>
      <w:bCs/>
      <w:kern w:val="2"/>
      <w:sz w:val="32"/>
      <w:szCs w:val="32"/>
      <w:lang w:val="en-US" w:eastAsia="zh-CN" w:bidi="ar-SA"/>
    </w:rPr>
  </w:style>
  <w:style w:type="character" w:customStyle="1" w:styleId="195">
    <w:name w:val="textcolor1"/>
    <w:qFormat/>
    <w:uiPriority w:val="0"/>
    <w:rPr>
      <w:rFonts w:ascii="仿宋_GB2312" w:eastAsia="仿宋_GB2312"/>
      <w:b/>
      <w:color w:val="FF6600"/>
      <w:sz w:val="32"/>
      <w:szCs w:val="32"/>
    </w:rPr>
  </w:style>
  <w:style w:type="character" w:customStyle="1" w:styleId="196">
    <w:name w:val="_Style 195"/>
    <w:qFormat/>
    <w:uiPriority w:val="0"/>
    <w:rPr>
      <w:b/>
      <w:bCs/>
      <w:i/>
      <w:iCs/>
      <w:color w:val="4F81BD"/>
    </w:rPr>
  </w:style>
  <w:style w:type="character" w:customStyle="1" w:styleId="197">
    <w:name w:val="heading 9 Char1"/>
    <w:qFormat/>
    <w:uiPriority w:val="0"/>
    <w:rPr>
      <w:rFonts w:ascii="Arial" w:hAnsi="Arial" w:eastAsia="黑体"/>
      <w:sz w:val="21"/>
      <w:lang w:val="en-US" w:eastAsia="zh-CN" w:bidi="ar-SA"/>
    </w:rPr>
  </w:style>
  <w:style w:type="character" w:customStyle="1" w:styleId="198">
    <w:name w:val="Texte Char Char"/>
    <w:qFormat/>
    <w:uiPriority w:val="0"/>
    <w:rPr>
      <w:rFonts w:ascii="宋体" w:hAnsi="Courier New" w:eastAsia="宋体"/>
      <w:sz w:val="21"/>
      <w:szCs w:val="21"/>
      <w:lang w:val="en-US" w:eastAsia="zh-CN" w:bidi="ar-SA"/>
    </w:rPr>
  </w:style>
  <w:style w:type="character" w:customStyle="1" w:styleId="199">
    <w:name w:val="ändrad Char"/>
    <w:qFormat/>
    <w:uiPriority w:val="0"/>
    <w:rPr>
      <w:rFonts w:eastAsia="宋体"/>
      <w:kern w:val="2"/>
      <w:sz w:val="21"/>
      <w:szCs w:val="24"/>
      <w:lang w:val="en-US" w:eastAsia="zh-CN" w:bidi="ar-SA"/>
    </w:rPr>
  </w:style>
  <w:style w:type="paragraph" w:customStyle="1" w:styleId="200">
    <w:name w:val="Fließtext"/>
    <w:basedOn w:val="1"/>
    <w:qFormat/>
    <w:uiPriority w:val="0"/>
    <w:pPr>
      <w:overflowPunct w:val="0"/>
      <w:autoSpaceDE w:val="0"/>
      <w:autoSpaceDN w:val="0"/>
      <w:adjustRightInd w:val="0"/>
      <w:textAlignment w:val="baseline"/>
    </w:pPr>
    <w:rPr>
      <w:kern w:val="28"/>
      <w:szCs w:val="20"/>
    </w:rPr>
  </w:style>
  <w:style w:type="paragraph" w:customStyle="1" w:styleId="201">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b/>
      <w:bCs/>
      <w:kern w:val="0"/>
      <w:sz w:val="28"/>
      <w:szCs w:val="28"/>
    </w:rPr>
  </w:style>
  <w:style w:type="paragraph" w:customStyle="1" w:styleId="202">
    <w:name w:val="Table Contents"/>
    <w:basedOn w:val="1"/>
    <w:qFormat/>
    <w:uiPriority w:val="0"/>
    <w:pPr>
      <w:suppressAutoHyphens/>
      <w:autoSpaceDE w:val="0"/>
      <w:autoSpaceDN w:val="0"/>
      <w:adjustRightInd w:val="0"/>
      <w:spacing w:after="120"/>
      <w:jc w:val="left"/>
    </w:pPr>
    <w:rPr>
      <w:rFonts w:ascii="Helvetica" w:hAnsi="Helvetica"/>
      <w:kern w:val="1"/>
      <w:sz w:val="20"/>
      <w:szCs w:val="20"/>
    </w:rPr>
  </w:style>
  <w:style w:type="paragraph" w:customStyle="1" w:styleId="203">
    <w:name w:val="_Style 202"/>
    <w:basedOn w:val="5"/>
    <w:next w:val="1"/>
    <w:qFormat/>
    <w:uiPriority w:val="0"/>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204">
    <w:name w:val="正文文字表格居中"/>
    <w:basedOn w:val="1"/>
    <w:next w:val="47"/>
    <w:qFormat/>
    <w:uiPriority w:val="0"/>
    <w:pPr>
      <w:autoSpaceDE w:val="0"/>
      <w:autoSpaceDN w:val="0"/>
      <w:adjustRightInd w:val="0"/>
      <w:snapToGrid w:val="0"/>
      <w:spacing w:line="360" w:lineRule="auto"/>
      <w:jc w:val="left"/>
    </w:pPr>
    <w:rPr>
      <w:rFonts w:ascii="宋体"/>
      <w:b/>
      <w:kern w:val="0"/>
      <w:sz w:val="24"/>
      <w:szCs w:val="20"/>
    </w:rPr>
  </w:style>
  <w:style w:type="paragraph" w:customStyle="1" w:styleId="20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206">
    <w:name w:val="保留正文"/>
    <w:basedOn w:val="23"/>
    <w:qFormat/>
    <w:uiPriority w:val="0"/>
    <w:pPr>
      <w:keepNext/>
      <w:spacing w:after="160"/>
    </w:pPr>
    <w:rPr>
      <w:szCs w:val="20"/>
    </w:rPr>
  </w:style>
  <w:style w:type="paragraph" w:customStyle="1" w:styleId="207">
    <w:name w:val="此正文"/>
    <w:basedOn w:val="1"/>
    <w:qFormat/>
    <w:uiPriority w:val="0"/>
    <w:pPr>
      <w:autoSpaceDE w:val="0"/>
      <w:autoSpaceDN w:val="0"/>
      <w:adjustRightInd w:val="0"/>
      <w:spacing w:line="360" w:lineRule="auto"/>
      <w:ind w:firstLine="200" w:firstLineChars="200"/>
      <w:jc w:val="left"/>
    </w:pPr>
    <w:rPr>
      <w:kern w:val="0"/>
      <w:sz w:val="24"/>
      <w:szCs w:val="20"/>
    </w:rPr>
  </w:style>
  <w:style w:type="paragraph" w:customStyle="1" w:styleId="208">
    <w:name w:val="Char Char Char Char Char Char Char Char Char Char Char Char Char"/>
    <w:basedOn w:val="1"/>
    <w:qFormat/>
    <w:uiPriority w:val="0"/>
  </w:style>
  <w:style w:type="paragraph" w:customStyle="1" w:styleId="209">
    <w:name w:val="正文－恩普"/>
    <w:basedOn w:val="11"/>
    <w:qFormat/>
    <w:uiPriority w:val="0"/>
    <w:pPr>
      <w:adjustRightInd/>
      <w:spacing w:line="360" w:lineRule="auto"/>
      <w:ind w:firstLine="200" w:firstLineChars="200"/>
      <w:textAlignment w:val="auto"/>
    </w:pPr>
    <w:rPr>
      <w:kern w:val="2"/>
      <w:sz w:val="24"/>
      <w:szCs w:val="24"/>
    </w:rPr>
  </w:style>
  <w:style w:type="paragraph" w:customStyle="1" w:styleId="210">
    <w:name w:val="章标题"/>
    <w:next w:val="1"/>
    <w:qFormat/>
    <w:uiPriority w:val="0"/>
    <w:pPr>
      <w:tabs>
        <w:tab w:val="left" w:pos="3469"/>
      </w:tabs>
      <w:spacing w:before="156" w:beforeLines="50" w:after="156" w:afterLines="50"/>
      <w:ind w:left="3469" w:hanging="420"/>
      <w:jc w:val="both"/>
      <w:outlineLvl w:val="1"/>
    </w:pPr>
    <w:rPr>
      <w:rFonts w:ascii="黑体" w:hAnsi="Times New Roman" w:eastAsia="黑体" w:cs="Times New Roman"/>
      <w:sz w:val="21"/>
      <w:lang w:val="en-US" w:eastAsia="zh-CN" w:bidi="ar-SA"/>
    </w:rPr>
  </w:style>
  <w:style w:type="paragraph" w:customStyle="1" w:styleId="211">
    <w:name w:val="小标题"/>
    <w:basedOn w:val="1"/>
    <w:qFormat/>
    <w:uiPriority w:val="0"/>
    <w:pPr>
      <w:autoSpaceDE w:val="0"/>
      <w:autoSpaceDN w:val="0"/>
      <w:adjustRightInd w:val="0"/>
      <w:spacing w:before="120" w:line="360" w:lineRule="atLeast"/>
      <w:ind w:left="1134"/>
      <w:jc w:val="left"/>
      <w:textAlignment w:val="baseline"/>
    </w:pPr>
    <w:rPr>
      <w:rFonts w:eastAsia="黑体"/>
      <w:kern w:val="0"/>
      <w:sz w:val="20"/>
      <w:szCs w:val="20"/>
    </w:rPr>
  </w:style>
  <w:style w:type="paragraph" w:customStyle="1" w:styleId="212">
    <w:name w:val="p0"/>
    <w:basedOn w:val="1"/>
    <w:qFormat/>
    <w:uiPriority w:val="0"/>
    <w:pPr>
      <w:widowControl/>
    </w:pPr>
    <w:rPr>
      <w:kern w:val="0"/>
      <w:szCs w:val="21"/>
    </w:rPr>
  </w:style>
  <w:style w:type="paragraph" w:customStyle="1" w:styleId="213">
    <w:name w:val="Char2"/>
    <w:basedOn w:val="1"/>
    <w:qFormat/>
    <w:uiPriority w:val="0"/>
    <w:pPr>
      <w:autoSpaceDE w:val="0"/>
      <w:autoSpaceDN w:val="0"/>
      <w:adjustRightInd w:val="0"/>
      <w:jc w:val="left"/>
    </w:pPr>
    <w:rPr>
      <w:rFonts w:ascii="仿宋_GB2312" w:eastAsia="仿宋_GB2312"/>
      <w:b/>
      <w:kern w:val="0"/>
      <w:sz w:val="32"/>
      <w:szCs w:val="32"/>
    </w:rPr>
  </w:style>
  <w:style w:type="paragraph" w:customStyle="1" w:styleId="214">
    <w:name w:val="正文-宋体四号"/>
    <w:basedOn w:val="1"/>
    <w:qFormat/>
    <w:uiPriority w:val="0"/>
    <w:pPr>
      <w:spacing w:line="360" w:lineRule="auto"/>
      <w:ind w:firstLine="560" w:firstLineChars="200"/>
    </w:pPr>
    <w:rPr>
      <w:rFonts w:cs="宋体"/>
      <w:sz w:val="28"/>
      <w:szCs w:val="20"/>
    </w:rPr>
  </w:style>
  <w:style w:type="paragraph" w:customStyle="1" w:styleId="215">
    <w:name w:val="Char1 Char Char Char Char Char Char"/>
    <w:basedOn w:val="1"/>
    <w:qFormat/>
    <w:uiPriority w:val="0"/>
    <w:rPr>
      <w:rFonts w:ascii="宋体" w:hAnsi="宋体"/>
      <w:color w:val="000000"/>
      <w:sz w:val="24"/>
    </w:rPr>
  </w:style>
  <w:style w:type="paragraph" w:customStyle="1" w:styleId="216">
    <w:name w:val="Char1"/>
    <w:basedOn w:val="1"/>
    <w:qFormat/>
    <w:uiPriority w:val="0"/>
    <w:rPr>
      <w:rFonts w:ascii="仿宋_GB2312" w:eastAsia="仿宋_GB2312"/>
      <w:b/>
      <w:sz w:val="32"/>
      <w:szCs w:val="32"/>
    </w:rPr>
  </w:style>
  <w:style w:type="paragraph" w:customStyle="1" w:styleId="21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新宋体" w:hAnsi="新宋体" w:eastAsia="新宋体" w:cs="宋体"/>
      <w:b/>
      <w:bCs/>
      <w:color w:val="000000"/>
      <w:kern w:val="0"/>
      <w:sz w:val="24"/>
    </w:rPr>
  </w:style>
  <w:style w:type="paragraph" w:customStyle="1" w:styleId="218">
    <w:name w:val="正文格式"/>
    <w:basedOn w:val="1"/>
    <w:qFormat/>
    <w:uiPriority w:val="0"/>
    <w:pPr>
      <w:widowControl/>
      <w:adjustRightInd w:val="0"/>
      <w:snapToGrid w:val="0"/>
      <w:ind w:firstLine="482"/>
      <w:textAlignment w:val="baseline"/>
    </w:pPr>
    <w:rPr>
      <w:rFonts w:ascii="仿宋" w:hAnsi="仿宋" w:eastAsia="仿宋"/>
      <w:sz w:val="24"/>
    </w:rPr>
  </w:style>
  <w:style w:type="paragraph" w:customStyle="1" w:styleId="219">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20">
    <w:name w:val="三级条标题"/>
    <w:basedOn w:val="221"/>
    <w:next w:val="1"/>
    <w:qFormat/>
    <w:uiPriority w:val="0"/>
    <w:pPr>
      <w:tabs>
        <w:tab w:val="left" w:pos="3889"/>
        <w:tab w:val="left" w:pos="4309"/>
        <w:tab w:val="left" w:pos="4729"/>
      </w:tabs>
      <w:ind w:left="4729"/>
      <w:outlineLvl w:val="4"/>
    </w:pPr>
  </w:style>
  <w:style w:type="paragraph" w:customStyle="1" w:styleId="221">
    <w:name w:val="二级条标题"/>
    <w:basedOn w:val="222"/>
    <w:next w:val="1"/>
    <w:qFormat/>
    <w:uiPriority w:val="0"/>
    <w:pPr>
      <w:tabs>
        <w:tab w:val="left" w:pos="3889"/>
        <w:tab w:val="left" w:pos="4309"/>
      </w:tabs>
      <w:ind w:left="4309"/>
      <w:outlineLvl w:val="3"/>
    </w:pPr>
  </w:style>
  <w:style w:type="paragraph" w:customStyle="1" w:styleId="222">
    <w:name w:val="一级条标题"/>
    <w:next w:val="1"/>
    <w:qFormat/>
    <w:uiPriority w:val="0"/>
    <w:pPr>
      <w:tabs>
        <w:tab w:val="left" w:pos="3889"/>
      </w:tabs>
      <w:ind w:left="3889" w:hanging="420"/>
      <w:outlineLvl w:val="2"/>
    </w:pPr>
    <w:rPr>
      <w:rFonts w:ascii="Times New Roman" w:hAnsi="Times New Roman" w:eastAsia="黑体" w:cs="Times New Roman"/>
      <w:sz w:val="21"/>
      <w:lang w:val="en-US" w:eastAsia="zh-CN" w:bidi="ar-SA"/>
    </w:rPr>
  </w:style>
  <w:style w:type="paragraph" w:customStyle="1" w:styleId="223">
    <w:name w:val="Char Char Char Char"/>
    <w:basedOn w:val="1"/>
    <w:qFormat/>
    <w:uiPriority w:val="0"/>
    <w:pPr>
      <w:autoSpaceDE w:val="0"/>
      <w:autoSpaceDN w:val="0"/>
      <w:adjustRightInd w:val="0"/>
      <w:jc w:val="left"/>
    </w:pPr>
    <w:rPr>
      <w:rFonts w:ascii="Tahoma" w:hAnsi="Tahoma"/>
      <w:kern w:val="0"/>
      <w:sz w:val="24"/>
      <w:szCs w:val="20"/>
    </w:rPr>
  </w:style>
  <w:style w:type="paragraph" w:customStyle="1" w:styleId="224">
    <w:name w:val="图"/>
    <w:basedOn w:val="1"/>
    <w:qFormat/>
    <w:uiPriority w:val="0"/>
    <w:pPr>
      <w:keepNext/>
      <w:adjustRightInd w:val="0"/>
      <w:spacing w:before="60" w:after="60" w:line="300" w:lineRule="auto"/>
      <w:jc w:val="center"/>
      <w:textAlignment w:val="center"/>
    </w:pPr>
    <w:rPr>
      <w:snapToGrid w:val="0"/>
      <w:spacing w:val="20"/>
      <w:kern w:val="0"/>
      <w:sz w:val="24"/>
      <w:szCs w:val="20"/>
      <w:lang w:val="zh-CN"/>
    </w:rPr>
  </w:style>
  <w:style w:type="paragraph" w:customStyle="1" w:styleId="225">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226">
    <w:name w:val="样式 样式 正文文本缩进 + 仿宋_GB2312 小四 首行缩进:  0 厘米 行距: 1.5 倍行距 + (中文) 仿宋_GB... Char Char"/>
    <w:basedOn w:val="1"/>
    <w:qFormat/>
    <w:uiPriority w:val="0"/>
    <w:pPr>
      <w:autoSpaceDE w:val="0"/>
      <w:autoSpaceDN w:val="0"/>
      <w:adjustRightInd w:val="0"/>
      <w:spacing w:line="360" w:lineRule="auto"/>
      <w:ind w:firstLine="480" w:firstLineChars="200"/>
      <w:jc w:val="left"/>
    </w:pPr>
    <w:rPr>
      <w:rFonts w:ascii="仿宋_GB2312" w:eastAsia="新宋体"/>
      <w:kern w:val="0"/>
      <w:sz w:val="24"/>
      <w:szCs w:val="20"/>
    </w:rPr>
  </w:style>
  <w:style w:type="paragraph" w:customStyle="1" w:styleId="227">
    <w:name w:val="xl89"/>
    <w:basedOn w:val="1"/>
    <w:qFormat/>
    <w:uiPriority w:val="0"/>
    <w:pPr>
      <w:widowControl/>
      <w:spacing w:before="100" w:beforeAutospacing="1" w:after="100" w:afterAutospacing="1"/>
      <w:jc w:val="left"/>
    </w:pPr>
    <w:rPr>
      <w:rFonts w:ascii="宋体" w:hAnsi="宋体" w:cs="宋体"/>
      <w:kern w:val="0"/>
      <w:sz w:val="24"/>
    </w:rPr>
  </w:style>
  <w:style w:type="paragraph" w:customStyle="1" w:styleId="228">
    <w:name w:val="表格文字（大）"/>
    <w:basedOn w:val="1"/>
    <w:qFormat/>
    <w:uiPriority w:val="0"/>
    <w:pPr>
      <w:autoSpaceDE w:val="0"/>
      <w:autoSpaceDN w:val="0"/>
      <w:adjustRightInd w:val="0"/>
      <w:spacing w:before="20" w:after="20"/>
      <w:jc w:val="left"/>
    </w:pPr>
    <w:rPr>
      <w:rFonts w:ascii="Century Gothic" w:hAnsi="Century Gothic" w:cs="Century Gothic"/>
      <w:kern w:val="0"/>
      <w:sz w:val="24"/>
      <w:szCs w:val="20"/>
    </w:rPr>
  </w:style>
  <w:style w:type="paragraph" w:customStyle="1" w:styleId="229">
    <w:name w:val="xl66"/>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宋体" w:hAnsi="宋体" w:cs="宋体"/>
      <w:b/>
      <w:bCs/>
      <w:color w:val="000000"/>
      <w:kern w:val="0"/>
      <w:sz w:val="24"/>
    </w:rPr>
  </w:style>
  <w:style w:type="paragraph" w:customStyle="1" w:styleId="230">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新宋体" w:hAnsi="新宋体" w:eastAsia="新宋体" w:cs="宋体"/>
      <w:b/>
      <w:bCs/>
      <w:color w:val="000000"/>
      <w:kern w:val="0"/>
      <w:sz w:val="24"/>
    </w:rPr>
  </w:style>
  <w:style w:type="paragraph" w:customStyle="1" w:styleId="231">
    <w:name w:val="Char Char Char Char Char Char Char Char Char Char Char Char Char Char Char Char Char Char Char"/>
    <w:basedOn w:val="1"/>
    <w:qFormat/>
    <w:uiPriority w:val="0"/>
    <w:rPr>
      <w:rFonts w:ascii="仿宋_GB2312" w:eastAsia="仿宋_GB2312"/>
      <w:b/>
      <w:sz w:val="32"/>
      <w:szCs w:val="32"/>
    </w:rPr>
  </w:style>
  <w:style w:type="paragraph" w:customStyle="1" w:styleId="232">
    <w:name w:val="xl9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233">
    <w:name w:val="ÕýÎÄÊ×ÐÐËõ½ø"/>
    <w:basedOn w:val="1"/>
    <w:qFormat/>
    <w:uiPriority w:val="0"/>
    <w:pPr>
      <w:widowControl/>
      <w:overflowPunct w:val="0"/>
      <w:autoSpaceDE w:val="0"/>
      <w:autoSpaceDN w:val="0"/>
      <w:adjustRightInd w:val="0"/>
      <w:spacing w:line="360" w:lineRule="auto"/>
      <w:ind w:left="1134"/>
      <w:jc w:val="left"/>
      <w:textAlignment w:val="baseline"/>
    </w:pPr>
    <w:rPr>
      <w:rFonts w:eastAsia="Times New Roman"/>
      <w:kern w:val="0"/>
      <w:sz w:val="20"/>
      <w:szCs w:val="20"/>
    </w:rPr>
  </w:style>
  <w:style w:type="paragraph" w:customStyle="1" w:styleId="234">
    <w:name w:val="部分1"/>
    <w:basedOn w:val="1"/>
    <w:qFormat/>
    <w:uiPriority w:val="0"/>
    <w:pPr>
      <w:keepNext/>
      <w:pageBreakBefore/>
      <w:tabs>
        <w:tab w:val="left" w:pos="720"/>
      </w:tabs>
      <w:autoSpaceDE w:val="0"/>
      <w:autoSpaceDN w:val="0"/>
      <w:adjustRightInd w:val="0"/>
      <w:spacing w:line="360" w:lineRule="auto"/>
      <w:jc w:val="center"/>
      <w:outlineLvl w:val="0"/>
    </w:pPr>
    <w:rPr>
      <w:rFonts w:eastAsia="黑体"/>
      <w:b/>
      <w:kern w:val="44"/>
      <w:sz w:val="36"/>
      <w:szCs w:val="20"/>
    </w:rPr>
  </w:style>
  <w:style w:type="paragraph" w:customStyle="1" w:styleId="235">
    <w:name w:val="标准小四"/>
    <w:basedOn w:val="1"/>
    <w:qFormat/>
    <w:uiPriority w:val="0"/>
    <w:pPr>
      <w:autoSpaceDE w:val="0"/>
      <w:autoSpaceDN w:val="0"/>
      <w:adjustRightInd w:val="0"/>
      <w:spacing w:line="360" w:lineRule="auto"/>
      <w:ind w:firstLine="480" w:firstLineChars="200"/>
      <w:jc w:val="left"/>
    </w:pPr>
    <w:rPr>
      <w:rFonts w:ascii="Arial" w:hAnsi="Arial"/>
      <w:kern w:val="0"/>
      <w:sz w:val="24"/>
      <w:szCs w:val="21"/>
    </w:rPr>
  </w:style>
  <w:style w:type="paragraph" w:customStyle="1" w:styleId="236">
    <w:name w:val="xl76"/>
    <w:basedOn w:val="1"/>
    <w:qFormat/>
    <w:uiPriority w:val="0"/>
    <w:pPr>
      <w:widowControl/>
      <w:pBdr>
        <w:top w:val="single" w:color="auto" w:sz="4" w:space="0"/>
        <w:bottom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23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38">
    <w:name w:val="1.1.1"/>
    <w:basedOn w:val="1"/>
    <w:qFormat/>
    <w:uiPriority w:val="0"/>
    <w:pPr>
      <w:tabs>
        <w:tab w:val="left" w:pos="0"/>
        <w:tab w:val="left" w:pos="1134"/>
        <w:tab w:val="left" w:pos="8505"/>
      </w:tabs>
      <w:autoSpaceDE w:val="0"/>
      <w:autoSpaceDN w:val="0"/>
      <w:adjustRightInd w:val="0"/>
      <w:spacing w:before="240" w:after="60" w:line="360" w:lineRule="atLeast"/>
    </w:pPr>
    <w:rPr>
      <w:rFonts w:ascii="宋体"/>
      <w:b/>
      <w:kern w:val="0"/>
      <w:sz w:val="24"/>
      <w:szCs w:val="20"/>
    </w:rPr>
  </w:style>
  <w:style w:type="paragraph" w:customStyle="1" w:styleId="239">
    <w:name w:val="tabletext"/>
    <w:basedOn w:val="1"/>
    <w:qFormat/>
    <w:uiPriority w:val="0"/>
    <w:pPr>
      <w:widowControl/>
      <w:spacing w:line="300" w:lineRule="atLeast"/>
      <w:jc w:val="left"/>
    </w:pPr>
    <w:rPr>
      <w:rFonts w:ascii="宋体" w:hAnsi="宋体" w:cs="宋体"/>
      <w:kern w:val="0"/>
      <w:sz w:val="18"/>
      <w:szCs w:val="18"/>
    </w:rPr>
  </w:style>
  <w:style w:type="paragraph" w:customStyle="1" w:styleId="240">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41">
    <w:name w:val="Char Char Char Char Char Char Char"/>
    <w:basedOn w:val="1"/>
    <w:qFormat/>
    <w:uiPriority w:val="0"/>
    <w:rPr>
      <w:rFonts w:ascii="仿宋_GB2312" w:eastAsia="仿宋_GB2312"/>
      <w:b/>
      <w:sz w:val="32"/>
      <w:szCs w:val="32"/>
    </w:rPr>
  </w:style>
  <w:style w:type="paragraph" w:customStyle="1" w:styleId="242">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243">
    <w:name w:val="l正文"/>
    <w:basedOn w:val="1"/>
    <w:qFormat/>
    <w:uiPriority w:val="0"/>
    <w:pPr>
      <w:spacing w:line="360" w:lineRule="auto"/>
      <w:ind w:firstLine="200" w:firstLineChars="200"/>
    </w:pPr>
    <w:rPr>
      <w:rFonts w:ascii="宋体" w:hAnsi="宋体"/>
      <w:sz w:val="24"/>
    </w:rPr>
  </w:style>
  <w:style w:type="paragraph" w:customStyle="1" w:styleId="244">
    <w:name w:val="button"/>
    <w:basedOn w:val="1"/>
    <w:qFormat/>
    <w:uiPriority w:val="0"/>
    <w:pPr>
      <w:widowControl/>
      <w:autoSpaceDE w:val="0"/>
      <w:autoSpaceDN w:val="0"/>
      <w:adjustRightInd w:val="0"/>
      <w:spacing w:before="100" w:beforeAutospacing="1" w:after="100" w:afterAutospacing="1"/>
      <w:jc w:val="left"/>
    </w:pPr>
    <w:rPr>
      <w:rFonts w:ascii="Arial Unicode MS" w:hAnsi="Arial Unicode MS"/>
      <w:color w:val="000000"/>
      <w:kern w:val="0"/>
      <w:sz w:val="24"/>
      <w:szCs w:val="20"/>
    </w:rPr>
  </w:style>
  <w:style w:type="paragraph" w:customStyle="1" w:styleId="245">
    <w:name w:val="列项——（一级）"/>
    <w:qFormat/>
    <w:uiPriority w:val="0"/>
    <w:pPr>
      <w:widowControl w:val="0"/>
      <w:tabs>
        <w:tab w:val="left" w:pos="854"/>
        <w:tab w:val="left" w:pos="1260"/>
      </w:tabs>
      <w:ind w:left="1260" w:hanging="420"/>
      <w:jc w:val="both"/>
    </w:pPr>
    <w:rPr>
      <w:rFonts w:ascii="宋体" w:hAnsi="Times New Roman" w:eastAsia="宋体" w:cs="Times New Roman"/>
      <w:sz w:val="21"/>
      <w:lang w:val="en-US" w:eastAsia="zh-CN" w:bidi="ar-SA"/>
    </w:rPr>
  </w:style>
  <w:style w:type="paragraph" w:customStyle="1" w:styleId="246">
    <w:name w:val="简单回函地址"/>
    <w:basedOn w:val="1"/>
    <w:qFormat/>
    <w:uiPriority w:val="0"/>
  </w:style>
  <w:style w:type="paragraph" w:customStyle="1" w:styleId="247">
    <w:name w:val="1 Char"/>
    <w:basedOn w:val="11"/>
    <w:qFormat/>
    <w:uiPriority w:val="0"/>
    <w:pPr>
      <w:adjustRightInd/>
      <w:spacing w:line="360" w:lineRule="auto"/>
      <w:ind w:firstLine="200" w:firstLineChars="200"/>
      <w:textAlignment w:val="auto"/>
    </w:pPr>
    <w:rPr>
      <w:kern w:val="2"/>
    </w:rPr>
  </w:style>
  <w:style w:type="paragraph" w:customStyle="1" w:styleId="248">
    <w:name w:val="彩色列表 - 强调文字颜色 11"/>
    <w:basedOn w:val="1"/>
    <w:qFormat/>
    <w:uiPriority w:val="0"/>
    <w:pPr>
      <w:ind w:firstLine="420" w:firstLineChars="200"/>
    </w:pPr>
    <w:rPr>
      <w:rFonts w:ascii="Calibri" w:hAnsi="Calibri"/>
      <w:szCs w:val="22"/>
    </w:rPr>
  </w:style>
  <w:style w:type="paragraph" w:customStyle="1" w:styleId="249">
    <w:name w:val="技术报告正文"/>
    <w:basedOn w:val="1"/>
    <w:qFormat/>
    <w:uiPriority w:val="0"/>
    <w:pPr>
      <w:autoSpaceDE w:val="0"/>
      <w:autoSpaceDN w:val="0"/>
      <w:adjustRightInd w:val="0"/>
      <w:spacing w:before="156" w:beforeLines="50" w:line="440" w:lineRule="exact"/>
      <w:ind w:firstLine="538" w:firstLineChars="192"/>
      <w:jc w:val="left"/>
    </w:pPr>
    <w:rPr>
      <w:rFonts w:cs="Arial"/>
      <w:bCs/>
      <w:kern w:val="0"/>
      <w:sz w:val="28"/>
      <w:szCs w:val="20"/>
    </w:rPr>
  </w:style>
  <w:style w:type="paragraph" w:customStyle="1" w:styleId="250">
    <w:name w:val="NICMAN Body Text"/>
    <w:basedOn w:val="1"/>
    <w:next w:val="23"/>
    <w:qFormat/>
    <w:uiPriority w:val="0"/>
    <w:pPr>
      <w:autoSpaceDE w:val="0"/>
      <w:autoSpaceDN w:val="0"/>
      <w:adjustRightInd w:val="0"/>
      <w:spacing w:after="120"/>
      <w:jc w:val="left"/>
    </w:pPr>
    <w:rPr>
      <w:kern w:val="0"/>
      <w:sz w:val="20"/>
      <w:szCs w:val="20"/>
    </w:rPr>
  </w:style>
  <w:style w:type="paragraph" w:customStyle="1" w:styleId="251">
    <w:name w:val="样式 标题 3 + 黑色 段前: 5 磅 段后: 5 磅 行距: 1.5 倍行距"/>
    <w:basedOn w:val="1"/>
    <w:qFormat/>
    <w:uiPriority w:val="0"/>
    <w:pPr>
      <w:ind w:left="855" w:hanging="855"/>
    </w:pPr>
    <w:rPr>
      <w:sz w:val="24"/>
      <w:szCs w:val="20"/>
    </w:rPr>
  </w:style>
  <w:style w:type="paragraph" w:customStyle="1" w:styleId="252">
    <w:name w:val="xl8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253">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254">
    <w:name w:val="Test2"/>
    <w:basedOn w:val="6"/>
    <w:qFormat/>
    <w:uiPriority w:val="0"/>
    <w:pPr>
      <w:keepNext w:val="0"/>
      <w:widowControl/>
      <w:tabs>
        <w:tab w:val="left" w:pos="774"/>
      </w:tabs>
      <w:autoSpaceDE w:val="0"/>
      <w:autoSpaceDN w:val="0"/>
      <w:adjustRightInd w:val="0"/>
      <w:snapToGrid w:val="0"/>
      <w:spacing w:before="360" w:after="360" w:line="240" w:lineRule="atLeast"/>
      <w:ind w:left="774" w:hanging="576"/>
      <w:jc w:val="left"/>
    </w:pPr>
    <w:rPr>
      <w:rFonts w:ascii="宋体" w:hAnsi="Arial"/>
      <w:snapToGrid w:val="0"/>
      <w:kern w:val="0"/>
    </w:rPr>
  </w:style>
  <w:style w:type="paragraph" w:customStyle="1" w:styleId="255">
    <w:name w:val="xl8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256">
    <w:name w:val="前言、引言标题"/>
    <w:next w:val="1"/>
    <w:qFormat/>
    <w:uiPriority w:val="0"/>
    <w:pPr>
      <w:shd w:val="clear" w:color="FFFFFF" w:fill="FFFFFF"/>
      <w:tabs>
        <w:tab w:val="left" w:pos="3349"/>
      </w:tabs>
      <w:spacing w:before="640" w:after="560"/>
      <w:ind w:left="3349" w:hanging="720"/>
      <w:jc w:val="center"/>
      <w:outlineLvl w:val="0"/>
    </w:pPr>
    <w:rPr>
      <w:rFonts w:ascii="黑体" w:hAnsi="Times New Roman" w:eastAsia="黑体" w:cs="Times New Roman"/>
      <w:sz w:val="32"/>
      <w:lang w:val="en-US" w:eastAsia="zh-CN" w:bidi="ar-SA"/>
    </w:rPr>
  </w:style>
  <w:style w:type="paragraph" w:customStyle="1" w:styleId="257">
    <w:name w:val="Char Char Char Char Char Char Char Char Char Char Char Char Char1"/>
    <w:basedOn w:val="1"/>
    <w:qFormat/>
    <w:uiPriority w:val="0"/>
    <w:rPr>
      <w:rFonts w:ascii="Tahoma" w:hAnsi="Tahoma"/>
      <w:sz w:val="24"/>
      <w:szCs w:val="20"/>
    </w:rPr>
  </w:style>
  <w:style w:type="paragraph" w:customStyle="1" w:styleId="258">
    <w:name w:val="Char Char Char Char Char Char Char Char Char Char"/>
    <w:basedOn w:val="1"/>
    <w:qFormat/>
    <w:uiPriority w:val="0"/>
    <w:pPr>
      <w:autoSpaceDE w:val="0"/>
      <w:autoSpaceDN w:val="0"/>
      <w:adjustRightInd w:val="0"/>
      <w:jc w:val="left"/>
    </w:pPr>
    <w:rPr>
      <w:rFonts w:ascii="仿宋_GB2312" w:eastAsia="仿宋_GB2312"/>
      <w:b/>
      <w:kern w:val="0"/>
      <w:sz w:val="32"/>
      <w:szCs w:val="32"/>
    </w:rPr>
  </w:style>
  <w:style w:type="paragraph" w:customStyle="1" w:styleId="259">
    <w:name w:val="纯文本1"/>
    <w:basedOn w:val="1"/>
    <w:qFormat/>
    <w:uiPriority w:val="0"/>
    <w:pPr>
      <w:adjustRightInd w:val="0"/>
      <w:textAlignment w:val="baseline"/>
    </w:pPr>
    <w:rPr>
      <w:rFonts w:ascii="宋体" w:hAnsi="Courier New" w:eastAsia="楷体_GB2312"/>
      <w:sz w:val="28"/>
      <w:szCs w:val="20"/>
    </w:rPr>
  </w:style>
  <w:style w:type="paragraph" w:customStyle="1" w:styleId="260">
    <w:name w:val="样式 标题 3 + 黑体 小四 非加粗"/>
    <w:basedOn w:val="7"/>
    <w:qFormat/>
    <w:uiPriority w:val="0"/>
    <w:pPr>
      <w:spacing w:before="260" w:after="260" w:line="413" w:lineRule="auto"/>
    </w:pPr>
    <w:rPr>
      <w:rFonts w:ascii="黑体" w:hAnsi="黑体"/>
      <w:b w:val="0"/>
      <w:kern w:val="0"/>
      <w:sz w:val="24"/>
      <w:szCs w:val="32"/>
    </w:rPr>
  </w:style>
  <w:style w:type="paragraph" w:customStyle="1" w:styleId="261">
    <w:name w:val="默认段落字体 Para Char Char Char Char Char Char Char"/>
    <w:basedOn w:val="1"/>
    <w:qFormat/>
    <w:uiPriority w:val="0"/>
  </w:style>
  <w:style w:type="paragraph" w:customStyle="1" w:styleId="262">
    <w:name w:val="Char Char"/>
    <w:basedOn w:val="1"/>
    <w:qFormat/>
    <w:uiPriority w:val="0"/>
    <w:rPr>
      <w:rFonts w:ascii="仿宋_GB2312" w:eastAsia="仿宋_GB2312"/>
      <w:b/>
      <w:sz w:val="32"/>
      <w:szCs w:val="32"/>
    </w:rPr>
  </w:style>
  <w:style w:type="paragraph" w:customStyle="1" w:styleId="263">
    <w:name w:val="xl8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264">
    <w:name w:val="文字"/>
    <w:basedOn w:val="1"/>
    <w:qFormat/>
    <w:uiPriority w:val="0"/>
    <w:pPr>
      <w:tabs>
        <w:tab w:val="left" w:pos="8520"/>
      </w:tabs>
      <w:spacing w:line="312" w:lineRule="auto"/>
      <w:ind w:right="-210" w:firstLine="556"/>
    </w:pPr>
    <w:rPr>
      <w:rFonts w:ascii="宋体"/>
      <w:sz w:val="28"/>
      <w:szCs w:val="20"/>
    </w:rPr>
  </w:style>
  <w:style w:type="paragraph" w:customStyle="1" w:styleId="265">
    <w:name w:val="正文字缩2字"/>
    <w:basedOn w:val="1"/>
    <w:qFormat/>
    <w:uiPriority w:val="0"/>
    <w:pPr>
      <w:spacing w:before="60" w:after="60" w:line="360" w:lineRule="auto"/>
      <w:ind w:left="200" w:leftChars="200" w:firstLine="200" w:firstLineChars="200"/>
    </w:pPr>
    <w:rPr>
      <w:sz w:val="24"/>
    </w:rPr>
  </w:style>
  <w:style w:type="paragraph" w:customStyle="1" w:styleId="26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267">
    <w:name w:val="标题五"/>
    <w:basedOn w:val="1"/>
    <w:qFormat/>
    <w:uiPriority w:val="0"/>
    <w:pPr>
      <w:tabs>
        <w:tab w:val="left" w:pos="1440"/>
      </w:tabs>
      <w:autoSpaceDE w:val="0"/>
      <w:autoSpaceDN w:val="0"/>
      <w:adjustRightInd w:val="0"/>
      <w:spacing w:before="156" w:beforeLines="50" w:line="360" w:lineRule="auto"/>
      <w:ind w:left="1440" w:hanging="420"/>
      <w:jc w:val="left"/>
    </w:pPr>
    <w:rPr>
      <w:b/>
      <w:kern w:val="0"/>
      <w:sz w:val="24"/>
      <w:szCs w:val="20"/>
    </w:rPr>
  </w:style>
  <w:style w:type="paragraph" w:customStyle="1" w:styleId="268">
    <w:name w:val="五级条标题"/>
    <w:basedOn w:val="269"/>
    <w:next w:val="1"/>
    <w:qFormat/>
    <w:uiPriority w:val="0"/>
    <w:pPr>
      <w:tabs>
        <w:tab w:val="left" w:pos="3889"/>
        <w:tab w:val="left" w:pos="4309"/>
        <w:tab w:val="left" w:pos="5149"/>
        <w:tab w:val="left" w:pos="5569"/>
      </w:tabs>
      <w:ind w:left="5569"/>
      <w:outlineLvl w:val="6"/>
    </w:pPr>
  </w:style>
  <w:style w:type="paragraph" w:customStyle="1" w:styleId="269">
    <w:name w:val="四级条标题"/>
    <w:basedOn w:val="220"/>
    <w:next w:val="1"/>
    <w:qFormat/>
    <w:uiPriority w:val="0"/>
    <w:pPr>
      <w:tabs>
        <w:tab w:val="left" w:pos="5149"/>
        <w:tab w:val="clear" w:pos="4729"/>
      </w:tabs>
      <w:ind w:left="5149"/>
      <w:outlineLvl w:val="5"/>
    </w:pPr>
  </w:style>
  <w:style w:type="paragraph" w:customStyle="1" w:styleId="270">
    <w:name w:val="标准段落"/>
    <w:basedOn w:val="1"/>
    <w:qFormat/>
    <w:uiPriority w:val="0"/>
    <w:pPr>
      <w:spacing w:after="120" w:line="360" w:lineRule="auto"/>
      <w:ind w:firstLine="420"/>
    </w:pPr>
    <w:rPr>
      <w:rFonts w:ascii="黑体" w:hAnsi="宋体" w:eastAsia="黑体"/>
      <w:b/>
      <w:spacing w:val="6"/>
      <w:szCs w:val="22"/>
    </w:rPr>
  </w:style>
  <w:style w:type="paragraph" w:customStyle="1" w:styleId="271">
    <w:name w:val="VIT-Text"/>
    <w:basedOn w:val="1"/>
    <w:qFormat/>
    <w:uiPriority w:val="0"/>
    <w:pPr>
      <w:widowControl/>
      <w:tabs>
        <w:tab w:val="left" w:pos="709"/>
        <w:tab w:val="left" w:pos="3402"/>
        <w:tab w:val="left" w:pos="4536"/>
        <w:tab w:val="left" w:pos="5670"/>
        <w:tab w:val="decimal" w:pos="6804"/>
        <w:tab w:val="right" w:pos="9072"/>
      </w:tabs>
      <w:jc w:val="left"/>
    </w:pPr>
    <w:rPr>
      <w:rFonts w:ascii="Arial" w:hAnsi="Arial" w:eastAsia="PMingLiU"/>
      <w:kern w:val="0"/>
      <w:sz w:val="22"/>
      <w:szCs w:val="20"/>
      <w:lang w:val="de-DE" w:eastAsia="zh-TW"/>
    </w:rPr>
  </w:style>
  <w:style w:type="paragraph" w:customStyle="1" w:styleId="272">
    <w:name w:val="正文缩进1"/>
    <w:basedOn w:val="1"/>
    <w:next w:val="2"/>
    <w:qFormat/>
    <w:uiPriority w:val="0"/>
    <w:pPr>
      <w:autoSpaceDE w:val="0"/>
      <w:autoSpaceDN w:val="0"/>
      <w:adjustRightInd w:val="0"/>
      <w:snapToGrid w:val="0"/>
      <w:spacing w:after="120" w:line="360" w:lineRule="auto"/>
      <w:ind w:left="420" w:leftChars="200" w:firstLine="480" w:firstLineChars="200"/>
      <w:jc w:val="left"/>
    </w:pPr>
    <w:rPr>
      <w:kern w:val="0"/>
      <w:sz w:val="24"/>
      <w:szCs w:val="21"/>
    </w:rPr>
  </w:style>
  <w:style w:type="paragraph" w:customStyle="1" w:styleId="273">
    <w:name w:val="正文文本 21"/>
    <w:basedOn w:val="1"/>
    <w:qFormat/>
    <w:uiPriority w:val="0"/>
    <w:pPr>
      <w:widowControl/>
      <w:overflowPunct w:val="0"/>
      <w:autoSpaceDE w:val="0"/>
      <w:autoSpaceDN w:val="0"/>
      <w:adjustRightInd w:val="0"/>
      <w:ind w:left="720" w:hanging="720"/>
      <w:jc w:val="left"/>
      <w:textAlignment w:val="baseline"/>
    </w:pPr>
    <w:rPr>
      <w:kern w:val="0"/>
      <w:sz w:val="24"/>
      <w:szCs w:val="20"/>
      <w:lang w:val="en-GB"/>
    </w:rPr>
  </w:style>
  <w:style w:type="paragraph" w:customStyle="1" w:styleId="274">
    <w:name w:val="È±Ê¡ÎÄ±¾ Char"/>
    <w:basedOn w:val="1"/>
    <w:qFormat/>
    <w:uiPriority w:val="0"/>
    <w:pPr>
      <w:widowControl/>
      <w:overflowPunct w:val="0"/>
      <w:autoSpaceDE w:val="0"/>
      <w:autoSpaceDN w:val="0"/>
      <w:adjustRightInd w:val="0"/>
      <w:textAlignment w:val="baseline"/>
    </w:pPr>
    <w:rPr>
      <w:szCs w:val="21"/>
      <w:lang w:val="zh-CN"/>
    </w:rPr>
  </w:style>
  <w:style w:type="paragraph" w:customStyle="1" w:styleId="275">
    <w:name w:val="WW-正文文字缩进 2"/>
    <w:basedOn w:val="1"/>
    <w:qFormat/>
    <w:uiPriority w:val="0"/>
    <w:pPr>
      <w:suppressAutoHyphens/>
      <w:autoSpaceDE w:val="0"/>
      <w:autoSpaceDN w:val="0"/>
      <w:adjustRightInd w:val="0"/>
      <w:ind w:firstLine="420"/>
      <w:jc w:val="left"/>
    </w:pPr>
    <w:rPr>
      <w:kern w:val="1"/>
      <w:sz w:val="20"/>
      <w:szCs w:val="20"/>
    </w:rPr>
  </w:style>
  <w:style w:type="paragraph" w:customStyle="1" w:styleId="276">
    <w:name w:val="xl29"/>
    <w:basedOn w:val="1"/>
    <w:qFormat/>
    <w:uiPriority w:val="0"/>
    <w:pPr>
      <w:widowControl/>
      <w:autoSpaceDE w:val="0"/>
      <w:autoSpaceDN w:val="0"/>
      <w:adjustRightInd w:val="0"/>
      <w:spacing w:before="100" w:beforeAutospacing="1" w:after="100" w:afterAutospacing="1"/>
      <w:jc w:val="center"/>
    </w:pPr>
    <w:rPr>
      <w:rFonts w:ascii="Arial Unicode MS" w:hAnsi="Arial Unicode MS" w:eastAsia="Arial Unicode MS"/>
      <w:kern w:val="0"/>
      <w:sz w:val="24"/>
      <w:szCs w:val="20"/>
    </w:rPr>
  </w:style>
  <w:style w:type="paragraph" w:customStyle="1" w:styleId="277">
    <w:name w:val="Table Heading"/>
    <w:qFormat/>
    <w:uiPriority w:val="0"/>
    <w:pPr>
      <w:keepNext/>
      <w:snapToGrid w:val="0"/>
      <w:spacing w:before="80" w:after="80"/>
      <w:jc w:val="center"/>
    </w:pPr>
    <w:rPr>
      <w:rFonts w:ascii="Times New Roman" w:hAnsi="Times New Roman" w:eastAsia="黑体" w:cs="Arial"/>
      <w:kern w:val="2"/>
      <w:sz w:val="18"/>
      <w:szCs w:val="18"/>
      <w:lang w:val="en-US" w:eastAsia="zh-CN" w:bidi="ar-SA"/>
    </w:rPr>
  </w:style>
  <w:style w:type="paragraph" w:customStyle="1" w:styleId="278">
    <w:name w:val="Char Char1 Char Char Char Char Char Char Char Char Char Char Char Char Char Char"/>
    <w:basedOn w:val="1"/>
    <w:qFormat/>
    <w:uiPriority w:val="0"/>
    <w:pPr>
      <w:widowControl/>
      <w:autoSpaceDE w:val="0"/>
      <w:autoSpaceDN w:val="0"/>
      <w:adjustRightInd w:val="0"/>
      <w:spacing w:after="160" w:line="240" w:lineRule="exact"/>
      <w:jc w:val="left"/>
    </w:pPr>
    <w:rPr>
      <w:kern w:val="0"/>
      <w:sz w:val="20"/>
      <w:szCs w:val="20"/>
    </w:rPr>
  </w:style>
  <w:style w:type="paragraph" w:customStyle="1" w:styleId="279">
    <w:name w:val="排列"/>
    <w:basedOn w:val="1"/>
    <w:qFormat/>
    <w:uiPriority w:val="0"/>
    <w:pPr>
      <w:widowControl/>
      <w:autoSpaceDE w:val="0"/>
      <w:autoSpaceDN w:val="0"/>
      <w:adjustRightInd w:val="0"/>
      <w:spacing w:line="360" w:lineRule="auto"/>
      <w:jc w:val="left"/>
    </w:pPr>
    <w:rPr>
      <w:rFonts w:ascii="宋体" w:hAnsi="宋体"/>
      <w:kern w:val="0"/>
      <w:sz w:val="20"/>
      <w:szCs w:val="20"/>
      <w:lang w:val="zh-CN"/>
    </w:rPr>
  </w:style>
  <w:style w:type="paragraph" w:customStyle="1" w:styleId="280">
    <w:name w:val="Item List in Table"/>
    <w:qFormat/>
    <w:uiPriority w:val="0"/>
    <w:pPr>
      <w:tabs>
        <w:tab w:val="left" w:pos="284"/>
        <w:tab w:val="left" w:pos="720"/>
      </w:tabs>
      <w:spacing w:before="40" w:after="40"/>
      <w:ind w:left="720" w:hanging="720"/>
      <w:jc w:val="both"/>
    </w:pPr>
    <w:rPr>
      <w:rFonts w:ascii="Times New Roman" w:hAnsi="Times New Roman" w:eastAsia="宋体" w:cs="Arial"/>
      <w:kern w:val="2"/>
      <w:sz w:val="18"/>
      <w:szCs w:val="18"/>
      <w:lang w:val="en-US" w:eastAsia="zh-CN" w:bidi="ar-SA"/>
    </w:rPr>
  </w:style>
  <w:style w:type="paragraph" w:customStyle="1" w:styleId="281">
    <w:name w:val="表内文字"/>
    <w:basedOn w:val="1"/>
    <w:qFormat/>
    <w:uiPriority w:val="0"/>
    <w:pPr>
      <w:spacing w:line="240" w:lineRule="atLeast"/>
      <w:jc w:val="center"/>
    </w:pPr>
    <w:rPr>
      <w:rFonts w:ascii="Arial" w:hAnsi="Arial" w:cs="Arial"/>
      <w:b/>
      <w:bCs/>
    </w:rPr>
  </w:style>
  <w:style w:type="paragraph" w:customStyle="1" w:styleId="282">
    <w:name w:val="Char13"/>
    <w:basedOn w:val="1"/>
    <w:qFormat/>
    <w:uiPriority w:val="0"/>
    <w:pPr>
      <w:widowControl/>
      <w:spacing w:after="160" w:line="240" w:lineRule="exact"/>
      <w:jc w:val="left"/>
    </w:pPr>
    <w:rPr>
      <w:rFonts w:ascii="Verdana" w:hAnsi="Verdana"/>
      <w:kern w:val="0"/>
      <w:sz w:val="20"/>
      <w:szCs w:val="20"/>
      <w:lang w:eastAsia="en-US"/>
    </w:rPr>
  </w:style>
  <w:style w:type="paragraph" w:customStyle="1" w:styleId="283">
    <w:name w:val="xl8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284">
    <w:name w:val="Char11"/>
    <w:basedOn w:val="1"/>
    <w:qFormat/>
    <w:uiPriority w:val="0"/>
    <w:pPr>
      <w:autoSpaceDE w:val="0"/>
      <w:autoSpaceDN w:val="0"/>
      <w:adjustRightInd w:val="0"/>
      <w:jc w:val="left"/>
    </w:pPr>
    <w:rPr>
      <w:rFonts w:ascii="仿宋_GB2312" w:eastAsia="仿宋_GB2312"/>
      <w:b/>
      <w:kern w:val="0"/>
      <w:sz w:val="32"/>
      <w:szCs w:val="32"/>
    </w:rPr>
  </w:style>
  <w:style w:type="paragraph" w:customStyle="1" w:styleId="28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86">
    <w:name w:val="正文（首行缩进）"/>
    <w:basedOn w:val="2"/>
    <w:qFormat/>
    <w:uiPriority w:val="0"/>
    <w:pPr>
      <w:widowControl/>
      <w:overflowPunct w:val="0"/>
      <w:autoSpaceDE w:val="0"/>
      <w:autoSpaceDN w:val="0"/>
      <w:adjustRightInd w:val="0"/>
      <w:spacing w:before="156" w:beforeLines="50" w:after="120" w:line="400" w:lineRule="exact"/>
      <w:ind w:left="200" w:leftChars="200" w:firstLine="200" w:firstLineChars="200"/>
      <w:jc w:val="left"/>
      <w:textAlignment w:val="baseline"/>
    </w:pPr>
    <w:rPr>
      <w:spacing w:val="10"/>
      <w:kern w:val="0"/>
      <w:szCs w:val="20"/>
    </w:rPr>
  </w:style>
  <w:style w:type="paragraph" w:customStyle="1" w:styleId="287">
    <w:name w:val="标书正文带编号"/>
    <w:basedOn w:val="1"/>
    <w:qFormat/>
    <w:uiPriority w:val="0"/>
    <w:pPr>
      <w:tabs>
        <w:tab w:val="left" w:pos="397"/>
      </w:tabs>
      <w:autoSpaceDE w:val="0"/>
      <w:autoSpaceDN w:val="0"/>
      <w:adjustRightInd w:val="0"/>
      <w:ind w:firstLine="397"/>
      <w:jc w:val="left"/>
    </w:pPr>
    <w:rPr>
      <w:rFonts w:cs="宋体"/>
      <w:kern w:val="0"/>
      <w:sz w:val="20"/>
      <w:szCs w:val="21"/>
    </w:rPr>
  </w:style>
  <w:style w:type="paragraph" w:customStyle="1" w:styleId="28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89">
    <w:name w:val="14"/>
    <w:basedOn w:val="1"/>
    <w:qFormat/>
    <w:uiPriority w:val="0"/>
    <w:pPr>
      <w:snapToGrid w:val="0"/>
      <w:spacing w:before="93" w:beforeLines="30" w:line="288" w:lineRule="auto"/>
      <w:ind w:left="852" w:leftChars="355" w:firstLine="420" w:firstLineChars="175"/>
    </w:pPr>
    <w:rPr>
      <w:rFonts w:ascii="新宋体" w:hAnsi="新宋体"/>
      <w:sz w:val="24"/>
      <w:szCs w:val="20"/>
    </w:rPr>
  </w:style>
  <w:style w:type="paragraph" w:customStyle="1" w:styleId="290">
    <w:name w:val="Char Char Char Char Char Char Char Char Char Char Char Char Char Char Char Char Char Char Char1"/>
    <w:basedOn w:val="1"/>
    <w:qFormat/>
    <w:uiPriority w:val="0"/>
    <w:rPr>
      <w:rFonts w:ascii="仿宋_GB2312" w:eastAsia="仿宋_GB2312"/>
      <w:b/>
      <w:sz w:val="32"/>
      <w:szCs w:val="32"/>
    </w:rPr>
  </w:style>
  <w:style w:type="paragraph" w:customStyle="1" w:styleId="291">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kern w:val="0"/>
      <w:szCs w:val="22"/>
    </w:rPr>
  </w:style>
  <w:style w:type="paragraph" w:customStyle="1" w:styleId="292">
    <w:name w:val="列出段落2"/>
    <w:basedOn w:val="1"/>
    <w:qFormat/>
    <w:uiPriority w:val="34"/>
    <w:pPr>
      <w:ind w:firstLine="420" w:firstLineChars="200"/>
    </w:pPr>
  </w:style>
  <w:style w:type="paragraph" w:customStyle="1" w:styleId="293">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新宋体" w:hAnsi="新宋体" w:eastAsia="新宋体" w:cs="宋体"/>
      <w:color w:val="000000"/>
      <w:kern w:val="0"/>
      <w:sz w:val="24"/>
    </w:rPr>
  </w:style>
  <w:style w:type="paragraph" w:customStyle="1" w:styleId="29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29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296">
    <w:name w:val="Char Char Char Char1"/>
    <w:basedOn w:val="19"/>
    <w:qFormat/>
    <w:uiPriority w:val="0"/>
    <w:rPr>
      <w:rFonts w:ascii="Tahoma" w:hAnsi="Tahoma"/>
      <w:sz w:val="24"/>
    </w:rPr>
  </w:style>
  <w:style w:type="paragraph" w:customStyle="1" w:styleId="297">
    <w:name w:val="正文样式 首行缩进:  0.74 厘米"/>
    <w:basedOn w:val="1"/>
    <w:qFormat/>
    <w:uiPriority w:val="0"/>
    <w:pPr>
      <w:autoSpaceDE w:val="0"/>
      <w:autoSpaceDN w:val="0"/>
      <w:adjustRightInd w:val="0"/>
      <w:spacing w:before="156" w:beforeLines="50" w:line="360" w:lineRule="auto"/>
      <w:ind w:firstLine="420"/>
      <w:jc w:val="left"/>
    </w:pPr>
    <w:rPr>
      <w:rFonts w:cs="宋体"/>
      <w:kern w:val="0"/>
      <w:sz w:val="24"/>
      <w:szCs w:val="20"/>
    </w:rPr>
  </w:style>
  <w:style w:type="paragraph" w:customStyle="1" w:styleId="298">
    <w:name w:val="_Style 3"/>
    <w:basedOn w:val="1"/>
    <w:next w:val="1"/>
    <w:qFormat/>
    <w:uiPriority w:val="34"/>
    <w:pPr>
      <w:spacing w:line="360" w:lineRule="auto"/>
      <w:ind w:firstLine="420" w:firstLineChars="200"/>
    </w:pPr>
  </w:style>
  <w:style w:type="paragraph" w:customStyle="1" w:styleId="299">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新宋体" w:hAnsi="新宋体" w:eastAsia="新宋体" w:cs="宋体"/>
      <w:color w:val="000000"/>
      <w:kern w:val="0"/>
      <w:sz w:val="24"/>
    </w:rPr>
  </w:style>
  <w:style w:type="paragraph" w:customStyle="1" w:styleId="300">
    <w:name w:val="正文文本缩进 31"/>
    <w:basedOn w:val="1"/>
    <w:qFormat/>
    <w:uiPriority w:val="99"/>
    <w:pPr>
      <w:spacing w:line="300" w:lineRule="auto"/>
      <w:ind w:firstLine="480" w:firstLineChars="200"/>
      <w:jc w:val="left"/>
    </w:pPr>
    <w:rPr>
      <w:kern w:val="0"/>
      <w:sz w:val="24"/>
    </w:rPr>
  </w:style>
  <w:style w:type="paragraph" w:customStyle="1" w:styleId="30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新宋体" w:hAnsi="新宋体" w:eastAsia="新宋体" w:cs="宋体"/>
      <w:color w:val="000000"/>
      <w:kern w:val="0"/>
      <w:sz w:val="24"/>
    </w:rPr>
  </w:style>
  <w:style w:type="paragraph" w:customStyle="1" w:styleId="302">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03">
    <w:name w:val="样式"/>
    <w:basedOn w:val="1"/>
    <w:qFormat/>
    <w:uiPriority w:val="0"/>
    <w:pPr>
      <w:autoSpaceDE w:val="0"/>
      <w:autoSpaceDN w:val="0"/>
      <w:adjustRightInd w:val="0"/>
      <w:snapToGrid w:val="0"/>
      <w:spacing w:before="120" w:after="120" w:line="360" w:lineRule="auto"/>
      <w:jc w:val="left"/>
    </w:pPr>
    <w:rPr>
      <w:rFonts w:ascii="宋体"/>
      <w:kern w:val="0"/>
      <w:sz w:val="24"/>
      <w:szCs w:val="20"/>
    </w:rPr>
  </w:style>
  <w:style w:type="paragraph" w:customStyle="1" w:styleId="304">
    <w:name w:val="xl25"/>
    <w:basedOn w:val="1"/>
    <w:qFormat/>
    <w:uiPriority w:val="0"/>
    <w:pPr>
      <w:widowControl/>
      <w:autoSpaceDE w:val="0"/>
      <w:autoSpaceDN w:val="0"/>
      <w:adjustRightInd w:val="0"/>
      <w:spacing w:before="100" w:beforeAutospacing="1" w:after="100" w:afterAutospacing="1"/>
      <w:jc w:val="center"/>
      <w:textAlignment w:val="center"/>
    </w:pPr>
    <w:rPr>
      <w:rFonts w:hint="eastAsia" w:ascii="楷体_GB2312" w:hAnsi="宋体" w:eastAsia="楷体_GB2312"/>
      <w:kern w:val="0"/>
      <w:sz w:val="24"/>
      <w:szCs w:val="20"/>
    </w:rPr>
  </w:style>
  <w:style w:type="paragraph" w:customStyle="1" w:styleId="305">
    <w:name w:val="Char Char Char Char Char Char Char1"/>
    <w:basedOn w:val="1"/>
    <w:qFormat/>
    <w:uiPriority w:val="0"/>
    <w:rPr>
      <w:rFonts w:ascii="仿宋_GB2312" w:eastAsia="仿宋_GB2312"/>
      <w:b/>
      <w:sz w:val="32"/>
      <w:szCs w:val="32"/>
    </w:rPr>
  </w:style>
  <w:style w:type="paragraph" w:styleId="306">
    <w:name w:val="List Paragraph"/>
    <w:basedOn w:val="1"/>
    <w:qFormat/>
    <w:uiPriority w:val="0"/>
    <w:pPr>
      <w:ind w:firstLine="420" w:firstLineChars="200"/>
    </w:pPr>
    <w:rPr>
      <w:rFonts w:ascii="Calibri" w:hAnsi="Calibri"/>
      <w:szCs w:val="22"/>
    </w:rPr>
  </w:style>
  <w:style w:type="paragraph" w:customStyle="1" w:styleId="307">
    <w:name w:val="列表内容"/>
    <w:basedOn w:val="1"/>
    <w:next w:val="1"/>
    <w:qFormat/>
    <w:uiPriority w:val="0"/>
    <w:pPr>
      <w:widowControl/>
      <w:autoSpaceDE w:val="0"/>
      <w:autoSpaceDN w:val="0"/>
      <w:adjustRightInd w:val="0"/>
      <w:ind w:firstLine="200"/>
      <w:jc w:val="left"/>
    </w:pPr>
    <w:rPr>
      <w:kern w:val="0"/>
      <w:sz w:val="18"/>
      <w:szCs w:val="20"/>
    </w:rPr>
  </w:style>
  <w:style w:type="paragraph" w:customStyle="1" w:styleId="308">
    <w:name w:val="Char"/>
    <w:basedOn w:val="1"/>
    <w:qFormat/>
    <w:uiPriority w:val="0"/>
    <w:rPr>
      <w:rFonts w:ascii="仿宋_GB2312" w:eastAsia="仿宋_GB2312"/>
      <w:b/>
      <w:sz w:val="32"/>
      <w:szCs w:val="32"/>
    </w:rPr>
  </w:style>
  <w:style w:type="paragraph" w:customStyle="1" w:styleId="309">
    <w:name w:val="a"/>
    <w:basedOn w:val="1"/>
    <w:qFormat/>
    <w:uiPriority w:val="0"/>
    <w:pPr>
      <w:widowControl/>
      <w:spacing w:before="100" w:beforeAutospacing="1" w:after="100" w:afterAutospacing="1"/>
      <w:jc w:val="left"/>
    </w:pPr>
    <w:rPr>
      <w:rFonts w:ascii="宋体" w:hAnsi="宋体" w:cs="宋体"/>
      <w:kern w:val="0"/>
      <w:sz w:val="24"/>
    </w:rPr>
  </w:style>
  <w:style w:type="paragraph" w:customStyle="1" w:styleId="310">
    <w:name w:val="xl88"/>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311">
    <w:name w:val="文档正文"/>
    <w:basedOn w:val="1"/>
    <w:qFormat/>
    <w:uiPriority w:val="0"/>
    <w:pPr>
      <w:adjustRightInd w:val="0"/>
      <w:spacing w:line="300" w:lineRule="auto"/>
      <w:ind w:firstLine="567"/>
      <w:textAlignment w:val="baseline"/>
    </w:pPr>
    <w:rPr>
      <w:kern w:val="0"/>
      <w:sz w:val="24"/>
      <w:szCs w:val="20"/>
    </w:rPr>
  </w:style>
  <w:style w:type="paragraph" w:customStyle="1" w:styleId="312">
    <w:name w:val="正文 首行缩进:  2 字符 Char"/>
    <w:basedOn w:val="1"/>
    <w:qFormat/>
    <w:uiPriority w:val="0"/>
    <w:pPr>
      <w:spacing w:line="360" w:lineRule="auto"/>
      <w:ind w:firstLine="480"/>
    </w:pPr>
    <w:rPr>
      <w:rFonts w:cs="宋体"/>
      <w:sz w:val="24"/>
      <w:szCs w:val="20"/>
    </w:rPr>
  </w:style>
  <w:style w:type="paragraph" w:customStyle="1" w:styleId="313">
    <w:name w:val="正文2"/>
    <w:basedOn w:val="1"/>
    <w:qFormat/>
    <w:uiPriority w:val="0"/>
    <w:pPr>
      <w:autoSpaceDE w:val="0"/>
      <w:autoSpaceDN w:val="0"/>
      <w:adjustRightInd w:val="0"/>
      <w:spacing w:before="156" w:line="360" w:lineRule="auto"/>
      <w:ind w:firstLine="510" w:firstLineChars="200"/>
      <w:jc w:val="left"/>
    </w:pPr>
    <w:rPr>
      <w:kern w:val="0"/>
      <w:sz w:val="24"/>
      <w:szCs w:val="20"/>
    </w:rPr>
  </w:style>
  <w:style w:type="paragraph" w:customStyle="1" w:styleId="314">
    <w:name w:val="列出段落1"/>
    <w:basedOn w:val="1"/>
    <w:qFormat/>
    <w:uiPriority w:val="0"/>
    <w:pPr>
      <w:ind w:firstLine="420" w:firstLineChars="200"/>
    </w:pPr>
    <w:rPr>
      <w:szCs w:val="20"/>
    </w:rPr>
  </w:style>
  <w:style w:type="paragraph" w:customStyle="1" w:styleId="315">
    <w:name w:val="样式5"/>
    <w:basedOn w:val="11"/>
    <w:qFormat/>
    <w:uiPriority w:val="0"/>
    <w:pPr>
      <w:adjustRightInd/>
      <w:spacing w:line="360" w:lineRule="auto"/>
      <w:ind w:firstLine="200" w:firstLineChars="200"/>
      <w:textAlignment w:val="auto"/>
    </w:pPr>
    <w:rPr>
      <w:sz w:val="28"/>
      <w:szCs w:val="21"/>
    </w:rPr>
  </w:style>
  <w:style w:type="paragraph" w:customStyle="1" w:styleId="316">
    <w:name w:val="样式 宋体 小四 段前: 7.8 磅 段后: 7.8 磅 行距: 1.5 倍行距"/>
    <w:basedOn w:val="1"/>
    <w:qFormat/>
    <w:uiPriority w:val="0"/>
    <w:pPr>
      <w:spacing w:line="360" w:lineRule="auto"/>
      <w:ind w:firstLine="480"/>
    </w:pPr>
    <w:rPr>
      <w:rFonts w:ascii="宋体" w:hAnsi="宋体" w:cs="宋体"/>
      <w:sz w:val="24"/>
      <w:szCs w:val="20"/>
    </w:rPr>
  </w:style>
  <w:style w:type="paragraph" w:customStyle="1" w:styleId="317">
    <w:name w:val="features1"/>
    <w:basedOn w:val="1"/>
    <w:qFormat/>
    <w:uiPriority w:val="0"/>
    <w:pPr>
      <w:widowControl/>
      <w:spacing w:before="100" w:beforeAutospacing="1" w:after="100" w:afterAutospacing="1"/>
      <w:jc w:val="left"/>
    </w:pPr>
    <w:rPr>
      <w:rFonts w:ascii="宋体" w:hAnsi="宋体" w:cs="宋体"/>
      <w:b/>
      <w:bCs/>
      <w:kern w:val="0"/>
      <w:sz w:val="18"/>
      <w:szCs w:val="18"/>
    </w:rPr>
  </w:style>
  <w:style w:type="paragraph" w:customStyle="1" w:styleId="318">
    <w:name w:val="Char3 Char Char Char"/>
    <w:basedOn w:val="1"/>
    <w:qFormat/>
    <w:uiPriority w:val="0"/>
  </w:style>
  <w:style w:type="paragraph" w:customStyle="1" w:styleId="319">
    <w:name w:val="xl7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新宋体" w:hAnsi="新宋体" w:eastAsia="新宋体" w:cs="宋体"/>
      <w:b/>
      <w:bCs/>
      <w:color w:val="FF0000"/>
      <w:kern w:val="0"/>
      <w:sz w:val="24"/>
    </w:rPr>
  </w:style>
  <w:style w:type="paragraph" w:customStyle="1" w:styleId="320">
    <w:name w:val="Char Char13"/>
    <w:basedOn w:val="1"/>
    <w:qFormat/>
    <w:uiPriority w:val="0"/>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321">
    <w:name w:val="xl91"/>
    <w:basedOn w:val="1"/>
    <w:qFormat/>
    <w:uiPriority w:val="0"/>
    <w:pPr>
      <w:widowControl/>
      <w:pBdr>
        <w:left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322">
    <w:name w:val="xl65"/>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宋体" w:hAnsi="宋体" w:cs="宋体"/>
      <w:b/>
      <w:bCs/>
      <w:color w:val="000000"/>
      <w:kern w:val="0"/>
      <w:sz w:val="24"/>
    </w:rPr>
  </w:style>
  <w:style w:type="paragraph" w:customStyle="1" w:styleId="323">
    <w:name w:val="样式1"/>
    <w:basedOn w:val="1"/>
    <w:qFormat/>
    <w:uiPriority w:val="0"/>
    <w:pPr>
      <w:autoSpaceDE w:val="0"/>
      <w:autoSpaceDN w:val="0"/>
      <w:adjustRightInd w:val="0"/>
      <w:spacing w:line="400" w:lineRule="exact"/>
    </w:pPr>
    <w:rPr>
      <w:rFonts w:ascii="宋体" w:cs="宋体"/>
      <w:kern w:val="0"/>
    </w:rPr>
  </w:style>
  <w:style w:type="paragraph" w:customStyle="1" w:styleId="32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2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326">
    <w:name w:val="List Paragraph1"/>
    <w:basedOn w:val="1"/>
    <w:qFormat/>
    <w:uiPriority w:val="0"/>
    <w:pPr>
      <w:ind w:firstLine="420" w:firstLineChars="200"/>
    </w:pPr>
    <w:rPr>
      <w:rFonts w:ascii="Calibri" w:hAnsi="Calibri"/>
      <w:szCs w:val="22"/>
    </w:rPr>
  </w:style>
  <w:style w:type="paragraph" w:customStyle="1" w:styleId="327">
    <w:name w:val="样式 左侧:  0.85 厘米 首行缩进:  0.85 厘米"/>
    <w:basedOn w:val="1"/>
    <w:qFormat/>
    <w:uiPriority w:val="0"/>
    <w:pPr>
      <w:autoSpaceDE w:val="0"/>
      <w:autoSpaceDN w:val="0"/>
      <w:adjustRightInd w:val="0"/>
      <w:spacing w:line="360" w:lineRule="auto"/>
      <w:ind w:firstLine="482"/>
      <w:jc w:val="left"/>
    </w:pPr>
    <w:rPr>
      <w:rFonts w:cs="宋体"/>
      <w:kern w:val="0"/>
      <w:sz w:val="24"/>
      <w:szCs w:val="20"/>
    </w:rPr>
  </w:style>
  <w:style w:type="paragraph" w:customStyle="1" w:styleId="328">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2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330">
    <w:name w:val="List Paragraph2"/>
    <w:basedOn w:val="1"/>
    <w:qFormat/>
    <w:uiPriority w:val="0"/>
    <w:pPr>
      <w:ind w:firstLine="420" w:firstLineChars="200"/>
    </w:pPr>
  </w:style>
  <w:style w:type="paragraph" w:customStyle="1" w:styleId="331">
    <w:name w:val="样式 标题 1Level 1Level 11h1II+IHeading1H1-Heading 1Header 1..."/>
    <w:basedOn w:val="5"/>
    <w:qFormat/>
    <w:uiPriority w:val="0"/>
    <w:pPr>
      <w:keepLines/>
      <w:pageBreakBefore/>
      <w:spacing w:before="100" w:after="100" w:line="360" w:lineRule="auto"/>
      <w:ind w:left="1680" w:hanging="420"/>
      <w:jc w:val="left"/>
    </w:pPr>
    <w:rPr>
      <w:rFonts w:ascii="Arial" w:hAnsi="Arial" w:cs="宋体"/>
      <w:bCs/>
      <w:kern w:val="44"/>
      <w:sz w:val="44"/>
    </w:rPr>
  </w:style>
  <w:style w:type="paragraph" w:customStyle="1" w:styleId="332">
    <w:name w:val="xl83"/>
    <w:basedOn w:val="1"/>
    <w:qFormat/>
    <w:uiPriority w:val="0"/>
    <w:pPr>
      <w:widowControl/>
      <w:pBdr>
        <w:left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333">
    <w:name w:val="_Style 332"/>
    <w:unhideWhenUsed/>
    <w:qFormat/>
    <w:uiPriority w:val="99"/>
    <w:rPr>
      <w:rFonts w:ascii="Times New Roman" w:hAnsi="Times New Roman" w:eastAsia="宋体" w:cs="Times New Roman"/>
      <w:kern w:val="2"/>
      <w:sz w:val="21"/>
      <w:szCs w:val="24"/>
      <w:lang w:val="en-US" w:eastAsia="zh-CN" w:bidi="ar-SA"/>
    </w:rPr>
  </w:style>
  <w:style w:type="character" w:customStyle="1" w:styleId="334">
    <w:name w:val="font61"/>
    <w:qFormat/>
    <w:uiPriority w:val="0"/>
    <w:rPr>
      <w:rFonts w:hint="default" w:ascii="仿宋_GB2312" w:eastAsia="仿宋_GB2312" w:cs="仿宋_GB2312"/>
      <w:color w:val="000000"/>
      <w:sz w:val="22"/>
      <w:szCs w:val="22"/>
      <w:u w:val="none"/>
    </w:rPr>
  </w:style>
  <w:style w:type="character" w:customStyle="1" w:styleId="335">
    <w:name w:val="font71"/>
    <w:qFormat/>
    <w:uiPriority w:val="0"/>
    <w:rPr>
      <w:rFonts w:hint="default" w:ascii="仿宋_GB2312" w:eastAsia="仿宋_GB2312" w:cs="仿宋_GB2312"/>
      <w:b/>
      <w:bCs/>
      <w:color w:val="000000"/>
      <w:sz w:val="22"/>
      <w:szCs w:val="22"/>
      <w:u w:val="none"/>
    </w:rPr>
  </w:style>
  <w:style w:type="character" w:customStyle="1" w:styleId="336">
    <w:name w:val="font13"/>
    <w:qFormat/>
    <w:uiPriority w:val="0"/>
    <w:rPr>
      <w:rFonts w:hint="eastAsia" w:ascii="宋体" w:hAnsi="宋体" w:eastAsia="宋体" w:cs="宋体"/>
      <w:color w:val="000000"/>
      <w:sz w:val="22"/>
      <w:szCs w:val="22"/>
      <w:u w:val="none"/>
    </w:rPr>
  </w:style>
  <w:style w:type="character" w:customStyle="1" w:styleId="337">
    <w:name w:val="font81"/>
    <w:qFormat/>
    <w:uiPriority w:val="0"/>
    <w:rPr>
      <w:rFonts w:hint="default" w:ascii="Times New Roman" w:hAnsi="Times New Roman" w:cs="Times New Roman"/>
      <w:color w:val="000000"/>
      <w:sz w:val="22"/>
      <w:szCs w:val="22"/>
      <w:u w:val="none"/>
    </w:rPr>
  </w:style>
  <w:style w:type="character" w:customStyle="1" w:styleId="338">
    <w:name w:val="font91"/>
    <w:qFormat/>
    <w:uiPriority w:val="0"/>
    <w:rPr>
      <w:rFonts w:hint="default" w:ascii="Times New Roman" w:hAnsi="Times New Roman" w:cs="Times New Roman"/>
      <w:color w:val="000000"/>
      <w:sz w:val="22"/>
      <w:szCs w:val="22"/>
      <w:u w:val="none"/>
    </w:rPr>
  </w:style>
  <w:style w:type="character" w:customStyle="1" w:styleId="339">
    <w:name w:val="NormalCharacter"/>
    <w:qFormat/>
    <w:uiPriority w:val="0"/>
  </w:style>
  <w:style w:type="character" w:customStyle="1" w:styleId="340">
    <w:name w:val="15"/>
    <w:qFormat/>
    <w:uiPriority w:val="0"/>
    <w:rPr>
      <w:rFonts w:hint="default" w:ascii="Times New Roman" w:hAnsi="Times New Roman" w:cs="Times New Roman"/>
    </w:rPr>
  </w:style>
  <w:style w:type="character" w:customStyle="1" w:styleId="341">
    <w:name w:val="font4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中国远东国际贸易总公司</Company>
  <Pages>60</Pages>
  <Words>32903</Words>
  <Characters>34658</Characters>
  <Lines>302</Lines>
  <Paragraphs>85</Paragraphs>
  <TotalTime>57</TotalTime>
  <ScaleCrop>false</ScaleCrop>
  <LinksUpToDate>false</LinksUpToDate>
  <CharactersWithSpaces>37522</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2024-07-16T02:51:00Z</dcterms:created>
  <dc:creator>zyq</dc:creator>
  <cp:lastModifiedBy>乐圣天</cp:lastModifiedBy>
  <cp:lastPrinted>2023-05-11T00:49:00Z</cp:lastPrinted>
  <dcterms:modified xsi:type="dcterms:W3CDTF">2024-08-03T03:42:02Z</dcterms:modified>
  <dc:title>招标文件目录</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AD77C973757B4411B7710FD6B14E85B5_13</vt:lpwstr>
  </property>
</Properties>
</file>