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 xml:space="preserve">  </w:t>
      </w:r>
      <w:r>
        <w:rPr>
          <w:color w:val="auto"/>
          <w:highlight w:val="none"/>
        </w:rPr>
        <w:drawing>
          <wp:inline distT="0" distB="0" distL="114300" distR="114300">
            <wp:extent cx="1671320" cy="436245"/>
            <wp:effectExtent l="0" t="0" r="5080" b="190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a:stretch>
                      <a:fillRect/>
                    </a:stretch>
                  </pic:blipFill>
                  <pic:spPr>
                    <a:xfrm>
                      <a:off x="0" y="0"/>
                      <a:ext cx="1671320" cy="436245"/>
                    </a:xfrm>
                    <a:prstGeom prst="rect">
                      <a:avLst/>
                    </a:prstGeom>
                    <a:noFill/>
                    <a:ln>
                      <a:noFill/>
                    </a:ln>
                  </pic:spPr>
                </pic:pic>
              </a:graphicData>
            </a:graphic>
          </wp:inline>
        </w:drawing>
      </w:r>
      <w:r>
        <w:rPr>
          <w:rFonts w:hint="eastAsia" w:ascii="仿宋" w:hAnsi="仿宋" w:eastAsia="仿宋" w:cs="仿宋_GB2312"/>
          <w:color w:val="auto"/>
          <w:sz w:val="24"/>
          <w:highlight w:val="none"/>
          <w:lang w:val="en-US" w:eastAsia="zh-CN"/>
        </w:rPr>
        <w:t xml:space="preserve">                                                                                                                                                                                                                                                                                                                                                                                                                                                                                                                                                                                                                                                                                                                                                                                                                                                           </w:t>
      </w:r>
    </w:p>
    <w:p>
      <w:pPr>
        <w:adjustRightInd/>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lang w:eastAsia="zh-CN"/>
        </w:rPr>
        <w:t>浙江省温州市自然灾害应急能力提升工程基层防灾项目（照明电源）</w:t>
      </w:r>
    </w:p>
    <w:p>
      <w:pPr>
        <w:adjustRightInd/>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lang w:eastAsia="zh-CN"/>
        </w:rPr>
        <w:t>招标</w:t>
      </w:r>
      <w:r>
        <w:rPr>
          <w:rFonts w:hint="eastAsia" w:ascii="仿宋" w:hAnsi="仿宋" w:eastAsia="仿宋" w:cs="仿宋_GB2312"/>
          <w:b/>
          <w:color w:val="auto"/>
          <w:sz w:val="48"/>
          <w:szCs w:val="48"/>
          <w:highlight w:val="none"/>
        </w:rPr>
        <w:t>文件</w:t>
      </w:r>
    </w:p>
    <w:p>
      <w:pPr>
        <w:adjustRightInd/>
        <w:spacing w:line="360" w:lineRule="auto"/>
        <w:jc w:val="center"/>
        <w:rPr>
          <w:rFonts w:ascii="仿宋" w:hAnsi="仿宋" w:eastAsia="仿宋" w:cs="仿宋_GB2312"/>
          <w:b/>
          <w:color w:val="auto"/>
          <w:sz w:val="44"/>
          <w:szCs w:val="44"/>
          <w:highlight w:val="none"/>
        </w:rPr>
      </w:pPr>
    </w:p>
    <w:p>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（电子招投标）</w:t>
      </w:r>
    </w:p>
    <w:p>
      <w:pPr>
        <w:snapToGrid w:val="0"/>
        <w:spacing w:line="360" w:lineRule="auto"/>
        <w:ind w:firstLine="1800" w:firstLineChars="600"/>
        <w:jc w:val="left"/>
        <w:rPr>
          <w:rFonts w:ascii="仿宋" w:hAnsi="仿宋" w:eastAsia="仿宋" w:cs="仿宋_GB2312"/>
          <w:color w:val="auto"/>
          <w:sz w:val="30"/>
          <w:szCs w:val="30"/>
          <w:highlight w:val="none"/>
        </w:rPr>
      </w:pPr>
    </w:p>
    <w:p>
      <w:pPr>
        <w:snapToGrid w:val="0"/>
        <w:spacing w:line="360" w:lineRule="auto"/>
        <w:ind w:firstLine="1800" w:firstLineChars="600"/>
        <w:jc w:val="left"/>
        <w:rPr>
          <w:rFonts w:hint="eastAsia" w:ascii="仿宋" w:hAnsi="仿宋" w:eastAsia="仿宋" w:cs="仿宋_GB2312"/>
          <w:color w:val="auto"/>
          <w:sz w:val="30"/>
          <w:szCs w:val="30"/>
          <w:highlight w:val="none"/>
          <w:lang w:val="en-US" w:eastAsia="zh-CN"/>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u w:val="single"/>
          <w:lang w:eastAsia="zh-CN"/>
        </w:rPr>
        <w:t>JKDL【2024】第049号</w:t>
      </w:r>
    </w:p>
    <w:p>
      <w:pPr>
        <w:snapToGrid w:val="0"/>
        <w:spacing w:line="360" w:lineRule="auto"/>
        <w:ind w:firstLine="1800" w:firstLineChars="600"/>
        <w:jc w:val="left"/>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采购方式：</w:t>
      </w:r>
      <w:r>
        <w:rPr>
          <w:rFonts w:hint="eastAsia" w:ascii="仿宋" w:hAnsi="仿宋" w:eastAsia="仿宋" w:cs="仿宋_GB2312"/>
          <w:color w:val="auto"/>
          <w:sz w:val="30"/>
          <w:szCs w:val="30"/>
          <w:highlight w:val="none"/>
          <w:u w:val="single"/>
        </w:rPr>
        <w:t>公开招标</w:t>
      </w: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pStyle w:val="51"/>
        <w:rPr>
          <w:color w:val="auto"/>
          <w:highlight w:val="none"/>
        </w:rPr>
      </w:pPr>
    </w:p>
    <w:p>
      <w:pPr>
        <w:spacing w:line="360" w:lineRule="auto"/>
        <w:jc w:val="center"/>
        <w:rPr>
          <w:rFonts w:ascii="仿宋" w:hAnsi="仿宋" w:eastAsia="仿宋" w:cs="仿宋_GB2312"/>
          <w:color w:val="auto"/>
          <w:sz w:val="24"/>
          <w:highlight w:val="none"/>
        </w:rPr>
      </w:pPr>
    </w:p>
    <w:p>
      <w:pPr>
        <w:snapToGrid w:val="0"/>
        <w:spacing w:line="360" w:lineRule="auto"/>
        <w:ind w:firstLine="640" w:firstLineChars="200"/>
        <w:jc w:val="left"/>
        <w:rPr>
          <w:rFonts w:hint="eastAsia" w:ascii="仿宋" w:hAnsi="仿宋" w:eastAsia="仿宋" w:cs="仿宋_GB2312"/>
          <w:bCs/>
          <w:color w:val="auto"/>
          <w:sz w:val="32"/>
          <w:szCs w:val="32"/>
          <w:highlight w:val="none"/>
          <w:u w:val="single"/>
          <w:lang w:eastAsia="zh-CN"/>
        </w:rPr>
      </w:pPr>
      <w:r>
        <w:rPr>
          <w:rFonts w:hint="eastAsia" w:ascii="仿宋" w:hAnsi="仿宋" w:eastAsia="仿宋" w:cs="仿宋_GB2312"/>
          <w:color w:val="auto"/>
          <w:sz w:val="32"/>
          <w:szCs w:val="32"/>
          <w:highlight w:val="none"/>
        </w:rPr>
        <w:t>采购人：</w:t>
      </w:r>
      <w:r>
        <w:rPr>
          <w:rFonts w:hint="eastAsia" w:ascii="仿宋" w:hAnsi="仿宋" w:eastAsia="仿宋" w:cs="仿宋_GB2312"/>
          <w:bCs/>
          <w:color w:val="auto"/>
          <w:sz w:val="32"/>
          <w:szCs w:val="32"/>
          <w:highlight w:val="none"/>
          <w:u w:val="single"/>
          <w:lang w:eastAsia="zh-CN"/>
        </w:rPr>
        <w:t>温州市应急管理局</w:t>
      </w:r>
    </w:p>
    <w:p>
      <w:pPr>
        <w:snapToGrid w:val="0"/>
        <w:spacing w:line="360" w:lineRule="auto"/>
        <w:ind w:firstLine="640" w:firstLineChars="200"/>
        <w:jc w:val="left"/>
        <w:rPr>
          <w:rFonts w:hint="eastAsia" w:ascii="仿宋" w:hAnsi="仿宋" w:eastAsia="仿宋" w:cs="仿宋_GB2312"/>
          <w:bCs/>
          <w:color w:val="auto"/>
          <w:sz w:val="32"/>
          <w:szCs w:val="32"/>
          <w:highlight w:val="none"/>
          <w:u w:val="single"/>
          <w:lang w:eastAsia="zh-CN"/>
        </w:rPr>
      </w:pPr>
      <w:r>
        <w:rPr>
          <w:rFonts w:hint="eastAsia" w:ascii="仿宋" w:hAnsi="仿宋" w:eastAsia="仿宋" w:cs="仿宋_GB2312"/>
          <w:bCs/>
          <w:color w:val="auto"/>
          <w:sz w:val="32"/>
          <w:szCs w:val="32"/>
          <w:highlight w:val="none"/>
        </w:rPr>
        <w:t>采购代理机构：</w:t>
      </w:r>
      <w:r>
        <w:rPr>
          <w:rFonts w:hint="eastAsia" w:ascii="仿宋" w:hAnsi="仿宋" w:eastAsia="仿宋" w:cs="仿宋_GB2312"/>
          <w:bCs/>
          <w:color w:val="auto"/>
          <w:sz w:val="32"/>
          <w:szCs w:val="32"/>
          <w:highlight w:val="none"/>
          <w:u w:val="single"/>
          <w:lang w:eastAsia="zh-CN"/>
        </w:rPr>
        <w:t>浙江建科工程项目管理有限公司</w:t>
      </w:r>
    </w:p>
    <w:p>
      <w:pPr>
        <w:snapToGrid w:val="0"/>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二</w:t>
      </w:r>
      <w:r>
        <w:rPr>
          <w:rFonts w:hint="eastAsia" w:ascii="仿宋" w:hAnsi="仿宋" w:eastAsia="仿宋" w:cs="宋体"/>
          <w:bCs/>
          <w:color w:val="auto"/>
          <w:sz w:val="32"/>
          <w:szCs w:val="32"/>
          <w:highlight w:val="none"/>
        </w:rPr>
        <w:t>〇</w:t>
      </w:r>
      <w:r>
        <w:rPr>
          <w:rFonts w:hint="eastAsia" w:ascii="仿宋" w:hAnsi="仿宋" w:eastAsia="仿宋" w:cs="仿宋_GB2312"/>
          <w:bCs/>
          <w:color w:val="auto"/>
          <w:sz w:val="32"/>
          <w:szCs w:val="32"/>
          <w:highlight w:val="none"/>
        </w:rPr>
        <w:t>二</w:t>
      </w:r>
      <w:r>
        <w:rPr>
          <w:rFonts w:hint="eastAsia" w:ascii="仿宋" w:hAnsi="仿宋" w:eastAsia="仿宋" w:cs="仿宋_GB2312"/>
          <w:bCs/>
          <w:color w:val="auto"/>
          <w:sz w:val="32"/>
          <w:szCs w:val="32"/>
          <w:highlight w:val="none"/>
          <w:lang w:eastAsia="zh-CN"/>
        </w:rPr>
        <w:t>四</w:t>
      </w:r>
      <w:r>
        <w:rPr>
          <w:rFonts w:hint="eastAsia" w:ascii="仿宋" w:hAnsi="仿宋" w:eastAsia="仿宋" w:cs="仿宋_GB2312"/>
          <w:bCs/>
          <w:color w:val="auto"/>
          <w:sz w:val="32"/>
          <w:szCs w:val="32"/>
          <w:highlight w:val="none"/>
        </w:rPr>
        <w:t>年</w:t>
      </w:r>
      <w:r>
        <w:rPr>
          <w:rFonts w:hint="eastAsia" w:ascii="仿宋" w:hAnsi="仿宋" w:eastAsia="仿宋" w:cs="仿宋_GB2312"/>
          <w:bCs/>
          <w:color w:val="auto"/>
          <w:sz w:val="32"/>
          <w:szCs w:val="32"/>
          <w:highlight w:val="none"/>
          <w:lang w:eastAsia="zh-CN"/>
        </w:rPr>
        <w:t>六</w:t>
      </w:r>
      <w:r>
        <w:rPr>
          <w:rFonts w:hint="eastAsia" w:ascii="仿宋" w:hAnsi="仿宋" w:eastAsia="仿宋" w:cs="仿宋_GB2312"/>
          <w:bCs/>
          <w:color w:val="auto"/>
          <w:sz w:val="32"/>
          <w:szCs w:val="32"/>
          <w:highlight w:val="none"/>
        </w:rPr>
        <w:t>月</w:t>
      </w:r>
    </w:p>
    <w:p>
      <w:pPr>
        <w:widowControl/>
        <w:adjustRightInd/>
        <w:jc w:val="left"/>
        <w:rPr>
          <w:color w:val="auto"/>
          <w:highlight w:val="none"/>
        </w:rPr>
      </w:pPr>
      <w:r>
        <w:rPr>
          <w:color w:val="auto"/>
          <w:highlight w:val="none"/>
        </w:rPr>
        <w:br w:type="page"/>
      </w: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  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  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  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  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  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  应提交的有关格式范例</w:t>
      </w:r>
    </w:p>
    <w:p>
      <w:pPr>
        <w:spacing w:line="360" w:lineRule="auto"/>
        <w:ind w:firstLine="1280" w:firstLineChars="400"/>
        <w:rPr>
          <w:rFonts w:ascii="仿宋" w:hAnsi="仿宋" w:eastAsia="仿宋" w:cs="仿宋_GB2312"/>
          <w:color w:val="auto"/>
          <w:sz w:val="32"/>
          <w:szCs w:val="32"/>
          <w:highlight w:val="none"/>
        </w:rPr>
      </w:pPr>
      <w:bookmarkStart w:id="0" w:name="_Hlt91233176"/>
      <w:bookmarkEnd w:id="0"/>
      <w:r>
        <w:rPr>
          <w:rFonts w:hint="eastAsia" w:ascii="仿宋" w:hAnsi="仿宋" w:eastAsia="仿宋" w:cs="仿宋_GB2312"/>
          <w:color w:val="auto"/>
          <w:sz w:val="32"/>
          <w:szCs w:val="32"/>
          <w:highlight w:val="none"/>
        </w:rPr>
        <w:t>第六部分  评标办法</w:t>
      </w:r>
    </w:p>
    <w:p>
      <w:pPr>
        <w:spacing w:line="360" w:lineRule="auto"/>
        <w:ind w:firstLine="549" w:firstLineChars="229"/>
        <w:rPr>
          <w:rFonts w:ascii="仿宋" w:hAnsi="仿宋" w:eastAsia="仿宋" w:cs="仿宋_GB2312"/>
          <w:color w:val="auto"/>
          <w:sz w:val="24"/>
          <w:highlight w:val="none"/>
        </w:rPr>
      </w:pPr>
    </w:p>
    <w:p>
      <w:pPr>
        <w:adjustRightInd/>
        <w:spacing w:line="360" w:lineRule="auto"/>
        <w:jc w:val="center"/>
        <w:outlineLvl w:val="0"/>
        <w:rPr>
          <w:rFonts w:hint="eastAsia" w:ascii="仿宋" w:hAnsi="仿宋" w:eastAsia="仿宋" w:cs="仿宋_GB2312"/>
          <w:b/>
          <w:color w:val="auto"/>
          <w:sz w:val="36"/>
          <w:szCs w:val="20"/>
          <w:highlight w:val="none"/>
        </w:rPr>
        <w:sectPr>
          <w:footerReference r:id="rId3" w:type="default"/>
          <w:pgSz w:w="11907" w:h="16840"/>
          <w:pgMar w:top="1474" w:right="1814" w:bottom="1474" w:left="1814" w:header="851" w:footer="851" w:gutter="0"/>
          <w:pgNumType w:fmt="decimal"/>
          <w:cols w:space="720" w:num="1"/>
        </w:sectPr>
      </w:pPr>
    </w:p>
    <w:p>
      <w:pPr>
        <w:adjustRightInd/>
        <w:spacing w:line="360" w:lineRule="auto"/>
        <w:jc w:val="center"/>
        <w:outlineLvl w:val="0"/>
        <w:rPr>
          <w:rFonts w:ascii="仿宋_GB2312" w:hAnsi="仿宋" w:eastAsia="仿宋_GB2312" w:cs="仿宋_GB2312"/>
          <w:b/>
          <w:color w:val="auto"/>
          <w:sz w:val="36"/>
          <w:szCs w:val="20"/>
          <w:highlight w:val="none"/>
        </w:rPr>
      </w:pPr>
      <w:r>
        <w:rPr>
          <w:rFonts w:hint="eastAsia" w:ascii="仿宋" w:hAnsi="仿宋" w:eastAsia="仿宋" w:cs="仿宋_GB2312"/>
          <w:b/>
          <w:color w:val="auto"/>
          <w:sz w:val="36"/>
          <w:szCs w:val="20"/>
          <w:highlight w:val="none"/>
        </w:rPr>
        <w:t>第一部分  招标公告</w:t>
      </w:r>
    </w:p>
    <w:p>
      <w:pPr>
        <w:widowControl/>
        <w:snapToGrid w:val="0"/>
        <w:spacing w:line="360" w:lineRule="auto"/>
        <w:jc w:val="left"/>
        <w:outlineLvl w:val="0"/>
        <w:rPr>
          <w:rFonts w:ascii="宋体" w:hAnsi="宋体"/>
          <w:iCs/>
          <w:color w:val="auto"/>
          <w:kern w:val="0"/>
          <w:szCs w:val="21"/>
          <w:highlight w:val="none"/>
          <w:u w:val="single"/>
        </w:rPr>
      </w:pPr>
    </w:p>
    <w:p>
      <w:pPr>
        <w:widowControl/>
        <w:adjustRightInd/>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lang w:eastAsia="zh-CN"/>
        </w:rPr>
        <w:t>浙江建科工程项目管理有限公司</w:t>
      </w:r>
      <w:r>
        <w:rPr>
          <w:rFonts w:hint="eastAsia" w:ascii="仿宋" w:hAnsi="仿宋" w:eastAsia="仿宋" w:cs="宋体"/>
          <w:b/>
          <w:bCs/>
          <w:color w:val="auto"/>
          <w:kern w:val="0"/>
          <w:sz w:val="28"/>
          <w:szCs w:val="28"/>
          <w:highlight w:val="none"/>
        </w:rPr>
        <w:t>关于</w:t>
      </w:r>
      <w:r>
        <w:rPr>
          <w:rFonts w:hint="eastAsia" w:ascii="仿宋" w:hAnsi="仿宋" w:eastAsia="仿宋" w:cs="宋体"/>
          <w:b/>
          <w:bCs/>
          <w:color w:val="auto"/>
          <w:kern w:val="0"/>
          <w:sz w:val="28"/>
          <w:szCs w:val="28"/>
          <w:highlight w:val="none"/>
          <w:lang w:eastAsia="zh-CN"/>
        </w:rPr>
        <w:t>浙江省温州市自然灾害应急能力提升工程基层防灾项目（照明电源）</w:t>
      </w:r>
      <w:r>
        <w:rPr>
          <w:rFonts w:hint="eastAsia" w:ascii="仿宋" w:hAnsi="仿宋" w:eastAsia="仿宋" w:cs="宋体"/>
          <w:b/>
          <w:bCs/>
          <w:color w:val="auto"/>
          <w:kern w:val="0"/>
          <w:sz w:val="28"/>
          <w:szCs w:val="28"/>
          <w:highlight w:val="none"/>
        </w:rPr>
        <w:t>的公开招标公告</w:t>
      </w:r>
    </w:p>
    <w:p>
      <w:pPr>
        <w:widowControl/>
        <w:adjustRightInd/>
        <w:jc w:val="center"/>
        <w:rPr>
          <w:rFonts w:ascii="仿宋" w:hAnsi="仿宋" w:eastAsia="仿宋" w:cs="宋体"/>
          <w:b/>
          <w:bCs/>
          <w:color w:val="auto"/>
          <w:kern w:val="0"/>
          <w:sz w:val="24"/>
          <w:highlight w:val="none"/>
        </w:rPr>
      </w:pPr>
    </w:p>
    <w:tbl>
      <w:tblPr>
        <w:tblStyle w:val="5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pPr>
              <w:widowControl/>
              <w:snapToGrid w:val="0"/>
              <w:spacing w:beforeLines="50"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项目概况</w:t>
            </w:r>
          </w:p>
          <w:p>
            <w:pPr>
              <w:widowControl/>
              <w:snapToGrid w:val="0"/>
              <w:spacing w:line="360" w:lineRule="auto"/>
              <w:ind w:firstLine="480" w:firstLineChars="200"/>
              <w:jc w:val="left"/>
              <w:rPr>
                <w:rFonts w:ascii="仿宋" w:hAnsi="仿宋" w:eastAsia="仿宋" w:cs="宋体"/>
                <w:b/>
                <w:bCs/>
                <w:color w:val="auto"/>
                <w:kern w:val="0"/>
                <w:sz w:val="24"/>
                <w:highlight w:val="none"/>
              </w:rPr>
            </w:pPr>
            <w:r>
              <w:rPr>
                <w:rFonts w:hint="eastAsia" w:ascii="仿宋" w:hAnsi="仿宋" w:eastAsia="仿宋" w:cs="宋体"/>
                <w:color w:val="auto"/>
                <w:kern w:val="0"/>
                <w:sz w:val="24"/>
                <w:highlight w:val="none"/>
                <w:u w:val="single"/>
                <w:lang w:eastAsia="zh-CN"/>
              </w:rPr>
              <w:t>浙江省温州市自然灾害应急能力提升工程基层防灾项目（照明电源）</w:t>
            </w:r>
            <w:r>
              <w:rPr>
                <w:rFonts w:ascii="仿宋" w:hAnsi="仿宋" w:eastAsia="仿宋" w:cs="宋体"/>
                <w:color w:val="auto"/>
                <w:kern w:val="0"/>
                <w:sz w:val="24"/>
                <w:highlight w:val="none"/>
              </w:rPr>
              <w:t>的潜在投标人应在政采云</w:t>
            </w:r>
            <w:r>
              <w:rPr>
                <w:rFonts w:hint="eastAsia" w:ascii="仿宋" w:hAnsi="仿宋" w:eastAsia="仿宋" w:cs="宋体"/>
                <w:color w:val="auto"/>
                <w:kern w:val="0"/>
                <w:sz w:val="24"/>
                <w:highlight w:val="none"/>
                <w:lang w:eastAsia="zh-CN"/>
              </w:rPr>
              <w:t>台</w:t>
            </w:r>
            <w:r>
              <w:rPr>
                <w:rFonts w:ascii="仿宋" w:hAnsi="仿宋" w:eastAsia="仿宋" w:cs="宋体"/>
                <w:color w:val="auto"/>
                <w:kern w:val="0"/>
                <w:sz w:val="24"/>
                <w:highlight w:val="none"/>
              </w:rPr>
              <w:t>https://www.zcygov.cn/获取（下载）</w:t>
            </w:r>
            <w:r>
              <w:rPr>
                <w:rFonts w:hint="eastAsia" w:ascii="仿宋" w:hAnsi="仿宋" w:eastAsia="仿宋" w:cs="宋体"/>
                <w:color w:val="auto"/>
                <w:kern w:val="0"/>
                <w:sz w:val="24"/>
                <w:highlight w:val="none"/>
                <w:lang w:eastAsia="zh-CN"/>
              </w:rPr>
              <w:t>招标</w:t>
            </w:r>
            <w:r>
              <w:rPr>
                <w:rFonts w:ascii="仿宋" w:hAnsi="仿宋" w:eastAsia="仿宋" w:cs="宋体"/>
                <w:color w:val="auto"/>
                <w:kern w:val="0"/>
                <w:sz w:val="24"/>
                <w:highlight w:val="none"/>
              </w:rPr>
              <w:t>文件，并于</w:t>
            </w:r>
            <w:r>
              <w:rPr>
                <w:rFonts w:hint="eastAsia" w:ascii="仿宋" w:hAnsi="仿宋" w:eastAsia="仿宋" w:cs="宋体"/>
                <w:color w:val="auto"/>
                <w:kern w:val="0"/>
                <w:sz w:val="24"/>
                <w:highlight w:val="none"/>
                <w:lang w:eastAsia="zh-CN"/>
              </w:rPr>
              <w:t>2024年</w:t>
            </w:r>
            <w:r>
              <w:rPr>
                <w:rFonts w:hint="eastAsia" w:ascii="仿宋" w:hAnsi="仿宋" w:eastAsia="仿宋" w:cs="宋体"/>
                <w:color w:val="auto"/>
                <w:kern w:val="0"/>
                <w:sz w:val="24"/>
                <w:highlight w:val="none"/>
                <w:lang w:val="en-US" w:eastAsia="zh-CN"/>
              </w:rPr>
              <w:t>7</w:t>
            </w:r>
            <w:r>
              <w:rPr>
                <w:rFonts w:ascii="仿宋" w:hAnsi="仿宋" w:eastAsia="仿宋" w:cs="宋体"/>
                <w:color w:val="auto"/>
                <w:kern w:val="0"/>
                <w:sz w:val="24"/>
                <w:highlight w:val="none"/>
              </w:rPr>
              <w:t>月</w:t>
            </w:r>
            <w:r>
              <w:rPr>
                <w:rFonts w:hint="eastAsia" w:ascii="仿宋" w:hAnsi="仿宋" w:eastAsia="仿宋" w:cs="宋体"/>
                <w:color w:val="auto"/>
                <w:kern w:val="0"/>
                <w:sz w:val="24"/>
                <w:highlight w:val="none"/>
                <w:lang w:val="en-US" w:eastAsia="zh-CN"/>
              </w:rPr>
              <w:t>17</w:t>
            </w:r>
            <w:r>
              <w:rPr>
                <w:rFonts w:ascii="仿宋" w:hAnsi="仿宋" w:eastAsia="仿宋" w:cs="宋体"/>
                <w:color w:val="auto"/>
                <w:kern w:val="0"/>
                <w:sz w:val="24"/>
                <w:highlight w:val="none"/>
              </w:rPr>
              <w:t>日</w:t>
            </w:r>
            <w:r>
              <w:rPr>
                <w:rFonts w:hint="eastAsia" w:ascii="仿宋" w:hAnsi="仿宋" w:eastAsia="仿宋" w:cs="宋体"/>
                <w:color w:val="auto"/>
                <w:kern w:val="0"/>
                <w:sz w:val="24"/>
                <w:highlight w:val="none"/>
                <w:lang w:val="en-US" w:eastAsia="zh-CN"/>
              </w:rPr>
              <w:t>9</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lang w:val="en-US" w:eastAsia="zh-CN"/>
              </w:rPr>
              <w:t>3</w:t>
            </w:r>
            <w:r>
              <w:rPr>
                <w:rFonts w:hint="eastAsia" w:ascii="仿宋" w:hAnsi="仿宋" w:eastAsia="仿宋" w:cs="宋体"/>
                <w:color w:val="auto"/>
                <w:kern w:val="0"/>
                <w:sz w:val="24"/>
                <w:highlight w:val="none"/>
              </w:rPr>
              <w:t>0</w:t>
            </w:r>
            <w:r>
              <w:rPr>
                <w:rFonts w:ascii="仿宋" w:hAnsi="仿宋" w:eastAsia="仿宋" w:cs="宋体"/>
                <w:color w:val="auto"/>
                <w:kern w:val="0"/>
                <w:sz w:val="24"/>
                <w:highlight w:val="none"/>
              </w:rPr>
              <w:t>（北京时间）前递交（上传）投标文件。</w:t>
            </w:r>
          </w:p>
        </w:tc>
      </w:tr>
    </w:tbl>
    <w:p>
      <w:pPr>
        <w:widowControl/>
        <w:snapToGrid w:val="0"/>
        <w:spacing w:line="360" w:lineRule="auto"/>
        <w:jc w:val="center"/>
        <w:rPr>
          <w:rFonts w:ascii="仿宋" w:hAnsi="仿宋" w:eastAsia="仿宋" w:cs="宋体"/>
          <w:b/>
          <w:bCs/>
          <w:color w:val="auto"/>
          <w:kern w:val="0"/>
          <w:sz w:val="24"/>
          <w:highlight w:val="none"/>
        </w:rPr>
      </w:pPr>
    </w:p>
    <w:p>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一、项目基本情况</w:t>
      </w:r>
    </w:p>
    <w:p>
      <w:pPr>
        <w:widowControl/>
        <w:snapToGrid w:val="0"/>
        <w:spacing w:line="360" w:lineRule="auto"/>
        <w:jc w:val="left"/>
        <w:rPr>
          <w:rFonts w:hint="eastAsia" w:ascii="仿宋" w:hAnsi="仿宋" w:eastAsia="仿宋" w:cs="仿宋_GB2312"/>
          <w:color w:val="auto"/>
          <w:sz w:val="30"/>
          <w:szCs w:val="30"/>
          <w:highlight w:val="none"/>
          <w:u w:val="single"/>
          <w:lang w:eastAsia="zh-CN"/>
        </w:rPr>
      </w:pPr>
      <w:r>
        <w:rPr>
          <w:rFonts w:ascii="仿宋" w:hAnsi="仿宋" w:eastAsia="仿宋" w:cs="宋体"/>
          <w:color w:val="auto"/>
          <w:kern w:val="0"/>
          <w:sz w:val="24"/>
          <w:highlight w:val="none"/>
        </w:rPr>
        <w:t>项目编号：</w:t>
      </w:r>
      <w:r>
        <w:rPr>
          <w:rFonts w:hint="eastAsia" w:ascii="仿宋" w:hAnsi="仿宋" w:eastAsia="仿宋" w:cs="宋体"/>
          <w:color w:val="auto"/>
          <w:kern w:val="0"/>
          <w:sz w:val="24"/>
          <w:highlight w:val="none"/>
          <w:lang w:eastAsia="zh-CN"/>
        </w:rPr>
        <w:t>JKDL【2024】第049号</w:t>
      </w:r>
    </w:p>
    <w:p>
      <w:pPr>
        <w:widowControl/>
        <w:snapToGrid w:val="0"/>
        <w:spacing w:line="360" w:lineRule="auto"/>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项目名称：</w:t>
      </w:r>
      <w:r>
        <w:rPr>
          <w:rFonts w:hint="eastAsia" w:ascii="仿宋" w:hAnsi="仿宋" w:eastAsia="仿宋" w:cs="宋体"/>
          <w:color w:val="auto"/>
          <w:kern w:val="0"/>
          <w:sz w:val="24"/>
          <w:highlight w:val="none"/>
          <w:lang w:eastAsia="zh-CN"/>
        </w:rPr>
        <w:t>浙江省温州市自然灾害应急能力提升工程基层防灾项目（照明电源）</w:t>
      </w:r>
    </w:p>
    <w:p>
      <w:pPr>
        <w:widowControl/>
        <w:snapToGrid w:val="0"/>
        <w:spacing w:line="360" w:lineRule="auto"/>
        <w:jc w:val="left"/>
        <w:rPr>
          <w:rFonts w:hint="default" w:ascii="仿宋" w:hAnsi="仿宋" w:eastAsia="仿宋" w:cs="宋体"/>
          <w:color w:val="auto"/>
          <w:kern w:val="0"/>
          <w:sz w:val="24"/>
          <w:highlight w:val="none"/>
          <w:u w:val="single"/>
          <w:lang w:val="en-US" w:eastAsia="zh-CN"/>
        </w:rPr>
      </w:pPr>
      <w:r>
        <w:rPr>
          <w:rFonts w:ascii="仿宋" w:hAnsi="仿宋" w:eastAsia="仿宋" w:cs="宋体"/>
          <w:color w:val="auto"/>
          <w:kern w:val="0"/>
          <w:sz w:val="24"/>
          <w:highlight w:val="none"/>
        </w:rPr>
        <w:t>预算金额（元）：</w:t>
      </w:r>
      <w:r>
        <w:rPr>
          <w:rFonts w:hint="eastAsia" w:ascii="仿宋" w:hAnsi="仿宋" w:eastAsia="仿宋" w:cs="宋体"/>
          <w:color w:val="auto"/>
          <w:kern w:val="0"/>
          <w:sz w:val="24"/>
          <w:highlight w:val="none"/>
          <w:lang w:val="en-US" w:eastAsia="zh-CN"/>
        </w:rPr>
        <w:t>13157800</w:t>
      </w:r>
    </w:p>
    <w:p>
      <w:pPr>
        <w:widowControl/>
        <w:snapToGrid w:val="0"/>
        <w:spacing w:line="360" w:lineRule="auto"/>
        <w:jc w:val="left"/>
        <w:rPr>
          <w:rFonts w:hint="eastAsia" w:ascii="仿宋" w:hAnsi="仿宋" w:eastAsia="仿宋" w:cs="宋体"/>
          <w:color w:val="auto"/>
          <w:kern w:val="0"/>
          <w:sz w:val="24"/>
          <w:highlight w:val="none"/>
          <w:u w:val="single"/>
          <w:lang w:val="en-US" w:eastAsia="zh-CN"/>
        </w:rPr>
      </w:pPr>
      <w:r>
        <w:rPr>
          <w:rFonts w:ascii="仿宋" w:hAnsi="仿宋" w:eastAsia="仿宋" w:cs="宋体"/>
          <w:color w:val="auto"/>
          <w:kern w:val="0"/>
          <w:sz w:val="24"/>
          <w:highlight w:val="none"/>
        </w:rPr>
        <w:t>最高限价（元）：</w:t>
      </w:r>
      <w:r>
        <w:rPr>
          <w:rFonts w:hint="eastAsia" w:ascii="仿宋" w:hAnsi="仿宋" w:eastAsia="仿宋" w:cs="宋体"/>
          <w:color w:val="auto"/>
          <w:kern w:val="0"/>
          <w:sz w:val="24"/>
          <w:highlight w:val="none"/>
          <w:lang w:eastAsia="zh-CN"/>
        </w:rPr>
        <w:t>11719800</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采购需求：</w:t>
      </w:r>
    </w:p>
    <w:p>
      <w:pPr>
        <w:widowControl/>
        <w:snapToGrid w:val="0"/>
        <w:spacing w:line="360" w:lineRule="auto"/>
        <w:ind w:left="420" w:leftChars="200"/>
        <w:jc w:val="left"/>
        <w:rPr>
          <w:rFonts w:ascii="仿宋_GB2312" w:hAnsi="仿宋_GB2312" w:eastAsia="仿宋_GB2312" w:cs="仿宋_GB2312"/>
          <w:bCs/>
          <w:color w:val="auto"/>
          <w:sz w:val="24"/>
          <w:highlight w:val="none"/>
          <w:u w:val="single"/>
        </w:rPr>
      </w:pPr>
      <w:r>
        <w:rPr>
          <w:rFonts w:ascii="仿宋" w:hAnsi="仿宋" w:eastAsia="仿宋" w:cs="宋体"/>
          <w:color w:val="auto"/>
          <w:kern w:val="0"/>
          <w:sz w:val="24"/>
          <w:highlight w:val="none"/>
        </w:rPr>
        <w:t>标项名称:</w:t>
      </w:r>
      <w:r>
        <w:rPr>
          <w:rFonts w:hint="eastAsia" w:ascii="仿宋" w:hAnsi="仿宋" w:eastAsia="仿宋" w:cs="宋体"/>
          <w:color w:val="auto"/>
          <w:kern w:val="0"/>
          <w:sz w:val="24"/>
          <w:highlight w:val="none"/>
          <w:lang w:eastAsia="zh-CN"/>
        </w:rPr>
        <w:t>浙江省温州市自然灾害应急能力提升工程基层防灾项目（照明电源）</w:t>
      </w: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数量:</w:t>
      </w:r>
      <w:r>
        <w:rPr>
          <w:rFonts w:hint="eastAsia" w:ascii="仿宋" w:hAnsi="仿宋" w:eastAsia="仿宋" w:cs="宋体"/>
          <w:color w:val="auto"/>
          <w:kern w:val="0"/>
          <w:sz w:val="24"/>
          <w:highlight w:val="none"/>
        </w:rPr>
        <w:t>不限</w:t>
      </w:r>
    </w:p>
    <w:p>
      <w:pPr>
        <w:widowControl/>
        <w:snapToGrid w:val="0"/>
        <w:spacing w:line="360" w:lineRule="auto"/>
        <w:ind w:left="420" w:leftChars="200"/>
        <w:jc w:val="left"/>
        <w:rPr>
          <w:rFonts w:hint="eastAsia" w:ascii="仿宋" w:hAnsi="仿宋" w:eastAsia="仿宋" w:cs="宋体"/>
          <w:color w:val="auto"/>
          <w:kern w:val="0"/>
          <w:sz w:val="24"/>
          <w:highlight w:val="none"/>
          <w:lang w:val="en-US" w:eastAsia="zh-CN"/>
        </w:rPr>
      </w:pPr>
      <w:r>
        <w:rPr>
          <w:rFonts w:ascii="仿宋" w:hAnsi="仿宋" w:eastAsia="仿宋" w:cs="宋体"/>
          <w:color w:val="auto"/>
          <w:kern w:val="0"/>
          <w:sz w:val="24"/>
          <w:highlight w:val="none"/>
        </w:rPr>
        <w:t>预算金额（元）:</w:t>
      </w:r>
      <w:r>
        <w:rPr>
          <w:rFonts w:hint="eastAsia" w:ascii="仿宋" w:hAnsi="仿宋" w:eastAsia="仿宋" w:cs="宋体"/>
          <w:color w:val="auto"/>
          <w:kern w:val="0"/>
          <w:sz w:val="24"/>
          <w:highlight w:val="none"/>
          <w:lang w:val="en-US" w:eastAsia="zh-CN"/>
        </w:rPr>
        <w:t>13157800</w:t>
      </w:r>
    </w:p>
    <w:p>
      <w:pPr>
        <w:widowControl/>
        <w:snapToGrid w:val="0"/>
        <w:spacing w:line="360" w:lineRule="auto"/>
        <w:ind w:firstLine="480" w:firstLineChars="200"/>
        <w:jc w:val="left"/>
        <w:rPr>
          <w:rFonts w:ascii="仿宋" w:hAnsi="仿宋" w:eastAsia="仿宋" w:cs="宋体"/>
          <w:color w:val="auto"/>
          <w:kern w:val="0"/>
          <w:sz w:val="24"/>
          <w:highlight w:val="none"/>
          <w:u w:val="single"/>
        </w:rPr>
      </w:pPr>
      <w:r>
        <w:rPr>
          <w:rFonts w:ascii="仿宋" w:hAnsi="仿宋" w:eastAsia="仿宋" w:cs="宋体"/>
          <w:color w:val="auto"/>
          <w:kern w:val="0"/>
          <w:sz w:val="24"/>
          <w:highlight w:val="none"/>
        </w:rPr>
        <w:t>最高限价（元）：</w:t>
      </w:r>
      <w:r>
        <w:rPr>
          <w:rFonts w:hint="eastAsia" w:ascii="仿宋" w:hAnsi="仿宋" w:eastAsia="仿宋" w:cs="宋体"/>
          <w:color w:val="auto"/>
          <w:kern w:val="0"/>
          <w:sz w:val="24"/>
          <w:highlight w:val="none"/>
          <w:lang w:eastAsia="zh-CN"/>
        </w:rPr>
        <w:t>11719800</w:t>
      </w: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简要规格描述或项目基本概况介绍、用途：</w:t>
      </w:r>
      <w:r>
        <w:rPr>
          <w:rFonts w:hint="eastAsia" w:ascii="仿宋" w:hAnsi="仿宋" w:eastAsia="仿宋" w:cs="宋体"/>
          <w:color w:val="auto"/>
          <w:kern w:val="0"/>
          <w:sz w:val="24"/>
          <w:highlight w:val="none"/>
          <w:u w:val="single"/>
          <w:lang w:eastAsia="zh-CN"/>
        </w:rPr>
        <w:t>浙江省温州市自然灾害应急能力提升工程基层防灾项目（照明电源）</w:t>
      </w:r>
      <w:r>
        <w:rPr>
          <w:rFonts w:hint="eastAsia" w:ascii="仿宋" w:hAnsi="仿宋" w:eastAsia="仿宋" w:cs="宋体"/>
          <w:color w:val="auto"/>
          <w:kern w:val="0"/>
          <w:sz w:val="24"/>
          <w:highlight w:val="none"/>
          <w:u w:val="single"/>
        </w:rPr>
        <w:t>等</w:t>
      </w:r>
      <w:r>
        <w:rPr>
          <w:rFonts w:hint="eastAsia" w:ascii="仿宋" w:hAnsi="仿宋" w:eastAsia="仿宋" w:cs="宋体"/>
          <w:color w:val="auto"/>
          <w:kern w:val="0"/>
          <w:sz w:val="24"/>
          <w:highlight w:val="none"/>
          <w:u w:val="single"/>
          <w:lang w:eastAsia="zh-CN"/>
        </w:rPr>
        <w:t>，具体详见采购需求</w:t>
      </w:r>
      <w:r>
        <w:rPr>
          <w:rFonts w:hint="eastAsia" w:ascii="仿宋" w:hAnsi="仿宋" w:eastAsia="仿宋" w:cs="宋体"/>
          <w:color w:val="auto"/>
          <w:kern w:val="0"/>
          <w:sz w:val="24"/>
          <w:highlight w:val="none"/>
          <w:u w:val="single"/>
        </w:rPr>
        <w:t>；</w:t>
      </w: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备注：</w:t>
      </w:r>
      <w:r>
        <w:rPr>
          <w:rFonts w:hint="eastAsia" w:ascii="仿宋_GB2312" w:hAnsi="仿宋_GB2312" w:eastAsia="仿宋_GB2312" w:cs="仿宋_GB2312"/>
          <w:bCs/>
          <w:color w:val="auto"/>
          <w:sz w:val="24"/>
          <w:highlight w:val="none"/>
        </w:rPr>
        <w:t>/</w:t>
      </w: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合同履约期限：标项</w:t>
      </w:r>
      <w:r>
        <w:rPr>
          <w:rFonts w:hint="eastAsia" w:ascii="仿宋" w:hAnsi="仿宋" w:eastAsia="仿宋" w:cs="宋体"/>
          <w:color w:val="auto"/>
          <w:kern w:val="0"/>
          <w:sz w:val="24"/>
          <w:highlight w:val="none"/>
          <w:u w:val="none"/>
          <w:lang w:val="en-US" w:eastAsia="zh-CN"/>
        </w:rPr>
        <w:t>1</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lang w:eastAsia="zh-CN"/>
        </w:rPr>
        <w:t>具体详见采购需求</w:t>
      </w:r>
      <w:r>
        <w:rPr>
          <w:rFonts w:hint="eastAsia" w:ascii="仿宋" w:hAnsi="仿宋" w:eastAsia="仿宋" w:cs="宋体"/>
          <w:color w:val="auto"/>
          <w:kern w:val="0"/>
          <w:sz w:val="24"/>
          <w:highlight w:val="none"/>
        </w:rPr>
        <w:t>；</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本项目（</w:t>
      </w:r>
      <w:r>
        <w:rPr>
          <w:rFonts w:hint="eastAsia" w:ascii="仿宋" w:hAnsi="仿宋" w:eastAsia="仿宋" w:cs="宋体"/>
          <w:color w:val="auto"/>
          <w:kern w:val="0"/>
          <w:sz w:val="24"/>
          <w:highlight w:val="none"/>
          <w:lang w:eastAsia="zh-CN"/>
        </w:rPr>
        <w:t>是</w:t>
      </w:r>
      <w:r>
        <w:rPr>
          <w:rFonts w:ascii="仿宋" w:hAnsi="仿宋" w:eastAsia="仿宋" w:cs="宋体"/>
          <w:color w:val="auto"/>
          <w:kern w:val="0"/>
          <w:sz w:val="24"/>
          <w:highlight w:val="none"/>
        </w:rPr>
        <w:t>）接受联合体投标。</w:t>
      </w:r>
    </w:p>
    <w:p>
      <w:pPr>
        <w:widowControl/>
        <w:snapToGrid w:val="0"/>
        <w:spacing w:line="360" w:lineRule="auto"/>
        <w:jc w:val="left"/>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二、申请人的资格要求</w:t>
      </w:r>
    </w:p>
    <w:p>
      <w:pPr>
        <w:widowControl/>
        <w:snapToGrid w:val="0"/>
        <w:spacing w:line="360" w:lineRule="auto"/>
        <w:jc w:val="left"/>
        <w:rPr>
          <w:rFonts w:ascii="仿宋" w:hAnsi="仿宋" w:eastAsia="仿宋" w:cs="宋体"/>
          <w:color w:val="auto"/>
          <w:kern w:val="0"/>
          <w:sz w:val="24"/>
          <w:highlight w:val="none"/>
        </w:rPr>
        <w:sectPr>
          <w:footerReference r:id="rId4" w:type="default"/>
          <w:pgSz w:w="11907" w:h="16840"/>
          <w:pgMar w:top="1474" w:right="1814" w:bottom="1474" w:left="1814" w:header="851" w:footer="851" w:gutter="0"/>
          <w:pgNumType w:fmt="decimal" w:start="1"/>
          <w:cols w:space="720" w:num="1"/>
        </w:sectPr>
      </w:pPr>
      <w:r>
        <w:rPr>
          <w:rFonts w:ascii="仿宋" w:hAnsi="仿宋" w:eastAsia="仿宋" w:cs="宋体"/>
          <w:color w:val="auto"/>
          <w:kern w:val="0"/>
          <w:sz w:val="24"/>
          <w:highlight w:val="none"/>
        </w:rPr>
        <w:t>1.满足《中华人民共和国政府采购法》第二十二条规定；未被“信用中国”（www.creditchina.gov.cn)、中国政府采购网（www.ccgp.gov.cn）列入失信</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被执行人、重大税收违法案件当事人名单、政府采购严重违法失信行为记录名单。</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2.落实政府采购政策需满足的资格要求：</w:t>
      </w:r>
      <w:r>
        <w:rPr>
          <w:rFonts w:hint="eastAsia" w:ascii="仿宋" w:hAnsi="仿宋" w:eastAsia="仿宋" w:cs="宋体"/>
          <w:color w:val="auto"/>
          <w:kern w:val="0"/>
          <w:sz w:val="24"/>
          <w:highlight w:val="none"/>
        </w:rPr>
        <w:t>无。</w:t>
      </w:r>
    </w:p>
    <w:p>
      <w:pPr>
        <w:widowControl/>
        <w:snapToGrid w:val="0"/>
        <w:spacing w:line="360" w:lineRule="auto"/>
        <w:jc w:val="left"/>
        <w:rPr>
          <w:rFonts w:hint="eastAsia" w:ascii="仿宋" w:hAnsi="仿宋" w:eastAsia="仿宋" w:cs="宋体"/>
          <w:color w:val="auto"/>
          <w:kern w:val="0"/>
          <w:sz w:val="24"/>
          <w:highlight w:val="none"/>
          <w:u w:val="single"/>
          <w:lang w:eastAsia="zh-CN"/>
        </w:rPr>
      </w:pPr>
      <w:r>
        <w:rPr>
          <w:rFonts w:ascii="仿宋" w:hAnsi="仿宋" w:eastAsia="仿宋" w:cs="宋体"/>
          <w:color w:val="auto"/>
          <w:kern w:val="0"/>
          <w:sz w:val="24"/>
          <w:highlight w:val="none"/>
        </w:rPr>
        <w:t>3.本项目的特定资格要求：</w:t>
      </w:r>
      <w:r>
        <w:rPr>
          <w:rFonts w:hint="eastAsia" w:ascii="仿宋" w:hAnsi="仿宋" w:eastAsia="仿宋" w:cs="宋体"/>
          <w:color w:val="auto"/>
          <w:kern w:val="0"/>
          <w:sz w:val="24"/>
          <w:highlight w:val="none"/>
          <w:lang w:eastAsia="zh-CN"/>
        </w:rPr>
        <w:t>无</w:t>
      </w:r>
      <w:r>
        <w:rPr>
          <w:rFonts w:hint="eastAsia" w:ascii="仿宋" w:hAnsi="仿宋" w:eastAsia="仿宋" w:cs="宋体"/>
          <w:color w:val="auto"/>
          <w:kern w:val="0"/>
          <w:sz w:val="24"/>
          <w:highlight w:val="none"/>
          <w:u w:val="none"/>
          <w:lang w:eastAsia="zh-CN"/>
        </w:rPr>
        <w:t>。</w:t>
      </w:r>
    </w:p>
    <w:p>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三、获取招标文件</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时间：</w:t>
      </w:r>
      <w:r>
        <w:rPr>
          <w:rFonts w:hint="eastAsia" w:ascii="仿宋" w:hAnsi="仿宋" w:eastAsia="仿宋" w:cs="宋体"/>
          <w:color w:val="auto"/>
          <w:kern w:val="0"/>
          <w:sz w:val="24"/>
          <w:highlight w:val="none"/>
          <w:lang w:eastAsia="zh-CN"/>
        </w:rPr>
        <w:t>公告发布之日</w:t>
      </w:r>
      <w:r>
        <w:rPr>
          <w:rFonts w:ascii="仿宋" w:hAnsi="仿宋" w:eastAsia="仿宋" w:cs="宋体"/>
          <w:color w:val="auto"/>
          <w:kern w:val="0"/>
          <w:sz w:val="24"/>
          <w:highlight w:val="none"/>
        </w:rPr>
        <w:t>至</w:t>
      </w:r>
      <w:r>
        <w:rPr>
          <w:rFonts w:hint="eastAsia" w:ascii="仿宋" w:hAnsi="仿宋" w:eastAsia="仿宋" w:cs="宋体"/>
          <w:color w:val="auto"/>
          <w:kern w:val="0"/>
          <w:sz w:val="24"/>
          <w:highlight w:val="none"/>
          <w:lang w:eastAsia="zh-CN"/>
        </w:rPr>
        <w:t>投标截止</w:t>
      </w:r>
      <w:r>
        <w:rPr>
          <w:rFonts w:ascii="仿宋" w:hAnsi="仿宋" w:eastAsia="仿宋" w:cs="宋体"/>
          <w:color w:val="auto"/>
          <w:kern w:val="0"/>
          <w:sz w:val="24"/>
          <w:highlight w:val="none"/>
        </w:rPr>
        <w:t>，每天上午00:00至12:00，下午12:00至23:59（北京时间，线上获取法定节假日均可，线下获取文件法定节假日除外）</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地点（网址）：政采云平台https://www.zcygov.cn/</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方式：投标人登录政采云平台https://www.zcygov.cn/在线申请获取招标文件（进入“项目采购”应用，在获取招标文件菜单中选择项目，申请获取招标文件）</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售价（元）：0</w:t>
      </w:r>
    </w:p>
    <w:p>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四、提交投标文件截止时间、开标时间和地点</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提交投标文件截止时间：</w:t>
      </w:r>
      <w:r>
        <w:rPr>
          <w:rFonts w:hint="eastAsia" w:ascii="仿宋" w:hAnsi="仿宋" w:eastAsia="仿宋" w:cs="宋体"/>
          <w:color w:val="auto"/>
          <w:kern w:val="0"/>
          <w:sz w:val="24"/>
          <w:highlight w:val="none"/>
          <w:lang w:eastAsia="zh-CN"/>
        </w:rPr>
        <w:t>2024年</w:t>
      </w:r>
      <w:r>
        <w:rPr>
          <w:rFonts w:hint="eastAsia" w:ascii="仿宋" w:hAnsi="仿宋" w:eastAsia="仿宋" w:cs="宋体"/>
          <w:color w:val="auto"/>
          <w:kern w:val="0"/>
          <w:sz w:val="24"/>
          <w:highlight w:val="none"/>
          <w:lang w:val="en-US" w:eastAsia="zh-CN"/>
        </w:rPr>
        <w:t>7</w:t>
      </w:r>
      <w:r>
        <w:rPr>
          <w:rFonts w:ascii="仿宋" w:hAnsi="仿宋" w:eastAsia="仿宋" w:cs="宋体"/>
          <w:color w:val="auto"/>
          <w:kern w:val="0"/>
          <w:sz w:val="24"/>
          <w:highlight w:val="none"/>
        </w:rPr>
        <w:t>月</w:t>
      </w:r>
      <w:r>
        <w:rPr>
          <w:rFonts w:hint="eastAsia" w:ascii="仿宋" w:hAnsi="仿宋" w:eastAsia="仿宋" w:cs="宋体"/>
          <w:color w:val="auto"/>
          <w:kern w:val="0"/>
          <w:sz w:val="24"/>
          <w:highlight w:val="none"/>
          <w:lang w:val="en-US" w:eastAsia="zh-CN"/>
        </w:rPr>
        <w:t>17</w:t>
      </w:r>
      <w:r>
        <w:rPr>
          <w:rFonts w:ascii="仿宋" w:hAnsi="仿宋" w:eastAsia="仿宋" w:cs="宋体"/>
          <w:color w:val="auto"/>
          <w:kern w:val="0"/>
          <w:sz w:val="24"/>
          <w:highlight w:val="none"/>
        </w:rPr>
        <w:t>日</w:t>
      </w:r>
      <w:r>
        <w:rPr>
          <w:rFonts w:hint="eastAsia" w:ascii="仿宋" w:hAnsi="仿宋" w:eastAsia="仿宋" w:cs="宋体"/>
          <w:color w:val="auto"/>
          <w:kern w:val="0"/>
          <w:sz w:val="24"/>
          <w:highlight w:val="none"/>
          <w:lang w:val="en-US" w:eastAsia="zh-CN"/>
        </w:rPr>
        <w:t>9</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lang w:val="en-US" w:eastAsia="zh-CN"/>
        </w:rPr>
        <w:t>3</w:t>
      </w:r>
      <w:r>
        <w:rPr>
          <w:rFonts w:hint="eastAsia" w:ascii="仿宋" w:hAnsi="仿宋" w:eastAsia="仿宋" w:cs="宋体"/>
          <w:color w:val="auto"/>
          <w:kern w:val="0"/>
          <w:sz w:val="24"/>
          <w:highlight w:val="none"/>
        </w:rPr>
        <w:t>0</w:t>
      </w:r>
      <w:r>
        <w:rPr>
          <w:rFonts w:ascii="仿宋" w:hAnsi="仿宋" w:eastAsia="仿宋" w:cs="宋体"/>
          <w:color w:val="auto"/>
          <w:kern w:val="0"/>
          <w:sz w:val="24"/>
          <w:highlight w:val="none"/>
        </w:rPr>
        <w:t>（北京时间）</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投标地点（网址）：政采云平台（</w:t>
      </w:r>
      <w:r>
        <w:rPr>
          <w:color w:val="auto"/>
          <w:highlight w:val="none"/>
          <w:u w:val="none"/>
        </w:rPr>
        <w:fldChar w:fldCharType="begin"/>
      </w:r>
      <w:r>
        <w:rPr>
          <w:color w:val="auto"/>
          <w:highlight w:val="none"/>
          <w:u w:val="none"/>
        </w:rPr>
        <w:instrText xml:space="preserve"> HYPERLINK "https://www.zcygov.cn/）" </w:instrText>
      </w:r>
      <w:r>
        <w:rPr>
          <w:color w:val="auto"/>
          <w:highlight w:val="none"/>
          <w:u w:val="none"/>
        </w:rPr>
        <w:fldChar w:fldCharType="separate"/>
      </w:r>
      <w:r>
        <w:rPr>
          <w:rStyle w:val="71"/>
          <w:rFonts w:ascii="仿宋" w:hAnsi="仿宋" w:eastAsia="仿宋" w:cs="宋体"/>
          <w:color w:val="auto"/>
          <w:kern w:val="0"/>
          <w:sz w:val="24"/>
          <w:highlight w:val="none"/>
          <w:u w:val="none"/>
        </w:rPr>
        <w:t>https://www.zcygov.cn/）</w:t>
      </w:r>
      <w:r>
        <w:rPr>
          <w:rStyle w:val="71"/>
          <w:rFonts w:ascii="仿宋" w:hAnsi="仿宋" w:eastAsia="仿宋" w:cs="宋体"/>
          <w:color w:val="auto"/>
          <w:kern w:val="0"/>
          <w:sz w:val="24"/>
          <w:highlight w:val="none"/>
          <w:u w:val="none"/>
        </w:rPr>
        <w:fldChar w:fldCharType="end"/>
      </w:r>
    </w:p>
    <w:p>
      <w:pPr>
        <w:widowControl/>
        <w:snapToGrid w:val="0"/>
        <w:spacing w:line="360" w:lineRule="auto"/>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五、开标时间和地点</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开标时间：</w:t>
      </w:r>
      <w:r>
        <w:rPr>
          <w:rFonts w:hint="eastAsia" w:ascii="仿宋" w:hAnsi="仿宋" w:eastAsia="仿宋" w:cs="宋体"/>
          <w:color w:val="auto"/>
          <w:kern w:val="0"/>
          <w:sz w:val="24"/>
          <w:highlight w:val="none"/>
          <w:lang w:eastAsia="zh-CN"/>
        </w:rPr>
        <w:t>2024年</w:t>
      </w:r>
      <w:r>
        <w:rPr>
          <w:rFonts w:hint="eastAsia" w:ascii="仿宋" w:hAnsi="仿宋" w:eastAsia="仿宋" w:cs="宋体"/>
          <w:color w:val="auto"/>
          <w:kern w:val="0"/>
          <w:sz w:val="24"/>
          <w:highlight w:val="none"/>
          <w:lang w:val="en-US" w:eastAsia="zh-CN"/>
        </w:rPr>
        <w:t>7</w:t>
      </w:r>
      <w:r>
        <w:rPr>
          <w:rFonts w:ascii="仿宋" w:hAnsi="仿宋" w:eastAsia="仿宋" w:cs="宋体"/>
          <w:color w:val="auto"/>
          <w:kern w:val="0"/>
          <w:sz w:val="24"/>
          <w:highlight w:val="none"/>
        </w:rPr>
        <w:t>月</w:t>
      </w:r>
      <w:r>
        <w:rPr>
          <w:rFonts w:hint="eastAsia" w:ascii="仿宋" w:hAnsi="仿宋" w:eastAsia="仿宋" w:cs="宋体"/>
          <w:color w:val="auto"/>
          <w:kern w:val="0"/>
          <w:sz w:val="24"/>
          <w:highlight w:val="none"/>
          <w:lang w:val="en-US" w:eastAsia="zh-CN"/>
        </w:rPr>
        <w:t>17</w:t>
      </w:r>
      <w:r>
        <w:rPr>
          <w:rFonts w:ascii="仿宋" w:hAnsi="仿宋" w:eastAsia="仿宋" w:cs="宋体"/>
          <w:color w:val="auto"/>
          <w:kern w:val="0"/>
          <w:sz w:val="24"/>
          <w:highlight w:val="none"/>
        </w:rPr>
        <w:t>日</w:t>
      </w:r>
      <w:r>
        <w:rPr>
          <w:rFonts w:hint="eastAsia" w:ascii="仿宋" w:hAnsi="仿宋" w:eastAsia="仿宋" w:cs="宋体"/>
          <w:color w:val="auto"/>
          <w:kern w:val="0"/>
          <w:sz w:val="24"/>
          <w:highlight w:val="none"/>
          <w:lang w:val="en-US" w:eastAsia="zh-CN"/>
        </w:rPr>
        <w:t>9</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lang w:val="en-US" w:eastAsia="zh-CN"/>
        </w:rPr>
        <w:t>3</w:t>
      </w:r>
      <w:r>
        <w:rPr>
          <w:rFonts w:hint="eastAsia" w:ascii="仿宋" w:hAnsi="仿宋" w:eastAsia="仿宋" w:cs="宋体"/>
          <w:color w:val="auto"/>
          <w:kern w:val="0"/>
          <w:sz w:val="24"/>
          <w:highlight w:val="none"/>
        </w:rPr>
        <w:t>0</w:t>
      </w:r>
      <w:r>
        <w:rPr>
          <w:rFonts w:ascii="仿宋" w:hAnsi="仿宋" w:eastAsia="仿宋" w:cs="宋体"/>
          <w:color w:val="auto"/>
          <w:kern w:val="0"/>
          <w:sz w:val="24"/>
          <w:highlight w:val="none"/>
        </w:rPr>
        <w:t>（北京时间）</w:t>
      </w:r>
    </w:p>
    <w:p>
      <w:pPr>
        <w:widowControl/>
        <w:snapToGrid w:val="0"/>
        <w:spacing w:line="360" w:lineRule="auto"/>
        <w:rPr>
          <w:rFonts w:hint="eastAsia" w:ascii="仿宋" w:hAnsi="仿宋" w:eastAsia="仿宋" w:cs="宋体"/>
          <w:b w:val="0"/>
          <w:bCs w:val="0"/>
          <w:color w:val="auto"/>
          <w:kern w:val="0"/>
          <w:sz w:val="24"/>
          <w:highlight w:val="none"/>
        </w:rPr>
      </w:pPr>
      <w:r>
        <w:rPr>
          <w:rFonts w:ascii="仿宋" w:hAnsi="仿宋" w:eastAsia="仿宋" w:cs="宋体"/>
          <w:color w:val="auto"/>
          <w:kern w:val="0"/>
          <w:sz w:val="24"/>
          <w:highlight w:val="none"/>
        </w:rPr>
        <w:t>开标地点（网址）：政采云平台（https://www.zcygov.cn/）</w:t>
      </w:r>
    </w:p>
    <w:p>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六、公告期限</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自本公告发布之日起5个工作日。</w:t>
      </w:r>
    </w:p>
    <w:p>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七、其他补充事宜</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1.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2.其他事项：</w:t>
      </w:r>
      <w:r>
        <w:rPr>
          <w:rFonts w:hint="eastAsia" w:ascii="仿宋" w:hAnsi="仿宋" w:eastAsia="仿宋" w:cs="宋体"/>
          <w:iCs/>
          <w:color w:val="auto"/>
          <w:kern w:val="0"/>
          <w:sz w:val="24"/>
          <w:highlight w:val="none"/>
          <w:u w:val="none"/>
        </w:rPr>
        <w:t>（1）</w:t>
      </w:r>
      <w:r>
        <w:rPr>
          <w:rFonts w:ascii="仿宋" w:hAnsi="仿宋" w:eastAsia="仿宋" w:cs="宋体"/>
          <w:iCs/>
          <w:color w:val="auto"/>
          <w:kern w:val="0"/>
          <w:sz w:val="24"/>
          <w:highlight w:val="none"/>
          <w:u w:val="none"/>
        </w:rPr>
        <w:t>电子招投标：本项目以数据电文形式，依托“政采云平台（www.zcygov.cn）”进行招投标活动，各投标人应按照本项目招标文件和政采云平台的要求编制、加密并递交投标文件，不接受纸质投标文件。</w:t>
      </w:r>
      <w:r>
        <w:rPr>
          <w:rFonts w:ascii="仿宋" w:hAnsi="仿宋" w:eastAsia="仿宋" w:cs="宋体"/>
          <w:iCs/>
          <w:color w:val="auto"/>
          <w:kern w:val="0"/>
          <w:sz w:val="24"/>
          <w:highlight w:val="none"/>
          <w:u w:val="none"/>
        </w:rPr>
        <w:br w:type="textWrapping"/>
      </w:r>
      <w:r>
        <w:rPr>
          <w:rFonts w:hint="eastAsia" w:ascii="仿宋" w:hAnsi="仿宋" w:eastAsia="仿宋" w:cs="宋体"/>
          <w:iCs/>
          <w:color w:val="auto"/>
          <w:kern w:val="0"/>
          <w:sz w:val="24"/>
          <w:highlight w:val="none"/>
          <w:u w:val="none"/>
        </w:rPr>
        <w:t>（2）</w:t>
      </w:r>
      <w:r>
        <w:rPr>
          <w:rFonts w:ascii="仿宋" w:hAnsi="仿宋" w:eastAsia="仿宋" w:cs="宋体"/>
          <w:iCs/>
          <w:color w:val="auto"/>
          <w:kern w:val="0"/>
          <w:sz w:val="24"/>
          <w:highlight w:val="none"/>
          <w:u w:val="none"/>
        </w:rPr>
        <w:t>投标准备：</w:t>
      </w:r>
      <w:r>
        <w:rPr>
          <w:rFonts w:ascii="仿宋" w:hAnsi="仿宋" w:eastAsia="仿宋" w:cs="宋体"/>
          <w:iCs/>
          <w:color w:val="auto"/>
          <w:kern w:val="0"/>
          <w:sz w:val="24"/>
          <w:highlight w:val="none"/>
          <w:u w:val="none"/>
        </w:rPr>
        <w:br w:type="textWrapping"/>
      </w:r>
      <w:r>
        <w:rPr>
          <w:rFonts w:ascii="仿宋" w:hAnsi="仿宋" w:eastAsia="仿宋" w:cs="宋体"/>
          <w:iCs/>
          <w:color w:val="auto"/>
          <w:kern w:val="0"/>
          <w:sz w:val="24"/>
          <w:highlight w:val="none"/>
          <w:u w:val="none"/>
        </w:rPr>
        <w:t>1)注册账号--点击“商家入驻”，进行政府采购供应商资料填写，通过审核后可成为正式供应商；</w:t>
      </w:r>
      <w:r>
        <w:rPr>
          <w:rFonts w:ascii="仿宋" w:hAnsi="仿宋" w:eastAsia="仿宋" w:cs="宋体"/>
          <w:iCs/>
          <w:color w:val="auto"/>
          <w:kern w:val="0"/>
          <w:sz w:val="24"/>
          <w:highlight w:val="none"/>
          <w:u w:val="none"/>
        </w:rPr>
        <w:br w:type="textWrapping"/>
      </w:r>
      <w:r>
        <w:rPr>
          <w:rFonts w:ascii="仿宋" w:hAnsi="仿宋" w:eastAsia="仿宋" w:cs="宋体"/>
          <w:iCs/>
          <w:color w:val="auto"/>
          <w:kern w:val="0"/>
          <w:sz w:val="24"/>
          <w:highlight w:val="none"/>
          <w:u w:val="none"/>
        </w:rPr>
        <w:t>2)申领CA数字证书---申领流程详见“浙江政府采购网-下载专区-电子交易客户端-CA驱动和申领流程”：投标人应在开标前完成CA数字证书办理，完成CA数字证书办理预计1-2周左右，各投标人应充分考虑办理时间等因素。</w:t>
      </w:r>
      <w:r>
        <w:rPr>
          <w:rFonts w:ascii="仿宋" w:hAnsi="仿宋" w:eastAsia="仿宋" w:cs="宋体"/>
          <w:iCs/>
          <w:color w:val="auto"/>
          <w:kern w:val="0"/>
          <w:sz w:val="24"/>
          <w:highlight w:val="none"/>
          <w:u w:val="none"/>
        </w:rPr>
        <w:br w:type="textWrapping"/>
      </w:r>
      <w:r>
        <w:rPr>
          <w:rFonts w:ascii="仿宋" w:hAnsi="仿宋" w:eastAsia="仿宋" w:cs="宋体"/>
          <w:iCs/>
          <w:color w:val="auto"/>
          <w:kern w:val="0"/>
          <w:sz w:val="24"/>
          <w:highlight w:val="none"/>
          <w:u w:val="none"/>
        </w:rPr>
        <w:t>办理流程详见:《CA证书办理操作指南》https://service.zcygov.cn/#/knowledges/cm2eqWwBFdiHxlNd_otq/lwV6GXABiyELHE-oVMj3</w:t>
      </w:r>
      <w:r>
        <w:rPr>
          <w:rFonts w:ascii="仿宋" w:hAnsi="仿宋" w:eastAsia="仿宋" w:cs="宋体"/>
          <w:iCs/>
          <w:color w:val="auto"/>
          <w:kern w:val="0"/>
          <w:sz w:val="24"/>
          <w:highlight w:val="none"/>
          <w:u w:val="none"/>
        </w:rPr>
        <w:br w:type="textWrapping"/>
      </w:r>
      <w:r>
        <w:rPr>
          <w:rFonts w:ascii="仿宋" w:hAnsi="仿宋" w:eastAsia="仿宋" w:cs="宋体"/>
          <w:iCs/>
          <w:color w:val="auto"/>
          <w:kern w:val="0"/>
          <w:sz w:val="24"/>
          <w:highlight w:val="none"/>
          <w:u w:val="none"/>
        </w:rPr>
        <w:t>CA热点问题汇总：https://service.zcygov.cn/#/knowledges/depk120BkjoVoiMyPhAJ/8QejCnEBiyELHE-ohzp-</w:t>
      </w:r>
      <w:r>
        <w:rPr>
          <w:rFonts w:ascii="仿宋" w:hAnsi="仿宋" w:eastAsia="仿宋" w:cs="宋体"/>
          <w:iCs/>
          <w:color w:val="auto"/>
          <w:kern w:val="0"/>
          <w:sz w:val="24"/>
          <w:highlight w:val="none"/>
          <w:u w:val="none"/>
        </w:rPr>
        <w:br w:type="textWrapping"/>
      </w:r>
      <w:r>
        <w:rPr>
          <w:rFonts w:ascii="仿宋" w:hAnsi="仿宋" w:eastAsia="仿宋" w:cs="宋体"/>
          <w:iCs/>
          <w:color w:val="auto"/>
          <w:kern w:val="0"/>
          <w:sz w:val="24"/>
          <w:highlight w:val="none"/>
          <w:u w:val="none"/>
        </w:rPr>
        <w:t>3)安装“政采云电子交易客户端”----投标人通过政采云平台电子投标工具制作投标文件，前往“浙江政府采购网-下载专区-电子交易客户端”进行下载并安装。政采云电子交易客户端：http://zfcg.czt.zj.gov.cn/bidClientTemplate/2019-05-27/12946.html</w:t>
      </w:r>
      <w:r>
        <w:rPr>
          <w:rFonts w:ascii="仿宋" w:hAnsi="仿宋" w:eastAsia="仿宋" w:cs="宋体"/>
          <w:iCs/>
          <w:color w:val="auto"/>
          <w:kern w:val="0"/>
          <w:sz w:val="24"/>
          <w:highlight w:val="none"/>
          <w:u w:val="none"/>
        </w:rPr>
        <w:br w:type="textWrapping"/>
      </w:r>
      <w:r>
        <w:rPr>
          <w:rFonts w:hint="eastAsia" w:ascii="仿宋" w:hAnsi="仿宋" w:eastAsia="仿宋" w:cs="宋体"/>
          <w:iCs/>
          <w:color w:val="auto"/>
          <w:kern w:val="0"/>
          <w:sz w:val="24"/>
          <w:highlight w:val="none"/>
          <w:u w:val="none"/>
        </w:rPr>
        <w:t>（3）</w:t>
      </w:r>
      <w:r>
        <w:rPr>
          <w:rFonts w:ascii="仿宋" w:hAnsi="仿宋" w:eastAsia="仿宋" w:cs="宋体"/>
          <w:iCs/>
          <w:color w:val="auto"/>
          <w:kern w:val="0"/>
          <w:sz w:val="24"/>
          <w:highlight w:val="none"/>
          <w:u w:val="none"/>
        </w:rPr>
        <w:t>投标文件的制作：在“政采云电子交易客户端”中完成“填写基本信息”、“导入投标文件”、“标书关联”、“标书检查”、“电子签名”、“生成电子标书”等操作。</w:t>
      </w:r>
      <w:r>
        <w:rPr>
          <w:rFonts w:ascii="仿宋" w:hAnsi="仿宋" w:eastAsia="仿宋" w:cs="宋体"/>
          <w:iCs/>
          <w:color w:val="auto"/>
          <w:kern w:val="0"/>
          <w:sz w:val="24"/>
          <w:highlight w:val="none"/>
          <w:u w:val="none"/>
        </w:rPr>
        <w:br w:type="textWrapping"/>
      </w:r>
      <w:r>
        <w:rPr>
          <w:rFonts w:hint="eastAsia" w:ascii="仿宋" w:hAnsi="仿宋" w:eastAsia="仿宋" w:cs="宋体"/>
          <w:iCs/>
          <w:color w:val="auto"/>
          <w:kern w:val="0"/>
          <w:sz w:val="24"/>
          <w:highlight w:val="none"/>
          <w:u w:val="none"/>
        </w:rPr>
        <w:t>（4）</w:t>
      </w:r>
      <w:r>
        <w:rPr>
          <w:rFonts w:ascii="仿宋" w:hAnsi="仿宋" w:eastAsia="仿宋" w:cs="宋体"/>
          <w:iCs/>
          <w:color w:val="auto"/>
          <w:kern w:val="0"/>
          <w:sz w:val="24"/>
          <w:highlight w:val="none"/>
          <w:u w:val="none"/>
        </w:rPr>
        <w:t>投标文件的传输递交：投标人在投标截止时间前将加密的投标文件上传至政采云平台。</w:t>
      </w:r>
      <w:r>
        <w:rPr>
          <w:rFonts w:ascii="仿宋" w:hAnsi="仿宋" w:eastAsia="仿宋" w:cs="宋体"/>
          <w:iCs/>
          <w:color w:val="auto"/>
          <w:kern w:val="0"/>
          <w:sz w:val="24"/>
          <w:highlight w:val="none"/>
          <w:u w:val="none"/>
        </w:rPr>
        <w:br w:type="textWrapping"/>
      </w:r>
      <w:r>
        <w:rPr>
          <w:rFonts w:hint="eastAsia" w:ascii="仿宋" w:hAnsi="仿宋" w:eastAsia="仿宋" w:cs="宋体"/>
          <w:iCs/>
          <w:color w:val="auto"/>
          <w:kern w:val="0"/>
          <w:sz w:val="24"/>
          <w:highlight w:val="none"/>
          <w:u w:val="none"/>
        </w:rPr>
        <w:t>（5）</w:t>
      </w:r>
      <w:r>
        <w:rPr>
          <w:rFonts w:ascii="仿宋" w:hAnsi="仿宋" w:eastAsia="仿宋" w:cs="宋体"/>
          <w:iCs/>
          <w:color w:val="auto"/>
          <w:kern w:val="0"/>
          <w:sz w:val="24"/>
          <w:highlight w:val="none"/>
          <w:u w:val="none"/>
        </w:rPr>
        <w:t>投标文件的解密：投标人按照平台提示和招标文件的规定在开标时间起30分钟内完成在线解密。</w:t>
      </w:r>
      <w:r>
        <w:rPr>
          <w:rFonts w:ascii="仿宋" w:hAnsi="仿宋" w:eastAsia="仿宋" w:cs="宋体"/>
          <w:iCs/>
          <w:color w:val="auto"/>
          <w:kern w:val="0"/>
          <w:sz w:val="24"/>
          <w:highlight w:val="none"/>
          <w:u w:val="none"/>
        </w:rPr>
        <w:br w:type="textWrapping"/>
      </w:r>
      <w:r>
        <w:rPr>
          <w:rFonts w:hint="eastAsia" w:ascii="仿宋" w:hAnsi="仿宋" w:eastAsia="仿宋" w:cs="宋体"/>
          <w:iCs/>
          <w:color w:val="auto"/>
          <w:kern w:val="0"/>
          <w:sz w:val="24"/>
          <w:highlight w:val="none"/>
          <w:u w:val="none"/>
        </w:rPr>
        <w:t>（6）</w:t>
      </w:r>
      <w:r>
        <w:rPr>
          <w:rFonts w:ascii="仿宋" w:hAnsi="仿宋" w:eastAsia="仿宋" w:cs="宋体"/>
          <w:iCs/>
          <w:color w:val="auto"/>
          <w:kern w:val="0"/>
          <w:sz w:val="24"/>
          <w:highlight w:val="none"/>
          <w:u w:val="none"/>
        </w:rPr>
        <w:t>具体操作指南：详见政采云平台“服务中心-帮助文档-项目采购-操作流程-电子招投标-政府采购项目电子交易管理操作指南-供应商”：浙江省政府采购项目政采云平台学习专题</w:t>
      </w:r>
      <w:r>
        <w:rPr>
          <w:color w:val="auto"/>
          <w:highlight w:val="none"/>
          <w:u w:val="none"/>
        </w:rPr>
        <w:fldChar w:fldCharType="begin"/>
      </w:r>
      <w:r>
        <w:rPr>
          <w:color w:val="auto"/>
          <w:highlight w:val="none"/>
          <w:u w:val="none"/>
        </w:rPr>
        <w:instrText xml:space="preserve"> HYPERLINK "https://edu.zcygov.cn/luban/e-biding" </w:instrText>
      </w:r>
      <w:r>
        <w:rPr>
          <w:color w:val="auto"/>
          <w:highlight w:val="none"/>
          <w:u w:val="none"/>
        </w:rPr>
        <w:fldChar w:fldCharType="separate"/>
      </w:r>
      <w:r>
        <w:rPr>
          <w:rStyle w:val="71"/>
          <w:rFonts w:ascii="仿宋" w:hAnsi="仿宋" w:eastAsia="仿宋" w:cs="宋体"/>
          <w:iCs/>
          <w:color w:val="auto"/>
          <w:kern w:val="0"/>
          <w:sz w:val="24"/>
          <w:highlight w:val="none"/>
          <w:u w:val="none"/>
        </w:rPr>
        <w:t>https://edu.zcygov.cn/luban/e-biding</w:t>
      </w:r>
      <w:r>
        <w:rPr>
          <w:rStyle w:val="71"/>
          <w:rFonts w:ascii="仿宋" w:hAnsi="仿宋" w:eastAsia="仿宋" w:cs="宋体"/>
          <w:iCs/>
          <w:color w:val="auto"/>
          <w:kern w:val="0"/>
          <w:sz w:val="24"/>
          <w:highlight w:val="none"/>
          <w:u w:val="none"/>
        </w:rPr>
        <w:fldChar w:fldCharType="end"/>
      </w:r>
      <w:r>
        <w:rPr>
          <w:rFonts w:ascii="仿宋" w:hAnsi="仿宋" w:eastAsia="仿宋" w:cs="宋体"/>
          <w:iCs/>
          <w:color w:val="auto"/>
          <w:kern w:val="0"/>
          <w:sz w:val="24"/>
          <w:highlight w:val="none"/>
          <w:u w:val="none"/>
        </w:rPr>
        <w:t>。</w:t>
      </w:r>
      <w:r>
        <w:rPr>
          <w:rFonts w:ascii="仿宋" w:hAnsi="仿宋" w:eastAsia="仿宋" w:cs="宋体"/>
          <w:i/>
          <w:color w:val="auto"/>
          <w:kern w:val="0"/>
          <w:sz w:val="24"/>
          <w:highlight w:val="none"/>
          <w:u w:val="single"/>
        </w:rPr>
        <w:br w:type="textWrapping"/>
      </w:r>
      <w:r>
        <w:rPr>
          <w:rFonts w:hint="eastAsia" w:ascii="仿宋" w:hAnsi="仿宋" w:eastAsia="仿宋" w:cs="宋体"/>
          <w:b/>
          <w:bCs/>
          <w:color w:val="auto"/>
          <w:kern w:val="0"/>
          <w:sz w:val="24"/>
          <w:highlight w:val="none"/>
        </w:rPr>
        <w:t>八、对本次采购提出询问、质疑、投诉，请按以下方式联系</w:t>
      </w:r>
    </w:p>
    <w:p>
      <w:pPr>
        <w:widowControl/>
        <w:snapToGrid w:val="0"/>
        <w:spacing w:line="360" w:lineRule="auto"/>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名称：</w:t>
      </w:r>
      <w:r>
        <w:rPr>
          <w:rFonts w:hint="eastAsia" w:ascii="仿宋" w:hAnsi="仿宋" w:eastAsia="仿宋" w:cs="宋体"/>
          <w:color w:val="auto"/>
          <w:kern w:val="0"/>
          <w:sz w:val="24"/>
          <w:highlight w:val="none"/>
          <w:lang w:eastAsia="zh-CN"/>
        </w:rPr>
        <w:t>温州市应急管理局</w:t>
      </w:r>
    </w:p>
    <w:p>
      <w:pPr>
        <w:widowControl/>
        <w:snapToGrid w:val="0"/>
        <w:spacing w:line="360" w:lineRule="auto"/>
        <w:jc w:val="left"/>
        <w:rPr>
          <w:rFonts w:hint="eastAsia" w:ascii="仿宋" w:hAnsi="仿宋" w:eastAsia="仿宋" w:cs="宋体"/>
          <w:color w:val="auto"/>
          <w:kern w:val="0"/>
          <w:sz w:val="24"/>
          <w:highlight w:val="none"/>
        </w:rPr>
      </w:pPr>
      <w:r>
        <w:rPr>
          <w:rFonts w:ascii="仿宋" w:hAnsi="仿宋" w:eastAsia="仿宋" w:cs="宋体"/>
          <w:color w:val="auto"/>
          <w:kern w:val="0"/>
          <w:sz w:val="24"/>
          <w:highlight w:val="none"/>
        </w:rPr>
        <w:t>地址：</w:t>
      </w:r>
      <w:r>
        <w:rPr>
          <w:rFonts w:hint="eastAsia" w:ascii="仿宋" w:hAnsi="仿宋" w:eastAsia="仿宋" w:cs="宋体"/>
          <w:color w:val="auto"/>
          <w:kern w:val="0"/>
          <w:sz w:val="24"/>
          <w:highlight w:val="none"/>
        </w:rPr>
        <w:t>温州市行政管理中心发展大楼9号楼</w:t>
      </w:r>
    </w:p>
    <w:p>
      <w:pPr>
        <w:widowControl/>
        <w:snapToGrid w:val="0"/>
        <w:spacing w:line="360" w:lineRule="auto"/>
        <w:jc w:val="left"/>
        <w:rPr>
          <w:rFonts w:hint="eastAsia" w:ascii="仿宋" w:hAnsi="仿宋" w:eastAsia="仿宋" w:cs="宋体"/>
          <w:color w:val="auto"/>
          <w:kern w:val="0"/>
          <w:sz w:val="24"/>
          <w:highlight w:val="none"/>
        </w:rPr>
      </w:pPr>
      <w:r>
        <w:rPr>
          <w:rFonts w:ascii="仿宋" w:hAnsi="仿宋" w:eastAsia="仿宋" w:cs="宋体"/>
          <w:color w:val="auto"/>
          <w:kern w:val="0"/>
          <w:sz w:val="24"/>
          <w:highlight w:val="none"/>
        </w:rPr>
        <w:t>传真：</w:t>
      </w:r>
      <w:r>
        <w:rPr>
          <w:rFonts w:hint="eastAsia" w:ascii="仿宋" w:hAnsi="仿宋" w:eastAsia="仿宋" w:cs="宋体"/>
          <w:color w:val="auto"/>
          <w:kern w:val="0"/>
          <w:sz w:val="24"/>
          <w:highlight w:val="none"/>
        </w:rPr>
        <w:t>0577-88965155</w:t>
      </w:r>
    </w:p>
    <w:p>
      <w:pPr>
        <w:widowControl/>
        <w:snapToGrid w:val="0"/>
        <w:spacing w:line="360" w:lineRule="auto"/>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项目联系人（询问）：</w:t>
      </w:r>
      <w:r>
        <w:rPr>
          <w:rFonts w:hint="eastAsia" w:ascii="仿宋" w:hAnsi="仿宋" w:eastAsia="仿宋" w:cs="宋体"/>
          <w:color w:val="auto"/>
          <w:kern w:val="0"/>
          <w:sz w:val="24"/>
          <w:highlight w:val="none"/>
          <w:lang w:val="en-US" w:eastAsia="zh-CN"/>
        </w:rPr>
        <w:t>苏先生</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项目联系方式（询问）：</w:t>
      </w:r>
      <w:r>
        <w:rPr>
          <w:rFonts w:hint="eastAsia" w:ascii="仿宋" w:hAnsi="仿宋" w:eastAsia="仿宋" w:cs="宋体"/>
          <w:color w:val="auto"/>
          <w:kern w:val="0"/>
          <w:sz w:val="24"/>
          <w:highlight w:val="none"/>
        </w:rPr>
        <w:t>0577-88962800</w:t>
      </w:r>
    </w:p>
    <w:p>
      <w:pPr>
        <w:widowControl/>
        <w:snapToGrid w:val="0"/>
        <w:spacing w:line="360" w:lineRule="auto"/>
        <w:jc w:val="left"/>
        <w:rPr>
          <w:rFonts w:hint="default" w:ascii="仿宋" w:hAnsi="仿宋" w:eastAsia="仿宋" w:cs="宋体"/>
          <w:color w:val="auto"/>
          <w:kern w:val="0"/>
          <w:sz w:val="24"/>
          <w:highlight w:val="none"/>
          <w:lang w:val="en-US" w:eastAsia="zh-CN"/>
        </w:rPr>
      </w:pPr>
      <w:r>
        <w:rPr>
          <w:rFonts w:ascii="仿宋" w:hAnsi="仿宋" w:eastAsia="仿宋" w:cs="宋体"/>
          <w:color w:val="auto"/>
          <w:kern w:val="0"/>
          <w:sz w:val="24"/>
          <w:highlight w:val="none"/>
        </w:rPr>
        <w:t>质疑联系人：</w:t>
      </w:r>
      <w:r>
        <w:rPr>
          <w:rFonts w:hint="eastAsia" w:ascii="仿宋" w:hAnsi="仿宋" w:eastAsia="仿宋" w:cs="宋体"/>
          <w:color w:val="auto"/>
          <w:kern w:val="0"/>
          <w:sz w:val="24"/>
          <w:highlight w:val="none"/>
        </w:rPr>
        <w:t>程先生</w:t>
      </w:r>
    </w:p>
    <w:p>
      <w:pPr>
        <w:widowControl/>
        <w:snapToGrid w:val="0"/>
        <w:spacing w:line="360" w:lineRule="auto"/>
        <w:jc w:val="left"/>
        <w:rPr>
          <w:rFonts w:hint="eastAsia" w:ascii="仿宋" w:hAnsi="仿宋" w:eastAsia="仿宋" w:cs="宋体"/>
          <w:color w:val="auto"/>
          <w:kern w:val="0"/>
          <w:sz w:val="24"/>
          <w:highlight w:val="none"/>
        </w:rPr>
      </w:pPr>
      <w:r>
        <w:rPr>
          <w:rFonts w:ascii="仿宋" w:hAnsi="仿宋" w:eastAsia="仿宋" w:cs="宋体"/>
          <w:color w:val="auto"/>
          <w:kern w:val="0"/>
          <w:sz w:val="24"/>
          <w:highlight w:val="none"/>
        </w:rPr>
        <w:t>质疑联系方式：</w:t>
      </w:r>
      <w:r>
        <w:rPr>
          <w:rFonts w:hint="eastAsia" w:ascii="仿宋" w:hAnsi="仿宋" w:eastAsia="仿宋" w:cs="宋体"/>
          <w:color w:val="auto"/>
          <w:kern w:val="0"/>
          <w:sz w:val="24"/>
          <w:highlight w:val="none"/>
        </w:rPr>
        <w:t>0577-88965155　　　　</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2.采购代理机构信息</w:t>
      </w:r>
    </w:p>
    <w:p>
      <w:pPr>
        <w:widowControl/>
        <w:snapToGrid w:val="0"/>
        <w:spacing w:line="360" w:lineRule="auto"/>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名称：</w:t>
      </w:r>
      <w:r>
        <w:rPr>
          <w:rFonts w:hint="eastAsia" w:ascii="仿宋" w:hAnsi="仿宋" w:eastAsia="仿宋" w:cs="宋体"/>
          <w:color w:val="auto"/>
          <w:kern w:val="0"/>
          <w:sz w:val="24"/>
          <w:highlight w:val="none"/>
          <w:lang w:eastAsia="zh-CN"/>
        </w:rPr>
        <w:t>浙江建科工程项目管理有限公司</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地址：</w:t>
      </w:r>
      <w:r>
        <w:rPr>
          <w:rFonts w:hint="eastAsia" w:ascii="仿宋" w:hAnsi="仿宋" w:eastAsia="仿宋" w:cs="宋体"/>
          <w:color w:val="auto"/>
          <w:kern w:val="0"/>
          <w:sz w:val="24"/>
          <w:highlight w:val="none"/>
        </w:rPr>
        <w:t>温州市鹿城区车站大道金泰大厦主楼2楼</w:t>
      </w:r>
    </w:p>
    <w:p>
      <w:pPr>
        <w:widowControl/>
        <w:snapToGrid w:val="0"/>
        <w:spacing w:line="360" w:lineRule="auto"/>
        <w:jc w:val="left"/>
        <w:rPr>
          <w:rFonts w:hint="default" w:ascii="仿宋" w:hAnsi="仿宋" w:eastAsia="仿宋" w:cs="宋体"/>
          <w:color w:val="auto"/>
          <w:kern w:val="0"/>
          <w:sz w:val="24"/>
          <w:highlight w:val="none"/>
          <w:lang w:val="en-US" w:eastAsia="zh-CN"/>
        </w:rPr>
      </w:pPr>
      <w:r>
        <w:rPr>
          <w:rFonts w:ascii="仿宋" w:hAnsi="仿宋" w:eastAsia="仿宋" w:cs="宋体"/>
          <w:color w:val="auto"/>
          <w:kern w:val="0"/>
          <w:sz w:val="24"/>
          <w:highlight w:val="none"/>
        </w:rPr>
        <w:t>传真：</w:t>
      </w:r>
      <w:r>
        <w:rPr>
          <w:rFonts w:hint="eastAsia" w:ascii="仿宋" w:hAnsi="仿宋" w:eastAsia="仿宋" w:cs="宋体"/>
          <w:color w:val="auto"/>
          <w:kern w:val="0"/>
          <w:sz w:val="24"/>
          <w:highlight w:val="none"/>
        </w:rPr>
        <w:t>0577-86</w:t>
      </w:r>
      <w:r>
        <w:rPr>
          <w:rFonts w:hint="eastAsia" w:ascii="仿宋" w:hAnsi="仿宋" w:eastAsia="仿宋" w:cs="宋体"/>
          <w:color w:val="auto"/>
          <w:kern w:val="0"/>
          <w:sz w:val="24"/>
          <w:highlight w:val="none"/>
          <w:lang w:val="en-US" w:eastAsia="zh-CN"/>
        </w:rPr>
        <w:t>071199</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项目联系人（询问）：</w:t>
      </w:r>
      <w:r>
        <w:rPr>
          <w:rFonts w:hint="eastAsia" w:ascii="仿宋" w:hAnsi="仿宋" w:eastAsia="仿宋" w:cs="宋体"/>
          <w:color w:val="auto"/>
          <w:kern w:val="0"/>
          <w:sz w:val="24"/>
          <w:highlight w:val="none"/>
          <w:lang w:eastAsia="zh-CN"/>
        </w:rPr>
        <w:t>陈</w:t>
      </w:r>
      <w:r>
        <w:rPr>
          <w:rFonts w:hint="eastAsia" w:ascii="仿宋" w:hAnsi="仿宋" w:eastAsia="仿宋" w:cs="宋体"/>
          <w:color w:val="auto"/>
          <w:kern w:val="0"/>
          <w:sz w:val="24"/>
          <w:highlight w:val="none"/>
        </w:rPr>
        <w:t>先生</w:t>
      </w:r>
    </w:p>
    <w:p>
      <w:pPr>
        <w:widowControl/>
        <w:snapToGrid w:val="0"/>
        <w:spacing w:line="360" w:lineRule="auto"/>
        <w:jc w:val="left"/>
        <w:rPr>
          <w:rFonts w:hint="default" w:ascii="仿宋" w:hAnsi="仿宋" w:eastAsia="仿宋" w:cs="宋体"/>
          <w:color w:val="auto"/>
          <w:kern w:val="0"/>
          <w:sz w:val="24"/>
          <w:highlight w:val="none"/>
          <w:lang w:val="en-US" w:eastAsia="zh-CN"/>
        </w:rPr>
      </w:pPr>
      <w:r>
        <w:rPr>
          <w:rFonts w:ascii="仿宋" w:hAnsi="仿宋" w:eastAsia="仿宋" w:cs="宋体"/>
          <w:color w:val="auto"/>
          <w:kern w:val="0"/>
          <w:sz w:val="24"/>
          <w:highlight w:val="none"/>
        </w:rPr>
        <w:t>项目联系方式（询问）：</w:t>
      </w:r>
      <w:r>
        <w:rPr>
          <w:rFonts w:hint="eastAsia" w:ascii="仿宋" w:hAnsi="仿宋" w:eastAsia="仿宋" w:cs="宋体"/>
          <w:color w:val="auto"/>
          <w:kern w:val="0"/>
          <w:sz w:val="24"/>
          <w:highlight w:val="none"/>
        </w:rPr>
        <w:t>0577-8</w:t>
      </w:r>
      <w:r>
        <w:rPr>
          <w:rFonts w:hint="eastAsia" w:ascii="仿宋" w:hAnsi="仿宋" w:eastAsia="仿宋" w:cs="宋体"/>
          <w:color w:val="auto"/>
          <w:kern w:val="0"/>
          <w:sz w:val="24"/>
          <w:highlight w:val="none"/>
          <w:lang w:val="en-US" w:eastAsia="zh-CN"/>
        </w:rPr>
        <w:t>8987555/15868502470</w:t>
      </w:r>
    </w:p>
    <w:p>
      <w:pPr>
        <w:widowControl/>
        <w:snapToGrid w:val="0"/>
        <w:spacing w:line="360" w:lineRule="auto"/>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质疑联系人：</w:t>
      </w:r>
      <w:r>
        <w:rPr>
          <w:rFonts w:hint="eastAsia" w:ascii="仿宋" w:hAnsi="仿宋" w:eastAsia="仿宋" w:cs="宋体"/>
          <w:color w:val="auto"/>
          <w:kern w:val="0"/>
          <w:sz w:val="24"/>
          <w:highlight w:val="none"/>
          <w:lang w:val="en-US" w:eastAsia="zh-CN"/>
        </w:rPr>
        <w:t xml:space="preserve"> 池先生</w:t>
      </w:r>
    </w:p>
    <w:p>
      <w:pPr>
        <w:widowControl/>
        <w:snapToGrid w:val="0"/>
        <w:spacing w:line="360" w:lineRule="auto"/>
        <w:jc w:val="left"/>
        <w:rPr>
          <w:rFonts w:hint="default" w:ascii="仿宋" w:hAnsi="仿宋" w:eastAsia="仿宋" w:cs="宋体"/>
          <w:color w:val="auto"/>
          <w:kern w:val="0"/>
          <w:sz w:val="24"/>
          <w:highlight w:val="none"/>
          <w:lang w:val="en-US" w:eastAsia="zh-CN"/>
        </w:rPr>
      </w:pPr>
      <w:r>
        <w:rPr>
          <w:rFonts w:ascii="仿宋" w:hAnsi="仿宋" w:eastAsia="仿宋" w:cs="宋体"/>
          <w:color w:val="auto"/>
          <w:kern w:val="0"/>
          <w:sz w:val="24"/>
          <w:highlight w:val="none"/>
        </w:rPr>
        <w:t>质疑联系方式：</w:t>
      </w:r>
      <w:r>
        <w:rPr>
          <w:rFonts w:hint="eastAsia" w:ascii="仿宋" w:hAnsi="仿宋" w:eastAsia="仿宋" w:cs="宋体"/>
          <w:color w:val="auto"/>
          <w:kern w:val="0"/>
          <w:sz w:val="24"/>
          <w:highlight w:val="none"/>
        </w:rPr>
        <w:t>0577-8</w:t>
      </w:r>
      <w:r>
        <w:rPr>
          <w:rFonts w:hint="eastAsia" w:ascii="仿宋" w:hAnsi="仿宋" w:eastAsia="仿宋" w:cs="宋体"/>
          <w:color w:val="auto"/>
          <w:kern w:val="0"/>
          <w:sz w:val="24"/>
          <w:highlight w:val="none"/>
          <w:lang w:val="en-US" w:eastAsia="zh-CN"/>
        </w:rPr>
        <w:t>8987555/13600672377</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3.同级政府采购监督管理部门</w:t>
      </w:r>
    </w:p>
    <w:p>
      <w:pPr>
        <w:widowControl/>
        <w:snapToGrid w:val="0"/>
        <w:spacing w:line="360" w:lineRule="auto"/>
        <w:jc w:val="left"/>
        <w:rPr>
          <w:rFonts w:hint="eastAsia" w:ascii="宋体" w:hAnsi="宋体" w:eastAsia="仿宋" w:cs="宋体"/>
          <w:color w:val="auto"/>
          <w:kern w:val="0"/>
          <w:sz w:val="24"/>
          <w:highlight w:val="none"/>
        </w:rPr>
      </w:pPr>
      <w:r>
        <w:rPr>
          <w:rFonts w:hint="eastAsia" w:ascii="宋体" w:hAnsi="宋体" w:eastAsia="仿宋" w:cs="宋体"/>
          <w:color w:val="auto"/>
          <w:kern w:val="0"/>
          <w:sz w:val="24"/>
          <w:highlight w:val="none"/>
        </w:rPr>
        <w:t>名 称：温州市财政局政府采购监管处</w:t>
      </w:r>
    </w:p>
    <w:p>
      <w:pPr>
        <w:widowControl/>
        <w:snapToGrid w:val="0"/>
        <w:spacing w:line="360" w:lineRule="auto"/>
        <w:jc w:val="left"/>
        <w:rPr>
          <w:rFonts w:hint="eastAsia" w:ascii="宋体" w:hAnsi="宋体" w:eastAsia="仿宋" w:cs="宋体"/>
          <w:color w:val="auto"/>
          <w:kern w:val="0"/>
          <w:sz w:val="24"/>
          <w:highlight w:val="none"/>
        </w:rPr>
      </w:pPr>
      <w:r>
        <w:rPr>
          <w:rFonts w:hint="eastAsia" w:ascii="宋体" w:hAnsi="宋体" w:eastAsia="仿宋" w:cs="宋体"/>
          <w:color w:val="auto"/>
          <w:kern w:val="0"/>
          <w:sz w:val="24"/>
          <w:highlight w:val="none"/>
        </w:rPr>
        <w:t>地 址：温州市鹿城区绣山路 299 号</w:t>
      </w:r>
    </w:p>
    <w:p>
      <w:pPr>
        <w:widowControl/>
        <w:snapToGrid w:val="0"/>
        <w:spacing w:line="360" w:lineRule="auto"/>
        <w:jc w:val="left"/>
        <w:rPr>
          <w:rFonts w:hint="eastAsia" w:ascii="宋体" w:hAnsi="宋体" w:eastAsia="仿宋" w:cs="宋体"/>
          <w:color w:val="auto"/>
          <w:kern w:val="0"/>
          <w:sz w:val="24"/>
          <w:highlight w:val="none"/>
        </w:rPr>
      </w:pPr>
      <w:r>
        <w:rPr>
          <w:rFonts w:hint="eastAsia" w:ascii="宋体" w:hAnsi="宋体" w:eastAsia="仿宋" w:cs="宋体"/>
          <w:color w:val="auto"/>
          <w:kern w:val="0"/>
          <w:sz w:val="24"/>
          <w:highlight w:val="none"/>
        </w:rPr>
        <w:t>传 真：/</w:t>
      </w:r>
    </w:p>
    <w:p>
      <w:pPr>
        <w:widowControl/>
        <w:snapToGrid w:val="0"/>
        <w:spacing w:line="360" w:lineRule="auto"/>
        <w:jc w:val="left"/>
        <w:rPr>
          <w:rFonts w:hint="eastAsia" w:ascii="宋体" w:hAnsi="宋体" w:eastAsia="仿宋" w:cs="宋体"/>
          <w:color w:val="auto"/>
          <w:kern w:val="0"/>
          <w:sz w:val="24"/>
          <w:highlight w:val="none"/>
        </w:rPr>
      </w:pPr>
      <w:r>
        <w:rPr>
          <w:rFonts w:hint="eastAsia" w:ascii="宋体" w:hAnsi="宋体" w:eastAsia="仿宋" w:cs="宋体"/>
          <w:color w:val="auto"/>
          <w:kern w:val="0"/>
          <w:sz w:val="24"/>
          <w:highlight w:val="none"/>
        </w:rPr>
        <w:t>联系人 ：项先生、蔡女士</w:t>
      </w:r>
    </w:p>
    <w:p>
      <w:pPr>
        <w:widowControl/>
        <w:snapToGrid w:val="0"/>
        <w:spacing w:line="360" w:lineRule="auto"/>
        <w:jc w:val="left"/>
        <w:rPr>
          <w:rFonts w:ascii="仿宋" w:hAnsi="仿宋" w:eastAsia="仿宋" w:cs="宋体"/>
          <w:color w:val="auto"/>
          <w:kern w:val="0"/>
          <w:sz w:val="24"/>
          <w:highlight w:val="none"/>
        </w:rPr>
      </w:pPr>
      <w:r>
        <w:rPr>
          <w:rFonts w:hint="eastAsia" w:ascii="宋体" w:hAnsi="宋体" w:eastAsia="仿宋" w:cs="宋体"/>
          <w:color w:val="auto"/>
          <w:kern w:val="0"/>
          <w:sz w:val="24"/>
          <w:highlight w:val="none"/>
        </w:rPr>
        <w:t>监督投诉电话：0577-88532725、88521948</w:t>
      </w:r>
      <w:r>
        <w:rPr>
          <w:rFonts w:hint="eastAsia" w:ascii="仿宋" w:hAnsi="仿宋" w:eastAsia="仿宋" w:cs="宋体"/>
          <w:color w:val="auto"/>
          <w:kern w:val="0"/>
          <w:sz w:val="24"/>
          <w:highlight w:val="none"/>
        </w:rPr>
        <w:t xml:space="preserve"> </w:t>
      </w: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若对项目采购电子交易系统操作有疑问，可登录政采云（</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1"/>
          <w:rFonts w:ascii="仿宋" w:hAnsi="仿宋" w:eastAsia="仿宋" w:cs="宋体"/>
          <w:color w:val="auto"/>
          <w:kern w:val="0"/>
          <w:sz w:val="24"/>
          <w:highlight w:val="none"/>
        </w:rPr>
        <w:t>https://www.zcygov.cn/</w:t>
      </w:r>
      <w:r>
        <w:rPr>
          <w:rStyle w:val="71"/>
          <w:rFonts w:ascii="仿宋" w:hAnsi="仿宋" w:eastAsia="仿宋" w:cs="宋体"/>
          <w:color w:val="auto"/>
          <w:kern w:val="0"/>
          <w:sz w:val="24"/>
          <w:highlight w:val="none"/>
        </w:rPr>
        <w:fldChar w:fldCharType="end"/>
      </w:r>
      <w:r>
        <w:rPr>
          <w:rFonts w:ascii="仿宋" w:hAnsi="仿宋" w:eastAsia="仿宋" w:cs="宋体"/>
          <w:color w:val="auto"/>
          <w:kern w:val="0"/>
          <w:sz w:val="24"/>
          <w:highlight w:val="none"/>
        </w:rPr>
        <w:t>），点击右侧咨询小采，获取采小蜜智能服务管家帮助，或拨打政采云服务热线400-881-7190获取热线服务帮助。</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CA问题联系电话（人工）：汇信CA400-888-4636；天谷CA400-087-8198。</w:t>
      </w:r>
    </w:p>
    <w:p>
      <w:pPr>
        <w:widowControl/>
        <w:snapToGrid w:val="0"/>
        <w:spacing w:line="360" w:lineRule="auto"/>
        <w:jc w:val="center"/>
        <w:outlineLvl w:val="0"/>
        <w:rPr>
          <w:rFonts w:hint="eastAsia" w:ascii="仿宋" w:hAnsi="仿宋" w:eastAsia="仿宋"/>
          <w:b/>
          <w:color w:val="auto"/>
          <w:sz w:val="36"/>
          <w:szCs w:val="36"/>
          <w:highlight w:val="none"/>
        </w:rPr>
      </w:pPr>
    </w:p>
    <w:p>
      <w:pPr>
        <w:widowControl/>
        <w:snapToGrid w:val="0"/>
        <w:spacing w:line="360" w:lineRule="auto"/>
        <w:jc w:val="center"/>
        <w:outlineLvl w:val="0"/>
        <w:rPr>
          <w:rFonts w:hint="eastAsia" w:ascii="仿宋" w:hAnsi="仿宋" w:eastAsia="仿宋"/>
          <w:b/>
          <w:color w:val="auto"/>
          <w:sz w:val="36"/>
          <w:szCs w:val="36"/>
          <w:highlight w:val="none"/>
        </w:rPr>
      </w:pPr>
    </w:p>
    <w:p>
      <w:pPr>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br w:type="page"/>
      </w:r>
      <w:r>
        <w:rPr>
          <w:rFonts w:hint="eastAsia" w:ascii="仿宋" w:hAnsi="仿宋" w:eastAsia="仿宋"/>
          <w:b/>
          <w:color w:val="auto"/>
          <w:sz w:val="36"/>
          <w:szCs w:val="36"/>
          <w:highlight w:val="none"/>
        </w:rPr>
        <w:t>第二部分  投标人须知</w:t>
      </w:r>
    </w:p>
    <w:p>
      <w:pPr>
        <w:widowControl/>
        <w:snapToGrid w:val="0"/>
        <w:spacing w:line="360" w:lineRule="auto"/>
        <w:jc w:val="center"/>
        <w:outlineLvl w:val="1"/>
        <w:rPr>
          <w:rFonts w:ascii="仿宋" w:hAnsi="仿宋" w:eastAsia="仿宋"/>
          <w:b/>
          <w:color w:val="auto"/>
          <w:sz w:val="28"/>
          <w:szCs w:val="28"/>
          <w:highlight w:val="none"/>
        </w:rPr>
      </w:pPr>
      <w:r>
        <w:rPr>
          <w:rFonts w:hint="eastAsia" w:ascii="仿宋" w:hAnsi="仿宋" w:eastAsia="仿宋"/>
          <w:b/>
          <w:color w:val="auto"/>
          <w:sz w:val="28"/>
          <w:szCs w:val="28"/>
          <w:highlight w:val="none"/>
        </w:rPr>
        <w:t>投标人须知前附表</w:t>
      </w:r>
    </w:p>
    <w:tbl>
      <w:tblPr>
        <w:tblStyle w:val="57"/>
        <w:tblW w:w="8996" w:type="dxa"/>
        <w:jc w:val="center"/>
        <w:tblLayout w:type="fixed"/>
        <w:tblCellMar>
          <w:top w:w="0" w:type="dxa"/>
          <w:left w:w="108" w:type="dxa"/>
          <w:bottom w:w="0" w:type="dxa"/>
          <w:right w:w="108" w:type="dxa"/>
        </w:tblCellMar>
      </w:tblPr>
      <w:tblGrid>
        <w:gridCol w:w="1048"/>
        <w:gridCol w:w="1687"/>
        <w:gridCol w:w="6261"/>
      </w:tblGrid>
      <w:tr>
        <w:tblPrEx>
          <w:tblCellMar>
            <w:top w:w="0" w:type="dxa"/>
            <w:left w:w="108" w:type="dxa"/>
            <w:bottom w:w="0" w:type="dxa"/>
            <w:right w:w="108" w:type="dxa"/>
          </w:tblCellMar>
        </w:tblPrEx>
        <w:trPr>
          <w:trHeight w:val="680" w:hRule="atLeast"/>
          <w:tblHeader/>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条款号</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条款名称</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编列内容</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行业划分</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采购标的对应的中小企业划分标准所属行业：</w:t>
            </w:r>
          </w:p>
          <w:p>
            <w:pPr>
              <w:snapToGrid w:val="0"/>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w:t>
            </w:r>
            <w:r>
              <w:rPr>
                <w:rFonts w:ascii="仿宋" w:hAnsi="仿宋" w:eastAsia="仿宋" w:cs="Arial"/>
                <w:color w:val="auto"/>
                <w:kern w:val="0"/>
                <w:szCs w:val="21"/>
                <w:highlight w:val="none"/>
              </w:rPr>
              <w:t>1</w:t>
            </w:r>
            <w:r>
              <w:rPr>
                <w:rFonts w:hint="eastAsia" w:ascii="仿宋" w:hAnsi="仿宋" w:eastAsia="仿宋" w:cs="Arial"/>
                <w:color w:val="auto"/>
                <w:kern w:val="0"/>
                <w:szCs w:val="21"/>
                <w:highlight w:val="none"/>
              </w:rPr>
              <w:t>）标的：</w:t>
            </w:r>
            <w:r>
              <w:rPr>
                <w:rFonts w:hint="eastAsia" w:ascii="仿宋" w:hAnsi="仿宋" w:eastAsia="仿宋" w:cs="Arial"/>
                <w:color w:val="auto"/>
                <w:kern w:val="0"/>
                <w:szCs w:val="21"/>
                <w:highlight w:val="none"/>
                <w:u w:val="single"/>
                <w:lang w:eastAsia="zh-CN"/>
              </w:rPr>
              <w:t>照明电源设备</w:t>
            </w:r>
            <w:r>
              <w:rPr>
                <w:rFonts w:hint="eastAsia" w:ascii="仿宋" w:hAnsi="仿宋" w:eastAsia="仿宋" w:cs="Arial"/>
                <w:color w:val="auto"/>
                <w:kern w:val="0"/>
                <w:szCs w:val="21"/>
                <w:highlight w:val="none"/>
              </w:rPr>
              <w:t>，属于</w:t>
            </w:r>
            <w:r>
              <w:rPr>
                <w:rFonts w:hint="eastAsia" w:ascii="仿宋" w:hAnsi="仿宋" w:eastAsia="仿宋" w:cs="Arial"/>
                <w:color w:val="auto"/>
                <w:kern w:val="0"/>
                <w:szCs w:val="21"/>
                <w:highlight w:val="none"/>
                <w:u w:val="single"/>
                <w:lang w:eastAsia="zh-CN"/>
              </w:rPr>
              <w:t>工业</w:t>
            </w:r>
            <w:r>
              <w:rPr>
                <w:rFonts w:hint="eastAsia" w:ascii="仿宋" w:hAnsi="仿宋" w:eastAsia="仿宋" w:cs="Arial"/>
                <w:color w:val="auto"/>
                <w:kern w:val="0"/>
                <w:szCs w:val="21"/>
                <w:highlight w:val="none"/>
              </w:rPr>
              <w:t>；工业包括采矿业，制造业，电力、热力、燃气及水生产和供应业</w:t>
            </w:r>
            <w:r>
              <w:rPr>
                <w:rFonts w:hint="eastAsia" w:ascii="仿宋" w:hAnsi="仿宋" w:eastAsia="仿宋" w:cs="Arial"/>
                <w:color w:val="auto"/>
                <w:kern w:val="0"/>
                <w:szCs w:val="21"/>
                <w:highlight w:val="none"/>
                <w:lang w:eastAsia="zh-CN"/>
              </w:rPr>
              <w:t>。</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color w:val="auto"/>
                <w:szCs w:val="21"/>
                <w:highlight w:val="none"/>
              </w:rPr>
            </w:pPr>
            <w:r>
              <w:rPr>
                <w:rFonts w:hint="eastAsia" w:ascii="仿宋" w:hAnsi="仿宋" w:eastAsia="仿宋" w:cs="仿宋_GB2312"/>
                <w:color w:val="auto"/>
                <w:szCs w:val="21"/>
                <w:highlight w:val="none"/>
              </w:rPr>
              <w:t>项目属性</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auto"/>
                <w:szCs w:val="21"/>
                <w:highlight w:val="none"/>
              </w:rPr>
            </w:pPr>
            <w:r>
              <w:rPr>
                <w:rFonts w:hint="eastAsia" w:ascii="仿宋" w:hAnsi="仿宋" w:eastAsia="仿宋" w:cs="Arial"/>
                <w:color w:val="auto"/>
                <w:kern w:val="0"/>
                <w:szCs w:val="21"/>
                <w:highlight w:val="none"/>
                <w:lang w:eastAsia="zh-CN"/>
              </w:rPr>
              <w:t>货物</w:t>
            </w:r>
            <w:r>
              <w:rPr>
                <w:rFonts w:hint="eastAsia" w:ascii="仿宋" w:hAnsi="仿宋" w:eastAsia="仿宋" w:cs="Arial"/>
                <w:color w:val="auto"/>
                <w:kern w:val="0"/>
                <w:szCs w:val="21"/>
                <w:highlight w:val="none"/>
              </w:rPr>
              <w:t>类</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color w:val="auto"/>
                <w:szCs w:val="21"/>
                <w:highlight w:val="none"/>
              </w:rPr>
            </w:pPr>
            <w:r>
              <w:rPr>
                <w:rFonts w:hint="eastAsia" w:ascii="仿宋" w:hAnsi="仿宋" w:eastAsia="仿宋" w:cs="新宋体"/>
                <w:color w:val="auto"/>
                <w:kern w:val="0"/>
                <w:szCs w:val="21"/>
                <w:highlight w:val="none"/>
              </w:rPr>
              <w:t>分包</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auto"/>
                <w:kern w:val="0"/>
                <w:szCs w:val="21"/>
                <w:highlight w:val="none"/>
              </w:rPr>
            </w:pPr>
            <w:r>
              <w:rPr>
                <w:rFonts w:hint="eastAsia" w:ascii="仿宋" w:hAnsi="仿宋" w:eastAsia="仿宋" w:cs="新宋体"/>
                <w:color w:val="auto"/>
                <w:kern w:val="0"/>
                <w:szCs w:val="21"/>
                <w:highlight w:val="none"/>
              </w:rPr>
              <w:t>不允许</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color w:val="auto"/>
                <w:szCs w:val="21"/>
                <w:highlight w:val="none"/>
              </w:rPr>
            </w:pPr>
            <w:r>
              <w:rPr>
                <w:rFonts w:hint="eastAsia" w:ascii="仿宋" w:hAnsi="仿宋" w:eastAsia="仿宋" w:cs="新宋体"/>
                <w:color w:val="auto"/>
                <w:kern w:val="0"/>
                <w:szCs w:val="21"/>
                <w:highlight w:val="none"/>
              </w:rPr>
              <w:t>偏离</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auto"/>
                <w:kern w:val="0"/>
                <w:szCs w:val="21"/>
                <w:highlight w:val="none"/>
              </w:rPr>
            </w:pPr>
            <w:r>
              <w:rPr>
                <w:rFonts w:hint="eastAsia" w:ascii="仿宋" w:hAnsi="仿宋" w:eastAsia="仿宋" w:cs="新宋体"/>
                <w:color w:val="auto"/>
                <w:kern w:val="0"/>
                <w:szCs w:val="21"/>
                <w:highlight w:val="none"/>
              </w:rPr>
              <w:t>不允许</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新宋体"/>
                <w:color w:val="auto"/>
                <w:kern w:val="0"/>
                <w:szCs w:val="21"/>
                <w:highlight w:val="none"/>
                <w:lang w:val="en-US" w:eastAsia="zh-CN"/>
              </w:rPr>
            </w:pPr>
            <w:r>
              <w:rPr>
                <w:rFonts w:hint="eastAsia" w:ascii="仿宋" w:hAnsi="仿宋" w:eastAsia="仿宋" w:cs="新宋体"/>
                <w:color w:val="auto"/>
                <w:kern w:val="0"/>
                <w:szCs w:val="21"/>
                <w:highlight w:val="none"/>
                <w:lang w:val="en-US" w:eastAsia="zh-CN"/>
              </w:rPr>
              <w:t>2.1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新宋体"/>
                <w:color w:val="auto"/>
                <w:kern w:val="0"/>
                <w:szCs w:val="21"/>
                <w:highlight w:val="none"/>
                <w:lang w:eastAsia="zh-CN"/>
              </w:rPr>
            </w:pPr>
            <w:r>
              <w:rPr>
                <w:rFonts w:hint="eastAsia" w:ascii="仿宋" w:hAnsi="仿宋" w:eastAsia="仿宋" w:cs="新宋体"/>
                <w:color w:val="auto"/>
                <w:kern w:val="0"/>
                <w:szCs w:val="21"/>
                <w:highlight w:val="none"/>
                <w:lang w:eastAsia="zh-CN"/>
              </w:rPr>
              <w:t>联合体</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新宋体"/>
                <w:color w:val="auto"/>
                <w:kern w:val="0"/>
                <w:szCs w:val="21"/>
                <w:highlight w:val="none"/>
                <w:lang w:eastAsia="zh-CN"/>
              </w:rPr>
            </w:pPr>
            <w:r>
              <w:rPr>
                <w:rFonts w:hint="eastAsia" w:ascii="仿宋" w:hAnsi="仿宋" w:eastAsia="仿宋" w:cs="新宋体"/>
                <w:color w:val="auto"/>
                <w:kern w:val="0"/>
                <w:szCs w:val="21"/>
                <w:highlight w:val="none"/>
                <w:lang w:eastAsia="zh-CN"/>
              </w:rPr>
              <w:t>本项目接受联合体投标，</w:t>
            </w:r>
            <w:r>
              <w:rPr>
                <w:rFonts w:hint="eastAsia" w:ascii="仿宋" w:hAnsi="仿宋" w:eastAsia="仿宋" w:cs="新宋体"/>
                <w:color w:val="auto"/>
                <w:kern w:val="0"/>
                <w:szCs w:val="21"/>
                <w:highlight w:val="none"/>
              </w:rPr>
              <w:t>联合体成员数量不得超过2个</w:t>
            </w:r>
            <w:r>
              <w:rPr>
                <w:rFonts w:hint="eastAsia" w:ascii="仿宋" w:hAnsi="仿宋" w:eastAsia="仿宋" w:cs="新宋体"/>
                <w:color w:val="auto"/>
                <w:kern w:val="0"/>
                <w:szCs w:val="21"/>
                <w:highlight w:val="none"/>
                <w:lang w:eastAsia="zh-CN"/>
              </w:rPr>
              <w:t>。</w:t>
            </w:r>
          </w:p>
          <w:p>
            <w:pPr>
              <w:snapToGrid w:val="0"/>
              <w:rPr>
                <w:rFonts w:hint="eastAsia" w:ascii="仿宋" w:hAnsi="仿宋" w:eastAsia="仿宋" w:cs="新宋体"/>
                <w:color w:val="auto"/>
                <w:kern w:val="0"/>
                <w:szCs w:val="21"/>
                <w:highlight w:val="none"/>
                <w:lang w:eastAsia="zh-CN"/>
              </w:rPr>
            </w:pPr>
            <w:r>
              <w:rPr>
                <w:rFonts w:hint="eastAsia" w:ascii="仿宋" w:hAnsi="仿宋" w:eastAsia="仿宋" w:cs="新宋体"/>
                <w:color w:val="auto"/>
                <w:kern w:val="0"/>
                <w:szCs w:val="21"/>
                <w:highlight w:val="none"/>
              </w:rPr>
              <w:t>提交联合体协议书，明确联合体各方承担的工作和义务，并指定一家成员作为联合体牵头人代表联合体负责</w:t>
            </w:r>
            <w:r>
              <w:rPr>
                <w:rFonts w:hint="eastAsia" w:ascii="仿宋" w:hAnsi="仿宋" w:eastAsia="仿宋" w:cs="新宋体"/>
                <w:color w:val="auto"/>
                <w:kern w:val="0"/>
                <w:szCs w:val="21"/>
                <w:highlight w:val="none"/>
                <w:lang w:eastAsia="zh-CN"/>
              </w:rPr>
              <w:t>投标</w:t>
            </w:r>
            <w:r>
              <w:rPr>
                <w:rFonts w:hint="eastAsia" w:ascii="仿宋" w:hAnsi="仿宋" w:eastAsia="仿宋" w:cs="新宋体"/>
                <w:color w:val="auto"/>
                <w:kern w:val="0"/>
                <w:szCs w:val="21"/>
                <w:highlight w:val="none"/>
              </w:rPr>
              <w:t>（以下称为主供应商）和合同实施阶段的主办、协调工作</w:t>
            </w:r>
            <w:r>
              <w:rPr>
                <w:rFonts w:hint="eastAsia" w:ascii="仿宋" w:hAnsi="仿宋" w:eastAsia="仿宋" w:cs="新宋体"/>
                <w:color w:val="auto"/>
                <w:kern w:val="0"/>
                <w:szCs w:val="21"/>
                <w:highlight w:val="none"/>
                <w:lang w:eastAsia="zh-CN"/>
              </w:rPr>
              <w:t>。</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6.1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color w:val="auto"/>
                <w:szCs w:val="21"/>
                <w:highlight w:val="none"/>
              </w:rPr>
            </w:pPr>
            <w:r>
              <w:rPr>
                <w:rFonts w:hint="eastAsia" w:ascii="仿宋" w:hAnsi="仿宋" w:eastAsia="仿宋" w:cs="仿宋_GB2312"/>
                <w:color w:val="auto"/>
                <w:szCs w:val="21"/>
                <w:highlight w:val="none"/>
              </w:rPr>
              <w:t>标前答疑会或现场考察</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auto"/>
                <w:szCs w:val="21"/>
                <w:highlight w:val="none"/>
              </w:rPr>
            </w:pPr>
            <w:r>
              <w:rPr>
                <w:rFonts w:hint="eastAsia" w:ascii="仿宋" w:hAnsi="仿宋" w:eastAsia="仿宋"/>
                <w:color w:val="auto"/>
                <w:szCs w:val="21"/>
                <w:highlight w:val="none"/>
              </w:rPr>
              <w:t>不组织</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13.3</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投标报价的其他要求</w:t>
            </w:r>
          </w:p>
        </w:tc>
        <w:tc>
          <w:tcPr>
            <w:tcW w:w="6261"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rPr>
                <w:rFonts w:hint="eastAsia" w:ascii="仿宋" w:hAnsi="仿宋" w:eastAsia="仿宋"/>
                <w:color w:val="auto"/>
                <w:kern w:val="0"/>
                <w:szCs w:val="21"/>
                <w:highlight w:val="none"/>
                <w:lang w:eastAsia="zh-CN"/>
              </w:rPr>
            </w:pPr>
            <w:r>
              <w:rPr>
                <w:rFonts w:hint="eastAsia" w:ascii="仿宋" w:hAnsi="仿宋" w:eastAsia="仿宋"/>
                <w:color w:val="auto"/>
                <w:kern w:val="0"/>
                <w:szCs w:val="21"/>
                <w:highlight w:val="none"/>
              </w:rPr>
              <w:t>投标</w:t>
            </w:r>
            <w:r>
              <w:rPr>
                <w:rFonts w:hint="eastAsia" w:ascii="仿宋" w:hAnsi="仿宋" w:eastAsia="仿宋"/>
                <w:color w:val="auto"/>
                <w:kern w:val="0"/>
                <w:szCs w:val="21"/>
                <w:highlight w:val="none"/>
                <w:lang w:val="zh-CN"/>
              </w:rPr>
              <w:t>报价包含的内容：设备设施费、运杂费、保险费、安装及调试费、验收费、合同包含的所有风险责任等各项费用及不可预见费、服务期和质保期内免费服务等所需的全部费用</w:t>
            </w:r>
            <w:r>
              <w:rPr>
                <w:rFonts w:hint="eastAsia" w:ascii="仿宋" w:hAnsi="仿宋" w:eastAsia="仿宋"/>
                <w:color w:val="auto"/>
                <w:kern w:val="0"/>
                <w:szCs w:val="21"/>
                <w:highlight w:val="none"/>
                <w:lang w:eastAsia="zh-CN"/>
              </w:rPr>
              <w:t>、</w:t>
            </w:r>
            <w:r>
              <w:rPr>
                <w:rFonts w:hint="eastAsia" w:ascii="仿宋" w:hAnsi="仿宋" w:eastAsia="仿宋"/>
                <w:color w:val="auto"/>
                <w:kern w:val="0"/>
                <w:szCs w:val="21"/>
                <w:highlight w:val="none"/>
              </w:rPr>
              <w:t>招标代理服务费等，投标人综合考虑相应风险，包含在投标总价中</w:t>
            </w:r>
            <w:r>
              <w:rPr>
                <w:rFonts w:hint="eastAsia" w:ascii="仿宋" w:hAnsi="仿宋" w:eastAsia="仿宋"/>
                <w:color w:val="auto"/>
                <w:kern w:val="0"/>
                <w:szCs w:val="21"/>
                <w:highlight w:val="none"/>
                <w:lang w:val="en-US" w:eastAsia="zh-CN"/>
              </w:rPr>
              <w:t>。</w:t>
            </w:r>
          </w:p>
          <w:p>
            <w:pPr>
              <w:numPr>
                <w:ilvl w:val="0"/>
                <w:numId w:val="1"/>
              </w:numPr>
              <w:snapToGrid w:val="0"/>
              <w:rPr>
                <w:rFonts w:ascii="仿宋" w:hAnsi="仿宋" w:eastAsia="仿宋"/>
                <w:color w:val="auto"/>
                <w:kern w:val="0"/>
                <w:szCs w:val="21"/>
                <w:highlight w:val="none"/>
              </w:rPr>
            </w:pPr>
            <w:r>
              <w:rPr>
                <w:rFonts w:hint="eastAsia" w:ascii="仿宋" w:hAnsi="仿宋" w:eastAsia="仿宋"/>
                <w:color w:val="auto"/>
                <w:kern w:val="0"/>
                <w:szCs w:val="21"/>
                <w:highlight w:val="none"/>
              </w:rPr>
              <w:t>采购代理服务费，收费标准：按计价格【2002】1980号《招标代理服务收费管理办法》规定的服务招标收费标准</w:t>
            </w:r>
            <w:r>
              <w:rPr>
                <w:rFonts w:hint="eastAsia" w:ascii="仿宋" w:hAnsi="仿宋" w:eastAsia="仿宋"/>
                <w:color w:val="auto"/>
                <w:kern w:val="0"/>
                <w:szCs w:val="21"/>
                <w:highlight w:val="none"/>
                <w:lang w:eastAsia="zh-CN"/>
              </w:rPr>
              <w:t>的</w:t>
            </w:r>
            <w:r>
              <w:rPr>
                <w:rFonts w:hint="eastAsia" w:ascii="仿宋" w:hAnsi="仿宋" w:eastAsia="仿宋"/>
                <w:color w:val="auto"/>
                <w:kern w:val="0"/>
                <w:szCs w:val="21"/>
                <w:highlight w:val="none"/>
                <w:lang w:val="en-US" w:eastAsia="zh-CN"/>
              </w:rPr>
              <w:t>6折计取</w:t>
            </w:r>
            <w:r>
              <w:rPr>
                <w:rFonts w:hint="eastAsia" w:ascii="仿宋" w:hAnsi="仿宋" w:eastAsia="仿宋"/>
                <w:color w:val="auto"/>
                <w:kern w:val="0"/>
                <w:szCs w:val="21"/>
                <w:highlight w:val="none"/>
              </w:rPr>
              <w:t>，由中标人在领取中标通知书之前支付给招标代理机构，代理服务费包含在报价总价中。</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14</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投标保证金</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auto"/>
                <w:szCs w:val="21"/>
                <w:highlight w:val="none"/>
                <w:u w:val="single"/>
              </w:rPr>
            </w:pPr>
            <w:r>
              <w:rPr>
                <w:rFonts w:ascii="仿宋" w:hAnsi="仿宋" w:eastAsia="仿宋"/>
                <w:color w:val="auto"/>
                <w:szCs w:val="21"/>
                <w:highlight w:val="none"/>
                <w:u w:val="single"/>
              </w:rPr>
              <w:sym w:font="Wingdings" w:char="F0FE"/>
            </w:r>
            <w:r>
              <w:rPr>
                <w:rFonts w:hint="eastAsia" w:ascii="仿宋" w:hAnsi="仿宋" w:eastAsia="仿宋"/>
                <w:color w:val="auto"/>
                <w:szCs w:val="21"/>
                <w:highlight w:val="none"/>
                <w:u w:val="single"/>
              </w:rPr>
              <w:t>无需提交</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15</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投标有效期</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u w:val="single"/>
              </w:rPr>
              <w:t>90</w:t>
            </w:r>
            <w:r>
              <w:rPr>
                <w:rFonts w:hint="eastAsia" w:ascii="仿宋" w:hAnsi="仿宋" w:eastAsia="仿宋" w:cs="新宋体"/>
                <w:color w:val="auto"/>
                <w:kern w:val="0"/>
                <w:szCs w:val="21"/>
                <w:highlight w:val="none"/>
              </w:rPr>
              <w:t>天</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1</w:t>
            </w:r>
            <w:r>
              <w:rPr>
                <w:rFonts w:ascii="仿宋" w:hAnsi="仿宋" w:eastAsia="仿宋" w:cs="新宋体"/>
                <w:color w:val="auto"/>
                <w:kern w:val="0"/>
                <w:szCs w:val="21"/>
                <w:highlight w:val="none"/>
              </w:rPr>
              <w:t>7</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备份投标文件的递交地点</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新宋体"/>
                <w:color w:val="auto"/>
                <w:kern w:val="0"/>
                <w:szCs w:val="21"/>
                <w:highlight w:val="none"/>
                <w:u w:val="single"/>
                <w:lang w:eastAsia="zh-CN"/>
              </w:rPr>
            </w:pPr>
            <w:r>
              <w:rPr>
                <w:rFonts w:hint="eastAsia" w:ascii="仿宋" w:hAnsi="仿宋" w:eastAsia="仿宋" w:cs="仿宋_GB2312"/>
                <w:color w:val="auto"/>
                <w:szCs w:val="21"/>
                <w:highlight w:val="none"/>
                <w:lang w:val="zh-CN"/>
              </w:rPr>
              <w:t>在投标截止时间前发送到</w:t>
            </w:r>
            <w:r>
              <w:rPr>
                <w:rFonts w:hint="eastAsia" w:ascii="仿宋" w:hAnsi="仿宋" w:eastAsia="仿宋" w:cs="仿宋_GB2312"/>
                <w:color w:val="auto"/>
                <w:szCs w:val="21"/>
                <w:highlight w:val="none"/>
              </w:rPr>
              <w:t>邮箱：</w:t>
            </w:r>
            <w:r>
              <w:rPr>
                <w:rFonts w:hint="eastAsia" w:ascii="仿宋" w:hAnsi="仿宋" w:eastAsia="仿宋" w:cs="仿宋_GB2312"/>
                <w:color w:val="auto"/>
                <w:szCs w:val="21"/>
                <w:highlight w:val="none"/>
                <w:lang w:val="en-US" w:eastAsia="zh-CN"/>
              </w:rPr>
              <w:t>197601202</w:t>
            </w:r>
            <w:r>
              <w:rPr>
                <w:rFonts w:hint="eastAsia" w:ascii="仿宋" w:hAnsi="仿宋" w:eastAsia="仿宋" w:cs="仿宋_GB2312"/>
                <w:color w:val="auto"/>
                <w:szCs w:val="21"/>
                <w:highlight w:val="none"/>
                <w:lang w:eastAsia="zh-CN"/>
              </w:rPr>
              <w:t>@qq.com</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rPr>
              <w:t>28.1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rPr>
              <w:t>履约保证金</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snapToGrid w:val="0"/>
                <w:color w:val="auto"/>
                <w:szCs w:val="21"/>
                <w:highlight w:val="none"/>
              </w:rPr>
              <w:t>需</w:t>
            </w:r>
            <w:r>
              <w:rPr>
                <w:rFonts w:hint="eastAsia" w:ascii="仿宋" w:hAnsi="仿宋" w:eastAsia="仿宋" w:cs="新宋体"/>
                <w:color w:val="auto"/>
                <w:szCs w:val="21"/>
                <w:highlight w:val="none"/>
              </w:rPr>
              <w:t>要，中标人需提供</w:t>
            </w:r>
            <w:r>
              <w:rPr>
                <w:rFonts w:hint="eastAsia" w:ascii="仿宋" w:hAnsi="仿宋" w:eastAsia="仿宋" w:cs="新宋体"/>
                <w:color w:val="auto"/>
                <w:szCs w:val="21"/>
                <w:highlight w:val="none"/>
                <w:lang w:eastAsia="zh-CN"/>
              </w:rPr>
              <w:t>合同价的</w:t>
            </w:r>
            <w:r>
              <w:rPr>
                <w:rFonts w:hint="eastAsia" w:ascii="仿宋" w:hAnsi="仿宋" w:eastAsia="仿宋" w:cs="新宋体"/>
                <w:color w:val="auto"/>
                <w:szCs w:val="21"/>
                <w:highlight w:val="none"/>
                <w:lang w:val="en-US" w:eastAsia="zh-CN"/>
              </w:rPr>
              <w:t>1%</w:t>
            </w:r>
            <w:r>
              <w:rPr>
                <w:rFonts w:hint="eastAsia" w:ascii="仿宋" w:hAnsi="仿宋" w:eastAsia="仿宋" w:cs="新宋体"/>
                <w:color w:val="auto"/>
                <w:szCs w:val="21"/>
                <w:highlight w:val="none"/>
              </w:rPr>
              <w:t>作为履约保证金。</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szCs w:val="21"/>
                <w:highlight w:val="none"/>
              </w:rPr>
              <w:t>32</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其他说明</w:t>
            </w:r>
          </w:p>
        </w:tc>
        <w:tc>
          <w:tcPr>
            <w:tcW w:w="62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highlight w:val="none"/>
              </w:rPr>
            </w:pPr>
            <w:r>
              <w:rPr>
                <w:rFonts w:hint="eastAsia" w:ascii="仿宋" w:hAnsi="仿宋" w:eastAsia="仿宋"/>
                <w:color w:val="auto"/>
                <w:szCs w:val="21"/>
                <w:highlight w:val="none"/>
              </w:rPr>
              <w:t>1、</w:t>
            </w:r>
            <w:r>
              <w:rPr>
                <w:rFonts w:hint="eastAsia" w:ascii="仿宋" w:hAnsi="仿宋" w:eastAsia="仿宋"/>
                <w:color w:val="auto"/>
                <w:highlight w:val="none"/>
              </w:rPr>
              <w:t>招标文件</w:t>
            </w:r>
            <w:r>
              <w:rPr>
                <w:rFonts w:ascii="仿宋" w:hAnsi="仿宋" w:eastAsia="仿宋"/>
                <w:color w:val="auto"/>
                <w:szCs w:val="21"/>
                <w:highlight w:val="none"/>
              </w:rPr>
              <w:t>各个组成</w:t>
            </w:r>
            <w:r>
              <w:rPr>
                <w:rFonts w:hint="eastAsia" w:ascii="仿宋" w:hAnsi="仿宋" w:eastAsia="仿宋"/>
                <w:color w:val="auto"/>
                <w:szCs w:val="21"/>
                <w:highlight w:val="none"/>
              </w:rPr>
              <w:t>部分</w:t>
            </w:r>
            <w:r>
              <w:rPr>
                <w:rFonts w:hint="eastAsia" w:ascii="仿宋" w:hAnsi="仿宋" w:eastAsia="仿宋"/>
                <w:color w:val="auto"/>
                <w:highlight w:val="none"/>
              </w:rPr>
              <w:t>中出现的措辞“发包人”和“承包人”，或者“甲方”和“乙方”（或“中标供应商”）等，在采购阶段应当分别按“采购人”和“投标人”进行理解，其中“中标供应商”与“中标人”同义。</w:t>
            </w:r>
          </w:p>
          <w:p>
            <w:pPr>
              <w:snapToGrid w:val="0"/>
              <w:rPr>
                <w:rFonts w:ascii="仿宋" w:hAnsi="仿宋" w:eastAsia="仿宋"/>
                <w:color w:val="auto"/>
                <w:szCs w:val="21"/>
                <w:highlight w:val="none"/>
              </w:rPr>
            </w:pPr>
            <w:r>
              <w:rPr>
                <w:rFonts w:hint="eastAsia" w:ascii="仿宋" w:hAnsi="仿宋" w:eastAsia="仿宋"/>
                <w:color w:val="auto"/>
                <w:szCs w:val="21"/>
                <w:highlight w:val="none"/>
              </w:rPr>
              <w:t>2、</w:t>
            </w:r>
            <w:r>
              <w:rPr>
                <w:rFonts w:ascii="仿宋" w:hAnsi="仿宋" w:eastAsia="仿宋"/>
                <w:color w:val="auto"/>
                <w:szCs w:val="21"/>
                <w:highlight w:val="none"/>
              </w:rPr>
              <w:t>构成本</w:t>
            </w:r>
            <w:r>
              <w:rPr>
                <w:rFonts w:hint="eastAsia" w:ascii="仿宋" w:hAnsi="仿宋" w:eastAsia="仿宋"/>
                <w:color w:val="auto"/>
                <w:szCs w:val="21"/>
                <w:highlight w:val="none"/>
              </w:rPr>
              <w:t>招标</w:t>
            </w:r>
            <w:r>
              <w:rPr>
                <w:rFonts w:ascii="仿宋" w:hAnsi="仿宋" w:eastAsia="仿宋"/>
                <w:color w:val="auto"/>
                <w:szCs w:val="21"/>
                <w:highlight w:val="none"/>
              </w:rPr>
              <w:t>文件的各个组成文件应互为解释，互为说明；如有不明确或不一致，构成合同文件组成内容的，以合同文件约定内容为准，且以专用合同条款约定的合同文件优先顺序解释；仅适用于采购阶段的约定，按招标公告、投标人须知、评标办法、</w:t>
            </w:r>
            <w:r>
              <w:rPr>
                <w:rFonts w:hint="eastAsia" w:ascii="仿宋" w:hAnsi="仿宋" w:eastAsia="仿宋"/>
                <w:color w:val="auto"/>
                <w:szCs w:val="21"/>
                <w:highlight w:val="none"/>
              </w:rPr>
              <w:t>应提交的有关格式范例</w:t>
            </w:r>
            <w:r>
              <w:rPr>
                <w:rFonts w:ascii="仿宋" w:hAnsi="仿宋" w:eastAsia="仿宋"/>
                <w:color w:val="auto"/>
                <w:szCs w:val="21"/>
                <w:highlight w:val="none"/>
              </w:rPr>
              <w:t>的先后顺序解释；投标人须知、评标办法</w:t>
            </w:r>
            <w:r>
              <w:rPr>
                <w:rFonts w:hint="eastAsia" w:ascii="仿宋" w:hAnsi="仿宋" w:eastAsia="仿宋"/>
                <w:color w:val="auto"/>
                <w:szCs w:val="21"/>
                <w:highlight w:val="none"/>
              </w:rPr>
              <w:t>及</w:t>
            </w:r>
            <w:r>
              <w:rPr>
                <w:rFonts w:ascii="仿宋" w:hAnsi="仿宋" w:eastAsia="仿宋"/>
                <w:color w:val="auto"/>
                <w:szCs w:val="21"/>
                <w:highlight w:val="none"/>
              </w:rPr>
              <w:t>专用合同条款</w:t>
            </w:r>
            <w:r>
              <w:rPr>
                <w:rFonts w:hint="eastAsia" w:ascii="仿宋" w:hAnsi="仿宋" w:eastAsia="仿宋"/>
                <w:color w:val="auto"/>
                <w:szCs w:val="21"/>
                <w:highlight w:val="none"/>
              </w:rPr>
              <w:t>的前附表与正文的约定不一致的，以前附表的约定为准；</w:t>
            </w:r>
            <w:r>
              <w:rPr>
                <w:rFonts w:ascii="仿宋" w:hAnsi="仿宋" w:eastAsia="仿宋"/>
                <w:color w:val="auto"/>
                <w:szCs w:val="21"/>
                <w:highlight w:val="none"/>
              </w:rPr>
              <w:t>同一文件中就同一事项的约定不一致的，以逻辑顺序在后者为准；同一文件不同版本之间有不一致的，以形成时间在后者为准。按本款前述约定仍不能形成结论的，由采购人负责解释。</w:t>
            </w:r>
          </w:p>
          <w:p>
            <w:pPr>
              <w:snapToGrid w:val="0"/>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本项目采用电子招投标，开标现场组织人员在政采云平台在线公布投标文件解密情况并组织签署《政府采购活动现场确认声明书》（投标文件解密结束后，采购代理机构将以E-mail电子邮件形式统一向所有成功解密投标文件的投标人送达“要求签署和提交《政府采购活动现场确认声明书》”的通知。投标人应当在送达通知后30分钟内完成《政府采购活动现场确认声明书》的提交）；</w:t>
            </w:r>
          </w:p>
          <w:p>
            <w:pPr>
              <w:snapToGrid w:val="0"/>
              <w:rPr>
                <w:rFonts w:ascii="仿宋" w:hAnsi="仿宋" w:eastAsia="仿宋" w:cs="新宋体"/>
                <w:bCs/>
                <w:color w:val="auto"/>
                <w:szCs w:val="21"/>
                <w:highlight w:val="none"/>
              </w:rPr>
            </w:pPr>
            <w:r>
              <w:rPr>
                <w:rFonts w:ascii="仿宋" w:hAnsi="仿宋" w:eastAsia="仿宋"/>
                <w:color w:val="auto"/>
                <w:szCs w:val="21"/>
                <w:highlight w:val="none"/>
              </w:rPr>
              <w:t>4</w:t>
            </w:r>
            <w:r>
              <w:rPr>
                <w:rFonts w:hint="eastAsia" w:ascii="仿宋" w:hAnsi="仿宋" w:eastAsia="仿宋"/>
                <w:color w:val="auto"/>
                <w:szCs w:val="21"/>
                <w:highlight w:val="none"/>
              </w:rPr>
              <w:t>、</w:t>
            </w:r>
            <w:r>
              <w:rPr>
                <w:rFonts w:hint="eastAsia" w:ascii="仿宋" w:hAnsi="仿宋" w:eastAsia="仿宋" w:cs="新宋体"/>
                <w:bCs/>
                <w:color w:val="auto"/>
                <w:szCs w:val="21"/>
                <w:highlight w:val="none"/>
              </w:rPr>
              <w:t>中标人在领取中标通知书时应提供与电子投标文件内容一致的纸质投标文件（一正二副）。</w:t>
            </w:r>
          </w:p>
        </w:tc>
      </w:tr>
    </w:tbl>
    <w:p>
      <w:pPr>
        <w:rPr>
          <w:color w:val="auto"/>
          <w:highlight w:val="none"/>
        </w:rPr>
      </w:pPr>
      <w:bookmarkStart w:id="1" w:name="_Toc239145351"/>
      <w:bookmarkStart w:id="2" w:name="_Toc223715995"/>
      <w:bookmarkStart w:id="3" w:name="_Toc222114876"/>
      <w:bookmarkStart w:id="4" w:name="_Toc221356883"/>
      <w:bookmarkStart w:id="5" w:name="_Toc221356948"/>
      <w:bookmarkStart w:id="6" w:name="_Toc265529380"/>
      <w:bookmarkStart w:id="7" w:name="_Toc241404199"/>
      <w:bookmarkStart w:id="8" w:name="_Toc34508130"/>
      <w:bookmarkStart w:id="9" w:name="_Toc221423616"/>
      <w:bookmarkStart w:id="10" w:name="_Toc221374623"/>
      <w:r>
        <w:rPr>
          <w:color w:val="auto"/>
          <w:highlight w:val="none"/>
        </w:rPr>
        <w:br w:type="page"/>
      </w:r>
    </w:p>
    <w:p>
      <w:pPr>
        <w:spacing w:line="360" w:lineRule="auto"/>
        <w:jc w:val="center"/>
        <w:outlineLvl w:val="1"/>
        <w:rPr>
          <w:rFonts w:ascii="仿宋" w:hAnsi="仿宋" w:eastAsia="仿宋" w:cs="新宋体"/>
          <w:b/>
          <w:color w:val="auto"/>
          <w:sz w:val="28"/>
          <w:szCs w:val="28"/>
          <w:highlight w:val="none"/>
        </w:rPr>
      </w:pPr>
      <w:r>
        <w:rPr>
          <w:rFonts w:hint="eastAsia" w:ascii="仿宋" w:hAnsi="仿宋" w:eastAsia="仿宋" w:cs="新宋体"/>
          <w:b/>
          <w:color w:val="auto"/>
          <w:sz w:val="28"/>
          <w:szCs w:val="28"/>
          <w:highlight w:val="none"/>
        </w:rPr>
        <w:t>一、</w:t>
      </w:r>
      <w:bookmarkEnd w:id="1"/>
      <w:bookmarkEnd w:id="2"/>
      <w:bookmarkEnd w:id="3"/>
      <w:bookmarkEnd w:id="4"/>
      <w:bookmarkEnd w:id="5"/>
      <w:bookmarkEnd w:id="6"/>
      <w:bookmarkEnd w:id="7"/>
      <w:bookmarkEnd w:id="8"/>
      <w:bookmarkEnd w:id="9"/>
      <w:bookmarkEnd w:id="10"/>
      <w:r>
        <w:rPr>
          <w:rFonts w:hint="eastAsia" w:ascii="仿宋" w:hAnsi="仿宋" w:eastAsia="仿宋" w:cs="新宋体"/>
          <w:b/>
          <w:color w:val="auto"/>
          <w:sz w:val="28"/>
          <w:szCs w:val="28"/>
          <w:highlight w:val="none"/>
        </w:rPr>
        <w:t>总则</w:t>
      </w:r>
    </w:p>
    <w:p>
      <w:pPr>
        <w:tabs>
          <w:tab w:val="left" w:pos="540"/>
          <w:tab w:val="left" w:pos="900"/>
        </w:tabs>
        <w:snapToGrid w:val="0"/>
        <w:spacing w:line="360" w:lineRule="auto"/>
        <w:rPr>
          <w:rFonts w:ascii="仿宋" w:hAnsi="仿宋" w:eastAsia="仿宋" w:cs="新宋体"/>
          <w:b/>
          <w:color w:val="auto"/>
          <w:sz w:val="24"/>
          <w:highlight w:val="none"/>
        </w:rPr>
      </w:pPr>
      <w:r>
        <w:rPr>
          <w:rFonts w:hint="eastAsia" w:ascii="仿宋" w:hAnsi="仿宋" w:eastAsia="仿宋" w:cs="新宋体"/>
          <w:b/>
          <w:color w:val="auto"/>
          <w:sz w:val="24"/>
          <w:highlight w:val="none"/>
        </w:rPr>
        <w:t>1.总说明</w:t>
      </w:r>
    </w:p>
    <w:p>
      <w:pPr>
        <w:tabs>
          <w:tab w:val="left" w:pos="540"/>
          <w:tab w:val="left" w:pos="90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本项目采购是按照《中华人民共和国政府采购法》《中华人民共和国政府采购法实施条例》《关于进一步规范政府采购活动的若干意见》等法律及有关法规组织和实施的。</w:t>
      </w:r>
    </w:p>
    <w:p>
      <w:pPr>
        <w:tabs>
          <w:tab w:val="left" w:pos="540"/>
          <w:tab w:val="left" w:pos="900"/>
        </w:tabs>
        <w:snapToGrid w:val="0"/>
        <w:spacing w:line="360" w:lineRule="auto"/>
        <w:rPr>
          <w:rFonts w:ascii="仿宋" w:hAnsi="仿宋" w:eastAsia="仿宋"/>
          <w:b/>
          <w:color w:val="auto"/>
          <w:sz w:val="24"/>
          <w:highlight w:val="none"/>
        </w:rPr>
      </w:pPr>
      <w:bookmarkStart w:id="11" w:name="_Hlk93147856"/>
      <w:r>
        <w:rPr>
          <w:rFonts w:hint="eastAsia" w:ascii="仿宋" w:hAnsi="仿宋" w:eastAsia="仿宋" w:cs="新宋体"/>
          <w:b/>
          <w:bCs/>
          <w:color w:val="auto"/>
          <w:sz w:val="24"/>
          <w:highlight w:val="none"/>
        </w:rPr>
        <w:t>2.</w:t>
      </w:r>
      <w:r>
        <w:rPr>
          <w:rFonts w:hint="eastAsia" w:ascii="仿宋" w:hAnsi="仿宋" w:eastAsia="仿宋"/>
          <w:b/>
          <w:color w:val="auto"/>
          <w:sz w:val="24"/>
          <w:highlight w:val="none"/>
        </w:rPr>
        <w:t>采购项目</w:t>
      </w:r>
    </w:p>
    <w:p>
      <w:pPr>
        <w:tabs>
          <w:tab w:val="left" w:pos="540"/>
          <w:tab w:val="left" w:pos="900"/>
        </w:tabs>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2.1采购项目的基本情况见招标公告，采购需求见招标文件第三部分“采购需求”。项目采购标的对应的行业划分、项目属性、是否允许分包、是否允许偏离等情况见投标人须知前附表。</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2.2采用最低评标价法的</w:t>
      </w:r>
      <w:r>
        <w:rPr>
          <w:rFonts w:hint="eastAsia" w:ascii="仿宋" w:hAnsi="仿宋" w:eastAsia="仿宋"/>
          <w:color w:val="auto"/>
          <w:sz w:val="24"/>
          <w:highlight w:val="none"/>
        </w:rPr>
        <w:t>货物类</w:t>
      </w:r>
      <w:r>
        <w:rPr>
          <w:rFonts w:hint="eastAsia" w:ascii="仿宋" w:hAnsi="仿宋" w:eastAsia="仿宋" w:cs="新宋体"/>
          <w:bCs/>
          <w:color w:val="auto"/>
          <w:spacing w:val="6"/>
          <w:sz w:val="24"/>
          <w:highlight w:val="none"/>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使用综合评分法的</w:t>
      </w:r>
      <w:r>
        <w:rPr>
          <w:rFonts w:hint="eastAsia" w:ascii="仿宋" w:hAnsi="仿宋" w:eastAsia="仿宋"/>
          <w:color w:val="auto"/>
          <w:sz w:val="24"/>
          <w:highlight w:val="none"/>
        </w:rPr>
        <w:t>货物类</w:t>
      </w:r>
      <w:r>
        <w:rPr>
          <w:rFonts w:hint="eastAsia" w:ascii="仿宋" w:hAnsi="仿宋" w:eastAsia="仿宋" w:cs="新宋体"/>
          <w:bCs/>
          <w:color w:val="auto"/>
          <w:spacing w:val="6"/>
          <w:sz w:val="24"/>
          <w:highlight w:val="none"/>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非单一产品采购项目，多家投标人提供的核心产品（见</w:t>
      </w:r>
      <w:r>
        <w:rPr>
          <w:rFonts w:hint="eastAsia" w:ascii="仿宋" w:hAnsi="仿宋" w:eastAsia="仿宋"/>
          <w:color w:val="auto"/>
          <w:sz w:val="24"/>
          <w:highlight w:val="none"/>
        </w:rPr>
        <w:t>投标人须知前附表</w:t>
      </w:r>
      <w:r>
        <w:rPr>
          <w:rFonts w:hint="eastAsia" w:ascii="仿宋" w:hAnsi="仿宋" w:eastAsia="仿宋" w:cs="新宋体"/>
          <w:bCs/>
          <w:color w:val="auto"/>
          <w:spacing w:val="6"/>
          <w:sz w:val="24"/>
          <w:highlight w:val="none"/>
        </w:rPr>
        <w:t>）品牌相同的，按前两款规定处理。</w:t>
      </w:r>
    </w:p>
    <w:p>
      <w:pPr>
        <w:snapToGrid w:val="0"/>
        <w:spacing w:line="360" w:lineRule="auto"/>
        <w:ind w:firstLine="480" w:firstLineChars="200"/>
        <w:rPr>
          <w:rFonts w:ascii="仿宋" w:hAnsi="仿宋" w:eastAsia="仿宋" w:cs="新宋体"/>
          <w:bCs/>
          <w:color w:val="auto"/>
          <w:spacing w:val="6"/>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.3</w:t>
      </w:r>
      <w:r>
        <w:rPr>
          <w:rFonts w:hint="eastAsia" w:ascii="仿宋" w:hAnsi="仿宋" w:eastAsia="仿宋"/>
          <w:color w:val="auto"/>
          <w:sz w:val="24"/>
          <w:highlight w:val="none"/>
        </w:rPr>
        <w:t>货物类是否允许采购进口产品、是否要求节能/环境标志产品等情况见投标人须知前附表。</w:t>
      </w:r>
      <w:bookmarkEnd w:id="11"/>
    </w:p>
    <w:p>
      <w:pPr>
        <w:tabs>
          <w:tab w:val="left" w:pos="540"/>
          <w:tab w:val="left" w:pos="900"/>
        </w:tabs>
        <w:snapToGrid w:val="0"/>
        <w:spacing w:line="360" w:lineRule="auto"/>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3.合格的投标人</w:t>
      </w:r>
    </w:p>
    <w:p>
      <w:pPr>
        <w:tabs>
          <w:tab w:val="left" w:pos="540"/>
          <w:tab w:val="left" w:pos="900"/>
        </w:tabs>
        <w:snapToGrid w:val="0"/>
        <w:spacing w:line="360" w:lineRule="auto"/>
        <w:ind w:firstLine="480" w:firstLineChars="200"/>
        <w:rPr>
          <w:rFonts w:ascii="仿宋" w:hAnsi="仿宋" w:eastAsia="仿宋" w:cs="新宋体"/>
          <w:bCs/>
          <w:color w:val="auto"/>
          <w:sz w:val="24"/>
          <w:highlight w:val="none"/>
        </w:rPr>
      </w:pPr>
      <w:r>
        <w:rPr>
          <w:rFonts w:hint="eastAsia" w:ascii="仿宋" w:hAnsi="仿宋" w:eastAsia="仿宋" w:cs="新宋体"/>
          <w:bCs/>
          <w:color w:val="auto"/>
          <w:sz w:val="24"/>
          <w:highlight w:val="none"/>
        </w:rPr>
        <w:t>3.1合格的投标人应满足招标文件第一部分“招标公告”对申请人的资格要求。</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3.2</w:t>
      </w:r>
      <w:r>
        <w:rPr>
          <w:rFonts w:hint="eastAsia" w:ascii="仿宋" w:hAnsi="仿宋" w:eastAsia="仿宋" w:cs="新宋体"/>
          <w:b/>
          <w:color w:val="auto"/>
          <w:kern w:val="0"/>
          <w:sz w:val="24"/>
          <w:highlight w:val="none"/>
          <w:u w:val="single"/>
        </w:rPr>
        <w:t>▲</w:t>
      </w:r>
      <w:r>
        <w:rPr>
          <w:rFonts w:hint="eastAsia" w:ascii="仿宋" w:hAnsi="仿宋" w:eastAsia="仿宋" w:cs="新宋体"/>
          <w:b/>
          <w:bCs/>
          <w:color w:val="auto"/>
          <w:spacing w:val="6"/>
          <w:sz w:val="24"/>
          <w:highlight w:val="none"/>
          <w:u w:val="singl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r>
        <w:rPr>
          <w:rFonts w:hint="eastAsia" w:ascii="仿宋" w:hAnsi="仿宋" w:eastAsia="仿宋" w:cs="新宋体"/>
          <w:bCs/>
          <w:color w:val="auto"/>
          <w:spacing w:val="6"/>
          <w:sz w:val="24"/>
          <w:highlight w:val="none"/>
        </w:rPr>
        <w:t>。</w:t>
      </w:r>
    </w:p>
    <w:p>
      <w:pPr>
        <w:tabs>
          <w:tab w:val="left" w:pos="540"/>
          <w:tab w:val="left" w:pos="90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pPr>
        <w:tabs>
          <w:tab w:val="left" w:pos="540"/>
          <w:tab w:val="left" w:pos="900"/>
        </w:tabs>
        <w:snapToGrid w:val="0"/>
        <w:spacing w:line="360" w:lineRule="auto"/>
        <w:rPr>
          <w:rFonts w:ascii="仿宋" w:hAnsi="仿宋" w:eastAsia="仿宋" w:cs="新宋体"/>
          <w:b/>
          <w:color w:val="auto"/>
          <w:sz w:val="24"/>
          <w:highlight w:val="none"/>
        </w:rPr>
      </w:pPr>
      <w:r>
        <w:rPr>
          <w:rFonts w:hint="eastAsia" w:ascii="仿宋" w:hAnsi="仿宋" w:eastAsia="仿宋" w:cs="新宋体"/>
          <w:b/>
          <w:color w:val="auto"/>
          <w:sz w:val="24"/>
          <w:highlight w:val="none"/>
        </w:rPr>
        <w:t>4.投标费用</w:t>
      </w:r>
    </w:p>
    <w:p>
      <w:pPr>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投标人应承担所有与准备和参加投标有关费用，不论投标的结果如何，采购人和采购代理机构均无义务和责任承担这些费用。</w:t>
      </w:r>
    </w:p>
    <w:p>
      <w:pPr>
        <w:tabs>
          <w:tab w:val="left" w:pos="540"/>
          <w:tab w:val="left" w:pos="900"/>
        </w:tabs>
        <w:snapToGrid w:val="0"/>
        <w:spacing w:line="360" w:lineRule="auto"/>
        <w:rPr>
          <w:rFonts w:ascii="仿宋" w:hAnsi="仿宋" w:eastAsia="仿宋" w:cs="新宋体"/>
          <w:b/>
          <w:color w:val="auto"/>
          <w:sz w:val="24"/>
          <w:highlight w:val="none"/>
        </w:rPr>
      </w:pPr>
      <w:bookmarkStart w:id="12" w:name="_Hlk93148567"/>
      <w:r>
        <w:rPr>
          <w:rFonts w:hint="eastAsia" w:ascii="仿宋" w:hAnsi="仿宋" w:eastAsia="仿宋" w:cs="新宋体"/>
          <w:b/>
          <w:color w:val="auto"/>
          <w:sz w:val="24"/>
          <w:highlight w:val="none"/>
        </w:rPr>
        <w:t>5.保密</w:t>
      </w:r>
    </w:p>
    <w:p>
      <w:pPr>
        <w:snapToGrid w:val="0"/>
        <w:spacing w:line="360" w:lineRule="auto"/>
        <w:ind w:firstLine="480" w:firstLineChars="200"/>
        <w:rPr>
          <w:rFonts w:ascii="仿宋" w:hAnsi="仿宋" w:eastAsia="仿宋" w:cs="新宋体"/>
          <w:color w:val="auto"/>
          <w:sz w:val="24"/>
          <w:highlight w:val="none"/>
        </w:rPr>
      </w:pPr>
      <w:r>
        <w:rPr>
          <w:rFonts w:ascii="仿宋" w:hAnsi="仿宋" w:eastAsia="仿宋" w:cs="新宋体"/>
          <w:color w:val="auto"/>
          <w:sz w:val="24"/>
          <w:highlight w:val="none"/>
        </w:rPr>
        <w:t>参与</w:t>
      </w:r>
      <w:r>
        <w:rPr>
          <w:rFonts w:hint="eastAsia" w:ascii="仿宋" w:hAnsi="仿宋" w:eastAsia="仿宋" w:cs="新宋体"/>
          <w:color w:val="auto"/>
          <w:sz w:val="24"/>
          <w:highlight w:val="none"/>
        </w:rPr>
        <w:t>采购</w:t>
      </w:r>
      <w:r>
        <w:rPr>
          <w:rFonts w:ascii="仿宋" w:hAnsi="仿宋" w:eastAsia="仿宋" w:cs="新宋体"/>
          <w:color w:val="auto"/>
          <w:sz w:val="24"/>
          <w:highlight w:val="none"/>
        </w:rPr>
        <w:t>活动的各方应对采购文件和投标文件中的商业和技术等秘密保密，否则应承担相应的法律责任。</w:t>
      </w:r>
    </w:p>
    <w:p>
      <w:pPr>
        <w:snapToGrid w:val="0"/>
        <w:spacing w:line="360" w:lineRule="auto"/>
        <w:rPr>
          <w:rFonts w:ascii="仿宋" w:hAnsi="仿宋" w:eastAsia="仿宋" w:cs="新宋体"/>
          <w:b/>
          <w:bCs/>
          <w:color w:val="auto"/>
          <w:spacing w:val="6"/>
          <w:sz w:val="24"/>
          <w:highlight w:val="none"/>
        </w:rPr>
      </w:pPr>
      <w:r>
        <w:rPr>
          <w:rFonts w:hint="eastAsia" w:ascii="仿宋" w:hAnsi="仿宋" w:eastAsia="仿宋" w:cs="新宋体"/>
          <w:b/>
          <w:bCs/>
          <w:color w:val="auto"/>
          <w:spacing w:val="6"/>
          <w:sz w:val="24"/>
          <w:highlight w:val="none"/>
        </w:rPr>
        <w:t>6.标前答疑会或现场考察</w:t>
      </w:r>
    </w:p>
    <w:p>
      <w:pPr>
        <w:pStyle w:val="22"/>
        <w:kinsoku w:val="0"/>
        <w:autoSpaceDE w:val="0"/>
        <w:autoSpaceDN w:val="0"/>
        <w:snapToGrid w:val="0"/>
        <w:spacing w:after="0" w:line="360" w:lineRule="auto"/>
        <w:ind w:firstLine="480" w:firstLineChars="200"/>
        <w:jc w:val="left"/>
        <w:rPr>
          <w:rFonts w:ascii="仿宋" w:hAnsi="仿宋" w:eastAsia="仿宋" w:cs="新宋体"/>
          <w:color w:val="auto"/>
          <w:sz w:val="24"/>
          <w:highlight w:val="none"/>
        </w:rPr>
      </w:pPr>
      <w:r>
        <w:rPr>
          <w:rFonts w:hint="eastAsia" w:ascii="仿宋" w:hAnsi="仿宋" w:eastAsia="仿宋" w:cs="新宋体"/>
          <w:color w:val="auto"/>
          <w:sz w:val="24"/>
          <w:highlight w:val="none"/>
        </w:rPr>
        <w:t>6.1投标人须知前附表规定组织标前答疑会或现场考察的，投标人可以按投标人须知前附表规定的时间、地点参加标前答疑会或现场考察，以了解采购项目的场地和相关周边环境的情况、要求采购人澄清投标人提出的问题。</w:t>
      </w:r>
      <w:bookmarkStart w:id="13" w:name="bookmark32"/>
      <w:bookmarkEnd w:id="13"/>
    </w:p>
    <w:p>
      <w:pPr>
        <w:pStyle w:val="22"/>
        <w:kinsoku w:val="0"/>
        <w:autoSpaceDE w:val="0"/>
        <w:autoSpaceDN w:val="0"/>
        <w:snapToGrid w:val="0"/>
        <w:spacing w:after="0" w:line="360" w:lineRule="auto"/>
        <w:ind w:firstLine="480" w:firstLineChars="200"/>
        <w:jc w:val="left"/>
        <w:rPr>
          <w:rFonts w:ascii="仿宋" w:hAnsi="仿宋" w:eastAsia="仿宋" w:cs="新宋体"/>
          <w:color w:val="auto"/>
          <w:sz w:val="24"/>
          <w:highlight w:val="none"/>
        </w:rPr>
      </w:pPr>
      <w:r>
        <w:rPr>
          <w:rFonts w:hint="eastAsia" w:ascii="仿宋" w:hAnsi="仿宋" w:eastAsia="仿宋" w:cs="新宋体"/>
          <w:color w:val="auto"/>
          <w:sz w:val="24"/>
          <w:highlight w:val="none"/>
        </w:rPr>
        <w:t>6.2投标人考察现场发生的费用自理。除采购人的原因外，投标人自行负责在考察现场中所发生的人员伤亡和财产损失。</w:t>
      </w:r>
    </w:p>
    <w:bookmarkEnd w:id="12"/>
    <w:p>
      <w:pPr>
        <w:snapToGrid w:val="0"/>
        <w:spacing w:line="360" w:lineRule="auto"/>
        <w:rPr>
          <w:rFonts w:ascii="仿宋" w:hAnsi="仿宋" w:eastAsia="仿宋" w:cs="新宋体"/>
          <w:b/>
          <w:bCs/>
          <w:color w:val="auto"/>
          <w:spacing w:val="6"/>
          <w:sz w:val="24"/>
          <w:highlight w:val="none"/>
        </w:rPr>
      </w:pPr>
      <w:bookmarkStart w:id="14" w:name="_Hlk93148676"/>
      <w:r>
        <w:rPr>
          <w:rFonts w:hint="eastAsia" w:ascii="仿宋" w:hAnsi="仿宋" w:eastAsia="仿宋" w:cs="新宋体"/>
          <w:b/>
          <w:bCs/>
          <w:color w:val="auto"/>
          <w:spacing w:val="6"/>
          <w:sz w:val="24"/>
          <w:highlight w:val="none"/>
        </w:rPr>
        <w:t>7.落实政府采购政策</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7.2支持绿色发展</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新宋体"/>
          <w:b/>
          <w:bCs/>
          <w:color w:val="auto"/>
          <w:spacing w:val="6"/>
          <w:sz w:val="24"/>
          <w:highlight w:val="none"/>
          <w:u w:val="singl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新宋体"/>
          <w:bCs/>
          <w:color w:val="auto"/>
          <w:spacing w:val="6"/>
          <w:sz w:val="24"/>
          <w:highlight w:val="none"/>
        </w:rPr>
        <w:t>。</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7.2.</w:t>
      </w:r>
      <w:r>
        <w:rPr>
          <w:rFonts w:ascii="仿宋" w:hAnsi="仿宋" w:eastAsia="仿宋" w:cs="新宋体"/>
          <w:bCs/>
          <w:color w:val="auto"/>
          <w:spacing w:val="6"/>
          <w:sz w:val="24"/>
          <w:highlight w:val="none"/>
        </w:rPr>
        <w:t>2</w:t>
      </w:r>
      <w:r>
        <w:rPr>
          <w:rFonts w:hint="eastAsia" w:ascii="仿宋" w:hAnsi="仿宋" w:eastAsia="仿宋" w:cs="新宋体"/>
          <w:bCs/>
          <w:color w:val="auto"/>
          <w:spacing w:val="6"/>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bookmarkEnd w:id="14"/>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7.3支持中小企业发展</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符合中小企业划分标准的个体工商户，在政府采购活动中视同中小企业。</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7.3.2在政府采购活动中，供应商提供的货物、工程或者服务符合下列情形的，享受中小企业扶持政策：</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（1）在货物采购项目中，货物由中小企业制造，即货物由中小企业生产且使用该中小企业商号或者注册商标；</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（2）在工程采购项目中，工程由中小企业承建，即工程施工单位为中小企业；</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（3）在服务采购项目中，服务由中小企业承接，即提供服务的人员为中小企业依照《中华人民共和国劳动合同法》订立劳动合同的从业人员。</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在货物采购项目中，供应商提供的货物既有中小企业制造货物，也有大型企业制造货物的，不享受中小企业扶持政策。</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7.3.3对于未预留份额专门面向中小企业采购的采购项目，以及预留份额项目中的非预留部分采购包，采购人、采购代理机构应当对符合规定的小微企业报价给予</w:t>
      </w:r>
      <w:r>
        <w:rPr>
          <w:rFonts w:hint="eastAsia" w:ascii="仿宋" w:hAnsi="仿宋" w:eastAsia="仿宋" w:cs="新宋体"/>
          <w:bCs/>
          <w:color w:val="auto"/>
          <w:spacing w:val="6"/>
          <w:sz w:val="24"/>
          <w:highlight w:val="none"/>
          <w:lang w:val="en-US" w:eastAsia="zh-CN"/>
        </w:rPr>
        <w:t>10-20</w:t>
      </w:r>
      <w:r>
        <w:rPr>
          <w:rFonts w:hint="eastAsia" w:ascii="仿宋" w:hAnsi="仿宋" w:eastAsia="仿宋" w:cs="新宋体"/>
          <w:bCs/>
          <w:color w:val="auto"/>
          <w:spacing w:val="6"/>
          <w:sz w:val="24"/>
          <w:highlight w:val="none"/>
        </w:rPr>
        <w:t>%（工程项目为</w:t>
      </w:r>
      <w:r>
        <w:rPr>
          <w:rFonts w:hint="eastAsia" w:ascii="仿宋" w:hAnsi="仿宋" w:eastAsia="仿宋" w:cs="新宋体"/>
          <w:bCs/>
          <w:color w:val="auto"/>
          <w:spacing w:val="6"/>
          <w:sz w:val="24"/>
          <w:highlight w:val="none"/>
          <w:lang w:val="en-US" w:eastAsia="zh-CN"/>
        </w:rPr>
        <w:t>3%-5</w:t>
      </w:r>
      <w:r>
        <w:rPr>
          <w:rFonts w:hint="eastAsia" w:ascii="仿宋" w:hAnsi="仿宋" w:eastAsia="仿宋" w:cs="新宋体"/>
          <w:bCs/>
          <w:color w:val="auto"/>
          <w:spacing w:val="6"/>
          <w:sz w:val="24"/>
          <w:highlight w:val="none"/>
        </w:rPr>
        <w:t>%）的扣除，用扣除后的价格参加评审。</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人、采购代理机构应当对联合体或者大中型企业的报价给予</w:t>
      </w:r>
      <w:r>
        <w:rPr>
          <w:rFonts w:hint="eastAsia" w:ascii="仿宋" w:hAnsi="仿宋" w:eastAsia="仿宋" w:cs="新宋体"/>
          <w:bCs/>
          <w:color w:val="auto"/>
          <w:spacing w:val="6"/>
          <w:sz w:val="24"/>
          <w:highlight w:val="none"/>
          <w:lang w:val="en-US" w:eastAsia="zh-CN"/>
        </w:rPr>
        <w:t>4%—6%</w:t>
      </w:r>
      <w:r>
        <w:rPr>
          <w:rFonts w:hint="eastAsia" w:ascii="仿宋" w:hAnsi="仿宋" w:eastAsia="仿宋" w:cs="新宋体"/>
          <w:bCs/>
          <w:color w:val="auto"/>
          <w:spacing w:val="6"/>
          <w:sz w:val="24"/>
          <w:highlight w:val="none"/>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仿宋" w:hAnsi="仿宋" w:eastAsia="仿宋" w:cs="新宋体"/>
          <w:bCs/>
          <w:color w:val="auto"/>
          <w:spacing w:val="6"/>
          <w:sz w:val="24"/>
          <w:highlight w:val="none"/>
          <w:lang w:val="en-US" w:eastAsia="zh-CN"/>
        </w:rPr>
        <w:t>4-6</w:t>
      </w:r>
      <w:r>
        <w:rPr>
          <w:rFonts w:hint="eastAsia" w:ascii="仿宋" w:hAnsi="仿宋" w:eastAsia="仿宋" w:cs="新宋体"/>
          <w:bCs/>
          <w:color w:val="auto"/>
          <w:spacing w:val="6"/>
          <w:sz w:val="24"/>
          <w:highlight w:val="none"/>
        </w:rPr>
        <w:t>%（工程项目为</w:t>
      </w:r>
      <w:r>
        <w:rPr>
          <w:rFonts w:hint="eastAsia" w:ascii="仿宋" w:hAnsi="仿宋" w:eastAsia="仿宋" w:cs="新宋体"/>
          <w:bCs/>
          <w:color w:val="auto"/>
          <w:spacing w:val="6"/>
          <w:sz w:val="24"/>
          <w:highlight w:val="none"/>
          <w:lang w:val="en-US" w:eastAsia="zh-CN"/>
        </w:rPr>
        <w:t>1%-2</w:t>
      </w:r>
      <w:r>
        <w:rPr>
          <w:rFonts w:hint="eastAsia" w:ascii="仿宋" w:hAnsi="仿宋" w:eastAsia="仿宋" w:cs="新宋体"/>
          <w:bCs/>
          <w:color w:val="auto"/>
          <w:spacing w:val="6"/>
          <w:sz w:val="24"/>
          <w:highlight w:val="none"/>
        </w:rPr>
        <w:t>%）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见采购文件第六部分评审办法。</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7.3.4符合《关于促进残疾人就业政府采购政策的通知》（财库〔2017〕141号）规定的条件并提供《残疾人福利性单位声明函》的残疾人福利性单位视同小型、微型企业；</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7.3.7中小企业享受扶持政策获得政府采购合同的，小微企业不得将合同分包给大中型企业，中型企业不得将合同分包给大型企业。</w:t>
      </w:r>
    </w:p>
    <w:p>
      <w:pPr>
        <w:snapToGrid w:val="0"/>
        <w:spacing w:line="360" w:lineRule="auto"/>
        <w:ind w:firstLine="504" w:firstLineChars="200"/>
        <w:rPr>
          <w:rFonts w:hint="eastAsia"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w:t>
      </w:r>
      <w:r>
        <w:rPr>
          <w:rFonts w:ascii="仿宋" w:hAnsi="仿宋" w:eastAsia="仿宋" w:cs="新宋体"/>
          <w:bCs/>
          <w:color w:val="auto"/>
          <w:spacing w:val="6"/>
          <w:sz w:val="24"/>
          <w:highlight w:val="none"/>
        </w:rPr>
        <w:t>4</w:t>
      </w:r>
      <w:r>
        <w:rPr>
          <w:rFonts w:hint="eastAsia" w:ascii="仿宋" w:hAnsi="仿宋" w:eastAsia="仿宋" w:cs="新宋体"/>
          <w:bCs/>
          <w:color w:val="auto"/>
          <w:spacing w:val="6"/>
          <w:sz w:val="24"/>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snapToGrid w:val="0"/>
        <w:spacing w:line="360" w:lineRule="auto"/>
        <w:ind w:firstLine="504" w:firstLineChars="200"/>
        <w:rPr>
          <w:rFonts w:hint="eastAsia"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7.5加大支持科技创新力度</w:t>
      </w:r>
    </w:p>
    <w:p>
      <w:pPr>
        <w:snapToGrid w:val="0"/>
        <w:spacing w:line="360" w:lineRule="auto"/>
        <w:ind w:firstLine="504" w:firstLineChars="200"/>
        <w:rPr>
          <w:rFonts w:hint="eastAsia"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7.5.1.</w:t>
      </w:r>
      <w:r>
        <w:rPr>
          <w:rFonts w:ascii="仿宋" w:hAnsi="仿宋" w:eastAsia="仿宋" w:cs="新宋体"/>
          <w:bCs/>
          <w:color w:val="auto"/>
          <w:spacing w:val="6"/>
          <w:sz w:val="24"/>
          <w:highlight w:val="none"/>
        </w:rPr>
        <w:t>优先推荐专精特新中小企业、创新产品参加政府采购活动。</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7.5.2.</w:t>
      </w:r>
      <w:r>
        <w:rPr>
          <w:rFonts w:ascii="仿宋" w:hAnsi="仿宋" w:eastAsia="仿宋" w:cs="新宋体"/>
          <w:bCs/>
          <w:color w:val="auto"/>
          <w:spacing w:val="6"/>
          <w:sz w:val="24"/>
          <w:highlight w:val="none"/>
        </w:rPr>
        <w:t>对省级以上主管部门认定的首台套产品，自纳入《省推广应用指导目录》起三年内参加政府采购活动，视同已具备相应销售业绩，业绩分为满分。</w:t>
      </w:r>
    </w:p>
    <w:p>
      <w:pPr>
        <w:snapToGrid w:val="0"/>
        <w:spacing w:line="360" w:lineRule="auto"/>
        <w:rPr>
          <w:rFonts w:ascii="仿宋" w:hAnsi="仿宋" w:eastAsia="仿宋" w:cs="新宋体"/>
          <w:b/>
          <w:bCs/>
          <w:color w:val="auto"/>
          <w:spacing w:val="6"/>
          <w:sz w:val="24"/>
          <w:highlight w:val="none"/>
        </w:rPr>
      </w:pPr>
      <w:bookmarkStart w:id="15" w:name="_Hlk93148897"/>
      <w:r>
        <w:rPr>
          <w:rFonts w:hint="eastAsia" w:ascii="仿宋" w:hAnsi="仿宋" w:eastAsia="仿宋" w:cs="新宋体"/>
          <w:b/>
          <w:bCs/>
          <w:color w:val="auto"/>
          <w:spacing w:val="6"/>
          <w:sz w:val="24"/>
          <w:highlight w:val="none"/>
        </w:rPr>
        <w:t>8.询问、质疑、投诉</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8.1询问</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8.2质疑</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8.2.1提出质疑的投标人应当是参与所质疑项目采购活动的供应商。潜在投标人已依法获取其可质疑的招标文件的，可以对该文件提出质疑。</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8.2.2投标人认为招标文件、采购过程和中标结果使自己的权益受到损害的，可以在知道或者应知其权益受到损害之日起七个工作日内，以书面形式向采购人或者采购机构提出质疑，否则，采购人或者采购机构不予受理：</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（1）对招标文件提出质疑的，质疑期限为投标人获得招标文件之日或者招标文件公告期限届满之日起计算。</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（2）对采购过程提出质疑的，质疑期限为各采购程序环节结束之日起计算。对同一采购程序环节的质疑，质疑人须一次性提出。</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（3）对采购结果提出质疑的，质疑期限自采购结果公告期限届满之日起计算。</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8.2.3投标人提出质疑应当提交质疑函和必要的证明材料。质疑函应当包括下列内容：</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（1）供应商的姓名或者名称、地址、邮编、联系人及联系电话；</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（2）质疑项目的名称、编号；</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（3）具体、明确的质疑事项和与质疑事项相关的请求；</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（4）事实依据；</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（5）必要的法律依据；</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（6）提出质疑的日期。</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投标人提交的质疑函需一式三份。投标人为自然人的，应当由本人签字；投标人为法人或者其他组织的，应当由法定代表人、主要负责人，或者其授权代表签字或者盖章，并加盖公章。</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8.2.4采购人或者采购机构应当在收到质疑人的书面质疑后七个工作日内作出答复，并以书面形式通知质疑人和其他与质疑处理结果有利害关系的政府采购当事人，但答复的内容不得涉及商业秘密。</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8.2.5询问或者质疑事项可能影响采购结果的，采购人应当暂停签订合同，已经签订合同的，应当中止履行合同。</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8.3投诉</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8.3.1质疑人对采购人、采购机构的答复不满意或者采购人、采购机构未在规定的时间内作出答复的，可以在答复期满后十五个工作日内向同级政府采购监督管理部门提出投诉。</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8.3.2投标人投诉的事项不得超出已质疑事项的范围，基于质疑答复内容提出的投诉事项除外。</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8.3.3投标人投诉应当有明确的请求和必要的证明材料。</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8.3.5以联合体形式参加政府采购活动的，其投诉应当由组成联合体的所有供应商共同提出。</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8.4根据《政府采购质疑和投诉办法》第三十七条的规定，投诉人在全国范围12个月内三次以上投诉查无实据的，由财政部门列入不良行为记录名单。</w:t>
      </w:r>
      <w:bookmarkEnd w:id="15"/>
    </w:p>
    <w:p>
      <w:pPr>
        <w:snapToGrid w:val="0"/>
        <w:spacing w:line="360" w:lineRule="auto"/>
        <w:ind w:firstLine="504" w:firstLineChars="200"/>
        <w:rPr>
          <w:rFonts w:ascii="仿宋" w:hAnsi="仿宋" w:eastAsia="仿宋" w:cs="新宋体"/>
          <w:bCs/>
          <w:color w:val="auto"/>
          <w:spacing w:val="6"/>
          <w:sz w:val="24"/>
          <w:highlight w:val="none"/>
        </w:rPr>
      </w:pPr>
    </w:p>
    <w:p>
      <w:pPr>
        <w:snapToGrid w:val="0"/>
        <w:spacing w:line="360" w:lineRule="auto"/>
        <w:jc w:val="center"/>
        <w:rPr>
          <w:rFonts w:ascii="仿宋" w:hAnsi="仿宋" w:eastAsia="仿宋" w:cs="新宋体"/>
          <w:b/>
          <w:color w:val="auto"/>
          <w:sz w:val="28"/>
          <w:szCs w:val="28"/>
          <w:highlight w:val="none"/>
        </w:rPr>
      </w:pPr>
      <w:bookmarkStart w:id="16" w:name="_Toc221423617"/>
      <w:bookmarkStart w:id="17" w:name="_Toc223715996"/>
      <w:bookmarkStart w:id="18" w:name="_Toc34508131"/>
      <w:bookmarkStart w:id="19" w:name="_Toc221374624"/>
      <w:bookmarkStart w:id="20" w:name="_Toc265529381"/>
      <w:bookmarkStart w:id="21" w:name="_Toc221356949"/>
      <w:bookmarkStart w:id="22" w:name="_Toc241404200"/>
      <w:bookmarkStart w:id="23" w:name="_Toc222114877"/>
      <w:bookmarkStart w:id="24" w:name="_Toc221356884"/>
      <w:bookmarkStart w:id="25" w:name="_Toc239145352"/>
      <w:r>
        <w:rPr>
          <w:rFonts w:hint="eastAsia" w:ascii="仿宋" w:hAnsi="仿宋" w:eastAsia="仿宋" w:cs="新宋体"/>
          <w:b/>
          <w:color w:val="auto"/>
          <w:sz w:val="28"/>
          <w:szCs w:val="28"/>
          <w:highlight w:val="none"/>
        </w:rPr>
        <w:t>二、招标文件</w:t>
      </w:r>
      <w:bookmarkEnd w:id="16"/>
      <w:bookmarkEnd w:id="17"/>
      <w:bookmarkEnd w:id="18"/>
      <w:bookmarkEnd w:id="19"/>
      <w:bookmarkEnd w:id="20"/>
      <w:bookmarkEnd w:id="21"/>
      <w:bookmarkEnd w:id="22"/>
      <w:bookmarkEnd w:id="23"/>
      <w:bookmarkEnd w:id="24"/>
      <w:bookmarkEnd w:id="25"/>
    </w:p>
    <w:p>
      <w:pPr>
        <w:tabs>
          <w:tab w:val="left" w:pos="540"/>
        </w:tabs>
        <w:snapToGrid w:val="0"/>
        <w:spacing w:line="360" w:lineRule="auto"/>
        <w:rPr>
          <w:rFonts w:ascii="仿宋" w:hAnsi="仿宋" w:eastAsia="仿宋" w:cs="新宋体"/>
          <w:b/>
          <w:color w:val="auto"/>
          <w:sz w:val="24"/>
          <w:highlight w:val="none"/>
        </w:rPr>
      </w:pPr>
      <w:r>
        <w:rPr>
          <w:rFonts w:hint="eastAsia" w:ascii="仿宋" w:hAnsi="仿宋" w:eastAsia="仿宋" w:cs="新宋体"/>
          <w:b/>
          <w:color w:val="auto"/>
          <w:sz w:val="24"/>
          <w:highlight w:val="none"/>
        </w:rPr>
        <w:t>9.招标文件</w:t>
      </w:r>
    </w:p>
    <w:p>
      <w:pPr>
        <w:tabs>
          <w:tab w:val="left" w:pos="54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9.1本项目招标文件由招标文件目录所列内容及相关资料组成。</w:t>
      </w:r>
      <w:bookmarkStart w:id="26" w:name="_Hlk93148980"/>
      <w:r>
        <w:rPr>
          <w:rFonts w:hint="eastAsia" w:ascii="仿宋" w:hAnsi="仿宋" w:eastAsia="仿宋" w:cs="新宋体"/>
          <w:color w:val="auto"/>
          <w:sz w:val="24"/>
          <w:highlight w:val="none"/>
        </w:rPr>
        <w:t>获取招标文件的时间期限、地点、方式及招标文件售价等情况详见招标公告。</w:t>
      </w:r>
      <w:bookmarkEnd w:id="26"/>
    </w:p>
    <w:p>
      <w:pPr>
        <w:tabs>
          <w:tab w:val="left" w:pos="54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9.2招标文件的澄清或修改</w:t>
      </w:r>
    </w:p>
    <w:p>
      <w:pPr>
        <w:snapToGrid w:val="0"/>
        <w:spacing w:line="360" w:lineRule="auto"/>
        <w:ind w:firstLine="504" w:firstLineChars="200"/>
        <w:rPr>
          <w:rFonts w:ascii="仿宋" w:hAnsi="仿宋" w:eastAsia="仿宋" w:cs="新宋体"/>
          <w:color w:val="auto"/>
          <w:spacing w:val="6"/>
          <w:sz w:val="24"/>
          <w:highlight w:val="none"/>
        </w:rPr>
      </w:pPr>
      <w:r>
        <w:rPr>
          <w:rFonts w:hint="eastAsia" w:ascii="仿宋" w:hAnsi="仿宋" w:eastAsia="仿宋" w:cs="新宋体"/>
          <w:color w:val="auto"/>
          <w:spacing w:val="6"/>
          <w:sz w:val="24"/>
          <w:highlight w:val="none"/>
        </w:rPr>
        <w:t>9.2.1采购人或者采购代理机构可以对已发出的招标文件进行必要的澄清或者修改。澄清或者修改在浙江政府采购网上发布公告，政采云系统将自动发送消息通知所有获取招标文件的潜在投标人。澄清或者修改的内容为招标文件的组成部分。</w:t>
      </w:r>
    </w:p>
    <w:p>
      <w:pPr>
        <w:snapToGrid w:val="0"/>
        <w:spacing w:line="360" w:lineRule="auto"/>
        <w:ind w:firstLine="504" w:firstLineChars="200"/>
        <w:rPr>
          <w:rFonts w:ascii="仿宋" w:hAnsi="仿宋" w:eastAsia="仿宋" w:cs="新宋体"/>
          <w:color w:val="auto"/>
          <w:spacing w:val="6"/>
          <w:sz w:val="24"/>
          <w:highlight w:val="none"/>
        </w:rPr>
      </w:pPr>
      <w:r>
        <w:rPr>
          <w:rFonts w:hint="eastAsia" w:ascii="仿宋" w:hAnsi="仿宋" w:eastAsia="仿宋" w:cs="新宋体"/>
          <w:color w:val="auto"/>
          <w:spacing w:val="6"/>
          <w:sz w:val="24"/>
          <w:highlight w:val="none"/>
        </w:rPr>
        <w:t>9.2.2澄清或者修改的内容可能影响投标文件编制的，采购人或者采购代理机构应当在投标截止时间至少15日前，在浙江政府采购网上发布更正公告，政采云系统将自动发送消息通知所有获取招标文件的潜在投标人；不足15日的，采购人或者采购代理机构应当顺延提交投标文件的截止时间。</w:t>
      </w:r>
    </w:p>
    <w:p>
      <w:pPr>
        <w:tabs>
          <w:tab w:val="left" w:pos="540"/>
        </w:tabs>
        <w:snapToGrid w:val="0"/>
        <w:spacing w:line="360" w:lineRule="auto"/>
        <w:ind w:firstLine="480" w:firstLineChars="200"/>
        <w:rPr>
          <w:rFonts w:ascii="仿宋" w:hAnsi="仿宋" w:eastAsia="仿宋" w:cs="新宋体"/>
          <w:color w:val="auto"/>
          <w:sz w:val="24"/>
          <w:highlight w:val="none"/>
        </w:rPr>
      </w:pPr>
    </w:p>
    <w:p>
      <w:pPr>
        <w:snapToGrid w:val="0"/>
        <w:spacing w:line="360" w:lineRule="auto"/>
        <w:jc w:val="center"/>
        <w:outlineLvl w:val="1"/>
        <w:rPr>
          <w:rFonts w:ascii="仿宋" w:hAnsi="仿宋" w:eastAsia="仿宋" w:cs="新宋体"/>
          <w:b/>
          <w:color w:val="auto"/>
          <w:sz w:val="28"/>
          <w:szCs w:val="28"/>
          <w:highlight w:val="none"/>
        </w:rPr>
      </w:pPr>
      <w:bookmarkStart w:id="27" w:name="_Toc223715997"/>
      <w:bookmarkStart w:id="28" w:name="_Toc239145353"/>
      <w:bookmarkStart w:id="29" w:name="_Toc221423618"/>
      <w:bookmarkStart w:id="30" w:name="_Toc221356950"/>
      <w:bookmarkStart w:id="31" w:name="_Toc265529382"/>
      <w:bookmarkStart w:id="32" w:name="_Toc222114878"/>
      <w:bookmarkStart w:id="33" w:name="_Toc221356885"/>
      <w:bookmarkStart w:id="34" w:name="_Toc221374625"/>
      <w:bookmarkStart w:id="35" w:name="_Toc34508132"/>
      <w:bookmarkStart w:id="36" w:name="_Toc241404201"/>
      <w:r>
        <w:rPr>
          <w:rFonts w:hint="eastAsia" w:ascii="仿宋" w:hAnsi="仿宋" w:eastAsia="仿宋" w:cs="新宋体"/>
          <w:b/>
          <w:color w:val="auto"/>
          <w:sz w:val="28"/>
          <w:szCs w:val="28"/>
          <w:highlight w:val="none"/>
        </w:rPr>
        <w:t>三、投标文件</w:t>
      </w:r>
      <w:bookmarkEnd w:id="27"/>
      <w:bookmarkEnd w:id="28"/>
      <w:bookmarkEnd w:id="29"/>
      <w:bookmarkEnd w:id="30"/>
      <w:bookmarkEnd w:id="31"/>
      <w:bookmarkEnd w:id="32"/>
      <w:bookmarkEnd w:id="33"/>
      <w:bookmarkEnd w:id="34"/>
      <w:bookmarkEnd w:id="35"/>
      <w:bookmarkEnd w:id="36"/>
    </w:p>
    <w:p>
      <w:pPr>
        <w:snapToGrid w:val="0"/>
        <w:spacing w:line="360" w:lineRule="auto"/>
        <w:rPr>
          <w:rFonts w:ascii="仿宋" w:hAnsi="仿宋" w:eastAsia="仿宋" w:cs="新宋体"/>
          <w:b/>
          <w:bCs/>
          <w:snapToGrid w:val="0"/>
          <w:color w:val="auto"/>
          <w:sz w:val="24"/>
          <w:highlight w:val="none"/>
        </w:rPr>
      </w:pPr>
      <w:bookmarkStart w:id="37" w:name="_Toc221356886"/>
      <w:bookmarkStart w:id="38" w:name="_Hlk93149286"/>
      <w:r>
        <w:rPr>
          <w:rFonts w:hint="eastAsia" w:ascii="仿宋" w:hAnsi="仿宋" w:eastAsia="仿宋" w:cs="新宋体"/>
          <w:b/>
          <w:snapToGrid w:val="0"/>
          <w:color w:val="auto"/>
          <w:sz w:val="24"/>
          <w:highlight w:val="none"/>
        </w:rPr>
        <w:t>10.</w:t>
      </w:r>
      <w:r>
        <w:rPr>
          <w:rFonts w:hint="eastAsia" w:ascii="仿宋" w:hAnsi="仿宋" w:eastAsia="仿宋" w:cs="新宋体"/>
          <w:b/>
          <w:bCs/>
          <w:snapToGrid w:val="0"/>
          <w:color w:val="auto"/>
          <w:sz w:val="24"/>
          <w:highlight w:val="none"/>
        </w:rPr>
        <w:t>投标文件的构成</w:t>
      </w:r>
    </w:p>
    <w:p>
      <w:pPr>
        <w:snapToGrid w:val="0"/>
        <w:spacing w:line="360" w:lineRule="auto"/>
        <w:ind w:firstLine="470" w:firstLineChars="196"/>
        <w:rPr>
          <w:rFonts w:ascii="仿宋" w:hAnsi="仿宋" w:eastAsia="仿宋" w:cs="新宋体"/>
          <w:bCs/>
          <w:color w:val="auto"/>
          <w:sz w:val="24"/>
          <w:highlight w:val="none"/>
        </w:rPr>
      </w:pPr>
      <w:r>
        <w:rPr>
          <w:rFonts w:hint="eastAsia" w:ascii="仿宋" w:hAnsi="仿宋" w:eastAsia="仿宋" w:cs="新宋体"/>
          <w:bCs/>
          <w:color w:val="auto"/>
          <w:sz w:val="24"/>
          <w:highlight w:val="none"/>
        </w:rPr>
        <w:t>包括资格文件、商务技术文件、报价文件三部分。</w:t>
      </w:r>
    </w:p>
    <w:p>
      <w:pPr>
        <w:tabs>
          <w:tab w:val="left" w:pos="360"/>
        </w:tabs>
        <w:snapToGrid w:val="0"/>
        <w:spacing w:line="360" w:lineRule="auto"/>
        <w:ind w:firstLine="482" w:firstLineChars="200"/>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10.1 资格文件须包括下列内容：</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.1.1符合参加政府采购活动应当具备的一般条件的承诺函；</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.1.2落实政府采购政策需满足的资格要求；</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.1.3</w:t>
      </w:r>
      <w:r>
        <w:rPr>
          <w:rFonts w:hint="eastAsia" w:ascii="仿宋" w:hAnsi="仿宋" w:eastAsia="仿宋" w:cs="仿宋_GB2312"/>
          <w:color w:val="auto"/>
          <w:sz w:val="24"/>
          <w:highlight w:val="none"/>
        </w:rPr>
        <w:t>采购供应商廉洁自律承诺书</w:t>
      </w:r>
      <w:r>
        <w:rPr>
          <w:rFonts w:ascii="仿宋" w:hAnsi="仿宋" w:eastAsia="仿宋" w:cs="仿宋_GB2312"/>
          <w:color w:val="auto"/>
          <w:sz w:val="24"/>
          <w:highlight w:val="none"/>
        </w:rPr>
        <w:t>。</w:t>
      </w:r>
    </w:p>
    <w:p>
      <w:pPr>
        <w:tabs>
          <w:tab w:val="left" w:pos="360"/>
        </w:tabs>
        <w:snapToGrid w:val="0"/>
        <w:spacing w:line="360" w:lineRule="auto"/>
        <w:ind w:firstLine="482" w:firstLineChars="200"/>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10.2 商务技术文件应包括下列部分：</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.2.1投标函；</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.2.2授权委托书或法定代表人（单位负责人、自然人本人）身份证明；</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符合性审查资料；</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4</w:t>
      </w:r>
      <w:r>
        <w:rPr>
          <w:rFonts w:ascii="仿宋" w:hAnsi="仿宋" w:eastAsia="仿宋" w:cs="仿宋_GB2312"/>
          <w:color w:val="auto"/>
          <w:sz w:val="24"/>
          <w:highlight w:val="none"/>
        </w:rPr>
        <w:t>评标标准相应的商务技术资料；</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商务技术偏离表；</w:t>
      </w:r>
    </w:p>
    <w:p>
      <w:pPr>
        <w:snapToGrid w:val="0"/>
        <w:spacing w:line="360" w:lineRule="auto"/>
        <w:ind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lang w:val="zh-CN"/>
        </w:rPr>
        <w:t>1</w:t>
      </w:r>
      <w:r>
        <w:rPr>
          <w:rFonts w:hint="eastAsia" w:ascii="仿宋" w:hAnsi="仿宋" w:eastAsia="仿宋" w:cs="仿宋_GB2312"/>
          <w:color w:val="auto"/>
          <w:sz w:val="24"/>
          <w:highlight w:val="none"/>
          <w:lang w:val="zh-CN"/>
        </w:rPr>
        <w:t>0</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hint="eastAsia" w:ascii="仿宋" w:hAnsi="仿宋" w:eastAsia="仿宋" w:cs="仿宋_GB2312"/>
          <w:color w:val="auto"/>
          <w:sz w:val="24"/>
          <w:highlight w:val="none"/>
        </w:rPr>
        <w:t>6</w:t>
      </w:r>
      <w:r>
        <w:rPr>
          <w:rFonts w:hint="eastAsia" w:ascii="仿宋" w:hAnsi="仿宋" w:eastAsia="仿宋" w:cs="新宋体"/>
          <w:color w:val="auto"/>
          <w:sz w:val="24"/>
          <w:highlight w:val="none"/>
        </w:rPr>
        <w:t>投标人认为需要提供的其他相关资料</w:t>
      </w:r>
      <w:r>
        <w:rPr>
          <w:rFonts w:hint="eastAsia" w:ascii="仿宋" w:hAnsi="仿宋" w:eastAsia="仿宋" w:cs="仿宋_GB2312"/>
          <w:color w:val="auto"/>
          <w:sz w:val="24"/>
          <w:highlight w:val="none"/>
          <w:lang w:val="zh-CN"/>
        </w:rPr>
        <w:t>。</w:t>
      </w:r>
    </w:p>
    <w:p>
      <w:pPr>
        <w:tabs>
          <w:tab w:val="left" w:pos="5355"/>
        </w:tabs>
        <w:snapToGrid w:val="0"/>
        <w:spacing w:line="360" w:lineRule="auto"/>
        <w:ind w:firstLine="482" w:firstLineChars="200"/>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10.3 报价文件应包括下列部分：</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.3.1开标一览表（报价表）；</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.3.2</w:t>
      </w:r>
      <w:r>
        <w:rPr>
          <w:rFonts w:hint="eastAsia" w:ascii="仿宋" w:hAnsi="仿宋" w:eastAsia="仿宋" w:cs="新宋体"/>
          <w:color w:val="auto"/>
          <w:sz w:val="24"/>
          <w:highlight w:val="none"/>
        </w:rPr>
        <w:t>价格组成表</w:t>
      </w:r>
      <w:r>
        <w:rPr>
          <w:rFonts w:hint="eastAsia" w:ascii="仿宋" w:hAnsi="仿宋" w:eastAsia="仿宋" w:cs="仿宋_GB2312"/>
          <w:color w:val="auto"/>
          <w:sz w:val="24"/>
          <w:highlight w:val="none"/>
        </w:rPr>
        <w:t>；</w:t>
      </w:r>
    </w:p>
    <w:p>
      <w:pPr>
        <w:snapToGrid w:val="0"/>
        <w:spacing w:line="360" w:lineRule="auto"/>
        <w:ind w:firstLine="482" w:firstLineChars="200"/>
        <w:rPr>
          <w:rFonts w:ascii="仿宋" w:hAnsi="仿宋" w:eastAsia="仿宋" w:cs="仿宋_GB2312"/>
          <w:color w:val="auto"/>
          <w:sz w:val="24"/>
          <w:highlight w:val="none"/>
        </w:rPr>
      </w:pPr>
      <w:r>
        <w:rPr>
          <w:rFonts w:hint="eastAsia" w:ascii="仿宋" w:hAnsi="仿宋" w:eastAsia="仿宋" w:cs="新宋体"/>
          <w:b/>
          <w:bCs/>
          <w:color w:val="auto"/>
          <w:sz w:val="24"/>
          <w:highlight w:val="none"/>
        </w:rPr>
        <w:t>10.4 要求投标人提供样品、讲解或演示的，见投标人须知前附表。</w:t>
      </w:r>
    </w:p>
    <w:bookmarkEnd w:id="37"/>
    <w:p>
      <w:pPr>
        <w:snapToGrid w:val="0"/>
        <w:spacing w:line="360" w:lineRule="auto"/>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11.投标文件编制</w:t>
      </w:r>
    </w:p>
    <w:p>
      <w:pPr>
        <w:tabs>
          <w:tab w:val="left" w:pos="360"/>
        </w:tabs>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新宋体"/>
          <w:color w:val="auto"/>
          <w:sz w:val="24"/>
          <w:highlight w:val="none"/>
        </w:rPr>
        <w:t>11.1本项目通过“政采云平台（www.zcygov.cn）”实行在线投标（电子投标）。投标人应通过“政采云电子交易客户端”，并按照本招标文件和“政采云平台”的要求编制并加密投标文件。</w:t>
      </w:r>
      <w:r>
        <w:rPr>
          <w:rFonts w:hint="eastAsia" w:ascii="仿宋" w:hAnsi="仿宋" w:eastAsia="仿宋" w:cs="新宋体"/>
          <w:b/>
          <w:color w:val="auto"/>
          <w:kern w:val="0"/>
          <w:sz w:val="24"/>
          <w:highlight w:val="none"/>
          <w:u w:val="single"/>
        </w:rPr>
        <w:t>▲</w:t>
      </w:r>
      <w:r>
        <w:rPr>
          <w:rFonts w:hint="eastAsia" w:ascii="仿宋" w:hAnsi="仿宋" w:eastAsia="仿宋" w:cs="仿宋_GB2312"/>
          <w:b/>
          <w:color w:val="auto"/>
          <w:kern w:val="0"/>
          <w:sz w:val="24"/>
          <w:highlight w:val="none"/>
          <w:u w:val="single"/>
          <w:lang w:val="zh-CN"/>
        </w:rPr>
        <w:t>投标人未按规定加密的投标文件，政采云平台将拒收并提示</w:t>
      </w:r>
      <w:r>
        <w:rPr>
          <w:rFonts w:hint="eastAsia" w:ascii="仿宋" w:hAnsi="仿宋" w:eastAsia="仿宋" w:cs="仿宋_GB2312"/>
          <w:color w:val="auto"/>
          <w:kern w:val="0"/>
          <w:sz w:val="24"/>
          <w:highlight w:val="none"/>
          <w:lang w:val="zh-CN"/>
        </w:rPr>
        <w:t>。</w:t>
      </w:r>
    </w:p>
    <w:p>
      <w:pPr>
        <w:snapToGrid w:val="0"/>
        <w:spacing w:line="360" w:lineRule="auto"/>
        <w:ind w:firstLine="480" w:firstLineChars="200"/>
        <w:rPr>
          <w:rFonts w:ascii="仿宋" w:hAnsi="仿宋" w:eastAsia="仿宋" w:cs="仿宋_GB2312"/>
          <w:b/>
          <w:color w:val="auto"/>
          <w:sz w:val="24"/>
          <w:highlight w:val="none"/>
        </w:rPr>
      </w:pPr>
      <w:r>
        <w:rPr>
          <w:rFonts w:hint="eastAsia" w:ascii="仿宋" w:hAnsi="仿宋" w:eastAsia="仿宋" w:cs="新宋体"/>
          <w:color w:val="auto"/>
          <w:sz w:val="24"/>
          <w:highlight w:val="none"/>
        </w:rPr>
        <w:t>11.2投标人应当按照本部分“投标文件的构成”规定的内容及顺序在“政采云电子交易客户端”编制投标文件。</w:t>
      </w:r>
      <w:r>
        <w:rPr>
          <w:rFonts w:ascii="仿宋" w:hAnsi="仿宋" w:eastAsia="仿宋" w:cs="仿宋_GB2312"/>
          <w:color w:val="auto"/>
          <w:kern w:val="0"/>
          <w:sz w:val="24"/>
          <w:highlight w:val="none"/>
          <w:lang w:val="zh-CN"/>
        </w:rPr>
        <w:t>各</w:t>
      </w:r>
      <w:r>
        <w:rPr>
          <w:rFonts w:hint="eastAsia" w:ascii="仿宋" w:hAnsi="仿宋" w:eastAsia="仿宋" w:cs="仿宋_GB2312"/>
          <w:color w:val="auto"/>
          <w:kern w:val="0"/>
          <w:sz w:val="24"/>
          <w:highlight w:val="none"/>
          <w:lang w:val="zh-CN"/>
        </w:rPr>
        <w:t>投标人</w:t>
      </w:r>
      <w:r>
        <w:rPr>
          <w:rFonts w:ascii="仿宋" w:hAnsi="仿宋" w:eastAsia="仿宋" w:cs="仿宋_GB2312"/>
          <w:color w:val="auto"/>
          <w:kern w:val="0"/>
          <w:sz w:val="24"/>
          <w:highlight w:val="none"/>
          <w:lang w:val="zh-CN"/>
        </w:rPr>
        <w:t>在编制投标文件时请按照</w:t>
      </w:r>
      <w:r>
        <w:rPr>
          <w:rFonts w:hint="eastAsia" w:ascii="仿宋" w:hAnsi="仿宋" w:eastAsia="仿宋" w:cs="仿宋_GB2312"/>
          <w:color w:val="auto"/>
          <w:kern w:val="0"/>
          <w:sz w:val="24"/>
          <w:highlight w:val="none"/>
          <w:lang w:val="zh-CN"/>
        </w:rPr>
        <w:t>招标文件</w:t>
      </w:r>
      <w:r>
        <w:rPr>
          <w:rFonts w:ascii="仿宋" w:hAnsi="仿宋" w:eastAsia="仿宋" w:cs="仿宋_GB2312"/>
          <w:color w:val="auto"/>
          <w:kern w:val="0"/>
          <w:sz w:val="24"/>
          <w:highlight w:val="none"/>
          <w:lang w:val="zh-CN"/>
        </w:rPr>
        <w:t>第</w:t>
      </w:r>
      <w:r>
        <w:rPr>
          <w:rFonts w:hint="eastAsia" w:ascii="仿宋" w:hAnsi="仿宋" w:eastAsia="仿宋" w:cs="仿宋_GB2312"/>
          <w:color w:val="auto"/>
          <w:kern w:val="0"/>
          <w:sz w:val="24"/>
          <w:highlight w:val="none"/>
          <w:lang w:val="zh-CN"/>
        </w:rPr>
        <w:t>五</w:t>
      </w:r>
      <w:r>
        <w:rPr>
          <w:rFonts w:ascii="仿宋" w:hAnsi="仿宋" w:eastAsia="仿宋" w:cs="仿宋_GB2312"/>
          <w:color w:val="auto"/>
          <w:kern w:val="0"/>
          <w:sz w:val="24"/>
          <w:highlight w:val="none"/>
          <w:lang w:val="zh-CN"/>
        </w:rPr>
        <w:t>部</w:t>
      </w:r>
      <w:r>
        <w:rPr>
          <w:rFonts w:hint="eastAsia" w:ascii="仿宋" w:hAnsi="仿宋" w:eastAsia="仿宋" w:cs="仿宋_GB2312"/>
          <w:color w:val="auto"/>
          <w:kern w:val="0"/>
          <w:sz w:val="24"/>
          <w:highlight w:val="none"/>
          <w:lang w:val="zh-CN"/>
        </w:rPr>
        <w:t>分规定的格式进行，混乱的编排导致投标文件被误读或评标委员会查找不到有效文件的风险由投标人自行承担。</w:t>
      </w:r>
    </w:p>
    <w:p>
      <w:pPr>
        <w:tabs>
          <w:tab w:val="left" w:pos="360"/>
        </w:tabs>
        <w:snapToGrid w:val="0"/>
        <w:spacing w:line="360" w:lineRule="auto"/>
        <w:ind w:firstLine="480" w:firstLineChars="200"/>
        <w:rPr>
          <w:rFonts w:ascii="仿宋" w:hAnsi="仿宋" w:eastAsia="仿宋" w:cs="新宋体"/>
          <w:color w:val="auto"/>
          <w:sz w:val="24"/>
          <w:highlight w:val="none"/>
        </w:rPr>
      </w:pPr>
      <w:r>
        <w:rPr>
          <w:rFonts w:ascii="仿宋" w:hAnsi="仿宋" w:eastAsia="仿宋" w:cs="仿宋_GB2312"/>
          <w:color w:val="auto"/>
          <w:kern w:val="0"/>
          <w:sz w:val="24"/>
          <w:highlight w:val="none"/>
          <w:lang w:val="zh-CN"/>
        </w:rPr>
        <w:t>1</w:t>
      </w:r>
      <w:r>
        <w:rPr>
          <w:rFonts w:hint="eastAsia" w:ascii="仿宋" w:hAnsi="仿宋" w:eastAsia="仿宋" w:cs="仿宋_GB2312"/>
          <w:color w:val="auto"/>
          <w:kern w:val="0"/>
          <w:sz w:val="24"/>
          <w:highlight w:val="none"/>
          <w:lang w:val="zh-CN"/>
        </w:rPr>
        <w:t>1</w:t>
      </w:r>
      <w:r>
        <w:rPr>
          <w:rFonts w:ascii="仿宋" w:hAnsi="仿宋" w:eastAsia="仿宋" w:cs="仿宋_GB2312"/>
          <w:color w:val="auto"/>
          <w:kern w:val="0"/>
          <w:sz w:val="24"/>
          <w:highlight w:val="none"/>
          <w:lang w:val="zh-CN"/>
        </w:rPr>
        <w:t>.3使用“政</w:t>
      </w:r>
      <w:r>
        <w:rPr>
          <w:rFonts w:hint="eastAsia" w:ascii="仿宋" w:hAnsi="仿宋" w:eastAsia="仿宋" w:cs="仿宋_GB2312"/>
          <w:color w:val="auto"/>
          <w:kern w:val="0"/>
          <w:sz w:val="24"/>
          <w:highlight w:val="none"/>
          <w:lang w:val="zh-CN"/>
        </w:rPr>
        <w:t>采云电子交易客户端”需要提前申领</w:t>
      </w:r>
      <w:r>
        <w:rPr>
          <w:rFonts w:ascii="仿宋" w:hAnsi="仿宋" w:eastAsia="仿宋"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12.投标文件的签署、盖章</w:t>
      </w:r>
    </w:p>
    <w:p>
      <w:pPr>
        <w:pStyle w:val="89"/>
        <w:snapToGrid w:val="0"/>
        <w:spacing w:before="0"/>
        <w:ind w:firstLine="480"/>
        <w:rPr>
          <w:rFonts w:ascii="仿宋" w:hAnsi="仿宋" w:eastAsia="仿宋" w:cs="仿宋_GB2312"/>
          <w:b/>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2</w:t>
      </w:r>
      <w:r>
        <w:rPr>
          <w:rFonts w:ascii="仿宋" w:hAnsi="仿宋" w:eastAsia="仿宋" w:cs="仿宋_GB2312"/>
          <w:color w:val="auto"/>
          <w:szCs w:val="24"/>
          <w:highlight w:val="none"/>
        </w:rPr>
        <w:t>.1投标文件按照</w:t>
      </w:r>
      <w:r>
        <w:rPr>
          <w:rFonts w:hint="eastAsia" w:ascii="仿宋" w:hAnsi="仿宋" w:eastAsia="仿宋" w:cs="仿宋_GB2312"/>
          <w:color w:val="auto"/>
          <w:szCs w:val="24"/>
          <w:highlight w:val="none"/>
        </w:rPr>
        <w:t>招标文件</w:t>
      </w:r>
      <w:r>
        <w:rPr>
          <w:rFonts w:ascii="仿宋" w:hAnsi="仿宋" w:eastAsia="仿宋" w:cs="仿宋_GB2312"/>
          <w:color w:val="auto"/>
          <w:szCs w:val="24"/>
          <w:highlight w:val="none"/>
        </w:rPr>
        <w:t>第</w:t>
      </w:r>
      <w:r>
        <w:rPr>
          <w:rFonts w:hint="eastAsia" w:ascii="仿宋" w:hAnsi="仿宋" w:eastAsia="仿宋" w:cs="仿宋_GB2312"/>
          <w:color w:val="auto"/>
          <w:szCs w:val="24"/>
          <w:highlight w:val="none"/>
        </w:rPr>
        <w:t>五</w:t>
      </w:r>
      <w:r>
        <w:rPr>
          <w:rFonts w:ascii="仿宋" w:hAnsi="仿宋" w:eastAsia="仿宋" w:cs="仿宋_GB2312"/>
          <w:color w:val="auto"/>
          <w:szCs w:val="24"/>
          <w:highlight w:val="none"/>
        </w:rPr>
        <w:t>部分格式要</w:t>
      </w:r>
      <w:r>
        <w:rPr>
          <w:rFonts w:hint="eastAsia" w:ascii="仿宋" w:hAnsi="仿宋" w:eastAsia="仿宋" w:cs="仿宋_GB2312"/>
          <w:color w:val="auto"/>
          <w:szCs w:val="24"/>
          <w:highlight w:val="none"/>
        </w:rPr>
        <w:t>求进行签署、盖章。</w:t>
      </w:r>
    </w:p>
    <w:p>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2</w:t>
      </w:r>
      <w:r>
        <w:rPr>
          <w:rFonts w:ascii="仿宋" w:hAnsi="仿宋" w:eastAsia="仿宋" w:cs="仿宋_GB2312"/>
          <w:color w:val="auto"/>
          <w:szCs w:val="24"/>
          <w:highlight w:val="none"/>
        </w:rPr>
        <w:t>.2为确保网上操作合法、有效和安全，</w:t>
      </w:r>
      <w:r>
        <w:rPr>
          <w:rFonts w:hint="eastAsia" w:ascii="仿宋" w:hAnsi="仿宋" w:eastAsia="仿宋" w:cs="仿宋_GB2312"/>
          <w:color w:val="auto"/>
          <w:szCs w:val="24"/>
          <w:highlight w:val="none"/>
        </w:rPr>
        <w:t>投标人</w:t>
      </w:r>
      <w:r>
        <w:rPr>
          <w:rFonts w:ascii="仿宋" w:hAnsi="仿宋" w:eastAsia="仿宋" w:cs="仿宋_GB2312"/>
          <w:color w:val="auto"/>
          <w:szCs w:val="24"/>
          <w:highlight w:val="none"/>
        </w:rPr>
        <w:t>应当在投标截止时间前完成在“政采云平台”的身份认证，确保在电子投标过程中能够对相关数据电文进行加密和使用电子签名。</w:t>
      </w:r>
    </w:p>
    <w:p>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2</w:t>
      </w:r>
      <w:r>
        <w:rPr>
          <w:rFonts w:ascii="仿宋" w:hAnsi="仿宋" w:eastAsia="仿宋" w:cs="仿宋_GB2312"/>
          <w:color w:val="auto"/>
          <w:szCs w:val="24"/>
          <w:highlight w:val="none"/>
        </w:rPr>
        <w:t>.3</w:t>
      </w:r>
      <w:r>
        <w:rPr>
          <w:rFonts w:hint="eastAsia" w:ascii="仿宋" w:hAnsi="仿宋" w:eastAsia="仿宋" w:cs="仿宋_GB2312"/>
          <w:color w:val="auto"/>
          <w:szCs w:val="24"/>
          <w:highlight w:val="none"/>
        </w:rPr>
        <w:t>招标文件</w:t>
      </w:r>
      <w:r>
        <w:rPr>
          <w:rFonts w:ascii="仿宋" w:hAnsi="仿宋" w:eastAsia="仿宋" w:cs="仿宋_GB2312"/>
          <w:color w:val="auto"/>
          <w:szCs w:val="24"/>
          <w:highlight w:val="none"/>
        </w:rPr>
        <w:t>对投标文件签署、盖章的要求适用于电子签名。</w:t>
      </w:r>
      <w:bookmarkEnd w:id="38"/>
    </w:p>
    <w:p>
      <w:pPr>
        <w:tabs>
          <w:tab w:val="left" w:pos="540"/>
        </w:tabs>
        <w:snapToGrid w:val="0"/>
        <w:spacing w:line="360" w:lineRule="auto"/>
        <w:rPr>
          <w:rFonts w:ascii="仿宋" w:hAnsi="仿宋" w:eastAsia="仿宋" w:cs="新宋体"/>
          <w:b/>
          <w:color w:val="auto"/>
          <w:sz w:val="24"/>
          <w:highlight w:val="none"/>
        </w:rPr>
      </w:pPr>
      <w:bookmarkStart w:id="39" w:name="_Hlk93149637"/>
      <w:r>
        <w:rPr>
          <w:rFonts w:hint="eastAsia" w:ascii="仿宋" w:hAnsi="仿宋" w:eastAsia="仿宋" w:cs="新宋体"/>
          <w:b/>
          <w:bCs/>
          <w:color w:val="auto"/>
          <w:sz w:val="24"/>
          <w:highlight w:val="none"/>
        </w:rPr>
        <w:t>13.投标报价</w:t>
      </w:r>
    </w:p>
    <w:p>
      <w:pPr>
        <w:tabs>
          <w:tab w:val="left" w:pos="54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13.1投标人应报出本项目采购的货物、服务或工程所包含的所有单价和总价，并提供价格组成表。价格组成表中未列出的项目或未填写单价和总价的项目,在合同执行时采购人将不予支付,并认为这些项目费用已包括在投标报价内。</w:t>
      </w:r>
    </w:p>
    <w:p>
      <w:pPr>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olor w:val="auto"/>
          <w:kern w:val="0"/>
          <w:sz w:val="24"/>
          <w:highlight w:val="none"/>
          <w:lang w:val="zh-CN"/>
        </w:rPr>
        <w:t>13.2有关本项目实施所需的所有费用（含税费）均计入报价。</w:t>
      </w:r>
      <w:r>
        <w:rPr>
          <w:rFonts w:hint="eastAsia" w:ascii="仿宋" w:hAnsi="仿宋" w:eastAsia="仿宋" w:cs="新宋体"/>
          <w:color w:val="auto"/>
          <w:sz w:val="24"/>
          <w:highlight w:val="none"/>
        </w:rPr>
        <w:t>所有投标报价均以人民币报价。</w:t>
      </w:r>
      <w:r>
        <w:rPr>
          <w:rFonts w:hint="eastAsia" w:ascii="仿宋" w:hAnsi="仿宋" w:eastAsia="仿宋" w:cs="仿宋_GB2312"/>
          <w:color w:val="auto"/>
          <w:kern w:val="0"/>
          <w:sz w:val="24"/>
          <w:highlight w:val="none"/>
          <w:lang w:val="zh-CN"/>
        </w:rPr>
        <w:t>招标文件未列明，而投标人认为必需的费用也需列入报价。</w:t>
      </w:r>
    </w:p>
    <w:p>
      <w:pPr>
        <w:snapToGrid w:val="0"/>
        <w:spacing w:line="360" w:lineRule="auto"/>
        <w:ind w:firstLine="472" w:firstLineChars="196"/>
        <w:jc w:val="left"/>
        <w:rPr>
          <w:rFonts w:ascii="仿宋" w:hAnsi="仿宋" w:eastAsia="仿宋" w:cs="新宋体"/>
          <w:b/>
          <w:color w:val="auto"/>
          <w:sz w:val="24"/>
          <w:highlight w:val="none"/>
        </w:rPr>
      </w:pPr>
      <w:r>
        <w:rPr>
          <w:rFonts w:hint="eastAsia" w:ascii="仿宋" w:hAnsi="仿宋" w:eastAsia="仿宋" w:cs="仿宋_GB2312"/>
          <w:b/>
          <w:color w:val="auto"/>
          <w:kern w:val="0"/>
          <w:sz w:val="24"/>
          <w:highlight w:val="none"/>
          <w:lang w:val="zh-CN"/>
        </w:rPr>
        <w:t>13.3</w:t>
      </w:r>
      <w:r>
        <w:rPr>
          <w:rFonts w:hint="eastAsia" w:ascii="仿宋" w:hAnsi="仿宋" w:eastAsia="仿宋" w:cs="新宋体"/>
          <w:b/>
          <w:color w:val="auto"/>
          <w:sz w:val="24"/>
          <w:highlight w:val="none"/>
        </w:rPr>
        <w:t>投标报价其他要求见投标人须知前附表。</w:t>
      </w:r>
      <w:bookmarkEnd w:id="39"/>
    </w:p>
    <w:p>
      <w:pPr>
        <w:tabs>
          <w:tab w:val="left" w:pos="-180"/>
          <w:tab w:val="left" w:pos="180"/>
          <w:tab w:val="left" w:pos="360"/>
        </w:tabs>
        <w:snapToGrid w:val="0"/>
        <w:spacing w:line="360" w:lineRule="auto"/>
        <w:rPr>
          <w:rFonts w:ascii="仿宋" w:hAnsi="仿宋" w:eastAsia="仿宋" w:cs="新宋体"/>
          <w:b/>
          <w:bCs/>
          <w:color w:val="auto"/>
          <w:sz w:val="24"/>
          <w:highlight w:val="none"/>
        </w:rPr>
      </w:pPr>
      <w:bookmarkStart w:id="40" w:name="_Toc265529383"/>
      <w:bookmarkStart w:id="41" w:name="_Toc221356887"/>
      <w:bookmarkStart w:id="42" w:name="_Toc221374626"/>
      <w:bookmarkStart w:id="43" w:name="_Toc223715998"/>
      <w:bookmarkStart w:id="44" w:name="_Toc241404202"/>
      <w:bookmarkStart w:id="45" w:name="_Toc239145354"/>
      <w:bookmarkStart w:id="46" w:name="_Toc222114879"/>
      <w:bookmarkStart w:id="47" w:name="_Toc221356951"/>
      <w:bookmarkStart w:id="48" w:name="_Toc221423619"/>
      <w:r>
        <w:rPr>
          <w:rFonts w:hint="eastAsia" w:ascii="仿宋" w:hAnsi="仿宋" w:eastAsia="仿宋" w:cs="新宋体"/>
          <w:b/>
          <w:bCs/>
          <w:color w:val="auto"/>
          <w:sz w:val="24"/>
          <w:highlight w:val="none"/>
        </w:rPr>
        <w:t>14.投标保证金</w:t>
      </w:r>
    </w:p>
    <w:p>
      <w:pPr>
        <w:tabs>
          <w:tab w:val="left" w:pos="-180"/>
          <w:tab w:val="left" w:pos="180"/>
          <w:tab w:val="left" w:pos="360"/>
        </w:tabs>
        <w:snapToGrid w:val="0"/>
        <w:spacing w:line="360" w:lineRule="auto"/>
        <w:ind w:firstLine="480" w:firstLineChars="200"/>
        <w:rPr>
          <w:rFonts w:ascii="仿宋" w:hAnsi="仿宋" w:eastAsia="仿宋" w:cs="新宋体"/>
          <w:bCs/>
          <w:color w:val="auto"/>
          <w:sz w:val="24"/>
          <w:highlight w:val="none"/>
        </w:rPr>
      </w:pPr>
      <w:r>
        <w:rPr>
          <w:rFonts w:hint="eastAsia" w:ascii="仿宋" w:hAnsi="仿宋" w:eastAsia="仿宋" w:cs="新宋体"/>
          <w:bCs/>
          <w:color w:val="auto"/>
          <w:sz w:val="24"/>
          <w:highlight w:val="none"/>
        </w:rPr>
        <w:t>14.1根据《浙江省财政厅关于明确政府采购保证金管理工作的通知》（浙财采监〔2019〕5号）规定，政府采购货物和服务招标投标活动不得向投标人收取投标保证金，非招标采购方式采购货物、工程和服务亦同。</w:t>
      </w:r>
    </w:p>
    <w:p>
      <w:pPr>
        <w:tabs>
          <w:tab w:val="left" w:pos="-180"/>
          <w:tab w:val="left" w:pos="180"/>
          <w:tab w:val="left" w:pos="360"/>
        </w:tabs>
        <w:snapToGrid w:val="0"/>
        <w:spacing w:line="360" w:lineRule="auto"/>
        <w:ind w:firstLine="480" w:firstLineChars="200"/>
        <w:rPr>
          <w:rFonts w:ascii="仿宋" w:hAnsi="仿宋" w:eastAsia="仿宋" w:cs="新宋体"/>
          <w:bCs/>
          <w:color w:val="auto"/>
          <w:sz w:val="24"/>
          <w:highlight w:val="none"/>
        </w:rPr>
      </w:pPr>
      <w:r>
        <w:rPr>
          <w:rFonts w:hint="eastAsia" w:ascii="仿宋" w:hAnsi="仿宋" w:eastAsia="仿宋" w:cs="新宋体"/>
          <w:bCs/>
          <w:color w:val="auto"/>
          <w:sz w:val="24"/>
          <w:highlight w:val="none"/>
        </w:rPr>
        <w:t>14.2无论是否收取投标保证金，投标人在政府采购活动中违反政府采购相关规定给采购组织机构造成损失的，采购组织机构可要求投标人承担赔偿责任。</w:t>
      </w:r>
    </w:p>
    <w:p>
      <w:pPr>
        <w:tabs>
          <w:tab w:val="left" w:pos="-180"/>
          <w:tab w:val="left" w:pos="180"/>
          <w:tab w:val="left" w:pos="360"/>
        </w:tabs>
        <w:snapToGrid w:val="0"/>
        <w:spacing w:line="360" w:lineRule="auto"/>
        <w:ind w:firstLine="480" w:firstLineChars="200"/>
        <w:rPr>
          <w:rFonts w:ascii="仿宋" w:hAnsi="仿宋" w:eastAsia="仿宋" w:cs="Arial"/>
          <w:color w:val="auto"/>
          <w:sz w:val="24"/>
          <w:highlight w:val="none"/>
        </w:rPr>
      </w:pPr>
      <w:r>
        <w:rPr>
          <w:rFonts w:ascii="仿宋" w:hAnsi="仿宋" w:eastAsia="仿宋" w:cs="Arial"/>
          <w:color w:val="auto"/>
          <w:sz w:val="24"/>
          <w:highlight w:val="none"/>
        </w:rPr>
        <w:t>有下列情形之一的，</w:t>
      </w:r>
      <w:r>
        <w:rPr>
          <w:rFonts w:hint="eastAsia" w:ascii="仿宋" w:hAnsi="仿宋" w:eastAsia="仿宋" w:cs="Arial"/>
          <w:color w:val="auto"/>
          <w:sz w:val="24"/>
          <w:highlight w:val="none"/>
        </w:rPr>
        <w:t>采购人将按项目预算的2%要求投标人赔偿</w:t>
      </w:r>
      <w:r>
        <w:rPr>
          <w:rFonts w:ascii="仿宋" w:hAnsi="仿宋" w:eastAsia="仿宋" w:cs="Arial"/>
          <w:color w:val="auto"/>
          <w:sz w:val="24"/>
          <w:highlight w:val="none"/>
        </w:rPr>
        <w:t>：</w:t>
      </w:r>
    </w:p>
    <w:p>
      <w:pPr>
        <w:snapToGrid w:val="0"/>
        <w:spacing w:line="360" w:lineRule="auto"/>
        <w:ind w:firstLine="480" w:firstLineChars="200"/>
        <w:jc w:val="left"/>
        <w:rPr>
          <w:rFonts w:ascii="仿宋" w:hAnsi="仿宋" w:eastAsia="仿宋" w:cs="Arial"/>
          <w:color w:val="auto"/>
          <w:sz w:val="24"/>
          <w:highlight w:val="none"/>
        </w:rPr>
      </w:pPr>
      <w:r>
        <w:rPr>
          <w:rFonts w:ascii="仿宋" w:hAnsi="仿宋" w:eastAsia="仿宋" w:cs="Arial"/>
          <w:color w:val="auto"/>
          <w:sz w:val="24"/>
          <w:highlight w:val="none"/>
        </w:rPr>
        <w:t>（1）投标</w:t>
      </w:r>
      <w:r>
        <w:rPr>
          <w:rFonts w:hint="eastAsia" w:ascii="仿宋" w:hAnsi="仿宋" w:eastAsia="仿宋" w:cs="Arial"/>
          <w:color w:val="auto"/>
          <w:sz w:val="24"/>
          <w:highlight w:val="none"/>
        </w:rPr>
        <w:t>人</w:t>
      </w:r>
      <w:r>
        <w:rPr>
          <w:rFonts w:ascii="仿宋" w:hAnsi="仿宋" w:eastAsia="仿宋" w:cs="Arial"/>
          <w:color w:val="auto"/>
          <w:sz w:val="24"/>
          <w:highlight w:val="none"/>
        </w:rPr>
        <w:t>在投标有效期内撤销投标文件；</w:t>
      </w:r>
    </w:p>
    <w:p>
      <w:pPr>
        <w:snapToGrid w:val="0"/>
        <w:spacing w:line="360" w:lineRule="auto"/>
        <w:ind w:firstLine="480" w:firstLineChars="200"/>
        <w:jc w:val="left"/>
        <w:rPr>
          <w:rFonts w:ascii="仿宋" w:hAnsi="仿宋" w:eastAsia="仿宋" w:cs="Arial"/>
          <w:color w:val="auto"/>
          <w:sz w:val="24"/>
          <w:highlight w:val="none"/>
        </w:rPr>
      </w:pPr>
      <w:r>
        <w:rPr>
          <w:rFonts w:ascii="仿宋" w:hAnsi="仿宋" w:eastAsia="仿宋" w:cs="Arial"/>
          <w:color w:val="auto"/>
          <w:sz w:val="24"/>
          <w:highlight w:val="none"/>
        </w:rPr>
        <w:t>（2）中标人在收到中标通知书后，无正当理由不与采购人订立合同，在签订合同时向采购人提出附加条件，或者不按照招标文件要求提交履约保证金。</w:t>
      </w:r>
    </w:p>
    <w:p>
      <w:pPr>
        <w:tabs>
          <w:tab w:val="left" w:pos="-180"/>
          <w:tab w:val="left" w:pos="180"/>
          <w:tab w:val="left" w:pos="360"/>
        </w:tabs>
        <w:snapToGrid w:val="0"/>
        <w:spacing w:line="360" w:lineRule="auto"/>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15.投标有效期</w:t>
      </w:r>
    </w:p>
    <w:p>
      <w:pPr>
        <w:snapToGrid w:val="0"/>
        <w:spacing w:line="360" w:lineRule="auto"/>
        <w:ind w:firstLine="480" w:firstLineChars="200"/>
        <w:rPr>
          <w:rFonts w:ascii="仿宋" w:hAnsi="仿宋" w:eastAsia="仿宋" w:cs="新宋体"/>
          <w:color w:val="auto"/>
          <w:kern w:val="0"/>
          <w:sz w:val="24"/>
          <w:highlight w:val="none"/>
        </w:rPr>
      </w:pPr>
      <w:r>
        <w:rPr>
          <w:rFonts w:hint="eastAsia" w:ascii="仿宋" w:hAnsi="仿宋" w:eastAsia="仿宋" w:cs="新宋体"/>
          <w:color w:val="auto"/>
          <w:kern w:val="0"/>
          <w:sz w:val="24"/>
          <w:highlight w:val="none"/>
        </w:rPr>
        <w:t>15.1</w:t>
      </w:r>
      <w:bookmarkStart w:id="49" w:name="_Hlk93150253"/>
      <w:r>
        <w:rPr>
          <w:rFonts w:hint="eastAsia" w:ascii="仿宋" w:hAnsi="仿宋" w:eastAsia="仿宋" w:cs="新宋体"/>
          <w:color w:val="auto"/>
          <w:kern w:val="0"/>
          <w:sz w:val="24"/>
          <w:highlight w:val="none"/>
        </w:rPr>
        <w:t>投标有效期见投标人须知前附表。</w:t>
      </w:r>
      <w:r>
        <w:rPr>
          <w:rFonts w:hint="eastAsia" w:ascii="仿宋" w:hAnsi="仿宋" w:eastAsia="仿宋" w:cs="新宋体"/>
          <w:b/>
          <w:color w:val="auto"/>
          <w:kern w:val="0"/>
          <w:sz w:val="24"/>
          <w:highlight w:val="none"/>
          <w:u w:val="single"/>
        </w:rPr>
        <w:t>▲投标人的投标文件中承诺的投标有效期少于招标文件中载明的投标有效期的，投标无效</w:t>
      </w:r>
      <w:r>
        <w:rPr>
          <w:rFonts w:hint="eastAsia" w:ascii="仿宋" w:hAnsi="仿宋" w:eastAsia="仿宋" w:cs="新宋体"/>
          <w:color w:val="auto"/>
          <w:kern w:val="0"/>
          <w:sz w:val="24"/>
          <w:highlight w:val="none"/>
        </w:rPr>
        <w:t>。</w:t>
      </w:r>
    </w:p>
    <w:p>
      <w:pPr>
        <w:snapToGrid w:val="0"/>
        <w:spacing w:line="360" w:lineRule="auto"/>
        <w:ind w:firstLine="480" w:firstLineChars="200"/>
        <w:rPr>
          <w:rFonts w:ascii="仿宋" w:hAnsi="仿宋" w:eastAsia="仿宋" w:cs="新宋体"/>
          <w:color w:val="auto"/>
          <w:kern w:val="0"/>
          <w:sz w:val="24"/>
          <w:highlight w:val="none"/>
        </w:rPr>
      </w:pPr>
      <w:r>
        <w:rPr>
          <w:rFonts w:hint="eastAsia" w:ascii="仿宋" w:hAnsi="仿宋" w:eastAsia="仿宋" w:cs="新宋体"/>
          <w:color w:val="auto"/>
          <w:kern w:val="0"/>
          <w:sz w:val="24"/>
          <w:highlight w:val="none"/>
        </w:rPr>
        <w:t>15.2投标文件合格投递后，自投标截止日期起，在投标有效期内有效。</w:t>
      </w:r>
    </w:p>
    <w:p>
      <w:pPr>
        <w:snapToGrid w:val="0"/>
        <w:spacing w:line="360" w:lineRule="auto"/>
        <w:ind w:firstLine="480" w:firstLineChars="200"/>
        <w:rPr>
          <w:rFonts w:ascii="仿宋" w:hAnsi="仿宋" w:eastAsia="仿宋" w:cs="新宋体"/>
          <w:color w:val="auto"/>
          <w:kern w:val="0"/>
          <w:sz w:val="24"/>
          <w:highlight w:val="none"/>
        </w:rPr>
      </w:pPr>
      <w:r>
        <w:rPr>
          <w:rFonts w:hint="eastAsia" w:ascii="仿宋" w:hAnsi="仿宋" w:eastAsia="仿宋" w:cs="新宋体"/>
          <w:color w:val="auto"/>
          <w:kern w:val="0"/>
          <w:sz w:val="24"/>
          <w:highlight w:val="none"/>
        </w:rPr>
        <w:t>15.3在原定投标有效期满之前，如果出现特殊情况，采购机构可以以书面形式通知投标人延长投标有效期。投标人同意延长的，不得要求或被允许修改其投标文件，投标人拒绝延长的，其投标无效。</w:t>
      </w:r>
    </w:p>
    <w:bookmarkEnd w:id="40"/>
    <w:bookmarkEnd w:id="41"/>
    <w:bookmarkEnd w:id="42"/>
    <w:bookmarkEnd w:id="43"/>
    <w:bookmarkEnd w:id="44"/>
    <w:bookmarkEnd w:id="45"/>
    <w:bookmarkEnd w:id="46"/>
    <w:bookmarkEnd w:id="47"/>
    <w:bookmarkEnd w:id="48"/>
    <w:bookmarkEnd w:id="49"/>
    <w:p>
      <w:pPr>
        <w:pStyle w:val="89"/>
        <w:snapToGrid w:val="0"/>
        <w:spacing w:before="0"/>
        <w:ind w:firstLine="0" w:firstLineChars="0"/>
        <w:rPr>
          <w:rFonts w:ascii="仿宋" w:hAnsi="仿宋" w:eastAsia="仿宋" w:cs="仿宋_GB2312"/>
          <w:b/>
          <w:color w:val="auto"/>
          <w:szCs w:val="24"/>
          <w:highlight w:val="none"/>
        </w:rPr>
      </w:pPr>
      <w:bookmarkStart w:id="50" w:name="_Hlk93150425"/>
      <w:r>
        <w:rPr>
          <w:rFonts w:ascii="仿宋" w:hAnsi="仿宋" w:eastAsia="仿宋" w:cs="仿宋_GB2312"/>
          <w:b/>
          <w:color w:val="auto"/>
          <w:szCs w:val="24"/>
          <w:highlight w:val="none"/>
        </w:rPr>
        <w:t>1</w:t>
      </w:r>
      <w:r>
        <w:rPr>
          <w:rFonts w:hint="eastAsia" w:ascii="仿宋" w:hAnsi="仿宋" w:eastAsia="仿宋" w:cs="仿宋_GB2312"/>
          <w:b/>
          <w:color w:val="auto"/>
          <w:szCs w:val="24"/>
          <w:highlight w:val="none"/>
        </w:rPr>
        <w:t>6</w:t>
      </w:r>
      <w:r>
        <w:rPr>
          <w:rFonts w:ascii="仿宋" w:hAnsi="仿宋" w:eastAsia="仿宋" w:cs="仿宋_GB2312"/>
          <w:b/>
          <w:color w:val="auto"/>
          <w:szCs w:val="24"/>
          <w:highlight w:val="none"/>
        </w:rPr>
        <w:t>.</w:t>
      </w:r>
      <w:r>
        <w:rPr>
          <w:rFonts w:hint="eastAsia" w:ascii="仿宋" w:hAnsi="仿宋" w:eastAsia="仿宋" w:cs="仿宋_GB2312"/>
          <w:b/>
          <w:color w:val="auto"/>
          <w:szCs w:val="24"/>
          <w:highlight w:val="none"/>
        </w:rPr>
        <w:t>投标文件的递交、补充、修改、撤回</w:t>
      </w:r>
    </w:p>
    <w:p>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投标人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仿宋" w:hAnsi="仿宋" w:eastAsia="仿宋" w:cs="新宋体"/>
          <w:b/>
          <w:color w:val="auto"/>
          <w:kern w:val="0"/>
          <w:highlight w:val="none"/>
          <w:u w:val="single"/>
        </w:rPr>
        <w:t>▲</w:t>
      </w:r>
      <w:r>
        <w:rPr>
          <w:rFonts w:hint="eastAsia" w:ascii="仿宋" w:hAnsi="仿宋" w:eastAsia="仿宋" w:cs="仿宋_GB2312"/>
          <w:b/>
          <w:color w:val="auto"/>
          <w:szCs w:val="24"/>
          <w:highlight w:val="none"/>
          <w:u w:val="single"/>
        </w:rPr>
        <w:t>投标截止时间后递交的投标文件，政采云平台将拒收</w:t>
      </w:r>
      <w:r>
        <w:rPr>
          <w:rFonts w:hint="eastAsia" w:ascii="仿宋" w:hAnsi="仿宋" w:eastAsia="仿宋" w:cs="仿宋_GB2312"/>
          <w:color w:val="auto"/>
          <w:szCs w:val="24"/>
          <w:highlight w:val="none"/>
        </w:rPr>
        <w:t>。</w:t>
      </w:r>
    </w:p>
    <w:p>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.2政采云平台收到投标文件，将妥善保存并即时向投标人发出确认回执通知。在投标截止时间前，除投标人补充、修改或者撤回投标文件外，任何单位和个人不得解密或提取投标文件。</w:t>
      </w:r>
    </w:p>
    <w:p>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.3采购人、采购机构可以视情况延长投标文件提交的截止时间。在上述情况下，采购机构与</w:t>
      </w:r>
      <w:r>
        <w:rPr>
          <w:rFonts w:hint="eastAsia" w:ascii="仿宋" w:hAnsi="仿宋" w:eastAsia="仿宋" w:cs="仿宋_GB2312"/>
          <w:color w:val="auto"/>
          <w:szCs w:val="24"/>
          <w:highlight w:val="none"/>
        </w:rPr>
        <w:t>投标人</w:t>
      </w:r>
      <w:r>
        <w:rPr>
          <w:rFonts w:ascii="仿宋" w:hAnsi="仿宋" w:eastAsia="仿宋" w:cs="仿宋_GB2312"/>
          <w:color w:val="auto"/>
          <w:szCs w:val="24"/>
          <w:highlight w:val="none"/>
        </w:rPr>
        <w:t>以前在投标截止期方面的全部权利、责任和义务，将适用于延长至新的投标截止期。</w:t>
      </w:r>
    </w:p>
    <w:p>
      <w:pPr>
        <w:pStyle w:val="32"/>
        <w:snapToGrid w:val="0"/>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1</w:t>
      </w:r>
      <w:r>
        <w:rPr>
          <w:rFonts w:hint="eastAsia" w:ascii="仿宋" w:hAnsi="仿宋" w:eastAsia="仿宋" w:cs="仿宋_GB2312"/>
          <w:b/>
          <w:color w:val="auto"/>
          <w:sz w:val="24"/>
          <w:szCs w:val="24"/>
          <w:highlight w:val="none"/>
        </w:rPr>
        <w:t>7</w:t>
      </w:r>
      <w:r>
        <w:rPr>
          <w:rFonts w:ascii="仿宋" w:hAnsi="仿宋" w:eastAsia="仿宋" w:cs="仿宋_GB2312"/>
          <w:b/>
          <w:color w:val="auto"/>
          <w:sz w:val="24"/>
          <w:szCs w:val="24"/>
          <w:highlight w:val="none"/>
        </w:rPr>
        <w:t>.备份投标文件</w:t>
      </w:r>
    </w:p>
    <w:p>
      <w:pPr>
        <w:pStyle w:val="32"/>
        <w:snapToGrid w:val="0"/>
        <w:spacing w:line="360" w:lineRule="auto"/>
        <w:ind w:firstLine="480" w:firstLineChars="20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1</w:t>
      </w:r>
      <w:r>
        <w:rPr>
          <w:rFonts w:hint="eastAsia" w:ascii="仿宋" w:hAnsi="仿宋" w:eastAsia="仿宋" w:cs="仿宋_GB2312"/>
          <w:color w:val="auto"/>
          <w:sz w:val="24"/>
          <w:szCs w:val="24"/>
          <w:highlight w:val="none"/>
        </w:rPr>
        <w:t>7</w:t>
      </w:r>
      <w:r>
        <w:rPr>
          <w:rFonts w:ascii="仿宋" w:hAnsi="仿宋" w:eastAsia="仿宋" w:cs="仿宋_GB2312"/>
          <w:color w:val="auto"/>
          <w:sz w:val="24"/>
          <w:szCs w:val="24"/>
          <w:highlight w:val="none"/>
        </w:rPr>
        <w:t>.1</w:t>
      </w:r>
      <w:r>
        <w:rPr>
          <w:rFonts w:hint="eastAsia" w:ascii="仿宋" w:hAnsi="仿宋" w:eastAsia="仿宋" w:cs="仿宋_GB2312"/>
          <w:color w:val="auto"/>
          <w:sz w:val="24"/>
          <w:szCs w:val="24"/>
          <w:highlight w:val="none"/>
        </w:rPr>
        <w:t>投标人</w:t>
      </w:r>
      <w:r>
        <w:rPr>
          <w:rFonts w:ascii="仿宋" w:hAnsi="仿宋" w:eastAsia="仿宋" w:cs="仿宋_GB2312"/>
          <w:color w:val="auto"/>
          <w:sz w:val="24"/>
          <w:szCs w:val="24"/>
          <w:highlight w:val="none"/>
        </w:rPr>
        <w:t>在政采云平台传输递交投标文件后，还可以在投标截止时间前直接提交或者以邮政快递方式</w:t>
      </w:r>
      <w:r>
        <w:rPr>
          <w:rFonts w:hint="eastAsia" w:ascii="仿宋" w:hAnsi="仿宋" w:eastAsia="仿宋" w:cs="仿宋_GB2312"/>
          <w:color w:val="auto"/>
          <w:sz w:val="24"/>
          <w:szCs w:val="24"/>
          <w:highlight w:val="none"/>
        </w:rPr>
        <w:t>（递交地点见投标人须知前附表）</w:t>
      </w:r>
      <w:r>
        <w:rPr>
          <w:rFonts w:ascii="仿宋" w:hAnsi="仿宋" w:eastAsia="仿宋" w:cs="仿宋_GB2312"/>
          <w:color w:val="auto"/>
          <w:sz w:val="24"/>
          <w:szCs w:val="24"/>
          <w:highlight w:val="none"/>
        </w:rPr>
        <w:t>递交备份投标文件1份，</w:t>
      </w:r>
      <w:r>
        <w:rPr>
          <w:rFonts w:hint="eastAsia" w:ascii="仿宋" w:hAnsi="仿宋" w:eastAsia="仿宋" w:cs="仿宋_GB2312"/>
          <w:b/>
          <w:color w:val="auto"/>
          <w:sz w:val="24"/>
          <w:szCs w:val="24"/>
          <w:highlight w:val="none"/>
        </w:rPr>
        <w:t>但采购人、采购机构不强制或变相强制投标人提交备份投标文件。</w:t>
      </w:r>
    </w:p>
    <w:p>
      <w:pPr>
        <w:pStyle w:val="32"/>
        <w:snapToGrid w:val="0"/>
        <w:spacing w:line="360" w:lineRule="auto"/>
        <w:ind w:firstLine="480" w:firstLineChars="200"/>
        <w:rPr>
          <w:rFonts w:ascii="仿宋" w:hAnsi="仿宋" w:eastAsia="仿宋" w:cs="仿宋_GB2312"/>
          <w:b/>
          <w:color w:val="auto"/>
          <w:sz w:val="24"/>
          <w:szCs w:val="24"/>
          <w:highlight w:val="none"/>
        </w:rPr>
      </w:pPr>
      <w:r>
        <w:rPr>
          <w:rFonts w:hint="eastAsia" w:ascii="仿宋" w:hAnsi="仿宋" w:eastAsia="仿宋" w:cs="仿宋_GB2312"/>
          <w:color w:val="auto"/>
          <w:sz w:val="24"/>
          <w:szCs w:val="24"/>
          <w:highlight w:val="none"/>
        </w:rPr>
        <w:t>17</w:t>
      </w:r>
      <w:r>
        <w:rPr>
          <w:rFonts w:ascii="仿宋" w:hAnsi="仿宋" w:eastAsia="仿宋" w:cs="仿宋_GB2312"/>
          <w:color w:val="auto"/>
          <w:sz w:val="24"/>
          <w:szCs w:val="24"/>
          <w:highlight w:val="none"/>
        </w:rPr>
        <w:t>.2备份投标文件须在“政</w:t>
      </w:r>
      <w:r>
        <w:rPr>
          <w:rFonts w:hint="eastAsia" w:ascii="仿宋" w:hAnsi="仿宋" w:eastAsia="仿宋" w:cs="仿宋_GB2312"/>
          <w:color w:val="auto"/>
          <w:sz w:val="24"/>
          <w:szCs w:val="24"/>
          <w:highlight w:val="none"/>
        </w:rPr>
        <w:t>采云投标客户端”制作生成，并储存在</w:t>
      </w:r>
      <w:r>
        <w:rPr>
          <w:rFonts w:ascii="仿宋" w:hAnsi="仿宋" w:eastAsia="仿宋"/>
          <w:color w:val="auto"/>
          <w:sz w:val="24"/>
          <w:szCs w:val="24"/>
          <w:highlight w:val="none"/>
        </w:rPr>
        <w:t>光盘</w:t>
      </w:r>
      <w:r>
        <w:rPr>
          <w:rFonts w:hint="eastAsia" w:ascii="仿宋" w:hAnsi="仿宋" w:eastAsia="仿宋"/>
          <w:color w:val="auto"/>
          <w:sz w:val="24"/>
          <w:szCs w:val="24"/>
          <w:highlight w:val="none"/>
        </w:rPr>
        <w:t>或U盘</w:t>
      </w:r>
      <w:r>
        <w:rPr>
          <w:rFonts w:hint="eastAsia" w:ascii="仿宋" w:hAnsi="仿宋" w:eastAsia="仿宋" w:cs="仿宋_GB2312"/>
          <w:color w:val="auto"/>
          <w:sz w:val="24"/>
          <w:szCs w:val="24"/>
          <w:highlight w:val="none"/>
        </w:rPr>
        <w:t>中。备份投标文件应当密封包装并在包装上加盖公章并注明投标项目名称，投标人名称</w:t>
      </w:r>
      <w:r>
        <w:rPr>
          <w:rFonts w:ascii="仿宋" w:hAnsi="仿宋" w:eastAsia="仿宋" w:cs="仿宋_GB2312"/>
          <w:color w:val="auto"/>
          <w:sz w:val="24"/>
          <w:szCs w:val="24"/>
          <w:highlight w:val="none"/>
        </w:rPr>
        <w:t>(联合体投标的，包装物封面需注明联合体投标，并注明联合体成员各方的名称和联合体协议中约定的牵头人的名称)。</w:t>
      </w:r>
      <w:r>
        <w:rPr>
          <w:rFonts w:hint="eastAsia" w:ascii="仿宋" w:hAnsi="仿宋" w:eastAsia="仿宋"/>
          <w:b/>
          <w:color w:val="auto"/>
          <w:sz w:val="24"/>
          <w:szCs w:val="24"/>
          <w:highlight w:val="none"/>
        </w:rPr>
        <w:t>不符合上述制作、</w:t>
      </w:r>
      <w:r>
        <w:rPr>
          <w:rFonts w:hint="eastAsia" w:ascii="仿宋" w:hAnsi="仿宋" w:eastAsia="仿宋" w:cs="仿宋_GB2312"/>
          <w:b/>
          <w:color w:val="auto"/>
          <w:sz w:val="24"/>
          <w:szCs w:val="24"/>
          <w:highlight w:val="none"/>
        </w:rPr>
        <w:t>存储、密封规定的备份投标文件将被视为无效或者被拒绝接收。</w:t>
      </w:r>
    </w:p>
    <w:p>
      <w:pPr>
        <w:pStyle w:val="32"/>
        <w:snapToGrid w:val="0"/>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w:t>
      </w:r>
      <w:r>
        <w:rPr>
          <w:rFonts w:hint="eastAsia" w:ascii="仿宋" w:hAnsi="仿宋" w:eastAsia="仿宋" w:cs="仿宋_GB2312"/>
          <w:color w:val="auto"/>
          <w:sz w:val="24"/>
          <w:szCs w:val="24"/>
          <w:highlight w:val="none"/>
        </w:rPr>
        <w:t>7</w:t>
      </w:r>
      <w:r>
        <w:rPr>
          <w:rFonts w:ascii="仿宋" w:hAnsi="仿宋" w:eastAsia="仿宋" w:cs="仿宋_GB2312"/>
          <w:color w:val="auto"/>
          <w:sz w:val="24"/>
          <w:szCs w:val="24"/>
          <w:highlight w:val="none"/>
        </w:rPr>
        <w:t>.3</w:t>
      </w:r>
      <w:r>
        <w:rPr>
          <w:rFonts w:ascii="仿宋" w:hAnsi="仿宋" w:eastAsia="仿宋" w:cs="仿宋_GB2312"/>
          <w:b/>
          <w:bCs/>
          <w:color w:val="auto"/>
          <w:sz w:val="24"/>
          <w:szCs w:val="24"/>
          <w:highlight w:val="none"/>
        </w:rPr>
        <w:t>采购机构将拒绝接受逾期送达的备份投标文件。</w:t>
      </w:r>
      <w:r>
        <w:rPr>
          <w:rFonts w:hint="eastAsia" w:ascii="仿宋" w:hAnsi="仿宋" w:eastAsia="仿宋" w:cs="仿宋_GB2312"/>
          <w:color w:val="auto"/>
          <w:sz w:val="24"/>
          <w:szCs w:val="24"/>
          <w:highlight w:val="none"/>
        </w:rPr>
        <w:t>采用</w:t>
      </w:r>
      <w:r>
        <w:rPr>
          <w:rFonts w:ascii="仿宋" w:hAnsi="仿宋" w:eastAsia="仿宋" w:cs="仿宋_GB2312"/>
          <w:color w:val="auto"/>
          <w:sz w:val="24"/>
          <w:szCs w:val="24"/>
          <w:highlight w:val="none"/>
        </w:rPr>
        <w:t>邮政快递方式递交备份投标文件的，</w:t>
      </w:r>
      <w:r>
        <w:rPr>
          <w:rFonts w:hint="eastAsia" w:ascii="仿宋" w:hAnsi="仿宋" w:eastAsia="仿宋" w:cs="仿宋_GB2312"/>
          <w:color w:val="auto"/>
          <w:sz w:val="24"/>
          <w:szCs w:val="24"/>
          <w:highlight w:val="none"/>
        </w:rPr>
        <w:t>送达时间以签收人签收时间为准。邮寄过程中，备份投标文件发生泄露、遗失、损坏或延期送达等情况的，由投标人自行负责。</w:t>
      </w:r>
    </w:p>
    <w:p>
      <w:pPr>
        <w:pStyle w:val="32"/>
        <w:snapToGrid w:val="0"/>
        <w:spacing w:line="360" w:lineRule="auto"/>
        <w:ind w:firstLine="472" w:firstLineChars="196"/>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17</w:t>
      </w:r>
      <w:r>
        <w:rPr>
          <w:rFonts w:ascii="仿宋" w:hAnsi="仿宋" w:eastAsia="仿宋" w:cs="仿宋_GB2312"/>
          <w:b/>
          <w:color w:val="auto"/>
          <w:sz w:val="24"/>
          <w:szCs w:val="24"/>
          <w:highlight w:val="none"/>
        </w:rPr>
        <w:t>.4</w:t>
      </w:r>
      <w:r>
        <w:rPr>
          <w:rFonts w:hint="eastAsia" w:ascii="仿宋" w:hAnsi="仿宋" w:eastAsia="仿宋" w:cs="新宋体"/>
          <w:b/>
          <w:color w:val="auto"/>
          <w:kern w:val="0"/>
          <w:sz w:val="24"/>
          <w:highlight w:val="none"/>
          <w:u w:val="single"/>
        </w:rPr>
        <w:t>▲</w:t>
      </w:r>
      <w:r>
        <w:rPr>
          <w:rFonts w:hint="eastAsia" w:ascii="仿宋" w:hAnsi="仿宋" w:eastAsia="仿宋" w:cs="仿宋_GB2312"/>
          <w:b/>
          <w:color w:val="auto"/>
          <w:sz w:val="24"/>
          <w:szCs w:val="24"/>
          <w:highlight w:val="none"/>
          <w:u w:val="single"/>
        </w:rPr>
        <w:t>投标人</w:t>
      </w:r>
      <w:r>
        <w:rPr>
          <w:rFonts w:ascii="仿宋" w:hAnsi="仿宋" w:eastAsia="仿宋" w:cs="仿宋_GB2312"/>
          <w:b/>
          <w:color w:val="auto"/>
          <w:sz w:val="24"/>
          <w:szCs w:val="24"/>
          <w:highlight w:val="none"/>
          <w:u w:val="single"/>
        </w:rPr>
        <w:t>仅提交备份投标文件，没有在政采云平台传输递交投标文件的，投标无效</w:t>
      </w:r>
      <w:r>
        <w:rPr>
          <w:rFonts w:ascii="仿宋" w:hAnsi="仿宋" w:eastAsia="仿宋" w:cs="仿宋_GB2312"/>
          <w:b/>
          <w:color w:val="auto"/>
          <w:sz w:val="24"/>
          <w:szCs w:val="24"/>
          <w:highlight w:val="none"/>
        </w:rPr>
        <w:t>。</w:t>
      </w:r>
    </w:p>
    <w:p>
      <w:pPr>
        <w:pStyle w:val="89"/>
        <w:snapToGrid w:val="0"/>
        <w:spacing w:before="0"/>
        <w:ind w:firstLine="0" w:firstLineChars="0"/>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18</w:t>
      </w:r>
      <w:r>
        <w:rPr>
          <w:rFonts w:ascii="仿宋" w:hAnsi="仿宋" w:eastAsia="仿宋" w:cs="仿宋_GB2312"/>
          <w:b/>
          <w:color w:val="auto"/>
          <w:szCs w:val="24"/>
          <w:highlight w:val="none"/>
        </w:rPr>
        <w:t>.投标文件的无效处理</w:t>
      </w:r>
    </w:p>
    <w:p>
      <w:pPr>
        <w:pStyle w:val="25"/>
        <w:adjustRightInd w:val="0"/>
        <w:snapToGrid w:val="0"/>
        <w:spacing w:line="360" w:lineRule="auto"/>
        <w:ind w:left="0" w:firstLine="480" w:firstLineChars="200"/>
        <w:rPr>
          <w:rFonts w:ascii="仿宋" w:hAnsi="仿宋" w:eastAsia="仿宋"/>
          <w:color w:val="auto"/>
          <w:highlight w:val="none"/>
        </w:rPr>
      </w:pPr>
      <w:r>
        <w:rPr>
          <w:rFonts w:hint="eastAsia" w:ascii="仿宋" w:hAnsi="仿宋" w:eastAsia="仿宋" w:cs="仿宋_GB2312"/>
          <w:color w:val="auto"/>
          <w:highlight w:val="none"/>
        </w:rPr>
        <w:t>见招标文件第六部分</w:t>
      </w:r>
      <w:r>
        <w:rPr>
          <w:rFonts w:hint="eastAsia" w:ascii="仿宋" w:hAnsi="仿宋" w:eastAsia="仿宋"/>
          <w:color w:val="auto"/>
          <w:highlight w:val="none"/>
        </w:rPr>
        <w:t>评标办法。</w:t>
      </w:r>
      <w:bookmarkEnd w:id="50"/>
    </w:p>
    <w:p>
      <w:pPr>
        <w:pStyle w:val="25"/>
        <w:adjustRightInd w:val="0"/>
        <w:snapToGrid w:val="0"/>
        <w:spacing w:line="360" w:lineRule="auto"/>
        <w:ind w:left="0" w:firstLine="480" w:firstLineChars="200"/>
        <w:rPr>
          <w:rFonts w:ascii="仿宋" w:hAnsi="仿宋" w:eastAsia="仿宋" w:cs="仿宋_GB2312"/>
          <w:color w:val="auto"/>
          <w:highlight w:val="none"/>
        </w:rPr>
      </w:pPr>
    </w:p>
    <w:p>
      <w:pPr>
        <w:pStyle w:val="89"/>
        <w:snapToGrid w:val="0"/>
        <w:spacing w:before="0"/>
        <w:ind w:firstLine="0" w:firstLineChars="0"/>
        <w:jc w:val="center"/>
        <w:outlineLvl w:val="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四、开标、资格审查与信用信息查询</w:t>
      </w:r>
    </w:p>
    <w:p>
      <w:pPr>
        <w:pStyle w:val="92"/>
        <w:snapToGrid w:val="0"/>
        <w:spacing w:before="0" w:line="360" w:lineRule="auto"/>
        <w:ind w:left="0" w:firstLine="0"/>
        <w:rPr>
          <w:rFonts w:ascii="仿宋" w:hAnsi="仿宋" w:eastAsia="仿宋"/>
          <w:color w:val="auto"/>
          <w:sz w:val="24"/>
          <w:szCs w:val="24"/>
          <w:highlight w:val="none"/>
        </w:rPr>
      </w:pPr>
      <w:r>
        <w:rPr>
          <w:rFonts w:hint="eastAsia" w:ascii="仿宋" w:hAnsi="仿宋" w:eastAsia="仿宋" w:cs="仿宋_GB2312"/>
          <w:b/>
          <w:color w:val="auto"/>
          <w:sz w:val="24"/>
          <w:szCs w:val="24"/>
          <w:highlight w:val="none"/>
        </w:rPr>
        <w:t>19</w:t>
      </w:r>
      <w:r>
        <w:rPr>
          <w:rFonts w:ascii="仿宋" w:hAnsi="仿宋" w:eastAsia="仿宋" w:cs="仿宋_GB2312"/>
          <w:b/>
          <w:color w:val="auto"/>
          <w:sz w:val="24"/>
          <w:szCs w:val="24"/>
          <w:highlight w:val="none"/>
        </w:rPr>
        <w:t>.开标</w:t>
      </w:r>
    </w:p>
    <w:p>
      <w:pPr>
        <w:pStyle w:val="92"/>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19</w:t>
      </w:r>
      <w:r>
        <w:rPr>
          <w:rFonts w:ascii="仿宋" w:hAnsi="仿宋" w:eastAsia="仿宋" w:cs="仿宋_GB2312"/>
          <w:color w:val="auto"/>
          <w:sz w:val="24"/>
          <w:szCs w:val="24"/>
          <w:highlight w:val="none"/>
        </w:rPr>
        <w:t>.1采购机构按照</w:t>
      </w:r>
      <w:r>
        <w:rPr>
          <w:rFonts w:hint="eastAsia" w:ascii="仿宋" w:hAnsi="仿宋" w:eastAsia="仿宋" w:cs="仿宋_GB2312"/>
          <w:color w:val="auto"/>
          <w:sz w:val="24"/>
          <w:szCs w:val="24"/>
          <w:highlight w:val="none"/>
        </w:rPr>
        <w:t>招标文件</w:t>
      </w:r>
      <w:r>
        <w:rPr>
          <w:rFonts w:ascii="仿宋" w:hAnsi="仿宋" w:eastAsia="仿宋" w:cs="仿宋_GB2312"/>
          <w:color w:val="auto"/>
          <w:sz w:val="24"/>
          <w:szCs w:val="24"/>
          <w:highlight w:val="none"/>
        </w:rPr>
        <w:t>规定的时间通过政采云平台组织开标，所有</w:t>
      </w:r>
      <w:r>
        <w:rPr>
          <w:rFonts w:hint="eastAsia" w:ascii="仿宋" w:hAnsi="仿宋" w:eastAsia="仿宋" w:cs="仿宋_GB2312"/>
          <w:color w:val="auto"/>
          <w:sz w:val="24"/>
          <w:szCs w:val="24"/>
          <w:highlight w:val="none"/>
        </w:rPr>
        <w:t>投标人</w:t>
      </w:r>
      <w:r>
        <w:rPr>
          <w:rFonts w:ascii="仿宋" w:hAnsi="仿宋" w:eastAsia="仿宋" w:cs="仿宋_GB2312"/>
          <w:color w:val="auto"/>
          <w:sz w:val="24"/>
          <w:szCs w:val="24"/>
          <w:highlight w:val="none"/>
        </w:rPr>
        <w:t>均应当准时在线参加。</w:t>
      </w:r>
      <w:r>
        <w:rPr>
          <w:rFonts w:hint="eastAsia" w:ascii="仿宋" w:hAnsi="仿宋" w:eastAsia="仿宋" w:cs="仿宋_GB2312"/>
          <w:color w:val="auto"/>
          <w:sz w:val="24"/>
          <w:szCs w:val="24"/>
          <w:highlight w:val="none"/>
        </w:rPr>
        <w:t>投标人</w:t>
      </w:r>
      <w:r>
        <w:rPr>
          <w:rFonts w:ascii="仿宋" w:hAnsi="仿宋" w:eastAsia="仿宋" w:cs="仿宋_GB2312"/>
          <w:color w:val="auto"/>
          <w:sz w:val="24"/>
          <w:szCs w:val="24"/>
          <w:highlight w:val="none"/>
        </w:rPr>
        <w:t>不足3家的，不得开标。</w:t>
      </w:r>
    </w:p>
    <w:p>
      <w:pPr>
        <w:pStyle w:val="92"/>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19</w:t>
      </w:r>
      <w:r>
        <w:rPr>
          <w:rFonts w:ascii="仿宋" w:hAnsi="仿宋" w:eastAsia="仿宋" w:cs="仿宋_GB2312"/>
          <w:color w:val="auto"/>
          <w:sz w:val="24"/>
          <w:szCs w:val="24"/>
          <w:highlight w:val="none"/>
        </w:rPr>
        <w:t>.2开标时，政采云平台按开标时间自动提取所有投标文件。采购机构依托政采云平台发起开始解密指令，</w:t>
      </w:r>
      <w:r>
        <w:rPr>
          <w:rFonts w:hint="eastAsia" w:ascii="仿宋" w:hAnsi="仿宋" w:eastAsia="仿宋" w:cs="仿宋_GB2312"/>
          <w:color w:val="auto"/>
          <w:sz w:val="24"/>
          <w:szCs w:val="24"/>
          <w:highlight w:val="none"/>
        </w:rPr>
        <w:t>投标人</w:t>
      </w:r>
      <w:r>
        <w:rPr>
          <w:rFonts w:ascii="仿宋" w:hAnsi="仿宋" w:eastAsia="仿宋" w:cs="仿宋_GB2312"/>
          <w:color w:val="auto"/>
          <w:sz w:val="24"/>
          <w:szCs w:val="24"/>
          <w:highlight w:val="none"/>
        </w:rPr>
        <w:t>按照平台提示和</w:t>
      </w:r>
      <w:r>
        <w:rPr>
          <w:rFonts w:hint="eastAsia" w:ascii="仿宋" w:hAnsi="仿宋" w:eastAsia="仿宋" w:cs="仿宋_GB2312"/>
          <w:color w:val="auto"/>
          <w:sz w:val="24"/>
          <w:szCs w:val="24"/>
          <w:highlight w:val="none"/>
        </w:rPr>
        <w:t>招标文件</w:t>
      </w:r>
      <w:r>
        <w:rPr>
          <w:rFonts w:ascii="仿宋" w:hAnsi="仿宋" w:eastAsia="仿宋" w:cs="仿宋_GB2312"/>
          <w:color w:val="auto"/>
          <w:sz w:val="24"/>
          <w:szCs w:val="24"/>
          <w:highlight w:val="none"/>
        </w:rPr>
        <w:t>的规定完成在线解密。</w:t>
      </w:r>
    </w:p>
    <w:p>
      <w:pPr>
        <w:tabs>
          <w:tab w:val="left" w:pos="540"/>
        </w:tabs>
        <w:snapToGrid w:val="0"/>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采用二阶段开标形式的，第一阶段按前款规定</w:t>
      </w:r>
      <w:r>
        <w:rPr>
          <w:rFonts w:hint="eastAsia" w:ascii="仿宋" w:hAnsi="仿宋" w:eastAsia="仿宋" w:cs="仿宋_GB2312"/>
          <w:color w:val="auto"/>
          <w:sz w:val="24"/>
          <w:highlight w:val="none"/>
        </w:rPr>
        <w:t>投标人</w:t>
      </w:r>
      <w:r>
        <w:rPr>
          <w:rFonts w:ascii="仿宋" w:hAnsi="仿宋" w:eastAsia="仿宋" w:cs="仿宋_GB2312"/>
          <w:color w:val="auto"/>
          <w:sz w:val="24"/>
          <w:highlight w:val="none"/>
        </w:rPr>
        <w:t>完成在线解密</w:t>
      </w:r>
      <w:r>
        <w:rPr>
          <w:rFonts w:hint="eastAsia" w:ascii="仿宋" w:hAnsi="仿宋" w:eastAsia="仿宋" w:cs="仿宋_GB2312"/>
          <w:color w:val="auto"/>
          <w:kern w:val="0"/>
          <w:sz w:val="24"/>
          <w:highlight w:val="none"/>
        </w:rPr>
        <w:t>，先进入符合性审查、商务技术文件的评审；</w:t>
      </w:r>
      <w:r>
        <w:rPr>
          <w:rFonts w:ascii="仿宋" w:hAnsi="仿宋" w:eastAsia="仿宋" w:cs="仿宋_GB2312"/>
          <w:color w:val="auto"/>
          <w:sz w:val="24"/>
          <w:highlight w:val="none"/>
        </w:rPr>
        <w:t>采购机构</w:t>
      </w:r>
      <w:r>
        <w:rPr>
          <w:rFonts w:hint="eastAsia" w:ascii="仿宋" w:hAnsi="仿宋" w:eastAsia="仿宋" w:cs="仿宋_GB2312"/>
          <w:color w:val="auto"/>
          <w:kern w:val="0"/>
          <w:sz w:val="24"/>
          <w:highlight w:val="none"/>
        </w:rPr>
        <w:t>在符合性审查、商务技术文件的评审结束后再进行第二阶段开标：</w:t>
      </w:r>
      <w:r>
        <w:rPr>
          <w:rFonts w:ascii="仿宋" w:hAnsi="仿宋" w:eastAsia="仿宋" w:cs="仿宋_GB2312"/>
          <w:color w:val="auto"/>
          <w:kern w:val="0"/>
          <w:sz w:val="24"/>
          <w:highlight w:val="none"/>
        </w:rPr>
        <w:t>采购机构</w:t>
      </w:r>
      <w:r>
        <w:rPr>
          <w:rFonts w:hint="eastAsia" w:ascii="仿宋" w:hAnsi="仿宋" w:eastAsia="仿宋" w:cs="仿宋_GB2312"/>
          <w:color w:val="auto"/>
          <w:kern w:val="0"/>
          <w:sz w:val="24"/>
          <w:highlight w:val="none"/>
        </w:rPr>
        <w:t>在</w:t>
      </w:r>
      <w:r>
        <w:rPr>
          <w:rFonts w:ascii="仿宋" w:hAnsi="仿宋" w:eastAsia="仿宋" w:cs="仿宋_GB2312"/>
          <w:color w:val="auto"/>
          <w:kern w:val="0"/>
          <w:sz w:val="24"/>
          <w:highlight w:val="none"/>
        </w:rPr>
        <w:t>政采云平台</w:t>
      </w:r>
      <w:r>
        <w:rPr>
          <w:rFonts w:hint="eastAsia" w:ascii="仿宋" w:hAnsi="仿宋" w:eastAsia="仿宋" w:cs="仿宋_GB2312"/>
          <w:color w:val="auto"/>
          <w:kern w:val="0"/>
          <w:sz w:val="24"/>
          <w:highlight w:val="none"/>
        </w:rPr>
        <w:t>公布符合性审查、商务技术评审无效投标人名称及理由，公布有效投标人名称及其商务技术部分得分情况，再公布有效投标人开标一览表及有关内容，制作开标记录，投标人应当在</w:t>
      </w:r>
      <w:r>
        <w:rPr>
          <w:rFonts w:hint="eastAsia" w:ascii="仿宋" w:hAnsi="仿宋" w:eastAsia="仿宋" w:cs="仿宋_GB2312"/>
          <w:b/>
          <w:bCs/>
          <w:color w:val="auto"/>
          <w:kern w:val="0"/>
          <w:sz w:val="24"/>
          <w:highlight w:val="none"/>
        </w:rPr>
        <w:t>30分钟</w:t>
      </w:r>
      <w:r>
        <w:rPr>
          <w:rFonts w:hint="eastAsia" w:ascii="仿宋" w:hAnsi="仿宋" w:eastAsia="仿宋" w:cs="仿宋_GB2312"/>
          <w:color w:val="auto"/>
          <w:kern w:val="0"/>
          <w:sz w:val="24"/>
          <w:highlight w:val="none"/>
        </w:rPr>
        <w:t>内完成</w:t>
      </w:r>
      <w:r>
        <w:rPr>
          <w:rFonts w:ascii="仿宋" w:hAnsi="仿宋" w:eastAsia="仿宋" w:cs="仿宋_GB2312"/>
          <w:color w:val="auto"/>
          <w:kern w:val="0"/>
          <w:sz w:val="24"/>
          <w:highlight w:val="none"/>
        </w:rPr>
        <w:t>政采云平台</w:t>
      </w:r>
      <w:r>
        <w:rPr>
          <w:rFonts w:hint="eastAsia" w:ascii="仿宋" w:hAnsi="仿宋" w:eastAsia="仿宋" w:cs="仿宋_GB2312"/>
          <w:color w:val="auto"/>
          <w:kern w:val="0"/>
          <w:sz w:val="24"/>
          <w:highlight w:val="none"/>
        </w:rPr>
        <w:t>上签字确认。</w:t>
      </w:r>
    </w:p>
    <w:p>
      <w:pPr>
        <w:tabs>
          <w:tab w:val="left" w:pos="540"/>
        </w:tabs>
        <w:snapToGrid w:val="0"/>
        <w:spacing w:line="360" w:lineRule="auto"/>
        <w:ind w:firstLine="480" w:firstLineChars="200"/>
        <w:rPr>
          <w:rFonts w:ascii="仿宋" w:hAnsi="仿宋" w:eastAsia="仿宋" w:cs="新宋体"/>
          <w:bCs/>
          <w:color w:val="auto"/>
          <w:kern w:val="0"/>
          <w:sz w:val="24"/>
          <w:highlight w:val="none"/>
        </w:rPr>
      </w:pPr>
      <w:r>
        <w:rPr>
          <w:rFonts w:hint="eastAsia" w:ascii="仿宋" w:hAnsi="仿宋" w:eastAsia="仿宋" w:cs="新宋体"/>
          <w:bCs/>
          <w:color w:val="auto"/>
          <w:kern w:val="0"/>
          <w:sz w:val="24"/>
          <w:highlight w:val="none"/>
        </w:rPr>
        <w:t>19.</w:t>
      </w:r>
      <w:r>
        <w:rPr>
          <w:rFonts w:ascii="仿宋" w:hAnsi="仿宋" w:eastAsia="仿宋" w:cs="新宋体"/>
          <w:bCs/>
          <w:color w:val="auto"/>
          <w:kern w:val="0"/>
          <w:sz w:val="24"/>
          <w:highlight w:val="none"/>
        </w:rPr>
        <w:t>3</w:t>
      </w:r>
      <w:r>
        <w:rPr>
          <w:rFonts w:hint="eastAsia" w:ascii="仿宋" w:hAnsi="仿宋" w:eastAsia="仿宋" w:cs="新宋体"/>
          <w:bCs/>
          <w:color w:val="auto"/>
          <w:kern w:val="0"/>
          <w:sz w:val="24"/>
          <w:highlight w:val="none"/>
        </w:rPr>
        <w:t>特别说明：</w:t>
      </w:r>
    </w:p>
    <w:p>
      <w:pPr>
        <w:tabs>
          <w:tab w:val="left" w:pos="540"/>
        </w:tabs>
        <w:snapToGrid w:val="0"/>
        <w:spacing w:line="360" w:lineRule="auto"/>
        <w:ind w:firstLine="480" w:firstLineChars="200"/>
        <w:rPr>
          <w:rFonts w:ascii="仿宋" w:hAnsi="仿宋" w:eastAsia="仿宋" w:cs="新宋体"/>
          <w:bCs/>
          <w:color w:val="auto"/>
          <w:kern w:val="0"/>
          <w:sz w:val="24"/>
          <w:highlight w:val="none"/>
        </w:rPr>
      </w:pPr>
      <w:r>
        <w:rPr>
          <w:rFonts w:hint="eastAsia" w:ascii="仿宋" w:hAnsi="仿宋" w:eastAsia="仿宋" w:cs="新宋体"/>
          <w:bCs/>
          <w:color w:val="auto"/>
          <w:kern w:val="0"/>
          <w:sz w:val="24"/>
          <w:highlight w:val="none"/>
        </w:rPr>
        <w:t>（1）如遇“政采云平台”电子化开标或评审程序（含相关数据公布）调整的，按调整后程序执行。</w:t>
      </w:r>
    </w:p>
    <w:p>
      <w:pPr>
        <w:tabs>
          <w:tab w:val="left" w:pos="540"/>
        </w:tabs>
        <w:snapToGrid w:val="0"/>
        <w:spacing w:line="360" w:lineRule="auto"/>
        <w:ind w:firstLine="480" w:firstLineChars="200"/>
        <w:rPr>
          <w:rFonts w:ascii="仿宋" w:hAnsi="仿宋" w:eastAsia="仿宋" w:cs="新宋体"/>
          <w:bCs/>
          <w:color w:val="auto"/>
          <w:kern w:val="0"/>
          <w:sz w:val="24"/>
          <w:highlight w:val="none"/>
        </w:rPr>
      </w:pPr>
      <w:r>
        <w:rPr>
          <w:rFonts w:hint="eastAsia" w:ascii="仿宋" w:hAnsi="仿宋" w:eastAsia="仿宋" w:cs="新宋体"/>
          <w:bCs/>
          <w:color w:val="auto"/>
          <w:kern w:val="0"/>
          <w:sz w:val="24"/>
          <w:highlight w:val="none"/>
        </w:rPr>
        <w:t>（2）开标过程中需要相关当事人进行签字或盖章确认的材料将通过“政采云平台”进行，若因“政采云平台”技术问题无法进行签字或盖章确认的，采购组织机构将通过邮件、传真等形式组织确认。</w:t>
      </w:r>
    </w:p>
    <w:p>
      <w:pPr>
        <w:tabs>
          <w:tab w:val="left" w:pos="540"/>
        </w:tabs>
        <w:snapToGrid w:val="0"/>
        <w:spacing w:line="360" w:lineRule="auto"/>
        <w:ind w:firstLine="480" w:firstLineChars="200"/>
        <w:rPr>
          <w:rFonts w:ascii="仿宋" w:hAnsi="仿宋" w:eastAsia="仿宋" w:cs="新宋体"/>
          <w:bCs/>
          <w:color w:val="auto"/>
          <w:kern w:val="0"/>
          <w:sz w:val="24"/>
          <w:highlight w:val="none"/>
        </w:rPr>
      </w:pPr>
      <w:r>
        <w:rPr>
          <w:rFonts w:hint="eastAsia" w:ascii="仿宋" w:hAnsi="仿宋" w:eastAsia="仿宋" w:cs="新宋体"/>
          <w:bCs/>
          <w:color w:val="auto"/>
          <w:kern w:val="0"/>
          <w:sz w:val="24"/>
          <w:highlight w:val="none"/>
        </w:rPr>
        <w:t>（3）投标人代表应保持“政采云平台”在线并准备好投标人公章、笔、纸、打印机等办公用品，随时做好开评标过程所需文件的邮件收发及签字、盖章工作（下同）。由于投标人代表未在线或电话无法联系而导致的相关损失或责任由投标人承担。</w:t>
      </w:r>
    </w:p>
    <w:p>
      <w:pPr>
        <w:pStyle w:val="92"/>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19</w:t>
      </w:r>
      <w:r>
        <w:rPr>
          <w:rFonts w:ascii="仿宋" w:hAnsi="仿宋" w:eastAsia="仿宋" w:cs="仿宋_GB2312"/>
          <w:color w:val="auto"/>
          <w:sz w:val="24"/>
          <w:szCs w:val="24"/>
          <w:highlight w:val="none"/>
        </w:rPr>
        <w:t>.4</w:t>
      </w:r>
      <w:r>
        <w:rPr>
          <w:rFonts w:hint="eastAsia" w:ascii="仿宋" w:hAnsi="仿宋" w:eastAsia="仿宋" w:cs="仿宋_GB2312"/>
          <w:color w:val="auto"/>
          <w:sz w:val="24"/>
          <w:szCs w:val="24"/>
          <w:highlight w:val="none"/>
        </w:rPr>
        <w:t>投标文件未按时解密，投标人提供了备份投标文件的，以备份投标文件作为依据，否则视为投标文件撤回。投标文件已按时解密的，备份投标文件自动失效。</w:t>
      </w:r>
    </w:p>
    <w:p>
      <w:pPr>
        <w:widowControl/>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20</w:t>
      </w:r>
      <w:r>
        <w:rPr>
          <w:rFonts w:ascii="仿宋" w:hAnsi="仿宋" w:eastAsia="仿宋" w:cs="仿宋_GB2312"/>
          <w:b/>
          <w:color w:val="auto"/>
          <w:sz w:val="24"/>
          <w:highlight w:val="none"/>
        </w:rPr>
        <w:t>、资格审查</w:t>
      </w:r>
    </w:p>
    <w:p>
      <w:pPr>
        <w:pStyle w:val="89"/>
        <w:snapToGrid w:val="0"/>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20</w:t>
      </w:r>
      <w:r>
        <w:rPr>
          <w:rFonts w:ascii="仿宋" w:hAnsi="仿宋" w:eastAsia="仿宋" w:cs="Arial"/>
          <w:color w:val="auto"/>
          <w:kern w:val="0"/>
          <w:szCs w:val="24"/>
          <w:highlight w:val="none"/>
        </w:rPr>
        <w:t>.1开标后，采购人或采购代理机构将依法对</w:t>
      </w:r>
      <w:r>
        <w:rPr>
          <w:rFonts w:hint="eastAsia" w:ascii="仿宋" w:hAnsi="仿宋" w:eastAsia="仿宋" w:cs="Arial"/>
          <w:color w:val="auto"/>
          <w:kern w:val="0"/>
          <w:szCs w:val="24"/>
          <w:highlight w:val="none"/>
        </w:rPr>
        <w:t>投标人</w:t>
      </w:r>
      <w:r>
        <w:rPr>
          <w:rFonts w:ascii="仿宋" w:hAnsi="仿宋" w:eastAsia="仿宋" w:cs="Arial"/>
          <w:color w:val="auto"/>
          <w:kern w:val="0"/>
          <w:szCs w:val="24"/>
          <w:highlight w:val="none"/>
        </w:rPr>
        <w:t>的资格进行审查。</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Arial"/>
          <w:color w:val="auto"/>
          <w:kern w:val="0"/>
          <w:sz w:val="24"/>
          <w:highlight w:val="none"/>
        </w:rPr>
        <w:t>20</w:t>
      </w:r>
      <w:r>
        <w:rPr>
          <w:rFonts w:ascii="仿宋" w:hAnsi="仿宋" w:eastAsia="仿宋" w:cs="Arial"/>
          <w:color w:val="auto"/>
          <w:kern w:val="0"/>
          <w:sz w:val="24"/>
          <w:highlight w:val="none"/>
        </w:rPr>
        <w:t>.2</w:t>
      </w:r>
      <w:r>
        <w:rPr>
          <w:rFonts w:hint="eastAsia" w:ascii="仿宋" w:hAnsi="仿宋" w:eastAsia="仿宋" w:cs="仿宋_GB2312"/>
          <w:color w:val="auto"/>
          <w:sz w:val="24"/>
          <w:highlight w:val="none"/>
        </w:rPr>
        <w:t>采购人或采购代理机构依据法律法规和招标文件的规定，对投标人的基本资格条件、</w:t>
      </w:r>
      <w:r>
        <w:rPr>
          <w:rFonts w:ascii="仿宋" w:hAnsi="仿宋" w:eastAsia="仿宋" w:cs="仿宋_GB2312"/>
          <w:color w:val="auto"/>
          <w:sz w:val="24"/>
          <w:highlight w:val="none"/>
        </w:rPr>
        <w:t>落实政府采购政策需满足的资格要求</w:t>
      </w:r>
      <w:r>
        <w:rPr>
          <w:rFonts w:hint="eastAsia" w:ascii="仿宋" w:hAnsi="仿宋" w:eastAsia="仿宋" w:cs="仿宋_GB2312"/>
          <w:color w:val="auto"/>
          <w:sz w:val="24"/>
          <w:highlight w:val="none"/>
        </w:rPr>
        <w:t>、特定资格条件进行审查。</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Arial"/>
          <w:color w:val="auto"/>
          <w:kern w:val="0"/>
          <w:szCs w:val="24"/>
          <w:highlight w:val="none"/>
        </w:rPr>
        <w:t>20</w:t>
      </w:r>
      <w:r>
        <w:rPr>
          <w:rFonts w:ascii="仿宋" w:hAnsi="仿宋" w:eastAsia="仿宋" w:cs="Arial"/>
          <w:color w:val="auto"/>
          <w:kern w:val="0"/>
          <w:szCs w:val="24"/>
          <w:highlight w:val="none"/>
        </w:rPr>
        <w:t>.3</w:t>
      </w:r>
      <w:r>
        <w:rPr>
          <w:rFonts w:hint="eastAsia" w:ascii="仿宋" w:hAnsi="仿宋" w:eastAsia="仿宋" w:cs="新宋体"/>
          <w:b/>
          <w:color w:val="auto"/>
          <w:kern w:val="0"/>
          <w:highlight w:val="none"/>
          <w:u w:val="single"/>
        </w:rPr>
        <w:t>▲</w:t>
      </w:r>
      <w:r>
        <w:rPr>
          <w:rFonts w:hint="eastAsia" w:ascii="仿宋" w:hAnsi="仿宋" w:eastAsia="仿宋" w:cs="Arial"/>
          <w:b/>
          <w:color w:val="auto"/>
          <w:kern w:val="0"/>
          <w:szCs w:val="24"/>
          <w:highlight w:val="none"/>
          <w:u w:val="single"/>
        </w:rPr>
        <w:t>投标人</w:t>
      </w:r>
      <w:r>
        <w:rPr>
          <w:rFonts w:ascii="仿宋" w:hAnsi="仿宋" w:eastAsia="仿宋" w:cs="Arial"/>
          <w:b/>
          <w:color w:val="auto"/>
          <w:kern w:val="0"/>
          <w:szCs w:val="24"/>
          <w:highlight w:val="none"/>
          <w:u w:val="single"/>
        </w:rPr>
        <w:t>未按照</w:t>
      </w:r>
      <w:r>
        <w:rPr>
          <w:rFonts w:hint="eastAsia" w:ascii="仿宋" w:hAnsi="仿宋" w:eastAsia="仿宋" w:cs="Arial"/>
          <w:b/>
          <w:color w:val="auto"/>
          <w:kern w:val="0"/>
          <w:szCs w:val="24"/>
          <w:highlight w:val="none"/>
          <w:u w:val="single"/>
        </w:rPr>
        <w:t>招标文件</w:t>
      </w:r>
      <w:r>
        <w:rPr>
          <w:rFonts w:ascii="仿宋" w:hAnsi="仿宋" w:eastAsia="仿宋" w:cs="Arial"/>
          <w:b/>
          <w:color w:val="auto"/>
          <w:kern w:val="0"/>
          <w:szCs w:val="24"/>
          <w:highlight w:val="none"/>
          <w:u w:val="single"/>
        </w:rPr>
        <w:t>要求提供与</w:t>
      </w:r>
      <w:r>
        <w:rPr>
          <w:rFonts w:hint="eastAsia" w:ascii="仿宋" w:hAnsi="仿宋" w:eastAsia="仿宋" w:cs="仿宋_GB2312"/>
          <w:b/>
          <w:color w:val="auto"/>
          <w:szCs w:val="24"/>
          <w:highlight w:val="none"/>
          <w:u w:val="single"/>
        </w:rPr>
        <w:t>基本资格条件、</w:t>
      </w:r>
      <w:r>
        <w:rPr>
          <w:rFonts w:ascii="仿宋" w:hAnsi="仿宋" w:eastAsia="仿宋" w:cs="仿宋_GB2312"/>
          <w:b/>
          <w:color w:val="auto"/>
          <w:highlight w:val="none"/>
          <w:u w:val="single"/>
        </w:rPr>
        <w:t>落实政府采购政策需满足的资格要求</w:t>
      </w:r>
      <w:r>
        <w:rPr>
          <w:rFonts w:hint="eastAsia" w:ascii="仿宋" w:hAnsi="仿宋" w:eastAsia="仿宋" w:cs="仿宋_GB2312"/>
          <w:b/>
          <w:color w:val="auto"/>
          <w:highlight w:val="none"/>
          <w:u w:val="single"/>
        </w:rPr>
        <w:t>、</w:t>
      </w:r>
      <w:r>
        <w:rPr>
          <w:rFonts w:hint="eastAsia" w:ascii="仿宋" w:hAnsi="仿宋" w:eastAsia="仿宋" w:cs="仿宋_GB2312"/>
          <w:b/>
          <w:color w:val="auto"/>
          <w:szCs w:val="24"/>
          <w:highlight w:val="none"/>
          <w:u w:val="single"/>
        </w:rPr>
        <w:t>特定资格条件相应的</w:t>
      </w:r>
      <w:r>
        <w:rPr>
          <w:rFonts w:hint="eastAsia" w:ascii="仿宋" w:hAnsi="仿宋" w:eastAsia="仿宋" w:cs="Arial"/>
          <w:b/>
          <w:color w:val="auto"/>
          <w:kern w:val="0"/>
          <w:szCs w:val="24"/>
          <w:highlight w:val="none"/>
          <w:u w:val="single"/>
        </w:rPr>
        <w:t>有效资格证明材料的，视为</w:t>
      </w:r>
      <w:r>
        <w:rPr>
          <w:rFonts w:hint="eastAsia" w:ascii="仿宋" w:hAnsi="仿宋" w:eastAsia="仿宋" w:cs="仿宋_GB2312"/>
          <w:b/>
          <w:color w:val="auto"/>
          <w:szCs w:val="24"/>
          <w:highlight w:val="none"/>
          <w:u w:val="single"/>
        </w:rPr>
        <w:t>投标人不具备招标文件中规定的资格要求，其投标无效</w:t>
      </w:r>
      <w:r>
        <w:rPr>
          <w:rFonts w:hint="eastAsia" w:ascii="仿宋" w:hAnsi="仿宋" w:eastAsia="仿宋" w:cs="仿宋_GB2312"/>
          <w:color w:val="auto"/>
          <w:szCs w:val="24"/>
          <w:highlight w:val="none"/>
        </w:rPr>
        <w:t>。</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Arial"/>
          <w:color w:val="auto"/>
          <w:kern w:val="0"/>
          <w:szCs w:val="24"/>
          <w:highlight w:val="none"/>
        </w:rPr>
        <w:t>20</w:t>
      </w:r>
      <w:r>
        <w:rPr>
          <w:rFonts w:ascii="仿宋" w:hAnsi="仿宋" w:eastAsia="仿宋" w:cs="Arial"/>
          <w:color w:val="auto"/>
          <w:kern w:val="0"/>
          <w:szCs w:val="24"/>
          <w:highlight w:val="none"/>
        </w:rPr>
        <w:t>.</w:t>
      </w:r>
      <w:r>
        <w:rPr>
          <w:rFonts w:ascii="仿宋" w:hAnsi="仿宋" w:eastAsia="仿宋" w:cs="仿宋_GB2312"/>
          <w:color w:val="auto"/>
          <w:szCs w:val="24"/>
          <w:highlight w:val="none"/>
        </w:rPr>
        <w:t>4对未通过资格审查的</w:t>
      </w:r>
      <w:r>
        <w:rPr>
          <w:rFonts w:hint="eastAsia" w:ascii="仿宋" w:hAnsi="仿宋" w:eastAsia="仿宋" w:cs="仿宋_GB2312"/>
          <w:color w:val="auto"/>
          <w:szCs w:val="24"/>
          <w:highlight w:val="none"/>
        </w:rPr>
        <w:t>投标人</w:t>
      </w:r>
      <w:r>
        <w:rPr>
          <w:rFonts w:ascii="仿宋" w:hAnsi="仿宋" w:eastAsia="仿宋" w:cs="仿宋_GB2312"/>
          <w:color w:val="auto"/>
          <w:szCs w:val="24"/>
          <w:highlight w:val="none"/>
        </w:rPr>
        <w:t>，采购人或采购代理机构告知其未通过的原因。</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Arial"/>
          <w:color w:val="auto"/>
          <w:kern w:val="0"/>
          <w:szCs w:val="24"/>
          <w:highlight w:val="none"/>
        </w:rPr>
        <w:t>20</w:t>
      </w:r>
      <w:r>
        <w:rPr>
          <w:rFonts w:ascii="仿宋" w:hAnsi="仿宋" w:eastAsia="仿宋" w:cs="Arial"/>
          <w:color w:val="auto"/>
          <w:kern w:val="0"/>
          <w:szCs w:val="24"/>
          <w:highlight w:val="none"/>
        </w:rPr>
        <w:t>.</w:t>
      </w:r>
      <w:r>
        <w:rPr>
          <w:rFonts w:ascii="仿宋" w:hAnsi="仿宋" w:eastAsia="仿宋" w:cs="仿宋_GB2312"/>
          <w:color w:val="auto"/>
          <w:szCs w:val="24"/>
          <w:highlight w:val="none"/>
        </w:rPr>
        <w:t>5合格投标人不足3家的，不再评标。</w:t>
      </w:r>
    </w:p>
    <w:p>
      <w:pPr>
        <w:pStyle w:val="89"/>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2</w:t>
      </w:r>
      <w:r>
        <w:rPr>
          <w:rFonts w:hint="eastAsia" w:ascii="仿宋" w:hAnsi="仿宋" w:eastAsia="仿宋" w:cs="仿宋_GB2312"/>
          <w:b/>
          <w:color w:val="auto"/>
          <w:szCs w:val="24"/>
          <w:highlight w:val="none"/>
        </w:rPr>
        <w:t>1</w:t>
      </w:r>
      <w:r>
        <w:rPr>
          <w:rFonts w:ascii="仿宋" w:hAnsi="仿宋" w:eastAsia="仿宋" w:cs="仿宋_GB2312"/>
          <w:b/>
          <w:color w:val="auto"/>
          <w:szCs w:val="24"/>
          <w:highlight w:val="none"/>
        </w:rPr>
        <w:t>、信用信息查询</w:t>
      </w:r>
    </w:p>
    <w:p>
      <w:pPr>
        <w:pStyle w:val="89"/>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w:t>
      </w:r>
      <w:r>
        <w:rPr>
          <w:rFonts w:hint="eastAsia" w:ascii="仿宋" w:hAnsi="仿宋" w:eastAsia="仿宋" w:cs="Arial"/>
          <w:color w:val="auto"/>
          <w:kern w:val="0"/>
          <w:szCs w:val="24"/>
          <w:highlight w:val="none"/>
        </w:rPr>
        <w:t>1</w:t>
      </w:r>
      <w:r>
        <w:rPr>
          <w:rFonts w:ascii="仿宋" w:hAnsi="仿宋" w:eastAsia="仿宋" w:cs="Arial"/>
          <w:color w:val="auto"/>
          <w:kern w:val="0"/>
          <w:szCs w:val="24"/>
          <w:highlight w:val="none"/>
        </w:rPr>
        <w:t>.1信用信息查询渠道及截止时间：采购机构将通过“信用中国”网站(www.creditchina.gov.cn)、中国政府采购网(www.ccgp.gov.cn)渠道查询供应商投标截止时间当天的信用记录。</w:t>
      </w:r>
    </w:p>
    <w:p>
      <w:pPr>
        <w:pStyle w:val="89"/>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w:t>
      </w:r>
      <w:r>
        <w:rPr>
          <w:rFonts w:hint="eastAsia" w:ascii="仿宋" w:hAnsi="仿宋" w:eastAsia="仿宋" w:cs="Arial"/>
          <w:color w:val="auto"/>
          <w:kern w:val="0"/>
          <w:szCs w:val="24"/>
          <w:highlight w:val="none"/>
        </w:rPr>
        <w:t>1</w:t>
      </w:r>
      <w:r>
        <w:rPr>
          <w:rFonts w:ascii="仿宋" w:hAnsi="仿宋" w:eastAsia="仿宋" w:cs="Arial"/>
          <w:color w:val="auto"/>
          <w:kern w:val="0"/>
          <w:szCs w:val="24"/>
          <w:highlight w:val="none"/>
        </w:rPr>
        <w:t>.2信用信息查询记录和证据留存的具体方式：现场查询的</w:t>
      </w:r>
      <w:r>
        <w:rPr>
          <w:rFonts w:hint="eastAsia" w:ascii="仿宋" w:hAnsi="仿宋" w:eastAsia="仿宋" w:cs="Arial"/>
          <w:color w:val="auto"/>
          <w:kern w:val="0"/>
          <w:szCs w:val="24"/>
          <w:highlight w:val="none"/>
        </w:rPr>
        <w:t>供应商</w:t>
      </w:r>
      <w:r>
        <w:rPr>
          <w:rFonts w:ascii="仿宋" w:hAnsi="仿宋" w:eastAsia="仿宋" w:cs="Arial"/>
          <w:color w:val="auto"/>
          <w:kern w:val="0"/>
          <w:szCs w:val="24"/>
          <w:highlight w:val="none"/>
        </w:rPr>
        <w:t>的信用记录、查询结果经确认后将与招标文件一起存档。</w:t>
      </w:r>
    </w:p>
    <w:p>
      <w:pPr>
        <w:pStyle w:val="89"/>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w:t>
      </w:r>
      <w:r>
        <w:rPr>
          <w:rFonts w:hint="eastAsia" w:ascii="仿宋" w:hAnsi="仿宋" w:eastAsia="仿宋" w:cs="Arial"/>
          <w:color w:val="auto"/>
          <w:kern w:val="0"/>
          <w:szCs w:val="24"/>
          <w:highlight w:val="none"/>
        </w:rPr>
        <w:t>1</w:t>
      </w:r>
      <w:r>
        <w:rPr>
          <w:rFonts w:ascii="仿宋" w:hAnsi="仿宋" w:eastAsia="仿宋" w:cs="Arial"/>
          <w:color w:val="auto"/>
          <w:kern w:val="0"/>
          <w:szCs w:val="24"/>
          <w:highlight w:val="none"/>
        </w:rPr>
        <w:t>.3信用信息的使用规则：经查询列入失信被执行人名单、重大税收违法案件当事人名单、政府采购严重违法失信行为记录名单的</w:t>
      </w:r>
      <w:r>
        <w:rPr>
          <w:rFonts w:hint="eastAsia" w:ascii="仿宋" w:hAnsi="仿宋" w:eastAsia="仿宋" w:cs="Arial"/>
          <w:color w:val="auto"/>
          <w:kern w:val="0"/>
          <w:szCs w:val="24"/>
          <w:highlight w:val="none"/>
        </w:rPr>
        <w:t>供应商</w:t>
      </w:r>
      <w:r>
        <w:rPr>
          <w:rFonts w:ascii="仿宋" w:hAnsi="仿宋" w:eastAsia="仿宋" w:cs="Arial"/>
          <w:color w:val="auto"/>
          <w:kern w:val="0"/>
          <w:szCs w:val="24"/>
          <w:highlight w:val="none"/>
        </w:rPr>
        <w:t>将被拒绝参与政府采购活动。</w:t>
      </w:r>
    </w:p>
    <w:p>
      <w:pPr>
        <w:pStyle w:val="89"/>
        <w:snapToGrid w:val="0"/>
        <w:spacing w:before="0"/>
        <w:ind w:firstLine="480"/>
        <w:rPr>
          <w:rFonts w:ascii="仿宋" w:hAnsi="仿宋" w:eastAsia="仿宋" w:cs="仿宋_GB2312"/>
          <w:color w:val="auto"/>
          <w:szCs w:val="24"/>
          <w:highlight w:val="none"/>
        </w:rPr>
      </w:pPr>
      <w:r>
        <w:rPr>
          <w:rFonts w:ascii="仿宋" w:hAnsi="仿宋" w:eastAsia="仿宋" w:cs="Arial"/>
          <w:color w:val="auto"/>
          <w:kern w:val="0"/>
          <w:szCs w:val="24"/>
          <w:highlight w:val="none"/>
        </w:rPr>
        <w:t>2</w:t>
      </w:r>
      <w:r>
        <w:rPr>
          <w:rFonts w:hint="eastAsia" w:ascii="仿宋" w:hAnsi="仿宋" w:eastAsia="仿宋" w:cs="Arial"/>
          <w:color w:val="auto"/>
          <w:kern w:val="0"/>
          <w:szCs w:val="24"/>
          <w:highlight w:val="none"/>
        </w:rPr>
        <w:t>1</w:t>
      </w:r>
      <w:r>
        <w:rPr>
          <w:rFonts w:ascii="仿宋" w:hAnsi="仿宋" w:eastAsia="仿宋" w:cs="Arial"/>
          <w:color w:val="auto"/>
          <w:kern w:val="0"/>
          <w:szCs w:val="24"/>
          <w:highlight w:val="none"/>
        </w:rPr>
        <w:t>.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auto"/>
          <w:szCs w:val="24"/>
          <w:highlight w:val="none"/>
        </w:rPr>
        <w:t>。</w:t>
      </w:r>
    </w:p>
    <w:p>
      <w:pPr>
        <w:pStyle w:val="89"/>
        <w:snapToGrid w:val="0"/>
        <w:spacing w:before="0"/>
        <w:ind w:firstLine="480"/>
        <w:rPr>
          <w:rFonts w:ascii="仿宋" w:hAnsi="仿宋" w:eastAsia="仿宋" w:cs="仿宋_GB2312"/>
          <w:color w:val="auto"/>
          <w:szCs w:val="24"/>
          <w:highlight w:val="none"/>
        </w:rPr>
      </w:pPr>
    </w:p>
    <w:p>
      <w:pPr>
        <w:snapToGrid w:val="0"/>
        <w:spacing w:line="360" w:lineRule="auto"/>
        <w:jc w:val="center"/>
        <w:outlineLvl w:val="1"/>
        <w:rPr>
          <w:rFonts w:ascii="仿宋" w:hAnsi="仿宋" w:eastAsia="仿宋" w:cs="新宋体"/>
          <w:b/>
          <w:color w:val="auto"/>
          <w:sz w:val="28"/>
          <w:szCs w:val="28"/>
          <w:highlight w:val="none"/>
        </w:rPr>
      </w:pPr>
      <w:bookmarkStart w:id="51" w:name="_Toc34508135"/>
      <w:bookmarkStart w:id="52" w:name="_Toc34221900"/>
      <w:r>
        <w:rPr>
          <w:rFonts w:hint="eastAsia" w:ascii="仿宋" w:hAnsi="仿宋" w:eastAsia="仿宋" w:cs="新宋体"/>
          <w:b/>
          <w:color w:val="auto"/>
          <w:sz w:val="28"/>
          <w:szCs w:val="28"/>
          <w:highlight w:val="none"/>
        </w:rPr>
        <w:t>五、评标</w:t>
      </w:r>
      <w:bookmarkEnd w:id="51"/>
      <w:bookmarkEnd w:id="52"/>
    </w:p>
    <w:p>
      <w:pPr>
        <w:snapToGrid w:val="0"/>
        <w:spacing w:line="360" w:lineRule="auto"/>
        <w:rPr>
          <w:rFonts w:ascii="仿宋" w:hAnsi="仿宋" w:eastAsia="仿宋"/>
          <w:b/>
          <w:color w:val="auto"/>
          <w:sz w:val="24"/>
          <w:highlight w:val="none"/>
        </w:rPr>
      </w:pPr>
      <w:r>
        <w:rPr>
          <w:rFonts w:ascii="仿宋" w:hAnsi="仿宋" w:eastAsia="仿宋" w:cs="仿宋_GB2312"/>
          <w:b/>
          <w:color w:val="auto"/>
          <w:sz w:val="24"/>
          <w:highlight w:val="none"/>
        </w:rPr>
        <w:t>2</w:t>
      </w:r>
      <w:r>
        <w:rPr>
          <w:rFonts w:hint="eastAsia" w:ascii="仿宋" w:hAnsi="仿宋" w:eastAsia="仿宋" w:cs="仿宋_GB2312"/>
          <w:b/>
          <w:color w:val="auto"/>
          <w:sz w:val="24"/>
          <w:highlight w:val="none"/>
        </w:rPr>
        <w:t>2</w:t>
      </w:r>
      <w:r>
        <w:rPr>
          <w:rFonts w:ascii="仿宋" w:hAnsi="仿宋" w:eastAsia="仿宋" w:cs="仿宋_GB2312"/>
          <w:b/>
          <w:color w:val="auto"/>
          <w:sz w:val="24"/>
          <w:highlight w:val="none"/>
        </w:rPr>
        <w:t>.</w:t>
      </w:r>
      <w:r>
        <w:rPr>
          <w:rFonts w:hint="eastAsia" w:ascii="仿宋" w:hAnsi="仿宋" w:eastAsia="仿宋"/>
          <w:b/>
          <w:color w:val="auto"/>
          <w:sz w:val="24"/>
          <w:highlight w:val="none"/>
        </w:rPr>
        <w:t>评标委员会</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将根据招标文件和有关规定，履行评标工作职责，并按照评标方法及评分标准，全面衡量各投标人对招标文件的响应情况（符合性审查）。对实质上响应招标文件的投标人，按照评审因素的量化指标排出推荐中标的投标人的先后顺序，并按顺序提出授标建议。</w:t>
      </w:r>
    </w:p>
    <w:p>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23.评标程序</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具体见招标文件第六部分评标办法。</w:t>
      </w:r>
    </w:p>
    <w:p>
      <w:pPr>
        <w:snapToGrid w:val="0"/>
        <w:spacing w:line="360" w:lineRule="auto"/>
        <w:rPr>
          <w:rFonts w:ascii="仿宋" w:hAnsi="仿宋" w:eastAsia="仿宋" w:cs="仿宋_GB2312"/>
          <w:b/>
          <w:color w:val="auto"/>
          <w:sz w:val="24"/>
          <w:highlight w:val="none"/>
        </w:rPr>
      </w:pPr>
    </w:p>
    <w:p>
      <w:pPr>
        <w:snapToGrid w:val="0"/>
        <w:spacing w:line="360" w:lineRule="auto"/>
        <w:jc w:val="center"/>
        <w:outlineLvl w:val="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六、定标</w:t>
      </w:r>
    </w:p>
    <w:p>
      <w:pPr>
        <w:pStyle w:val="25"/>
        <w:adjustRightInd w:val="0"/>
        <w:snapToGrid w:val="0"/>
        <w:spacing w:line="360" w:lineRule="auto"/>
        <w:ind w:left="0" w:firstLine="0" w:firstLineChars="0"/>
        <w:rPr>
          <w:rFonts w:ascii="仿宋" w:hAnsi="仿宋" w:eastAsia="仿宋" w:cs="仿宋_GB2312"/>
          <w:b/>
          <w:color w:val="auto"/>
          <w:highlight w:val="none"/>
        </w:rPr>
      </w:pPr>
      <w:r>
        <w:rPr>
          <w:rFonts w:ascii="仿宋" w:hAnsi="仿宋" w:eastAsia="仿宋" w:cs="仿宋_GB2312"/>
          <w:b/>
          <w:color w:val="auto"/>
          <w:highlight w:val="none"/>
        </w:rPr>
        <w:t>2</w:t>
      </w:r>
      <w:r>
        <w:rPr>
          <w:rFonts w:hint="eastAsia" w:ascii="仿宋" w:hAnsi="仿宋" w:eastAsia="仿宋" w:cs="仿宋_GB2312"/>
          <w:b/>
          <w:color w:val="auto"/>
          <w:highlight w:val="none"/>
        </w:rPr>
        <w:t>4</w:t>
      </w:r>
      <w:r>
        <w:rPr>
          <w:rFonts w:ascii="仿宋" w:hAnsi="仿宋" w:eastAsia="仿宋" w:cs="仿宋_GB2312"/>
          <w:b/>
          <w:color w:val="auto"/>
          <w:highlight w:val="none"/>
        </w:rPr>
        <w:t>.</w:t>
      </w:r>
      <w:r>
        <w:rPr>
          <w:rFonts w:hint="eastAsia" w:ascii="仿宋" w:hAnsi="仿宋" w:eastAsia="仿宋" w:cs="仿宋_GB2312"/>
          <w:b/>
          <w:color w:val="auto"/>
          <w:highlight w:val="none"/>
        </w:rPr>
        <w:t>确定中标人</w:t>
      </w:r>
    </w:p>
    <w:p>
      <w:pPr>
        <w:pStyle w:val="89"/>
        <w:snapToGrid w:val="0"/>
        <w:spacing w:before="0"/>
        <w:ind w:firstLine="48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采购人将自收到评审报告之日起</w:t>
      </w:r>
      <w:r>
        <w:rPr>
          <w:rFonts w:ascii="仿宋" w:hAnsi="仿宋" w:eastAsia="仿宋" w:cs="仿宋_GB2312"/>
          <w:color w:val="auto"/>
          <w:szCs w:val="24"/>
          <w:highlight w:val="none"/>
        </w:rPr>
        <w:t>5个工作日内通过政采云平台在评审报告推荐的中标候选人中按顺序确定中标</w:t>
      </w:r>
      <w:r>
        <w:rPr>
          <w:rFonts w:hint="eastAsia" w:ascii="仿宋" w:hAnsi="仿宋" w:eastAsia="仿宋" w:cs="仿宋_GB2312"/>
          <w:color w:val="auto"/>
          <w:szCs w:val="24"/>
          <w:highlight w:val="none"/>
        </w:rPr>
        <w:t>人</w:t>
      </w:r>
      <w:r>
        <w:rPr>
          <w:rFonts w:ascii="仿宋" w:hAnsi="仿宋" w:eastAsia="仿宋" w:cs="仿宋_GB2312"/>
          <w:color w:val="auto"/>
          <w:szCs w:val="24"/>
          <w:highlight w:val="none"/>
        </w:rPr>
        <w:t>。</w:t>
      </w:r>
    </w:p>
    <w:p>
      <w:pPr>
        <w:pStyle w:val="89"/>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2</w:t>
      </w:r>
      <w:r>
        <w:rPr>
          <w:rFonts w:hint="eastAsia" w:ascii="仿宋" w:hAnsi="仿宋" w:eastAsia="仿宋" w:cs="仿宋_GB2312"/>
          <w:b/>
          <w:color w:val="auto"/>
          <w:szCs w:val="24"/>
          <w:highlight w:val="none"/>
        </w:rPr>
        <w:t>5</w:t>
      </w:r>
      <w:r>
        <w:rPr>
          <w:rFonts w:ascii="仿宋" w:hAnsi="仿宋" w:eastAsia="仿宋" w:cs="仿宋_GB2312"/>
          <w:b/>
          <w:color w:val="auto"/>
          <w:szCs w:val="24"/>
          <w:highlight w:val="none"/>
        </w:rPr>
        <w:t>.</w:t>
      </w:r>
      <w:r>
        <w:rPr>
          <w:rFonts w:hint="eastAsia" w:ascii="仿宋" w:hAnsi="仿宋" w:eastAsia="仿宋" w:cs="仿宋_GB2312"/>
          <w:b/>
          <w:color w:val="auto"/>
          <w:szCs w:val="24"/>
          <w:highlight w:val="none"/>
        </w:rPr>
        <w:t>中标通知与中标结果公告</w:t>
      </w:r>
    </w:p>
    <w:p>
      <w:pPr>
        <w:widowControl/>
        <w:shd w:val="clear" w:color="auto" w:fill="FFFFFF"/>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.1自中标人确定之日起2个工作日内，采购</w:t>
      </w:r>
      <w:r>
        <w:rPr>
          <w:rFonts w:hint="eastAsia" w:ascii="仿宋" w:hAnsi="仿宋" w:eastAsia="仿宋" w:cs="仿宋_GB2312"/>
          <w:color w:val="auto"/>
          <w:sz w:val="24"/>
          <w:highlight w:val="none"/>
        </w:rPr>
        <w:t>人</w:t>
      </w:r>
      <w:r>
        <w:rPr>
          <w:rFonts w:ascii="仿宋" w:hAnsi="仿宋" w:eastAsia="仿宋" w:cs="仿宋_GB2312"/>
          <w:color w:val="auto"/>
          <w:sz w:val="24"/>
          <w:highlight w:val="none"/>
        </w:rPr>
        <w:t>向中标人发出中标通知书，</w:t>
      </w:r>
      <w:r>
        <w:rPr>
          <w:rFonts w:hint="eastAsia" w:ascii="仿宋" w:hAnsi="仿宋" w:eastAsia="仿宋" w:cs="仿宋_GB2312"/>
          <w:color w:val="auto"/>
          <w:sz w:val="24"/>
          <w:highlight w:val="none"/>
        </w:rPr>
        <w:t>同时编制发布采购结果公告。</w:t>
      </w:r>
    </w:p>
    <w:p>
      <w:pPr>
        <w:widowControl/>
        <w:shd w:val="clear" w:color="auto" w:fill="FFFFFF"/>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.2中标结果公告内容包括采购人及其委托的采购机构的名称、地址、联系方式，项目名称和项目编号，中标人名称、地址和中标金额，主要中标标的</w:t>
      </w:r>
      <w:r>
        <w:rPr>
          <w:rFonts w:hint="eastAsia" w:ascii="仿宋" w:hAnsi="仿宋" w:eastAsia="仿宋" w:cs="仿宋_GB2312"/>
          <w:color w:val="auto"/>
          <w:sz w:val="24"/>
          <w:highlight w:val="none"/>
        </w:rPr>
        <w:t>的名称、规格型号、数量、单价、服务要求，开标记录、未中标情况说明、中标公告期限以及评审专家名单、评分汇总及明细。</w:t>
      </w:r>
    </w:p>
    <w:p>
      <w:pPr>
        <w:widowControl/>
        <w:shd w:val="clear" w:color="auto" w:fill="FFFFFF"/>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.3公告期限为1个工作日。</w:t>
      </w:r>
    </w:p>
    <w:p>
      <w:pPr>
        <w:snapToGrid w:val="0"/>
        <w:spacing w:line="360" w:lineRule="auto"/>
        <w:rPr>
          <w:rFonts w:ascii="仿宋" w:hAnsi="仿宋" w:eastAsia="仿宋" w:cs="仿宋_GB2312"/>
          <w:b/>
          <w:color w:val="auto"/>
          <w:sz w:val="24"/>
          <w:highlight w:val="none"/>
        </w:rPr>
      </w:pPr>
    </w:p>
    <w:p>
      <w:pPr>
        <w:snapToGrid w:val="0"/>
        <w:spacing w:line="360" w:lineRule="auto"/>
        <w:jc w:val="center"/>
        <w:outlineLvl w:val="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七、合同授予</w:t>
      </w:r>
    </w:p>
    <w:p>
      <w:pPr>
        <w:pStyle w:val="25"/>
        <w:adjustRightInd w:val="0"/>
        <w:snapToGrid w:val="0"/>
        <w:spacing w:line="360" w:lineRule="auto"/>
        <w:ind w:left="0" w:firstLine="0" w:firstLineChars="0"/>
        <w:rPr>
          <w:rFonts w:ascii="仿宋" w:hAnsi="仿宋" w:eastAsia="仿宋" w:cs="仿宋_GB2312"/>
          <w:b/>
          <w:color w:val="auto"/>
          <w:highlight w:val="none"/>
        </w:rPr>
      </w:pPr>
      <w:r>
        <w:rPr>
          <w:rFonts w:ascii="仿宋" w:hAnsi="仿宋" w:eastAsia="仿宋" w:cs="仿宋_GB2312"/>
          <w:b/>
          <w:color w:val="auto"/>
          <w:highlight w:val="none"/>
        </w:rPr>
        <w:t>2</w:t>
      </w:r>
      <w:r>
        <w:rPr>
          <w:rFonts w:hint="eastAsia" w:ascii="仿宋" w:hAnsi="仿宋" w:eastAsia="仿宋" w:cs="仿宋_GB2312"/>
          <w:b/>
          <w:color w:val="auto"/>
          <w:highlight w:val="none"/>
        </w:rPr>
        <w:t>6</w:t>
      </w:r>
      <w:r>
        <w:rPr>
          <w:rFonts w:ascii="仿宋" w:hAnsi="仿宋" w:eastAsia="仿宋" w:cs="仿宋_GB2312"/>
          <w:b/>
          <w:color w:val="auto"/>
          <w:highlight w:val="none"/>
        </w:rPr>
        <w:t>.</w:t>
      </w:r>
      <w:r>
        <w:rPr>
          <w:rFonts w:hint="eastAsia" w:ascii="仿宋" w:hAnsi="仿宋" w:eastAsia="仿宋" w:cs="仿宋_GB2312"/>
          <w:b/>
          <w:color w:val="auto"/>
          <w:highlight w:val="none"/>
        </w:rPr>
        <w:t>合同的签订</w:t>
      </w:r>
    </w:p>
    <w:p>
      <w:pPr>
        <w:widowControl/>
        <w:shd w:val="clear" w:color="auto" w:fill="FFFFFF"/>
        <w:snapToGrid w:val="0"/>
        <w:spacing w:line="360" w:lineRule="auto"/>
        <w:ind w:firstLine="480" w:firstLineChars="200"/>
        <w:jc w:val="left"/>
        <w:rPr>
          <w:rFonts w:ascii="仿宋" w:hAnsi="仿宋" w:eastAsia="仿宋" w:cs="Arial"/>
          <w:color w:val="auto"/>
          <w:kern w:val="0"/>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6</w:t>
      </w:r>
      <w:r>
        <w:rPr>
          <w:rFonts w:ascii="仿宋" w:hAnsi="仿宋" w:eastAsia="仿宋" w:cs="仿宋_GB2312"/>
          <w:color w:val="auto"/>
          <w:sz w:val="24"/>
          <w:highlight w:val="none"/>
        </w:rPr>
        <w:t>.1</w:t>
      </w:r>
      <w:r>
        <w:rPr>
          <w:rFonts w:ascii="仿宋" w:hAnsi="仿宋" w:eastAsia="仿宋" w:cs="Arial"/>
          <w:color w:val="auto"/>
          <w:kern w:val="0"/>
          <w:sz w:val="24"/>
          <w:highlight w:val="none"/>
        </w:rPr>
        <w:t xml:space="preserve"> 采购人与中标人应当在中标通知书发出之日起三十日内，按照</w:t>
      </w:r>
      <w:r>
        <w:rPr>
          <w:rFonts w:hint="eastAsia" w:ascii="仿宋" w:hAnsi="仿宋" w:eastAsia="仿宋" w:cs="Arial"/>
          <w:color w:val="auto"/>
          <w:kern w:val="0"/>
          <w:sz w:val="24"/>
          <w:highlight w:val="none"/>
        </w:rPr>
        <w:t>招标文件</w:t>
      </w:r>
      <w:r>
        <w:rPr>
          <w:rFonts w:ascii="仿宋" w:hAnsi="仿宋" w:eastAsia="仿宋" w:cs="Arial"/>
          <w:color w:val="auto"/>
          <w:kern w:val="0"/>
          <w:sz w:val="24"/>
          <w:highlight w:val="none"/>
        </w:rPr>
        <w:t>确定的事项签订政府采购合同，并在</w:t>
      </w:r>
      <w:r>
        <w:rPr>
          <w:rFonts w:hint="eastAsia" w:ascii="仿宋" w:hAnsi="仿宋" w:eastAsia="仿宋" w:cs="Arial"/>
          <w:color w:val="auto"/>
          <w:kern w:val="0"/>
          <w:sz w:val="24"/>
          <w:highlight w:val="none"/>
        </w:rPr>
        <w:t>合同签订之日起2个工作日</w:t>
      </w:r>
      <w:r>
        <w:rPr>
          <w:rFonts w:ascii="仿宋" w:hAnsi="仿宋" w:eastAsia="仿宋" w:cs="Arial"/>
          <w:color w:val="auto"/>
          <w:kern w:val="0"/>
          <w:sz w:val="24"/>
          <w:highlight w:val="none"/>
        </w:rPr>
        <w:t>内依法发布合同公告。</w:t>
      </w:r>
      <w:r>
        <w:rPr>
          <w:rFonts w:hint="eastAsia" w:ascii="仿宋" w:hAnsi="仿宋" w:eastAsia="仿宋" w:cs="仿宋_GB2312"/>
          <w:color w:val="auto"/>
          <w:sz w:val="24"/>
          <w:highlight w:val="none"/>
        </w:rPr>
        <w:t>合同主要条款详见第四部分拟签订的合同文本。</w:t>
      </w:r>
    </w:p>
    <w:p>
      <w:pPr>
        <w:pStyle w:val="89"/>
        <w:snapToGrid w:val="0"/>
        <w:spacing w:before="0"/>
        <w:ind w:firstLine="480"/>
        <w:rPr>
          <w:rFonts w:ascii="仿宋" w:hAnsi="仿宋" w:eastAsia="仿宋"/>
          <w:color w:val="auto"/>
          <w:kern w:val="0"/>
          <w:szCs w:val="24"/>
          <w:highlight w:val="none"/>
          <w:lang w:val="zh-CN"/>
        </w:rPr>
      </w:pPr>
      <w:r>
        <w:rPr>
          <w:rFonts w:ascii="仿宋" w:hAnsi="仿宋" w:eastAsia="仿宋" w:cs="仿宋_GB2312"/>
          <w:color w:val="auto"/>
          <w:kern w:val="0"/>
          <w:szCs w:val="24"/>
          <w:highlight w:val="none"/>
          <w:lang w:val="zh-CN"/>
        </w:rPr>
        <w:t>2</w:t>
      </w:r>
      <w:r>
        <w:rPr>
          <w:rFonts w:hint="eastAsia" w:ascii="仿宋" w:hAnsi="仿宋" w:eastAsia="仿宋" w:cs="仿宋_GB2312"/>
          <w:color w:val="auto"/>
          <w:kern w:val="0"/>
          <w:szCs w:val="24"/>
          <w:highlight w:val="none"/>
          <w:lang w:val="zh-CN"/>
        </w:rPr>
        <w:t>6</w:t>
      </w:r>
      <w:r>
        <w:rPr>
          <w:rFonts w:ascii="仿宋" w:hAnsi="仿宋" w:eastAsia="仿宋" w:cs="仿宋_GB2312"/>
          <w:color w:val="auto"/>
          <w:kern w:val="0"/>
          <w:szCs w:val="24"/>
          <w:highlight w:val="none"/>
          <w:lang w:val="zh-CN"/>
        </w:rPr>
        <w:t>.2</w:t>
      </w:r>
      <w:r>
        <w:rPr>
          <w:rFonts w:hint="eastAsia" w:ascii="仿宋" w:hAnsi="仿宋" w:eastAsia="仿宋"/>
          <w:color w:val="auto"/>
          <w:kern w:val="0"/>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2</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.3中标</w:t>
      </w:r>
      <w:r>
        <w:rPr>
          <w:rFonts w:hint="eastAsia" w:ascii="仿宋" w:hAnsi="仿宋" w:eastAsia="仿宋" w:cs="仿宋_GB2312"/>
          <w:color w:val="auto"/>
          <w:szCs w:val="24"/>
          <w:highlight w:val="none"/>
        </w:rPr>
        <w:t>人拒绝与采购人签订合同的，采购人可以按照评审报告推荐的中标候选人名单排序，确定下一候选人为中标人，也可以重新开展政府采购活动。</w:t>
      </w:r>
    </w:p>
    <w:p>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2</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.4采购合同</w:t>
      </w:r>
      <w:r>
        <w:rPr>
          <w:rFonts w:hint="eastAsia" w:ascii="仿宋" w:hAnsi="仿宋" w:eastAsia="仿宋" w:cs="仿宋_GB2312"/>
          <w:color w:val="auto"/>
          <w:szCs w:val="24"/>
          <w:highlight w:val="none"/>
        </w:rPr>
        <w:t>可</w:t>
      </w:r>
      <w:r>
        <w:rPr>
          <w:rFonts w:ascii="仿宋" w:hAnsi="仿宋" w:eastAsia="仿宋" w:cs="仿宋_GB2312"/>
          <w:color w:val="auto"/>
          <w:szCs w:val="24"/>
          <w:highlight w:val="none"/>
        </w:rPr>
        <w:t>由采购人与中标</w:t>
      </w:r>
      <w:r>
        <w:rPr>
          <w:rFonts w:hint="eastAsia" w:ascii="仿宋" w:hAnsi="仿宋" w:eastAsia="仿宋" w:cs="仿宋_GB2312"/>
          <w:color w:val="auto"/>
          <w:szCs w:val="24"/>
          <w:highlight w:val="none"/>
        </w:rPr>
        <w:t>人</w:t>
      </w:r>
      <w:r>
        <w:rPr>
          <w:rFonts w:ascii="仿宋" w:hAnsi="仿宋" w:eastAsia="仿宋" w:cs="仿宋_GB2312"/>
          <w:color w:val="auto"/>
          <w:szCs w:val="24"/>
          <w:highlight w:val="none"/>
        </w:rPr>
        <w:t>根据</w:t>
      </w:r>
      <w:r>
        <w:rPr>
          <w:rFonts w:hint="eastAsia" w:ascii="仿宋" w:hAnsi="仿宋" w:eastAsia="仿宋" w:cs="仿宋_GB2312"/>
          <w:color w:val="auto"/>
          <w:szCs w:val="24"/>
          <w:highlight w:val="none"/>
        </w:rPr>
        <w:t>招标文件、投标文件等内容通过政采云平台在线签订，自动备案。</w:t>
      </w:r>
    </w:p>
    <w:p>
      <w:pPr>
        <w:pStyle w:val="89"/>
        <w:snapToGrid w:val="0"/>
        <w:spacing w:before="0"/>
        <w:ind w:firstLine="0" w:firstLineChars="0"/>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27.合同履约管理</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合同签订后，采购人依法加强对合同履约进行管理，并在</w:t>
      </w:r>
      <w:r>
        <w:rPr>
          <w:rFonts w:hint="eastAsia" w:ascii="仿宋" w:hAnsi="仿宋" w:eastAsia="仿宋" w:cs="仿宋_GB2312"/>
          <w:color w:val="auto"/>
          <w:szCs w:val="24"/>
          <w:highlight w:val="none"/>
          <w:lang w:eastAsia="zh-CN"/>
        </w:rPr>
        <w:t>中标人</w:t>
      </w:r>
      <w:r>
        <w:rPr>
          <w:rFonts w:hint="eastAsia" w:ascii="仿宋" w:hAnsi="仿宋" w:eastAsia="仿宋" w:cs="仿宋_GB2312"/>
          <w:color w:val="auto"/>
          <w:szCs w:val="24"/>
          <w:highlight w:val="none"/>
        </w:rPr>
        <w:t>服务、项目验收等重要关节，如实填写《合同验收报告》（或考核资料），并及时向同级财政部门报告验收过程中遇到的问题。</w:t>
      </w:r>
    </w:p>
    <w:p>
      <w:pPr>
        <w:pStyle w:val="25"/>
        <w:adjustRightInd w:val="0"/>
        <w:snapToGrid w:val="0"/>
        <w:spacing w:line="360" w:lineRule="auto"/>
        <w:ind w:left="0" w:firstLine="0" w:firstLineChars="0"/>
        <w:rPr>
          <w:rFonts w:ascii="仿宋" w:hAnsi="仿宋" w:eastAsia="仿宋" w:cs="仿宋_GB2312"/>
          <w:b/>
          <w:color w:val="auto"/>
          <w:highlight w:val="none"/>
        </w:rPr>
      </w:pPr>
      <w:r>
        <w:rPr>
          <w:rFonts w:hint="eastAsia" w:ascii="仿宋" w:hAnsi="仿宋" w:eastAsia="仿宋" w:cs="仿宋_GB2312"/>
          <w:b/>
          <w:color w:val="auto"/>
          <w:highlight w:val="none"/>
        </w:rPr>
        <w:t>28</w:t>
      </w:r>
      <w:r>
        <w:rPr>
          <w:rFonts w:ascii="仿宋" w:hAnsi="仿宋" w:eastAsia="仿宋" w:cs="仿宋_GB2312"/>
          <w:b/>
          <w:color w:val="auto"/>
          <w:highlight w:val="none"/>
        </w:rPr>
        <w:t>.</w:t>
      </w:r>
      <w:r>
        <w:rPr>
          <w:rFonts w:hint="eastAsia" w:ascii="仿宋" w:hAnsi="仿宋" w:eastAsia="仿宋" w:cs="仿宋_GB2312"/>
          <w:b/>
          <w:color w:val="auto"/>
          <w:highlight w:val="none"/>
        </w:rPr>
        <w:t>履约保证金</w:t>
      </w:r>
    </w:p>
    <w:p>
      <w:pPr>
        <w:tabs>
          <w:tab w:val="left" w:pos="0"/>
        </w:tabs>
        <w:snapToGrid w:val="0"/>
        <w:spacing w:line="360" w:lineRule="auto"/>
        <w:ind w:firstLine="480" w:firstLineChars="20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拟签订的合同文本要求中标人提交履约保证金的（见投标人须知前附表），供应商应当以支票、汇票、本票或者金融机构、担保机构出具的保函等非现金形式提交</w:t>
      </w:r>
      <w:r>
        <w:rPr>
          <w:rFonts w:hint="eastAsia" w:ascii="仿宋" w:hAnsi="仿宋" w:eastAsia="仿宋"/>
          <w:color w:val="auto"/>
          <w:sz w:val="24"/>
          <w:highlight w:val="none"/>
        </w:rPr>
        <w:t>。履约保证金的数额为</w:t>
      </w:r>
      <w:r>
        <w:rPr>
          <w:rFonts w:hint="eastAsia" w:ascii="仿宋" w:hAnsi="仿宋" w:eastAsia="仿宋"/>
          <w:color w:val="auto"/>
          <w:sz w:val="24"/>
          <w:highlight w:val="none"/>
          <w:lang w:eastAsia="zh-CN"/>
        </w:rPr>
        <w:t>合同价的</w:t>
      </w:r>
      <w:r>
        <w:rPr>
          <w:rFonts w:hint="eastAsia" w:ascii="仿宋" w:hAnsi="仿宋" w:eastAsia="仿宋"/>
          <w:color w:val="auto"/>
          <w:sz w:val="24"/>
          <w:highlight w:val="none"/>
        </w:rPr>
        <w:t>1%</w:t>
      </w:r>
      <w:r>
        <w:rPr>
          <w:rFonts w:ascii="仿宋" w:hAnsi="仿宋" w:eastAsia="仿宋"/>
          <w:color w:val="auto"/>
          <w:sz w:val="24"/>
          <w:highlight w:val="none"/>
        </w:rPr>
        <w:t>。</w:t>
      </w:r>
      <w:r>
        <w:rPr>
          <w:rFonts w:hint="eastAsia" w:ascii="仿宋" w:hAnsi="仿宋" w:eastAsia="仿宋"/>
          <w:color w:val="auto"/>
          <w:sz w:val="24"/>
          <w:highlight w:val="none"/>
        </w:rPr>
        <w:t>鼓励和支持供应商以银行、保险公司出具的保函</w:t>
      </w:r>
      <w:r>
        <w:rPr>
          <w:rFonts w:hint="eastAsia" w:ascii="仿宋" w:hAnsi="仿宋" w:eastAsia="仿宋" w:cs="Helvetica"/>
          <w:color w:val="auto"/>
          <w:kern w:val="0"/>
          <w:sz w:val="24"/>
          <w:highlight w:val="none"/>
        </w:rPr>
        <w:t>形式提供履约保证金。</w:t>
      </w:r>
      <w:r>
        <w:rPr>
          <w:rFonts w:hint="eastAsia" w:ascii="仿宋" w:hAnsi="仿宋" w:eastAsia="仿宋" w:cs="Helvetica"/>
          <w:b/>
          <w:bCs/>
          <w:color w:val="auto"/>
          <w:kern w:val="0"/>
          <w:sz w:val="24"/>
          <w:highlight w:val="none"/>
        </w:rPr>
        <w:t>采购人不得拒收履约保函</w:t>
      </w:r>
      <w:r>
        <w:rPr>
          <w:rFonts w:hint="eastAsia" w:ascii="仿宋" w:hAnsi="仿宋" w:eastAsia="仿宋" w:cs="Helvetica"/>
          <w:color w:val="auto"/>
          <w:kern w:val="0"/>
          <w:sz w:val="24"/>
          <w:highlight w:val="none"/>
        </w:rPr>
        <w:t>。</w:t>
      </w:r>
    </w:p>
    <w:p>
      <w:pPr>
        <w:snapToGrid w:val="0"/>
        <w:spacing w:line="360" w:lineRule="auto"/>
        <w:rPr>
          <w:rFonts w:ascii="仿宋" w:hAnsi="仿宋" w:eastAsia="仿宋" w:cs="Helvetica"/>
          <w:color w:val="auto"/>
          <w:kern w:val="0"/>
          <w:sz w:val="24"/>
          <w:highlight w:val="none"/>
        </w:rPr>
      </w:pPr>
    </w:p>
    <w:p>
      <w:pPr>
        <w:snapToGrid w:val="0"/>
        <w:spacing w:line="360" w:lineRule="auto"/>
        <w:jc w:val="center"/>
        <w:outlineLvl w:val="1"/>
        <w:rPr>
          <w:rFonts w:ascii="仿宋" w:hAnsi="仿宋" w:eastAsia="仿宋"/>
          <w:b/>
          <w:color w:val="auto"/>
          <w:sz w:val="28"/>
          <w:szCs w:val="28"/>
          <w:highlight w:val="none"/>
        </w:rPr>
      </w:pPr>
      <w:r>
        <w:rPr>
          <w:rFonts w:hint="eastAsia" w:ascii="仿宋" w:hAnsi="仿宋" w:eastAsia="仿宋" w:cs="仿宋_GB2312"/>
          <w:b/>
          <w:color w:val="auto"/>
          <w:sz w:val="28"/>
          <w:szCs w:val="28"/>
          <w:highlight w:val="none"/>
        </w:rPr>
        <w:t>八、电子交易活动的中止</w:t>
      </w:r>
    </w:p>
    <w:p>
      <w:pPr>
        <w:pStyle w:val="89"/>
        <w:snapToGrid w:val="0"/>
        <w:spacing w:before="0"/>
        <w:ind w:firstLine="0" w:firstLineChars="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b/>
          <w:color w:val="auto"/>
          <w:szCs w:val="24"/>
          <w:highlight w:val="none"/>
        </w:rPr>
        <w:t>.</w:t>
      </w:r>
      <w:r>
        <w:rPr>
          <w:rFonts w:hint="eastAsia" w:ascii="仿宋" w:hAnsi="仿宋" w:eastAsia="仿宋" w:cs="仿宋_GB2312"/>
          <w:b/>
          <w:color w:val="auto"/>
          <w:szCs w:val="24"/>
          <w:highlight w:val="none"/>
        </w:rPr>
        <w:t>电子交易活动的中止。</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采购过程中出现以下情形，导致政采云平台无法正常运行，或者无法保证电子交易的公平、公正和安全时，采购机构可中止电子交易活动：</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 xml:space="preserve">.1政采云平台发生故障而无法登录访问的； </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.2政采云平台应用或数据库出现错误，不能进行正常操作的；</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.3政采云平台发现严重安全漏洞，有潜在泄密危险的；</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 xml:space="preserve">.4病毒发作导致不能进行正常操作的； </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.5其他无法保证电子交易的公平、公正和安全的情况。</w:t>
      </w:r>
    </w:p>
    <w:p>
      <w:pPr>
        <w:pStyle w:val="89"/>
        <w:snapToGrid w:val="0"/>
        <w:spacing w:before="0"/>
        <w:ind w:firstLine="470" w:firstLineChars="196"/>
        <w:rPr>
          <w:rFonts w:ascii="仿宋" w:hAnsi="仿宋" w:eastAsia="仿宋" w:cs="仿宋_GB2312"/>
          <w:color w:val="auto"/>
          <w:szCs w:val="24"/>
          <w:highlight w:val="none"/>
        </w:rPr>
      </w:pPr>
      <w:r>
        <w:rPr>
          <w:rFonts w:ascii="仿宋" w:hAnsi="仿宋" w:eastAsia="仿宋" w:cs="仿宋_GB2312"/>
          <w:color w:val="auto"/>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pStyle w:val="25"/>
        <w:snapToGrid w:val="0"/>
        <w:spacing w:line="360" w:lineRule="auto"/>
        <w:ind w:left="479" w:hanging="479" w:hangingChars="199"/>
        <w:rPr>
          <w:rFonts w:ascii="仿宋" w:hAnsi="仿宋" w:eastAsia="仿宋" w:cs="仿宋_GB2312"/>
          <w:b/>
          <w:color w:val="auto"/>
          <w:highlight w:val="none"/>
        </w:rPr>
      </w:pPr>
      <w:r>
        <w:rPr>
          <w:rFonts w:hint="eastAsia" w:ascii="仿宋" w:hAnsi="仿宋" w:eastAsia="仿宋" w:cs="仿宋_GB2312"/>
          <w:b/>
          <w:color w:val="auto"/>
          <w:highlight w:val="none"/>
        </w:rPr>
        <w:t>30.重新采购</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有政府采购法第七十一条、第七十二条规定的违法行为之一，影响或者可能影响中标、成交结果的，依照下列规定处理：</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30.1</w:t>
      </w:r>
      <w:r>
        <w:rPr>
          <w:rFonts w:ascii="仿宋" w:hAnsi="仿宋" w:eastAsia="仿宋" w:cs="仿宋_GB2312"/>
          <w:color w:val="auto"/>
          <w:highlight w:val="none"/>
        </w:rPr>
        <w:t>未确定</w:t>
      </w:r>
      <w:r>
        <w:rPr>
          <w:rFonts w:hint="eastAsia" w:ascii="仿宋" w:hAnsi="仿宋" w:eastAsia="仿宋" w:cs="仿宋_GB2312"/>
          <w:color w:val="auto"/>
          <w:highlight w:val="none"/>
        </w:rPr>
        <w:t>中标、成交供应商</w:t>
      </w:r>
      <w:r>
        <w:rPr>
          <w:rFonts w:ascii="仿宋" w:hAnsi="仿宋" w:eastAsia="仿宋" w:cs="仿宋_GB2312"/>
          <w:color w:val="auto"/>
          <w:highlight w:val="none"/>
        </w:rPr>
        <w:t>的，终止本次政府采购活动，重新开展政府采购</w:t>
      </w:r>
      <w:r>
        <w:rPr>
          <w:rFonts w:hint="eastAsia" w:ascii="仿宋" w:hAnsi="仿宋" w:eastAsia="仿宋" w:cs="仿宋_GB2312"/>
          <w:color w:val="auto"/>
          <w:highlight w:val="none"/>
        </w:rPr>
        <w:t>活动。</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30.2中标、成交供应商已经确定但采购合同尚未履行的，撤销合同，从合格的中标、成交候选人中另行确定中标、成交供应商</w:t>
      </w:r>
      <w:r>
        <w:rPr>
          <w:rFonts w:ascii="仿宋" w:hAnsi="仿宋" w:eastAsia="仿宋" w:cs="仿宋_GB2312"/>
          <w:color w:val="auto"/>
          <w:highlight w:val="none"/>
        </w:rPr>
        <w:t>；没有合格的</w:t>
      </w:r>
      <w:r>
        <w:rPr>
          <w:rFonts w:hint="eastAsia" w:ascii="仿宋" w:hAnsi="仿宋" w:eastAsia="仿宋" w:cs="仿宋_GB2312"/>
          <w:color w:val="auto"/>
          <w:highlight w:val="none"/>
        </w:rPr>
        <w:t>中标、成交候选人</w:t>
      </w:r>
      <w:r>
        <w:rPr>
          <w:rFonts w:ascii="仿宋" w:hAnsi="仿宋" w:eastAsia="仿宋" w:cs="仿宋_GB2312"/>
          <w:color w:val="auto"/>
          <w:highlight w:val="none"/>
        </w:rPr>
        <w:t>的，重新开展政府采购活动。</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30.3</w:t>
      </w:r>
      <w:r>
        <w:rPr>
          <w:rFonts w:ascii="仿宋" w:hAnsi="仿宋" w:eastAsia="仿宋" w:cs="仿宋_GB2312"/>
          <w:color w:val="auto"/>
          <w:highlight w:val="none"/>
        </w:rPr>
        <w:t>政府采购合同已签订但尚未履行的，撤销合同，从合格的中标候选人中另行确定中标或者中标人；没有合格的中标候选人的，重新开展政府采购活动。</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30.4</w:t>
      </w:r>
      <w:r>
        <w:rPr>
          <w:rFonts w:ascii="仿宋" w:hAnsi="仿宋" w:eastAsia="仿宋" w:cs="仿宋_GB2312"/>
          <w:color w:val="auto"/>
          <w:highlight w:val="none"/>
        </w:rPr>
        <w:t>政府采购合同已经履行，给采购人、供应</w:t>
      </w:r>
      <w:r>
        <w:rPr>
          <w:rFonts w:hint="eastAsia" w:ascii="仿宋" w:hAnsi="仿宋" w:eastAsia="仿宋" w:cs="仿宋_GB2312"/>
          <w:color w:val="auto"/>
          <w:highlight w:val="none"/>
        </w:rPr>
        <w:t>商造成损失的，由责任人承担赔偿责任。</w:t>
      </w:r>
    </w:p>
    <w:p>
      <w:pPr>
        <w:tabs>
          <w:tab w:val="left" w:pos="0"/>
        </w:tabs>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30.5</w:t>
      </w:r>
      <w:r>
        <w:rPr>
          <w:rFonts w:ascii="仿宋" w:hAnsi="仿宋" w:eastAsia="仿宋" w:cs="仿宋_GB2312"/>
          <w:color w:val="auto"/>
          <w:sz w:val="24"/>
          <w:highlight w:val="none"/>
        </w:rPr>
        <w:t>政府采购当事人有其他违反政府采购</w:t>
      </w:r>
      <w:r>
        <w:rPr>
          <w:rFonts w:hint="eastAsia" w:ascii="仿宋" w:hAnsi="仿宋" w:eastAsia="仿宋" w:cs="仿宋_GB2312"/>
          <w:color w:val="auto"/>
          <w:sz w:val="24"/>
          <w:highlight w:val="none"/>
        </w:rPr>
        <w:t>法或者政府采购法实施条例等法律法规规定的行为，经改正后仍然影响或者可能影响中标或成交结果或者依法被认定为中标或成交无效的，依照30.1</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30.4</w:t>
      </w:r>
      <w:r>
        <w:rPr>
          <w:rFonts w:ascii="仿宋" w:hAnsi="仿宋" w:eastAsia="仿宋" w:cs="仿宋_GB2312"/>
          <w:color w:val="auto"/>
          <w:sz w:val="24"/>
          <w:highlight w:val="none"/>
        </w:rPr>
        <w:t>规定处理。</w:t>
      </w:r>
    </w:p>
    <w:p>
      <w:pPr>
        <w:tabs>
          <w:tab w:val="left" w:pos="0"/>
        </w:tabs>
        <w:snapToGrid w:val="0"/>
        <w:spacing w:line="360" w:lineRule="auto"/>
        <w:ind w:firstLine="480" w:firstLineChars="200"/>
        <w:rPr>
          <w:rFonts w:ascii="仿宋" w:hAnsi="仿宋" w:eastAsia="仿宋"/>
          <w:color w:val="auto"/>
          <w:sz w:val="24"/>
          <w:highlight w:val="none"/>
        </w:rPr>
      </w:pPr>
    </w:p>
    <w:p>
      <w:pPr>
        <w:snapToGrid w:val="0"/>
        <w:spacing w:line="360" w:lineRule="auto"/>
        <w:jc w:val="center"/>
        <w:outlineLvl w:val="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九、验收</w:t>
      </w:r>
    </w:p>
    <w:p>
      <w:pPr>
        <w:pStyle w:val="25"/>
        <w:adjustRightInd w:val="0"/>
        <w:snapToGrid w:val="0"/>
        <w:spacing w:line="360" w:lineRule="auto"/>
        <w:ind w:left="0" w:firstLine="0" w:firstLineChars="0"/>
        <w:rPr>
          <w:rFonts w:ascii="仿宋" w:hAnsi="仿宋" w:eastAsia="仿宋" w:cs="仿宋_GB2312"/>
          <w:b/>
          <w:color w:val="auto"/>
          <w:highlight w:val="none"/>
        </w:rPr>
      </w:pPr>
      <w:r>
        <w:rPr>
          <w:rFonts w:hint="eastAsia" w:ascii="仿宋" w:hAnsi="仿宋" w:eastAsia="仿宋" w:cs="仿宋_GB2312"/>
          <w:b/>
          <w:color w:val="auto"/>
          <w:highlight w:val="none"/>
        </w:rPr>
        <w:t>31</w:t>
      </w:r>
      <w:r>
        <w:rPr>
          <w:rFonts w:ascii="仿宋" w:hAnsi="仿宋" w:eastAsia="仿宋" w:cs="仿宋_GB2312"/>
          <w:b/>
          <w:color w:val="auto"/>
          <w:highlight w:val="none"/>
        </w:rPr>
        <w:t>.验收</w:t>
      </w:r>
    </w:p>
    <w:p>
      <w:pPr>
        <w:tabs>
          <w:tab w:val="left" w:pos="0"/>
        </w:tabs>
        <w:snapToGrid w:val="0"/>
        <w:spacing w:line="360" w:lineRule="auto"/>
        <w:ind w:firstLine="480" w:firstLineChars="200"/>
        <w:rPr>
          <w:rFonts w:ascii="仿宋" w:hAnsi="仿宋" w:eastAsia="仿宋" w:cs="Helvetica"/>
          <w:color w:val="auto"/>
          <w:kern w:val="0"/>
          <w:sz w:val="24"/>
          <w:highlight w:val="none"/>
        </w:rPr>
      </w:pPr>
      <w:bookmarkStart w:id="53" w:name="_Hlk93169321"/>
      <w:r>
        <w:rPr>
          <w:rFonts w:hint="eastAsia" w:ascii="仿宋" w:hAnsi="仿宋" w:eastAsia="仿宋" w:cs="Helvetica"/>
          <w:color w:val="auto"/>
          <w:kern w:val="0"/>
          <w:sz w:val="24"/>
          <w:highlight w:val="none"/>
        </w:rPr>
        <w:t>31</w:t>
      </w:r>
      <w:r>
        <w:rPr>
          <w:rFonts w:ascii="仿宋" w:hAnsi="仿宋" w:eastAsia="仿宋" w:cs="Helvetica"/>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360" w:lineRule="auto"/>
        <w:ind w:firstLine="480" w:firstLineChars="20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31</w:t>
      </w:r>
      <w:r>
        <w:rPr>
          <w:rFonts w:ascii="仿宋" w:hAnsi="仿宋" w:eastAsia="仿宋" w:cs="Helvetica"/>
          <w:color w:val="auto"/>
          <w:kern w:val="0"/>
          <w:sz w:val="24"/>
          <w:highlight w:val="none"/>
        </w:rPr>
        <w:t>.2采购人可以邀请参加本项目的其他投标人或者第三方机构参与验收。参与验收的投标人或者第三方机构的意见作为</w:t>
      </w:r>
      <w:r>
        <w:rPr>
          <w:rFonts w:hint="eastAsia" w:ascii="仿宋" w:hAnsi="仿宋" w:eastAsia="仿宋" w:cs="Helvetica"/>
          <w:color w:val="auto"/>
          <w:kern w:val="0"/>
          <w:sz w:val="24"/>
          <w:highlight w:val="none"/>
        </w:rPr>
        <w:t>验收书的参考资料一并存档。</w:t>
      </w:r>
    </w:p>
    <w:p>
      <w:pPr>
        <w:tabs>
          <w:tab w:val="left" w:pos="0"/>
        </w:tabs>
        <w:snapToGrid w:val="0"/>
        <w:spacing w:line="360" w:lineRule="auto"/>
        <w:ind w:firstLine="480" w:firstLineChars="20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31</w:t>
      </w:r>
      <w:r>
        <w:rPr>
          <w:rFonts w:ascii="仿宋" w:hAnsi="仿宋" w:eastAsia="仿宋" w:cs="Helvetica"/>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bookmarkEnd w:id="53"/>
    </w:p>
    <w:p>
      <w:pPr>
        <w:widowControl/>
        <w:snapToGrid w:val="0"/>
        <w:spacing w:line="360" w:lineRule="auto"/>
        <w:ind w:firstLine="480" w:firstLineChars="200"/>
        <w:jc w:val="left"/>
        <w:rPr>
          <w:rFonts w:ascii="仿宋" w:hAnsi="仿宋" w:eastAsia="仿宋" w:cs="新宋体"/>
          <w:color w:val="auto"/>
          <w:sz w:val="24"/>
          <w:highlight w:val="none"/>
        </w:rPr>
      </w:pPr>
      <w:bookmarkStart w:id="54" w:name="_Hlk93169378"/>
      <w:r>
        <w:rPr>
          <w:rFonts w:hint="eastAsia" w:ascii="仿宋" w:hAnsi="仿宋" w:eastAsia="仿宋" w:cs="Helvetica"/>
          <w:color w:val="auto"/>
          <w:kern w:val="0"/>
          <w:sz w:val="24"/>
          <w:highlight w:val="none"/>
        </w:rPr>
        <w:t>31</w:t>
      </w:r>
      <w:r>
        <w:rPr>
          <w:rFonts w:ascii="仿宋" w:hAnsi="仿宋" w:eastAsia="仿宋" w:cs="Helvetica"/>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widowControl/>
        <w:snapToGrid w:val="0"/>
        <w:spacing w:line="360" w:lineRule="auto"/>
        <w:jc w:val="left"/>
        <w:rPr>
          <w:rFonts w:ascii="新宋体" w:hAnsi="新宋体" w:eastAsia="新宋体" w:cs="新宋体"/>
          <w:color w:val="auto"/>
          <w:sz w:val="22"/>
          <w:szCs w:val="22"/>
          <w:highlight w:val="none"/>
        </w:rPr>
      </w:pPr>
    </w:p>
    <w:p>
      <w:pPr>
        <w:snapToGrid w:val="0"/>
        <w:spacing w:line="360" w:lineRule="auto"/>
        <w:jc w:val="center"/>
        <w:outlineLvl w:val="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十、其他说明</w:t>
      </w:r>
    </w:p>
    <w:p>
      <w:pPr>
        <w:pStyle w:val="25"/>
        <w:adjustRightInd w:val="0"/>
        <w:snapToGrid w:val="0"/>
        <w:spacing w:line="360" w:lineRule="auto"/>
        <w:ind w:left="0" w:firstLine="0" w:firstLineChars="0"/>
        <w:rPr>
          <w:rFonts w:ascii="仿宋" w:hAnsi="仿宋" w:eastAsia="仿宋" w:cs="仿宋_GB2312"/>
          <w:b/>
          <w:color w:val="auto"/>
          <w:highlight w:val="none"/>
        </w:rPr>
      </w:pPr>
      <w:r>
        <w:rPr>
          <w:rFonts w:hint="eastAsia" w:ascii="仿宋" w:hAnsi="仿宋" w:eastAsia="仿宋" w:cs="仿宋_GB2312"/>
          <w:b/>
          <w:color w:val="auto"/>
          <w:highlight w:val="none"/>
        </w:rPr>
        <w:t>32</w:t>
      </w:r>
      <w:r>
        <w:rPr>
          <w:rFonts w:ascii="仿宋" w:hAnsi="仿宋" w:eastAsia="仿宋" w:cs="仿宋_GB2312"/>
          <w:b/>
          <w:color w:val="auto"/>
          <w:highlight w:val="none"/>
        </w:rPr>
        <w:t>.</w:t>
      </w:r>
      <w:r>
        <w:rPr>
          <w:rFonts w:hint="eastAsia" w:ascii="仿宋" w:hAnsi="仿宋" w:eastAsia="仿宋" w:cs="仿宋_GB2312"/>
          <w:b/>
          <w:color w:val="auto"/>
          <w:highlight w:val="none"/>
        </w:rPr>
        <w:t>其他说明</w:t>
      </w:r>
    </w:p>
    <w:p>
      <w:pPr>
        <w:widowControl/>
        <w:snapToGrid w:val="0"/>
        <w:spacing w:line="360" w:lineRule="auto"/>
        <w:ind w:firstLine="480" w:firstLineChars="200"/>
        <w:jc w:val="left"/>
        <w:rPr>
          <w:rFonts w:ascii="新宋体" w:hAnsi="新宋体" w:eastAsia="新宋体" w:cs="新宋体"/>
          <w:color w:val="auto"/>
          <w:sz w:val="22"/>
          <w:szCs w:val="22"/>
          <w:highlight w:val="none"/>
        </w:rPr>
      </w:pPr>
      <w:r>
        <w:rPr>
          <w:rFonts w:hint="eastAsia" w:ascii="仿宋" w:hAnsi="仿宋" w:eastAsia="仿宋" w:cs="Helvetica"/>
          <w:color w:val="auto"/>
          <w:kern w:val="0"/>
          <w:sz w:val="24"/>
          <w:highlight w:val="none"/>
        </w:rPr>
        <w:t>见投标人须知前附表。</w:t>
      </w:r>
      <w:bookmarkEnd w:id="54"/>
    </w:p>
    <w:p>
      <w:pPr>
        <w:widowControl/>
        <w:adjustRightInd/>
        <w:jc w:val="left"/>
        <w:rPr>
          <w:rFonts w:ascii="新宋体" w:hAnsi="新宋体" w:eastAsia="新宋体" w:cs="新宋体"/>
          <w:b/>
          <w:bCs/>
          <w:color w:val="auto"/>
          <w:sz w:val="22"/>
          <w:szCs w:val="22"/>
          <w:highlight w:val="none"/>
        </w:rPr>
      </w:pPr>
      <w:r>
        <w:rPr>
          <w:rFonts w:ascii="新宋体" w:hAnsi="新宋体" w:eastAsia="新宋体" w:cs="新宋体"/>
          <w:b/>
          <w:bCs/>
          <w:color w:val="auto"/>
          <w:sz w:val="22"/>
          <w:szCs w:val="22"/>
          <w:highlight w:val="none"/>
        </w:rPr>
        <w:br w:type="page"/>
      </w:r>
    </w:p>
    <w:p>
      <w:pPr>
        <w:numPr>
          <w:ilvl w:val="0"/>
          <w:numId w:val="2"/>
        </w:numPr>
        <w:snapToGrid w:val="0"/>
        <w:spacing w:beforeLines="100" w:line="360" w:lineRule="auto"/>
        <w:jc w:val="center"/>
        <w:outlineLvl w:val="0"/>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 xml:space="preserve"> 采购需求</w:t>
      </w:r>
    </w:p>
    <w:p>
      <w:pPr>
        <w:numPr>
          <w:ilvl w:val="0"/>
          <w:numId w:val="3"/>
        </w:numPr>
        <w:ind w:firstLine="241" w:firstLineChars="100"/>
        <w:rPr>
          <w:rFonts w:hint="eastAsia" w:ascii="仿宋" w:hAnsi="仿宋" w:eastAsia="仿宋" w:cs="仿宋"/>
          <w:b/>
          <w:bCs/>
          <w:color w:val="auto"/>
          <w:kern w:val="0"/>
          <w:sz w:val="24"/>
          <w:szCs w:val="24"/>
          <w:highlight w:val="none"/>
          <w:lang w:eastAsia="zh-CN" w:bidi="ar"/>
        </w:rPr>
      </w:pPr>
      <w:r>
        <w:rPr>
          <w:rFonts w:hint="eastAsia" w:ascii="仿宋" w:hAnsi="仿宋" w:eastAsia="仿宋" w:cs="仿宋"/>
          <w:b/>
          <w:bCs/>
          <w:color w:val="auto"/>
          <w:kern w:val="0"/>
          <w:sz w:val="24"/>
          <w:szCs w:val="24"/>
          <w:highlight w:val="none"/>
          <w:lang w:eastAsia="zh-CN" w:bidi="ar"/>
        </w:rPr>
        <w:t>采购参数清单及数量</w:t>
      </w:r>
    </w:p>
    <w:tbl>
      <w:tblPr>
        <w:tblStyle w:val="58"/>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200"/>
        <w:gridCol w:w="1200"/>
        <w:gridCol w:w="695"/>
        <w:gridCol w:w="1077"/>
        <w:gridCol w:w="1952"/>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48"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序号</w:t>
            </w:r>
          </w:p>
        </w:tc>
        <w:tc>
          <w:tcPr>
            <w:tcW w:w="1200"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货物名称</w:t>
            </w:r>
          </w:p>
        </w:tc>
        <w:tc>
          <w:tcPr>
            <w:tcW w:w="1200"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使用单位</w:t>
            </w:r>
          </w:p>
        </w:tc>
        <w:tc>
          <w:tcPr>
            <w:tcW w:w="695"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数量</w:t>
            </w:r>
          </w:p>
        </w:tc>
        <w:tc>
          <w:tcPr>
            <w:tcW w:w="1077"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单位</w:t>
            </w:r>
          </w:p>
        </w:tc>
        <w:tc>
          <w:tcPr>
            <w:tcW w:w="1952"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预算单价（元）</w:t>
            </w:r>
          </w:p>
        </w:tc>
        <w:tc>
          <w:tcPr>
            <w:tcW w:w="2135" w:type="dxa"/>
            <w:noWrap w:val="0"/>
            <w:vAlign w:val="center"/>
          </w:tcPr>
          <w:p>
            <w:pPr>
              <w:jc w:val="center"/>
              <w:rPr>
                <w:rFonts w:hint="eastAsia" w:ascii="仿宋" w:hAnsi="仿宋" w:eastAsia="仿宋" w:cs="仿宋"/>
                <w:b/>
                <w:bCs/>
                <w:color w:val="auto"/>
                <w:sz w:val="24"/>
                <w:szCs w:val="24"/>
                <w:highlight w:val="none"/>
                <w:vertAlign w:val="baseline"/>
                <w:lang w:eastAsia="zh-CN"/>
              </w:rPr>
            </w:pPr>
            <w:r>
              <w:rPr>
                <w:rFonts w:hint="eastAsia" w:ascii="仿宋" w:hAnsi="仿宋" w:eastAsia="仿宋" w:cs="新宋体"/>
                <w:b/>
                <w:bCs/>
                <w:color w:val="auto"/>
                <w:kern w:val="0"/>
                <w:highlight w:val="none"/>
                <w:u w:val="single"/>
              </w:rPr>
              <w:t>▲</w:t>
            </w:r>
            <w:r>
              <w:rPr>
                <w:rFonts w:hint="eastAsia" w:ascii="仿宋" w:hAnsi="仿宋" w:eastAsia="仿宋" w:cs="仿宋"/>
                <w:b/>
                <w:bCs/>
                <w:color w:val="auto"/>
                <w:sz w:val="24"/>
                <w:szCs w:val="24"/>
                <w:highlight w:val="none"/>
                <w:vertAlign w:val="baseline"/>
                <w:lang w:eastAsia="zh-CN"/>
              </w:rPr>
              <w:t>最高单价限价（元）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48"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1200"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移动照明平台</w:t>
            </w: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泰顺县</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1077"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80000</w:t>
            </w:r>
          </w:p>
        </w:tc>
        <w:tc>
          <w:tcPr>
            <w:tcW w:w="2135" w:type="dxa"/>
            <w:noWrap w:val="0"/>
            <w:vAlign w:val="center"/>
          </w:tcPr>
          <w:p>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restart"/>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1200" w:type="dxa"/>
            <w:vMerge w:val="restart"/>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应急照明系统</w:t>
            </w: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泰顺县</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11</w:t>
            </w:r>
          </w:p>
        </w:tc>
        <w:tc>
          <w:tcPr>
            <w:tcW w:w="1077"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10</w:t>
            </w:r>
            <w:r>
              <w:rPr>
                <w:rFonts w:hint="eastAsia" w:ascii="仿宋" w:hAnsi="仿宋" w:eastAsia="仿宋" w:cs="仿宋"/>
                <w:color w:val="auto"/>
                <w:sz w:val="24"/>
                <w:szCs w:val="24"/>
                <w:highlight w:val="none"/>
                <w:vertAlign w:val="baseline"/>
                <w:lang w:val="en-US" w:eastAsia="zh-CN"/>
              </w:rPr>
              <w:t>0000</w:t>
            </w:r>
          </w:p>
        </w:tc>
        <w:tc>
          <w:tcPr>
            <w:tcW w:w="2135" w:type="dxa"/>
            <w:noWrap w:val="0"/>
            <w:vAlign w:val="center"/>
          </w:tcPr>
          <w:p>
            <w:pPr>
              <w:jc w:val="center"/>
              <w:rPr>
                <w:rFonts w:hint="default" w:ascii="仿宋" w:hAnsi="仿宋" w:eastAsia="仿宋" w:cs="仿宋"/>
                <w:b/>
                <w:bCs/>
                <w:color w:val="auto"/>
                <w:sz w:val="24"/>
                <w:szCs w:val="24"/>
                <w:highlight w:val="none"/>
                <w:vertAlign w:val="baseline"/>
                <w:lang w:val="en-US" w:eastAsia="zh-CN"/>
              </w:rPr>
            </w:pPr>
            <w:r>
              <w:rPr>
                <w:rFonts w:hint="default" w:ascii="仿宋" w:hAnsi="仿宋" w:eastAsia="仿宋" w:cs="仿宋"/>
                <w:b/>
                <w:bCs/>
                <w:color w:val="auto"/>
                <w:sz w:val="24"/>
                <w:szCs w:val="24"/>
                <w:highlight w:val="none"/>
                <w:vertAlign w:val="baseline"/>
                <w:lang w:val="en-US" w:eastAsia="zh-CN"/>
              </w:rPr>
              <w:t>8</w:t>
            </w:r>
            <w:r>
              <w:rPr>
                <w:rFonts w:hint="eastAsia" w:ascii="仿宋" w:hAnsi="仿宋" w:eastAsia="仿宋" w:cs="仿宋"/>
                <w:b/>
                <w:bCs/>
                <w:color w:val="auto"/>
                <w:sz w:val="24"/>
                <w:szCs w:val="24"/>
                <w:highlight w:val="none"/>
                <w:vertAlign w:val="baseline"/>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洞头区</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2</w:t>
            </w:r>
          </w:p>
        </w:tc>
        <w:tc>
          <w:tcPr>
            <w:tcW w:w="1077"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8</w:t>
            </w:r>
            <w:r>
              <w:rPr>
                <w:rFonts w:hint="eastAsia" w:ascii="仿宋" w:hAnsi="仿宋" w:eastAsia="仿宋" w:cs="仿宋"/>
                <w:color w:val="auto"/>
                <w:sz w:val="24"/>
                <w:szCs w:val="24"/>
                <w:highlight w:val="none"/>
                <w:vertAlign w:val="baseline"/>
                <w:lang w:val="en-US" w:eastAsia="zh-CN"/>
              </w:rPr>
              <w:t>0000</w:t>
            </w:r>
          </w:p>
        </w:tc>
        <w:tc>
          <w:tcPr>
            <w:tcW w:w="2135" w:type="dxa"/>
            <w:noWrap w:val="0"/>
            <w:vAlign w:val="center"/>
          </w:tcPr>
          <w:p>
            <w:pPr>
              <w:jc w:val="center"/>
              <w:rPr>
                <w:rFonts w:hint="default" w:ascii="仿宋" w:hAnsi="仿宋" w:eastAsia="仿宋" w:cs="仿宋"/>
                <w:b/>
                <w:bCs/>
                <w:color w:val="auto"/>
                <w:sz w:val="24"/>
                <w:szCs w:val="24"/>
                <w:highlight w:val="none"/>
                <w:vertAlign w:val="baseline"/>
                <w:lang w:val="en-US" w:eastAsia="zh-CN"/>
              </w:rPr>
            </w:pPr>
            <w:r>
              <w:rPr>
                <w:rFonts w:hint="default" w:ascii="仿宋" w:hAnsi="仿宋" w:eastAsia="仿宋" w:cs="仿宋"/>
                <w:b/>
                <w:bCs/>
                <w:color w:val="auto"/>
                <w:sz w:val="24"/>
                <w:szCs w:val="24"/>
                <w:highlight w:val="none"/>
                <w:vertAlign w:val="baseline"/>
                <w:lang w:val="en-US" w:eastAsia="zh-CN"/>
              </w:rPr>
              <w:t>8</w:t>
            </w:r>
            <w:r>
              <w:rPr>
                <w:rFonts w:hint="eastAsia" w:ascii="仿宋" w:hAnsi="仿宋" w:eastAsia="仿宋" w:cs="仿宋"/>
                <w:b/>
                <w:bCs/>
                <w:color w:val="auto"/>
                <w:sz w:val="24"/>
                <w:szCs w:val="24"/>
                <w:highlight w:val="none"/>
                <w:vertAlign w:val="baseline"/>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龙湾区</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3</w:t>
            </w:r>
          </w:p>
        </w:tc>
        <w:tc>
          <w:tcPr>
            <w:tcW w:w="1077"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8</w:t>
            </w:r>
            <w:r>
              <w:rPr>
                <w:rFonts w:hint="eastAsia" w:ascii="仿宋" w:hAnsi="仿宋" w:eastAsia="仿宋" w:cs="仿宋"/>
                <w:color w:val="auto"/>
                <w:sz w:val="24"/>
                <w:szCs w:val="24"/>
                <w:highlight w:val="none"/>
                <w:vertAlign w:val="baseline"/>
                <w:lang w:val="en-US" w:eastAsia="zh-CN"/>
              </w:rPr>
              <w:t>0000</w:t>
            </w:r>
          </w:p>
        </w:tc>
        <w:tc>
          <w:tcPr>
            <w:tcW w:w="2135" w:type="dxa"/>
            <w:noWrap w:val="0"/>
            <w:vAlign w:val="center"/>
          </w:tcPr>
          <w:p>
            <w:pPr>
              <w:jc w:val="center"/>
              <w:rPr>
                <w:rFonts w:hint="default" w:ascii="仿宋" w:hAnsi="仿宋" w:eastAsia="仿宋" w:cs="仿宋"/>
                <w:b/>
                <w:bCs/>
                <w:color w:val="auto"/>
                <w:sz w:val="24"/>
                <w:szCs w:val="24"/>
                <w:highlight w:val="none"/>
                <w:vertAlign w:val="baseline"/>
                <w:lang w:val="en-US" w:eastAsia="zh-CN"/>
              </w:rPr>
            </w:pPr>
            <w:r>
              <w:rPr>
                <w:rFonts w:hint="default" w:ascii="仿宋" w:hAnsi="仿宋" w:eastAsia="仿宋" w:cs="仿宋"/>
                <w:b/>
                <w:bCs/>
                <w:color w:val="auto"/>
                <w:sz w:val="24"/>
                <w:szCs w:val="24"/>
                <w:highlight w:val="none"/>
                <w:vertAlign w:val="baseline"/>
                <w:lang w:val="en-US" w:eastAsia="zh-CN"/>
              </w:rPr>
              <w:t>8</w:t>
            </w:r>
            <w:r>
              <w:rPr>
                <w:rFonts w:hint="eastAsia" w:ascii="仿宋" w:hAnsi="仿宋" w:eastAsia="仿宋" w:cs="仿宋"/>
                <w:b/>
                <w:bCs/>
                <w:color w:val="auto"/>
                <w:sz w:val="24"/>
                <w:szCs w:val="24"/>
                <w:highlight w:val="none"/>
                <w:vertAlign w:val="baseline"/>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永嘉县</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8</w:t>
            </w:r>
          </w:p>
        </w:tc>
        <w:tc>
          <w:tcPr>
            <w:tcW w:w="1077"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8</w:t>
            </w:r>
            <w:r>
              <w:rPr>
                <w:rFonts w:hint="eastAsia" w:ascii="仿宋" w:hAnsi="仿宋" w:eastAsia="仿宋" w:cs="仿宋"/>
                <w:color w:val="auto"/>
                <w:sz w:val="24"/>
                <w:szCs w:val="24"/>
                <w:highlight w:val="none"/>
                <w:vertAlign w:val="baseline"/>
                <w:lang w:val="en-US" w:eastAsia="zh-CN"/>
              </w:rPr>
              <w:t>0000</w:t>
            </w:r>
          </w:p>
        </w:tc>
        <w:tc>
          <w:tcPr>
            <w:tcW w:w="2135" w:type="dxa"/>
            <w:noWrap w:val="0"/>
            <w:vAlign w:val="center"/>
          </w:tcPr>
          <w:p>
            <w:pPr>
              <w:jc w:val="center"/>
              <w:rPr>
                <w:rFonts w:hint="default" w:ascii="仿宋" w:hAnsi="仿宋" w:eastAsia="仿宋" w:cs="仿宋"/>
                <w:b/>
                <w:bCs/>
                <w:color w:val="auto"/>
                <w:sz w:val="24"/>
                <w:szCs w:val="24"/>
                <w:highlight w:val="none"/>
                <w:vertAlign w:val="baseline"/>
                <w:lang w:val="en-US" w:eastAsia="zh-CN"/>
              </w:rPr>
            </w:pPr>
            <w:r>
              <w:rPr>
                <w:rFonts w:hint="default" w:ascii="仿宋" w:hAnsi="仿宋" w:eastAsia="仿宋" w:cs="仿宋"/>
                <w:b/>
                <w:bCs/>
                <w:color w:val="auto"/>
                <w:sz w:val="24"/>
                <w:szCs w:val="24"/>
                <w:highlight w:val="none"/>
                <w:vertAlign w:val="baseline"/>
                <w:lang w:val="en-US" w:eastAsia="zh-CN"/>
              </w:rPr>
              <w:t>8</w:t>
            </w:r>
            <w:r>
              <w:rPr>
                <w:rFonts w:hint="eastAsia" w:ascii="仿宋" w:hAnsi="仿宋" w:eastAsia="仿宋" w:cs="仿宋"/>
                <w:b/>
                <w:bCs/>
                <w:color w:val="auto"/>
                <w:sz w:val="24"/>
                <w:szCs w:val="24"/>
                <w:highlight w:val="none"/>
                <w:vertAlign w:val="baseline"/>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瑞安市</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1</w:t>
            </w:r>
          </w:p>
        </w:tc>
        <w:tc>
          <w:tcPr>
            <w:tcW w:w="1077"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8</w:t>
            </w:r>
            <w:r>
              <w:rPr>
                <w:rFonts w:hint="eastAsia" w:ascii="仿宋" w:hAnsi="仿宋" w:eastAsia="仿宋" w:cs="仿宋"/>
                <w:color w:val="auto"/>
                <w:sz w:val="24"/>
                <w:szCs w:val="24"/>
                <w:highlight w:val="none"/>
                <w:vertAlign w:val="baseline"/>
                <w:lang w:val="en-US" w:eastAsia="zh-CN"/>
              </w:rPr>
              <w:t>0000</w:t>
            </w:r>
          </w:p>
        </w:tc>
        <w:tc>
          <w:tcPr>
            <w:tcW w:w="2135" w:type="dxa"/>
            <w:noWrap w:val="0"/>
            <w:vAlign w:val="center"/>
          </w:tcPr>
          <w:p>
            <w:pPr>
              <w:jc w:val="center"/>
              <w:rPr>
                <w:rFonts w:hint="default" w:ascii="仿宋" w:hAnsi="仿宋" w:eastAsia="仿宋" w:cs="仿宋"/>
                <w:b/>
                <w:bCs/>
                <w:color w:val="auto"/>
                <w:sz w:val="24"/>
                <w:szCs w:val="24"/>
                <w:highlight w:val="none"/>
                <w:vertAlign w:val="baseline"/>
                <w:lang w:val="en-US" w:eastAsia="zh-CN"/>
              </w:rPr>
            </w:pPr>
            <w:r>
              <w:rPr>
                <w:rFonts w:hint="default" w:ascii="仿宋" w:hAnsi="仿宋" w:eastAsia="仿宋" w:cs="仿宋"/>
                <w:b/>
                <w:bCs/>
                <w:color w:val="auto"/>
                <w:sz w:val="24"/>
                <w:szCs w:val="24"/>
                <w:highlight w:val="none"/>
                <w:vertAlign w:val="baseline"/>
                <w:lang w:val="en-US" w:eastAsia="zh-CN"/>
              </w:rPr>
              <w:t>8</w:t>
            </w:r>
            <w:r>
              <w:rPr>
                <w:rFonts w:hint="eastAsia" w:ascii="仿宋" w:hAnsi="仿宋" w:eastAsia="仿宋" w:cs="仿宋"/>
                <w:b/>
                <w:bCs/>
                <w:color w:val="auto"/>
                <w:sz w:val="24"/>
                <w:szCs w:val="24"/>
                <w:highlight w:val="none"/>
                <w:vertAlign w:val="baseline"/>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文成县</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19</w:t>
            </w:r>
          </w:p>
        </w:tc>
        <w:tc>
          <w:tcPr>
            <w:tcW w:w="1077"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8</w:t>
            </w:r>
            <w:r>
              <w:rPr>
                <w:rFonts w:hint="eastAsia" w:ascii="仿宋" w:hAnsi="仿宋" w:eastAsia="仿宋" w:cs="仿宋"/>
                <w:color w:val="auto"/>
                <w:sz w:val="24"/>
                <w:szCs w:val="24"/>
                <w:highlight w:val="none"/>
                <w:vertAlign w:val="baseline"/>
                <w:lang w:val="en-US" w:eastAsia="zh-CN"/>
              </w:rPr>
              <w:t>0000</w:t>
            </w:r>
          </w:p>
        </w:tc>
        <w:tc>
          <w:tcPr>
            <w:tcW w:w="2135" w:type="dxa"/>
            <w:noWrap w:val="0"/>
            <w:vAlign w:val="center"/>
          </w:tcPr>
          <w:p>
            <w:pPr>
              <w:jc w:val="center"/>
              <w:rPr>
                <w:rFonts w:hint="default" w:ascii="仿宋" w:hAnsi="仿宋" w:eastAsia="仿宋" w:cs="仿宋"/>
                <w:b/>
                <w:bCs/>
                <w:color w:val="auto"/>
                <w:sz w:val="24"/>
                <w:szCs w:val="24"/>
                <w:highlight w:val="none"/>
                <w:vertAlign w:val="baseline"/>
                <w:lang w:val="en-US" w:eastAsia="zh-CN"/>
              </w:rPr>
            </w:pPr>
            <w:r>
              <w:rPr>
                <w:rFonts w:hint="default" w:ascii="仿宋" w:hAnsi="仿宋" w:eastAsia="仿宋" w:cs="仿宋"/>
                <w:b/>
                <w:bCs/>
                <w:color w:val="auto"/>
                <w:sz w:val="24"/>
                <w:szCs w:val="24"/>
                <w:highlight w:val="none"/>
                <w:vertAlign w:val="baseline"/>
                <w:lang w:val="en-US" w:eastAsia="zh-CN"/>
              </w:rPr>
              <w:t>8</w:t>
            </w:r>
            <w:r>
              <w:rPr>
                <w:rFonts w:hint="eastAsia" w:ascii="仿宋" w:hAnsi="仿宋" w:eastAsia="仿宋" w:cs="仿宋"/>
                <w:b/>
                <w:bCs/>
                <w:color w:val="auto"/>
                <w:sz w:val="24"/>
                <w:szCs w:val="24"/>
                <w:highlight w:val="none"/>
                <w:vertAlign w:val="baseline"/>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龙港市</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2</w:t>
            </w:r>
          </w:p>
        </w:tc>
        <w:tc>
          <w:tcPr>
            <w:tcW w:w="1077"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8</w:t>
            </w:r>
            <w:r>
              <w:rPr>
                <w:rFonts w:hint="eastAsia" w:ascii="仿宋" w:hAnsi="仿宋" w:eastAsia="仿宋" w:cs="仿宋"/>
                <w:color w:val="auto"/>
                <w:sz w:val="24"/>
                <w:szCs w:val="24"/>
                <w:highlight w:val="none"/>
                <w:vertAlign w:val="baseline"/>
                <w:lang w:val="en-US" w:eastAsia="zh-CN"/>
              </w:rPr>
              <w:t>0000</w:t>
            </w:r>
          </w:p>
        </w:tc>
        <w:tc>
          <w:tcPr>
            <w:tcW w:w="2135" w:type="dxa"/>
            <w:noWrap w:val="0"/>
            <w:vAlign w:val="center"/>
          </w:tcPr>
          <w:p>
            <w:pPr>
              <w:jc w:val="center"/>
              <w:rPr>
                <w:rFonts w:hint="default" w:ascii="仿宋" w:hAnsi="仿宋" w:eastAsia="仿宋" w:cs="仿宋"/>
                <w:b/>
                <w:bCs/>
                <w:color w:val="auto"/>
                <w:sz w:val="24"/>
                <w:szCs w:val="24"/>
                <w:highlight w:val="none"/>
                <w:vertAlign w:val="baseline"/>
                <w:lang w:val="en-US" w:eastAsia="zh-CN"/>
              </w:rPr>
            </w:pPr>
            <w:r>
              <w:rPr>
                <w:rFonts w:hint="default" w:ascii="仿宋" w:hAnsi="仿宋" w:eastAsia="仿宋" w:cs="仿宋"/>
                <w:b/>
                <w:bCs/>
                <w:color w:val="auto"/>
                <w:sz w:val="24"/>
                <w:szCs w:val="24"/>
                <w:highlight w:val="none"/>
                <w:vertAlign w:val="baseline"/>
                <w:lang w:val="en-US" w:eastAsia="zh-CN"/>
              </w:rPr>
              <w:t>8</w:t>
            </w:r>
            <w:r>
              <w:rPr>
                <w:rFonts w:hint="eastAsia" w:ascii="仿宋" w:hAnsi="仿宋" w:eastAsia="仿宋" w:cs="仿宋"/>
                <w:b/>
                <w:bCs/>
                <w:color w:val="auto"/>
                <w:sz w:val="24"/>
                <w:szCs w:val="24"/>
                <w:highlight w:val="none"/>
                <w:vertAlign w:val="baseline"/>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瑞安市</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16</w:t>
            </w:r>
          </w:p>
        </w:tc>
        <w:tc>
          <w:tcPr>
            <w:tcW w:w="1077"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78</w:t>
            </w:r>
            <w:r>
              <w:rPr>
                <w:rFonts w:hint="eastAsia" w:ascii="仿宋" w:hAnsi="仿宋" w:eastAsia="仿宋" w:cs="仿宋"/>
                <w:color w:val="auto"/>
                <w:sz w:val="24"/>
                <w:szCs w:val="24"/>
                <w:highlight w:val="none"/>
                <w:vertAlign w:val="baseline"/>
                <w:lang w:val="en-US" w:eastAsia="zh-CN"/>
              </w:rPr>
              <w:t>000</w:t>
            </w:r>
          </w:p>
        </w:tc>
        <w:tc>
          <w:tcPr>
            <w:tcW w:w="2135" w:type="dxa"/>
            <w:noWrap w:val="0"/>
            <w:vAlign w:val="center"/>
          </w:tcPr>
          <w:p>
            <w:pPr>
              <w:jc w:val="center"/>
              <w:rPr>
                <w:rFonts w:hint="default" w:ascii="仿宋" w:hAnsi="仿宋" w:eastAsia="仿宋" w:cs="仿宋"/>
                <w:b/>
                <w:bCs/>
                <w:color w:val="auto"/>
                <w:sz w:val="24"/>
                <w:szCs w:val="24"/>
                <w:highlight w:val="none"/>
                <w:vertAlign w:val="baseline"/>
                <w:lang w:val="en-US" w:eastAsia="zh-CN"/>
              </w:rPr>
            </w:pPr>
            <w:r>
              <w:rPr>
                <w:rFonts w:hint="default" w:ascii="仿宋" w:hAnsi="仿宋" w:eastAsia="仿宋" w:cs="仿宋"/>
                <w:b/>
                <w:bCs/>
                <w:color w:val="auto"/>
                <w:sz w:val="24"/>
                <w:szCs w:val="24"/>
                <w:highlight w:val="none"/>
                <w:vertAlign w:val="baseline"/>
                <w:lang w:val="en-US" w:eastAsia="zh-CN"/>
              </w:rPr>
              <w:t>6</w:t>
            </w:r>
            <w:r>
              <w:rPr>
                <w:rFonts w:hint="eastAsia" w:ascii="仿宋" w:hAnsi="仿宋" w:eastAsia="仿宋" w:cs="仿宋"/>
                <w:b/>
                <w:bCs/>
                <w:color w:val="auto"/>
                <w:sz w:val="24"/>
                <w:szCs w:val="24"/>
                <w:highlight w:val="none"/>
                <w:vertAlign w:val="baseline"/>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苍南县</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24</w:t>
            </w:r>
          </w:p>
        </w:tc>
        <w:tc>
          <w:tcPr>
            <w:tcW w:w="1077"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7</w:t>
            </w:r>
            <w:r>
              <w:rPr>
                <w:rFonts w:hint="eastAsia" w:ascii="仿宋" w:hAnsi="仿宋" w:eastAsia="仿宋" w:cs="仿宋"/>
                <w:color w:val="auto"/>
                <w:sz w:val="24"/>
                <w:szCs w:val="24"/>
                <w:highlight w:val="none"/>
                <w:vertAlign w:val="baseline"/>
                <w:lang w:val="en-US" w:eastAsia="zh-CN"/>
              </w:rPr>
              <w:t>0000</w:t>
            </w:r>
          </w:p>
        </w:tc>
        <w:tc>
          <w:tcPr>
            <w:tcW w:w="2135" w:type="dxa"/>
            <w:noWrap w:val="0"/>
            <w:vAlign w:val="center"/>
          </w:tcPr>
          <w:p>
            <w:pPr>
              <w:jc w:val="center"/>
              <w:rPr>
                <w:rFonts w:hint="default" w:ascii="仿宋" w:hAnsi="仿宋" w:eastAsia="仿宋" w:cs="仿宋"/>
                <w:b/>
                <w:bCs/>
                <w:color w:val="auto"/>
                <w:sz w:val="24"/>
                <w:szCs w:val="24"/>
                <w:highlight w:val="none"/>
                <w:vertAlign w:val="baseline"/>
                <w:lang w:val="en-US" w:eastAsia="zh-CN"/>
              </w:rPr>
            </w:pPr>
            <w:r>
              <w:rPr>
                <w:rFonts w:hint="default" w:ascii="仿宋" w:hAnsi="仿宋" w:eastAsia="仿宋" w:cs="仿宋"/>
                <w:b/>
                <w:bCs/>
                <w:color w:val="auto"/>
                <w:sz w:val="24"/>
                <w:szCs w:val="24"/>
                <w:highlight w:val="none"/>
                <w:vertAlign w:val="baseline"/>
                <w:lang w:val="en-US" w:eastAsia="zh-CN"/>
              </w:rPr>
              <w:t>6</w:t>
            </w:r>
            <w:r>
              <w:rPr>
                <w:rFonts w:hint="eastAsia" w:ascii="仿宋" w:hAnsi="仿宋" w:eastAsia="仿宋" w:cs="仿宋"/>
                <w:b/>
                <w:bCs/>
                <w:color w:val="auto"/>
                <w:sz w:val="24"/>
                <w:szCs w:val="24"/>
                <w:highlight w:val="none"/>
                <w:vertAlign w:val="baseline"/>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乐清市</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2</w:t>
            </w:r>
          </w:p>
        </w:tc>
        <w:tc>
          <w:tcPr>
            <w:tcW w:w="1077"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6</w:t>
            </w:r>
            <w:r>
              <w:rPr>
                <w:rFonts w:hint="eastAsia" w:ascii="仿宋" w:hAnsi="仿宋" w:eastAsia="仿宋" w:cs="仿宋"/>
                <w:color w:val="auto"/>
                <w:sz w:val="24"/>
                <w:szCs w:val="24"/>
                <w:highlight w:val="none"/>
                <w:vertAlign w:val="baseline"/>
                <w:lang w:val="en-US" w:eastAsia="zh-CN"/>
              </w:rPr>
              <w:t>0000</w:t>
            </w:r>
          </w:p>
        </w:tc>
        <w:tc>
          <w:tcPr>
            <w:tcW w:w="2135" w:type="dxa"/>
            <w:noWrap w:val="0"/>
            <w:vAlign w:val="center"/>
          </w:tcPr>
          <w:p>
            <w:pPr>
              <w:jc w:val="center"/>
              <w:rPr>
                <w:rFonts w:hint="default" w:ascii="仿宋" w:hAnsi="仿宋" w:eastAsia="仿宋" w:cs="仿宋"/>
                <w:b/>
                <w:bCs/>
                <w:color w:val="auto"/>
                <w:sz w:val="24"/>
                <w:szCs w:val="24"/>
                <w:highlight w:val="none"/>
                <w:vertAlign w:val="baseline"/>
                <w:lang w:val="en-US" w:eastAsia="zh-CN"/>
              </w:rPr>
            </w:pPr>
            <w:r>
              <w:rPr>
                <w:rFonts w:hint="default" w:ascii="仿宋" w:hAnsi="仿宋" w:eastAsia="仿宋" w:cs="仿宋"/>
                <w:b/>
                <w:bCs/>
                <w:color w:val="auto"/>
                <w:sz w:val="24"/>
                <w:szCs w:val="24"/>
                <w:highlight w:val="none"/>
                <w:vertAlign w:val="baseline"/>
                <w:lang w:val="en-US" w:eastAsia="zh-CN"/>
              </w:rPr>
              <w:t>6</w:t>
            </w:r>
            <w:r>
              <w:rPr>
                <w:rFonts w:hint="eastAsia" w:ascii="仿宋" w:hAnsi="仿宋" w:eastAsia="仿宋" w:cs="仿宋"/>
                <w:b/>
                <w:bCs/>
                <w:color w:val="auto"/>
                <w:sz w:val="24"/>
                <w:szCs w:val="24"/>
                <w:highlight w:val="none"/>
                <w:vertAlign w:val="baseline"/>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泰顺县</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2</w:t>
            </w:r>
          </w:p>
        </w:tc>
        <w:tc>
          <w:tcPr>
            <w:tcW w:w="1077"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3</w:t>
            </w:r>
            <w:r>
              <w:rPr>
                <w:rFonts w:hint="eastAsia" w:ascii="仿宋" w:hAnsi="仿宋" w:eastAsia="仿宋" w:cs="仿宋"/>
                <w:color w:val="auto"/>
                <w:sz w:val="24"/>
                <w:szCs w:val="24"/>
                <w:highlight w:val="none"/>
                <w:vertAlign w:val="baseline"/>
                <w:lang w:val="en-US" w:eastAsia="zh-CN"/>
              </w:rPr>
              <w:t>0000</w:t>
            </w:r>
          </w:p>
        </w:tc>
        <w:tc>
          <w:tcPr>
            <w:tcW w:w="2135" w:type="dxa"/>
            <w:noWrap w:val="0"/>
            <w:vAlign w:val="center"/>
          </w:tcPr>
          <w:p>
            <w:pPr>
              <w:jc w:val="center"/>
              <w:rPr>
                <w:rFonts w:hint="default" w:ascii="仿宋" w:hAnsi="仿宋" w:eastAsia="仿宋" w:cs="仿宋"/>
                <w:b/>
                <w:bCs/>
                <w:color w:val="auto"/>
                <w:sz w:val="24"/>
                <w:szCs w:val="24"/>
                <w:highlight w:val="none"/>
                <w:vertAlign w:val="baseline"/>
                <w:lang w:val="en-US" w:eastAsia="zh-CN"/>
              </w:rPr>
            </w:pPr>
            <w:r>
              <w:rPr>
                <w:rFonts w:hint="default" w:ascii="仿宋" w:hAnsi="仿宋" w:eastAsia="仿宋" w:cs="仿宋"/>
                <w:b/>
                <w:bCs/>
                <w:color w:val="auto"/>
                <w:sz w:val="24"/>
                <w:szCs w:val="24"/>
                <w:highlight w:val="none"/>
                <w:vertAlign w:val="baseline"/>
                <w:lang w:val="en-US" w:eastAsia="zh-CN"/>
              </w:rPr>
              <w:t>2</w:t>
            </w:r>
            <w:r>
              <w:rPr>
                <w:rFonts w:hint="eastAsia" w:ascii="仿宋" w:hAnsi="仿宋" w:eastAsia="仿宋" w:cs="仿宋"/>
                <w:b/>
                <w:bCs/>
                <w:color w:val="auto"/>
                <w:sz w:val="24"/>
                <w:szCs w:val="24"/>
                <w:highlight w:val="none"/>
                <w:vertAlign w:val="baseline"/>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鹿城区</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2</w:t>
            </w:r>
          </w:p>
        </w:tc>
        <w:tc>
          <w:tcPr>
            <w:tcW w:w="1077"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3</w:t>
            </w:r>
            <w:r>
              <w:rPr>
                <w:rFonts w:hint="eastAsia" w:ascii="仿宋" w:hAnsi="仿宋" w:eastAsia="仿宋" w:cs="仿宋"/>
                <w:color w:val="auto"/>
                <w:sz w:val="24"/>
                <w:szCs w:val="24"/>
                <w:highlight w:val="none"/>
                <w:vertAlign w:val="baseline"/>
                <w:lang w:val="en-US" w:eastAsia="zh-CN"/>
              </w:rPr>
              <w:t>0000</w:t>
            </w:r>
          </w:p>
        </w:tc>
        <w:tc>
          <w:tcPr>
            <w:tcW w:w="2135" w:type="dxa"/>
            <w:noWrap w:val="0"/>
            <w:vAlign w:val="center"/>
          </w:tcPr>
          <w:p>
            <w:pPr>
              <w:jc w:val="center"/>
              <w:rPr>
                <w:rFonts w:hint="default" w:ascii="仿宋" w:hAnsi="仿宋" w:eastAsia="仿宋" w:cs="仿宋"/>
                <w:b/>
                <w:bCs/>
                <w:color w:val="auto"/>
                <w:sz w:val="24"/>
                <w:szCs w:val="24"/>
                <w:highlight w:val="none"/>
                <w:vertAlign w:val="baseline"/>
                <w:lang w:val="en-US" w:eastAsia="zh-CN"/>
              </w:rPr>
            </w:pPr>
            <w:r>
              <w:rPr>
                <w:rFonts w:hint="default" w:ascii="仿宋" w:hAnsi="仿宋" w:eastAsia="仿宋" w:cs="仿宋"/>
                <w:b/>
                <w:bCs/>
                <w:color w:val="auto"/>
                <w:sz w:val="24"/>
                <w:szCs w:val="24"/>
                <w:highlight w:val="none"/>
                <w:vertAlign w:val="baseline"/>
                <w:lang w:val="en-US" w:eastAsia="zh-CN"/>
              </w:rPr>
              <w:t>2</w:t>
            </w:r>
            <w:r>
              <w:rPr>
                <w:rFonts w:hint="eastAsia" w:ascii="仿宋" w:hAnsi="仿宋" w:eastAsia="仿宋" w:cs="仿宋"/>
                <w:b/>
                <w:bCs/>
                <w:color w:val="auto"/>
                <w:sz w:val="24"/>
                <w:szCs w:val="24"/>
                <w:highlight w:val="none"/>
                <w:vertAlign w:val="baseline"/>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乐清市</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39</w:t>
            </w:r>
          </w:p>
        </w:tc>
        <w:tc>
          <w:tcPr>
            <w:tcW w:w="1077"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2</w:t>
            </w:r>
            <w:r>
              <w:rPr>
                <w:rFonts w:hint="eastAsia" w:ascii="仿宋" w:hAnsi="仿宋" w:eastAsia="仿宋" w:cs="仿宋"/>
                <w:color w:val="auto"/>
                <w:sz w:val="24"/>
                <w:szCs w:val="24"/>
                <w:highlight w:val="none"/>
                <w:vertAlign w:val="baseline"/>
                <w:lang w:val="en-US" w:eastAsia="zh-CN"/>
              </w:rPr>
              <w:t>0000</w:t>
            </w:r>
          </w:p>
        </w:tc>
        <w:tc>
          <w:tcPr>
            <w:tcW w:w="2135" w:type="dxa"/>
            <w:noWrap w:val="0"/>
            <w:vAlign w:val="center"/>
          </w:tcPr>
          <w:p>
            <w:pPr>
              <w:jc w:val="center"/>
              <w:rPr>
                <w:rFonts w:hint="default" w:ascii="仿宋" w:hAnsi="仿宋" w:eastAsia="仿宋" w:cs="仿宋"/>
                <w:b/>
                <w:bCs/>
                <w:color w:val="auto"/>
                <w:sz w:val="24"/>
                <w:szCs w:val="24"/>
                <w:highlight w:val="none"/>
                <w:vertAlign w:val="baseline"/>
                <w:lang w:val="en-US" w:eastAsia="zh-CN"/>
              </w:rPr>
            </w:pPr>
            <w:r>
              <w:rPr>
                <w:rFonts w:hint="default" w:ascii="仿宋" w:hAnsi="仿宋" w:eastAsia="仿宋" w:cs="仿宋"/>
                <w:b/>
                <w:bCs/>
                <w:color w:val="auto"/>
                <w:sz w:val="24"/>
                <w:szCs w:val="24"/>
                <w:highlight w:val="none"/>
                <w:vertAlign w:val="baseline"/>
                <w:lang w:val="en-US" w:eastAsia="zh-CN"/>
              </w:rPr>
              <w:t>2</w:t>
            </w:r>
            <w:r>
              <w:rPr>
                <w:rFonts w:hint="eastAsia" w:ascii="仿宋" w:hAnsi="仿宋" w:eastAsia="仿宋" w:cs="仿宋"/>
                <w:b/>
                <w:bCs/>
                <w:color w:val="auto"/>
                <w:sz w:val="24"/>
                <w:szCs w:val="24"/>
                <w:highlight w:val="none"/>
                <w:vertAlign w:val="baseline"/>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鹿城区</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5</w:t>
            </w:r>
          </w:p>
        </w:tc>
        <w:tc>
          <w:tcPr>
            <w:tcW w:w="1077"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1</w:t>
            </w:r>
            <w:r>
              <w:rPr>
                <w:rFonts w:hint="eastAsia" w:ascii="仿宋" w:hAnsi="仿宋" w:eastAsia="仿宋" w:cs="仿宋"/>
                <w:color w:val="auto"/>
                <w:sz w:val="24"/>
                <w:szCs w:val="24"/>
                <w:highlight w:val="none"/>
                <w:vertAlign w:val="baseline"/>
                <w:lang w:val="en-US" w:eastAsia="zh-CN"/>
              </w:rPr>
              <w:t>0000</w:t>
            </w:r>
          </w:p>
        </w:tc>
        <w:tc>
          <w:tcPr>
            <w:tcW w:w="2135" w:type="dxa"/>
            <w:noWrap w:val="0"/>
            <w:vAlign w:val="center"/>
          </w:tcPr>
          <w:p>
            <w:p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瑞安市</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5</w:t>
            </w:r>
          </w:p>
        </w:tc>
        <w:tc>
          <w:tcPr>
            <w:tcW w:w="1077"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5000</w:t>
            </w:r>
          </w:p>
        </w:tc>
        <w:tc>
          <w:tcPr>
            <w:tcW w:w="2135" w:type="dxa"/>
            <w:noWrap w:val="0"/>
            <w:vAlign w:val="center"/>
          </w:tcPr>
          <w:p>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泰顺县</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w:t>
            </w:r>
          </w:p>
        </w:tc>
        <w:tc>
          <w:tcPr>
            <w:tcW w:w="1077"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5000</w:t>
            </w:r>
          </w:p>
        </w:tc>
        <w:tc>
          <w:tcPr>
            <w:tcW w:w="2135" w:type="dxa"/>
            <w:noWrap w:val="0"/>
            <w:vAlign w:val="center"/>
          </w:tcPr>
          <w:p>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平阳县</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16</w:t>
            </w:r>
          </w:p>
        </w:tc>
        <w:tc>
          <w:tcPr>
            <w:tcW w:w="1077"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5000</w:t>
            </w:r>
          </w:p>
        </w:tc>
        <w:tc>
          <w:tcPr>
            <w:tcW w:w="2135" w:type="dxa"/>
            <w:noWrap w:val="0"/>
            <w:vAlign w:val="center"/>
          </w:tcPr>
          <w:p>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乐清市</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84</w:t>
            </w:r>
          </w:p>
        </w:tc>
        <w:tc>
          <w:tcPr>
            <w:tcW w:w="1077"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5000</w:t>
            </w:r>
          </w:p>
        </w:tc>
        <w:tc>
          <w:tcPr>
            <w:tcW w:w="2135" w:type="dxa"/>
            <w:noWrap w:val="0"/>
            <w:vAlign w:val="center"/>
          </w:tcPr>
          <w:p>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restart"/>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w:t>
            </w:r>
          </w:p>
        </w:tc>
        <w:tc>
          <w:tcPr>
            <w:tcW w:w="1200" w:type="dxa"/>
            <w:vMerge w:val="restart"/>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应急电源</w:t>
            </w: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文成县</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w:t>
            </w:r>
          </w:p>
        </w:tc>
        <w:tc>
          <w:tcPr>
            <w:tcW w:w="1077"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5000</w:t>
            </w:r>
          </w:p>
        </w:tc>
        <w:tc>
          <w:tcPr>
            <w:tcW w:w="2135" w:type="dxa"/>
            <w:noWrap w:val="0"/>
            <w:vAlign w:val="center"/>
          </w:tcPr>
          <w:p>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瑞安市</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45</w:t>
            </w:r>
          </w:p>
        </w:tc>
        <w:tc>
          <w:tcPr>
            <w:tcW w:w="1077"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5000</w:t>
            </w:r>
          </w:p>
        </w:tc>
        <w:tc>
          <w:tcPr>
            <w:tcW w:w="2135" w:type="dxa"/>
            <w:noWrap w:val="0"/>
            <w:vAlign w:val="center"/>
          </w:tcPr>
          <w:p>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龙港市</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8</w:t>
            </w:r>
          </w:p>
        </w:tc>
        <w:tc>
          <w:tcPr>
            <w:tcW w:w="1077"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5000</w:t>
            </w:r>
          </w:p>
        </w:tc>
        <w:tc>
          <w:tcPr>
            <w:tcW w:w="2135" w:type="dxa"/>
            <w:noWrap w:val="0"/>
            <w:vAlign w:val="center"/>
          </w:tcPr>
          <w:p>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平阳县</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w:t>
            </w:r>
          </w:p>
        </w:tc>
        <w:tc>
          <w:tcPr>
            <w:tcW w:w="1077"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5000</w:t>
            </w:r>
          </w:p>
        </w:tc>
        <w:tc>
          <w:tcPr>
            <w:tcW w:w="2135" w:type="dxa"/>
            <w:noWrap w:val="0"/>
            <w:vAlign w:val="center"/>
          </w:tcPr>
          <w:p>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苍南县</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43</w:t>
            </w:r>
          </w:p>
        </w:tc>
        <w:tc>
          <w:tcPr>
            <w:tcW w:w="1077"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5000</w:t>
            </w:r>
          </w:p>
        </w:tc>
        <w:tc>
          <w:tcPr>
            <w:tcW w:w="2135" w:type="dxa"/>
            <w:noWrap w:val="0"/>
            <w:vAlign w:val="center"/>
          </w:tcPr>
          <w:p>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泰顺县</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43</w:t>
            </w:r>
          </w:p>
        </w:tc>
        <w:tc>
          <w:tcPr>
            <w:tcW w:w="1077"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5000</w:t>
            </w:r>
          </w:p>
        </w:tc>
        <w:tc>
          <w:tcPr>
            <w:tcW w:w="2135" w:type="dxa"/>
            <w:noWrap w:val="0"/>
            <w:vAlign w:val="center"/>
          </w:tcPr>
          <w:p>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洞头区</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28</w:t>
            </w:r>
          </w:p>
        </w:tc>
        <w:tc>
          <w:tcPr>
            <w:tcW w:w="1077"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5000</w:t>
            </w:r>
          </w:p>
        </w:tc>
        <w:tc>
          <w:tcPr>
            <w:tcW w:w="2135" w:type="dxa"/>
            <w:noWrap w:val="0"/>
            <w:vAlign w:val="center"/>
          </w:tcPr>
          <w:p>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永嘉县</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45</w:t>
            </w:r>
          </w:p>
        </w:tc>
        <w:tc>
          <w:tcPr>
            <w:tcW w:w="1077"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5000</w:t>
            </w:r>
          </w:p>
        </w:tc>
        <w:tc>
          <w:tcPr>
            <w:tcW w:w="2135" w:type="dxa"/>
            <w:noWrap w:val="0"/>
            <w:vAlign w:val="center"/>
          </w:tcPr>
          <w:p>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乐清市</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29</w:t>
            </w:r>
          </w:p>
        </w:tc>
        <w:tc>
          <w:tcPr>
            <w:tcW w:w="1077"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5000</w:t>
            </w:r>
          </w:p>
        </w:tc>
        <w:tc>
          <w:tcPr>
            <w:tcW w:w="2135" w:type="dxa"/>
            <w:noWrap w:val="0"/>
            <w:vAlign w:val="center"/>
          </w:tcPr>
          <w:p>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鹿城区</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19</w:t>
            </w:r>
          </w:p>
        </w:tc>
        <w:tc>
          <w:tcPr>
            <w:tcW w:w="1077"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1200</w:t>
            </w:r>
          </w:p>
        </w:tc>
        <w:tc>
          <w:tcPr>
            <w:tcW w:w="2135" w:type="dxa"/>
            <w:noWrap w:val="0"/>
            <w:vAlign w:val="center"/>
          </w:tcPr>
          <w:p>
            <w:p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restart"/>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w:t>
            </w:r>
          </w:p>
        </w:tc>
        <w:tc>
          <w:tcPr>
            <w:tcW w:w="1200" w:type="dxa"/>
            <w:vMerge w:val="restart"/>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防水头灯</w:t>
            </w: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文成县</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30</w:t>
            </w:r>
          </w:p>
        </w:tc>
        <w:tc>
          <w:tcPr>
            <w:tcW w:w="1077"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1000</w:t>
            </w:r>
          </w:p>
        </w:tc>
        <w:tc>
          <w:tcPr>
            <w:tcW w:w="2135" w:type="dxa"/>
            <w:noWrap w:val="0"/>
            <w:vAlign w:val="center"/>
          </w:tcPr>
          <w:p>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瑞安市</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235</w:t>
            </w:r>
          </w:p>
        </w:tc>
        <w:tc>
          <w:tcPr>
            <w:tcW w:w="1077"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1000</w:t>
            </w:r>
          </w:p>
        </w:tc>
        <w:tc>
          <w:tcPr>
            <w:tcW w:w="2135" w:type="dxa"/>
            <w:noWrap w:val="0"/>
            <w:vAlign w:val="center"/>
          </w:tcPr>
          <w:p>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平阳县</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50</w:t>
            </w:r>
          </w:p>
        </w:tc>
        <w:tc>
          <w:tcPr>
            <w:tcW w:w="1077"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1000</w:t>
            </w:r>
          </w:p>
        </w:tc>
        <w:tc>
          <w:tcPr>
            <w:tcW w:w="2135" w:type="dxa"/>
            <w:noWrap w:val="0"/>
            <w:vAlign w:val="center"/>
          </w:tcPr>
          <w:p>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鹿城区</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w:t>
            </w:r>
          </w:p>
        </w:tc>
        <w:tc>
          <w:tcPr>
            <w:tcW w:w="1077"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1000</w:t>
            </w:r>
          </w:p>
        </w:tc>
        <w:tc>
          <w:tcPr>
            <w:tcW w:w="2135" w:type="dxa"/>
            <w:noWrap w:val="0"/>
            <w:vAlign w:val="center"/>
          </w:tcPr>
          <w:p>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泰顺县</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30</w:t>
            </w:r>
          </w:p>
        </w:tc>
        <w:tc>
          <w:tcPr>
            <w:tcW w:w="1077"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1000</w:t>
            </w:r>
          </w:p>
        </w:tc>
        <w:tc>
          <w:tcPr>
            <w:tcW w:w="2135" w:type="dxa"/>
            <w:noWrap w:val="0"/>
            <w:vAlign w:val="center"/>
          </w:tcPr>
          <w:p>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洞头区</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70</w:t>
            </w:r>
          </w:p>
        </w:tc>
        <w:tc>
          <w:tcPr>
            <w:tcW w:w="1077"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1000</w:t>
            </w:r>
          </w:p>
        </w:tc>
        <w:tc>
          <w:tcPr>
            <w:tcW w:w="2135" w:type="dxa"/>
            <w:noWrap w:val="0"/>
            <w:vAlign w:val="center"/>
          </w:tcPr>
          <w:p>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永嘉县</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42</w:t>
            </w:r>
          </w:p>
        </w:tc>
        <w:tc>
          <w:tcPr>
            <w:tcW w:w="1077"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1000</w:t>
            </w:r>
          </w:p>
        </w:tc>
        <w:tc>
          <w:tcPr>
            <w:tcW w:w="2135" w:type="dxa"/>
            <w:noWrap w:val="0"/>
            <w:vAlign w:val="center"/>
          </w:tcPr>
          <w:p>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乐清市</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280</w:t>
            </w:r>
          </w:p>
        </w:tc>
        <w:tc>
          <w:tcPr>
            <w:tcW w:w="1077"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1000</w:t>
            </w:r>
          </w:p>
        </w:tc>
        <w:tc>
          <w:tcPr>
            <w:tcW w:w="2135" w:type="dxa"/>
            <w:noWrap w:val="0"/>
            <w:vAlign w:val="center"/>
          </w:tcPr>
          <w:p>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restart"/>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w:t>
            </w:r>
          </w:p>
        </w:tc>
        <w:tc>
          <w:tcPr>
            <w:tcW w:w="1200" w:type="dxa"/>
            <w:vMerge w:val="restart"/>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便携式防水防爆应急强光灯</w:t>
            </w: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文成县</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17</w:t>
            </w:r>
          </w:p>
        </w:tc>
        <w:tc>
          <w:tcPr>
            <w:tcW w:w="1077"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20000</w:t>
            </w:r>
          </w:p>
        </w:tc>
        <w:tc>
          <w:tcPr>
            <w:tcW w:w="2135" w:type="dxa"/>
            <w:noWrap w:val="0"/>
            <w:vAlign w:val="center"/>
          </w:tcPr>
          <w:p>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瑞安市</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1077"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20000</w:t>
            </w:r>
          </w:p>
        </w:tc>
        <w:tc>
          <w:tcPr>
            <w:tcW w:w="2135" w:type="dxa"/>
            <w:noWrap w:val="0"/>
            <w:vAlign w:val="center"/>
          </w:tcPr>
          <w:p>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平阳县</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w:t>
            </w:r>
          </w:p>
        </w:tc>
        <w:tc>
          <w:tcPr>
            <w:tcW w:w="1077"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20000</w:t>
            </w:r>
          </w:p>
        </w:tc>
        <w:tc>
          <w:tcPr>
            <w:tcW w:w="2135" w:type="dxa"/>
            <w:noWrap w:val="0"/>
            <w:vAlign w:val="center"/>
          </w:tcPr>
          <w:p>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苍南县</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w:t>
            </w:r>
          </w:p>
        </w:tc>
        <w:tc>
          <w:tcPr>
            <w:tcW w:w="1077"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20000</w:t>
            </w:r>
          </w:p>
        </w:tc>
        <w:tc>
          <w:tcPr>
            <w:tcW w:w="2135" w:type="dxa"/>
            <w:noWrap w:val="0"/>
            <w:vAlign w:val="center"/>
          </w:tcPr>
          <w:p>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洞头区</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7</w:t>
            </w:r>
          </w:p>
        </w:tc>
        <w:tc>
          <w:tcPr>
            <w:tcW w:w="1077"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20000</w:t>
            </w:r>
          </w:p>
        </w:tc>
        <w:tc>
          <w:tcPr>
            <w:tcW w:w="2135" w:type="dxa"/>
            <w:noWrap w:val="0"/>
            <w:vAlign w:val="center"/>
          </w:tcPr>
          <w:p>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永嘉县</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w:t>
            </w:r>
          </w:p>
        </w:tc>
        <w:tc>
          <w:tcPr>
            <w:tcW w:w="1077"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20000</w:t>
            </w:r>
          </w:p>
        </w:tc>
        <w:tc>
          <w:tcPr>
            <w:tcW w:w="2135" w:type="dxa"/>
            <w:noWrap w:val="0"/>
            <w:vAlign w:val="center"/>
          </w:tcPr>
          <w:p>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乐清市</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79</w:t>
            </w:r>
          </w:p>
        </w:tc>
        <w:tc>
          <w:tcPr>
            <w:tcW w:w="1077"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20000</w:t>
            </w:r>
          </w:p>
        </w:tc>
        <w:tc>
          <w:tcPr>
            <w:tcW w:w="2135" w:type="dxa"/>
            <w:noWrap w:val="0"/>
            <w:vAlign w:val="center"/>
          </w:tcPr>
          <w:p>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永嘉</w:t>
            </w:r>
            <w:r>
              <w:rPr>
                <w:rFonts w:hint="eastAsia" w:ascii="仿宋" w:hAnsi="仿宋" w:eastAsia="仿宋" w:cs="仿宋"/>
                <w:color w:val="auto"/>
                <w:sz w:val="24"/>
                <w:szCs w:val="24"/>
                <w:highlight w:val="none"/>
                <w:vertAlign w:val="baseline"/>
                <w:lang w:eastAsia="zh-CN"/>
              </w:rPr>
              <w:t>县</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1077"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15000</w:t>
            </w:r>
          </w:p>
        </w:tc>
        <w:tc>
          <w:tcPr>
            <w:tcW w:w="2135" w:type="dxa"/>
            <w:noWrap w:val="0"/>
            <w:vAlign w:val="center"/>
          </w:tcPr>
          <w:p>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vMerge w:val="continue"/>
            <w:noWrap w:val="0"/>
            <w:vAlign w:val="center"/>
          </w:tcPr>
          <w:p>
            <w:pPr>
              <w:jc w:val="center"/>
              <w:rPr>
                <w:rFonts w:hint="default" w:ascii="仿宋" w:hAnsi="仿宋" w:eastAsia="仿宋" w:cs="仿宋"/>
                <w:color w:val="auto"/>
                <w:sz w:val="24"/>
                <w:szCs w:val="24"/>
                <w:highlight w:val="none"/>
                <w:vertAlign w:val="baseline"/>
                <w:lang w:val="en-US" w:eastAsia="zh-CN"/>
              </w:rPr>
            </w:pPr>
          </w:p>
        </w:tc>
        <w:tc>
          <w:tcPr>
            <w:tcW w:w="1200" w:type="dxa"/>
            <w:vMerge w:val="continue"/>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200"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鹿城区</w:t>
            </w:r>
          </w:p>
        </w:tc>
        <w:tc>
          <w:tcPr>
            <w:tcW w:w="695"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20</w:t>
            </w:r>
          </w:p>
        </w:tc>
        <w:tc>
          <w:tcPr>
            <w:tcW w:w="1077" w:type="dxa"/>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台/套</w:t>
            </w:r>
          </w:p>
        </w:tc>
        <w:tc>
          <w:tcPr>
            <w:tcW w:w="1952" w:type="dxa"/>
            <w:noWrap w:val="0"/>
            <w:vAlign w:val="center"/>
          </w:tcPr>
          <w:p>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1000</w:t>
            </w:r>
          </w:p>
        </w:tc>
        <w:tc>
          <w:tcPr>
            <w:tcW w:w="2135" w:type="dxa"/>
            <w:noWrap w:val="0"/>
            <w:vAlign w:val="center"/>
          </w:tcPr>
          <w:p>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907" w:type="dxa"/>
            <w:gridSpan w:val="7"/>
            <w:noWrap w:val="0"/>
            <w:vAlign w:val="center"/>
          </w:tcPr>
          <w:p>
            <w:pPr>
              <w:adjustRightInd w:val="0"/>
              <w:snapToGrid w:val="0"/>
              <w:spacing w:line="360" w:lineRule="auto"/>
              <w:jc w:val="both"/>
              <w:rPr>
                <w:rFonts w:hint="eastAsia" w:ascii="宋体" w:hAnsi="宋体" w:cs="宋体"/>
                <w:b/>
                <w:bCs/>
                <w:sz w:val="22"/>
                <w:szCs w:val="22"/>
                <w:u w:val="single"/>
              </w:rPr>
            </w:pPr>
            <w:r>
              <w:rPr>
                <w:rFonts w:hint="eastAsia" w:ascii="宋体" w:hAnsi="宋体" w:cs="仿宋"/>
                <w:b/>
                <w:bCs/>
                <w:sz w:val="22"/>
                <w:szCs w:val="22"/>
              </w:rPr>
              <w:t>备注：</w:t>
            </w:r>
            <w:r>
              <w:rPr>
                <w:rFonts w:hint="eastAsia" w:ascii="宋体" w:hAnsi="宋体" w:cs="仿宋"/>
                <w:sz w:val="22"/>
                <w:szCs w:val="22"/>
                <w:u w:val="single"/>
              </w:rPr>
              <w:t>▲</w:t>
            </w:r>
            <w:r>
              <w:rPr>
                <w:rFonts w:hint="eastAsia" w:ascii="宋体" w:hAnsi="宋体" w:cs="宋体"/>
                <w:b/>
                <w:bCs/>
                <w:sz w:val="22"/>
                <w:szCs w:val="22"/>
                <w:u w:val="single"/>
              </w:rPr>
              <w:t>投标供应商的投标报价超过采购预算</w:t>
            </w:r>
            <w:r>
              <w:rPr>
                <w:rFonts w:hint="eastAsia" w:ascii="宋体" w:hAnsi="宋体" w:cs="宋体"/>
                <w:b/>
                <w:bCs/>
                <w:sz w:val="22"/>
                <w:szCs w:val="22"/>
                <w:u w:val="single"/>
                <w:lang w:eastAsia="zh-CN"/>
              </w:rPr>
              <w:t>（预算单价）</w:t>
            </w:r>
            <w:r>
              <w:rPr>
                <w:rFonts w:hint="eastAsia" w:ascii="宋体" w:hAnsi="宋体" w:cs="宋体"/>
                <w:b/>
                <w:bCs/>
                <w:sz w:val="22"/>
                <w:szCs w:val="22"/>
                <w:u w:val="single"/>
              </w:rPr>
              <w:t>及各产品最高限价</w:t>
            </w:r>
            <w:r>
              <w:rPr>
                <w:rFonts w:hint="eastAsia" w:ascii="宋体" w:hAnsi="宋体" w:cs="宋体"/>
                <w:b/>
                <w:bCs/>
                <w:sz w:val="22"/>
                <w:szCs w:val="22"/>
                <w:u w:val="single"/>
                <w:lang w:eastAsia="zh-CN"/>
              </w:rPr>
              <w:t>（最高单价限价）</w:t>
            </w:r>
            <w:r>
              <w:rPr>
                <w:rFonts w:hint="eastAsia" w:ascii="宋体" w:hAnsi="宋体" w:cs="宋体"/>
                <w:b/>
                <w:bCs/>
                <w:sz w:val="22"/>
                <w:szCs w:val="22"/>
                <w:u w:val="single"/>
              </w:rPr>
              <w:t>的，按无效标处理。</w:t>
            </w:r>
          </w:p>
          <w:p>
            <w:pPr>
              <w:jc w:val="both"/>
              <w:rPr>
                <w:rFonts w:hint="eastAsia" w:ascii="仿宋" w:hAnsi="仿宋" w:eastAsia="仿宋" w:cs="仿宋"/>
                <w:b/>
                <w:bCs/>
                <w:color w:val="auto"/>
                <w:sz w:val="24"/>
                <w:szCs w:val="24"/>
                <w:highlight w:val="none"/>
                <w:vertAlign w:val="baseline"/>
                <w:lang w:val="en-US" w:eastAsia="zh-CN"/>
              </w:rPr>
            </w:pPr>
            <w:r>
              <w:rPr>
                <w:rFonts w:hint="eastAsia" w:ascii="宋体" w:hAnsi="宋体" w:cs="宋体"/>
                <w:b/>
                <w:bCs/>
                <w:sz w:val="22"/>
                <w:szCs w:val="22"/>
                <w:u w:val="single"/>
              </w:rPr>
              <w:t>本项目核心产品：</w:t>
            </w:r>
            <w:r>
              <w:rPr>
                <w:rFonts w:hint="eastAsia" w:ascii="宋体" w:hAnsi="宋体" w:cs="宋体"/>
                <w:b/>
                <w:bCs/>
                <w:sz w:val="22"/>
                <w:szCs w:val="22"/>
                <w:u w:val="single"/>
                <w:lang w:eastAsia="zh-CN"/>
              </w:rPr>
              <w:t>应急照明系统</w:t>
            </w:r>
            <w:r>
              <w:rPr>
                <w:rFonts w:hint="eastAsia" w:ascii="宋体" w:hAnsi="宋体" w:cs="宋体"/>
                <w:b/>
                <w:bCs/>
                <w:sz w:val="22"/>
                <w:szCs w:val="22"/>
                <w:u w:val="single"/>
              </w:rPr>
              <w:t>。</w:t>
            </w:r>
          </w:p>
        </w:tc>
      </w:tr>
    </w:tbl>
    <w:p>
      <w:pPr>
        <w:numPr>
          <w:ilvl w:val="0"/>
          <w:numId w:val="0"/>
        </w:numPr>
        <w:rPr>
          <w:rFonts w:hint="eastAsia" w:ascii="仿宋" w:hAnsi="仿宋" w:eastAsia="仿宋" w:cs="仿宋"/>
          <w:b/>
          <w:bCs/>
          <w:color w:val="auto"/>
          <w:kern w:val="0"/>
          <w:sz w:val="24"/>
          <w:szCs w:val="24"/>
          <w:highlight w:val="none"/>
          <w:lang w:eastAsia="zh-CN" w:bidi="ar"/>
        </w:rPr>
      </w:pPr>
    </w:p>
    <w:p>
      <w:pPr>
        <w:ind w:firstLine="241" w:firstLineChars="100"/>
        <w:rPr>
          <w:rFonts w:hint="eastAsia" w:ascii="仿宋" w:hAnsi="仿宋" w:eastAsia="仿宋" w:cs="仿宋"/>
          <w:b/>
          <w:bCs/>
          <w:color w:val="auto"/>
          <w:kern w:val="0"/>
          <w:sz w:val="24"/>
          <w:szCs w:val="24"/>
          <w:highlight w:val="none"/>
          <w:lang w:eastAsia="zh-CN" w:bidi="ar"/>
        </w:rPr>
      </w:pPr>
      <w:r>
        <w:rPr>
          <w:rFonts w:hint="eastAsia" w:ascii="仿宋" w:hAnsi="仿宋" w:eastAsia="仿宋" w:cs="仿宋"/>
          <w:b/>
          <w:bCs/>
          <w:color w:val="auto"/>
          <w:kern w:val="0"/>
          <w:sz w:val="24"/>
          <w:szCs w:val="24"/>
          <w:highlight w:val="none"/>
          <w:lang w:eastAsia="zh-CN" w:bidi="ar"/>
        </w:rPr>
        <w:t>二、招标技术要求</w:t>
      </w:r>
    </w:p>
    <w:tbl>
      <w:tblPr>
        <w:tblStyle w:val="57"/>
        <w:tblW w:w="9477" w:type="dxa"/>
        <w:tblInd w:w="-227"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7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77" w:type="dxa"/>
            <w:noWrap w:val="0"/>
            <w:vAlign w:val="center"/>
          </w:tcPr>
          <w:p>
            <w:pPr>
              <w:jc w:val="both"/>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1、移动照明平台参数配置要求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77" w:type="dxa"/>
            <w:noWrap w:val="0"/>
            <w:vAlign w:val="center"/>
          </w:tcPr>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1）移动照明平台（单价限价80000元）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77" w:type="dxa"/>
            <w:noWrap w:val="0"/>
            <w:vAlign w:val="center"/>
          </w:tcPr>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1、光源类型：LED</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照明功率：≥1800W</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光通量：≥198000lm</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4、色温：6000K±200K</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5、显色指数：Ra≥85</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6、</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灯光覆盖半径：≥100m</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7、</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10米处中心照度：≥350lx</w:t>
            </w:r>
          </w:p>
          <w:p>
            <w:pPr>
              <w:jc w:val="both"/>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8、</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最大升起高度：≥7m任意高度可停</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9、照明灯组旋转角度：水平旋转0-360°/仰俯旋转0-180°</w:t>
            </w:r>
          </w:p>
          <w:p>
            <w:pPr>
              <w:jc w:val="both"/>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10、遥控操作距离：≥50m</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11、</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抗风等级：≥6级</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12、</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防护等级：≥IP65</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13、7m处工作噪声：≤80dB</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14、供电方式：发电机供电和市电供电</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15、发电机类型：风冷四冲程汽油发电机</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16、启动方式：手启动和电启动</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17、</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发电机输出功率：≥5kw</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18、</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油箱容量：≥25L</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19、</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连续照明工作时间：≥13h</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20、方位警示灯：红蓝</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21、灯塔配置可视操作面板，四周均匀分布四个电动支腿，可一键展开、收纳，满足设备装载运输。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77" w:type="dxa"/>
            <w:noWrap w:val="0"/>
            <w:vAlign w:val="center"/>
          </w:tcPr>
          <w:p>
            <w:pPr>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2、应急照明系统参数配置要求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77" w:type="dxa"/>
            <w:noWrap w:val="0"/>
            <w:vAlign w:val="center"/>
          </w:tcPr>
          <w:p>
            <w:pPr>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1）应急照明系统（单价限价80000元）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77" w:type="dxa"/>
            <w:noWrap w:val="0"/>
            <w:vAlign w:val="center"/>
          </w:tcPr>
          <w:p>
            <w:pPr>
              <w:jc w:val="both"/>
              <w:rPr>
                <w:rFonts w:hint="eastAsia" w:ascii="仿宋" w:hAnsi="仿宋" w:eastAsia="仿宋" w:cs="仿宋"/>
                <w:b w:val="0"/>
                <w:bCs w:val="0"/>
                <w:color w:val="auto"/>
                <w:sz w:val="24"/>
                <w:szCs w:val="24"/>
                <w:highlight w:val="none"/>
                <w:vertAlign w:val="baseline"/>
                <w:lang w:val="en-US" w:eastAsia="zh-CN"/>
              </w:rPr>
            </w:pPr>
            <w:bookmarkStart w:id="55" w:name="_Hlk167222330"/>
            <w:r>
              <w:rPr>
                <w:rFonts w:hint="eastAsia" w:ascii="仿宋" w:hAnsi="仿宋" w:eastAsia="仿宋" w:cs="仿宋"/>
                <w:b w:val="0"/>
                <w:bCs w:val="0"/>
                <w:color w:val="auto"/>
                <w:sz w:val="24"/>
                <w:szCs w:val="24"/>
                <w:highlight w:val="none"/>
                <w:vertAlign w:val="baseline"/>
                <w:lang w:val="en-US" w:eastAsia="zh-CN"/>
              </w:rPr>
              <w:t>1、光源类型：LED</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照明功率：≥1600W</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光通量：≥178000lm</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4、色温：6000K±200K</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5、显色指数：Ra≥85</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6、</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灯光覆盖半径：≥100m</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7、</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10米处中心照度：≥320lx</w:t>
            </w:r>
          </w:p>
          <w:p>
            <w:pPr>
              <w:jc w:val="both"/>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8、</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最大升起高度：≥8m液压系统任意高度可停</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9、照明灯组旋转角度：水平旋转0-270°/仰俯旋转0-120°</w:t>
            </w:r>
          </w:p>
          <w:p>
            <w:pPr>
              <w:jc w:val="both"/>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10、控制方式：智能控制面板</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11、</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抗风等级：≥6级</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12、</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防护等级：≥IP65</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13、7m处工作噪声：≤90dB</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14、供电方式：发电机供电/市电供电</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15、发电机类型：水冷柴油发电机</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16、启动方式：电启动</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17、</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发电机输出功率：≥7kw</w:t>
            </w:r>
          </w:p>
          <w:p>
            <w:pPr>
              <w:jc w:val="both"/>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18、对外输出：AC220V/50Hz-16A*2</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19、</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油箱容量：≥80L</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20、</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连续照明工作时间：≥48h</w:t>
            </w:r>
          </w:p>
          <w:p>
            <w:pPr>
              <w:jc w:val="both"/>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21、</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灯塔配置智能控制操作面板；具有AC220V/50Hz输出接口；配置齐全的托架、组合式球形栓，14寸轮胎可在高速公路时速80km/h拖行。</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77" w:type="dxa"/>
            <w:noWrap w:val="0"/>
            <w:vAlign w:val="center"/>
          </w:tcPr>
          <w:p>
            <w:pPr>
              <w:jc w:val="both"/>
              <w:rPr>
                <w:rFonts w:hint="eastAsia" w:ascii="仿宋" w:hAnsi="仿宋" w:eastAsia="仿宋" w:cs="仿宋"/>
                <w:b w:val="0"/>
                <w:bCs w:val="0"/>
                <w:color w:val="FF0000"/>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2）应急照明系统（单价限价60000元）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77" w:type="dxa"/>
            <w:noWrap w:val="0"/>
            <w:vAlign w:val="center"/>
          </w:tcPr>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1、光源类型：LED</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照明功率：≥1000W</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光通量：≥115000lm</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4、色温：6000K±200K</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5、显色指数：Ra≥85</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6、</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灯光覆盖半径：≥80m</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7、</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10米处中心照度：≥280lx</w:t>
            </w:r>
          </w:p>
          <w:p>
            <w:pPr>
              <w:jc w:val="both"/>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8、</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最大升起高度：≥7m任意高度可停</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9、照明灯组旋转角度：手动水平旋转0-360°/仰俯旋转0-180°</w:t>
            </w:r>
          </w:p>
          <w:p>
            <w:pPr>
              <w:jc w:val="both"/>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10、控制方式：按键控制</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11、</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抗风等级：≥6级</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12、</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防护等级：≥IP65</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13、7m处工作噪声：≤85dB</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14、供电方式：发电机供电/市电供电</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15、发电机类型：风冷柴油发电机</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16、启动方式：电启动</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17、</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发电机输出功率：≥5kw</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18、对外输出：AC220V/50Hz-16A</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19、</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油箱容量：≥100L</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20、</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连续照明工作时间：≥96h</w:t>
            </w:r>
          </w:p>
          <w:p>
            <w:pPr>
              <w:jc w:val="both"/>
              <w:rPr>
                <w:rFonts w:hint="eastAsia" w:ascii="仿宋" w:hAnsi="仿宋" w:eastAsia="仿宋" w:cs="仿宋"/>
                <w:b w:val="0"/>
                <w:bCs w:val="0"/>
                <w:color w:val="FF0000"/>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21、</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灯塔配置按键式控制操作面板；具有AC220V/50Hz输出接口；配置齐全的托架、组合式球形栓，13寸轮胎可在高速公路时速70km/h拖行。</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77" w:type="dxa"/>
            <w:noWrap w:val="0"/>
            <w:vAlign w:val="center"/>
          </w:tcPr>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3）应急照明系统（单价限价20000元）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77" w:type="dxa"/>
            <w:noWrap w:val="0"/>
            <w:vAlign w:val="center"/>
          </w:tcPr>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1、光源类型：LED</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照明功率：≥600W</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光通量：≥75000lm</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4、色温：6000K±200K</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5、显色指数：Ra≥85</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6、</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灯光覆盖半径：≥60m</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7、</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10米处中心照度：≥200lx</w:t>
            </w:r>
          </w:p>
          <w:p>
            <w:pPr>
              <w:numPr>
                <w:ilvl w:val="0"/>
                <w:numId w:val="4"/>
              </w:num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最大升起高度：≥5m任意高度可停</w:t>
            </w:r>
          </w:p>
          <w:p>
            <w:pPr>
              <w:numPr>
                <w:ilvl w:val="0"/>
                <w:numId w:val="4"/>
              </w:numPr>
              <w:jc w:val="both"/>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升降安全提醒方式：语音提示</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10、照明灯组角度：水平360°/仰俯180°</w:t>
            </w:r>
          </w:p>
          <w:p>
            <w:pPr>
              <w:jc w:val="both"/>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11、展开支撑脚：≥4只</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12、</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抗风等级：≥6级</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13、</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防护等级：≥IP65</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14、7米处声音强度：≥80dB</w:t>
            </w:r>
          </w:p>
          <w:p>
            <w:pPr>
              <w:numPr>
                <w:ilvl w:val="0"/>
                <w:numId w:val="5"/>
              </w:num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供电方式：内置电池+发电机供电+市电供电</w:t>
            </w:r>
          </w:p>
          <w:p>
            <w:pPr>
              <w:numPr>
                <w:ilvl w:val="0"/>
                <w:numId w:val="5"/>
              </w:num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电池照明时长：≥2h</w:t>
            </w:r>
          </w:p>
          <w:p>
            <w:pPr>
              <w:jc w:val="both"/>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17、</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亮度调节方式：无极调光</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18、LCD屏显示内容：电池电量、照明亮度、蓝牙连接状态</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19、有DC12V、5V/4A USB输出接口和TypeC输出接口为救援现场其它用电设备应急充电；</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20、</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可通过手机蓝牙和U盘连接播放音频。内置麦克风或无线外接麦克风实现录音回放及救援现场指挥喊话功能。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77" w:type="dxa"/>
            <w:noWrap w:val="0"/>
            <w:vAlign w:val="center"/>
          </w:tcPr>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4）应急照明系统（单价限价5000元）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77" w:type="dxa"/>
            <w:noWrap w:val="0"/>
            <w:vAlign w:val="center"/>
          </w:tcPr>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1、光源类型：LED</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照明功率：≥40W</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光通量：≥43000lm</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4、色温：6000K±200K</w:t>
            </w:r>
          </w:p>
          <w:p>
            <w:pPr>
              <w:jc w:val="both"/>
              <w:rPr>
                <w:rFonts w:hint="eastAsia" w:ascii="仿宋" w:hAnsi="仿宋" w:eastAsia="仿宋" w:cs="仿宋"/>
                <w:b w:val="0"/>
                <w:bCs w:val="0"/>
                <w:color w:val="000000"/>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5、显色指数：Ra≥85</w:t>
            </w:r>
          </w:p>
          <w:p>
            <w:pPr>
              <w:jc w:val="both"/>
              <w:rPr>
                <w:rFonts w:hint="eastAsia" w:ascii="仿宋" w:hAnsi="仿宋" w:eastAsia="仿宋" w:cs="仿宋"/>
                <w:b w:val="0"/>
                <w:bCs w:val="0"/>
                <w:color w:val="000000"/>
                <w:sz w:val="24"/>
                <w:szCs w:val="2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6、</w:t>
            </w:r>
            <w:r>
              <w:rPr>
                <w:rFonts w:hint="eastAsia" w:ascii="仿宋" w:hAnsi="仿宋" w:eastAsia="仿宋" w:cs="仿宋"/>
                <w:b/>
                <w:bCs/>
                <w:kern w:val="0"/>
                <w:sz w:val="24"/>
                <w:highlight w:val="none"/>
                <w:lang w:bidi="ar"/>
              </w:rPr>
              <w:t>★</w:t>
            </w:r>
            <w:r>
              <w:rPr>
                <w:rFonts w:hint="eastAsia" w:ascii="仿宋" w:hAnsi="仿宋" w:eastAsia="仿宋" w:cs="仿宋"/>
                <w:b w:val="0"/>
                <w:bCs w:val="0"/>
                <w:color w:val="000000"/>
                <w:sz w:val="24"/>
                <w:szCs w:val="24"/>
                <w:highlight w:val="none"/>
                <w:vertAlign w:val="baseline"/>
                <w:lang w:val="en-US" w:eastAsia="zh-CN"/>
              </w:rPr>
              <w:t>10米处中心照度：≥220lx</w:t>
            </w:r>
          </w:p>
          <w:p>
            <w:pPr>
              <w:jc w:val="both"/>
              <w:rPr>
                <w:rFonts w:hint="eastAsia" w:ascii="仿宋" w:hAnsi="仿宋" w:eastAsia="仿宋" w:cs="仿宋"/>
                <w:b w:val="0"/>
                <w:bCs w:val="0"/>
                <w:color w:val="000000"/>
                <w:sz w:val="24"/>
                <w:szCs w:val="2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7、</w:t>
            </w:r>
            <w:r>
              <w:rPr>
                <w:rFonts w:hint="eastAsia" w:ascii="仿宋" w:hAnsi="仿宋" w:eastAsia="仿宋" w:cs="仿宋"/>
                <w:b/>
                <w:bCs/>
                <w:kern w:val="0"/>
                <w:sz w:val="24"/>
                <w:highlight w:val="none"/>
                <w:lang w:bidi="ar"/>
              </w:rPr>
              <w:t>★</w:t>
            </w:r>
            <w:r>
              <w:rPr>
                <w:rFonts w:hint="eastAsia" w:ascii="仿宋" w:hAnsi="仿宋" w:eastAsia="仿宋" w:cs="仿宋"/>
                <w:b w:val="0"/>
                <w:bCs w:val="0"/>
                <w:color w:val="000000"/>
                <w:sz w:val="24"/>
                <w:szCs w:val="24"/>
                <w:highlight w:val="none"/>
                <w:vertAlign w:val="baseline"/>
                <w:lang w:val="en-US" w:eastAsia="zh-CN"/>
              </w:rPr>
              <w:t>额定电压：DC21.6V</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8、</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额定容量：≥13Ah</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9、充电时间：≤6h</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10、</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最强光照明时间：≥8h</w:t>
            </w:r>
          </w:p>
          <w:p>
            <w:pPr>
              <w:numPr>
                <w:ilvl w:val="0"/>
                <w:numId w:val="0"/>
              </w:num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11、</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最大升起高度：≥1.5m任意高度可停</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12、照明角度：水平360°/仰俯180°</w:t>
            </w:r>
          </w:p>
          <w:p>
            <w:pPr>
              <w:jc w:val="both"/>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13、</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抗风等级：≥6级</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14、</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防护等级：≥IP65</w:t>
            </w:r>
          </w:p>
          <w:p>
            <w:pPr>
              <w:numPr>
                <w:ilvl w:val="0"/>
                <w:numId w:val="0"/>
              </w:num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15、亮度调节方式：无极调光</w:t>
            </w:r>
          </w:p>
          <w:p>
            <w:pPr>
              <w:numPr>
                <w:ilvl w:val="0"/>
                <w:numId w:val="0"/>
              </w:num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16、携带方式：手提、肩挎</w:t>
            </w:r>
          </w:p>
          <w:p>
            <w:pPr>
              <w:numPr>
                <w:ilvl w:val="0"/>
                <w:numId w:val="5"/>
              </w:numPr>
              <w:ind w:left="0" w:leftChars="0" w:firstLine="0" w:firstLineChars="0"/>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具有LCD屏显示厂商logo、产品型号、电池电量、照明亮度、剩余照明时长、聚泛光状态；</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18、具备满足救援现场的远距离聚光照明、近距离泛光照明、聚泛光同时照明等，灯头反面设计红黄警示灯。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77" w:type="dxa"/>
            <w:noWrap w:val="0"/>
            <w:vAlign w:val="center"/>
          </w:tcPr>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3、应急电源参数配置要求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77" w:type="dxa"/>
            <w:noWrap w:val="0"/>
            <w:vAlign w:val="center"/>
          </w:tcPr>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1）应急电源（单价限价5000元）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77" w:type="dxa"/>
            <w:noWrap w:val="0"/>
            <w:vAlign w:val="center"/>
          </w:tcPr>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总电量：≥1000Wh</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输出功率：≥1kW</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3、电池类型：锂电池</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4、循环寿命：≥1500次</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5、防护等级：≥IP54</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6、</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外壳材料防火等级：V-0级</w:t>
            </w:r>
          </w:p>
          <w:p>
            <w:pPr>
              <w:jc w:val="both"/>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7、电量显示方式：数码显示屏</w:t>
            </w:r>
          </w:p>
          <w:p>
            <w:pPr>
              <w:jc w:val="both"/>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8、手机无线充电功能：50W</w:t>
            </w:r>
          </w:p>
          <w:p>
            <w:pPr>
              <w:jc w:val="both"/>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9、辅助照明灯：≥2组LED</w:t>
            </w:r>
          </w:p>
          <w:p>
            <w:pPr>
              <w:jc w:val="both"/>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10、</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充电方式：市电充电、车载电源充电，太阳能充电</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11、</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输出接口：AC220V交流/DC12V直流输出/DC12V车载点烟器输出/USB/Type-C</w:t>
            </w:r>
          </w:p>
          <w:p>
            <w:pPr>
              <w:jc w:val="both"/>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12、电源重量：≤12kg；</w:t>
            </w:r>
          </w:p>
          <w:p>
            <w:pPr>
              <w:jc w:val="both"/>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13、保护功能：过充、过放、短路、过载保护等</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14、具有手机无线充电功能，Type-C输出接口支持QC3.0协议及华为、小米等快充协议，USB输出端口最大支持100W超级快充协议；</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15、可为救援现场AC220V≤1000W用电设备供电，为手机等小型数码设备充电。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77" w:type="dxa"/>
            <w:noWrap w:val="0"/>
            <w:vAlign w:val="center"/>
          </w:tcPr>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2）应急电源（单价限价1200元）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77" w:type="dxa"/>
            <w:noWrap w:val="0"/>
            <w:vAlign w:val="center"/>
          </w:tcPr>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总电量：≥600Wh</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输出功率：≥0.6kW</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3、电池类型：锂电池</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4、循环寿命：≥1000次</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5、防护等级：≥IP54</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6、</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外壳材料防火等级：V-0级</w:t>
            </w:r>
          </w:p>
          <w:p>
            <w:pPr>
              <w:jc w:val="both"/>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7、电量显示方式：数码显示屏</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8、充电方式：市电充电</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9、</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输出接口：AC220V交流/DC12V直流输出/USB/Type-C</w:t>
            </w:r>
          </w:p>
          <w:p>
            <w:pPr>
              <w:jc w:val="both"/>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10、电源重量：≤10kg；</w:t>
            </w:r>
          </w:p>
          <w:p>
            <w:pPr>
              <w:jc w:val="both"/>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11、保护功能：过充、过放、短路、过载保护等</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12、可为救援现场AC220V≤500W用电设备供电，为手机等小型数码设备充电。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77" w:type="dxa"/>
            <w:noWrap w:val="0"/>
            <w:vAlign w:val="center"/>
          </w:tcPr>
          <w:p>
            <w:pPr>
              <w:jc w:val="both"/>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4、防水头灯参数配置要求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77" w:type="dxa"/>
            <w:noWrap w:val="0"/>
            <w:vAlign w:val="center"/>
          </w:tcPr>
          <w:p>
            <w:pPr>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防水头灯（单价限价1000元）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77" w:type="dxa"/>
            <w:noWrap w:val="0"/>
            <w:vAlign w:val="center"/>
          </w:tcPr>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1、光源类型：LED</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照明功率：≥3W</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光通量：≥380lm</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4、色温：6000K±200K</w:t>
            </w:r>
          </w:p>
          <w:p>
            <w:pPr>
              <w:jc w:val="both"/>
              <w:rPr>
                <w:rFonts w:hint="eastAsia" w:ascii="仿宋" w:hAnsi="仿宋" w:eastAsia="仿宋" w:cs="仿宋"/>
                <w:b w:val="0"/>
                <w:bCs w:val="0"/>
                <w:color w:val="000000"/>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5、显色指数：Ra≥85</w:t>
            </w:r>
          </w:p>
          <w:p>
            <w:pPr>
              <w:jc w:val="both"/>
              <w:rPr>
                <w:rFonts w:hint="eastAsia" w:ascii="仿宋" w:hAnsi="仿宋" w:eastAsia="仿宋" w:cs="仿宋"/>
                <w:b w:val="0"/>
                <w:bCs w:val="0"/>
                <w:color w:val="000000"/>
                <w:sz w:val="24"/>
                <w:szCs w:val="2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6、</w:t>
            </w:r>
            <w:r>
              <w:rPr>
                <w:rFonts w:hint="eastAsia" w:ascii="仿宋" w:hAnsi="仿宋" w:eastAsia="仿宋" w:cs="仿宋"/>
                <w:b/>
                <w:bCs/>
                <w:kern w:val="0"/>
                <w:sz w:val="24"/>
                <w:highlight w:val="none"/>
                <w:lang w:bidi="ar"/>
              </w:rPr>
              <w:t>★</w:t>
            </w:r>
            <w:r>
              <w:rPr>
                <w:rFonts w:hint="eastAsia" w:ascii="仿宋" w:hAnsi="仿宋" w:eastAsia="仿宋" w:cs="仿宋"/>
                <w:b w:val="0"/>
                <w:bCs w:val="0"/>
                <w:color w:val="000000"/>
                <w:sz w:val="24"/>
                <w:szCs w:val="24"/>
                <w:highlight w:val="none"/>
                <w:vertAlign w:val="baseline"/>
                <w:lang w:val="en-US" w:eastAsia="zh-CN"/>
              </w:rPr>
              <w:t>3米处中心强光照度：≥1000lx</w:t>
            </w:r>
          </w:p>
          <w:p>
            <w:pPr>
              <w:jc w:val="both"/>
              <w:rPr>
                <w:rFonts w:hint="eastAsia" w:ascii="仿宋" w:hAnsi="仿宋" w:eastAsia="仿宋" w:cs="仿宋"/>
                <w:b w:val="0"/>
                <w:bCs w:val="0"/>
                <w:color w:val="000000"/>
                <w:sz w:val="24"/>
                <w:szCs w:val="2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7、</w:t>
            </w:r>
            <w:r>
              <w:rPr>
                <w:rFonts w:hint="eastAsia" w:ascii="仿宋" w:hAnsi="仿宋" w:eastAsia="仿宋" w:cs="仿宋"/>
                <w:b/>
                <w:bCs/>
                <w:kern w:val="0"/>
                <w:sz w:val="24"/>
                <w:highlight w:val="none"/>
                <w:lang w:bidi="ar"/>
              </w:rPr>
              <w:t>★</w:t>
            </w:r>
            <w:r>
              <w:rPr>
                <w:rFonts w:hint="eastAsia" w:ascii="仿宋" w:hAnsi="仿宋" w:eastAsia="仿宋" w:cs="仿宋"/>
                <w:b w:val="0"/>
                <w:bCs w:val="0"/>
                <w:color w:val="000000"/>
                <w:sz w:val="24"/>
                <w:szCs w:val="24"/>
                <w:highlight w:val="none"/>
                <w:vertAlign w:val="baseline"/>
                <w:lang w:val="en-US" w:eastAsia="zh-CN"/>
              </w:rPr>
              <w:t>额定电压：DC3.7V</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8、</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额定容量：≥1.8Ah</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9、充电时间：≤5h</w:t>
            </w:r>
          </w:p>
          <w:p>
            <w:pPr>
              <w:jc w:val="both"/>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10、</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充电接口：Type-C</w:t>
            </w:r>
          </w:p>
          <w:p>
            <w:pPr>
              <w:jc w:val="both"/>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11、</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照明时间：强光≥6h、工作光≥50h、节能模式≥200h</w:t>
            </w:r>
          </w:p>
          <w:p>
            <w:pPr>
              <w:numPr>
                <w:ilvl w:val="0"/>
                <w:numId w:val="0"/>
              </w:numPr>
              <w:jc w:val="both"/>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12、</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防护等级：≥IP68（水深1m、时长1h)</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13、</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 xml:space="preserve">防爆标志：Ex ib IIC T4 Gb; Ex ibD 21 T130℃ </w:t>
            </w:r>
          </w:p>
          <w:p>
            <w:pPr>
              <w:jc w:val="both"/>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14、电量显示：LED显示</w:t>
            </w:r>
          </w:p>
          <w:p>
            <w:pPr>
              <w:jc w:val="both"/>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15、低电量提醒：主光源闪烁提示</w:t>
            </w:r>
          </w:p>
          <w:p>
            <w:pPr>
              <w:numPr>
                <w:ilvl w:val="0"/>
                <w:numId w:val="0"/>
              </w:num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16、</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佩戴方式：直接头戴式、安全帽佩戴式</w:t>
            </w:r>
          </w:p>
          <w:p>
            <w:pPr>
              <w:numPr>
                <w:ilvl w:val="0"/>
                <w:numId w:val="0"/>
              </w:numPr>
              <w:jc w:val="both"/>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17、</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跌落高度：≥1.5m跌落后正常使用</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18、头灯具有远距离聚光照明和近距离泛光照明，一键切换聚、泛光；</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19、</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具有高空或危险作业时无需触动实体按键的智能感应开关（挥手开关）。</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77" w:type="dxa"/>
            <w:noWrap w:val="0"/>
            <w:vAlign w:val="center"/>
          </w:tcPr>
          <w:p>
            <w:pPr>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5、便携式防水防爆应急强光灯</w:t>
            </w:r>
          </w:p>
        </w:tc>
      </w:tr>
      <w:bookmarkEnd w:id="55"/>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77" w:type="dxa"/>
            <w:noWrap w:val="0"/>
            <w:vAlign w:val="center"/>
          </w:tcPr>
          <w:p>
            <w:pPr>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1）便携式防水防爆应急强光灯（单价限价15000元）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77" w:type="dxa"/>
            <w:noWrap w:val="0"/>
            <w:vAlign w:val="center"/>
          </w:tcPr>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1、光源类型：LED</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照明功率：≥180W</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光通量：≥20000lm</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4、色温：6000K±200K</w:t>
            </w:r>
          </w:p>
          <w:p>
            <w:pPr>
              <w:jc w:val="both"/>
              <w:rPr>
                <w:rFonts w:hint="eastAsia" w:ascii="仿宋" w:hAnsi="仿宋" w:eastAsia="仿宋" w:cs="仿宋"/>
                <w:b w:val="0"/>
                <w:bCs w:val="0"/>
                <w:color w:val="000000"/>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5、显色指数：Ra≥85</w:t>
            </w:r>
          </w:p>
          <w:p>
            <w:pPr>
              <w:jc w:val="both"/>
              <w:rPr>
                <w:rFonts w:hint="default" w:ascii="仿宋" w:hAnsi="仿宋" w:eastAsia="仿宋" w:cs="仿宋"/>
                <w:b w:val="0"/>
                <w:bCs w:val="0"/>
                <w:color w:val="000000"/>
                <w:sz w:val="24"/>
                <w:szCs w:val="2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6、</w:t>
            </w:r>
            <w:r>
              <w:rPr>
                <w:rFonts w:hint="eastAsia" w:ascii="仿宋" w:hAnsi="仿宋" w:eastAsia="仿宋" w:cs="仿宋"/>
                <w:b/>
                <w:bCs/>
                <w:kern w:val="0"/>
                <w:sz w:val="24"/>
                <w:highlight w:val="none"/>
                <w:lang w:bidi="ar"/>
              </w:rPr>
              <w:t>★</w:t>
            </w:r>
            <w:r>
              <w:rPr>
                <w:rFonts w:hint="eastAsia" w:ascii="仿宋" w:hAnsi="仿宋" w:eastAsia="仿宋" w:cs="仿宋"/>
                <w:b w:val="0"/>
                <w:bCs w:val="0"/>
                <w:color w:val="000000"/>
                <w:sz w:val="24"/>
                <w:szCs w:val="24"/>
                <w:highlight w:val="none"/>
                <w:vertAlign w:val="baseline"/>
                <w:lang w:val="en-US" w:eastAsia="zh-CN"/>
              </w:rPr>
              <w:t>5米处平均照度：强光≥2300lx，工作光≥1000lx</w:t>
            </w:r>
          </w:p>
          <w:p>
            <w:pPr>
              <w:jc w:val="both"/>
              <w:rPr>
                <w:rFonts w:hint="eastAsia" w:ascii="仿宋" w:hAnsi="仿宋" w:eastAsia="仿宋" w:cs="仿宋"/>
                <w:b w:val="0"/>
                <w:bCs w:val="0"/>
                <w:color w:val="000000"/>
                <w:sz w:val="24"/>
                <w:szCs w:val="2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7、</w:t>
            </w:r>
            <w:r>
              <w:rPr>
                <w:rFonts w:hint="eastAsia" w:ascii="仿宋" w:hAnsi="仿宋" w:eastAsia="仿宋" w:cs="仿宋"/>
                <w:b/>
                <w:bCs/>
                <w:kern w:val="0"/>
                <w:sz w:val="24"/>
                <w:highlight w:val="none"/>
                <w:lang w:bidi="ar"/>
              </w:rPr>
              <w:t>★</w:t>
            </w:r>
            <w:r>
              <w:rPr>
                <w:rFonts w:hint="eastAsia" w:ascii="仿宋" w:hAnsi="仿宋" w:eastAsia="仿宋" w:cs="仿宋"/>
                <w:b w:val="0"/>
                <w:bCs w:val="0"/>
                <w:color w:val="000000"/>
                <w:sz w:val="24"/>
                <w:szCs w:val="24"/>
                <w:highlight w:val="none"/>
                <w:vertAlign w:val="baseline"/>
                <w:lang w:val="en-US" w:eastAsia="zh-CN"/>
              </w:rPr>
              <w:t>额定电压：DC22.2V</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8、</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额定容量：≥25Ah</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9、充电时间：≤5h</w:t>
            </w:r>
          </w:p>
          <w:p>
            <w:pPr>
              <w:jc w:val="both"/>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10、</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升起高度：≥4m任意高度可停</w:t>
            </w:r>
          </w:p>
          <w:p>
            <w:pPr>
              <w:numPr>
                <w:ilvl w:val="0"/>
                <w:numId w:val="0"/>
              </w:numPr>
              <w:ind w:left="720" w:hanging="720" w:hangingChars="300"/>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11、</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照明时间：聚光强光≥12h、聚光工作光≥24h，泛光强光≥10h、泛光工作光≥15h</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12、</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防护等级：≥IP65</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13、</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防爆标志：Ex eb ib mb IIC T5 Gb; Ex ib mb tb ⅢC T95℃ Db</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14、电量显示：LCD显示</w:t>
            </w:r>
          </w:p>
          <w:p>
            <w:pPr>
              <w:jc w:val="both"/>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15、调光方式：无极调光</w:t>
            </w:r>
          </w:p>
          <w:p>
            <w:pPr>
              <w:numPr>
                <w:ilvl w:val="0"/>
                <w:numId w:val="0"/>
              </w:num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16、携带方式：手提、肩背</w:t>
            </w:r>
          </w:p>
          <w:p>
            <w:pPr>
              <w:numPr>
                <w:ilvl w:val="0"/>
                <w:numId w:val="0"/>
              </w:numPr>
              <w:jc w:val="both"/>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17、</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控制方式：面板按键+APP蓝牙无线</w:t>
            </w:r>
          </w:p>
          <w:p>
            <w:pPr>
              <w:numPr>
                <w:ilvl w:val="0"/>
                <w:numId w:val="0"/>
              </w:numPr>
              <w:jc w:val="both"/>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18、</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跌落高度：≥1.5m跌落后正常使用</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19、具有近距离面板按键控制灯具开关调光，也可通过APP 50米安全区域范围内蓝牙无线控制灯具开关和无极调光、查看灯具电量状态等功能；</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20、具有粉尘环境和气体环境双防爆功能，展开金属支撑脚可用地钉加固提高使用时安全稳定性。</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77" w:type="dxa"/>
            <w:noWrap w:val="0"/>
            <w:vAlign w:val="center"/>
          </w:tcPr>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2）便携式防水防爆应急强光灯（单价限价1000元）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77" w:type="dxa"/>
            <w:noWrap w:val="0"/>
            <w:vAlign w:val="center"/>
          </w:tcPr>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1、光源类型：LED</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照明功率：≥9W</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光通量：≥1000lm</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4、色温：6000K±200K</w:t>
            </w:r>
          </w:p>
          <w:p>
            <w:pPr>
              <w:jc w:val="both"/>
              <w:rPr>
                <w:rFonts w:hint="eastAsia" w:ascii="仿宋" w:hAnsi="仿宋" w:eastAsia="仿宋" w:cs="仿宋"/>
                <w:b w:val="0"/>
                <w:bCs w:val="0"/>
                <w:color w:val="000000"/>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5、显色指数：Ra≥85</w:t>
            </w:r>
          </w:p>
          <w:p>
            <w:pPr>
              <w:jc w:val="both"/>
              <w:rPr>
                <w:rFonts w:hint="default" w:ascii="仿宋" w:hAnsi="仿宋" w:eastAsia="仿宋" w:cs="仿宋"/>
                <w:b w:val="0"/>
                <w:bCs w:val="0"/>
                <w:color w:val="000000"/>
                <w:sz w:val="24"/>
                <w:szCs w:val="2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6、</w:t>
            </w:r>
            <w:r>
              <w:rPr>
                <w:rFonts w:hint="eastAsia" w:ascii="仿宋" w:hAnsi="仿宋" w:eastAsia="仿宋" w:cs="仿宋"/>
                <w:b/>
                <w:bCs/>
                <w:kern w:val="0"/>
                <w:sz w:val="24"/>
                <w:highlight w:val="none"/>
                <w:lang w:bidi="ar"/>
              </w:rPr>
              <w:t>★</w:t>
            </w:r>
            <w:r>
              <w:rPr>
                <w:rFonts w:hint="eastAsia" w:ascii="仿宋" w:hAnsi="仿宋" w:eastAsia="仿宋" w:cs="仿宋"/>
                <w:b w:val="0"/>
                <w:bCs w:val="0"/>
                <w:color w:val="000000"/>
                <w:sz w:val="24"/>
                <w:szCs w:val="24"/>
                <w:highlight w:val="none"/>
                <w:vertAlign w:val="baseline"/>
                <w:lang w:val="en-US" w:eastAsia="zh-CN"/>
              </w:rPr>
              <w:t>5米处中心照度：强光≥800lx/工作光≥450lx</w:t>
            </w:r>
          </w:p>
          <w:p>
            <w:pPr>
              <w:jc w:val="both"/>
              <w:rPr>
                <w:rFonts w:hint="eastAsia" w:ascii="仿宋" w:hAnsi="仿宋" w:eastAsia="仿宋" w:cs="仿宋"/>
                <w:b w:val="0"/>
                <w:bCs w:val="0"/>
                <w:color w:val="000000"/>
                <w:sz w:val="24"/>
                <w:szCs w:val="2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7、</w:t>
            </w:r>
            <w:r>
              <w:rPr>
                <w:rFonts w:hint="eastAsia" w:ascii="仿宋" w:hAnsi="仿宋" w:eastAsia="仿宋" w:cs="仿宋"/>
                <w:b/>
                <w:bCs/>
                <w:kern w:val="0"/>
                <w:sz w:val="24"/>
                <w:highlight w:val="none"/>
                <w:lang w:bidi="ar"/>
              </w:rPr>
              <w:t>★</w:t>
            </w:r>
            <w:r>
              <w:rPr>
                <w:rFonts w:hint="eastAsia" w:ascii="仿宋" w:hAnsi="仿宋" w:eastAsia="仿宋" w:cs="仿宋"/>
                <w:b w:val="0"/>
                <w:bCs w:val="0"/>
                <w:color w:val="000000"/>
                <w:sz w:val="24"/>
                <w:szCs w:val="24"/>
                <w:highlight w:val="none"/>
                <w:vertAlign w:val="baseline"/>
                <w:lang w:val="en-US" w:eastAsia="zh-CN"/>
              </w:rPr>
              <w:t>额定电压：</w:t>
            </w:r>
            <w:r>
              <w:rPr>
                <w:rFonts w:hint="eastAsia" w:ascii="仿宋" w:hAnsi="仿宋" w:eastAsia="仿宋" w:cs="仿宋"/>
                <w:b w:val="0"/>
                <w:bCs w:val="0"/>
                <w:color w:val="auto"/>
                <w:sz w:val="24"/>
                <w:szCs w:val="24"/>
                <w:highlight w:val="none"/>
                <w:vertAlign w:val="baseline"/>
                <w:lang w:val="en-US" w:eastAsia="zh-CN"/>
              </w:rPr>
              <w:t>≥</w:t>
            </w:r>
            <w:r>
              <w:rPr>
                <w:rFonts w:hint="eastAsia" w:ascii="仿宋" w:hAnsi="仿宋" w:eastAsia="仿宋" w:cs="仿宋"/>
                <w:b w:val="0"/>
                <w:bCs w:val="0"/>
                <w:color w:val="000000"/>
                <w:sz w:val="24"/>
                <w:szCs w:val="24"/>
                <w:highlight w:val="none"/>
                <w:vertAlign w:val="baseline"/>
                <w:lang w:val="en-US" w:eastAsia="zh-CN"/>
              </w:rPr>
              <w:t>DC14.8V</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8、</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额定容量：≥2.2Ah</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9、充电时间：≤6h</w:t>
            </w:r>
          </w:p>
          <w:p>
            <w:pPr>
              <w:jc w:val="both"/>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10、</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照明时间：强光≥8h，工作光≥16h</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11、</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防护等级：≥IP65</w:t>
            </w:r>
          </w:p>
          <w:p>
            <w:pPr>
              <w:numPr>
                <w:ilvl w:val="0"/>
                <w:numId w:val="0"/>
              </w:num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12、携带方式：手提、肩挎</w:t>
            </w:r>
          </w:p>
          <w:p>
            <w:pPr>
              <w:numPr>
                <w:ilvl w:val="0"/>
                <w:numId w:val="0"/>
              </w:num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13、</w:t>
            </w:r>
            <w:r>
              <w:rPr>
                <w:rFonts w:hint="eastAsia" w:ascii="仿宋" w:hAnsi="仿宋" w:eastAsia="仿宋" w:cs="仿宋"/>
                <w:b/>
                <w:bCs/>
                <w:kern w:val="0"/>
                <w:sz w:val="24"/>
                <w:highlight w:val="none"/>
                <w:lang w:bidi="ar"/>
              </w:rPr>
              <w:t>★</w:t>
            </w:r>
            <w:r>
              <w:rPr>
                <w:rFonts w:hint="eastAsia" w:ascii="仿宋" w:hAnsi="仿宋" w:eastAsia="仿宋" w:cs="仿宋"/>
                <w:b w:val="0"/>
                <w:bCs w:val="0"/>
                <w:color w:val="auto"/>
                <w:sz w:val="24"/>
                <w:szCs w:val="24"/>
                <w:highlight w:val="none"/>
                <w:vertAlign w:val="baseline"/>
                <w:lang w:val="en-US" w:eastAsia="zh-CN"/>
              </w:rPr>
              <w:t>跌落高度：≥1.5m跌落后正常使用</w:t>
            </w:r>
          </w:p>
          <w:p>
            <w:pPr>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14、高强度合金壳体在危险爆炸场所防静电、抗冲击性能强，密封性强，具有强光、工作光、频闪三种工作模式，通过提手电量指示灯不同颜色显示电量状态。</w:t>
            </w:r>
          </w:p>
        </w:tc>
      </w:tr>
    </w:tbl>
    <w:p>
      <w:pPr>
        <w:rPr>
          <w:rFonts w:hint="eastAsia" w:ascii="仿宋" w:hAnsi="仿宋" w:eastAsia="仿宋" w:cs="仿宋"/>
          <w:b/>
          <w:bCs/>
          <w:kern w:val="0"/>
          <w:sz w:val="24"/>
          <w:highlight w:val="none"/>
          <w:lang w:eastAsia="zh-CN" w:bidi="ar"/>
        </w:rPr>
      </w:pPr>
      <w:r>
        <w:rPr>
          <w:rFonts w:hint="eastAsia" w:ascii="仿宋" w:hAnsi="仿宋" w:eastAsia="仿宋" w:cs="仿宋"/>
          <w:b/>
          <w:bCs/>
          <w:kern w:val="0"/>
          <w:sz w:val="24"/>
          <w:highlight w:val="none"/>
          <w:lang w:eastAsia="zh-CN" w:bidi="ar"/>
        </w:rPr>
        <w:t>注：</w:t>
      </w:r>
    </w:p>
    <w:p>
      <w:pPr>
        <w:rPr>
          <w:rFonts w:hint="eastAsia" w:ascii="仿宋" w:hAnsi="仿宋" w:eastAsia="仿宋" w:cs="仿宋"/>
          <w:b/>
          <w:bCs/>
          <w:color w:val="auto"/>
          <w:kern w:val="0"/>
          <w:sz w:val="24"/>
          <w:szCs w:val="24"/>
          <w:highlight w:val="none"/>
          <w:lang w:eastAsia="zh-CN" w:bidi="ar"/>
        </w:rPr>
      </w:pPr>
      <w:r>
        <w:rPr>
          <w:rFonts w:hint="eastAsia" w:ascii="仿宋" w:hAnsi="仿宋" w:eastAsia="仿宋" w:cs="仿宋"/>
          <w:b/>
          <w:bCs/>
          <w:color w:val="auto"/>
          <w:kern w:val="0"/>
          <w:sz w:val="24"/>
          <w:szCs w:val="24"/>
          <w:highlight w:val="none"/>
          <w:lang w:eastAsia="zh-CN" w:bidi="ar"/>
        </w:rPr>
        <w:t>1、由于各产品制造商产品名称称呼不一，采购时不应以器材名称与招标文件要求是否一致作为评判依据；投标人根据以上所列设备的技术配置及技术性能要求作为参考选用投标产品，但所选投标产品的技术配置及技术性能应相当于或高于招标文件要求，并符合国家相关产品执行标准（如有）且满足采购需求，否则将可能作出对投标人不利的评定。</w:t>
      </w:r>
    </w:p>
    <w:p>
      <w:pPr>
        <w:rPr>
          <w:rFonts w:hint="eastAsia" w:ascii="仿宋" w:hAnsi="仿宋" w:eastAsia="仿宋" w:cs="仿宋"/>
          <w:b/>
          <w:bCs/>
          <w:color w:val="auto"/>
          <w:kern w:val="0"/>
          <w:sz w:val="24"/>
          <w:szCs w:val="24"/>
          <w:highlight w:val="none"/>
          <w:lang w:eastAsia="zh-CN" w:bidi="ar"/>
        </w:rPr>
      </w:pPr>
      <w:r>
        <w:rPr>
          <w:rFonts w:hint="eastAsia" w:ascii="仿宋" w:hAnsi="仿宋" w:eastAsia="仿宋" w:cs="仿宋"/>
          <w:b/>
          <w:bCs/>
          <w:color w:val="auto"/>
          <w:kern w:val="0"/>
          <w:sz w:val="24"/>
          <w:szCs w:val="24"/>
          <w:highlight w:val="none"/>
          <w:lang w:eastAsia="zh-CN" w:bidi="ar"/>
        </w:rPr>
        <w:t>2、以上★标注的技术要求为关键、重要参数技术指标，供应商必须提供国家认可的第三方检测报告证明相关参数符合要求。</w:t>
      </w:r>
    </w:p>
    <w:p>
      <w:pP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eastAsia="zh-CN" w:bidi="ar"/>
        </w:rPr>
        <w:t>三</w:t>
      </w:r>
      <w:r>
        <w:rPr>
          <w:rFonts w:hint="eastAsia" w:ascii="仿宋" w:hAnsi="仿宋" w:eastAsia="仿宋" w:cs="仿宋"/>
          <w:b/>
          <w:bCs/>
          <w:color w:val="auto"/>
          <w:kern w:val="0"/>
          <w:sz w:val="24"/>
          <w:szCs w:val="24"/>
          <w:highlight w:val="none"/>
          <w:lang w:bidi="ar"/>
        </w:rPr>
        <w:t>、商务要求</w:t>
      </w:r>
    </w:p>
    <w:p>
      <w:pPr>
        <w:pStyle w:val="50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供货、安装、调试（测试）</w:t>
      </w:r>
    </w:p>
    <w:p>
      <w:pPr>
        <w:pStyle w:val="50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有权在合同签订前对中标供应商所投设备进行性能和功能测试，中标供应商须提供和所投品牌型号一致的设备供采购人测试，经测试满足以上指标或参数要求后签订合同，对不能满足要求所造成的损失由中标供应商承担。</w:t>
      </w:r>
    </w:p>
    <w:p>
      <w:pPr>
        <w:pStyle w:val="50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供应商必须在合同生效之日起30个日历天内完成设备的供货、安装、集成、调试及验收（含）。设备到达现场后，必须派员工到现场与采购人一起检验,按供货清单验收,若有缺少或损坏，中标供应商应立即补足或更换全新同规格产品，并承担相关费用直至使采购人满意为止。对于本项目所采购的设备，采购人将会组织提前进行到货验收，供应商必须全力配合。</w:t>
      </w:r>
    </w:p>
    <w:p>
      <w:pPr>
        <w:pStyle w:val="50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为确保设备安装和调试工作安全有序的进行，要求中标供应商在设备运抵安装现场前3天内，向采购人提供一份详细的安装、调试验收计划和所采用的标准及方法、参与安装的人员名单。设备的安装必须符合有关标准和规范。</w:t>
      </w:r>
    </w:p>
    <w:p>
      <w:pPr>
        <w:pStyle w:val="50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设备安装就位后，供应商应按事先被采购人认可的调试验收计划对设备进行调试，并对设备所标注的各项技术指标进行测试，测试报告将在设备验收完毕后提交给采购人，但中标供应商应对测试的各种数据的真实性负责。采购人也可以要求具有检测资质的第三方用专用仪器进行功能 、性能测试，供应商负责测试和调试所需的一切费用，并填写测试报告交由采购人存档。</w:t>
      </w:r>
    </w:p>
    <w:p>
      <w:pPr>
        <w:pStyle w:val="50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产品质量保证和标准</w:t>
      </w:r>
    </w:p>
    <w:p>
      <w:pPr>
        <w:pStyle w:val="50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质量保证期：本合同项下货物质量保证期为自货物通过最终验收，全部货物提供不少于3年(36个月)的质量免费保修（维护）期，在保质期内所产生的相关费用由乙方承担，合同内的所有货物要求乙方提供上门服务。在保修期内所产生的相关费用由乙方承担，对于一般性故障，供应商应在2小时响应，4小时内给予答复， 12小时以内解决问题；对于复杂性故障不能当场修复的，必须采取提供备品、备件或备机等措施，48小时内保证系统投入正常使用。供应商技术人员不能排除故障的，应负责请生产厂家派技术人员到现场解决故障问题，由此发生的费用由供应商承担。</w:t>
      </w:r>
    </w:p>
    <w:p>
      <w:pPr>
        <w:pStyle w:val="50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质量免费保修期内免费上门服务，免费是指免零部件、材料费、易耗品、人工费、交通住宿费等与上门保修服务有关的一切费用，质保（维护）期后提供终身现场维修，只收取成本费。</w:t>
      </w:r>
    </w:p>
    <w:p>
      <w:pPr>
        <w:pStyle w:val="50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质保期内供应商必须确保一年两次对设备系统进行一次常规巡检、调试等维护工作。具体的维护内容及操作程序和内容须在投标文件中说明，相关费用计入投标报价。</w:t>
      </w:r>
    </w:p>
    <w:p>
      <w:pPr>
        <w:pStyle w:val="50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软件产品免费维护期间，中标供应商对采购人提出的在合同范围内具体需求应进行调研、调整和完善，并提供免费升级、维护、质保等服务。</w:t>
      </w:r>
    </w:p>
    <w:p>
      <w:pPr>
        <w:pStyle w:val="50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质保期内，若产品存在设计或制造缺陷以至无法正常运行时，则质量保证期无效。中标供应商需对采购人进行赔偿并负责修复缺陷，采购人重新签发“验收证书”并重新计算保证期。</w:t>
      </w:r>
    </w:p>
    <w:p>
      <w:pPr>
        <w:pStyle w:val="50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产品的设计及制造质量均应符合国家（或国际）最新颁布的有关标准/规范要求；技术标准按国家最新颁布的标准及采购人认可的国际标准；凡需国家强制性认证或认可的产品、需提供相应的证书和认可的标志。</w:t>
      </w:r>
    </w:p>
    <w:p>
      <w:pPr>
        <w:pStyle w:val="50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技术文件资料的交付</w:t>
      </w:r>
    </w:p>
    <w:p>
      <w:pPr>
        <w:pStyle w:val="50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设备：</w:t>
      </w:r>
    </w:p>
    <w:p>
      <w:pPr>
        <w:pStyle w:val="50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随机的易损件、备品备件及特殊专用工具清单。</w:t>
      </w:r>
    </w:p>
    <w:p>
      <w:pPr>
        <w:pStyle w:val="50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设备生产厂家的产品检测证书、出厂检验报告、合格证书、产品说明书、中文技术资料、中英文操作手册和相关图纸等。</w:t>
      </w:r>
    </w:p>
    <w:p>
      <w:pPr>
        <w:pStyle w:val="50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提供的技术文件应该真实、全面、完整、详细，应以中文书写；能满足设备系统运行安装调试、操作使用及维护管理等所需的详细技术资料。</w:t>
      </w:r>
    </w:p>
    <w:p>
      <w:pPr>
        <w:pStyle w:val="50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技术服务和人员培训</w:t>
      </w:r>
    </w:p>
    <w:p>
      <w:pPr>
        <w:pStyle w:val="50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供应商在本地或临近地区应有完整的售后服务网点。服务网点需提供足够的技术人员、备品备件以适应维修维护需求。投标供应商须在投标文件中说明服务网点地址，联系方式、人员配置（含负责人）、故障修复时间、方式及保障措施。</w:t>
      </w:r>
    </w:p>
    <w:p>
      <w:pPr>
        <w:pStyle w:val="50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供应商应为本项目成立专门的维护服务和技术支持小组，对本项目提供如下质保服务：</w:t>
      </w:r>
    </w:p>
    <w:p>
      <w:pPr>
        <w:pStyle w:val="50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设备：供应商负责合同执行过程中和质量保修期内的技术服务和支持，在质量保修期内设备一旦发生故障，对于一般性故障，供应商应在2小时响应，4小时内给予答复， 12小时以内解决问题；对于复杂性故障不能当场修复的，必须采取提供备品、备件或备机等措施，48小时内保证系统投入正常使用。供应商技术人员不能排除故障的，应负责请生产厂家派技术人员到现场解决故障问题，由此发生的费用由供应商承担。</w:t>
      </w:r>
    </w:p>
    <w:p>
      <w:pPr>
        <w:pStyle w:val="50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3．免费维护期满后，中标供应商应长期提供以下形式的技术支持服务：</w:t>
      </w:r>
    </w:p>
    <w:p>
      <w:pPr>
        <w:pStyle w:val="50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凡不涉及系统调整的，中标供应商为采购人提供技术援助电话（解答用户在系统使用中遇到的问题，及时提出解决问题的建议和操作方法），或远程网络解决的技术服务，并免收取服务费用。</w:t>
      </w:r>
    </w:p>
    <w:p>
      <w:pPr>
        <w:pStyle w:val="50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若电话咨询或远程网络服务形式不能解决问题，应指派技术人员到达现场进行故障处理并采取应措施以确保系统的正常运行。</w:t>
      </w:r>
    </w:p>
    <w:p>
      <w:pPr>
        <w:pStyle w:val="50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4．人员培训：</w:t>
      </w:r>
    </w:p>
    <w:p>
      <w:pPr>
        <w:pStyle w:val="50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必须免费提供10人次以上的系统管理技术培训（培训时间每人次不少于4小时），培训内容包括软硬件产品的原理、构成和功能的描述、基础操作、维护使用、常见故障处理等培训，保证项目验收移交后，采购单位人员能够胜任设备系统的全部运行、操作、维护和故障分析处理。</w:t>
      </w:r>
    </w:p>
    <w:p>
      <w:pPr>
        <w:numPr>
          <w:ilvl w:val="0"/>
          <w:numId w:val="6"/>
        </w:numP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eastAsia="zh-CN" w:bidi="ar"/>
        </w:rPr>
        <w:t>其他约定</w:t>
      </w:r>
    </w:p>
    <w:p>
      <w:pPr>
        <w:pStyle w:val="22"/>
        <w:numPr>
          <w:ilvl w:val="0"/>
          <w:numId w:val="0"/>
        </w:numPr>
        <w:rPr>
          <w:rFonts w:hint="default" w:eastAsia="宋体"/>
          <w:highlight w:val="none"/>
          <w:lang w:val="en-US" w:eastAsia="zh-CN"/>
        </w:rPr>
      </w:pPr>
      <w:r>
        <w:rPr>
          <w:rFonts w:hint="eastAsia"/>
          <w:highlight w:val="none"/>
          <w:lang w:val="en-US" w:eastAsia="zh-CN"/>
        </w:rPr>
        <w:t xml:space="preserve">   </w:t>
      </w:r>
      <w:r>
        <w:rPr>
          <w:rFonts w:hint="eastAsia" w:ascii="仿宋" w:hAnsi="仿宋" w:eastAsia="仿宋" w:cs="仿宋"/>
          <w:color w:val="auto"/>
          <w:kern w:val="2"/>
          <w:sz w:val="24"/>
          <w:szCs w:val="24"/>
          <w:highlight w:val="none"/>
          <w:lang w:val="en-US" w:eastAsia="zh-CN" w:bidi="ar-SA"/>
        </w:rPr>
        <w:t>1、本次采购中标后，成交供应商与各使用单位分别就各自的货物数量签订合同进行供货。</w:t>
      </w:r>
    </w:p>
    <w:p>
      <w:pPr>
        <w:pStyle w:val="25"/>
        <w:rPr>
          <w:color w:val="auto"/>
          <w:highlight w:val="none"/>
        </w:rPr>
      </w:pPr>
    </w:p>
    <w:p>
      <w:pPr>
        <w:pStyle w:val="14"/>
        <w:rPr>
          <w:color w:val="auto"/>
          <w:highlight w:val="none"/>
        </w:rPr>
      </w:pPr>
    </w:p>
    <w:p>
      <w:pPr>
        <w:rPr>
          <w:color w:val="auto"/>
          <w:highlight w:val="none"/>
        </w:rPr>
      </w:pPr>
    </w:p>
    <w:p>
      <w:pPr>
        <w:pStyle w:val="51"/>
        <w:rPr>
          <w:color w:val="auto"/>
          <w:highlight w:val="none"/>
        </w:rPr>
      </w:pPr>
    </w:p>
    <w:p>
      <w:pPr>
        <w:pStyle w:val="51"/>
        <w:rPr>
          <w:color w:val="auto"/>
          <w:highlight w:val="none"/>
        </w:rPr>
      </w:pPr>
    </w:p>
    <w:p>
      <w:pPr>
        <w:pStyle w:val="51"/>
        <w:rPr>
          <w:color w:val="auto"/>
          <w:highlight w:val="none"/>
        </w:rPr>
      </w:pPr>
    </w:p>
    <w:p>
      <w:pPr>
        <w:pStyle w:val="51"/>
        <w:rPr>
          <w:color w:val="auto"/>
          <w:highlight w:val="none"/>
        </w:rPr>
      </w:pPr>
    </w:p>
    <w:p>
      <w:pPr>
        <w:pStyle w:val="51"/>
        <w:rPr>
          <w:color w:val="auto"/>
          <w:highlight w:val="none"/>
        </w:rPr>
      </w:pPr>
    </w:p>
    <w:p>
      <w:pPr>
        <w:pStyle w:val="51"/>
        <w:rPr>
          <w:color w:val="auto"/>
          <w:highlight w:val="none"/>
        </w:rPr>
      </w:pPr>
    </w:p>
    <w:p>
      <w:pPr>
        <w:rPr>
          <w:rFonts w:hint="eastAsia" w:ascii="仿宋" w:hAnsi="仿宋" w:eastAsia="仿宋" w:cs="仿宋_GB2312"/>
          <w:b/>
          <w:color w:val="auto"/>
          <w:sz w:val="36"/>
          <w:szCs w:val="36"/>
          <w:highlight w:val="none"/>
        </w:rPr>
      </w:pPr>
      <w:bookmarkStart w:id="56" w:name="_Toc221356898"/>
      <w:bookmarkStart w:id="57" w:name="_Toc221356961"/>
      <w:r>
        <w:rPr>
          <w:rFonts w:hint="eastAsia" w:ascii="仿宋" w:hAnsi="仿宋" w:eastAsia="仿宋" w:cs="仿宋_GB2312"/>
          <w:b/>
          <w:color w:val="auto"/>
          <w:sz w:val="36"/>
          <w:szCs w:val="36"/>
          <w:highlight w:val="none"/>
        </w:rPr>
        <w:br w:type="page"/>
      </w:r>
    </w:p>
    <w:p>
      <w:pPr>
        <w:snapToGrid w:val="0"/>
        <w:spacing w:beforeLines="150" w:afterLines="50"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  拟签订的合同文本（参考格式）</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rPr>
          <w:rFonts w:hint="eastAsia" w:ascii="仿宋" w:hAnsi="仿宋" w:eastAsia="仿宋" w:cs="仿宋"/>
          <w:b/>
          <w:color w:val="auto"/>
          <w:sz w:val="24"/>
          <w:highlight w:val="none"/>
        </w:rPr>
      </w:pPr>
    </w:p>
    <w:p>
      <w:pPr>
        <w:pStyle w:val="3"/>
        <w:rPr>
          <w:rFonts w:hint="eastAsia" w:ascii="仿宋" w:hAnsi="仿宋" w:eastAsia="仿宋" w:cs="仿宋"/>
          <w:color w:val="auto"/>
          <w:sz w:val="24"/>
          <w:highlight w:val="none"/>
        </w:rPr>
      </w:pPr>
    </w:p>
    <w:p>
      <w:pPr>
        <w:rPr>
          <w:rFonts w:hint="eastAsia" w:ascii="仿宋" w:hAnsi="仿宋" w:eastAsia="仿宋" w:cs="仿宋"/>
          <w:color w:val="auto"/>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pPr>
        <w:pStyle w:val="100"/>
        <w:rPr>
          <w:rFonts w:hint="eastAsia" w:ascii="仿宋" w:hAnsi="仿宋" w:eastAsia="仿宋" w:cs="仿宋"/>
          <w:color w:val="auto"/>
          <w:szCs w:val="24"/>
          <w:highlight w:val="none"/>
        </w:rPr>
      </w:pPr>
    </w:p>
    <w:p>
      <w:pPr>
        <w:pStyle w:val="100"/>
        <w:rPr>
          <w:rFonts w:hint="eastAsia" w:ascii="仿宋" w:hAnsi="仿宋" w:eastAsia="仿宋" w:cs="仿宋"/>
          <w:color w:val="auto"/>
          <w:szCs w:val="24"/>
          <w:highlight w:val="none"/>
        </w:rPr>
      </w:pPr>
    </w:p>
    <w:p>
      <w:pPr>
        <w:pStyle w:val="100"/>
        <w:jc w:val="center"/>
        <w:rPr>
          <w:rFonts w:hint="eastAsia" w:ascii="仿宋" w:hAnsi="仿宋" w:eastAsia="仿宋" w:cs="仿宋"/>
          <w:color w:val="auto"/>
          <w:szCs w:val="24"/>
          <w:highlight w:val="none"/>
        </w:rPr>
      </w:pPr>
    </w:p>
    <w:p>
      <w:pPr>
        <w:pStyle w:val="100"/>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pStyle w:val="100"/>
        <w:rPr>
          <w:rFonts w:hint="eastAsia" w:ascii="仿宋" w:hAnsi="仿宋" w:eastAsia="仿宋" w:cs="仿宋"/>
          <w:color w:val="auto"/>
          <w:szCs w:val="24"/>
          <w:highlight w:val="none"/>
        </w:rPr>
      </w:pP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101"/>
        <w:spacing w:before="120" w:line="22" w:lineRule="atLeast"/>
        <w:rPr>
          <w:rFonts w:hint="eastAsia" w:ascii="仿宋" w:hAnsi="仿宋" w:eastAsia="仿宋" w:cs="仿宋"/>
          <w:color w:val="auto"/>
          <w:szCs w:val="24"/>
          <w:highlight w:val="none"/>
        </w:rPr>
      </w:pPr>
    </w:p>
    <w:p>
      <w:pPr>
        <w:pStyle w:val="101"/>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footerReference r:id="rId5" w:type="default"/>
          <w:pgSz w:w="11907" w:h="16840"/>
          <w:pgMar w:top="1474" w:right="1814" w:bottom="1474" w:left="1814" w:header="851" w:footer="851" w:gutter="0"/>
          <w:pgNumType w:fmt="decimal" w:start="1"/>
          <w:cols w:space="720" w:num="1"/>
        </w:sectPr>
      </w:pP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温州市应急管理局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（项目名称、编号）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为该项目中标或者成交供应商。现于中标或者成交通知书发出之日起30日内，按照采购文件等确定的事项签订本合同。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温州市应急管理局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hint="eastAsia" w:ascii="仿宋" w:hAnsi="仿宋" w:eastAsia="仿宋" w:cs="仿宋"/>
          <w:b/>
          <w:color w:val="auto"/>
          <w:sz w:val="24"/>
          <w:highlight w:val="none"/>
        </w:rPr>
      </w:pPr>
      <w:bookmarkStart w:id="58" w:name="_Toc3029"/>
      <w:bookmarkStart w:id="59" w:name="_Toc2232"/>
      <w:bookmarkStart w:id="60" w:name="_Toc24059"/>
      <w:r>
        <w:rPr>
          <w:rFonts w:hint="eastAsia" w:ascii="仿宋" w:hAnsi="仿宋" w:eastAsia="仿宋" w:cs="仿宋"/>
          <w:b/>
          <w:color w:val="auto"/>
          <w:sz w:val="24"/>
          <w:highlight w:val="none"/>
        </w:rPr>
        <w:t>1.1 合同组成部分</w:t>
      </w:r>
      <w:bookmarkEnd w:id="58"/>
      <w:bookmarkEnd w:id="59"/>
      <w:bookmarkEnd w:id="6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hint="eastAsia" w:ascii="仿宋" w:hAnsi="仿宋" w:eastAsia="仿宋" w:cs="仿宋"/>
          <w:b/>
          <w:color w:val="auto"/>
          <w:sz w:val="24"/>
          <w:highlight w:val="none"/>
        </w:rPr>
      </w:pPr>
      <w:bookmarkStart w:id="61" w:name="_Toc27126"/>
      <w:bookmarkStart w:id="62" w:name="_Toc24300"/>
      <w:bookmarkStart w:id="63" w:name="_Toc21295"/>
      <w:r>
        <w:rPr>
          <w:rFonts w:hint="eastAsia" w:ascii="仿宋" w:hAnsi="仿宋" w:eastAsia="仿宋" w:cs="仿宋"/>
          <w:b/>
          <w:color w:val="auto"/>
          <w:sz w:val="24"/>
          <w:highlight w:val="none"/>
        </w:rPr>
        <w:t>1.2 货物</w:t>
      </w:r>
      <w:bookmarkEnd w:id="61"/>
      <w:bookmarkEnd w:id="62"/>
      <w:bookmarkEnd w:id="63"/>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w:t>
      </w:r>
    </w:p>
    <w:p>
      <w:pPr>
        <w:spacing w:line="560" w:lineRule="exact"/>
        <w:ind w:firstLine="482" w:firstLineChars="200"/>
        <w:outlineLvl w:val="0"/>
        <w:rPr>
          <w:rFonts w:hint="eastAsia" w:ascii="仿宋" w:hAnsi="仿宋" w:eastAsia="仿宋" w:cs="仿宋"/>
          <w:b/>
          <w:color w:val="auto"/>
          <w:sz w:val="24"/>
          <w:highlight w:val="none"/>
        </w:rPr>
      </w:pPr>
      <w:bookmarkStart w:id="64" w:name="_Toc23292"/>
      <w:bookmarkStart w:id="65" w:name="_Toc21631"/>
      <w:bookmarkStart w:id="66" w:name="_Toc21551"/>
      <w:r>
        <w:rPr>
          <w:rFonts w:hint="eastAsia" w:ascii="仿宋" w:hAnsi="仿宋" w:eastAsia="仿宋" w:cs="仿宋"/>
          <w:b/>
          <w:color w:val="auto"/>
          <w:sz w:val="24"/>
          <w:highlight w:val="none"/>
        </w:rPr>
        <w:t>1.3 价款</w:t>
      </w:r>
      <w:bookmarkEnd w:id="64"/>
      <w:bookmarkEnd w:id="65"/>
      <w:bookmarkEnd w:id="6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8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8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8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87"/>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87"/>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8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87"/>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87"/>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8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87"/>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87"/>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8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87"/>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87"/>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8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8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87"/>
              <w:spacing w:line="560" w:lineRule="exact"/>
              <w:ind w:firstLine="200"/>
              <w:jc w:val="center"/>
              <w:rPr>
                <w:rFonts w:hint="eastAsia" w:ascii="仿宋" w:hAnsi="仿宋" w:eastAsia="仿宋" w:cs="仿宋"/>
                <w:color w:val="auto"/>
                <w:sz w:val="24"/>
                <w:szCs w:val="24"/>
                <w:highlight w:val="none"/>
              </w:rPr>
            </w:pPr>
          </w:p>
        </w:tc>
      </w:tr>
    </w:tbl>
    <w:p>
      <w:pPr>
        <w:pStyle w:val="102"/>
        <w:spacing w:before="0" w:beforeAutospacing="0" w:after="0" w:afterAutospacing="0" w:line="360" w:lineRule="auto"/>
        <w:ind w:firstLine="480"/>
        <w:rPr>
          <w:rFonts w:hint="eastAsia" w:ascii="仿宋" w:hAnsi="仿宋" w:eastAsia="仿宋" w:cs="仿宋"/>
          <w:b/>
          <w:color w:val="auto"/>
          <w:highlight w:val="none"/>
        </w:rPr>
      </w:pPr>
      <w:bookmarkStart w:id="67" w:name="_Toc10340"/>
      <w:bookmarkStart w:id="68" w:name="_Toc22618"/>
      <w:bookmarkStart w:id="69" w:name="_Toc1814"/>
      <w:r>
        <w:rPr>
          <w:rFonts w:hint="eastAsia" w:ascii="仿宋" w:hAnsi="仿宋" w:eastAsia="仿宋" w:cs="仿宋"/>
          <w:b/>
          <w:color w:val="auto"/>
          <w:highlight w:val="none"/>
        </w:rPr>
        <w:t>1.4履约保证金</w:t>
      </w:r>
    </w:p>
    <w:p>
      <w:pPr>
        <w:pStyle w:val="10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eastAsia="zh-CN"/>
        </w:rPr>
        <w:t>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3"/>
        <w:tabs>
          <w:tab w:val="left" w:pos="0"/>
        </w:tabs>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kern w:val="0"/>
          <w:sz w:val="24"/>
          <w:highlight w:val="none"/>
        </w:rPr>
        <w:t>1.4.4 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67"/>
      <w:bookmarkEnd w:id="68"/>
      <w:bookmarkEnd w:id="69"/>
      <w:r>
        <w:rPr>
          <w:rFonts w:hint="eastAsia" w:ascii="仿宋" w:hAnsi="仿宋" w:eastAsia="仿宋" w:cs="仿宋"/>
          <w:b/>
          <w:color w:val="auto"/>
          <w:sz w:val="24"/>
          <w:highlight w:val="none"/>
        </w:rPr>
        <w:t>预付款</w:t>
      </w:r>
    </w:p>
    <w:p>
      <w:pPr>
        <w:pStyle w:val="10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eastAsia="zh-CN"/>
        </w:rPr>
        <w:t>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10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02"/>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02"/>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10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70" w:name="_Toc2846"/>
      <w:bookmarkStart w:id="71" w:name="_Toc32071"/>
      <w:bookmarkStart w:id="72" w:name="_Toc19304"/>
      <w:r>
        <w:rPr>
          <w:rFonts w:hint="eastAsia" w:ascii="仿宋" w:hAnsi="仿宋" w:eastAsia="仿宋" w:cs="仿宋"/>
          <w:b/>
          <w:color w:val="auto"/>
          <w:sz w:val="24"/>
          <w:highlight w:val="none"/>
        </w:rPr>
        <w:t>1.7货物交付期限、地点和方式</w:t>
      </w:r>
      <w:bookmarkEnd w:id="70"/>
      <w:bookmarkEnd w:id="71"/>
      <w:bookmarkEnd w:id="72"/>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73" w:name="_Toc27250"/>
      <w:bookmarkStart w:id="74" w:name="_Toc19554"/>
      <w:bookmarkStart w:id="75" w:name="_Toc21423"/>
      <w:r>
        <w:rPr>
          <w:rFonts w:hint="eastAsia" w:ascii="仿宋" w:hAnsi="仿宋" w:eastAsia="仿宋" w:cs="仿宋"/>
          <w:b/>
          <w:color w:val="auto"/>
          <w:sz w:val="24"/>
          <w:highlight w:val="none"/>
        </w:rPr>
        <w:t>1.8违约责任</w:t>
      </w:r>
      <w:bookmarkEnd w:id="73"/>
      <w:bookmarkEnd w:id="74"/>
      <w:bookmarkEnd w:id="7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rPr>
        <w:t>1.8.6违约责任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pPr>
        <w:spacing w:line="560" w:lineRule="exact"/>
        <w:ind w:firstLine="482" w:firstLineChars="200"/>
        <w:outlineLvl w:val="0"/>
        <w:rPr>
          <w:rFonts w:hint="eastAsia" w:ascii="仿宋" w:hAnsi="仿宋" w:eastAsia="仿宋" w:cs="仿宋"/>
          <w:b/>
          <w:color w:val="auto"/>
          <w:sz w:val="24"/>
          <w:highlight w:val="none"/>
        </w:rPr>
      </w:pPr>
      <w:bookmarkStart w:id="76" w:name="_Toc15583"/>
      <w:bookmarkStart w:id="77" w:name="_Toc28375"/>
      <w:bookmarkStart w:id="78" w:name="_Toc16021"/>
      <w:r>
        <w:rPr>
          <w:rFonts w:hint="eastAsia" w:ascii="仿宋" w:hAnsi="仿宋" w:eastAsia="仿宋" w:cs="仿宋"/>
          <w:b/>
          <w:color w:val="auto"/>
          <w:sz w:val="24"/>
          <w:highlight w:val="none"/>
        </w:rPr>
        <w:t>1.9合同争议的解决</w:t>
      </w:r>
      <w:bookmarkEnd w:id="76"/>
      <w:bookmarkEnd w:id="77"/>
      <w:bookmarkEnd w:id="78"/>
    </w:p>
    <w:p>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b/>
          <w:i/>
          <w:color w:val="auto"/>
          <w:sz w:val="24"/>
          <w:highlight w:val="none"/>
          <w:u w:val="single"/>
          <w:lang w:val="en-US" w:eastAsia="zh-CN"/>
        </w:rPr>
        <w:t>2</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hint="eastAsia" w:ascii="仿宋" w:hAnsi="仿宋" w:eastAsia="仿宋" w:cs="仿宋"/>
          <w:b/>
          <w:color w:val="auto"/>
          <w:sz w:val="24"/>
          <w:highlight w:val="none"/>
        </w:rPr>
      </w:pPr>
      <w:bookmarkStart w:id="79" w:name="_Toc7245"/>
      <w:bookmarkStart w:id="80" w:name="_Toc15322"/>
      <w:bookmarkStart w:id="81" w:name="_Toc11173"/>
      <w:r>
        <w:rPr>
          <w:rFonts w:hint="eastAsia" w:ascii="仿宋" w:hAnsi="仿宋" w:eastAsia="仿宋" w:cs="仿宋"/>
          <w:b/>
          <w:color w:val="auto"/>
          <w:sz w:val="24"/>
          <w:highlight w:val="none"/>
        </w:rPr>
        <w:t>2.0 合同生效</w:t>
      </w:r>
      <w:bookmarkEnd w:id="79"/>
      <w:bookmarkEnd w:id="80"/>
      <w:bookmarkEnd w:id="81"/>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rPr>
          <w:rFonts w:hint="eastAsia" w:ascii="仿宋" w:hAnsi="仿宋" w:eastAsia="仿宋" w:cs="仿宋"/>
          <w:color w:val="auto"/>
          <w:sz w:val="24"/>
          <w:highlight w:val="none"/>
        </w:rPr>
        <w:sectPr>
          <w:headerReference r:id="rId7" w:type="first"/>
          <w:footerReference r:id="rId9" w:type="first"/>
          <w:headerReference r:id="rId6" w:type="default"/>
          <w:footerReference r:id="rId8" w:type="default"/>
          <w:pgSz w:w="11906" w:h="16838"/>
          <w:pgMar w:top="1276" w:right="1418" w:bottom="1247" w:left="1418" w:header="851" w:footer="992" w:gutter="0"/>
          <w:pgNumType w:fmt="decimal"/>
          <w:cols w:space="720" w:num="1"/>
          <w:titlePg/>
          <w:docGrid w:linePitch="312" w:charSpace="0"/>
        </w:sectPr>
      </w:pPr>
    </w:p>
    <w:p>
      <w:pPr>
        <w:rPr>
          <w:rFonts w:hint="eastAsia" w:ascii="仿宋" w:hAnsi="仿宋" w:eastAsia="仿宋" w:cs="仿宋"/>
          <w:color w:val="auto"/>
          <w:sz w:val="24"/>
          <w:highlight w:val="none"/>
        </w:rPr>
      </w:pPr>
    </w:p>
    <w:p>
      <w:pPr>
        <w:pStyle w:val="100"/>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560" w:lineRule="exact"/>
        <w:ind w:firstLine="482" w:firstLineChars="200"/>
        <w:outlineLvl w:val="0"/>
        <w:rPr>
          <w:rFonts w:hint="eastAsia" w:ascii="仿宋" w:hAnsi="仿宋" w:eastAsia="仿宋" w:cs="仿宋"/>
          <w:b/>
          <w:color w:val="auto"/>
          <w:sz w:val="24"/>
          <w:highlight w:val="none"/>
        </w:rPr>
      </w:pPr>
      <w:bookmarkStart w:id="82" w:name="_Ref467379101"/>
      <w:bookmarkStart w:id="83" w:name="_Toc16917"/>
      <w:bookmarkStart w:id="84" w:name="_Ref467378463"/>
      <w:bookmarkStart w:id="85" w:name="_Ref467378499"/>
      <w:bookmarkStart w:id="86" w:name="_Ref467379205"/>
      <w:bookmarkStart w:id="87" w:name="_Toc19614"/>
      <w:bookmarkStart w:id="88" w:name="_Ref467379225"/>
      <w:bookmarkStart w:id="89" w:name="_Ref467379195"/>
      <w:bookmarkStart w:id="90" w:name="_Toc28763"/>
      <w:bookmarkStart w:id="91" w:name="_Ref467379094"/>
      <w:bookmarkStart w:id="92" w:name="_Toc279701240"/>
      <w:bookmarkStart w:id="93" w:name="_Toc487900349"/>
      <w:bookmarkStart w:id="94" w:name="_Ref467378404"/>
      <w:bookmarkStart w:id="95" w:name="_Ref467379109"/>
      <w:bookmarkStart w:id="96" w:name="_Toc259093669"/>
      <w:bookmarkStart w:id="97" w:name="_Ref467379214"/>
      <w:r>
        <w:rPr>
          <w:rFonts w:hint="eastAsia" w:ascii="仿宋" w:hAnsi="仿宋" w:eastAsia="仿宋" w:cs="仿宋"/>
          <w:b/>
          <w:color w:val="auto"/>
          <w:sz w:val="24"/>
          <w:highlight w:val="none"/>
        </w:rPr>
        <w:t>2.1 定义</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仿宋" w:hAnsi="仿宋" w:eastAsia="仿宋" w:cs="仿宋"/>
          <w:color w:val="auto"/>
          <w:sz w:val="24"/>
          <w:highlight w:val="none"/>
        </w:rPr>
      </w:pPr>
      <w:bookmarkStart w:id="98" w:name="_Ref467378840"/>
      <w:r>
        <w:rPr>
          <w:rFonts w:hint="eastAsia" w:ascii="仿宋" w:hAnsi="仿宋" w:eastAsia="仿宋" w:cs="仿宋"/>
          <w:color w:val="auto"/>
          <w:sz w:val="24"/>
          <w:highlight w:val="none"/>
        </w:rPr>
        <w:t>2.1.4 “甲方”系指与中标或成交供应商签署合同的采购人</w:t>
      </w:r>
      <w:bookmarkEnd w:id="98"/>
      <w:r>
        <w:rPr>
          <w:rFonts w:hint="eastAsia" w:ascii="仿宋" w:hAnsi="仿宋" w:eastAsia="仿宋" w:cs="仿宋"/>
          <w:color w:val="auto"/>
          <w:sz w:val="24"/>
          <w:highlight w:val="none"/>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highlight w:val="none"/>
        </w:rPr>
      </w:pPr>
      <w:bookmarkStart w:id="99" w:name="_Ref467379400"/>
      <w:r>
        <w:rPr>
          <w:rFonts w:hint="eastAsia" w:ascii="仿宋" w:hAnsi="仿宋" w:eastAsia="仿宋" w:cs="仿宋"/>
          <w:color w:val="auto"/>
          <w:sz w:val="24"/>
          <w:highlight w:val="none"/>
        </w:rPr>
        <w:t>2.1.5 “乙方”系指根据合同约定交付货物的中标或成交供应商</w:t>
      </w:r>
      <w:bookmarkEnd w:id="99"/>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highlight w:val="none"/>
        </w:rPr>
      </w:pPr>
      <w:bookmarkStart w:id="100" w:name="_Ref467379436"/>
      <w:r>
        <w:rPr>
          <w:rFonts w:hint="eastAsia" w:ascii="仿宋" w:hAnsi="仿宋" w:eastAsia="仿宋" w:cs="仿宋"/>
          <w:color w:val="auto"/>
          <w:sz w:val="24"/>
          <w:highlight w:val="none"/>
        </w:rPr>
        <w:t>2.1.6 “现场”系指合同约定货物将要运至或者安装的地点。</w:t>
      </w:r>
      <w:bookmarkEnd w:id="100"/>
    </w:p>
    <w:p>
      <w:pPr>
        <w:spacing w:line="560" w:lineRule="exact"/>
        <w:ind w:firstLine="482" w:firstLineChars="200"/>
        <w:outlineLvl w:val="0"/>
        <w:rPr>
          <w:rFonts w:hint="eastAsia" w:ascii="仿宋" w:hAnsi="仿宋" w:eastAsia="仿宋" w:cs="仿宋"/>
          <w:b/>
          <w:color w:val="auto"/>
          <w:sz w:val="24"/>
          <w:highlight w:val="none"/>
        </w:rPr>
      </w:pPr>
      <w:bookmarkStart w:id="101" w:name="_Toc487900350"/>
      <w:bookmarkStart w:id="102" w:name="_Toc259093670"/>
      <w:bookmarkStart w:id="103" w:name="_Toc13336"/>
      <w:bookmarkStart w:id="104" w:name="_Toc27635"/>
      <w:bookmarkStart w:id="105" w:name="_Toc32504"/>
      <w:bookmarkStart w:id="106" w:name="_Toc279701241"/>
      <w:r>
        <w:rPr>
          <w:rFonts w:hint="eastAsia" w:ascii="仿宋" w:hAnsi="仿宋" w:eastAsia="仿宋" w:cs="仿宋"/>
          <w:b/>
          <w:color w:val="auto"/>
          <w:sz w:val="24"/>
          <w:highlight w:val="none"/>
        </w:rPr>
        <w:t>2.2 技术规范</w:t>
      </w:r>
      <w:bookmarkEnd w:id="101"/>
      <w:bookmarkEnd w:id="102"/>
      <w:bookmarkEnd w:id="103"/>
      <w:bookmarkEnd w:id="104"/>
      <w:bookmarkEnd w:id="105"/>
      <w:bookmarkEnd w:id="10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highlight w:val="none"/>
        </w:rPr>
      </w:pPr>
      <w:bookmarkStart w:id="107" w:name="_Toc9829"/>
      <w:bookmarkStart w:id="108" w:name="_Toc279701242"/>
      <w:bookmarkStart w:id="109" w:name="_Toc31634"/>
      <w:bookmarkStart w:id="110" w:name="_Toc27853"/>
      <w:bookmarkStart w:id="111" w:name="_Toc259093671"/>
      <w:bookmarkStart w:id="112" w:name="_Toc487900351"/>
      <w:r>
        <w:rPr>
          <w:rFonts w:hint="eastAsia" w:ascii="仿宋" w:hAnsi="仿宋" w:eastAsia="仿宋" w:cs="仿宋"/>
          <w:b/>
          <w:color w:val="auto"/>
          <w:sz w:val="24"/>
          <w:highlight w:val="none"/>
        </w:rPr>
        <w:t>2.3 知识产权</w:t>
      </w:r>
      <w:bookmarkEnd w:id="107"/>
      <w:bookmarkEnd w:id="108"/>
      <w:bookmarkEnd w:id="109"/>
      <w:bookmarkEnd w:id="110"/>
      <w:bookmarkEnd w:id="111"/>
      <w:bookmarkEnd w:id="11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113" w:name="_Toc4194"/>
      <w:bookmarkStart w:id="114" w:name="_Toc29149"/>
      <w:bookmarkStart w:id="115" w:name="_Toc11932"/>
      <w:r>
        <w:rPr>
          <w:rFonts w:hint="eastAsia" w:ascii="仿宋" w:hAnsi="仿宋" w:eastAsia="仿宋" w:cs="仿宋"/>
          <w:b/>
          <w:color w:val="auto"/>
          <w:sz w:val="24"/>
          <w:highlight w:val="none"/>
        </w:rPr>
        <w:t>2.4 包装和装运</w:t>
      </w:r>
      <w:bookmarkEnd w:id="113"/>
      <w:bookmarkEnd w:id="114"/>
      <w:bookmarkEnd w:id="11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116" w:name="_Ref467379536"/>
      <w:bookmarkStart w:id="117" w:name="_Ref467378541"/>
      <w:bookmarkStart w:id="118" w:name="_Toc279701245"/>
      <w:bookmarkStart w:id="119" w:name="_Ref467379542"/>
      <w:bookmarkStart w:id="120" w:name="_Toc259093674"/>
      <w:bookmarkStart w:id="121" w:name="_Ref467378591"/>
      <w:bookmarkStart w:id="122" w:name="_Toc487900354"/>
      <w:bookmarkStart w:id="123" w:name="_Ref467379527"/>
      <w:bookmarkStart w:id="124" w:name="_Toc30272"/>
      <w:bookmarkStart w:id="125" w:name="_Toc26182"/>
      <w:bookmarkStart w:id="126" w:name="_Toc19074"/>
      <w:r>
        <w:rPr>
          <w:rFonts w:hint="eastAsia" w:ascii="仿宋" w:hAnsi="仿宋" w:eastAsia="仿宋" w:cs="仿宋"/>
          <w:b/>
          <w:color w:val="auto"/>
          <w:sz w:val="24"/>
          <w:highlight w:val="none"/>
        </w:rPr>
        <w:t>2.</w:t>
      </w:r>
      <w:bookmarkEnd w:id="116"/>
      <w:bookmarkEnd w:id="117"/>
      <w:bookmarkEnd w:id="118"/>
      <w:bookmarkEnd w:id="119"/>
      <w:bookmarkEnd w:id="120"/>
      <w:bookmarkEnd w:id="121"/>
      <w:bookmarkEnd w:id="122"/>
      <w:bookmarkEnd w:id="123"/>
      <w:r>
        <w:rPr>
          <w:rFonts w:hint="eastAsia" w:ascii="仿宋" w:hAnsi="仿宋" w:eastAsia="仿宋" w:cs="仿宋"/>
          <w:b/>
          <w:color w:val="auto"/>
          <w:sz w:val="24"/>
          <w:highlight w:val="none"/>
        </w:rPr>
        <w:t>5 履约检查和问题反馈</w:t>
      </w:r>
      <w:bookmarkEnd w:id="124"/>
      <w:bookmarkEnd w:id="125"/>
      <w:bookmarkEnd w:id="126"/>
    </w:p>
    <w:p>
      <w:pPr>
        <w:spacing w:line="560" w:lineRule="exact"/>
        <w:ind w:firstLine="480" w:firstLineChars="200"/>
        <w:rPr>
          <w:rFonts w:hint="eastAsia" w:ascii="仿宋" w:hAnsi="仿宋" w:eastAsia="仿宋" w:cs="仿宋"/>
          <w:color w:val="auto"/>
          <w:sz w:val="24"/>
          <w:highlight w:val="none"/>
        </w:rPr>
      </w:pPr>
      <w:bookmarkStart w:id="127" w:name="_Ref467379657"/>
      <w:r>
        <w:rPr>
          <w:rFonts w:hint="eastAsia" w:ascii="仿宋" w:hAnsi="仿宋" w:eastAsia="仿宋" w:cs="仿宋"/>
          <w:color w:val="auto"/>
          <w:sz w:val="24"/>
          <w:highlight w:val="none"/>
        </w:rPr>
        <w:t>2.5.1</w:t>
      </w:r>
      <w:bookmarkEnd w:id="127"/>
      <w:bookmarkStart w:id="128" w:name="_Toc186431854"/>
      <w:bookmarkStart w:id="129" w:name="_Ref467379807"/>
      <w:bookmarkStart w:id="130" w:name="_Ref467379793"/>
      <w:bookmarkStart w:id="131" w:name="_Toc487900357"/>
      <w:bookmarkStart w:id="132" w:name="_Toc259093676"/>
      <w:bookmarkStart w:id="133" w:name="_Toc279701247"/>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128"/>
      <w:bookmarkStart w:id="134" w:name="_Toc186431855"/>
      <w:r>
        <w:rPr>
          <w:rFonts w:hint="eastAsia" w:ascii="仿宋" w:hAnsi="仿宋" w:eastAsia="仿宋" w:cs="仿宋"/>
          <w:color w:val="auto"/>
          <w:sz w:val="24"/>
          <w:highlight w:val="none"/>
        </w:rPr>
        <w:t>。</w:t>
      </w:r>
    </w:p>
    <w:bookmarkEnd w:id="129"/>
    <w:bookmarkEnd w:id="130"/>
    <w:bookmarkEnd w:id="131"/>
    <w:bookmarkEnd w:id="132"/>
    <w:bookmarkEnd w:id="133"/>
    <w:bookmarkEnd w:id="134"/>
    <w:p>
      <w:pPr>
        <w:spacing w:line="560" w:lineRule="exact"/>
        <w:ind w:firstLine="482" w:firstLineChars="200"/>
        <w:outlineLvl w:val="0"/>
        <w:rPr>
          <w:rFonts w:hint="eastAsia" w:ascii="仿宋" w:hAnsi="仿宋" w:eastAsia="仿宋" w:cs="仿宋"/>
          <w:b/>
          <w:color w:val="auto"/>
          <w:sz w:val="24"/>
          <w:highlight w:val="none"/>
        </w:rPr>
      </w:pPr>
      <w:bookmarkStart w:id="135" w:name="_Toc487900358"/>
      <w:bookmarkStart w:id="136" w:name="_Ref467379923"/>
      <w:bookmarkStart w:id="137" w:name="_Toc279701248"/>
      <w:bookmarkStart w:id="138" w:name="_Ref467379863"/>
      <w:bookmarkStart w:id="139" w:name="_Toc259093677"/>
      <w:bookmarkStart w:id="140" w:name="_Ref467379852"/>
      <w:bookmarkStart w:id="141" w:name="_Toc774"/>
      <w:bookmarkStart w:id="142" w:name="_Toc3225"/>
      <w:bookmarkStart w:id="143" w:name="_Toc16110"/>
      <w:r>
        <w:rPr>
          <w:rFonts w:hint="eastAsia" w:ascii="仿宋" w:hAnsi="仿宋" w:eastAsia="仿宋" w:cs="仿宋"/>
          <w:b/>
          <w:color w:val="auto"/>
          <w:sz w:val="24"/>
          <w:highlight w:val="none"/>
        </w:rPr>
        <w:t>2.6 技术资料</w:t>
      </w:r>
      <w:bookmarkEnd w:id="135"/>
      <w:bookmarkEnd w:id="136"/>
      <w:bookmarkEnd w:id="137"/>
      <w:bookmarkEnd w:id="138"/>
      <w:bookmarkEnd w:id="139"/>
      <w:bookmarkEnd w:id="140"/>
      <w:r>
        <w:rPr>
          <w:rFonts w:hint="eastAsia" w:ascii="仿宋" w:hAnsi="仿宋" w:eastAsia="仿宋" w:cs="仿宋"/>
          <w:b/>
          <w:color w:val="auto"/>
          <w:sz w:val="24"/>
          <w:highlight w:val="none"/>
        </w:rPr>
        <w:t>和保密义务</w:t>
      </w:r>
      <w:bookmarkEnd w:id="141"/>
      <w:bookmarkEnd w:id="142"/>
      <w:bookmarkEnd w:id="14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highlight w:val="none"/>
        </w:rPr>
      </w:pPr>
      <w:bookmarkStart w:id="144" w:name="_Toc7860"/>
      <w:r>
        <w:rPr>
          <w:rFonts w:hint="eastAsia" w:ascii="仿宋" w:hAnsi="仿宋" w:eastAsia="仿宋" w:cs="仿宋"/>
          <w:b/>
          <w:color w:val="auto"/>
          <w:sz w:val="24"/>
          <w:highlight w:val="none"/>
        </w:rPr>
        <w:t>2.7 质量保证</w:t>
      </w:r>
      <w:bookmarkEnd w:id="14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highlight w:val="none"/>
        </w:rPr>
      </w:pPr>
      <w:bookmarkStart w:id="145" w:name="_Toc17244"/>
      <w:bookmarkStart w:id="146" w:name="_Toc279701252"/>
      <w:bookmarkStart w:id="147" w:name="_Toc487900362"/>
      <w:bookmarkStart w:id="148" w:name="_Toc259093681"/>
      <w:r>
        <w:rPr>
          <w:rFonts w:hint="eastAsia" w:ascii="仿宋" w:hAnsi="仿宋" w:eastAsia="仿宋" w:cs="仿宋"/>
          <w:b/>
          <w:color w:val="auto"/>
          <w:sz w:val="24"/>
          <w:highlight w:val="none"/>
        </w:rPr>
        <w:t>2.8 货物的风险负担</w:t>
      </w:r>
      <w:bookmarkEnd w:id="145"/>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149" w:name="_Toc14055"/>
      <w:r>
        <w:rPr>
          <w:rFonts w:hint="eastAsia" w:ascii="仿宋" w:hAnsi="仿宋" w:eastAsia="仿宋" w:cs="仿宋"/>
          <w:b/>
          <w:color w:val="auto"/>
          <w:sz w:val="24"/>
          <w:highlight w:val="none"/>
        </w:rPr>
        <w:t>2.9 延迟交货</w:t>
      </w:r>
      <w:bookmarkEnd w:id="146"/>
      <w:bookmarkEnd w:id="147"/>
      <w:bookmarkEnd w:id="148"/>
      <w:bookmarkEnd w:id="14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仿宋" w:hAnsi="仿宋" w:eastAsia="仿宋" w:cs="仿宋"/>
          <w:b/>
          <w:color w:val="auto"/>
          <w:sz w:val="24"/>
          <w:highlight w:val="none"/>
        </w:rPr>
      </w:pPr>
      <w:bookmarkStart w:id="150" w:name="_Toc7502"/>
      <w:bookmarkStart w:id="151" w:name="_Ref467378121"/>
      <w:bookmarkStart w:id="152" w:name="_Toc259093683"/>
      <w:bookmarkStart w:id="153" w:name="_Toc279701254"/>
      <w:bookmarkStart w:id="154" w:name="_Toc487900364"/>
      <w:r>
        <w:rPr>
          <w:rFonts w:hint="eastAsia" w:ascii="仿宋" w:hAnsi="仿宋" w:eastAsia="仿宋" w:cs="仿宋"/>
          <w:b/>
          <w:color w:val="auto"/>
          <w:sz w:val="24"/>
          <w:highlight w:val="none"/>
        </w:rPr>
        <w:t>2.10 合同变更</w:t>
      </w:r>
      <w:bookmarkEnd w:id="15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155" w:name="_Toc259093688"/>
      <w:bookmarkStart w:id="156" w:name="_Toc279701259"/>
      <w:bookmarkStart w:id="157" w:name="_Toc487900369"/>
    </w:p>
    <w:p>
      <w:pPr>
        <w:spacing w:line="560" w:lineRule="exact"/>
        <w:ind w:firstLine="482" w:firstLineChars="200"/>
        <w:outlineLvl w:val="0"/>
        <w:rPr>
          <w:rFonts w:hint="eastAsia" w:ascii="仿宋" w:hAnsi="仿宋" w:eastAsia="仿宋" w:cs="仿宋"/>
          <w:b/>
          <w:color w:val="auto"/>
          <w:sz w:val="24"/>
          <w:highlight w:val="none"/>
        </w:rPr>
      </w:pPr>
      <w:bookmarkStart w:id="158" w:name="_Toc10366"/>
      <w:bookmarkStart w:id="159" w:name="_Toc15237"/>
      <w:bookmarkStart w:id="160" w:name="_Toc22955"/>
      <w:r>
        <w:rPr>
          <w:rFonts w:hint="eastAsia" w:ascii="仿宋" w:hAnsi="仿宋" w:eastAsia="仿宋" w:cs="仿宋"/>
          <w:b/>
          <w:color w:val="auto"/>
          <w:sz w:val="24"/>
          <w:highlight w:val="none"/>
        </w:rPr>
        <w:t>2.11 合同转让</w:t>
      </w:r>
      <w:bookmarkEnd w:id="155"/>
      <w:bookmarkEnd w:id="156"/>
      <w:bookmarkEnd w:id="157"/>
      <w:r>
        <w:rPr>
          <w:rFonts w:hint="eastAsia" w:ascii="仿宋" w:hAnsi="仿宋" w:eastAsia="仿宋" w:cs="仿宋"/>
          <w:b/>
          <w:color w:val="auto"/>
          <w:sz w:val="24"/>
          <w:highlight w:val="none"/>
        </w:rPr>
        <w:t>和分包</w:t>
      </w:r>
      <w:bookmarkEnd w:id="158"/>
      <w:bookmarkEnd w:id="159"/>
      <w:bookmarkEnd w:id="16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pPr>
        <w:spacing w:line="560" w:lineRule="exact"/>
        <w:ind w:firstLine="482" w:firstLineChars="200"/>
        <w:outlineLvl w:val="0"/>
        <w:rPr>
          <w:rFonts w:hint="eastAsia" w:ascii="仿宋" w:hAnsi="仿宋" w:eastAsia="仿宋" w:cs="仿宋"/>
          <w:b/>
          <w:color w:val="auto"/>
          <w:sz w:val="24"/>
          <w:highlight w:val="none"/>
        </w:rPr>
      </w:pPr>
      <w:bookmarkStart w:id="161" w:name="_Toc16508"/>
      <w:bookmarkStart w:id="162" w:name="_Toc13566"/>
      <w:bookmarkStart w:id="163" w:name="_Toc14066"/>
      <w:r>
        <w:rPr>
          <w:rFonts w:hint="eastAsia" w:ascii="仿宋" w:hAnsi="仿宋" w:eastAsia="仿宋" w:cs="仿宋"/>
          <w:b/>
          <w:color w:val="auto"/>
          <w:sz w:val="24"/>
          <w:highlight w:val="none"/>
        </w:rPr>
        <w:t>2.12 不可抗力</w:t>
      </w:r>
      <w:bookmarkEnd w:id="161"/>
      <w:bookmarkEnd w:id="162"/>
      <w:bookmarkEnd w:id="16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highlight w:val="none"/>
        </w:rPr>
      </w:pPr>
      <w:bookmarkStart w:id="164" w:name="_Toc279701255"/>
      <w:bookmarkStart w:id="165" w:name="_Toc487900365"/>
      <w:bookmarkStart w:id="166" w:name="_Toc6969"/>
      <w:bookmarkStart w:id="167" w:name="_Toc259093684"/>
      <w:bookmarkStart w:id="168" w:name="_Toc30676"/>
      <w:bookmarkStart w:id="169" w:name="_Toc689"/>
      <w:r>
        <w:rPr>
          <w:rFonts w:hint="eastAsia" w:ascii="仿宋" w:hAnsi="仿宋" w:eastAsia="仿宋" w:cs="仿宋"/>
          <w:b/>
          <w:color w:val="auto"/>
          <w:sz w:val="24"/>
          <w:highlight w:val="none"/>
        </w:rPr>
        <w:t>2.13 税费</w:t>
      </w:r>
      <w:bookmarkEnd w:id="164"/>
      <w:bookmarkEnd w:id="165"/>
      <w:bookmarkEnd w:id="166"/>
      <w:bookmarkEnd w:id="167"/>
      <w:bookmarkEnd w:id="168"/>
      <w:bookmarkEnd w:id="16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pPr>
        <w:spacing w:line="560" w:lineRule="exact"/>
        <w:ind w:firstLine="482" w:firstLineChars="200"/>
        <w:outlineLvl w:val="0"/>
        <w:rPr>
          <w:rFonts w:hint="eastAsia" w:ascii="仿宋" w:hAnsi="仿宋" w:eastAsia="仿宋" w:cs="仿宋"/>
          <w:b/>
          <w:color w:val="auto"/>
          <w:sz w:val="24"/>
          <w:highlight w:val="none"/>
        </w:rPr>
      </w:pPr>
      <w:bookmarkStart w:id="170" w:name="_Toc487900368"/>
      <w:bookmarkStart w:id="171" w:name="_Toc7102"/>
      <w:bookmarkStart w:id="172" w:name="_Toc16959"/>
      <w:bookmarkStart w:id="173" w:name="_Toc279701258"/>
      <w:bookmarkStart w:id="174" w:name="_Toc8298"/>
      <w:bookmarkStart w:id="175" w:name="_Toc259093687"/>
      <w:r>
        <w:rPr>
          <w:rFonts w:hint="eastAsia" w:ascii="仿宋" w:hAnsi="仿宋" w:eastAsia="仿宋" w:cs="仿宋"/>
          <w:b/>
          <w:color w:val="auto"/>
          <w:sz w:val="24"/>
          <w:highlight w:val="none"/>
        </w:rPr>
        <w:t>2.14乙方破产</w:t>
      </w:r>
      <w:bookmarkEnd w:id="170"/>
      <w:bookmarkEnd w:id="171"/>
      <w:bookmarkEnd w:id="172"/>
      <w:bookmarkEnd w:id="173"/>
      <w:bookmarkEnd w:id="174"/>
      <w:bookmarkEnd w:id="17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highlight w:val="none"/>
        </w:rPr>
      </w:pPr>
      <w:bookmarkStart w:id="176" w:name="_Toc15387"/>
      <w:bookmarkStart w:id="177" w:name="_Toc29333"/>
      <w:bookmarkStart w:id="178" w:name="_Toc6134"/>
      <w:r>
        <w:rPr>
          <w:rFonts w:hint="eastAsia" w:ascii="仿宋" w:hAnsi="仿宋" w:eastAsia="仿宋" w:cs="仿宋"/>
          <w:b/>
          <w:color w:val="auto"/>
          <w:sz w:val="24"/>
          <w:highlight w:val="none"/>
        </w:rPr>
        <w:t>2.15 合同中止、终止</w:t>
      </w:r>
      <w:bookmarkEnd w:id="176"/>
      <w:bookmarkEnd w:id="177"/>
      <w:bookmarkEnd w:id="17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179" w:name="_Toc6596"/>
      <w:bookmarkStart w:id="180" w:name="_Toc14563"/>
      <w:bookmarkStart w:id="181" w:name="_Toc1125"/>
      <w:r>
        <w:rPr>
          <w:rFonts w:hint="eastAsia" w:ascii="仿宋" w:hAnsi="仿宋" w:eastAsia="仿宋" w:cs="仿宋"/>
          <w:b/>
          <w:color w:val="auto"/>
          <w:sz w:val="24"/>
          <w:highlight w:val="none"/>
        </w:rPr>
        <w:t>2.16检验和验收</w:t>
      </w:r>
      <w:bookmarkEnd w:id="179"/>
      <w:bookmarkEnd w:id="180"/>
      <w:bookmarkEnd w:id="181"/>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151"/>
    <w:bookmarkEnd w:id="152"/>
    <w:bookmarkEnd w:id="153"/>
    <w:bookmarkEnd w:id="154"/>
    <w:p>
      <w:pPr>
        <w:spacing w:line="560" w:lineRule="exact"/>
        <w:ind w:firstLine="482" w:firstLineChars="200"/>
        <w:outlineLvl w:val="0"/>
        <w:rPr>
          <w:rFonts w:hint="eastAsia" w:ascii="仿宋" w:hAnsi="仿宋" w:eastAsia="仿宋" w:cs="仿宋"/>
          <w:b/>
          <w:color w:val="auto"/>
          <w:sz w:val="24"/>
          <w:highlight w:val="none"/>
        </w:rPr>
      </w:pPr>
      <w:bookmarkStart w:id="182" w:name="_Toc487900371"/>
      <w:bookmarkStart w:id="183" w:name="_Toc259093690"/>
      <w:bookmarkStart w:id="184" w:name="_Toc279701261"/>
      <w:bookmarkStart w:id="185" w:name="_Toc11284"/>
      <w:bookmarkStart w:id="186" w:name="_Toc25182"/>
      <w:bookmarkStart w:id="187" w:name="_Toc19604"/>
      <w:r>
        <w:rPr>
          <w:rFonts w:hint="eastAsia" w:ascii="仿宋" w:hAnsi="仿宋" w:eastAsia="仿宋" w:cs="仿宋"/>
          <w:b/>
          <w:color w:val="auto"/>
          <w:sz w:val="24"/>
          <w:highlight w:val="none"/>
        </w:rPr>
        <w:t>2.17 通知</w:t>
      </w:r>
      <w:bookmarkEnd w:id="182"/>
      <w:bookmarkEnd w:id="183"/>
      <w:bookmarkEnd w:id="184"/>
      <w:r>
        <w:rPr>
          <w:rFonts w:hint="eastAsia" w:ascii="仿宋" w:hAnsi="仿宋" w:eastAsia="仿宋" w:cs="仿宋"/>
          <w:b/>
          <w:color w:val="auto"/>
          <w:sz w:val="24"/>
          <w:highlight w:val="none"/>
        </w:rPr>
        <w:t>和送达</w:t>
      </w:r>
      <w:bookmarkEnd w:id="185"/>
      <w:bookmarkEnd w:id="186"/>
      <w:bookmarkEnd w:id="187"/>
    </w:p>
    <w:p>
      <w:pPr>
        <w:spacing w:line="560" w:lineRule="exact"/>
        <w:ind w:firstLine="480" w:firstLineChars="200"/>
        <w:rPr>
          <w:rFonts w:hint="eastAsia" w:ascii="仿宋" w:hAnsi="仿宋" w:eastAsia="仿宋" w:cs="仿宋"/>
          <w:color w:val="auto"/>
          <w:sz w:val="24"/>
          <w:highlight w:val="none"/>
        </w:rPr>
      </w:pPr>
      <w:bookmarkStart w:id="188" w:name="_Toc3135"/>
      <w:bookmarkStart w:id="189" w:name="_Toc6698"/>
      <w:bookmarkStart w:id="190" w:name="_Toc259093691"/>
      <w:bookmarkStart w:id="191" w:name="_Toc279701262"/>
      <w:bookmarkStart w:id="192" w:name="_Toc487900372"/>
      <w:r>
        <w:rPr>
          <w:rFonts w:hint="eastAsia" w:ascii="仿宋" w:hAnsi="仿宋" w:eastAsia="仿宋" w:cs="仿宋"/>
          <w:color w:val="auto"/>
          <w:sz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188"/>
      <w:bookmarkEnd w:id="189"/>
    </w:p>
    <w:p>
      <w:pPr>
        <w:spacing w:line="560" w:lineRule="exact"/>
        <w:ind w:firstLine="480" w:firstLineChars="200"/>
        <w:rPr>
          <w:rFonts w:hint="eastAsia" w:ascii="仿宋" w:hAnsi="仿宋" w:eastAsia="仿宋" w:cs="仿宋"/>
          <w:color w:val="auto"/>
          <w:sz w:val="24"/>
          <w:highlight w:val="none"/>
        </w:rPr>
      </w:pPr>
      <w:bookmarkStart w:id="193" w:name="_Toc23128"/>
      <w:bookmarkStart w:id="194" w:name="_Toc23294"/>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93"/>
      <w:bookmarkEnd w:id="194"/>
    </w:p>
    <w:p>
      <w:pPr>
        <w:spacing w:line="560" w:lineRule="exact"/>
        <w:ind w:firstLine="482" w:firstLineChars="200"/>
        <w:outlineLvl w:val="0"/>
        <w:rPr>
          <w:rFonts w:hint="eastAsia" w:ascii="仿宋" w:hAnsi="仿宋" w:eastAsia="仿宋" w:cs="仿宋"/>
          <w:b/>
          <w:color w:val="auto"/>
          <w:sz w:val="24"/>
          <w:highlight w:val="none"/>
        </w:rPr>
      </w:pPr>
      <w:bookmarkStart w:id="195" w:name="_Toc18540"/>
      <w:bookmarkStart w:id="196" w:name="_Toc30599"/>
      <w:bookmarkStart w:id="197" w:name="_Toc4355"/>
      <w:r>
        <w:rPr>
          <w:rFonts w:hint="eastAsia" w:ascii="仿宋" w:hAnsi="仿宋" w:eastAsia="仿宋" w:cs="仿宋"/>
          <w:b/>
          <w:color w:val="auto"/>
          <w:sz w:val="24"/>
          <w:highlight w:val="none"/>
        </w:rPr>
        <w:t>2.18 计量单位</w:t>
      </w:r>
      <w:bookmarkEnd w:id="190"/>
      <w:bookmarkEnd w:id="191"/>
      <w:bookmarkEnd w:id="192"/>
      <w:bookmarkEnd w:id="195"/>
      <w:bookmarkEnd w:id="196"/>
      <w:bookmarkEnd w:id="19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outlineLvl w:val="0"/>
        <w:rPr>
          <w:rFonts w:hint="eastAsia" w:ascii="仿宋" w:hAnsi="仿宋" w:eastAsia="仿宋" w:cs="仿宋"/>
          <w:b/>
          <w:color w:val="auto"/>
          <w:sz w:val="24"/>
          <w:highlight w:val="none"/>
        </w:rPr>
      </w:pPr>
      <w:bookmarkStart w:id="198" w:name="_Toc279701263"/>
      <w:bookmarkStart w:id="199" w:name="_Toc10330"/>
      <w:bookmarkStart w:id="200" w:name="_Toc12773"/>
      <w:bookmarkStart w:id="201" w:name="_Toc487900373"/>
      <w:bookmarkStart w:id="202" w:name="_Toc259093692"/>
      <w:bookmarkStart w:id="203" w:name="_Toc18567"/>
      <w:r>
        <w:rPr>
          <w:rFonts w:hint="eastAsia" w:ascii="仿宋" w:hAnsi="仿宋" w:eastAsia="仿宋" w:cs="仿宋"/>
          <w:b/>
          <w:color w:val="auto"/>
          <w:sz w:val="24"/>
          <w:highlight w:val="none"/>
        </w:rPr>
        <w:t>2.19 合同使用的文字和适用的法律</w:t>
      </w:r>
      <w:bookmarkEnd w:id="198"/>
      <w:bookmarkEnd w:id="199"/>
      <w:bookmarkEnd w:id="200"/>
      <w:bookmarkEnd w:id="201"/>
      <w:bookmarkEnd w:id="202"/>
      <w:bookmarkEnd w:id="20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pPr>
        <w:spacing w:line="560" w:lineRule="exact"/>
        <w:ind w:firstLine="482" w:firstLineChars="200"/>
        <w:outlineLvl w:val="0"/>
        <w:rPr>
          <w:rFonts w:hint="eastAsia" w:ascii="仿宋" w:hAnsi="仿宋" w:eastAsia="仿宋" w:cs="仿宋"/>
          <w:b/>
          <w:color w:val="auto"/>
          <w:sz w:val="24"/>
          <w:highlight w:val="none"/>
        </w:rPr>
      </w:pPr>
      <w:bookmarkStart w:id="204" w:name="_Toc19890"/>
      <w:bookmarkStart w:id="205" w:name="_Toc14001"/>
      <w:bookmarkStart w:id="206" w:name="_Toc6885"/>
      <w:r>
        <w:rPr>
          <w:rFonts w:hint="eastAsia" w:ascii="仿宋" w:hAnsi="仿宋" w:eastAsia="仿宋" w:cs="仿宋"/>
          <w:b/>
          <w:color w:val="auto"/>
          <w:sz w:val="24"/>
          <w:highlight w:val="none"/>
        </w:rPr>
        <w:t>2.20 合同份数</w:t>
      </w:r>
      <w:bookmarkEnd w:id="204"/>
      <w:bookmarkEnd w:id="205"/>
      <w:bookmarkEnd w:id="20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spacing w:line="360" w:lineRule="auto"/>
        <w:jc w:val="center"/>
        <w:outlineLvl w:val="0"/>
        <w:rPr>
          <w:rFonts w:hint="eastAsia" w:ascii="仿宋" w:hAnsi="仿宋" w:eastAsia="仿宋" w:cs="仿宋"/>
          <w:b/>
          <w:color w:val="auto"/>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32"/>
          <w:szCs w:val="20"/>
          <w:highlight w:val="none"/>
        </w:rPr>
        <w:t xml:space="preserve"> 第三部分  合同专用条款</w:t>
      </w:r>
    </w:p>
    <w:p>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76"/>
        <w:gridCol w:w="75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534" w:type="pct"/>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534"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后，卖方5个工作日内支付合同金额的1%作为履约保证金（提交方式：转账、支票、汇票、本票或者金融机构、担保机构出具的保函等形式），合同期满后买方按程序在7个工作日内无息退还（保函有效期不少于合同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534"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后5个工作日内乙方提交合同金额的1%履约保证金，甲方收到乙方出具相应金额的增值税发票及具备付款条件后7个工作日内，向乙方支付合同总额40%的预付款，乙方完成全部货物，甲方验收合格并收到乙方出具相应金额增值税发票后7个工作日内，甲方支付剩余的合同款并退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1.5.2 </w:t>
            </w:r>
          </w:p>
        </w:tc>
        <w:tc>
          <w:tcPr>
            <w:tcW w:w="4534"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按合同约定扣款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1.5.3</w:t>
            </w:r>
          </w:p>
        </w:tc>
        <w:tc>
          <w:tcPr>
            <w:tcW w:w="4534"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按合同约定扣款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534"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生效后，甲方收到乙方出具相应金额的增值税发票及具备付款条件后7个工作日内，向乙方支付合同总额40%的预付款，乙方完成全部服务，甲方验收合格并收到乙方出具相应金额增值税发票后7个工作日内，甲方支付剩余的合同款并退还保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534"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Hans"/>
              </w:rPr>
              <w:t>合同签订后，</w:t>
            </w:r>
            <w:r>
              <w:rPr>
                <w:rFonts w:hint="eastAsia" w:ascii="仿宋" w:hAnsi="仿宋" w:eastAsia="仿宋" w:cs="仿宋"/>
                <w:color w:val="auto"/>
                <w:sz w:val="24"/>
                <w:highlight w:val="none"/>
              </w:rPr>
              <w:t>中标</w:t>
            </w:r>
            <w:r>
              <w:rPr>
                <w:rFonts w:hint="eastAsia" w:ascii="仿宋" w:hAnsi="仿宋" w:eastAsia="仿宋" w:cs="仿宋"/>
                <w:color w:val="auto"/>
                <w:sz w:val="24"/>
                <w:highlight w:val="none"/>
                <w:lang w:eastAsia="zh-Hans"/>
              </w:rPr>
              <w:t>供货商</w:t>
            </w:r>
            <w:r>
              <w:rPr>
                <w:rFonts w:hint="eastAsia" w:ascii="仿宋" w:hAnsi="仿宋" w:eastAsia="仿宋" w:cs="仿宋"/>
                <w:color w:val="auto"/>
                <w:sz w:val="24"/>
                <w:highlight w:val="none"/>
              </w:rPr>
              <w:t>30</w:t>
            </w:r>
            <w:r>
              <w:rPr>
                <w:rFonts w:hint="eastAsia" w:ascii="仿宋" w:hAnsi="仿宋" w:eastAsia="仿宋" w:cs="仿宋"/>
                <w:color w:val="auto"/>
                <w:sz w:val="24"/>
                <w:highlight w:val="none"/>
                <w:lang w:eastAsia="zh-CN"/>
              </w:rPr>
              <w:t>日历</w:t>
            </w:r>
            <w:r>
              <w:rPr>
                <w:rFonts w:hint="eastAsia" w:ascii="仿宋" w:hAnsi="仿宋" w:eastAsia="仿宋" w:cs="仿宋"/>
                <w:color w:val="auto"/>
                <w:sz w:val="24"/>
                <w:highlight w:val="none"/>
              </w:rPr>
              <w:t>天</w:t>
            </w:r>
            <w:r>
              <w:rPr>
                <w:rFonts w:hint="eastAsia" w:ascii="仿宋" w:hAnsi="仿宋" w:eastAsia="仿宋" w:cs="仿宋"/>
                <w:color w:val="auto"/>
                <w:sz w:val="24"/>
                <w:highlight w:val="none"/>
                <w:lang w:eastAsia="zh-Hans"/>
              </w:rPr>
              <w:t>内将货物及时送达甲方指定的地点并完成设备安装和调试，如未按采购人指定时间完成安装调试，采购方有权终止合同。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534"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534"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现场交货：乙方负责办理运输和保险，将货物运抵甲方指定的现场并落地就位。有关运输和保险的一切费用由乙方承担。所有货物</w:t>
            </w:r>
            <w:r>
              <w:rPr>
                <w:rFonts w:hint="eastAsia" w:ascii="仿宋" w:hAnsi="仿宋" w:eastAsia="仿宋" w:cs="仿宋"/>
                <w:color w:val="auto"/>
                <w:sz w:val="24"/>
                <w:highlight w:val="none"/>
                <w:lang w:eastAsia="zh-Hans"/>
              </w:rPr>
              <w:t>安装和调试完成</w:t>
            </w:r>
            <w:r>
              <w:rPr>
                <w:rFonts w:hint="eastAsia" w:ascii="仿宋" w:hAnsi="仿宋" w:eastAsia="仿宋" w:cs="仿宋"/>
                <w:color w:val="auto"/>
                <w:sz w:val="24"/>
                <w:highlight w:val="none"/>
              </w:rPr>
              <w:t>日期为交货日期。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1.8.6</w:t>
            </w:r>
          </w:p>
        </w:tc>
        <w:tc>
          <w:tcPr>
            <w:tcW w:w="4534"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1、甲方无正当理由拒收货物的，甲方向乙方偿付拒收货款总值的百分之五违约金。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2、甲方无故逾期验收和办理货款支付手续的,甲方应按逾期付款总额每日万分之五向乙方支付违约金。</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3、乙方逾期交付货物的，乙方应按逾期交货总额每日</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向甲方支付违约金，由甲方从待付货款中扣除。逾期超过约定日期5个工作日不能交货的，甲方可解除本合同。乙方因逾期交货或因其他违约行为导致甲方解除合同的，乙方应向甲方支付合同总值</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%的违约金，如造成甲方损失超过违约金的，超出部分由乙方继续承担赔偿责任。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534"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534"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534"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乙方应保证所提供的货物或其任何一部分均不会侵犯任何第三方的知识产权，若有则由乙方全权负责。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w:t>
            </w:r>
          </w:p>
        </w:tc>
        <w:tc>
          <w:tcPr>
            <w:tcW w:w="4534" w:type="pct"/>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2.4.3</w:t>
            </w:r>
          </w:p>
        </w:tc>
        <w:tc>
          <w:tcPr>
            <w:tcW w:w="4534"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原厂原装，</w:t>
            </w:r>
            <w:r>
              <w:rPr>
                <w:rFonts w:hint="eastAsia" w:ascii="仿宋" w:hAnsi="仿宋" w:eastAsia="仿宋" w:cs="仿宋"/>
                <w:color w:val="auto"/>
                <w:sz w:val="24"/>
                <w:highlight w:val="none"/>
                <w:lang w:eastAsia="zh-Hans"/>
              </w:rPr>
              <w:t>不接受拆改配第三方配件。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2.8 </w:t>
            </w:r>
          </w:p>
        </w:tc>
        <w:tc>
          <w:tcPr>
            <w:tcW w:w="4534" w:type="pct"/>
          </w:tcPr>
          <w:p>
            <w:pPr>
              <w:spacing w:line="360" w:lineRule="auto"/>
              <w:rPr>
                <w:rFonts w:hint="eastAsia"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为了保证设备在长途运输和装卸过程中的安全，产品包装应符合国家或专业（部）标准规定。由于包装不善导致设备锈蚀、失缺或损坏，由乙方承担一切责任。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4534" w:type="pct"/>
            <w:vAlign w:val="center"/>
          </w:tcPr>
          <w:p>
            <w:pPr>
              <w:spacing w:line="360" w:lineRule="auto"/>
              <w:rPr>
                <w:rFonts w:hint="eastAsia"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3个工作日内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4534" w:type="pct"/>
            <w:vAlign w:val="center"/>
          </w:tcPr>
          <w:p>
            <w:pPr>
              <w:spacing w:line="360" w:lineRule="auto"/>
              <w:rPr>
                <w:rFonts w:hint="eastAsia"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3个工作日内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4534"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Hans"/>
              </w:rPr>
              <w:t>3个工作日内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4534"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甲方按政府采购验收程序进行验收，并可邀请第三方参与验收。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2.20 </w:t>
            </w:r>
          </w:p>
        </w:tc>
        <w:tc>
          <w:tcPr>
            <w:tcW w:w="4534"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本合同壹式肆份，具有同等法律效力，甲、乙双方各执贰份。</w:t>
            </w:r>
          </w:p>
        </w:tc>
      </w:tr>
    </w:tbl>
    <w:p>
      <w:pPr>
        <w:rPr>
          <w:color w:val="auto"/>
          <w:highlight w:val="none"/>
        </w:rPr>
      </w:pPr>
    </w:p>
    <w:p>
      <w:pPr>
        <w:spacing w:line="360" w:lineRule="auto"/>
        <w:ind w:firstLine="3845" w:firstLineChars="1197"/>
        <w:outlineLvl w:val="0"/>
        <w:rPr>
          <w:rFonts w:ascii="宋体" w:hAnsi="宋体" w:cs="宋体"/>
          <w:b/>
          <w:color w:val="auto"/>
          <w:sz w:val="32"/>
          <w:szCs w:val="20"/>
          <w:highlight w:val="none"/>
        </w:rPr>
      </w:pPr>
    </w:p>
    <w:p>
      <w:pPr>
        <w:pStyle w:val="32"/>
        <w:spacing w:line="400" w:lineRule="exact"/>
        <w:ind w:firstLine="542" w:firstLineChars="150"/>
        <w:jc w:val="center"/>
        <w:rPr>
          <w:rFonts w:hint="eastAsia" w:ascii="仿宋" w:hAnsi="仿宋" w:eastAsia="仿宋" w:cs="仿宋_GB2312"/>
          <w:b/>
          <w:color w:val="auto"/>
          <w:sz w:val="36"/>
          <w:szCs w:val="20"/>
          <w:highlight w:val="none"/>
        </w:rPr>
      </w:pPr>
    </w:p>
    <w:p>
      <w:pPr>
        <w:pStyle w:val="32"/>
        <w:spacing w:line="400" w:lineRule="exact"/>
        <w:ind w:firstLine="542" w:firstLineChars="150"/>
        <w:jc w:val="cente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第五部分  应提交的有关格式范例</w:t>
      </w:r>
    </w:p>
    <w:p>
      <w:pPr>
        <w:rPr>
          <w:rFonts w:ascii="仿宋_GB2312" w:hAnsi="仿宋" w:eastAsia="仿宋_GB2312" w:cs="仿宋_GB2312"/>
          <w:b/>
          <w:color w:val="auto"/>
          <w:kern w:val="0"/>
          <w:sz w:val="36"/>
          <w:szCs w:val="36"/>
          <w:highlight w:val="none"/>
        </w:rPr>
      </w:pPr>
    </w:p>
    <w:p>
      <w:pPr>
        <w:jc w:val="center"/>
        <w:outlineLvl w:val="1"/>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pPr>
        <w:jc w:val="center"/>
        <w:rPr>
          <w:rFonts w:ascii="仿宋" w:hAnsi="仿宋" w:eastAsia="仿宋" w:cs="仿宋_GB2312"/>
          <w:b/>
          <w:color w:val="auto"/>
          <w:kern w:val="0"/>
          <w:sz w:val="36"/>
          <w:szCs w:val="36"/>
          <w:highlight w:val="none"/>
        </w:rPr>
      </w:pPr>
    </w:p>
    <w:p>
      <w:pPr>
        <w:jc w:val="center"/>
        <w:rPr>
          <w:rFonts w:ascii="仿宋" w:hAnsi="仿宋" w:eastAsia="仿宋" w:cs="仿宋_GB2312"/>
          <w:b/>
          <w:color w:val="auto"/>
          <w:kern w:val="0"/>
          <w:sz w:val="36"/>
          <w:szCs w:val="36"/>
          <w:highlight w:val="none"/>
        </w:rPr>
      </w:pPr>
    </w:p>
    <w:p>
      <w:pPr>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rPr>
          <w:rFonts w:ascii="仿宋" w:hAnsi="仿宋" w:eastAsia="仿宋" w:cs="仿宋_GB2312"/>
          <w:b/>
          <w:color w:val="auto"/>
          <w:kern w:val="0"/>
          <w:sz w:val="36"/>
          <w:szCs w:val="36"/>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1）符合参加政府采购活动应当具备的一般条件的承诺函……</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48</w:t>
      </w:r>
      <w:r>
        <w:rPr>
          <w:rFonts w:hint="eastAsia" w:ascii="仿宋" w:hAnsi="仿宋" w:eastAsia="仿宋" w:cs="仿宋_GB2312"/>
          <w:color w:val="auto"/>
          <w:highlight w:val="none"/>
        </w:rPr>
        <w:t>页</w:t>
      </w:r>
      <w:r>
        <w:rPr>
          <w:rFonts w:hint="eastAsia" w:ascii="仿宋" w:hAnsi="仿宋" w:eastAsia="仿宋" w:cs="仿宋_GB2312"/>
          <w:color w:val="auto"/>
          <w:sz w:val="24"/>
          <w:highlight w:val="none"/>
        </w:rPr>
        <w:t>）</w:t>
      </w:r>
    </w:p>
    <w:p>
      <w:pPr>
        <w:snapToGrid w:val="0"/>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2）落实政府采购政策需满足的资格要求……</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49</w:t>
      </w:r>
      <w:r>
        <w:rPr>
          <w:rFonts w:hint="eastAsia" w:ascii="仿宋" w:hAnsi="仿宋" w:eastAsia="仿宋" w:cs="仿宋_GB2312"/>
          <w:color w:val="auto"/>
          <w:highlight w:val="none"/>
        </w:rPr>
        <w:t>页</w:t>
      </w:r>
      <w:r>
        <w:rPr>
          <w:rFonts w:hint="eastAsia" w:ascii="仿宋" w:hAnsi="仿宋" w:eastAsia="仿宋" w:cs="仿宋_GB2312"/>
          <w:color w:val="auto"/>
          <w:sz w:val="24"/>
          <w:highlight w:val="none"/>
        </w:rPr>
        <w:t>）</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3</w:t>
      </w:r>
      <w:r>
        <w:rPr>
          <w:rFonts w:ascii="仿宋" w:hAnsi="仿宋" w:eastAsia="仿宋" w:cs="仿宋_GB2312"/>
          <w:color w:val="auto"/>
          <w:sz w:val="24"/>
          <w:highlight w:val="none"/>
        </w:rPr>
        <w:t>）</w:t>
      </w:r>
      <w:r>
        <w:rPr>
          <w:rFonts w:hint="eastAsia" w:ascii="仿宋" w:hAnsi="仿宋" w:eastAsia="仿宋" w:cs="仿宋"/>
          <w:color w:val="auto"/>
          <w:sz w:val="24"/>
          <w:highlight w:val="none"/>
        </w:rPr>
        <w:t>采购供应商廉洁自律承诺书</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52</w:t>
      </w:r>
      <w:r>
        <w:rPr>
          <w:rFonts w:hint="eastAsia" w:ascii="仿宋" w:hAnsi="仿宋" w:eastAsia="仿宋" w:cs="仿宋_GB2312"/>
          <w:color w:val="auto"/>
          <w:highlight w:val="none"/>
        </w:rPr>
        <w:t>页</w:t>
      </w:r>
      <w:r>
        <w:rPr>
          <w:rFonts w:hint="eastAsia" w:ascii="仿宋" w:hAnsi="仿宋" w:eastAsia="仿宋" w:cs="仿宋_GB2312"/>
          <w:color w:val="auto"/>
          <w:sz w:val="24"/>
          <w:highlight w:val="none"/>
        </w:rPr>
        <w:t>）</w:t>
      </w:r>
    </w:p>
    <w:p>
      <w:pPr>
        <w:snapToGrid w:val="0"/>
        <w:spacing w:line="360" w:lineRule="auto"/>
        <w:rPr>
          <w:rFonts w:hint="eastAsia" w:ascii="仿宋" w:hAnsi="仿宋" w:eastAsia="仿宋" w:cs="仿宋_GB2312"/>
          <w:color w:val="auto"/>
          <w:sz w:val="24"/>
          <w:highlight w:val="none"/>
        </w:rPr>
      </w:pP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 w:hAnsi="仿宋" w:eastAsia="仿宋" w:cs="仿宋_GB2312"/>
          <w:b/>
          <w:color w:val="auto"/>
          <w:kern w:val="0"/>
          <w:sz w:val="32"/>
          <w:szCs w:val="32"/>
          <w:highlight w:val="none"/>
        </w:rPr>
        <w:t>一、符合参加政府采购活动应当具备的一般条件的承诺函</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rPr>
        <w:t>（采购人）、（采购代理机构）</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我方参与（项目名称）【招标编号：</w:t>
      </w:r>
      <w:r>
        <w:rPr>
          <w:rFonts w:hint="eastAsia" w:ascii="仿宋" w:hAnsi="仿宋" w:eastAsia="仿宋"/>
          <w:color w:val="auto"/>
          <w:sz w:val="24"/>
          <w:highlight w:val="none"/>
        </w:rPr>
        <w:t>（采购编号）</w:t>
      </w:r>
      <w:r>
        <w:rPr>
          <w:rFonts w:hint="eastAsia" w:ascii="仿宋" w:hAnsi="仿宋" w:eastAsia="仿宋" w:cs="仿宋_GB2312"/>
          <w:color w:val="auto"/>
          <w:sz w:val="24"/>
          <w:highlight w:val="none"/>
        </w:rPr>
        <w:t>】政府采购活动，郑重承诺：</w:t>
      </w:r>
    </w:p>
    <w:p>
      <w:pPr>
        <w:snapToGrid w:val="0"/>
        <w:spacing w:line="360" w:lineRule="auto"/>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具有独立承担民事责任的能力；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 xml:space="preserve">具有良好的商业信誉和健全的财务会计制度；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具有履行合同所必需的设备和专业技术能力；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有依法缴纳税收和社会保障资金的良好记录；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参加政府采购活动前三年内，在经营活动中没有重大违法记录；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具有法律、行政法规规定的其他条件。</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（二）未被信用中国（</w:t>
      </w:r>
      <w:r>
        <w:rPr>
          <w:rFonts w:ascii="仿宋" w:hAnsi="仿宋" w:eastAsia="仿宋"/>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（三）不存在以下情况：</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4819" w:firstLineChars="2008"/>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w:t>
      </w:r>
      <w:r>
        <w:rPr>
          <w:rFonts w:ascii="仿宋" w:hAnsi="仿宋" w:eastAsia="仿宋" w:cs="仿宋_GB2312"/>
          <w:color w:val="auto"/>
          <w:kern w:val="0"/>
          <w:sz w:val="24"/>
          <w:highlight w:val="none"/>
          <w:lang w:val="zh-CN"/>
        </w:rPr>
        <w:t>(电子签名)：</w:t>
      </w:r>
    </w:p>
    <w:p>
      <w:pPr>
        <w:snapToGrid w:val="0"/>
        <w:spacing w:line="360" w:lineRule="auto"/>
        <w:ind w:firstLine="4819" w:firstLineChars="2008"/>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  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widowControl/>
        <w:adjustRightInd/>
        <w:jc w:val="left"/>
        <w:rPr>
          <w:rFonts w:ascii="仿宋" w:hAnsi="仿宋" w:eastAsia="仿宋" w:cs="Arial"/>
          <w:b/>
          <w:bCs/>
          <w:color w:val="auto"/>
          <w:szCs w:val="21"/>
          <w:highlight w:val="none"/>
        </w:rPr>
      </w:pPr>
      <w:r>
        <w:rPr>
          <w:rFonts w:ascii="仿宋" w:hAnsi="仿宋" w:eastAsia="仿宋" w:cs="Arial"/>
          <w:b/>
          <w:bCs/>
          <w:color w:val="auto"/>
          <w:szCs w:val="21"/>
          <w:highlight w:val="none"/>
        </w:rPr>
        <w:br w:type="page"/>
      </w:r>
    </w:p>
    <w:p>
      <w:pPr>
        <w:snapToGrid w:val="0"/>
        <w:spacing w:line="360" w:lineRule="auto"/>
        <w:jc w:val="left"/>
        <w:rPr>
          <w:rFonts w:ascii="仿宋" w:hAnsi="仿宋" w:eastAsia="仿宋" w:cs="Arial"/>
          <w:b/>
          <w:bCs/>
          <w:color w:val="auto"/>
          <w:sz w:val="28"/>
          <w:szCs w:val="28"/>
          <w:highlight w:val="none"/>
        </w:rPr>
      </w:pPr>
      <w:r>
        <w:rPr>
          <w:rFonts w:hint="eastAsia" w:ascii="仿宋" w:hAnsi="仿宋" w:eastAsia="仿宋" w:cs="Arial"/>
          <w:b/>
          <w:bCs/>
          <w:color w:val="auto"/>
          <w:sz w:val="28"/>
          <w:szCs w:val="28"/>
          <w:highlight w:val="none"/>
        </w:rPr>
        <w:t>附：</w:t>
      </w:r>
    </w:p>
    <w:p>
      <w:pPr>
        <w:snapToGrid w:val="0"/>
        <w:spacing w:line="360" w:lineRule="auto"/>
        <w:jc w:val="left"/>
        <w:rPr>
          <w:rFonts w:ascii="仿宋" w:hAnsi="仿宋" w:eastAsia="仿宋" w:cs="Arial"/>
          <w:b/>
          <w:bCs/>
          <w:color w:val="auto"/>
          <w:sz w:val="28"/>
          <w:szCs w:val="28"/>
          <w:highlight w:val="none"/>
        </w:rPr>
      </w:pPr>
      <w:r>
        <w:rPr>
          <w:rFonts w:hint="eastAsia" w:ascii="仿宋" w:hAnsi="仿宋" w:eastAsia="仿宋" w:cs="Arial"/>
          <w:b/>
          <w:bCs/>
          <w:color w:val="auto"/>
          <w:sz w:val="28"/>
          <w:szCs w:val="28"/>
          <w:highlight w:val="none"/>
        </w:rPr>
        <w:t>企业营业执照（或事业法人登记证书或其它工商等登记证明材料，自然人提供身份证)复制件（如为联合体，则联合体各方均应提供）；</w:t>
      </w:r>
    </w:p>
    <w:p>
      <w:pPr>
        <w:snapToGrid w:val="0"/>
        <w:spacing w:line="360" w:lineRule="auto"/>
        <w:jc w:val="left"/>
        <w:rPr>
          <w:rFonts w:ascii="仿宋" w:hAnsi="仿宋" w:eastAsia="仿宋" w:cs="Arial"/>
          <w:color w:val="auto"/>
          <w:szCs w:val="21"/>
          <w:highlight w:val="none"/>
        </w:rPr>
      </w:pPr>
    </w:p>
    <w:p>
      <w:pPr>
        <w:snapToGrid w:val="0"/>
        <w:spacing w:line="360" w:lineRule="auto"/>
        <w:jc w:val="left"/>
        <w:rPr>
          <w:rFonts w:ascii="仿宋" w:hAnsi="仿宋" w:eastAsia="仿宋" w:cs="Arial"/>
          <w:color w:val="auto"/>
          <w:sz w:val="24"/>
          <w:highlight w:val="none"/>
        </w:rPr>
      </w:pPr>
      <w:r>
        <w:rPr>
          <w:rFonts w:hint="eastAsia" w:ascii="仿宋" w:hAnsi="仿宋" w:eastAsia="仿宋" w:cs="Arial"/>
          <w:color w:val="auto"/>
          <w:sz w:val="24"/>
          <w:highlight w:val="none"/>
        </w:rPr>
        <w:t>说明：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pPr>
        <w:snapToGrid w:val="0"/>
        <w:spacing w:line="360" w:lineRule="auto"/>
        <w:jc w:val="left"/>
        <w:rPr>
          <w:rFonts w:ascii="仿宋_GB2312" w:hAnsi="仿宋" w:eastAsia="仿宋_GB2312" w:cs="仿宋_GB2312"/>
          <w:color w:val="auto"/>
          <w:kern w:val="0"/>
          <w:sz w:val="28"/>
          <w:szCs w:val="28"/>
          <w:highlight w:val="none"/>
        </w:rPr>
      </w:pPr>
      <w:r>
        <w:rPr>
          <w:rFonts w:ascii="仿宋_GB2312" w:hAnsi="仿宋" w:eastAsia="仿宋_GB2312" w:cs="仿宋_GB2312"/>
          <w:color w:val="auto"/>
          <w:kern w:val="0"/>
          <w:sz w:val="28"/>
          <w:szCs w:val="28"/>
          <w:highlight w:val="none"/>
        </w:rPr>
        <w:br w:type="page"/>
      </w:r>
    </w:p>
    <w:p>
      <w:pPr>
        <w:widowControl/>
        <w:adjustRightInd/>
        <w:jc w:val="left"/>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二、落实政府采购政策需满足的资格要求</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rPr>
        <w:t>（根据招标公告</w:t>
      </w:r>
      <w:r>
        <w:rPr>
          <w:rFonts w:hint="eastAsia" w:ascii="仿宋" w:hAnsi="仿宋" w:eastAsia="仿宋"/>
          <w:color w:val="auto"/>
          <w:sz w:val="24"/>
          <w:highlight w:val="none"/>
        </w:rPr>
        <w:t>落实政府采购政策需满足的资格要求选择提供相应的材料；未要求的，无需提供</w:t>
      </w:r>
      <w:r>
        <w:rPr>
          <w:rFonts w:hint="eastAsia" w:ascii="仿宋" w:hAnsi="仿宋" w:eastAsia="仿宋" w:cs="仿宋_GB2312"/>
          <w:color w:val="auto"/>
          <w:sz w:val="24"/>
          <w:highlight w:val="none"/>
        </w:rPr>
        <w:t>）</w:t>
      </w:r>
    </w:p>
    <w:p>
      <w:pP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br w:type="page"/>
      </w:r>
    </w:p>
    <w:p>
      <w:pPr>
        <w:spacing w:line="460" w:lineRule="exact"/>
        <w:jc w:val="both"/>
        <w:rPr>
          <w:rFonts w:hint="default"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eastAsia="zh-CN"/>
        </w:rPr>
        <w:t>附件</w:t>
      </w:r>
      <w:r>
        <w:rPr>
          <w:rFonts w:hint="eastAsia" w:ascii="仿宋" w:hAnsi="仿宋" w:eastAsia="仿宋" w:cs="仿宋"/>
          <w:b/>
          <w:color w:val="auto"/>
          <w:kern w:val="0"/>
          <w:sz w:val="24"/>
          <w:highlight w:val="none"/>
          <w:lang w:val="en-US" w:eastAsia="zh-CN"/>
        </w:rPr>
        <w:t>1：</w:t>
      </w:r>
    </w:p>
    <w:p>
      <w:pPr>
        <w:spacing w:line="4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联合体协议书（如为联合体投标）</w:t>
      </w:r>
    </w:p>
    <w:p>
      <w:pPr>
        <w:keepNext w:val="0"/>
        <w:keepLines w:val="0"/>
        <w:pageBreakBefore w:val="0"/>
        <w:widowControl w:val="0"/>
        <w:kinsoku/>
        <w:wordWrap/>
        <w:overflowPunct/>
        <w:topLinePunct w:val="0"/>
        <w:autoSpaceDE/>
        <w:autoSpaceDN/>
        <w:bidi w:val="0"/>
        <w:adjustRightInd w:val="0"/>
        <w:spacing w:line="240" w:lineRule="auto"/>
        <w:ind w:firstLine="0" w:firstLineChars="0"/>
        <w:jc w:val="left"/>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（以联合体形式投标的，提供联合协议；本项目不接受联合体投标或者投标人不以联合体形式投标的，则不需要提供）</w:t>
      </w:r>
    </w:p>
    <w:p>
      <w:pPr>
        <w:keepNext w:val="0"/>
        <w:keepLines w:val="0"/>
        <w:pageBreakBefore w:val="0"/>
        <w:widowControl w:val="0"/>
        <w:kinsoku/>
        <w:wordWrap/>
        <w:overflowPunct/>
        <w:topLinePunct w:val="0"/>
        <w:autoSpaceDE/>
        <w:autoSpaceDN/>
        <w:bidi w:val="0"/>
        <w:adjustRightInd w:val="0"/>
        <w:snapToGrid w:val="0"/>
        <w:spacing w:line="240" w:lineRule="auto"/>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授权代表根据采购文件规定及</w:t>
      </w:r>
      <w:r>
        <w:rPr>
          <w:rFonts w:hint="eastAsia" w:ascii="仿宋" w:hAnsi="仿宋" w:eastAsia="仿宋" w:cs="仿宋"/>
          <w:color w:val="auto"/>
          <w:kern w:val="0"/>
          <w:sz w:val="24"/>
          <w:highlight w:val="none"/>
          <w:lang w:val="en-US" w:eastAsia="zh-CN"/>
        </w:rPr>
        <w:t>响应内容</w:t>
      </w:r>
      <w:r>
        <w:rPr>
          <w:rFonts w:hint="eastAsia" w:ascii="仿宋" w:hAnsi="仿宋" w:eastAsia="仿宋" w:cs="仿宋"/>
          <w:color w:val="auto"/>
          <w:kern w:val="0"/>
          <w:sz w:val="24"/>
          <w:highlight w:val="none"/>
          <w:lang w:val="zh-CN"/>
        </w:rPr>
        <w:t>而对采购人、采购机构所作的任何合法承诺，包括书面澄清及相应等均对联合投标各方产生约束力。</w:t>
      </w:r>
    </w:p>
    <w:p>
      <w:pPr>
        <w:keepNext w:val="0"/>
        <w:keepLines w:val="0"/>
        <w:pageBreakBefore w:val="0"/>
        <w:widowControl w:val="0"/>
        <w:kinsoku/>
        <w:wordWrap/>
        <w:overflowPunct/>
        <w:topLinePunct w:val="0"/>
        <w:autoSpaceDE/>
        <w:autoSpaceDN/>
        <w:bidi w:val="0"/>
        <w:adjustRightInd w:val="0"/>
        <w:snapToGrid w:val="0"/>
        <w:spacing w:line="240" w:lineRule="auto"/>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中，分工如下：</w:t>
      </w:r>
    </w:p>
    <w:p>
      <w:pPr>
        <w:keepNext w:val="0"/>
        <w:keepLines w:val="0"/>
        <w:pageBreakBefore w:val="0"/>
        <w:widowControl w:val="0"/>
        <w:kinsoku/>
        <w:wordWrap/>
        <w:overflowPunct/>
        <w:topLinePunct w:val="0"/>
        <w:autoSpaceDE/>
        <w:autoSpaceDN/>
        <w:bidi w:val="0"/>
        <w:adjustRightInd w:val="0"/>
        <w:snapToGrid w:val="0"/>
        <w:spacing w:line="240" w:lineRule="auto"/>
        <w:ind w:firstLine="576" w:firstLineChars="0"/>
        <w:jc w:val="left"/>
        <w:textAlignment w:val="auto"/>
        <w:rPr>
          <w:rFonts w:hint="eastAsia" w:ascii="仿宋" w:hAnsi="仿宋" w:eastAsia="仿宋" w:cs="仿宋"/>
          <w:color w:val="auto"/>
          <w:kern w:val="0"/>
          <w:sz w:val="24"/>
          <w:highlight w:val="none"/>
          <w:lang w:val="zh-CN"/>
        </w:rPr>
      </w:pPr>
      <w:bookmarkStart w:id="207"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207"/>
    <w:p>
      <w:pPr>
        <w:keepNext w:val="0"/>
        <w:keepLines w:val="0"/>
        <w:pageBreakBefore w:val="0"/>
        <w:widowControl w:val="0"/>
        <w:kinsoku/>
        <w:wordWrap/>
        <w:overflowPunct/>
        <w:topLinePunct w:val="0"/>
        <w:autoSpaceDE/>
        <w:autoSpaceDN/>
        <w:bidi w:val="0"/>
        <w:adjustRightInd w:val="0"/>
        <w:snapToGrid w:val="0"/>
        <w:spacing w:line="240" w:lineRule="auto"/>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keepNext w:val="0"/>
        <w:keepLines w:val="0"/>
        <w:pageBreakBefore w:val="0"/>
        <w:widowControl w:val="0"/>
        <w:kinsoku/>
        <w:wordWrap/>
        <w:overflowPunct/>
        <w:topLinePunct w:val="0"/>
        <w:autoSpaceDE/>
        <w:autoSpaceDN/>
        <w:bidi w:val="0"/>
        <w:adjustRightInd w:val="0"/>
        <w:snapToGrid w:val="0"/>
        <w:spacing w:line="240" w:lineRule="auto"/>
        <w:ind w:firstLine="576" w:firstLineChars="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全部服务由</w:t>
      </w:r>
      <w:r>
        <w:rPr>
          <w:rFonts w:hint="eastAsia" w:ascii="仿宋" w:hAnsi="仿宋" w:eastAsia="仿宋" w:cs="仿宋"/>
          <w:color w:val="auto"/>
          <w:kern w:val="0"/>
          <w:sz w:val="24"/>
          <w:highlight w:val="none"/>
          <w:lang w:val="en-US" w:eastAsia="zh-CN"/>
        </w:rPr>
        <w:t>中小/</w:t>
      </w:r>
      <w:r>
        <w:rPr>
          <w:rFonts w:hint="eastAsia" w:ascii="仿宋" w:hAnsi="仿宋" w:eastAsia="仿宋" w:cs="仿宋"/>
          <w:color w:val="auto"/>
          <w:kern w:val="0"/>
          <w:sz w:val="24"/>
          <w:highlight w:val="none"/>
        </w:rPr>
        <w:t>小微企业承接，即提供服务的人员为中小/小微企业依照《中华人民共和国劳动合同法》订立劳动合同的从业人员，其合同份额占到合同总金额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pPr>
        <w:keepNext w:val="0"/>
        <w:keepLines w:val="0"/>
        <w:pageBreakBefore w:val="0"/>
        <w:widowControl w:val="0"/>
        <w:kinsoku/>
        <w:wordWrap/>
        <w:overflowPunct/>
        <w:topLinePunct w:val="0"/>
        <w:autoSpaceDE/>
        <w:autoSpaceDN/>
        <w:bidi w:val="0"/>
        <w:adjustRightInd w:val="0"/>
        <w:snapToGrid w:val="0"/>
        <w:spacing w:line="240" w:lineRule="auto"/>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的其他事宜：</w:t>
      </w:r>
    </w:p>
    <w:p>
      <w:pPr>
        <w:keepNext w:val="0"/>
        <w:keepLines w:val="0"/>
        <w:pageBreakBefore w:val="0"/>
        <w:widowControl w:val="0"/>
        <w:kinsoku/>
        <w:wordWrap/>
        <w:overflowPunct/>
        <w:topLinePunct w:val="0"/>
        <w:autoSpaceDE/>
        <w:autoSpaceDN/>
        <w:bidi w:val="0"/>
        <w:adjustRightInd w:val="0"/>
        <w:snapToGrid w:val="0"/>
        <w:spacing w:line="240" w:lineRule="auto"/>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240" w:lineRule="auto"/>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val="0"/>
        <w:snapToGrid w:val="0"/>
        <w:spacing w:line="240" w:lineRule="auto"/>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keepNext w:val="0"/>
        <w:keepLines w:val="0"/>
        <w:pageBreakBefore w:val="0"/>
        <w:widowControl w:val="0"/>
        <w:kinsoku/>
        <w:wordWrap/>
        <w:overflowPunct/>
        <w:topLinePunct w:val="0"/>
        <w:autoSpaceDE/>
        <w:autoSpaceDN/>
        <w:bidi w:val="0"/>
        <w:adjustRightInd w:val="0"/>
        <w:snapToGrid w:val="0"/>
        <w:spacing w:line="420" w:lineRule="exact"/>
        <w:jc w:val="right"/>
        <w:textAlignment w:val="auto"/>
        <w:rPr>
          <w:rFonts w:hint="eastAsia" w:ascii="仿宋" w:hAnsi="仿宋" w:eastAsia="仿宋" w:cs="仿宋"/>
          <w:color w:val="auto"/>
          <w:kern w:val="0"/>
          <w:sz w:val="24"/>
          <w:highlight w:val="none"/>
          <w:lang w:val="zh-CN"/>
        </w:rPr>
      </w:pPr>
    </w:p>
    <w:p>
      <w:pPr>
        <w:keepNext w:val="0"/>
        <w:keepLines w:val="0"/>
        <w:pageBreakBefore w:val="0"/>
        <w:widowControl w:val="0"/>
        <w:kinsoku/>
        <w:wordWrap/>
        <w:overflowPunct/>
        <w:topLinePunct w:val="0"/>
        <w:autoSpaceDE/>
        <w:autoSpaceDN/>
        <w:bidi w:val="0"/>
        <w:adjustRightInd w:val="0"/>
        <w:snapToGrid w:val="0"/>
        <w:spacing w:line="420" w:lineRule="exact"/>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pStyle w:val="22"/>
        <w:jc w:val="center"/>
        <w:rPr>
          <w:rFonts w:hint="eastAsia" w:ascii="仿宋" w:hAnsi="仿宋" w:eastAsia="仿宋" w:cs="仿宋"/>
          <w:color w:val="auto"/>
          <w:highlight w:val="none"/>
          <w:lang w:val="zh-CN"/>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val="0"/>
        <w:snapToGrid w:val="0"/>
        <w:spacing w:line="420" w:lineRule="exact"/>
        <w:ind w:firstLine="5040" w:firstLineChars="2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widowControl/>
        <w:jc w:val="left"/>
        <w:rPr>
          <w:rFonts w:hint="eastAsia" w:ascii="仿宋" w:hAnsi="仿宋" w:eastAsia="仿宋" w:cs="仿宋"/>
          <w:b/>
          <w:color w:val="auto"/>
          <w:sz w:val="22"/>
          <w:szCs w:val="22"/>
          <w:highlight w:val="none"/>
        </w:rPr>
      </w:pPr>
    </w:p>
    <w:p>
      <w:pPr>
        <w:widowControl/>
        <w:jc w:val="left"/>
        <w:rPr>
          <w:rFonts w:hint="eastAsia" w:ascii="仿宋" w:hAnsi="仿宋" w:eastAsia="仿宋" w:cs="仿宋"/>
          <w:bCs/>
          <w:color w:val="auto"/>
          <w:sz w:val="22"/>
          <w:szCs w:val="22"/>
          <w:highlight w:val="none"/>
        </w:rPr>
      </w:pPr>
    </w:p>
    <w:p>
      <w:pPr>
        <w:pStyle w:val="23"/>
        <w:ind w:firstLine="221"/>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注：</w:t>
      </w:r>
      <w:r>
        <w:rPr>
          <w:rFonts w:hint="eastAsia" w:ascii="仿宋" w:hAnsi="仿宋" w:eastAsia="仿宋" w:cs="仿宋"/>
          <w:color w:val="auto"/>
          <w:sz w:val="24"/>
          <w:highlight w:val="none"/>
        </w:rPr>
        <w:t>按本格式和要求提供</w:t>
      </w:r>
      <w:r>
        <w:rPr>
          <w:rFonts w:hint="eastAsia" w:ascii="仿宋" w:hAnsi="仿宋" w:eastAsia="仿宋" w:cs="仿宋"/>
          <w:color w:val="auto"/>
          <w:sz w:val="24"/>
          <w:highlight w:val="none"/>
          <w:lang w:eastAsia="zh-CN"/>
        </w:rPr>
        <w:t>。</w:t>
      </w:r>
      <w:r>
        <w:rPr>
          <w:rFonts w:hint="eastAsia" w:ascii="仿宋" w:hAnsi="仿宋" w:eastAsia="仿宋" w:cs="仿宋"/>
          <w:bCs/>
          <w:color w:val="auto"/>
          <w:sz w:val="22"/>
          <w:szCs w:val="22"/>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30%以上的，采购人、采购代理机构应当对联合体或者大中型企业的报价给予4%（工程项目为2%）的扣除，用扣除后的价格参加评审。如投标人出现上述情况，须在《联合体协议书》</w:t>
      </w:r>
      <w:r>
        <w:rPr>
          <w:rFonts w:hint="eastAsia" w:ascii="仿宋" w:hAnsi="仿宋" w:eastAsia="仿宋" w:cs="仿宋"/>
          <w:bCs/>
          <w:color w:val="auto"/>
          <w:sz w:val="22"/>
          <w:szCs w:val="22"/>
          <w:highlight w:val="none"/>
          <w:lang w:val="en-US" w:eastAsia="zh-CN"/>
        </w:rPr>
        <w:t>的</w:t>
      </w:r>
      <w:r>
        <w:rPr>
          <w:rFonts w:hint="eastAsia" w:ascii="仿宋" w:hAnsi="仿宋" w:eastAsia="仿宋" w:cs="仿宋"/>
          <w:bCs/>
          <w:color w:val="auto"/>
          <w:sz w:val="22"/>
          <w:szCs w:val="22"/>
          <w:highlight w:val="none"/>
        </w:rPr>
        <w:t>职责分工中予以明确。</w:t>
      </w:r>
    </w:p>
    <w:p>
      <w:pPr>
        <w:spacing w:line="460" w:lineRule="exact"/>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br w:type="page"/>
      </w:r>
    </w:p>
    <w:p>
      <w:pPr>
        <w:spacing w:line="460" w:lineRule="exact"/>
        <w:jc w:val="both"/>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附件</w:t>
      </w:r>
      <w:r>
        <w:rPr>
          <w:rFonts w:hint="eastAsia" w:ascii="仿宋" w:hAnsi="仿宋" w:eastAsia="仿宋" w:cs="仿宋"/>
          <w:b/>
          <w:color w:val="auto"/>
          <w:kern w:val="0"/>
          <w:sz w:val="24"/>
          <w:highlight w:val="none"/>
          <w:lang w:val="en-US" w:eastAsia="zh-CN"/>
        </w:rPr>
        <w:t>2</w:t>
      </w:r>
      <w:r>
        <w:rPr>
          <w:rFonts w:hint="eastAsia" w:ascii="仿宋" w:hAnsi="仿宋" w:eastAsia="仿宋" w:cs="仿宋"/>
          <w:b/>
          <w:color w:val="auto"/>
          <w:kern w:val="0"/>
          <w:sz w:val="24"/>
          <w:highlight w:val="none"/>
        </w:rPr>
        <w:t>：</w:t>
      </w:r>
    </w:p>
    <w:p>
      <w:pPr>
        <w:spacing w:line="4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分包协议书（如为分包投标）</w:t>
      </w:r>
    </w:p>
    <w:p>
      <w:pPr>
        <w:keepNext w:val="0"/>
        <w:keepLines w:val="0"/>
        <w:pageBreakBefore w:val="0"/>
        <w:widowControl w:val="0"/>
        <w:kinsoku/>
        <w:wordWrap/>
        <w:overflowPunct/>
        <w:topLinePunct w:val="0"/>
        <w:autoSpaceDE/>
        <w:autoSpaceDN/>
        <w:bidi w:val="0"/>
        <w:adjustRightInd w:val="0"/>
        <w:spacing w:line="240" w:lineRule="auto"/>
        <w:ind w:firstLine="0" w:firstLineChars="0"/>
        <w:jc w:val="left"/>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（成交后以分包方式履行合同的，提供分包意向协议；采购人不同意分包或者供应商成交后不以分包方式履行合同的，则不需要提供。）</w:t>
      </w:r>
    </w:p>
    <w:p>
      <w:pPr>
        <w:keepNext w:val="0"/>
        <w:keepLines w:val="0"/>
        <w:pageBreakBefore w:val="0"/>
        <w:widowControl w:val="0"/>
        <w:kinsoku/>
        <w:wordWrap/>
        <w:overflowPunct/>
        <w:topLinePunct w:val="0"/>
        <w:autoSpaceDE/>
        <w:autoSpaceDN/>
        <w:bidi w:val="0"/>
        <w:adjustRightInd w:val="0"/>
        <w:snapToGrid w:val="0"/>
        <w:spacing w:line="240" w:lineRule="auto"/>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keepNext w:val="0"/>
        <w:keepLines w:val="0"/>
        <w:pageBreakBefore w:val="0"/>
        <w:widowControl w:val="0"/>
        <w:kinsoku/>
        <w:wordWrap/>
        <w:overflowPunct/>
        <w:topLinePunct w:val="0"/>
        <w:autoSpaceDE/>
        <w:autoSpaceDN/>
        <w:bidi w:val="0"/>
        <w:adjustRightInd w:val="0"/>
        <w:snapToGrid w:val="0"/>
        <w:spacing w:line="240" w:lineRule="auto"/>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keepNext w:val="0"/>
        <w:keepLines w:val="0"/>
        <w:pageBreakBefore w:val="0"/>
        <w:widowControl w:val="0"/>
        <w:kinsoku/>
        <w:wordWrap/>
        <w:overflowPunct/>
        <w:topLinePunct w:val="0"/>
        <w:autoSpaceDE/>
        <w:autoSpaceDN/>
        <w:bidi w:val="0"/>
        <w:adjustRightInd w:val="0"/>
        <w:spacing w:line="240" w:lineRule="auto"/>
        <w:ind w:firstLine="0" w:firstLineChars="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keepNext w:val="0"/>
        <w:keepLines w:val="0"/>
        <w:pageBreakBefore w:val="0"/>
        <w:widowControl w:val="0"/>
        <w:kinsoku/>
        <w:wordWrap/>
        <w:overflowPunct/>
        <w:topLinePunct w:val="0"/>
        <w:autoSpaceDE/>
        <w:autoSpaceDN/>
        <w:bidi w:val="0"/>
        <w:adjustRightInd w:val="0"/>
        <w:snapToGrid w:val="0"/>
        <w:spacing w:line="240" w:lineRule="auto"/>
        <w:ind w:firstLine="576" w:firstLineChars="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w:t>
      </w:r>
      <w:r>
        <w:rPr>
          <w:rFonts w:hint="eastAsia" w:ascii="仿宋" w:hAnsi="仿宋" w:eastAsia="仿宋" w:cs="仿宋"/>
          <w:color w:val="auto"/>
          <w:kern w:val="0"/>
          <w:sz w:val="24"/>
          <w:highlight w:val="none"/>
          <w:u w:val="single"/>
          <w:lang w:val="en-US" w:eastAsia="zh-CN"/>
        </w:rPr>
        <w:t>全部</w:t>
      </w:r>
      <w:r>
        <w:rPr>
          <w:rFonts w:hint="eastAsia" w:ascii="仿宋" w:hAnsi="仿宋" w:eastAsia="仿宋" w:cs="仿宋"/>
          <w:color w:val="auto"/>
          <w:kern w:val="0"/>
          <w:sz w:val="24"/>
          <w:highlight w:val="none"/>
          <w:u w:val="single"/>
        </w:rPr>
        <w:t>由中小/小微企业承接，即提供服务的人员为中小/小微企业依照《中华人民共和国劳动合同法》订立劳动合同的从业人员，</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p>
    <w:p>
      <w:pPr>
        <w:keepNext w:val="0"/>
        <w:keepLines w:val="0"/>
        <w:pageBreakBefore w:val="0"/>
        <w:widowControl w:val="0"/>
        <w:kinsoku/>
        <w:wordWrap/>
        <w:overflowPunct/>
        <w:topLinePunct w:val="0"/>
        <w:autoSpaceDE/>
        <w:autoSpaceDN/>
        <w:bidi w:val="0"/>
        <w:adjustRightInd w:val="0"/>
        <w:spacing w:line="240" w:lineRule="auto"/>
        <w:ind w:firstLine="480" w:firstLineChars="200"/>
        <w:jc w:val="left"/>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208"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bookmarkEnd w:id="208"/>
    </w:p>
    <w:p>
      <w:pPr>
        <w:keepNext w:val="0"/>
        <w:keepLines w:val="0"/>
        <w:pageBreakBefore w:val="0"/>
        <w:widowControl w:val="0"/>
        <w:kinsoku/>
        <w:wordWrap/>
        <w:overflowPunct/>
        <w:topLinePunct w:val="0"/>
        <w:autoSpaceDE/>
        <w:autoSpaceDN/>
        <w:bidi w:val="0"/>
        <w:adjustRightInd w:val="0"/>
        <w:snapToGrid w:val="0"/>
        <w:spacing w:line="240" w:lineRule="auto"/>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keepNext w:val="0"/>
        <w:keepLines w:val="0"/>
        <w:pageBreakBefore w:val="0"/>
        <w:widowControl w:val="0"/>
        <w:kinsoku/>
        <w:wordWrap/>
        <w:overflowPunct/>
        <w:topLinePunct w:val="0"/>
        <w:autoSpaceDE/>
        <w:autoSpaceDN/>
        <w:bidi w:val="0"/>
        <w:adjustRightInd w:val="0"/>
        <w:snapToGrid w:val="0"/>
        <w:spacing w:line="240" w:lineRule="auto"/>
        <w:ind w:firstLine="576" w:firstLineChars="0"/>
        <w:jc w:val="left"/>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keepNext w:val="0"/>
        <w:keepLines w:val="0"/>
        <w:pageBreakBefore w:val="0"/>
        <w:widowControl w:val="0"/>
        <w:kinsoku/>
        <w:wordWrap/>
        <w:overflowPunct/>
        <w:topLinePunct w:val="0"/>
        <w:autoSpaceDE/>
        <w:autoSpaceDN/>
        <w:bidi w:val="0"/>
        <w:adjustRightInd w:val="0"/>
        <w:snapToGrid w:val="0"/>
        <w:spacing w:line="240" w:lineRule="auto"/>
        <w:ind w:firstLine="576" w:firstLineChars="0"/>
        <w:jc w:val="left"/>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keepNext w:val="0"/>
        <w:keepLines w:val="0"/>
        <w:pageBreakBefore w:val="0"/>
        <w:widowControl w:val="0"/>
        <w:kinsoku/>
        <w:wordWrap/>
        <w:overflowPunct/>
        <w:topLinePunct w:val="0"/>
        <w:autoSpaceDE/>
        <w:autoSpaceDN/>
        <w:bidi w:val="0"/>
        <w:adjustRightInd w:val="0"/>
        <w:snapToGrid w:val="0"/>
        <w:spacing w:line="240" w:lineRule="auto"/>
        <w:ind w:left="573" w:leftChars="273" w:firstLine="0" w:firstLineChars="0"/>
        <w:jc w:val="left"/>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573" w:leftChars="273" w:firstLine="0"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keepNext w:val="0"/>
        <w:keepLines w:val="0"/>
        <w:pageBreakBefore w:val="0"/>
        <w:widowControl w:val="0"/>
        <w:kinsoku/>
        <w:wordWrap/>
        <w:overflowPunct/>
        <w:topLinePunct w:val="0"/>
        <w:autoSpaceDE/>
        <w:autoSpaceDN/>
        <w:bidi w:val="0"/>
        <w:adjustRightInd w:val="0"/>
        <w:snapToGrid w:val="0"/>
        <w:spacing w:line="240" w:lineRule="auto"/>
        <w:ind w:firstLine="576" w:firstLineChars="0"/>
        <w:jc w:val="left"/>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keepNext w:val="0"/>
        <w:keepLines w:val="0"/>
        <w:pageBreakBefore w:val="0"/>
        <w:widowControl w:val="0"/>
        <w:kinsoku/>
        <w:wordWrap/>
        <w:overflowPunct/>
        <w:topLinePunct w:val="0"/>
        <w:autoSpaceDE/>
        <w:autoSpaceDN/>
        <w:bidi w:val="0"/>
        <w:adjustRightInd w:val="0"/>
        <w:snapToGrid w:val="0"/>
        <w:spacing w:line="240" w:lineRule="auto"/>
        <w:ind w:firstLine="576"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5758" w:leftChars="342" w:hanging="5040" w:hangingChars="2100"/>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供应商名称(电子签名)：</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w:t>
      </w:r>
      <w:r>
        <w:rPr>
          <w:rFonts w:hint="eastAsia" w:ascii="仿宋" w:hAnsi="仿宋" w:eastAsia="仿宋" w:cs="仿宋"/>
          <w:color w:val="auto"/>
          <w:kern w:val="0"/>
          <w:sz w:val="24"/>
          <w:highlight w:val="none"/>
          <w:lang w:val="en-US" w:eastAsia="zh-CN"/>
        </w:rPr>
        <w:t>/公章</w:t>
      </w:r>
      <w:r>
        <w:rPr>
          <w:rFonts w:hint="eastAsia" w:ascii="仿宋" w:hAnsi="仿宋" w:eastAsia="仿宋" w:cs="仿宋"/>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0"/>
          <w:sz w:val="24"/>
          <w:highlight w:val="none"/>
          <w:lang w:val="zh-CN"/>
        </w:rPr>
        <w:t>日期：  年  月   日</w:t>
      </w:r>
    </w:p>
    <w:p>
      <w:pPr>
        <w:numPr>
          <w:ilvl w:val="0"/>
          <w:numId w:val="0"/>
        </w:numPr>
        <w:tabs>
          <w:tab w:val="left" w:pos="0"/>
          <w:tab w:val="left" w:pos="600"/>
        </w:tabs>
        <w:spacing w:line="240" w:lineRule="auto"/>
        <w:jc w:val="both"/>
        <w:rPr>
          <w:rFonts w:hint="eastAsia" w:ascii="仿宋" w:hAnsi="仿宋" w:eastAsia="仿宋" w:cs="仿宋"/>
          <w:color w:val="auto"/>
          <w:highlight w:val="none"/>
        </w:rPr>
      </w:pPr>
    </w:p>
    <w:p>
      <w:pPr>
        <w:widowControl/>
        <w:jc w:val="left"/>
        <w:rPr>
          <w:rFonts w:hint="eastAsia" w:ascii="仿宋" w:hAnsi="仿宋" w:eastAsia="仿宋" w:cs="仿宋"/>
          <w:bCs/>
          <w:color w:val="auto"/>
          <w:sz w:val="22"/>
          <w:szCs w:val="22"/>
          <w:highlight w:val="none"/>
        </w:rPr>
      </w:pPr>
    </w:p>
    <w:p>
      <w:pPr>
        <w:numPr>
          <w:ilvl w:val="0"/>
          <w:numId w:val="0"/>
        </w:numPr>
        <w:tabs>
          <w:tab w:val="left" w:pos="0"/>
          <w:tab w:val="left" w:pos="600"/>
        </w:tabs>
        <w:spacing w:line="240" w:lineRule="auto"/>
        <w:jc w:val="both"/>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注：按本格式和要求提供</w:t>
      </w:r>
      <w:r>
        <w:rPr>
          <w:rFonts w:hint="eastAsia" w:ascii="仿宋" w:hAnsi="仿宋" w:eastAsia="仿宋" w:cs="仿宋"/>
          <w:bCs/>
          <w:color w:val="auto"/>
          <w:sz w:val="22"/>
          <w:szCs w:val="22"/>
          <w:highlight w:val="none"/>
          <w:lang w:eastAsia="zh-CN"/>
        </w:rPr>
        <w:t>。</w:t>
      </w:r>
      <w:r>
        <w:rPr>
          <w:rFonts w:hint="eastAsia" w:ascii="仿宋" w:hAnsi="仿宋" w:eastAsia="仿宋" w:cs="仿宋"/>
          <w:bCs/>
          <w:color w:val="auto"/>
          <w:sz w:val="22"/>
          <w:szCs w:val="22"/>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4%（工程项目为2%）的扣除，用扣除后的价格参加评审。如采购项目为专门面向中小企业采购的，不再执行价格评审优惠的扶持政策。如投标人出现上述情况，须在《分包协议书》</w:t>
      </w:r>
      <w:r>
        <w:rPr>
          <w:rFonts w:hint="eastAsia" w:ascii="仿宋" w:hAnsi="仿宋" w:eastAsia="仿宋" w:cs="仿宋"/>
          <w:bCs/>
          <w:color w:val="auto"/>
          <w:sz w:val="22"/>
          <w:szCs w:val="22"/>
          <w:highlight w:val="none"/>
          <w:lang w:val="en-US" w:eastAsia="zh-CN"/>
        </w:rPr>
        <w:t>的</w:t>
      </w:r>
      <w:r>
        <w:rPr>
          <w:rFonts w:hint="eastAsia" w:ascii="仿宋" w:hAnsi="仿宋" w:eastAsia="仿宋" w:cs="仿宋"/>
          <w:bCs/>
          <w:color w:val="auto"/>
          <w:sz w:val="22"/>
          <w:szCs w:val="22"/>
          <w:highlight w:val="none"/>
        </w:rPr>
        <w:t>职责分工中予以明确。</w:t>
      </w:r>
    </w:p>
    <w:p>
      <w:pPr>
        <w:tabs>
          <w:tab w:val="left" w:pos="312"/>
        </w:tabs>
        <w:spacing w:line="400" w:lineRule="exact"/>
        <w:ind w:firstLine="360" w:firstLineChars="200"/>
        <w:jc w:val="left"/>
        <w:rPr>
          <w:rFonts w:ascii="仿宋" w:hAnsi="仿宋" w:eastAsia="仿宋"/>
          <w:color w:val="auto"/>
          <w:sz w:val="18"/>
          <w:szCs w:val="18"/>
          <w:highlight w:val="none"/>
        </w:rPr>
      </w:pPr>
    </w:p>
    <w:p>
      <w:pPr>
        <w:widowControl/>
        <w:adjustRightInd/>
        <w:jc w:val="left"/>
        <w:rPr>
          <w:rFonts w:ascii="仿宋_GB2312" w:hAnsi="仿宋" w:eastAsia="仿宋_GB2312" w:cs="仿宋_GB2312"/>
          <w:b/>
          <w:color w:val="auto"/>
          <w:kern w:val="0"/>
          <w:sz w:val="32"/>
          <w:szCs w:val="32"/>
          <w:highlight w:val="none"/>
          <w:lang w:val="zh-CN"/>
        </w:rPr>
        <w:sectPr>
          <w:headerReference r:id="rId10" w:type="default"/>
          <w:footerReference r:id="rId11" w:type="default"/>
          <w:pgSz w:w="11907" w:h="16840"/>
          <w:pgMar w:top="1474" w:right="1814" w:bottom="1474" w:left="1814" w:header="851" w:footer="851" w:gutter="0"/>
          <w:pgNumType w:fmt="decimal"/>
          <w:cols w:space="720" w:num="1"/>
        </w:sectPr>
      </w:pPr>
      <w:r>
        <w:rPr>
          <w:rFonts w:ascii="仿宋_GB2312" w:hAnsi="仿宋" w:eastAsia="仿宋_GB2312" w:cs="仿宋_GB2312"/>
          <w:b/>
          <w:color w:val="auto"/>
          <w:kern w:val="0"/>
          <w:sz w:val="32"/>
          <w:szCs w:val="32"/>
          <w:highlight w:val="none"/>
          <w:lang w:val="zh-CN"/>
        </w:rPr>
        <w:br w:type="page"/>
      </w: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_GB2312"/>
          <w:b/>
          <w:color w:val="auto"/>
          <w:kern w:val="0"/>
          <w:sz w:val="32"/>
          <w:szCs w:val="32"/>
          <w:highlight w:val="none"/>
        </w:rPr>
        <w:t>三、</w:t>
      </w:r>
      <w:r>
        <w:rPr>
          <w:rFonts w:hint="eastAsia" w:ascii="仿宋" w:hAnsi="仿宋" w:eastAsia="仿宋" w:cs="仿宋"/>
          <w:b/>
          <w:color w:val="auto"/>
          <w:kern w:val="0"/>
          <w:sz w:val="32"/>
          <w:szCs w:val="32"/>
          <w:highlight w:val="none"/>
          <w:lang w:val="zh-CN"/>
        </w:rPr>
        <w:t>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温州市应急管理局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浙江建科工程项目管理有限公司</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项目招标要求参加政府采购投标。在这次政府采购过程中和成交后，我们将严格遵守国家法律法规要求，并郑重承诺：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有权立即取消我单位投标响应、成交或在建项目的建设资格，有权拒绝我单位在一定时期内进入你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_GB2312"/>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ascii="仿宋" w:hAnsi="仿宋" w:eastAsia="仿宋" w:cs="仿宋_GB2312"/>
          <w:color w:val="auto"/>
          <w:sz w:val="24"/>
          <w:highlight w:val="none"/>
        </w:rPr>
      </w:pPr>
    </w:p>
    <w:p>
      <w:pPr>
        <w:spacing w:line="480" w:lineRule="auto"/>
        <w:rPr>
          <w:rFonts w:ascii="仿宋" w:hAnsi="仿宋" w:eastAsia="仿宋" w:cs="仿宋"/>
          <w:color w:val="auto"/>
          <w:sz w:val="24"/>
          <w:highlight w:val="none"/>
        </w:rPr>
      </w:pPr>
    </w:p>
    <w:p>
      <w:pPr>
        <w:pStyle w:val="51"/>
        <w:rPr>
          <w:rFonts w:hint="eastAsia" w:ascii="仿宋" w:hAnsi="仿宋" w:eastAsia="仿宋" w:cs="仿宋"/>
          <w:color w:val="auto"/>
          <w:sz w:val="24"/>
          <w:highlight w:val="none"/>
        </w:rPr>
      </w:pPr>
    </w:p>
    <w:p>
      <w:pPr>
        <w:pStyle w:val="51"/>
        <w:rPr>
          <w:rFonts w:hint="eastAsia" w:ascii="仿宋" w:hAnsi="仿宋" w:eastAsia="仿宋" w:cs="仿宋"/>
          <w:color w:val="auto"/>
          <w:sz w:val="24"/>
          <w:highlight w:val="none"/>
        </w:rPr>
      </w:pPr>
    </w:p>
    <w:p>
      <w:pPr>
        <w:spacing w:line="360" w:lineRule="auto"/>
        <w:ind w:right="420"/>
        <w:jc w:val="center"/>
        <w:rPr>
          <w:rFonts w:ascii="仿宋" w:hAnsi="仿宋" w:eastAsia="仿宋" w:cs="仿宋_GB2312"/>
          <w:b/>
          <w:color w:val="auto"/>
          <w:kern w:val="0"/>
          <w:sz w:val="36"/>
          <w:szCs w:val="36"/>
          <w:highlight w:val="none"/>
        </w:rPr>
      </w:pPr>
      <w:bookmarkStart w:id="209" w:name="_Hlk93169794"/>
      <w:r>
        <w:rPr>
          <w:rFonts w:hint="eastAsia" w:ascii="仿宋" w:hAnsi="仿宋" w:eastAsia="仿宋" w:cs="仿宋_GB2312"/>
          <w:b/>
          <w:color w:val="auto"/>
          <w:kern w:val="0"/>
          <w:sz w:val="36"/>
          <w:szCs w:val="36"/>
          <w:highlight w:val="none"/>
        </w:rPr>
        <w:t>商务技术文件部分</w:t>
      </w:r>
      <w:bookmarkEnd w:id="209"/>
    </w:p>
    <w:p>
      <w:pPr>
        <w:spacing w:line="360" w:lineRule="auto"/>
        <w:jc w:val="center"/>
        <w:outlineLvl w:val="0"/>
        <w:rPr>
          <w:rFonts w:ascii="仿宋" w:hAnsi="仿宋" w:eastAsia="仿宋" w:cs="仿宋_GB2312"/>
          <w:b/>
          <w:color w:val="auto"/>
          <w:kern w:val="0"/>
          <w:sz w:val="24"/>
          <w:highlight w:val="none"/>
        </w:rPr>
      </w:pPr>
    </w:p>
    <w:p>
      <w:pPr>
        <w:spacing w:line="360" w:lineRule="auto"/>
        <w:jc w:val="center"/>
        <w:outlineLvl w:val="0"/>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1）投标函</w:t>
      </w:r>
      <w:r>
        <w:rPr>
          <w:rFonts w:hint="eastAsia" w:ascii="仿宋" w:hAnsi="仿宋" w:eastAsia="仿宋" w:cs="仿宋_GB2312"/>
          <w:color w:val="auto"/>
          <w:highlight w:val="none"/>
        </w:rPr>
        <w:t>……………………………………………………………………………（</w:t>
      </w:r>
      <w:r>
        <w:rPr>
          <w:rFonts w:hint="eastAsia" w:ascii="仿宋" w:hAnsi="仿宋" w:eastAsia="仿宋" w:cs="仿宋_GB2312"/>
          <w:color w:val="auto"/>
          <w:highlight w:val="none"/>
          <w:lang w:val="en-US" w:eastAsia="zh-CN"/>
        </w:rPr>
        <w:t>54</w:t>
      </w:r>
      <w:r>
        <w:rPr>
          <w:rFonts w:hint="eastAsia" w:ascii="仿宋" w:hAnsi="仿宋" w:eastAsia="仿宋" w:cs="仿宋_GB2312"/>
          <w:color w:val="auto"/>
          <w:highlight w:val="none"/>
        </w:rPr>
        <w:t>页）</w:t>
      </w:r>
    </w:p>
    <w:p>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2）授权委托书或法定代表人（单位负责人、自然人本人）身份证明</w:t>
      </w:r>
      <w:r>
        <w:rPr>
          <w:rFonts w:hint="eastAsia" w:ascii="仿宋" w:hAnsi="仿宋" w:eastAsia="仿宋" w:cs="仿宋_GB2312"/>
          <w:color w:val="auto"/>
          <w:highlight w:val="none"/>
        </w:rPr>
        <w:t>…（</w:t>
      </w:r>
      <w:r>
        <w:rPr>
          <w:rFonts w:hint="eastAsia" w:ascii="仿宋" w:hAnsi="仿宋" w:eastAsia="仿宋" w:cs="仿宋_GB2312"/>
          <w:color w:val="auto"/>
          <w:highlight w:val="none"/>
          <w:lang w:val="en-US" w:eastAsia="zh-CN"/>
        </w:rPr>
        <w:t>55</w:t>
      </w:r>
      <w:r>
        <w:rPr>
          <w:rFonts w:hint="eastAsia" w:ascii="仿宋" w:hAnsi="仿宋" w:eastAsia="仿宋" w:cs="仿宋_GB2312"/>
          <w:color w:val="auto"/>
          <w:highlight w:val="none"/>
        </w:rPr>
        <w:t>页）</w:t>
      </w:r>
    </w:p>
    <w:p>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）符合性审查资料</w:t>
      </w:r>
      <w:r>
        <w:rPr>
          <w:rFonts w:hint="eastAsia" w:ascii="仿宋" w:hAnsi="仿宋" w:eastAsia="仿宋" w:cs="仿宋_GB2312"/>
          <w:color w:val="auto"/>
          <w:highlight w:val="none"/>
        </w:rPr>
        <w:t>…………………………………………………………………（</w:t>
      </w:r>
      <w:r>
        <w:rPr>
          <w:rFonts w:hint="eastAsia" w:ascii="仿宋" w:hAnsi="仿宋" w:eastAsia="仿宋" w:cs="仿宋_GB2312"/>
          <w:color w:val="auto"/>
          <w:highlight w:val="none"/>
          <w:lang w:val="en-US" w:eastAsia="zh-CN"/>
        </w:rPr>
        <w:t>56</w:t>
      </w:r>
      <w:r>
        <w:rPr>
          <w:rFonts w:hint="eastAsia" w:ascii="仿宋" w:hAnsi="仿宋" w:eastAsia="仿宋" w:cs="仿宋_GB2312"/>
          <w:color w:val="auto"/>
          <w:highlight w:val="none"/>
        </w:rPr>
        <w:t>页）</w:t>
      </w:r>
    </w:p>
    <w:p>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（4</w:t>
      </w:r>
      <w:r>
        <w:rPr>
          <w:rFonts w:ascii="仿宋" w:hAnsi="仿宋" w:eastAsia="仿宋" w:cs="仿宋_GB2312"/>
          <w:color w:val="auto"/>
          <w:sz w:val="24"/>
          <w:highlight w:val="none"/>
        </w:rPr>
        <w:t>）评标标准相应的商务技术资料</w:t>
      </w:r>
      <w:r>
        <w:rPr>
          <w:rFonts w:hint="eastAsia" w:ascii="仿宋" w:hAnsi="仿宋" w:eastAsia="仿宋" w:cs="仿宋_GB2312"/>
          <w:color w:val="auto"/>
          <w:highlight w:val="none"/>
        </w:rPr>
        <w:t>………………………………………………（</w:t>
      </w:r>
      <w:r>
        <w:rPr>
          <w:rFonts w:hint="eastAsia" w:ascii="仿宋" w:hAnsi="仿宋" w:eastAsia="仿宋" w:cs="仿宋_GB2312"/>
          <w:color w:val="auto"/>
          <w:highlight w:val="none"/>
          <w:lang w:val="en-US" w:eastAsia="zh-CN"/>
        </w:rPr>
        <w:t>57</w:t>
      </w:r>
      <w:r>
        <w:rPr>
          <w:rFonts w:hint="eastAsia" w:ascii="仿宋" w:hAnsi="仿宋" w:eastAsia="仿宋" w:cs="仿宋_GB2312"/>
          <w:color w:val="auto"/>
          <w:highlight w:val="none"/>
        </w:rPr>
        <w:t>页）</w:t>
      </w:r>
    </w:p>
    <w:p>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）商务技术偏离表</w:t>
      </w:r>
      <w:r>
        <w:rPr>
          <w:rFonts w:hint="eastAsia" w:ascii="仿宋" w:hAnsi="仿宋" w:eastAsia="仿宋" w:cs="仿宋_GB2312"/>
          <w:color w:val="auto"/>
          <w:highlight w:val="none"/>
        </w:rPr>
        <w:t>…………………………………………………………………（</w:t>
      </w:r>
      <w:r>
        <w:rPr>
          <w:rFonts w:hint="eastAsia" w:ascii="仿宋" w:hAnsi="仿宋" w:eastAsia="仿宋" w:cs="仿宋_GB2312"/>
          <w:color w:val="auto"/>
          <w:highlight w:val="none"/>
          <w:lang w:val="en-US" w:eastAsia="zh-CN"/>
        </w:rPr>
        <w:t>58</w:t>
      </w:r>
      <w:r>
        <w:rPr>
          <w:rFonts w:hint="eastAsia" w:ascii="仿宋" w:hAnsi="仿宋" w:eastAsia="仿宋" w:cs="仿宋_GB2312"/>
          <w:color w:val="auto"/>
          <w:highlight w:val="none"/>
        </w:rPr>
        <w:t>页）</w:t>
      </w:r>
    </w:p>
    <w:p>
      <w:pPr>
        <w:snapToGrid w:val="0"/>
        <w:spacing w:line="360" w:lineRule="auto"/>
        <w:jc w:val="center"/>
        <w:outlineLvl w:val="0"/>
        <w:rPr>
          <w:rFonts w:ascii="仿宋" w:hAnsi="仿宋" w:eastAsia="仿宋" w:cs="仿宋_GB2312"/>
          <w:b/>
          <w:color w:val="auto"/>
          <w:kern w:val="0"/>
          <w:sz w:val="32"/>
          <w:szCs w:val="32"/>
          <w:highlight w:val="none"/>
        </w:rPr>
      </w:pPr>
    </w:p>
    <w:p>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pPr>
        <w:snapToGrid w:val="0"/>
        <w:spacing w:line="360" w:lineRule="auto"/>
        <w:jc w:val="left"/>
        <w:outlineLvl w:val="0"/>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附件2</w:t>
      </w:r>
    </w:p>
    <w:p>
      <w:pPr>
        <w:snapToGrid w:val="0"/>
        <w:spacing w:line="360" w:lineRule="auto"/>
        <w:jc w:val="center"/>
        <w:outlineLvl w:val="0"/>
        <w:rPr>
          <w:rFonts w:ascii="仿宋" w:hAnsi="仿宋" w:eastAsia="仿宋" w:cs="仿宋_GB2312"/>
          <w:b/>
          <w:color w:val="auto"/>
          <w:sz w:val="32"/>
          <w:szCs w:val="32"/>
          <w:highlight w:val="none"/>
        </w:rPr>
      </w:pPr>
      <w:r>
        <w:rPr>
          <w:rFonts w:hint="eastAsia" w:ascii="仿宋" w:hAnsi="仿宋" w:eastAsia="仿宋" w:cs="仿宋_GB2312"/>
          <w:b/>
          <w:color w:val="auto"/>
          <w:kern w:val="0"/>
          <w:sz w:val="32"/>
          <w:szCs w:val="32"/>
          <w:highlight w:val="none"/>
        </w:rPr>
        <w:t>一、投标</w:t>
      </w:r>
      <w:r>
        <w:rPr>
          <w:rFonts w:hint="eastAsia" w:ascii="仿宋" w:hAnsi="仿宋" w:eastAsia="仿宋" w:cs="仿宋_GB2312"/>
          <w:b/>
          <w:color w:val="auto"/>
          <w:sz w:val="32"/>
          <w:szCs w:val="32"/>
          <w:highlight w:val="none"/>
        </w:rPr>
        <w:t>函</w:t>
      </w:r>
    </w:p>
    <w:p>
      <w:pPr>
        <w:snapToGrid w:val="0"/>
        <w:spacing w:line="360" w:lineRule="auto"/>
        <w:rPr>
          <w:rFonts w:ascii="仿宋" w:hAnsi="仿宋" w:eastAsia="仿宋" w:cs="仿宋_GB2312"/>
          <w:color w:val="auto"/>
          <w:szCs w:val="21"/>
          <w:highlight w:val="none"/>
        </w:rPr>
      </w:pPr>
      <w:r>
        <w:rPr>
          <w:rFonts w:hint="eastAsia" w:ascii="仿宋" w:hAnsi="仿宋" w:eastAsia="仿宋" w:cs="仿宋_GB2312"/>
          <w:color w:val="auto"/>
          <w:szCs w:val="21"/>
          <w:highlight w:val="none"/>
          <w:u w:val="single"/>
        </w:rPr>
        <w:t>（采购人）、（采购代理机构）</w:t>
      </w:r>
      <w:r>
        <w:rPr>
          <w:rFonts w:hint="eastAsia" w:ascii="仿宋" w:hAnsi="仿宋" w:eastAsia="仿宋" w:cs="仿宋_GB2312"/>
          <w:color w:val="auto"/>
          <w:szCs w:val="21"/>
          <w:highlight w:val="none"/>
        </w:rPr>
        <w:t>：</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我方参加你方组织的</w:t>
      </w:r>
      <w:r>
        <w:rPr>
          <w:rFonts w:hint="eastAsia" w:ascii="仿宋" w:hAnsi="仿宋" w:eastAsia="仿宋" w:cs="仿宋_GB2312"/>
          <w:color w:val="auto"/>
          <w:szCs w:val="21"/>
          <w:highlight w:val="none"/>
          <w:u w:val="single"/>
        </w:rPr>
        <w:t>（项目名称）</w:t>
      </w:r>
      <w:r>
        <w:rPr>
          <w:rFonts w:hint="eastAsia" w:ascii="仿宋" w:hAnsi="仿宋" w:eastAsia="仿宋" w:cs="仿宋_GB2312"/>
          <w:color w:val="auto"/>
          <w:szCs w:val="21"/>
          <w:highlight w:val="none"/>
        </w:rPr>
        <w:t>项目【</w:t>
      </w:r>
      <w:r>
        <w:rPr>
          <w:rFonts w:hint="eastAsia" w:ascii="仿宋" w:hAnsi="仿宋" w:eastAsia="仿宋"/>
          <w:color w:val="auto"/>
          <w:szCs w:val="21"/>
          <w:highlight w:val="none"/>
          <w:u w:val="single"/>
        </w:rPr>
        <w:t>采购编号</w:t>
      </w:r>
      <w:r>
        <w:rPr>
          <w:rFonts w:hint="eastAsia" w:ascii="仿宋" w:hAnsi="仿宋" w:eastAsia="仿宋" w:cs="仿宋_GB2312"/>
          <w:color w:val="auto"/>
          <w:szCs w:val="21"/>
          <w:highlight w:val="none"/>
        </w:rPr>
        <w:t>】采购的有关活动，并对此项目进行投标。为此：</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1、我方承诺投标有效期从提交投标文件的截止之日起</w:t>
      </w:r>
      <w:r>
        <w:rPr>
          <w:rFonts w:hint="eastAsia" w:ascii="仿宋" w:hAnsi="仿宋" w:eastAsia="仿宋" w:cs="仿宋_GB2312"/>
          <w:color w:val="auto"/>
          <w:szCs w:val="21"/>
          <w:highlight w:val="none"/>
        </w:rPr>
        <w:t>天（不少于</w:t>
      </w:r>
      <w:r>
        <w:rPr>
          <w:rFonts w:ascii="仿宋" w:hAnsi="仿宋" w:eastAsia="仿宋" w:cs="仿宋_GB2312"/>
          <w:color w:val="auto"/>
          <w:szCs w:val="21"/>
          <w:highlight w:val="none"/>
          <w:u w:val="single"/>
        </w:rPr>
        <w:t>90</w:t>
      </w:r>
      <w:r>
        <w:rPr>
          <w:rFonts w:ascii="仿宋" w:hAnsi="仿宋" w:eastAsia="仿宋" w:cs="仿宋_GB2312"/>
          <w:color w:val="auto"/>
          <w:szCs w:val="21"/>
          <w:highlight w:val="none"/>
        </w:rPr>
        <w:t>天）</w:t>
      </w:r>
      <w:r>
        <w:rPr>
          <w:rFonts w:hint="eastAsia" w:ascii="仿宋" w:hAnsi="仿宋" w:eastAsia="仿宋"/>
          <w:color w:val="auto"/>
          <w:szCs w:val="21"/>
          <w:highlight w:val="none"/>
        </w:rPr>
        <w:t>，</w:t>
      </w:r>
      <w:r>
        <w:rPr>
          <w:rFonts w:hint="eastAsia" w:ascii="仿宋" w:hAnsi="仿宋" w:eastAsia="仿宋" w:cs="仿宋_GB2312"/>
          <w:color w:val="auto"/>
          <w:szCs w:val="21"/>
          <w:highlight w:val="none"/>
        </w:rPr>
        <w:t>本投标文件在投标有效期满之前均具有约束力。</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2、我方的投标文件包括以下内容：</w:t>
      </w:r>
    </w:p>
    <w:p>
      <w:pPr>
        <w:snapToGrid w:val="0"/>
        <w:spacing w:line="360" w:lineRule="auto"/>
        <w:ind w:left="210" w:leftChars="1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2.1资格文件：</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2.1.1</w:t>
      </w:r>
      <w:r>
        <w:rPr>
          <w:rFonts w:hint="eastAsia" w:ascii="仿宋" w:hAnsi="仿宋" w:eastAsia="仿宋" w:cs="仿宋_GB2312"/>
          <w:color w:val="auto"/>
          <w:szCs w:val="21"/>
          <w:highlight w:val="none"/>
        </w:rPr>
        <w:t>承诺函；</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2.1.2落实政府采购政策需满足的资格要求</w:t>
      </w:r>
      <w:r>
        <w:rPr>
          <w:rFonts w:hint="eastAsia" w:ascii="仿宋" w:hAnsi="仿宋" w:eastAsia="仿宋" w:cs="仿宋_GB2312"/>
          <w:color w:val="auto"/>
          <w:szCs w:val="21"/>
          <w:highlight w:val="none"/>
        </w:rPr>
        <w:t>（如有）；</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2.1.3本项目的特定资格要求</w:t>
      </w:r>
      <w:r>
        <w:rPr>
          <w:rFonts w:hint="eastAsia" w:ascii="仿宋" w:hAnsi="仿宋" w:eastAsia="仿宋" w:cs="仿宋_GB2312"/>
          <w:color w:val="auto"/>
          <w:szCs w:val="21"/>
          <w:highlight w:val="none"/>
        </w:rPr>
        <w:t>（如有）。</w:t>
      </w:r>
    </w:p>
    <w:p>
      <w:pPr>
        <w:snapToGrid w:val="0"/>
        <w:spacing w:line="360" w:lineRule="auto"/>
        <w:ind w:left="210" w:leftChars="100" w:firstLine="420" w:firstLineChars="200"/>
        <w:rPr>
          <w:rFonts w:ascii="仿宋" w:hAnsi="仿宋" w:eastAsia="仿宋" w:cs="仿宋_GB2312"/>
          <w:color w:val="auto"/>
          <w:szCs w:val="21"/>
          <w:highlight w:val="none"/>
          <w:lang w:val="zh-CN"/>
        </w:rPr>
      </w:pPr>
      <w:r>
        <w:rPr>
          <w:rFonts w:ascii="仿宋" w:hAnsi="仿宋" w:eastAsia="仿宋" w:cs="仿宋_GB2312"/>
          <w:color w:val="auto"/>
          <w:szCs w:val="21"/>
          <w:highlight w:val="none"/>
        </w:rPr>
        <w:t>2</w:t>
      </w:r>
      <w:r>
        <w:rPr>
          <w:rFonts w:ascii="仿宋" w:hAnsi="仿宋" w:eastAsia="仿宋" w:cs="仿宋_GB2312"/>
          <w:color w:val="auto"/>
          <w:szCs w:val="21"/>
          <w:highlight w:val="none"/>
          <w:lang w:val="zh-CN"/>
        </w:rPr>
        <w:t>.</w:t>
      </w:r>
      <w:r>
        <w:rPr>
          <w:rFonts w:ascii="仿宋" w:hAnsi="仿宋" w:eastAsia="仿宋" w:cs="仿宋_GB2312"/>
          <w:color w:val="auto"/>
          <w:szCs w:val="21"/>
          <w:highlight w:val="none"/>
        </w:rPr>
        <w:t>2</w:t>
      </w:r>
      <w:r>
        <w:rPr>
          <w:rFonts w:hint="eastAsia" w:ascii="仿宋" w:hAnsi="仿宋" w:eastAsia="仿宋" w:cs="仿宋_GB2312"/>
          <w:color w:val="auto"/>
          <w:szCs w:val="21"/>
          <w:highlight w:val="none"/>
        </w:rPr>
        <w:t>商务技术</w:t>
      </w:r>
      <w:r>
        <w:rPr>
          <w:rFonts w:hint="eastAsia" w:ascii="仿宋" w:hAnsi="仿宋" w:eastAsia="仿宋" w:cs="仿宋_GB2312"/>
          <w:color w:val="auto"/>
          <w:szCs w:val="21"/>
          <w:highlight w:val="none"/>
          <w:lang w:val="zh-CN"/>
        </w:rPr>
        <w:t>文件：</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2.2.1投标函；</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2.2.2授权委托书或法定代表人（单位负责人）身份证明；</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w:t>
      </w:r>
      <w:r>
        <w:rPr>
          <w:rFonts w:hint="eastAsia" w:ascii="仿宋" w:hAnsi="仿宋" w:eastAsia="仿宋" w:cs="仿宋_GB2312"/>
          <w:color w:val="auto"/>
          <w:szCs w:val="21"/>
          <w:highlight w:val="none"/>
        </w:rPr>
        <w:t>3</w:t>
      </w:r>
      <w:r>
        <w:rPr>
          <w:rFonts w:ascii="仿宋" w:hAnsi="仿宋" w:eastAsia="仿宋" w:cs="仿宋_GB2312"/>
          <w:color w:val="auto"/>
          <w:szCs w:val="21"/>
          <w:highlight w:val="none"/>
        </w:rPr>
        <w:t>符合性审查资料；</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w:t>
      </w:r>
      <w:r>
        <w:rPr>
          <w:rFonts w:hint="eastAsia" w:ascii="仿宋" w:hAnsi="仿宋" w:eastAsia="仿宋" w:cs="仿宋_GB2312"/>
          <w:color w:val="auto"/>
          <w:szCs w:val="21"/>
          <w:highlight w:val="none"/>
        </w:rPr>
        <w:t>4</w:t>
      </w:r>
      <w:r>
        <w:rPr>
          <w:rFonts w:ascii="仿宋" w:hAnsi="仿宋" w:eastAsia="仿宋" w:cs="仿宋_GB2312"/>
          <w:color w:val="auto"/>
          <w:szCs w:val="21"/>
          <w:highlight w:val="none"/>
        </w:rPr>
        <w:t>评标标准相应的商务技术资料；</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w:t>
      </w:r>
      <w:r>
        <w:rPr>
          <w:rFonts w:hint="eastAsia" w:ascii="仿宋" w:hAnsi="仿宋" w:eastAsia="仿宋" w:cs="仿宋_GB2312"/>
          <w:color w:val="auto"/>
          <w:szCs w:val="21"/>
          <w:highlight w:val="none"/>
        </w:rPr>
        <w:t>5</w:t>
      </w:r>
      <w:r>
        <w:rPr>
          <w:rFonts w:ascii="仿宋" w:hAnsi="仿宋" w:eastAsia="仿宋" w:cs="仿宋_GB2312"/>
          <w:color w:val="auto"/>
          <w:szCs w:val="21"/>
          <w:highlight w:val="none"/>
        </w:rPr>
        <w:t>商务技术偏离表；</w:t>
      </w:r>
    </w:p>
    <w:p>
      <w:pPr>
        <w:snapToGrid w:val="0"/>
        <w:spacing w:line="360" w:lineRule="auto"/>
        <w:ind w:left="210" w:leftChars="1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w:t>
      </w:r>
      <w:r>
        <w:rPr>
          <w:rFonts w:ascii="仿宋" w:hAnsi="仿宋" w:eastAsia="仿宋" w:cs="仿宋_GB2312"/>
          <w:color w:val="auto"/>
          <w:szCs w:val="21"/>
          <w:highlight w:val="none"/>
          <w:lang w:val="zh-CN"/>
        </w:rPr>
        <w:t>.</w:t>
      </w:r>
      <w:r>
        <w:rPr>
          <w:rFonts w:ascii="仿宋" w:hAnsi="仿宋" w:eastAsia="仿宋" w:cs="仿宋_GB2312"/>
          <w:color w:val="auto"/>
          <w:szCs w:val="21"/>
          <w:highlight w:val="none"/>
        </w:rPr>
        <w:t>3报价文件</w:t>
      </w:r>
    </w:p>
    <w:p>
      <w:pPr>
        <w:snapToGrid w:val="0"/>
        <w:spacing w:line="360" w:lineRule="auto"/>
        <w:ind w:left="420" w:leftChars="200" w:firstLine="420" w:firstLineChars="200"/>
        <w:rPr>
          <w:rFonts w:ascii="仿宋" w:hAnsi="仿宋" w:eastAsia="仿宋" w:cs="仿宋_GB2312"/>
          <w:color w:val="auto"/>
          <w:szCs w:val="21"/>
          <w:highlight w:val="none"/>
        </w:rPr>
      </w:pPr>
      <w:bookmarkStart w:id="210" w:name="_Hlk93170136"/>
      <w:r>
        <w:rPr>
          <w:rFonts w:ascii="仿宋" w:hAnsi="仿宋" w:eastAsia="仿宋" w:cs="仿宋_GB2312"/>
          <w:color w:val="auto"/>
          <w:szCs w:val="21"/>
          <w:highlight w:val="none"/>
        </w:rPr>
        <w:t>2.3.1开标一览表（报价表）；</w:t>
      </w:r>
    </w:p>
    <w:p>
      <w:pPr>
        <w:snapToGrid w:val="0"/>
        <w:spacing w:line="360" w:lineRule="auto"/>
        <w:ind w:left="420" w:leftChars="200"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2</w:t>
      </w:r>
      <w:r>
        <w:rPr>
          <w:rFonts w:ascii="仿宋" w:hAnsi="仿宋" w:eastAsia="仿宋" w:cs="仿宋_GB2312"/>
          <w:color w:val="auto"/>
          <w:szCs w:val="21"/>
          <w:highlight w:val="none"/>
        </w:rPr>
        <w:t>.3.2</w:t>
      </w:r>
      <w:r>
        <w:rPr>
          <w:rFonts w:hint="eastAsia" w:ascii="仿宋" w:hAnsi="仿宋" w:eastAsia="仿宋" w:cs="仿宋_GB2312"/>
          <w:color w:val="auto"/>
          <w:szCs w:val="21"/>
          <w:highlight w:val="none"/>
        </w:rPr>
        <w:t>价格组成表；</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2.3.3</w:t>
      </w:r>
      <w:r>
        <w:rPr>
          <w:rFonts w:hint="eastAsia" w:ascii="仿宋" w:hAnsi="仿宋" w:eastAsia="仿宋" w:cs="仿宋_GB2312"/>
          <w:color w:val="auto"/>
          <w:szCs w:val="21"/>
          <w:highlight w:val="none"/>
        </w:rPr>
        <w:t>政府采购政策情况表。</w:t>
      </w:r>
      <w:bookmarkEnd w:id="210"/>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3、我方承诺除商务技术偏离表列出的偏离外，我方响应</w:t>
      </w:r>
      <w:r>
        <w:rPr>
          <w:rFonts w:hint="eastAsia" w:ascii="仿宋" w:hAnsi="仿宋" w:eastAsia="仿宋" w:cs="仿宋_GB2312"/>
          <w:color w:val="auto"/>
          <w:szCs w:val="21"/>
          <w:highlight w:val="none"/>
        </w:rPr>
        <w:t>招标文件</w:t>
      </w:r>
      <w:r>
        <w:rPr>
          <w:rFonts w:ascii="仿宋" w:hAnsi="仿宋" w:eastAsia="仿宋" w:cs="仿宋_GB2312"/>
          <w:color w:val="auto"/>
          <w:szCs w:val="21"/>
          <w:highlight w:val="none"/>
        </w:rPr>
        <w:t>的全部要求。</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4、如我方中标，我方承诺：</w:t>
      </w:r>
    </w:p>
    <w:p>
      <w:pPr>
        <w:snapToGrid w:val="0"/>
        <w:spacing w:line="360" w:lineRule="auto"/>
        <w:ind w:firstLine="630" w:firstLineChars="300"/>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4.1在收到中标通知书后，在中标通知书规定的期限内与你方签订合同； </w:t>
      </w:r>
    </w:p>
    <w:p>
      <w:pPr>
        <w:snapToGrid w:val="0"/>
        <w:spacing w:line="360" w:lineRule="auto"/>
        <w:ind w:firstLine="630" w:firstLineChars="300"/>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4.2在签订合同时不向你方提出附加条件； </w:t>
      </w:r>
    </w:p>
    <w:p>
      <w:pPr>
        <w:snapToGrid w:val="0"/>
        <w:spacing w:line="360" w:lineRule="auto"/>
        <w:ind w:firstLine="630" w:firstLineChars="300"/>
        <w:rPr>
          <w:rFonts w:ascii="仿宋" w:hAnsi="仿宋" w:eastAsia="仿宋" w:cs="仿宋_GB2312"/>
          <w:color w:val="auto"/>
          <w:szCs w:val="21"/>
          <w:highlight w:val="none"/>
        </w:rPr>
      </w:pPr>
      <w:r>
        <w:rPr>
          <w:rFonts w:ascii="仿宋" w:hAnsi="仿宋" w:eastAsia="仿宋" w:cs="仿宋_GB2312"/>
          <w:color w:val="auto"/>
          <w:szCs w:val="21"/>
          <w:highlight w:val="none"/>
        </w:rPr>
        <w:t>4.3按照</w:t>
      </w:r>
      <w:r>
        <w:rPr>
          <w:rFonts w:hint="eastAsia" w:ascii="仿宋" w:hAnsi="仿宋" w:eastAsia="仿宋" w:cs="仿宋_GB2312"/>
          <w:color w:val="auto"/>
          <w:szCs w:val="21"/>
          <w:highlight w:val="none"/>
        </w:rPr>
        <w:t>招标文件</w:t>
      </w:r>
      <w:r>
        <w:rPr>
          <w:rFonts w:ascii="仿宋" w:hAnsi="仿宋" w:eastAsia="仿宋" w:cs="仿宋_GB2312"/>
          <w:color w:val="auto"/>
          <w:szCs w:val="21"/>
          <w:highlight w:val="none"/>
        </w:rPr>
        <w:t xml:space="preserve">要求提交履约保证金； </w:t>
      </w:r>
    </w:p>
    <w:p>
      <w:pPr>
        <w:snapToGrid w:val="0"/>
        <w:spacing w:line="360" w:lineRule="auto"/>
        <w:ind w:firstLine="630" w:firstLineChars="300"/>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4.4在合同约定的期限内完成合同规定的全部义务。 </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5、其他补充说明:</w:t>
      </w:r>
      <w:r>
        <w:rPr>
          <w:rFonts w:hint="eastAsia" w:ascii="仿宋" w:hAnsi="仿宋" w:eastAsia="仿宋" w:cs="仿宋_GB2312"/>
          <w:color w:val="auto"/>
          <w:szCs w:val="21"/>
          <w:highlight w:val="none"/>
        </w:rPr>
        <w:t>。</w:t>
      </w:r>
    </w:p>
    <w:p>
      <w:pPr>
        <w:spacing w:line="360" w:lineRule="auto"/>
        <w:ind w:firstLine="3150" w:firstLineChars="1500"/>
        <w:rPr>
          <w:rFonts w:ascii="仿宋" w:hAnsi="仿宋" w:eastAsia="仿宋" w:cs="仿宋_GB2312"/>
          <w:color w:val="auto"/>
          <w:szCs w:val="21"/>
          <w:highlight w:val="none"/>
        </w:rPr>
      </w:pPr>
      <w:r>
        <w:rPr>
          <w:rFonts w:hint="eastAsia" w:ascii="仿宋" w:hAnsi="仿宋" w:eastAsia="仿宋" w:cs="仿宋_GB2312"/>
          <w:color w:val="auto"/>
          <w:szCs w:val="21"/>
          <w:highlight w:val="none"/>
        </w:rPr>
        <w:t>投标人名称（电子签名）：</w:t>
      </w:r>
    </w:p>
    <w:p>
      <w:pPr>
        <w:spacing w:line="360" w:lineRule="auto"/>
        <w:jc w:val="center"/>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     日期：  年   月   日</w:t>
      </w:r>
    </w:p>
    <w:p>
      <w:pPr>
        <w:widowControl/>
        <w:adjustRightInd/>
        <w:jc w:val="left"/>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kern w:val="0"/>
          <w:sz w:val="32"/>
          <w:szCs w:val="32"/>
          <w:highlight w:val="none"/>
          <w:lang w:val="zh-CN"/>
        </w:rPr>
        <w:br w:type="page"/>
      </w:r>
    </w:p>
    <w:p>
      <w:pPr>
        <w:jc w:val="left"/>
        <w:rPr>
          <w:rFonts w:ascii="仿宋" w:hAnsi="仿宋" w:eastAsia="仿宋" w:cs="仿宋_GB2312"/>
          <w:b/>
          <w:color w:val="auto"/>
          <w:kern w:val="0"/>
          <w:sz w:val="28"/>
          <w:szCs w:val="28"/>
          <w:highlight w:val="none"/>
          <w:lang w:val="zh-CN"/>
        </w:rPr>
      </w:pPr>
      <w:r>
        <w:rPr>
          <w:rFonts w:hint="eastAsia" w:ascii="仿宋" w:hAnsi="仿宋" w:eastAsia="仿宋" w:cs="仿宋_GB2312"/>
          <w:b/>
          <w:color w:val="auto"/>
          <w:kern w:val="0"/>
          <w:sz w:val="28"/>
          <w:szCs w:val="28"/>
          <w:highlight w:val="none"/>
          <w:lang w:val="zh-CN"/>
        </w:rPr>
        <w:t>附件</w:t>
      </w:r>
      <w:r>
        <w:rPr>
          <w:rFonts w:hint="eastAsia" w:ascii="仿宋" w:hAnsi="仿宋" w:eastAsia="仿宋" w:cs="仿宋_GB2312"/>
          <w:b/>
          <w:color w:val="auto"/>
          <w:kern w:val="0"/>
          <w:sz w:val="28"/>
          <w:szCs w:val="28"/>
          <w:highlight w:val="none"/>
        </w:rPr>
        <w:t>3</w:t>
      </w:r>
    </w:p>
    <w:p>
      <w:pPr>
        <w:jc w:val="center"/>
        <w:rPr>
          <w:rFonts w:ascii="仿宋" w:hAnsi="仿宋" w:eastAsia="仿宋" w:cs="仿宋_GB2312"/>
          <w:b/>
          <w:color w:val="auto"/>
          <w:kern w:val="0"/>
          <w:sz w:val="32"/>
          <w:szCs w:val="32"/>
          <w:highlight w:val="none"/>
          <w:lang w:val="zh-CN"/>
        </w:rPr>
      </w:pPr>
    </w:p>
    <w:p>
      <w:pPr>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_GB2312"/>
          <w:color w:val="auto"/>
          <w:sz w:val="24"/>
          <w:highlight w:val="none"/>
        </w:rPr>
      </w:pPr>
    </w:p>
    <w:p>
      <w:pPr>
        <w:snapToGrid w:val="0"/>
        <w:spacing w:line="360" w:lineRule="auto"/>
        <w:jc w:val="center"/>
        <w:rPr>
          <w:rFonts w:ascii="仿宋" w:hAnsi="仿宋" w:eastAsia="仿宋"/>
          <w:color w:val="auto"/>
          <w:highlight w:val="none"/>
        </w:rPr>
      </w:pPr>
      <w:r>
        <w:rPr>
          <w:rFonts w:hint="eastAsia" w:ascii="仿宋" w:hAnsi="仿宋" w:eastAsia="仿宋" w:cs="仿宋_GB2312"/>
          <w:b/>
          <w:color w:val="auto"/>
          <w:kern w:val="0"/>
          <w:sz w:val="32"/>
          <w:szCs w:val="32"/>
          <w:highlight w:val="none"/>
          <w:lang w:val="zh-CN"/>
        </w:rPr>
        <w:t>授权委托书（适用于非联合体投标）</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（采购人）、（采购代理机构）</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w:t>
      </w:r>
      <w:r>
        <w:rPr>
          <w:rFonts w:hint="eastAsia" w:ascii="仿宋" w:hAnsi="仿宋" w:eastAsia="仿宋" w:cs="仿宋_GB2312"/>
          <w:color w:val="auto"/>
          <w:kern w:val="0"/>
          <w:sz w:val="24"/>
          <w:highlight w:val="none"/>
          <w:u w:val="single"/>
          <w:lang w:val="zh-CN"/>
        </w:rPr>
        <w:t>（姓名）</w:t>
      </w:r>
      <w:r>
        <w:rPr>
          <w:rFonts w:hint="eastAsia" w:ascii="仿宋" w:hAnsi="仿宋" w:eastAsia="仿宋" w:cs="仿宋_GB2312"/>
          <w:color w:val="auto"/>
          <w:kern w:val="0"/>
          <w:sz w:val="24"/>
          <w:highlight w:val="none"/>
          <w:lang w:val="zh-CN"/>
        </w:rPr>
        <w:t>为我方代理人（身份证号码：   ，手机：   ），以我方名义处理</w:t>
      </w:r>
      <w:r>
        <w:rPr>
          <w:rFonts w:hint="eastAsia" w:ascii="仿宋" w:hAnsi="仿宋" w:eastAsia="仿宋" w:cs="仿宋_GB2312"/>
          <w:color w:val="auto"/>
          <w:sz w:val="24"/>
          <w:highlight w:val="none"/>
          <w:u w:val="single"/>
        </w:rPr>
        <w:t>（项目名称）【招标编号：</w:t>
      </w:r>
      <w:r>
        <w:rPr>
          <w:rFonts w:hint="eastAsia" w:ascii="仿宋" w:hAnsi="仿宋" w:eastAsia="仿宋"/>
          <w:color w:val="auto"/>
          <w:sz w:val="24"/>
          <w:highlight w:val="none"/>
          <w:u w:val="single"/>
        </w:rPr>
        <w:t>（采购编号）</w:t>
      </w:r>
      <w:r>
        <w:rPr>
          <w:rFonts w:hint="eastAsia" w:ascii="仿宋" w:hAnsi="仿宋" w:eastAsia="仿宋" w:cs="仿宋_GB2312"/>
          <w:color w:val="auto"/>
          <w:sz w:val="24"/>
          <w:highlight w:val="none"/>
          <w:u w:val="singl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自年月日起至年月日止。</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特此告知。</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lang w:val="zh-CN"/>
        </w:rPr>
        <w:t xml:space="preserve">                                            投标人名称(电子签名)：</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签发日期：  年  月   日</w:t>
      </w:r>
    </w:p>
    <w:p>
      <w:pPr>
        <w:autoSpaceDE w:val="0"/>
        <w:autoSpaceDN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kern w:val="0"/>
          <w:sz w:val="32"/>
          <w:szCs w:val="32"/>
          <w:highlight w:val="none"/>
          <w:lang w:val="zh-CN"/>
        </w:rPr>
        <w:t>法定代表人、单位负责人或自然人本人</w:t>
      </w:r>
      <w:r>
        <w:rPr>
          <w:rFonts w:hint="eastAsia" w:ascii="仿宋" w:hAnsi="仿宋" w:eastAsia="仿宋" w:cs="仿宋_GB2312"/>
          <w:b/>
          <w:color w:val="auto"/>
          <w:sz w:val="30"/>
          <w:szCs w:val="30"/>
          <w:highlight w:val="none"/>
        </w:rPr>
        <w:t>的身份证明（适用于法定代表人、单位负责人或者自然人本人代表投标人参加投标）</w:t>
      </w:r>
    </w:p>
    <w:p>
      <w:pPr>
        <w:pStyle w:val="257"/>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身份证件扫描件：</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57"/>
              <w:adjustRightInd w:val="0"/>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正面：反面：</w:t>
            </w:r>
          </w:p>
          <w:p>
            <w:pPr>
              <w:pStyle w:val="257"/>
              <w:adjustRightInd w:val="0"/>
              <w:spacing w:line="360" w:lineRule="auto"/>
              <w:rPr>
                <w:rFonts w:ascii="仿宋" w:hAnsi="仿宋" w:eastAsia="仿宋"/>
                <w:bCs/>
                <w:color w:val="auto"/>
                <w:sz w:val="24"/>
                <w:highlight w:val="none"/>
              </w:rPr>
            </w:pPr>
          </w:p>
        </w:tc>
      </w:tr>
    </w:tbl>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b/>
          <w:color w:val="auto"/>
          <w:kern w:val="0"/>
          <w:sz w:val="32"/>
          <w:szCs w:val="32"/>
          <w:highlight w:val="none"/>
        </w:rPr>
      </w:pPr>
      <w:r>
        <w:rPr>
          <w:rFonts w:ascii="仿宋" w:hAnsi="仿宋" w:eastAsia="仿宋" w:cs="仿宋_GB2312"/>
          <w:color w:val="auto"/>
          <w:kern w:val="0"/>
          <w:sz w:val="24"/>
          <w:highlight w:val="none"/>
          <w:lang w:val="zh-CN"/>
        </w:rPr>
        <w:t xml:space="preserve">                   日期：  年  月  日</w:t>
      </w:r>
    </w:p>
    <w:p>
      <w:pPr>
        <w:jc w:val="left"/>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附件4</w:t>
      </w:r>
    </w:p>
    <w:p>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三、符合性审查资料</w:t>
      </w:r>
    </w:p>
    <w:p>
      <w:pPr>
        <w:jc w:val="center"/>
        <w:rPr>
          <w:rFonts w:ascii="仿宋" w:hAnsi="仿宋" w:eastAsia="仿宋" w:cs="仿宋_GB2312"/>
          <w:b/>
          <w:color w:val="auto"/>
          <w:kern w:val="0"/>
          <w:sz w:val="32"/>
          <w:szCs w:val="32"/>
          <w:highlight w:val="none"/>
        </w:rPr>
      </w:pPr>
    </w:p>
    <w:tbl>
      <w:tblPr>
        <w:tblStyle w:val="5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5394"/>
        <w:gridCol w:w="1113"/>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64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5394"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1113"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响应情况</w:t>
            </w:r>
          </w:p>
        </w:tc>
        <w:tc>
          <w:tcPr>
            <w:tcW w:w="1410" w:type="dxa"/>
            <w:vAlign w:val="center"/>
          </w:tcPr>
          <w:p>
            <w:pPr>
              <w:snapToGrid w:val="0"/>
              <w:spacing w:line="240" w:lineRule="atLeast"/>
              <w:jc w:val="center"/>
              <w:rPr>
                <w:rFonts w:hint="eastAsia" w:ascii="仿宋" w:hAnsi="仿宋" w:eastAsia="仿宋"/>
                <w:b/>
                <w:color w:val="auto"/>
                <w:sz w:val="24"/>
                <w:highlight w:val="none"/>
                <w:lang w:val="en-US" w:eastAsia="zh-CN"/>
              </w:rPr>
            </w:pPr>
            <w:r>
              <w:rPr>
                <w:rFonts w:hint="eastAsia" w:ascii="仿宋" w:hAnsi="仿宋" w:eastAsia="仿宋"/>
                <w:b/>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641" w:type="dxa"/>
            <w:vAlign w:val="center"/>
          </w:tcPr>
          <w:p>
            <w:pPr>
              <w:jc w:val="center"/>
              <w:rPr>
                <w:rFonts w:ascii="仿宋" w:hAnsi="仿宋" w:eastAsia="仿宋"/>
                <w:color w:val="auto"/>
                <w:sz w:val="24"/>
                <w:highlight w:val="none"/>
              </w:rPr>
            </w:pPr>
            <w:r>
              <w:rPr>
                <w:rFonts w:ascii="仿宋" w:hAnsi="仿宋" w:eastAsia="仿宋"/>
                <w:color w:val="auto"/>
                <w:sz w:val="24"/>
                <w:highlight w:val="none"/>
              </w:rPr>
              <w:t>1</w:t>
            </w:r>
          </w:p>
        </w:tc>
        <w:tc>
          <w:tcPr>
            <w:tcW w:w="5394" w:type="dxa"/>
            <w:vAlign w:val="center"/>
          </w:tcPr>
          <w:p>
            <w:pPr>
              <w:jc w:val="center"/>
              <w:rPr>
                <w:rFonts w:ascii="仿宋" w:hAnsi="仿宋" w:eastAsia="仿宋" w:cs="仿宋_GB2312"/>
                <w:color w:val="auto"/>
                <w:sz w:val="24"/>
                <w:highlight w:val="none"/>
              </w:rPr>
            </w:pPr>
          </w:p>
        </w:tc>
        <w:tc>
          <w:tcPr>
            <w:tcW w:w="1113" w:type="dxa"/>
            <w:vAlign w:val="center"/>
          </w:tcPr>
          <w:p>
            <w:pPr>
              <w:jc w:val="center"/>
              <w:rPr>
                <w:rFonts w:ascii="仿宋" w:hAnsi="仿宋" w:eastAsia="仿宋"/>
                <w:color w:val="auto"/>
                <w:sz w:val="24"/>
                <w:highlight w:val="none"/>
              </w:rPr>
            </w:pPr>
          </w:p>
        </w:tc>
        <w:tc>
          <w:tcPr>
            <w:tcW w:w="1410"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41"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5394" w:type="dxa"/>
            <w:vAlign w:val="center"/>
          </w:tcPr>
          <w:p>
            <w:pPr>
              <w:jc w:val="center"/>
              <w:rPr>
                <w:rFonts w:ascii="仿宋" w:hAnsi="仿宋" w:eastAsia="仿宋" w:cs="仿宋_GB2312"/>
                <w:color w:val="auto"/>
                <w:sz w:val="24"/>
                <w:highlight w:val="none"/>
              </w:rPr>
            </w:pPr>
          </w:p>
        </w:tc>
        <w:tc>
          <w:tcPr>
            <w:tcW w:w="1113" w:type="dxa"/>
            <w:vAlign w:val="center"/>
          </w:tcPr>
          <w:p>
            <w:pPr>
              <w:jc w:val="center"/>
              <w:rPr>
                <w:rFonts w:ascii="仿宋" w:hAnsi="仿宋" w:eastAsia="仿宋"/>
                <w:color w:val="auto"/>
                <w:sz w:val="24"/>
                <w:highlight w:val="none"/>
              </w:rPr>
            </w:pPr>
          </w:p>
        </w:tc>
        <w:tc>
          <w:tcPr>
            <w:tcW w:w="1410"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41" w:type="dxa"/>
            <w:vAlign w:val="center"/>
          </w:tcPr>
          <w:p>
            <w:pPr>
              <w:jc w:val="center"/>
              <w:rPr>
                <w:rFonts w:ascii="仿宋" w:hAnsi="仿宋" w:eastAsia="仿宋"/>
                <w:color w:val="auto"/>
                <w:sz w:val="24"/>
                <w:highlight w:val="none"/>
              </w:rPr>
            </w:pPr>
            <w:r>
              <w:rPr>
                <w:rFonts w:ascii="仿宋" w:hAnsi="仿宋" w:eastAsia="仿宋"/>
                <w:color w:val="auto"/>
                <w:sz w:val="24"/>
                <w:highlight w:val="none"/>
              </w:rPr>
              <w:t>3</w:t>
            </w:r>
          </w:p>
        </w:tc>
        <w:tc>
          <w:tcPr>
            <w:tcW w:w="5394" w:type="dxa"/>
            <w:vAlign w:val="center"/>
          </w:tcPr>
          <w:p>
            <w:pPr>
              <w:jc w:val="center"/>
              <w:rPr>
                <w:rFonts w:ascii="仿宋" w:hAnsi="仿宋" w:eastAsia="仿宋" w:cs="仿宋"/>
                <w:color w:val="auto"/>
                <w:sz w:val="24"/>
                <w:highlight w:val="none"/>
              </w:rPr>
            </w:pPr>
          </w:p>
        </w:tc>
        <w:tc>
          <w:tcPr>
            <w:tcW w:w="1113" w:type="dxa"/>
            <w:vAlign w:val="center"/>
          </w:tcPr>
          <w:p>
            <w:pPr>
              <w:jc w:val="center"/>
              <w:rPr>
                <w:rFonts w:ascii="仿宋" w:hAnsi="仿宋" w:eastAsia="仿宋"/>
                <w:color w:val="auto"/>
                <w:sz w:val="24"/>
                <w:highlight w:val="none"/>
              </w:rPr>
            </w:pPr>
          </w:p>
        </w:tc>
        <w:tc>
          <w:tcPr>
            <w:tcW w:w="1410"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641"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4</w:t>
            </w:r>
          </w:p>
        </w:tc>
        <w:tc>
          <w:tcPr>
            <w:tcW w:w="5394" w:type="dxa"/>
            <w:vAlign w:val="center"/>
          </w:tcPr>
          <w:p>
            <w:pPr>
              <w:jc w:val="center"/>
              <w:rPr>
                <w:rFonts w:ascii="仿宋" w:hAnsi="仿宋" w:eastAsia="仿宋" w:cs="仿宋"/>
                <w:color w:val="auto"/>
                <w:sz w:val="24"/>
                <w:highlight w:val="none"/>
              </w:rPr>
            </w:pPr>
          </w:p>
        </w:tc>
        <w:tc>
          <w:tcPr>
            <w:tcW w:w="1113" w:type="dxa"/>
            <w:vAlign w:val="center"/>
          </w:tcPr>
          <w:p>
            <w:pPr>
              <w:jc w:val="center"/>
              <w:rPr>
                <w:rFonts w:ascii="仿宋" w:hAnsi="仿宋" w:eastAsia="仿宋"/>
                <w:color w:val="auto"/>
                <w:sz w:val="24"/>
                <w:highlight w:val="none"/>
              </w:rPr>
            </w:pPr>
          </w:p>
        </w:tc>
        <w:tc>
          <w:tcPr>
            <w:tcW w:w="1410"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641"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5</w:t>
            </w:r>
          </w:p>
        </w:tc>
        <w:tc>
          <w:tcPr>
            <w:tcW w:w="5394" w:type="dxa"/>
            <w:vAlign w:val="center"/>
          </w:tcPr>
          <w:p>
            <w:pPr>
              <w:jc w:val="center"/>
              <w:rPr>
                <w:rFonts w:ascii="仿宋" w:hAnsi="仿宋" w:eastAsia="仿宋" w:cs="仿宋"/>
                <w:color w:val="auto"/>
                <w:sz w:val="24"/>
                <w:highlight w:val="none"/>
              </w:rPr>
            </w:pPr>
          </w:p>
        </w:tc>
        <w:tc>
          <w:tcPr>
            <w:tcW w:w="1113" w:type="dxa"/>
            <w:vAlign w:val="center"/>
          </w:tcPr>
          <w:p>
            <w:pPr>
              <w:jc w:val="center"/>
              <w:rPr>
                <w:rFonts w:ascii="仿宋" w:hAnsi="仿宋" w:eastAsia="仿宋"/>
                <w:color w:val="auto"/>
                <w:sz w:val="24"/>
                <w:highlight w:val="none"/>
              </w:rPr>
            </w:pPr>
          </w:p>
        </w:tc>
        <w:tc>
          <w:tcPr>
            <w:tcW w:w="1410"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641"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6</w:t>
            </w:r>
          </w:p>
        </w:tc>
        <w:tc>
          <w:tcPr>
            <w:tcW w:w="5394" w:type="dxa"/>
            <w:vAlign w:val="center"/>
          </w:tcPr>
          <w:p>
            <w:pPr>
              <w:jc w:val="center"/>
              <w:rPr>
                <w:rFonts w:ascii="仿宋" w:hAnsi="仿宋" w:eastAsia="仿宋" w:cs="仿宋"/>
                <w:color w:val="auto"/>
                <w:sz w:val="24"/>
                <w:highlight w:val="none"/>
              </w:rPr>
            </w:pPr>
          </w:p>
        </w:tc>
        <w:tc>
          <w:tcPr>
            <w:tcW w:w="1113" w:type="dxa"/>
            <w:vAlign w:val="center"/>
          </w:tcPr>
          <w:p>
            <w:pPr>
              <w:jc w:val="center"/>
              <w:rPr>
                <w:rFonts w:ascii="仿宋" w:hAnsi="仿宋" w:eastAsia="仿宋"/>
                <w:color w:val="auto"/>
                <w:sz w:val="24"/>
                <w:highlight w:val="none"/>
              </w:rPr>
            </w:pPr>
          </w:p>
        </w:tc>
        <w:tc>
          <w:tcPr>
            <w:tcW w:w="1410" w:type="dxa"/>
            <w:vAlign w:val="center"/>
          </w:tcPr>
          <w:p>
            <w:pPr>
              <w:jc w:val="center"/>
              <w:rPr>
                <w:rFonts w:ascii="仿宋" w:hAnsi="仿宋" w:eastAsia="仿宋"/>
                <w:color w:val="auto"/>
                <w:sz w:val="24"/>
                <w:highlight w:val="none"/>
              </w:rPr>
            </w:pPr>
          </w:p>
        </w:tc>
      </w:tr>
    </w:tbl>
    <w:p>
      <w:pPr>
        <w:rPr>
          <w:rFonts w:ascii="仿宋" w:hAnsi="仿宋" w:eastAsia="仿宋" w:cs="仿宋_GB2312"/>
          <w:color w:val="auto"/>
          <w:kern w:val="0"/>
          <w:szCs w:val="21"/>
          <w:highlight w:val="none"/>
        </w:rPr>
      </w:pPr>
    </w:p>
    <w:p>
      <w:pPr>
        <w:rPr>
          <w:rFonts w:ascii="仿宋" w:hAnsi="仿宋" w:eastAsia="仿宋" w:cs="仿宋_GB2312"/>
          <w:b/>
          <w:bCs/>
          <w:color w:val="auto"/>
          <w:kern w:val="0"/>
          <w:szCs w:val="21"/>
          <w:highlight w:val="none"/>
        </w:rPr>
      </w:pPr>
      <w:r>
        <w:rPr>
          <w:rFonts w:hint="eastAsia" w:ascii="仿宋" w:hAnsi="仿宋" w:eastAsia="仿宋" w:cs="仿宋_GB2312"/>
          <w:b/>
          <w:bCs/>
          <w:color w:val="auto"/>
          <w:kern w:val="0"/>
          <w:szCs w:val="21"/>
          <w:highlight w:val="none"/>
        </w:rPr>
        <w:t>注：根据招标文件第六部分“评标办法”第2.2款“符合性审查”的要求，逐条作出实质性响应。</w:t>
      </w: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pPr>
        <w:jc w:val="left"/>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附件5</w:t>
      </w:r>
    </w:p>
    <w:p>
      <w:pPr>
        <w:jc w:val="center"/>
        <w:rPr>
          <w:rFonts w:ascii="仿宋" w:hAnsi="仿宋" w:eastAsia="仿宋"/>
          <w:color w:val="auto"/>
          <w:highlight w:val="none"/>
        </w:rPr>
      </w:pPr>
      <w:r>
        <w:rPr>
          <w:rFonts w:hint="eastAsia" w:ascii="仿宋" w:hAnsi="仿宋" w:eastAsia="仿宋" w:cs="仿宋_GB2312"/>
          <w:b/>
          <w:color w:val="auto"/>
          <w:kern w:val="0"/>
          <w:sz w:val="32"/>
          <w:szCs w:val="32"/>
          <w:highlight w:val="none"/>
        </w:rPr>
        <w:t>四、评标标准相应的商务技术资料</w:t>
      </w:r>
    </w:p>
    <w:p>
      <w:pPr>
        <w:snapToGrid w:val="0"/>
        <w:spacing w:line="360" w:lineRule="auto"/>
        <w:jc w:val="left"/>
        <w:rPr>
          <w:rFonts w:ascii="仿宋" w:hAnsi="仿宋" w:eastAsia="仿宋" w:cs="仿宋_GB2312"/>
          <w:b/>
          <w:color w:val="auto"/>
          <w:sz w:val="24"/>
          <w:highlight w:val="none"/>
        </w:rPr>
      </w:pPr>
    </w:p>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（按招标文件第六部分评标办法前附表中相应的商务技术评审因素提供资料）</w:t>
      </w:r>
    </w:p>
    <w:p>
      <w:pPr>
        <w:jc w:val="center"/>
        <w:rPr>
          <w:rFonts w:ascii="仿宋" w:hAnsi="仿宋" w:eastAsia="仿宋"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pPr>
        <w:jc w:val="left"/>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附件6</w:t>
      </w:r>
    </w:p>
    <w:p>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五、商务技术偏离表</w:t>
      </w:r>
    </w:p>
    <w:p>
      <w:pPr>
        <w:jc w:val="center"/>
        <w:rPr>
          <w:rFonts w:ascii="仿宋" w:hAnsi="仿宋" w:eastAsia="仿宋" w:cs="仿宋_GB2312"/>
          <w:b/>
          <w:color w:val="auto"/>
          <w:kern w:val="0"/>
          <w:sz w:val="32"/>
          <w:szCs w:val="32"/>
          <w:highlight w:val="none"/>
        </w:rPr>
      </w:pPr>
    </w:p>
    <w:tbl>
      <w:tblPr>
        <w:tblStyle w:val="5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02"/>
        <w:gridCol w:w="326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shd w:val="clear" w:color="auto" w:fill="auto"/>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序号</w:t>
            </w:r>
          </w:p>
        </w:tc>
        <w:tc>
          <w:tcPr>
            <w:tcW w:w="3402" w:type="dxa"/>
            <w:shd w:val="clear" w:color="auto" w:fill="auto"/>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招标文件章节及具体内容</w:t>
            </w:r>
          </w:p>
        </w:tc>
        <w:tc>
          <w:tcPr>
            <w:tcW w:w="3260" w:type="dxa"/>
            <w:shd w:val="clear" w:color="auto" w:fill="auto"/>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投标文件章节及具体内容</w:t>
            </w:r>
          </w:p>
        </w:tc>
        <w:tc>
          <w:tcPr>
            <w:tcW w:w="1276" w:type="dxa"/>
            <w:shd w:val="clear" w:color="auto" w:fill="auto"/>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1</w:t>
            </w:r>
          </w:p>
        </w:tc>
        <w:tc>
          <w:tcPr>
            <w:tcW w:w="3402" w:type="dxa"/>
            <w:shd w:val="clear" w:color="auto" w:fill="auto"/>
          </w:tcPr>
          <w:p>
            <w:pPr>
              <w:jc w:val="center"/>
              <w:rPr>
                <w:rFonts w:ascii="仿宋" w:hAnsi="仿宋" w:eastAsia="仿宋" w:cs="仿宋_GB2312"/>
                <w:b/>
                <w:color w:val="auto"/>
                <w:kern w:val="0"/>
                <w:sz w:val="32"/>
                <w:szCs w:val="32"/>
                <w:highlight w:val="none"/>
              </w:rPr>
            </w:pPr>
          </w:p>
        </w:tc>
        <w:tc>
          <w:tcPr>
            <w:tcW w:w="3260" w:type="dxa"/>
            <w:shd w:val="clear" w:color="auto" w:fill="auto"/>
          </w:tcPr>
          <w:p>
            <w:pPr>
              <w:jc w:val="center"/>
              <w:rPr>
                <w:rFonts w:ascii="仿宋" w:hAnsi="仿宋" w:eastAsia="仿宋" w:cs="仿宋_GB2312"/>
                <w:b/>
                <w:color w:val="auto"/>
                <w:kern w:val="0"/>
                <w:sz w:val="32"/>
                <w:szCs w:val="32"/>
                <w:highlight w:val="none"/>
              </w:rPr>
            </w:pPr>
          </w:p>
        </w:tc>
        <w:tc>
          <w:tcPr>
            <w:tcW w:w="1276" w:type="dxa"/>
            <w:shd w:val="clear" w:color="auto" w:fill="auto"/>
          </w:tcPr>
          <w:p>
            <w:pPr>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2</w:t>
            </w:r>
          </w:p>
        </w:tc>
        <w:tc>
          <w:tcPr>
            <w:tcW w:w="3402" w:type="dxa"/>
            <w:shd w:val="clear" w:color="auto" w:fill="auto"/>
          </w:tcPr>
          <w:p>
            <w:pPr>
              <w:jc w:val="center"/>
              <w:rPr>
                <w:rFonts w:ascii="仿宋" w:hAnsi="仿宋" w:eastAsia="仿宋" w:cs="仿宋_GB2312"/>
                <w:b/>
                <w:color w:val="auto"/>
                <w:kern w:val="0"/>
                <w:sz w:val="32"/>
                <w:szCs w:val="32"/>
                <w:highlight w:val="none"/>
              </w:rPr>
            </w:pPr>
          </w:p>
        </w:tc>
        <w:tc>
          <w:tcPr>
            <w:tcW w:w="3260" w:type="dxa"/>
            <w:shd w:val="clear" w:color="auto" w:fill="auto"/>
          </w:tcPr>
          <w:p>
            <w:pPr>
              <w:jc w:val="center"/>
              <w:rPr>
                <w:rFonts w:ascii="仿宋" w:hAnsi="仿宋" w:eastAsia="仿宋" w:cs="仿宋_GB2312"/>
                <w:b/>
                <w:color w:val="auto"/>
                <w:kern w:val="0"/>
                <w:sz w:val="32"/>
                <w:szCs w:val="32"/>
                <w:highlight w:val="none"/>
              </w:rPr>
            </w:pPr>
          </w:p>
        </w:tc>
        <w:tc>
          <w:tcPr>
            <w:tcW w:w="1276" w:type="dxa"/>
            <w:shd w:val="clear" w:color="auto" w:fill="auto"/>
          </w:tcPr>
          <w:p>
            <w:pPr>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jc w:val="center"/>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p>
        </w:tc>
        <w:tc>
          <w:tcPr>
            <w:tcW w:w="3402" w:type="dxa"/>
            <w:shd w:val="clear" w:color="auto" w:fill="auto"/>
          </w:tcPr>
          <w:p>
            <w:pPr>
              <w:jc w:val="center"/>
              <w:rPr>
                <w:rFonts w:ascii="仿宋" w:hAnsi="仿宋" w:eastAsia="仿宋" w:cs="仿宋_GB2312"/>
                <w:b/>
                <w:color w:val="auto"/>
                <w:kern w:val="0"/>
                <w:sz w:val="32"/>
                <w:szCs w:val="32"/>
                <w:highlight w:val="none"/>
              </w:rPr>
            </w:pPr>
          </w:p>
        </w:tc>
        <w:tc>
          <w:tcPr>
            <w:tcW w:w="3260" w:type="dxa"/>
            <w:shd w:val="clear" w:color="auto" w:fill="auto"/>
          </w:tcPr>
          <w:p>
            <w:pPr>
              <w:jc w:val="center"/>
              <w:rPr>
                <w:rFonts w:ascii="仿宋" w:hAnsi="仿宋" w:eastAsia="仿宋" w:cs="仿宋_GB2312"/>
                <w:b/>
                <w:color w:val="auto"/>
                <w:kern w:val="0"/>
                <w:sz w:val="32"/>
                <w:szCs w:val="32"/>
                <w:highlight w:val="none"/>
              </w:rPr>
            </w:pPr>
          </w:p>
        </w:tc>
        <w:tc>
          <w:tcPr>
            <w:tcW w:w="1276" w:type="dxa"/>
            <w:shd w:val="clear" w:color="auto" w:fill="auto"/>
          </w:tcPr>
          <w:p>
            <w:pPr>
              <w:jc w:val="center"/>
              <w:rPr>
                <w:rFonts w:ascii="仿宋" w:hAnsi="仿宋" w:eastAsia="仿宋" w:cs="仿宋_GB2312"/>
                <w:b/>
                <w:color w:val="auto"/>
                <w:kern w:val="0"/>
                <w:sz w:val="32"/>
                <w:szCs w:val="32"/>
                <w:highlight w:val="none"/>
              </w:rPr>
            </w:pPr>
          </w:p>
        </w:tc>
      </w:tr>
    </w:tbl>
    <w:p>
      <w:pPr>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投标人保证：除商务技术偏离表列出的偏离外，投标人响应招标响应文件的全部要求</w:t>
      </w:r>
    </w:p>
    <w:p>
      <w:pPr>
        <w:widowControl/>
        <w:adjustRightInd/>
        <w:jc w:val="left"/>
        <w:rPr>
          <w:rFonts w:ascii="仿宋_GB2312" w:hAnsi="仿宋" w:eastAsia="仿宋_GB2312" w:cs="仿宋_GB2312"/>
          <w:b/>
          <w:color w:val="auto"/>
          <w:kern w:val="0"/>
          <w:sz w:val="36"/>
          <w:szCs w:val="36"/>
          <w:highlight w:val="none"/>
        </w:rPr>
        <w:sectPr>
          <w:pgSz w:w="11907" w:h="16840"/>
          <w:pgMar w:top="1474" w:right="1814" w:bottom="1474" w:left="1814" w:header="851" w:footer="851" w:gutter="0"/>
          <w:pgNumType w:fmt="decimal"/>
          <w:cols w:space="720" w:num="1"/>
        </w:sectPr>
      </w:pPr>
    </w:p>
    <w:p>
      <w:pPr>
        <w:spacing w:line="360" w:lineRule="auto"/>
        <w:jc w:val="center"/>
        <w:outlineLvl w:val="0"/>
        <w:rPr>
          <w:rFonts w:ascii="仿宋" w:hAnsi="仿宋" w:eastAsia="仿宋" w:cs="仿宋_GB2312"/>
          <w:b/>
          <w:color w:val="auto"/>
          <w:kern w:val="0"/>
          <w:sz w:val="36"/>
          <w:szCs w:val="36"/>
          <w:highlight w:val="none"/>
        </w:rPr>
      </w:pPr>
    </w:p>
    <w:p>
      <w:pPr>
        <w:spacing w:line="360" w:lineRule="auto"/>
        <w:jc w:val="center"/>
        <w:outlineLvl w:val="0"/>
        <w:rPr>
          <w:rFonts w:ascii="仿宋" w:hAnsi="仿宋" w:eastAsia="仿宋" w:cs="仿宋_GB2312"/>
          <w:b/>
          <w:color w:val="auto"/>
          <w:kern w:val="0"/>
          <w:sz w:val="36"/>
          <w:szCs w:val="36"/>
          <w:highlight w:val="none"/>
        </w:rPr>
      </w:pP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报价文件部分</w:t>
      </w: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pacing w:line="360" w:lineRule="auto"/>
        <w:jc w:val="center"/>
        <w:outlineLvl w:val="0"/>
        <w:rPr>
          <w:rFonts w:ascii="仿宋" w:hAnsi="仿宋" w:eastAsia="仿宋" w:cs="仿宋_GB2312"/>
          <w:b/>
          <w:color w:val="auto"/>
          <w:kern w:val="0"/>
          <w:sz w:val="36"/>
          <w:szCs w:val="36"/>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1）开标一览表（报价表）……</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60页</w:t>
      </w:r>
      <w:r>
        <w:rPr>
          <w:rFonts w:hint="eastAsia" w:ascii="仿宋" w:hAnsi="仿宋" w:eastAsia="仿宋" w:cs="仿宋_GB2312"/>
          <w:color w:val="auto"/>
          <w:sz w:val="24"/>
          <w:highlight w:val="none"/>
        </w:rPr>
        <w:t>）</w:t>
      </w:r>
    </w:p>
    <w:p>
      <w:pPr>
        <w:snapToGrid w:val="0"/>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）价格组成表</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61页</w:t>
      </w:r>
      <w:r>
        <w:rPr>
          <w:rFonts w:hint="eastAsia" w:ascii="仿宋" w:hAnsi="仿宋" w:eastAsia="仿宋" w:cs="仿宋_GB2312"/>
          <w:color w:val="auto"/>
          <w:sz w:val="24"/>
          <w:highlight w:val="none"/>
        </w:rPr>
        <w:t>）</w:t>
      </w:r>
    </w:p>
    <w:p>
      <w:pPr>
        <w:snapToGrid w:val="0"/>
        <w:spacing w:line="360" w:lineRule="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（3）政府采购政策情况表（如有）</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63页</w:t>
      </w:r>
      <w:r>
        <w:rPr>
          <w:rFonts w:hint="eastAsia" w:ascii="仿宋" w:hAnsi="仿宋" w:eastAsia="仿宋" w:cs="仿宋_GB2312"/>
          <w:color w:val="auto"/>
          <w:sz w:val="24"/>
          <w:highlight w:val="none"/>
        </w:rPr>
        <w:t>）</w:t>
      </w: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widowControl/>
        <w:adjustRightInd/>
        <w:jc w:val="left"/>
        <w:rPr>
          <w:rFonts w:ascii="新宋体" w:hAnsi="新宋体" w:eastAsia="新宋体" w:cs="新宋体"/>
          <w:b/>
          <w:bCs/>
          <w:color w:val="auto"/>
          <w:kern w:val="0"/>
          <w:sz w:val="22"/>
          <w:szCs w:val="22"/>
          <w:highlight w:val="none"/>
          <w:lang w:val="zh-CN"/>
        </w:rPr>
      </w:pPr>
      <w:bookmarkStart w:id="211" w:name="_Toc25942242"/>
      <w:bookmarkStart w:id="212" w:name="_Toc14812100"/>
      <w:r>
        <w:rPr>
          <w:rFonts w:ascii="新宋体" w:hAnsi="新宋体" w:eastAsia="新宋体" w:cs="新宋体"/>
          <w:b/>
          <w:bCs/>
          <w:color w:val="auto"/>
          <w:kern w:val="0"/>
          <w:sz w:val="22"/>
          <w:szCs w:val="22"/>
          <w:highlight w:val="none"/>
          <w:lang w:val="zh-CN"/>
        </w:rPr>
        <w:br w:type="page"/>
      </w:r>
    </w:p>
    <w:p>
      <w:pPr>
        <w:autoSpaceDE w:val="0"/>
        <w:autoSpaceDN w:val="0"/>
        <w:spacing w:line="460" w:lineRule="atLeast"/>
        <w:jc w:val="left"/>
        <w:rPr>
          <w:rFonts w:hint="default" w:ascii="仿宋" w:hAnsi="仿宋" w:eastAsia="仿宋" w:cs="仿宋_GB2312"/>
          <w:b/>
          <w:color w:val="auto"/>
          <w:kern w:val="0"/>
          <w:sz w:val="28"/>
          <w:szCs w:val="28"/>
          <w:highlight w:val="none"/>
          <w:lang w:val="en-US" w:eastAsia="zh-CN"/>
        </w:rPr>
      </w:pPr>
      <w:bookmarkStart w:id="213" w:name="_Hlk93170250"/>
      <w:r>
        <w:rPr>
          <w:rFonts w:hint="eastAsia" w:ascii="仿宋" w:hAnsi="仿宋" w:eastAsia="仿宋" w:cs="仿宋_GB2312"/>
          <w:b/>
          <w:color w:val="auto"/>
          <w:kern w:val="0"/>
          <w:sz w:val="28"/>
          <w:szCs w:val="28"/>
          <w:highlight w:val="none"/>
        </w:rPr>
        <w:t>附件</w:t>
      </w:r>
      <w:r>
        <w:rPr>
          <w:rFonts w:hint="eastAsia" w:ascii="仿宋" w:hAnsi="仿宋" w:eastAsia="仿宋" w:cs="仿宋_GB2312"/>
          <w:b/>
          <w:color w:val="auto"/>
          <w:kern w:val="0"/>
          <w:sz w:val="28"/>
          <w:szCs w:val="28"/>
          <w:highlight w:val="none"/>
          <w:lang w:val="en-US" w:eastAsia="zh-CN"/>
        </w:rPr>
        <w:t>7</w:t>
      </w:r>
    </w:p>
    <w:p>
      <w:pPr>
        <w:autoSpaceDE w:val="0"/>
        <w:autoSpaceDN w:val="0"/>
        <w:spacing w:line="460" w:lineRule="atLeast"/>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一、开标一览表</w:t>
      </w:r>
    </w:p>
    <w:p>
      <w:pPr>
        <w:pStyle w:val="25"/>
        <w:ind w:left="-420" w:leftChars="-200" w:firstLine="0" w:firstLineChars="0"/>
        <w:rPr>
          <w:rFonts w:ascii="仿宋" w:hAnsi="仿宋" w:eastAsia="仿宋" w:cs="新宋体"/>
          <w:color w:val="auto"/>
          <w:highlight w:val="none"/>
          <w:lang w:val="zh-CN"/>
        </w:rPr>
      </w:pPr>
    </w:p>
    <w:p>
      <w:pPr>
        <w:spacing w:line="380" w:lineRule="exact"/>
        <w:rPr>
          <w:rFonts w:ascii="仿宋" w:hAnsi="仿宋" w:eastAsia="仿宋" w:cs="新宋体"/>
          <w:bCs/>
          <w:color w:val="auto"/>
          <w:sz w:val="22"/>
          <w:szCs w:val="22"/>
          <w:highlight w:val="none"/>
        </w:rPr>
      </w:pPr>
      <w:r>
        <w:rPr>
          <w:rFonts w:hint="eastAsia" w:ascii="仿宋" w:hAnsi="仿宋" w:eastAsia="仿宋" w:cs="新宋体"/>
          <w:bCs/>
          <w:color w:val="auto"/>
          <w:sz w:val="22"/>
          <w:szCs w:val="22"/>
          <w:highlight w:val="none"/>
        </w:rPr>
        <w:t>项目名称：                                       项目编号：</w:t>
      </w:r>
    </w:p>
    <w:p>
      <w:pPr>
        <w:spacing w:line="380" w:lineRule="exact"/>
        <w:rPr>
          <w:rFonts w:ascii="仿宋" w:hAnsi="仿宋" w:eastAsia="仿宋" w:cs="新宋体"/>
          <w:bCs/>
          <w:color w:val="auto"/>
          <w:sz w:val="22"/>
          <w:szCs w:val="22"/>
          <w:highlight w:val="none"/>
        </w:rPr>
      </w:pPr>
      <w:r>
        <w:rPr>
          <w:rFonts w:hint="eastAsia" w:ascii="仿宋" w:hAnsi="仿宋" w:eastAsia="仿宋" w:cs="新宋体"/>
          <w:bCs/>
          <w:color w:val="auto"/>
          <w:sz w:val="22"/>
          <w:szCs w:val="22"/>
          <w:highlight w:val="none"/>
        </w:rPr>
        <w:t>投标报价单位：</w:t>
      </w:r>
      <w:r>
        <w:rPr>
          <w:rFonts w:hint="eastAsia" w:ascii="仿宋" w:hAnsi="仿宋" w:eastAsia="仿宋" w:cs="新宋体"/>
          <w:color w:val="auto"/>
          <w:sz w:val="22"/>
          <w:szCs w:val="22"/>
          <w:highlight w:val="none"/>
        </w:rPr>
        <w:t>（元/人民币）</w:t>
      </w:r>
    </w:p>
    <w:tbl>
      <w:tblPr>
        <w:tblStyle w:val="57"/>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6"/>
        <w:gridCol w:w="2483"/>
        <w:gridCol w:w="2339"/>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6179" w:type="dxa"/>
            <w:gridSpan w:val="2"/>
            <w:vAlign w:val="center"/>
          </w:tcPr>
          <w:p>
            <w:pPr>
              <w:pStyle w:val="32"/>
              <w:jc w:val="center"/>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名称</w:t>
            </w:r>
          </w:p>
        </w:tc>
        <w:tc>
          <w:tcPr>
            <w:tcW w:w="2339" w:type="dxa"/>
            <w:vAlign w:val="center"/>
          </w:tcPr>
          <w:p>
            <w:pPr>
              <w:pStyle w:val="32"/>
              <w:jc w:val="center"/>
              <w:rPr>
                <w:rFonts w:hint="eastAsia" w:ascii="仿宋" w:hAnsi="仿宋" w:eastAsia="仿宋" w:cs="新宋体"/>
                <w:color w:val="auto"/>
                <w:sz w:val="22"/>
                <w:szCs w:val="22"/>
                <w:highlight w:val="none"/>
                <w:lang w:val="en-US" w:eastAsia="zh-CN"/>
              </w:rPr>
            </w:pPr>
            <w:r>
              <w:rPr>
                <w:rFonts w:hint="eastAsia" w:ascii="仿宋" w:hAnsi="仿宋" w:eastAsia="仿宋" w:cs="新宋体"/>
                <w:color w:val="auto"/>
                <w:sz w:val="22"/>
                <w:szCs w:val="22"/>
                <w:highlight w:val="none"/>
                <w:lang w:val="en-US" w:eastAsia="zh-CN"/>
              </w:rPr>
              <w:t>供货期限</w:t>
            </w:r>
          </w:p>
        </w:tc>
        <w:tc>
          <w:tcPr>
            <w:tcW w:w="1360" w:type="dxa"/>
            <w:vAlign w:val="center"/>
          </w:tcPr>
          <w:p>
            <w:pPr>
              <w:pStyle w:val="32"/>
              <w:jc w:val="center"/>
              <w:rPr>
                <w:rFonts w:hint="eastAsia" w:ascii="仿宋" w:hAnsi="仿宋" w:eastAsia="仿宋" w:cs="新宋体"/>
                <w:color w:val="auto"/>
                <w:sz w:val="22"/>
                <w:szCs w:val="22"/>
                <w:highlight w:val="none"/>
              </w:rPr>
            </w:pPr>
            <w:r>
              <w:rPr>
                <w:rFonts w:hint="eastAsia" w:ascii="仿宋" w:hAnsi="仿宋" w:eastAsia="仿宋" w:cs="新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6179" w:type="dxa"/>
            <w:gridSpan w:val="2"/>
            <w:vAlign w:val="center"/>
          </w:tcPr>
          <w:p>
            <w:pPr>
              <w:pStyle w:val="32"/>
              <w:jc w:val="center"/>
              <w:rPr>
                <w:rFonts w:hint="eastAsia" w:ascii="仿宋" w:hAnsi="仿宋" w:eastAsia="仿宋" w:cs="新宋体"/>
                <w:color w:val="auto"/>
                <w:sz w:val="22"/>
                <w:szCs w:val="22"/>
                <w:highlight w:val="none"/>
                <w:lang w:val="en-US" w:eastAsia="zh-CN"/>
              </w:rPr>
            </w:pPr>
            <w:r>
              <w:rPr>
                <w:rFonts w:hint="eastAsia" w:ascii="仿宋" w:hAnsi="仿宋" w:eastAsia="仿宋" w:cs="宋体"/>
                <w:color w:val="auto"/>
                <w:kern w:val="0"/>
                <w:sz w:val="24"/>
                <w:highlight w:val="none"/>
                <w:lang w:eastAsia="zh-CN"/>
              </w:rPr>
              <w:t>浙江省温州市自然灾害应急能力提升工程基层防灾项目（照明电源）</w:t>
            </w:r>
          </w:p>
        </w:tc>
        <w:tc>
          <w:tcPr>
            <w:tcW w:w="2339" w:type="dxa"/>
            <w:vAlign w:val="center"/>
          </w:tcPr>
          <w:p>
            <w:pPr>
              <w:pStyle w:val="32"/>
              <w:jc w:val="center"/>
              <w:rPr>
                <w:rFonts w:hint="default" w:ascii="仿宋" w:hAnsi="仿宋" w:eastAsia="仿宋" w:cs="新宋体"/>
                <w:color w:val="auto"/>
                <w:sz w:val="22"/>
                <w:szCs w:val="22"/>
                <w:highlight w:val="none"/>
                <w:lang w:val="en-US" w:eastAsia="zh-CN"/>
              </w:rPr>
            </w:pPr>
          </w:p>
        </w:tc>
        <w:tc>
          <w:tcPr>
            <w:tcW w:w="1360" w:type="dxa"/>
            <w:vAlign w:val="center"/>
          </w:tcPr>
          <w:p>
            <w:pPr>
              <w:pStyle w:val="32"/>
              <w:jc w:val="center"/>
              <w:rPr>
                <w:rFonts w:ascii="仿宋" w:hAnsi="仿宋" w:eastAsia="仿宋"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jc w:val="center"/>
        </w:trPr>
        <w:tc>
          <w:tcPr>
            <w:tcW w:w="3696" w:type="dxa"/>
            <w:vAlign w:val="center"/>
          </w:tcPr>
          <w:p>
            <w:pPr>
              <w:pStyle w:val="32"/>
              <w:jc w:val="center"/>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投标报价（人民币元）</w:t>
            </w:r>
          </w:p>
        </w:tc>
        <w:tc>
          <w:tcPr>
            <w:tcW w:w="6182" w:type="dxa"/>
            <w:gridSpan w:val="3"/>
            <w:vAlign w:val="center"/>
          </w:tcPr>
          <w:p>
            <w:pPr>
              <w:pStyle w:val="32"/>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（大写）</w:t>
            </w:r>
          </w:p>
          <w:p>
            <w:pPr>
              <w:pStyle w:val="32"/>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（小写）</w:t>
            </w:r>
          </w:p>
        </w:tc>
      </w:tr>
    </w:tbl>
    <w:p>
      <w:pPr>
        <w:spacing w:line="380" w:lineRule="exact"/>
        <w:ind w:left="529" w:leftChars="-66" w:hanging="668" w:hangingChars="304"/>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说明：</w:t>
      </w:r>
    </w:p>
    <w:p>
      <w:pPr>
        <w:spacing w:line="380" w:lineRule="exact"/>
        <w:rPr>
          <w:rFonts w:ascii="仿宋" w:hAnsi="仿宋" w:eastAsia="仿宋" w:cs="新宋体"/>
          <w:bCs/>
          <w:color w:val="auto"/>
          <w:sz w:val="22"/>
          <w:szCs w:val="22"/>
          <w:highlight w:val="none"/>
        </w:rPr>
      </w:pPr>
      <w:r>
        <w:rPr>
          <w:rFonts w:hint="eastAsia" w:ascii="仿宋" w:hAnsi="仿宋" w:eastAsia="仿宋" w:cs="新宋体"/>
          <w:color w:val="auto"/>
          <w:sz w:val="22"/>
          <w:szCs w:val="22"/>
          <w:highlight w:val="none"/>
          <w:u w:val="single"/>
        </w:rPr>
        <w:t>▲</w:t>
      </w:r>
      <w:r>
        <w:rPr>
          <w:rFonts w:hint="eastAsia" w:ascii="仿宋" w:hAnsi="仿宋" w:eastAsia="仿宋" w:cs="新宋体"/>
          <w:b/>
          <w:bCs/>
          <w:color w:val="auto"/>
          <w:sz w:val="22"/>
          <w:szCs w:val="22"/>
          <w:highlight w:val="none"/>
          <w:u w:val="single"/>
          <w:lang w:val="en-US" w:eastAsia="zh-CN"/>
        </w:rPr>
        <w:t>1、</w:t>
      </w:r>
      <w:r>
        <w:rPr>
          <w:rFonts w:hint="eastAsia" w:ascii="仿宋" w:hAnsi="仿宋" w:eastAsia="仿宋" w:cs="新宋体"/>
          <w:b/>
          <w:bCs/>
          <w:color w:val="auto"/>
          <w:sz w:val="22"/>
          <w:szCs w:val="22"/>
          <w:highlight w:val="none"/>
          <w:u w:val="single"/>
        </w:rPr>
        <w:t>本表中的投标报价包括</w:t>
      </w:r>
      <w:r>
        <w:rPr>
          <w:rFonts w:hint="eastAsia" w:ascii="仿宋" w:hAnsi="仿宋" w:eastAsia="仿宋" w:cs="新宋体"/>
          <w:b/>
          <w:bCs/>
          <w:color w:val="auto"/>
          <w:sz w:val="22"/>
          <w:szCs w:val="22"/>
          <w:highlight w:val="none"/>
          <w:u w:val="single"/>
          <w:lang w:eastAsia="zh-CN"/>
        </w:rPr>
        <w:t>设备设施费、运杂费、保险费、安装及调试费、验收费、合同包含的所有风险责任等各项费用及不可预见费、服务期和质保期内免费服务等所需的全部费用</w:t>
      </w:r>
      <w:r>
        <w:rPr>
          <w:rFonts w:hint="eastAsia" w:ascii="仿宋" w:hAnsi="仿宋" w:eastAsia="仿宋" w:cs="新宋体"/>
          <w:b/>
          <w:bCs/>
          <w:color w:val="auto"/>
          <w:sz w:val="22"/>
          <w:szCs w:val="22"/>
          <w:highlight w:val="none"/>
          <w:u w:val="single"/>
        </w:rPr>
        <w:t>。</w:t>
      </w:r>
    </w:p>
    <w:p>
      <w:pPr>
        <w:spacing w:line="380" w:lineRule="exact"/>
        <w:rPr>
          <w:rFonts w:ascii="仿宋" w:hAnsi="仿宋" w:eastAsia="仿宋" w:cs="新宋体"/>
          <w:b/>
          <w:bCs/>
          <w:color w:val="auto"/>
          <w:sz w:val="22"/>
          <w:szCs w:val="22"/>
          <w:highlight w:val="none"/>
          <w:u w:val="single"/>
        </w:rPr>
      </w:pPr>
      <w:r>
        <w:rPr>
          <w:rFonts w:hint="eastAsia" w:ascii="仿宋" w:hAnsi="仿宋" w:eastAsia="仿宋" w:cs="新宋体"/>
          <w:b/>
          <w:bCs/>
          <w:color w:val="auto"/>
          <w:sz w:val="22"/>
          <w:szCs w:val="22"/>
          <w:highlight w:val="none"/>
          <w:u w:val="single"/>
        </w:rPr>
        <w:t>▲</w:t>
      </w:r>
      <w:r>
        <w:rPr>
          <w:rFonts w:hint="eastAsia" w:ascii="仿宋" w:hAnsi="仿宋" w:eastAsia="仿宋" w:cs="新宋体"/>
          <w:b/>
          <w:bCs/>
          <w:color w:val="auto"/>
          <w:sz w:val="22"/>
          <w:szCs w:val="22"/>
          <w:highlight w:val="none"/>
          <w:u w:val="single"/>
          <w:lang w:val="en-US" w:eastAsia="zh-CN"/>
        </w:rPr>
        <w:t>2、不提供此表格的将视为没有实质性响应招标文件。</w:t>
      </w:r>
    </w:p>
    <w:p>
      <w:pPr>
        <w:autoSpaceDE w:val="0"/>
        <w:autoSpaceDN w:val="0"/>
        <w:spacing w:line="380" w:lineRule="atLeast"/>
        <w:ind w:left="36"/>
        <w:rPr>
          <w:rFonts w:ascii="仿宋" w:hAnsi="仿宋" w:eastAsia="仿宋" w:cs="新宋体"/>
          <w:color w:val="auto"/>
          <w:kern w:val="0"/>
          <w:sz w:val="22"/>
          <w:szCs w:val="22"/>
          <w:highlight w:val="none"/>
          <w:lang w:val="zh-CN"/>
        </w:rPr>
      </w:pPr>
    </w:p>
    <w:p>
      <w:pPr>
        <w:autoSpaceDE w:val="0"/>
        <w:autoSpaceDN w:val="0"/>
        <w:spacing w:line="380" w:lineRule="atLeast"/>
        <w:ind w:firstLine="660"/>
        <w:rPr>
          <w:rFonts w:ascii="仿宋" w:hAnsi="仿宋" w:eastAsia="仿宋" w:cs="新宋体"/>
          <w:color w:val="auto"/>
          <w:kern w:val="0"/>
          <w:sz w:val="22"/>
          <w:szCs w:val="22"/>
          <w:highlight w:val="none"/>
          <w:lang w:val="zh-CN"/>
        </w:rPr>
      </w:pPr>
    </w:p>
    <w:p>
      <w:pPr>
        <w:autoSpaceDE w:val="0"/>
        <w:autoSpaceDN w:val="0"/>
        <w:spacing w:line="380" w:lineRule="atLeast"/>
        <w:ind w:firstLine="660"/>
        <w:rPr>
          <w:rFonts w:ascii="仿宋" w:hAnsi="仿宋" w:eastAsia="仿宋" w:cs="新宋体"/>
          <w:color w:val="auto"/>
          <w:kern w:val="0"/>
          <w:sz w:val="22"/>
          <w:szCs w:val="22"/>
          <w:highlight w:val="none"/>
          <w:lang w:val="zh-CN"/>
        </w:rPr>
      </w:pPr>
    </w:p>
    <w:p>
      <w:pPr>
        <w:autoSpaceDE w:val="0"/>
        <w:autoSpaceDN w:val="0"/>
        <w:spacing w:line="380" w:lineRule="atLeast"/>
        <w:ind w:firstLine="660"/>
        <w:rPr>
          <w:rFonts w:ascii="仿宋" w:hAnsi="仿宋" w:eastAsia="仿宋" w:cs="新宋体"/>
          <w:color w:val="auto"/>
          <w:kern w:val="0"/>
          <w:sz w:val="22"/>
          <w:szCs w:val="22"/>
          <w:highlight w:val="none"/>
          <w:lang w:val="zh-CN"/>
        </w:rPr>
      </w:pPr>
    </w:p>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投标人名称(电子</w:t>
      </w:r>
      <w:r>
        <w:rPr>
          <w:rFonts w:hint="eastAsia" w:ascii="仿宋" w:hAnsi="仿宋" w:eastAsia="仿宋" w:cs="仿宋_GB2312"/>
          <w:color w:val="auto"/>
          <w:kern w:val="0"/>
          <w:sz w:val="24"/>
          <w:highlight w:val="none"/>
          <w:lang w:val="zh-CN"/>
        </w:rPr>
        <w:t>签章</w:t>
      </w:r>
      <w:r>
        <w:rPr>
          <w:rFonts w:ascii="仿宋" w:hAnsi="仿宋" w:eastAsia="仿宋" w:cs="仿宋_GB2312"/>
          <w:color w:val="auto"/>
          <w:kern w:val="0"/>
          <w:sz w:val="24"/>
          <w:highlight w:val="none"/>
          <w:lang w:val="zh-CN"/>
        </w:rPr>
        <w:t xml:space="preserve">)：                              </w:t>
      </w:r>
    </w:p>
    <w:p>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bookmarkEnd w:id="213"/>
    </w:p>
    <w:p>
      <w:pPr>
        <w:widowControl/>
        <w:adjustRightInd/>
        <w:jc w:val="left"/>
        <w:rPr>
          <w:rFonts w:ascii="仿宋" w:hAnsi="仿宋" w:eastAsia="仿宋"/>
          <w:color w:val="auto"/>
          <w:sz w:val="28"/>
          <w:szCs w:val="36"/>
          <w:highlight w:val="none"/>
        </w:rPr>
        <w:sectPr>
          <w:headerReference r:id="rId12" w:type="default"/>
          <w:footerReference r:id="rId13" w:type="default"/>
          <w:pgSz w:w="11907" w:h="16840"/>
          <w:pgMar w:top="1474" w:right="1814" w:bottom="1474" w:left="1814" w:header="851" w:footer="851" w:gutter="0"/>
          <w:pgNumType w:fmt="decimal"/>
          <w:cols w:space="720" w:num="1"/>
        </w:sectPr>
      </w:pPr>
      <w:r>
        <w:rPr>
          <w:rFonts w:ascii="仿宋" w:hAnsi="仿宋" w:eastAsia="仿宋"/>
          <w:color w:val="auto"/>
          <w:sz w:val="28"/>
          <w:szCs w:val="36"/>
          <w:highlight w:val="none"/>
        </w:rPr>
        <w:br w:type="page"/>
      </w:r>
    </w:p>
    <w:p>
      <w:pPr>
        <w:widowControl/>
        <w:adjustRightInd/>
        <w:jc w:val="left"/>
        <w:rPr>
          <w:rFonts w:hint="default" w:ascii="仿宋" w:hAnsi="仿宋" w:eastAsia="仿宋" w:cs="仿宋_GB2312"/>
          <w:b/>
          <w:bCs/>
          <w:color w:val="auto"/>
          <w:sz w:val="28"/>
          <w:szCs w:val="28"/>
          <w:highlight w:val="none"/>
          <w:lang w:val="en-US" w:eastAsia="zh-CN"/>
        </w:rPr>
      </w:pPr>
      <w:r>
        <w:rPr>
          <w:rFonts w:hint="eastAsia" w:ascii="仿宋" w:hAnsi="仿宋" w:eastAsia="仿宋" w:cs="仿宋_GB2312"/>
          <w:b/>
          <w:bCs/>
          <w:color w:val="auto"/>
          <w:sz w:val="28"/>
          <w:szCs w:val="28"/>
          <w:highlight w:val="none"/>
        </w:rPr>
        <w:t>附件</w:t>
      </w:r>
      <w:r>
        <w:rPr>
          <w:rFonts w:hint="eastAsia" w:ascii="仿宋" w:hAnsi="仿宋" w:eastAsia="仿宋" w:cs="仿宋_GB2312"/>
          <w:b/>
          <w:bCs/>
          <w:color w:val="auto"/>
          <w:sz w:val="28"/>
          <w:szCs w:val="28"/>
          <w:highlight w:val="none"/>
          <w:lang w:val="en-US" w:eastAsia="zh-CN"/>
        </w:rPr>
        <w:t>8</w:t>
      </w:r>
    </w:p>
    <w:p>
      <w:pPr>
        <w:pStyle w:val="25"/>
        <w:jc w:val="center"/>
        <w:rPr>
          <w:rFonts w:hint="eastAsia" w:ascii="仿宋" w:hAnsi="仿宋" w:eastAsia="仿宋" w:cs="仿宋"/>
          <w:color w:val="auto"/>
          <w:highlight w:val="none"/>
        </w:rPr>
      </w:pPr>
      <w:r>
        <w:rPr>
          <w:rFonts w:hint="eastAsia" w:ascii="仿宋" w:hAnsi="仿宋" w:eastAsia="仿宋" w:cs="宋体"/>
          <w:b/>
          <w:bCs/>
          <w:color w:val="auto"/>
          <w:kern w:val="36"/>
          <w:sz w:val="28"/>
          <w:szCs w:val="36"/>
          <w:highlight w:val="none"/>
        </w:rPr>
        <w:t>二、价格组成表</w:t>
      </w:r>
    </w:p>
    <w:bookmarkEnd w:id="211"/>
    <w:bookmarkEnd w:id="212"/>
    <w:p>
      <w:pPr>
        <w:spacing w:line="380" w:lineRule="exact"/>
        <w:rPr>
          <w:rFonts w:hint="eastAsia" w:ascii="仿宋" w:hAnsi="仿宋" w:eastAsia="仿宋"/>
          <w:color w:val="auto"/>
          <w:sz w:val="24"/>
          <w:highlight w:val="none"/>
          <w:lang w:eastAsia="zh-CN"/>
        </w:rPr>
      </w:pPr>
      <w:r>
        <w:rPr>
          <w:rFonts w:hint="eastAsia" w:ascii="仿宋" w:hAnsi="仿宋" w:eastAsia="仿宋" w:cs="新宋体"/>
          <w:bCs/>
          <w:color w:val="auto"/>
          <w:sz w:val="22"/>
          <w:szCs w:val="22"/>
          <w:highlight w:val="none"/>
        </w:rPr>
        <w:t>项目名称：</w:t>
      </w:r>
    </w:p>
    <w:p>
      <w:pPr>
        <w:spacing w:line="380" w:lineRule="exact"/>
        <w:rPr>
          <w:rFonts w:hint="eastAsia" w:ascii="仿宋" w:hAnsi="仿宋" w:eastAsia="仿宋" w:cs="仿宋"/>
          <w:bCs/>
          <w:color w:val="auto"/>
          <w:sz w:val="24"/>
          <w:szCs w:val="24"/>
          <w:highlight w:val="none"/>
          <w:lang w:val="en-US" w:eastAsia="zh-CN"/>
        </w:rPr>
      </w:pPr>
      <w:r>
        <w:rPr>
          <w:rFonts w:hint="eastAsia" w:ascii="仿宋" w:hAnsi="仿宋" w:eastAsia="仿宋" w:cs="新宋体"/>
          <w:bCs/>
          <w:color w:val="auto"/>
          <w:sz w:val="22"/>
          <w:szCs w:val="22"/>
          <w:highlight w:val="none"/>
        </w:rPr>
        <w:t>项目编号：</w:t>
      </w:r>
      <w:r>
        <w:rPr>
          <w:rFonts w:hint="eastAsia" w:ascii="仿宋" w:hAnsi="仿宋" w:eastAsia="仿宋" w:cs="新宋体"/>
          <w:bCs/>
          <w:color w:val="auto"/>
          <w:sz w:val="22"/>
          <w:szCs w:val="22"/>
          <w:highlight w:val="none"/>
          <w:lang w:val="en-US" w:eastAsia="zh-CN"/>
        </w:rPr>
        <w:t xml:space="preserve">                                           </w:t>
      </w:r>
      <w:r>
        <w:rPr>
          <w:rFonts w:hint="eastAsia" w:ascii="仿宋" w:hAnsi="仿宋" w:eastAsia="仿宋" w:cs="仿宋"/>
          <w:b w:val="0"/>
          <w:color w:val="auto"/>
          <w:sz w:val="24"/>
          <w:szCs w:val="24"/>
          <w:highlight w:val="none"/>
        </w:rPr>
        <w:t>（价格单位：元/人民币）</w:t>
      </w:r>
    </w:p>
    <w:tbl>
      <w:tblPr>
        <w:tblStyle w:val="57"/>
        <w:tblW w:w="10075" w:type="dxa"/>
        <w:tblInd w:w="-9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4"/>
        <w:gridCol w:w="823"/>
        <w:gridCol w:w="768"/>
        <w:gridCol w:w="1414"/>
        <w:gridCol w:w="718"/>
        <w:gridCol w:w="1095"/>
        <w:gridCol w:w="1094"/>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974" w:type="dxa"/>
            <w:tcBorders>
              <w:top w:val="single" w:color="auto" w:sz="12" w:space="0"/>
              <w:left w:val="single" w:color="auto" w:sz="12" w:space="0"/>
              <w:bottom w:val="single" w:color="auto" w:sz="12" w:space="0"/>
            </w:tcBorders>
            <w:vAlign w:val="center"/>
          </w:tcPr>
          <w:p>
            <w:pPr>
              <w:ind w:right="-11"/>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项目名称</w:t>
            </w:r>
          </w:p>
        </w:tc>
        <w:tc>
          <w:tcPr>
            <w:tcW w:w="823" w:type="dxa"/>
            <w:tcBorders>
              <w:top w:val="single" w:color="auto" w:sz="12" w:space="0"/>
              <w:left w:val="single" w:color="auto" w:sz="4" w:space="0"/>
              <w:bottom w:val="single" w:color="auto" w:sz="12" w:space="0"/>
            </w:tcBorders>
            <w:vAlign w:val="center"/>
          </w:tcPr>
          <w:p>
            <w:pPr>
              <w:ind w:right="-11"/>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使用单位</w:t>
            </w:r>
          </w:p>
        </w:tc>
        <w:tc>
          <w:tcPr>
            <w:tcW w:w="768" w:type="dxa"/>
            <w:tcBorders>
              <w:top w:val="single" w:color="auto" w:sz="12" w:space="0"/>
              <w:bottom w:val="single" w:color="auto" w:sz="12" w:space="0"/>
            </w:tcBorders>
            <w:vAlign w:val="center"/>
          </w:tcPr>
          <w:p>
            <w:pPr>
              <w:ind w:right="-11"/>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数量</w:t>
            </w:r>
          </w:p>
        </w:tc>
        <w:tc>
          <w:tcPr>
            <w:tcW w:w="1414" w:type="dxa"/>
            <w:tcBorders>
              <w:top w:val="single" w:color="auto" w:sz="12" w:space="0"/>
              <w:bottom w:val="single" w:color="auto" w:sz="12" w:space="0"/>
            </w:tcBorders>
            <w:vAlign w:val="center"/>
          </w:tcPr>
          <w:p>
            <w:pPr>
              <w:ind w:right="-11"/>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品牌</w:t>
            </w:r>
            <w:r>
              <w:rPr>
                <w:rFonts w:hint="eastAsia" w:ascii="仿宋" w:hAnsi="仿宋" w:eastAsia="仿宋" w:cs="仿宋"/>
                <w:b w:val="0"/>
                <w:bCs/>
                <w:color w:val="auto"/>
                <w:sz w:val="24"/>
                <w:szCs w:val="24"/>
                <w:highlight w:val="none"/>
                <w:lang w:val="en-US" w:eastAsia="zh-CN"/>
              </w:rPr>
              <w:t>/型号</w:t>
            </w:r>
            <w:bookmarkStart w:id="264" w:name="_GoBack"/>
            <w:bookmarkEnd w:id="264"/>
          </w:p>
          <w:p>
            <w:pPr>
              <w:ind w:right="-11"/>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（如有）</w:t>
            </w:r>
          </w:p>
        </w:tc>
        <w:tc>
          <w:tcPr>
            <w:tcW w:w="718" w:type="dxa"/>
            <w:tcBorders>
              <w:top w:val="single" w:color="auto" w:sz="12" w:space="0"/>
              <w:bottom w:val="single" w:color="auto" w:sz="12" w:space="0"/>
            </w:tcBorders>
            <w:vAlign w:val="center"/>
          </w:tcPr>
          <w:p>
            <w:pPr>
              <w:ind w:right="-11"/>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单位</w:t>
            </w:r>
          </w:p>
        </w:tc>
        <w:tc>
          <w:tcPr>
            <w:tcW w:w="1095" w:type="dxa"/>
            <w:tcBorders>
              <w:top w:val="single" w:color="auto" w:sz="12" w:space="0"/>
              <w:bottom w:val="single" w:color="auto" w:sz="12" w:space="0"/>
            </w:tcBorders>
            <w:vAlign w:val="center"/>
          </w:tcPr>
          <w:p>
            <w:pPr>
              <w:ind w:right="-11"/>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单价</w:t>
            </w:r>
          </w:p>
          <w:p>
            <w:pPr>
              <w:ind w:right="-11"/>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（含税）</w:t>
            </w:r>
          </w:p>
        </w:tc>
        <w:tc>
          <w:tcPr>
            <w:tcW w:w="1094" w:type="dxa"/>
            <w:tcBorders>
              <w:top w:val="single" w:color="auto" w:sz="12" w:space="0"/>
              <w:bottom w:val="single" w:color="auto" w:sz="12" w:space="0"/>
            </w:tcBorders>
            <w:vAlign w:val="center"/>
          </w:tcPr>
          <w:p>
            <w:pPr>
              <w:ind w:right="-11"/>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总价</w:t>
            </w:r>
          </w:p>
          <w:p>
            <w:pPr>
              <w:ind w:right="-11"/>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（含税）</w:t>
            </w:r>
          </w:p>
        </w:tc>
        <w:tc>
          <w:tcPr>
            <w:tcW w:w="1189" w:type="dxa"/>
            <w:tcBorders>
              <w:top w:val="single" w:color="auto" w:sz="12" w:space="0"/>
              <w:bottom w:val="single" w:color="auto" w:sz="12" w:space="0"/>
              <w:right w:val="single" w:color="auto" w:sz="12" w:space="0"/>
            </w:tcBorders>
            <w:vAlign w:val="center"/>
          </w:tcPr>
          <w:p>
            <w:pPr>
              <w:ind w:right="-11"/>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单价</w:t>
            </w:r>
          </w:p>
          <w:p>
            <w:pPr>
              <w:ind w:right="-11"/>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tcBorders>
              <w:left w:val="single" w:color="auto" w:sz="12" w:space="0"/>
            </w:tcBorders>
            <w:vAlign w:val="center"/>
          </w:tcPr>
          <w:p>
            <w:pPr>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移动照明平台</w:t>
            </w: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泰顺县</w:t>
            </w:r>
          </w:p>
        </w:tc>
        <w:tc>
          <w:tcPr>
            <w:tcW w:w="76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1</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restart"/>
            <w:tcBorders>
              <w:left w:val="single" w:color="auto" w:sz="12" w:space="0"/>
            </w:tcBorders>
            <w:vAlign w:val="center"/>
          </w:tcPr>
          <w:p>
            <w:pPr>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应急照明系统</w:t>
            </w: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泰顺县</w:t>
            </w:r>
          </w:p>
        </w:tc>
        <w:tc>
          <w:tcPr>
            <w:tcW w:w="76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11</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洞头区</w:t>
            </w:r>
          </w:p>
        </w:tc>
        <w:tc>
          <w:tcPr>
            <w:tcW w:w="76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2</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龙湾区</w:t>
            </w:r>
          </w:p>
        </w:tc>
        <w:tc>
          <w:tcPr>
            <w:tcW w:w="76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3</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both"/>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永嘉县</w:t>
            </w:r>
          </w:p>
        </w:tc>
        <w:tc>
          <w:tcPr>
            <w:tcW w:w="76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8</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both"/>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瑞安市</w:t>
            </w:r>
          </w:p>
        </w:tc>
        <w:tc>
          <w:tcPr>
            <w:tcW w:w="76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1</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both"/>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文成县</w:t>
            </w:r>
          </w:p>
        </w:tc>
        <w:tc>
          <w:tcPr>
            <w:tcW w:w="76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19</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both"/>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龙港市</w:t>
            </w:r>
          </w:p>
        </w:tc>
        <w:tc>
          <w:tcPr>
            <w:tcW w:w="76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2</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both"/>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瑞安市</w:t>
            </w:r>
          </w:p>
        </w:tc>
        <w:tc>
          <w:tcPr>
            <w:tcW w:w="76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16</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both"/>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苍南县</w:t>
            </w:r>
          </w:p>
        </w:tc>
        <w:tc>
          <w:tcPr>
            <w:tcW w:w="76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24</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both"/>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乐清市</w:t>
            </w:r>
          </w:p>
        </w:tc>
        <w:tc>
          <w:tcPr>
            <w:tcW w:w="76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2</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泰顺县</w:t>
            </w:r>
          </w:p>
        </w:tc>
        <w:tc>
          <w:tcPr>
            <w:tcW w:w="76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2</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鹿城区</w:t>
            </w:r>
          </w:p>
        </w:tc>
        <w:tc>
          <w:tcPr>
            <w:tcW w:w="76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2</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乐清市</w:t>
            </w:r>
          </w:p>
        </w:tc>
        <w:tc>
          <w:tcPr>
            <w:tcW w:w="76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39</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鹿城区</w:t>
            </w:r>
          </w:p>
        </w:tc>
        <w:tc>
          <w:tcPr>
            <w:tcW w:w="76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5</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瑞安市</w:t>
            </w:r>
          </w:p>
        </w:tc>
        <w:tc>
          <w:tcPr>
            <w:tcW w:w="76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5</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泰顺县</w:t>
            </w:r>
          </w:p>
        </w:tc>
        <w:tc>
          <w:tcPr>
            <w:tcW w:w="76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10</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平阳县</w:t>
            </w:r>
          </w:p>
        </w:tc>
        <w:tc>
          <w:tcPr>
            <w:tcW w:w="76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16</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b w:val="0"/>
                <w:color w:val="auto"/>
                <w:sz w:val="18"/>
                <w:szCs w:val="18"/>
                <w:highlight w:val="none"/>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乐清市</w:t>
            </w:r>
          </w:p>
        </w:tc>
        <w:tc>
          <w:tcPr>
            <w:tcW w:w="76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84</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restart"/>
            <w:tcBorders>
              <w:left w:val="single" w:color="auto" w:sz="12" w:space="0"/>
            </w:tcBorders>
            <w:vAlign w:val="center"/>
          </w:tcPr>
          <w:p>
            <w:pPr>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应急电源</w:t>
            </w: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文成县</w:t>
            </w:r>
          </w:p>
        </w:tc>
        <w:tc>
          <w:tcPr>
            <w:tcW w:w="76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瑞安市</w:t>
            </w:r>
          </w:p>
        </w:tc>
        <w:tc>
          <w:tcPr>
            <w:tcW w:w="76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龙港市</w:t>
            </w:r>
          </w:p>
        </w:tc>
        <w:tc>
          <w:tcPr>
            <w:tcW w:w="76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平阳县</w:t>
            </w:r>
          </w:p>
        </w:tc>
        <w:tc>
          <w:tcPr>
            <w:tcW w:w="76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苍南县</w:t>
            </w:r>
          </w:p>
        </w:tc>
        <w:tc>
          <w:tcPr>
            <w:tcW w:w="76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43</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泰顺县</w:t>
            </w:r>
          </w:p>
        </w:tc>
        <w:tc>
          <w:tcPr>
            <w:tcW w:w="76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43</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洞头区</w:t>
            </w:r>
          </w:p>
        </w:tc>
        <w:tc>
          <w:tcPr>
            <w:tcW w:w="76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永嘉县</w:t>
            </w:r>
          </w:p>
        </w:tc>
        <w:tc>
          <w:tcPr>
            <w:tcW w:w="76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乐清市</w:t>
            </w:r>
          </w:p>
        </w:tc>
        <w:tc>
          <w:tcPr>
            <w:tcW w:w="76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29</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鹿城区</w:t>
            </w:r>
          </w:p>
        </w:tc>
        <w:tc>
          <w:tcPr>
            <w:tcW w:w="76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19</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restart"/>
            <w:tcBorders>
              <w:left w:val="single" w:color="auto" w:sz="12" w:space="0"/>
            </w:tcBorders>
            <w:vAlign w:val="center"/>
          </w:tcPr>
          <w:p>
            <w:pPr>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防水头灯</w:t>
            </w: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文成县</w:t>
            </w:r>
          </w:p>
        </w:tc>
        <w:tc>
          <w:tcPr>
            <w:tcW w:w="76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ind w:right="-11"/>
              <w:jc w:val="center"/>
              <w:rPr>
                <w:rFonts w:hint="eastAsia" w:ascii="仿宋" w:hAnsi="仿宋" w:eastAsia="仿宋" w:cs="仿宋"/>
                <w:b w:val="0"/>
                <w:color w:val="auto"/>
                <w:sz w:val="24"/>
                <w:szCs w:val="24"/>
                <w:highlight w:val="none"/>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瑞安市</w:t>
            </w:r>
          </w:p>
        </w:tc>
        <w:tc>
          <w:tcPr>
            <w:tcW w:w="76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235</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ind w:right="-11"/>
              <w:jc w:val="center"/>
              <w:rPr>
                <w:rFonts w:hint="eastAsia" w:ascii="仿宋" w:hAnsi="仿宋" w:eastAsia="仿宋" w:cs="仿宋"/>
                <w:b w:val="0"/>
                <w:color w:val="auto"/>
                <w:sz w:val="24"/>
                <w:szCs w:val="24"/>
                <w:highlight w:val="none"/>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平阳县</w:t>
            </w:r>
          </w:p>
        </w:tc>
        <w:tc>
          <w:tcPr>
            <w:tcW w:w="76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ind w:right="-11"/>
              <w:jc w:val="center"/>
              <w:rPr>
                <w:rFonts w:hint="eastAsia" w:ascii="仿宋" w:hAnsi="仿宋" w:eastAsia="仿宋" w:cs="仿宋"/>
                <w:b w:val="0"/>
                <w:color w:val="auto"/>
                <w:sz w:val="24"/>
                <w:szCs w:val="24"/>
                <w:highlight w:val="none"/>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鹿城区</w:t>
            </w:r>
          </w:p>
        </w:tc>
        <w:tc>
          <w:tcPr>
            <w:tcW w:w="76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ind w:right="-11"/>
              <w:jc w:val="center"/>
              <w:rPr>
                <w:rFonts w:hint="eastAsia" w:ascii="仿宋" w:hAnsi="仿宋" w:eastAsia="仿宋" w:cs="仿宋"/>
                <w:b w:val="0"/>
                <w:color w:val="auto"/>
                <w:sz w:val="24"/>
                <w:szCs w:val="24"/>
                <w:highlight w:val="none"/>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泰顺县</w:t>
            </w:r>
          </w:p>
        </w:tc>
        <w:tc>
          <w:tcPr>
            <w:tcW w:w="76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ind w:right="-11"/>
              <w:jc w:val="center"/>
              <w:rPr>
                <w:rFonts w:hint="eastAsia" w:ascii="仿宋" w:hAnsi="仿宋" w:eastAsia="仿宋" w:cs="仿宋"/>
                <w:b w:val="0"/>
                <w:color w:val="auto"/>
                <w:sz w:val="24"/>
                <w:szCs w:val="24"/>
                <w:highlight w:val="none"/>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洞头区</w:t>
            </w:r>
          </w:p>
        </w:tc>
        <w:tc>
          <w:tcPr>
            <w:tcW w:w="76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70</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ind w:right="-11"/>
              <w:jc w:val="center"/>
              <w:rPr>
                <w:rFonts w:hint="eastAsia" w:ascii="仿宋" w:hAnsi="仿宋" w:eastAsia="仿宋" w:cs="仿宋"/>
                <w:b w:val="0"/>
                <w:color w:val="auto"/>
                <w:sz w:val="24"/>
                <w:szCs w:val="24"/>
                <w:highlight w:val="none"/>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永嘉县</w:t>
            </w:r>
          </w:p>
        </w:tc>
        <w:tc>
          <w:tcPr>
            <w:tcW w:w="76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42</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ind w:right="-11"/>
              <w:jc w:val="center"/>
              <w:rPr>
                <w:rFonts w:hint="eastAsia" w:ascii="仿宋" w:hAnsi="仿宋" w:eastAsia="仿宋" w:cs="仿宋"/>
                <w:b w:val="0"/>
                <w:color w:val="auto"/>
                <w:sz w:val="24"/>
                <w:szCs w:val="24"/>
                <w:highlight w:val="none"/>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乐清市</w:t>
            </w:r>
          </w:p>
        </w:tc>
        <w:tc>
          <w:tcPr>
            <w:tcW w:w="76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280</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ind w:right="-11"/>
              <w:jc w:val="center"/>
              <w:rPr>
                <w:rFonts w:hint="eastAsia" w:ascii="仿宋" w:hAnsi="仿宋" w:eastAsia="仿宋" w:cs="仿宋"/>
                <w:b w:val="0"/>
                <w:color w:val="auto"/>
                <w:sz w:val="24"/>
                <w:szCs w:val="24"/>
                <w:highlight w:val="none"/>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restart"/>
            <w:tcBorders>
              <w:left w:val="single" w:color="auto" w:sz="12" w:space="0"/>
            </w:tcBorders>
            <w:vAlign w:val="center"/>
          </w:tcPr>
          <w:p>
            <w:pPr>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便携式防水防爆应急强光灯</w:t>
            </w: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文成县</w:t>
            </w:r>
          </w:p>
        </w:tc>
        <w:tc>
          <w:tcPr>
            <w:tcW w:w="76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17</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ind w:right="-11"/>
              <w:jc w:val="center"/>
              <w:rPr>
                <w:rFonts w:hint="eastAsia" w:ascii="仿宋" w:hAnsi="仿宋" w:eastAsia="仿宋" w:cs="仿宋"/>
                <w:b w:val="0"/>
                <w:color w:val="auto"/>
                <w:sz w:val="24"/>
                <w:szCs w:val="24"/>
                <w:highlight w:val="none"/>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瑞安市</w:t>
            </w:r>
          </w:p>
        </w:tc>
        <w:tc>
          <w:tcPr>
            <w:tcW w:w="76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ind w:right="-11"/>
              <w:jc w:val="center"/>
              <w:rPr>
                <w:rFonts w:hint="eastAsia" w:ascii="仿宋" w:hAnsi="仿宋" w:eastAsia="仿宋" w:cs="仿宋"/>
                <w:b w:val="0"/>
                <w:color w:val="auto"/>
                <w:sz w:val="24"/>
                <w:szCs w:val="24"/>
                <w:highlight w:val="none"/>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平阳县</w:t>
            </w:r>
          </w:p>
        </w:tc>
        <w:tc>
          <w:tcPr>
            <w:tcW w:w="76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ind w:right="-11"/>
              <w:jc w:val="center"/>
              <w:rPr>
                <w:rFonts w:hint="eastAsia" w:ascii="仿宋" w:hAnsi="仿宋" w:eastAsia="仿宋" w:cs="仿宋"/>
                <w:b w:val="0"/>
                <w:color w:val="auto"/>
                <w:sz w:val="24"/>
                <w:szCs w:val="24"/>
                <w:highlight w:val="none"/>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苍南县</w:t>
            </w:r>
          </w:p>
        </w:tc>
        <w:tc>
          <w:tcPr>
            <w:tcW w:w="76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ind w:right="-11"/>
              <w:jc w:val="center"/>
              <w:rPr>
                <w:rFonts w:hint="eastAsia" w:ascii="仿宋" w:hAnsi="仿宋" w:eastAsia="仿宋" w:cs="仿宋"/>
                <w:b w:val="0"/>
                <w:color w:val="auto"/>
                <w:sz w:val="24"/>
                <w:szCs w:val="24"/>
                <w:highlight w:val="none"/>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洞头区</w:t>
            </w:r>
          </w:p>
        </w:tc>
        <w:tc>
          <w:tcPr>
            <w:tcW w:w="76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ind w:right="-11"/>
              <w:jc w:val="center"/>
              <w:rPr>
                <w:rFonts w:hint="eastAsia" w:ascii="仿宋" w:hAnsi="仿宋" w:eastAsia="仿宋" w:cs="仿宋"/>
                <w:b w:val="0"/>
                <w:color w:val="auto"/>
                <w:sz w:val="24"/>
                <w:szCs w:val="24"/>
                <w:highlight w:val="none"/>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永嘉县</w:t>
            </w:r>
          </w:p>
        </w:tc>
        <w:tc>
          <w:tcPr>
            <w:tcW w:w="76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ind w:right="-11"/>
              <w:jc w:val="center"/>
              <w:rPr>
                <w:rFonts w:hint="eastAsia" w:ascii="仿宋" w:hAnsi="仿宋" w:eastAsia="仿宋" w:cs="仿宋"/>
                <w:b w:val="0"/>
                <w:color w:val="auto"/>
                <w:sz w:val="24"/>
                <w:szCs w:val="24"/>
                <w:highlight w:val="none"/>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乐清市</w:t>
            </w:r>
          </w:p>
        </w:tc>
        <w:tc>
          <w:tcPr>
            <w:tcW w:w="76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79</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ind w:right="-11"/>
              <w:jc w:val="center"/>
              <w:rPr>
                <w:rFonts w:hint="eastAsia" w:ascii="仿宋" w:hAnsi="仿宋" w:eastAsia="仿宋" w:cs="仿宋"/>
                <w:b w:val="0"/>
                <w:color w:val="auto"/>
                <w:sz w:val="24"/>
                <w:szCs w:val="24"/>
                <w:highlight w:val="none"/>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永嘉</w:t>
            </w:r>
          </w:p>
        </w:tc>
        <w:tc>
          <w:tcPr>
            <w:tcW w:w="76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ind w:right="-11"/>
              <w:jc w:val="center"/>
              <w:rPr>
                <w:rFonts w:hint="eastAsia" w:ascii="仿宋" w:hAnsi="仿宋" w:eastAsia="仿宋" w:cs="仿宋"/>
                <w:b w:val="0"/>
                <w:color w:val="auto"/>
                <w:sz w:val="24"/>
                <w:szCs w:val="24"/>
                <w:highlight w:val="none"/>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74" w:type="dxa"/>
            <w:vMerge w:val="continue"/>
            <w:tcBorders>
              <w:left w:val="single" w:color="auto" w:sz="12" w:space="0"/>
            </w:tcBorders>
            <w:vAlign w:val="center"/>
          </w:tcPr>
          <w:p>
            <w:pPr>
              <w:jc w:val="center"/>
              <w:rPr>
                <w:rFonts w:hint="eastAsia" w:ascii="仿宋" w:hAnsi="仿宋" w:eastAsia="仿宋" w:cs="仿宋"/>
                <w:b w:val="0"/>
                <w:color w:val="auto"/>
                <w:sz w:val="24"/>
                <w:szCs w:val="24"/>
                <w:highlight w:val="none"/>
              </w:rPr>
            </w:pPr>
          </w:p>
        </w:tc>
        <w:tc>
          <w:tcPr>
            <w:tcW w:w="823"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鹿城区</w:t>
            </w:r>
          </w:p>
        </w:tc>
        <w:tc>
          <w:tcPr>
            <w:tcW w:w="76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w:t>
            </w:r>
          </w:p>
        </w:tc>
        <w:tc>
          <w:tcPr>
            <w:tcW w:w="141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台/套</w:t>
            </w:r>
          </w:p>
        </w:tc>
        <w:tc>
          <w:tcPr>
            <w:tcW w:w="1095" w:type="dxa"/>
            <w:vAlign w:val="center"/>
          </w:tcPr>
          <w:p>
            <w:pPr>
              <w:ind w:right="-11"/>
              <w:jc w:val="center"/>
              <w:rPr>
                <w:rFonts w:hint="eastAsia" w:ascii="仿宋" w:hAnsi="仿宋" w:eastAsia="仿宋" w:cs="仿宋"/>
                <w:b w:val="0"/>
                <w:color w:val="auto"/>
                <w:sz w:val="24"/>
                <w:szCs w:val="24"/>
                <w:highlight w:val="none"/>
              </w:rPr>
            </w:pPr>
          </w:p>
        </w:tc>
        <w:tc>
          <w:tcPr>
            <w:tcW w:w="1094" w:type="dxa"/>
            <w:vAlign w:val="center"/>
          </w:tcPr>
          <w:p>
            <w:pPr>
              <w:ind w:right="-11"/>
              <w:jc w:val="center"/>
              <w:rPr>
                <w:rFonts w:hint="eastAsia" w:ascii="仿宋" w:hAnsi="仿宋" w:eastAsia="仿宋" w:cs="仿宋"/>
                <w:b w:val="0"/>
                <w:color w:val="auto"/>
                <w:sz w:val="24"/>
                <w:szCs w:val="24"/>
                <w:highlight w:val="none"/>
              </w:rPr>
            </w:pPr>
          </w:p>
        </w:tc>
        <w:tc>
          <w:tcPr>
            <w:tcW w:w="1189" w:type="dxa"/>
            <w:tcBorders>
              <w:right w:val="single" w:color="auto" w:sz="12"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565" w:type="dxa"/>
            <w:gridSpan w:val="3"/>
            <w:tcBorders>
              <w:left w:val="single" w:color="auto" w:sz="12" w:space="0"/>
              <w:right w:val="single" w:color="auto" w:sz="12" w:space="0"/>
            </w:tcBorders>
            <w:vAlign w:val="center"/>
          </w:tcPr>
          <w:p>
            <w:pPr>
              <w:ind w:right="-11" w:rightChars="0"/>
              <w:jc w:val="both"/>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运杂及保险费（含卸货）</w:t>
            </w:r>
          </w:p>
        </w:tc>
        <w:tc>
          <w:tcPr>
            <w:tcW w:w="5510" w:type="dxa"/>
            <w:gridSpan w:val="5"/>
            <w:tcBorders>
              <w:right w:val="single" w:color="auto" w:sz="12" w:space="0"/>
            </w:tcBorders>
            <w:vAlign w:val="center"/>
          </w:tcPr>
          <w:p>
            <w:pPr>
              <w:ind w:right="-11" w:rightChars="0"/>
              <w:jc w:val="both"/>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565" w:type="dxa"/>
            <w:gridSpan w:val="3"/>
            <w:tcBorders>
              <w:left w:val="single" w:color="auto" w:sz="12" w:space="0"/>
              <w:right w:val="single" w:color="auto" w:sz="12" w:space="0"/>
            </w:tcBorders>
            <w:vAlign w:val="center"/>
          </w:tcPr>
          <w:p>
            <w:pPr>
              <w:jc w:val="both"/>
              <w:rPr>
                <w:rFonts w:hint="eastAsia" w:ascii="仿宋" w:hAnsi="仿宋" w:eastAsia="仿宋" w:cs="仿宋"/>
                <w:b w:val="0"/>
                <w:bCs/>
                <w:color w:val="auto"/>
                <w:sz w:val="21"/>
                <w:szCs w:val="21"/>
                <w:highlight w:val="none"/>
              </w:rPr>
            </w:pPr>
            <w:r>
              <w:rPr>
                <w:rFonts w:hint="eastAsia" w:ascii="仿宋" w:hAnsi="仿宋" w:eastAsia="仿宋" w:cs="仿宋"/>
                <w:b w:val="0"/>
                <w:color w:val="auto"/>
                <w:sz w:val="21"/>
                <w:szCs w:val="21"/>
                <w:highlight w:val="none"/>
              </w:rPr>
              <w:t>培训费、技术服务费、售后服务费等</w:t>
            </w:r>
          </w:p>
        </w:tc>
        <w:tc>
          <w:tcPr>
            <w:tcW w:w="5510" w:type="dxa"/>
            <w:gridSpan w:val="5"/>
            <w:tcBorders>
              <w:right w:val="single" w:color="auto" w:sz="12" w:space="0"/>
            </w:tcBorders>
            <w:vAlign w:val="center"/>
          </w:tcPr>
          <w:p>
            <w:pPr>
              <w:jc w:val="both"/>
              <w:rPr>
                <w:rFonts w:hint="eastAsia" w:ascii="仿宋" w:hAnsi="仿宋" w:eastAsia="仿宋" w:cs="仿宋"/>
                <w:b w:val="0"/>
                <w:color w:val="auto"/>
                <w:kern w:val="2"/>
                <w:sz w:val="21"/>
                <w:szCs w:val="21"/>
                <w:highlight w:val="none"/>
                <w:lang w:val="en-US" w:eastAsia="zh-CN" w:bidi="ar-SA"/>
              </w:rPr>
            </w:pPr>
            <w:r>
              <w:rPr>
                <w:rFonts w:hint="eastAsia" w:ascii="仿宋" w:hAnsi="仿宋" w:eastAsia="仿宋" w:cs="仿宋"/>
                <w:b w:val="0"/>
                <w:bCs/>
                <w:color w:val="auto"/>
                <w:sz w:val="21"/>
                <w:szCs w:val="21"/>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565" w:type="dxa"/>
            <w:gridSpan w:val="3"/>
            <w:tcBorders>
              <w:left w:val="single" w:color="auto" w:sz="12" w:space="0"/>
              <w:right w:val="single" w:color="auto" w:sz="12" w:space="0"/>
            </w:tcBorders>
            <w:vAlign w:val="center"/>
          </w:tcPr>
          <w:p>
            <w:pPr>
              <w:ind w:right="-11" w:rightChars="0"/>
              <w:jc w:val="both"/>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采购代理服务费</w:t>
            </w:r>
          </w:p>
        </w:tc>
        <w:tc>
          <w:tcPr>
            <w:tcW w:w="5510" w:type="dxa"/>
            <w:gridSpan w:val="5"/>
            <w:tcBorders>
              <w:right w:val="single" w:color="auto" w:sz="12" w:space="0"/>
            </w:tcBorders>
            <w:vAlign w:val="center"/>
          </w:tcPr>
          <w:p>
            <w:pPr>
              <w:ind w:right="-11" w:rightChars="0"/>
              <w:jc w:val="both"/>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4565" w:type="dxa"/>
            <w:gridSpan w:val="3"/>
            <w:tcBorders>
              <w:left w:val="single" w:color="auto" w:sz="12" w:space="0"/>
              <w:right w:val="single" w:color="auto" w:sz="12" w:space="0"/>
            </w:tcBorders>
            <w:vAlign w:val="center"/>
          </w:tcPr>
          <w:p>
            <w:pPr>
              <w:jc w:val="both"/>
              <w:rPr>
                <w:rFonts w:hint="eastAsia" w:ascii="仿宋" w:hAnsi="仿宋" w:eastAsia="仿宋" w:cs="仿宋"/>
                <w:b w:val="0"/>
                <w:bCs/>
                <w:color w:val="auto"/>
                <w:sz w:val="21"/>
                <w:szCs w:val="21"/>
                <w:highlight w:val="none"/>
              </w:rPr>
            </w:pPr>
            <w:r>
              <w:rPr>
                <w:rFonts w:hint="eastAsia" w:ascii="仿宋" w:hAnsi="仿宋" w:eastAsia="仿宋" w:cs="仿宋"/>
                <w:b w:val="0"/>
                <w:color w:val="auto"/>
                <w:sz w:val="21"/>
                <w:szCs w:val="21"/>
                <w:highlight w:val="none"/>
              </w:rPr>
              <w:t>税金</w:t>
            </w:r>
          </w:p>
        </w:tc>
        <w:tc>
          <w:tcPr>
            <w:tcW w:w="5510" w:type="dxa"/>
            <w:gridSpan w:val="5"/>
            <w:tcBorders>
              <w:right w:val="single" w:color="auto" w:sz="12" w:space="0"/>
            </w:tcBorders>
            <w:vAlign w:val="center"/>
          </w:tcPr>
          <w:p>
            <w:pPr>
              <w:jc w:val="both"/>
              <w:rPr>
                <w:rFonts w:hint="eastAsia" w:ascii="仿宋" w:hAnsi="仿宋" w:eastAsia="仿宋" w:cs="仿宋"/>
                <w:b w:val="0"/>
                <w:color w:val="auto"/>
                <w:sz w:val="21"/>
                <w:szCs w:val="21"/>
                <w:highlight w:val="none"/>
              </w:rPr>
            </w:pPr>
            <w:r>
              <w:rPr>
                <w:rFonts w:hint="eastAsia" w:ascii="仿宋" w:hAnsi="仿宋" w:eastAsia="仿宋" w:cs="仿宋"/>
                <w:b w:val="0"/>
                <w:bCs/>
                <w:color w:val="auto"/>
                <w:sz w:val="21"/>
                <w:szCs w:val="21"/>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4565" w:type="dxa"/>
            <w:gridSpan w:val="3"/>
            <w:tcBorders>
              <w:left w:val="single" w:color="auto" w:sz="12" w:space="0"/>
              <w:right w:val="single" w:color="auto" w:sz="12" w:space="0"/>
            </w:tcBorders>
            <w:vAlign w:val="center"/>
          </w:tcPr>
          <w:p>
            <w:pPr>
              <w:jc w:val="both"/>
              <w:rPr>
                <w:rFonts w:hint="eastAsia" w:ascii="仿宋" w:hAnsi="仿宋" w:eastAsia="仿宋" w:cs="仿宋"/>
                <w:b w:val="0"/>
                <w:bCs/>
                <w:color w:val="auto"/>
                <w:sz w:val="21"/>
                <w:szCs w:val="21"/>
                <w:highlight w:val="none"/>
              </w:rPr>
            </w:pPr>
            <w:r>
              <w:rPr>
                <w:rFonts w:hint="eastAsia" w:ascii="仿宋" w:hAnsi="仿宋" w:eastAsia="仿宋" w:cs="仿宋"/>
                <w:b w:val="0"/>
                <w:color w:val="auto"/>
                <w:sz w:val="21"/>
                <w:szCs w:val="21"/>
                <w:highlight w:val="none"/>
              </w:rPr>
              <w:t>其他相关费用</w:t>
            </w:r>
          </w:p>
        </w:tc>
        <w:tc>
          <w:tcPr>
            <w:tcW w:w="5510" w:type="dxa"/>
            <w:gridSpan w:val="5"/>
            <w:tcBorders>
              <w:right w:val="single" w:color="auto" w:sz="12" w:space="0"/>
            </w:tcBorders>
            <w:vAlign w:val="center"/>
          </w:tcPr>
          <w:p>
            <w:pPr>
              <w:jc w:val="both"/>
              <w:rPr>
                <w:rFonts w:hint="eastAsia" w:ascii="仿宋" w:hAnsi="仿宋" w:eastAsia="仿宋" w:cs="仿宋"/>
                <w:b w:val="0"/>
                <w:color w:val="auto"/>
                <w:sz w:val="21"/>
                <w:szCs w:val="21"/>
                <w:highlight w:val="none"/>
              </w:rPr>
            </w:pPr>
            <w:r>
              <w:rPr>
                <w:rFonts w:hint="eastAsia" w:ascii="仿宋" w:hAnsi="仿宋" w:eastAsia="仿宋" w:cs="仿宋"/>
                <w:b w:val="0"/>
                <w:bCs/>
                <w:color w:val="auto"/>
                <w:sz w:val="21"/>
                <w:szCs w:val="21"/>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4565" w:type="dxa"/>
            <w:gridSpan w:val="3"/>
            <w:tcBorders>
              <w:left w:val="single" w:color="auto" w:sz="12" w:space="0"/>
              <w:bottom w:val="single" w:color="auto" w:sz="12" w:space="0"/>
              <w:right w:val="single" w:color="auto" w:sz="12" w:space="0"/>
            </w:tcBorders>
            <w:vAlign w:val="center"/>
          </w:tcPr>
          <w:p>
            <w:pPr>
              <w:spacing w:line="340" w:lineRule="exact"/>
              <w:rPr>
                <w:rFonts w:hint="eastAsia" w:ascii="仿宋" w:hAnsi="仿宋" w:eastAsia="仿宋" w:cs="仿宋"/>
                <w:b w:val="0"/>
                <w:bCs/>
                <w:color w:val="auto"/>
                <w:sz w:val="21"/>
                <w:szCs w:val="21"/>
                <w:highlight w:val="none"/>
              </w:rPr>
            </w:pPr>
            <w:r>
              <w:rPr>
                <w:rFonts w:hint="eastAsia" w:ascii="仿宋" w:hAnsi="仿宋" w:eastAsia="仿宋" w:cs="仿宋"/>
                <w:b w:val="0"/>
                <w:color w:val="auto"/>
                <w:sz w:val="21"/>
                <w:szCs w:val="21"/>
                <w:highlight w:val="none"/>
              </w:rPr>
              <w:t>投标报价合计</w:t>
            </w:r>
          </w:p>
        </w:tc>
        <w:tc>
          <w:tcPr>
            <w:tcW w:w="5510" w:type="dxa"/>
            <w:gridSpan w:val="5"/>
            <w:tcBorders>
              <w:bottom w:val="single" w:color="auto" w:sz="12" w:space="0"/>
              <w:right w:val="single" w:color="auto" w:sz="12" w:space="0"/>
            </w:tcBorders>
          </w:tcPr>
          <w:p>
            <w:pPr>
              <w:spacing w:line="340" w:lineRule="exact"/>
              <w:rPr>
                <w:rFonts w:hint="eastAsia" w:ascii="仿宋" w:hAnsi="仿宋" w:eastAsia="仿宋" w:cs="仿宋"/>
                <w:b w:val="0"/>
                <w:bCs/>
                <w:color w:val="auto"/>
                <w:sz w:val="21"/>
                <w:szCs w:val="21"/>
                <w:highlight w:val="none"/>
              </w:rPr>
            </w:pPr>
          </w:p>
        </w:tc>
      </w:tr>
    </w:tbl>
    <w:p>
      <w:pPr>
        <w:pStyle w:val="25"/>
        <w:rPr>
          <w:rFonts w:eastAsiaTheme="minorEastAsia"/>
          <w:color w:val="auto"/>
          <w:highlight w:val="none"/>
        </w:rPr>
      </w:pPr>
    </w:p>
    <w:p>
      <w:pPr>
        <w:keepNext w:val="0"/>
        <w:keepLines w:val="0"/>
        <w:pageBreakBefore w:val="0"/>
        <w:widowControl/>
        <w:kinsoku/>
        <w:wordWrap/>
        <w:overflowPunct/>
        <w:topLinePunct w:val="0"/>
        <w:bidi w:val="0"/>
        <w:adjustRightInd w:val="0"/>
        <w:snapToGrid/>
        <w:spacing w:line="240" w:lineRule="auto"/>
        <w:jc w:val="left"/>
        <w:textAlignment w:val="auto"/>
        <w:rPr>
          <w:rFonts w:hint="eastAsia" w:ascii="仿宋" w:hAnsi="仿宋" w:eastAsia="仿宋"/>
          <w:b/>
          <w:bCs w:val="0"/>
          <w:strike w:val="0"/>
          <w:dstrike w:val="0"/>
          <w:color w:val="auto"/>
          <w:sz w:val="24"/>
          <w:highlight w:val="none"/>
          <w:u w:val="single"/>
          <w:lang w:val="en-US" w:eastAsia="zh-CN"/>
        </w:rPr>
      </w:pPr>
      <w:r>
        <w:rPr>
          <w:rFonts w:hint="eastAsia" w:ascii="仿宋" w:hAnsi="仿宋" w:eastAsia="仿宋"/>
          <w:b/>
          <w:bCs w:val="0"/>
          <w:color w:val="auto"/>
          <w:sz w:val="24"/>
          <w:highlight w:val="none"/>
          <w:u w:val="none"/>
        </w:rPr>
        <w:t>▲注</w:t>
      </w:r>
      <w:r>
        <w:rPr>
          <w:rFonts w:ascii="仿宋" w:hAnsi="仿宋" w:eastAsia="仿宋"/>
          <w:b/>
          <w:bCs w:val="0"/>
          <w:color w:val="auto"/>
          <w:sz w:val="24"/>
          <w:highlight w:val="none"/>
          <w:u w:val="none"/>
        </w:rPr>
        <w:t>：</w:t>
      </w:r>
      <w:r>
        <w:rPr>
          <w:rFonts w:hint="eastAsia" w:ascii="仿宋" w:hAnsi="仿宋" w:eastAsia="仿宋"/>
          <w:b/>
          <w:bCs w:val="0"/>
          <w:strike w:val="0"/>
          <w:dstrike w:val="0"/>
          <w:color w:val="auto"/>
          <w:sz w:val="24"/>
          <w:highlight w:val="none"/>
          <w:u w:val="none"/>
          <w:lang w:val="en-US" w:eastAsia="zh-CN"/>
        </w:rPr>
        <w:t>1、</w:t>
      </w:r>
      <w:r>
        <w:rPr>
          <w:rFonts w:hint="eastAsia" w:ascii="仿宋" w:hAnsi="仿宋" w:eastAsia="仿宋"/>
          <w:b/>
          <w:bCs w:val="0"/>
          <w:strike w:val="0"/>
          <w:dstrike w:val="0"/>
          <w:color w:val="auto"/>
          <w:sz w:val="24"/>
          <w:highlight w:val="none"/>
          <w:u w:val="single"/>
          <w:lang w:val="en-US" w:eastAsia="zh-CN"/>
        </w:rPr>
        <w:t>不提供价格组成表将视为没有实质性响应招标文件，项目名称按采购清单内容；</w:t>
      </w:r>
    </w:p>
    <w:p>
      <w:pPr>
        <w:keepNext w:val="0"/>
        <w:keepLines w:val="0"/>
        <w:pageBreakBefore w:val="0"/>
        <w:widowControl/>
        <w:numPr>
          <w:ilvl w:val="0"/>
          <w:numId w:val="7"/>
        </w:numPr>
        <w:kinsoku/>
        <w:wordWrap/>
        <w:overflowPunct/>
        <w:topLinePunct w:val="0"/>
        <w:bidi w:val="0"/>
        <w:adjustRightInd w:val="0"/>
        <w:snapToGrid/>
        <w:spacing w:line="240" w:lineRule="auto"/>
        <w:ind w:firstLine="723" w:firstLineChars="300"/>
        <w:jc w:val="left"/>
        <w:textAlignment w:val="auto"/>
        <w:rPr>
          <w:rFonts w:ascii="仿宋" w:hAnsi="仿宋" w:eastAsia="仿宋"/>
          <w:b/>
          <w:bCs w:val="0"/>
          <w:strike w:val="0"/>
          <w:dstrike w:val="0"/>
          <w:color w:val="auto"/>
          <w:sz w:val="24"/>
          <w:highlight w:val="none"/>
          <w:u w:val="single"/>
        </w:rPr>
      </w:pPr>
      <w:r>
        <w:rPr>
          <w:rFonts w:ascii="仿宋" w:hAnsi="仿宋" w:eastAsia="仿宋"/>
          <w:b/>
          <w:bCs w:val="0"/>
          <w:strike w:val="0"/>
          <w:dstrike w:val="0"/>
          <w:color w:val="auto"/>
          <w:sz w:val="24"/>
          <w:highlight w:val="none"/>
          <w:u w:val="single"/>
        </w:rPr>
        <w:t>本</w:t>
      </w:r>
      <w:r>
        <w:rPr>
          <w:rFonts w:hint="eastAsia" w:ascii="仿宋" w:hAnsi="仿宋" w:eastAsia="仿宋"/>
          <w:b/>
          <w:bCs w:val="0"/>
          <w:strike w:val="0"/>
          <w:dstrike w:val="0"/>
          <w:color w:val="auto"/>
          <w:sz w:val="24"/>
          <w:highlight w:val="none"/>
          <w:u w:val="single"/>
        </w:rPr>
        <w:t>表</w:t>
      </w:r>
      <w:r>
        <w:rPr>
          <w:rFonts w:ascii="仿宋" w:hAnsi="仿宋" w:eastAsia="仿宋"/>
          <w:b/>
          <w:bCs w:val="0"/>
          <w:strike w:val="0"/>
          <w:dstrike w:val="0"/>
          <w:color w:val="auto"/>
          <w:sz w:val="24"/>
          <w:highlight w:val="none"/>
          <w:u w:val="single"/>
        </w:rPr>
        <w:t>中的</w:t>
      </w:r>
      <w:r>
        <w:rPr>
          <w:rFonts w:hint="eastAsia" w:ascii="仿宋" w:hAnsi="仿宋" w:eastAsia="仿宋"/>
          <w:b/>
          <w:bCs w:val="0"/>
          <w:strike w:val="0"/>
          <w:dstrike w:val="0"/>
          <w:color w:val="auto"/>
          <w:sz w:val="24"/>
          <w:highlight w:val="none"/>
          <w:u w:val="single"/>
        </w:rPr>
        <w:t>“</w:t>
      </w:r>
      <w:r>
        <w:rPr>
          <w:rFonts w:ascii="仿宋" w:hAnsi="仿宋" w:eastAsia="仿宋"/>
          <w:b/>
          <w:bCs w:val="0"/>
          <w:strike w:val="0"/>
          <w:dstrike w:val="0"/>
          <w:color w:val="auto"/>
          <w:sz w:val="24"/>
          <w:highlight w:val="none"/>
          <w:u w:val="single"/>
        </w:rPr>
        <w:t>投标报价合计</w:t>
      </w:r>
      <w:r>
        <w:rPr>
          <w:rFonts w:hint="eastAsia" w:ascii="仿宋" w:hAnsi="仿宋" w:eastAsia="仿宋"/>
          <w:b/>
          <w:bCs w:val="0"/>
          <w:strike w:val="0"/>
          <w:dstrike w:val="0"/>
          <w:color w:val="auto"/>
          <w:sz w:val="24"/>
          <w:highlight w:val="none"/>
          <w:u w:val="single"/>
        </w:rPr>
        <w:t>”</w:t>
      </w:r>
      <w:r>
        <w:rPr>
          <w:rFonts w:ascii="仿宋" w:hAnsi="仿宋" w:eastAsia="仿宋"/>
          <w:b/>
          <w:bCs w:val="0"/>
          <w:strike w:val="0"/>
          <w:dstrike w:val="0"/>
          <w:color w:val="auto"/>
          <w:sz w:val="24"/>
          <w:highlight w:val="none"/>
          <w:u w:val="single"/>
        </w:rPr>
        <w:t>与</w:t>
      </w:r>
      <w:r>
        <w:rPr>
          <w:rFonts w:hint="eastAsia" w:ascii="仿宋" w:hAnsi="仿宋" w:eastAsia="仿宋"/>
          <w:b/>
          <w:bCs w:val="0"/>
          <w:strike w:val="0"/>
          <w:dstrike w:val="0"/>
          <w:color w:val="auto"/>
          <w:sz w:val="24"/>
          <w:highlight w:val="none"/>
          <w:u w:val="single"/>
        </w:rPr>
        <w:t>开标</w:t>
      </w:r>
      <w:r>
        <w:rPr>
          <w:rFonts w:ascii="仿宋" w:hAnsi="仿宋" w:eastAsia="仿宋"/>
          <w:b/>
          <w:bCs w:val="0"/>
          <w:strike w:val="0"/>
          <w:dstrike w:val="0"/>
          <w:color w:val="auto"/>
          <w:sz w:val="24"/>
          <w:highlight w:val="none"/>
          <w:u w:val="single"/>
        </w:rPr>
        <w:t>一览表中的“</w:t>
      </w:r>
      <w:r>
        <w:rPr>
          <w:rFonts w:hint="eastAsia" w:ascii="仿宋" w:hAnsi="仿宋" w:eastAsia="仿宋"/>
          <w:b/>
          <w:bCs w:val="0"/>
          <w:strike w:val="0"/>
          <w:dstrike w:val="0"/>
          <w:color w:val="auto"/>
          <w:sz w:val="24"/>
          <w:highlight w:val="none"/>
          <w:u w:val="single"/>
        </w:rPr>
        <w:t>投标</w:t>
      </w:r>
      <w:r>
        <w:rPr>
          <w:rFonts w:ascii="仿宋" w:hAnsi="仿宋" w:eastAsia="仿宋"/>
          <w:b/>
          <w:bCs w:val="0"/>
          <w:strike w:val="0"/>
          <w:dstrike w:val="0"/>
          <w:color w:val="auto"/>
          <w:sz w:val="24"/>
          <w:highlight w:val="none"/>
          <w:u w:val="single"/>
        </w:rPr>
        <w:t>报价”</w:t>
      </w:r>
      <w:r>
        <w:rPr>
          <w:rFonts w:hint="eastAsia" w:ascii="仿宋" w:hAnsi="仿宋" w:eastAsia="仿宋"/>
          <w:b/>
          <w:bCs w:val="0"/>
          <w:strike w:val="0"/>
          <w:dstrike w:val="0"/>
          <w:color w:val="auto"/>
          <w:sz w:val="24"/>
          <w:highlight w:val="none"/>
          <w:u w:val="single"/>
        </w:rPr>
        <w:t>须</w:t>
      </w:r>
      <w:r>
        <w:rPr>
          <w:rFonts w:ascii="仿宋" w:hAnsi="仿宋" w:eastAsia="仿宋"/>
          <w:b/>
          <w:bCs w:val="0"/>
          <w:strike w:val="0"/>
          <w:dstrike w:val="0"/>
          <w:color w:val="auto"/>
          <w:sz w:val="24"/>
          <w:highlight w:val="none"/>
          <w:u w:val="single"/>
        </w:rPr>
        <w:t>一致</w:t>
      </w:r>
      <w:r>
        <w:rPr>
          <w:rFonts w:hint="eastAsia" w:ascii="仿宋" w:hAnsi="仿宋" w:eastAsia="仿宋"/>
          <w:b/>
          <w:bCs w:val="0"/>
          <w:strike w:val="0"/>
          <w:dstrike w:val="0"/>
          <w:color w:val="auto"/>
          <w:sz w:val="24"/>
          <w:highlight w:val="none"/>
          <w:u w:val="single"/>
        </w:rPr>
        <w:t>，否则否决</w:t>
      </w:r>
      <w:r>
        <w:rPr>
          <w:rFonts w:ascii="仿宋" w:hAnsi="仿宋" w:eastAsia="仿宋"/>
          <w:b/>
          <w:bCs w:val="0"/>
          <w:strike w:val="0"/>
          <w:dstrike w:val="0"/>
          <w:color w:val="auto"/>
          <w:sz w:val="24"/>
          <w:highlight w:val="none"/>
          <w:u w:val="single"/>
        </w:rPr>
        <w:t>其投标。</w:t>
      </w:r>
    </w:p>
    <w:p>
      <w:pPr>
        <w:keepNext w:val="0"/>
        <w:keepLines w:val="0"/>
        <w:pageBreakBefore w:val="0"/>
        <w:kinsoku/>
        <w:wordWrap/>
        <w:overflowPunct/>
        <w:topLinePunct w:val="0"/>
        <w:autoSpaceDE w:val="0"/>
        <w:autoSpaceDN w:val="0"/>
        <w:bidi w:val="0"/>
        <w:adjustRightInd w:val="0"/>
        <w:snapToGrid/>
        <w:spacing w:line="240" w:lineRule="auto"/>
        <w:ind w:firstLine="120" w:firstLineChars="50"/>
        <w:jc w:val="both"/>
        <w:textAlignment w:val="auto"/>
        <w:rPr>
          <w:rFonts w:hint="eastAsia" w:ascii="仿宋" w:hAnsi="仿宋" w:eastAsia="仿宋"/>
          <w:b/>
          <w:bCs w:val="0"/>
          <w:strike w:val="0"/>
          <w:dstrike w:val="0"/>
          <w:color w:val="auto"/>
          <w:sz w:val="24"/>
          <w:highlight w:val="none"/>
          <w:u w:val="none"/>
          <w:lang w:val="en-US" w:eastAsia="zh-CN"/>
        </w:rPr>
      </w:pPr>
      <w:r>
        <w:rPr>
          <w:rFonts w:hint="eastAsia" w:ascii="仿宋" w:hAnsi="仿宋" w:eastAsia="仿宋"/>
          <w:b/>
          <w:bCs w:val="0"/>
          <w:strike w:val="0"/>
          <w:dstrike w:val="0"/>
          <w:color w:val="auto"/>
          <w:sz w:val="24"/>
          <w:highlight w:val="none"/>
          <w:u w:val="none"/>
          <w:lang w:val="en-US" w:eastAsia="zh-CN"/>
        </w:rPr>
        <w:t xml:space="preserve">     3、</w:t>
      </w:r>
      <w:r>
        <w:rPr>
          <w:rFonts w:hint="eastAsia" w:ascii="仿宋" w:hAnsi="仿宋" w:eastAsia="仿宋"/>
          <w:b/>
          <w:bCs w:val="0"/>
          <w:strike w:val="0"/>
          <w:dstrike w:val="0"/>
          <w:color w:val="auto"/>
          <w:sz w:val="24"/>
          <w:highlight w:val="none"/>
          <w:u w:val="single"/>
          <w:lang w:val="en-US" w:eastAsia="zh-CN"/>
        </w:rPr>
        <w:t>如果免费请在该备注栏内注明“免”，如果含在产品价格中则填“含”，如无此项内容则填“无”，不留空白。</w:t>
      </w:r>
    </w:p>
    <w:p>
      <w:pPr>
        <w:keepNext w:val="0"/>
        <w:keepLines w:val="0"/>
        <w:pageBreakBefore w:val="0"/>
        <w:kinsoku/>
        <w:wordWrap/>
        <w:overflowPunct/>
        <w:topLinePunct w:val="0"/>
        <w:autoSpaceDE w:val="0"/>
        <w:autoSpaceDN w:val="0"/>
        <w:bidi w:val="0"/>
        <w:adjustRightInd w:val="0"/>
        <w:snapToGrid/>
        <w:spacing w:line="240" w:lineRule="auto"/>
        <w:ind w:firstLine="723" w:firstLineChars="300"/>
        <w:jc w:val="both"/>
        <w:textAlignment w:val="auto"/>
        <w:rPr>
          <w:rFonts w:ascii="仿宋" w:hAnsi="仿宋" w:eastAsia="仿宋" w:cs="仿宋_GB2312"/>
          <w:b w:val="0"/>
          <w:bCs/>
          <w:strike w:val="0"/>
          <w:dstrike w:val="0"/>
          <w:color w:val="auto"/>
          <w:kern w:val="0"/>
          <w:sz w:val="24"/>
          <w:highlight w:val="none"/>
          <w:u w:val="none"/>
        </w:rPr>
      </w:pPr>
      <w:r>
        <w:rPr>
          <w:rFonts w:hint="eastAsia" w:ascii="仿宋" w:hAnsi="仿宋" w:eastAsia="仿宋"/>
          <w:b/>
          <w:bCs w:val="0"/>
          <w:strike w:val="0"/>
          <w:dstrike w:val="0"/>
          <w:color w:val="auto"/>
          <w:sz w:val="24"/>
          <w:highlight w:val="none"/>
          <w:u w:val="single"/>
          <w:lang w:val="en-US" w:eastAsia="zh-CN"/>
        </w:rPr>
        <w:t>4、表格可以延续。</w:t>
      </w:r>
    </w:p>
    <w:p>
      <w:pPr>
        <w:autoSpaceDE w:val="0"/>
        <w:autoSpaceDN w:val="0"/>
        <w:spacing w:line="380" w:lineRule="atLeast"/>
        <w:ind w:firstLine="120" w:firstLineChars="50"/>
        <w:jc w:val="right"/>
        <w:rPr>
          <w:rFonts w:ascii="仿宋" w:hAnsi="仿宋" w:eastAsia="仿宋" w:cs="仿宋_GB2312"/>
          <w:color w:val="auto"/>
          <w:kern w:val="0"/>
          <w:sz w:val="24"/>
          <w:highlight w:val="none"/>
        </w:rPr>
      </w:pPr>
    </w:p>
    <w:p>
      <w:pPr>
        <w:autoSpaceDE w:val="0"/>
        <w:autoSpaceDN w:val="0"/>
        <w:spacing w:line="380" w:lineRule="atLeast"/>
        <w:ind w:firstLine="120" w:firstLineChars="50"/>
        <w:jc w:val="right"/>
        <w:rPr>
          <w:rFonts w:ascii="仿宋" w:hAnsi="仿宋" w:eastAsia="仿宋" w:cs="仿宋_GB2312"/>
          <w:color w:val="auto"/>
          <w:kern w:val="0"/>
          <w:sz w:val="24"/>
          <w:highlight w:val="none"/>
        </w:rPr>
      </w:pPr>
    </w:p>
    <w:p>
      <w:pPr>
        <w:autoSpaceDE w:val="0"/>
        <w:autoSpaceDN w:val="0"/>
        <w:spacing w:line="380" w:lineRule="atLeast"/>
        <w:ind w:firstLine="120" w:firstLineChars="50"/>
        <w:jc w:val="right"/>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投标人名称(电子签名)： </w:t>
      </w:r>
    </w:p>
    <w:p>
      <w:pPr>
        <w:pStyle w:val="22"/>
        <w:overflowPunct w:val="0"/>
        <w:spacing w:after="0" w:line="460" w:lineRule="exact"/>
        <w:jc w:val="right"/>
        <w:outlineLvl w:val="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w:t>
      </w:r>
      <w:bookmarkStart w:id="214" w:name="_Toc6678"/>
      <w:bookmarkStart w:id="215" w:name="_Toc31357"/>
      <w:r>
        <w:rPr>
          <w:rFonts w:ascii="仿宋" w:hAnsi="仿宋" w:eastAsia="仿宋" w:cs="仿宋_GB2312"/>
          <w:color w:val="auto"/>
          <w:kern w:val="0"/>
          <w:sz w:val="24"/>
          <w:highlight w:val="none"/>
          <w:lang w:val="zh-CN"/>
        </w:rPr>
        <w:t>日期：  年  月  日</w:t>
      </w:r>
      <w:bookmarkEnd w:id="214"/>
      <w:bookmarkEnd w:id="215"/>
    </w:p>
    <w:p>
      <w:pPr>
        <w:pStyle w:val="22"/>
        <w:overflowPunct w:val="0"/>
        <w:spacing w:after="0" w:line="460" w:lineRule="exact"/>
        <w:jc w:val="center"/>
        <w:rPr>
          <w:rStyle w:val="77"/>
          <w:rFonts w:hint="eastAsia" w:ascii="仿宋" w:hAnsi="仿宋" w:eastAsia="仿宋" w:cs="新宋体"/>
          <w:color w:val="auto"/>
          <w:sz w:val="36"/>
          <w:szCs w:val="36"/>
          <w:highlight w:val="none"/>
        </w:rPr>
      </w:pPr>
    </w:p>
    <w:p>
      <w:pPr>
        <w:rPr>
          <w:rStyle w:val="77"/>
          <w:rFonts w:hint="eastAsia" w:ascii="仿宋" w:hAnsi="仿宋" w:eastAsia="仿宋" w:cs="新宋体"/>
          <w:color w:val="auto"/>
          <w:sz w:val="36"/>
          <w:szCs w:val="36"/>
          <w:highlight w:val="none"/>
        </w:rPr>
      </w:pPr>
      <w:r>
        <w:rPr>
          <w:rStyle w:val="77"/>
          <w:rFonts w:hint="eastAsia" w:ascii="仿宋" w:hAnsi="仿宋" w:eastAsia="仿宋" w:cs="新宋体"/>
          <w:color w:val="auto"/>
          <w:sz w:val="36"/>
          <w:szCs w:val="36"/>
          <w:highlight w:val="none"/>
        </w:rPr>
        <w:br w:type="page"/>
      </w:r>
    </w:p>
    <w:p>
      <w:pPr>
        <w:jc w:val="center"/>
        <w:rPr>
          <w:rFonts w:hint="eastAsia" w:ascii="仿宋" w:hAnsi="仿宋" w:eastAsia="仿宋" w:cs="仿宋"/>
          <w:b/>
          <w:bCs/>
          <w:color w:val="auto"/>
          <w:sz w:val="28"/>
          <w:szCs w:val="36"/>
          <w:highlight w:val="none"/>
          <w:lang w:eastAsia="zh-CN"/>
        </w:rPr>
      </w:pPr>
      <w:r>
        <w:rPr>
          <w:rFonts w:hint="eastAsia" w:ascii="仿宋" w:hAnsi="仿宋" w:eastAsia="仿宋" w:cs="仿宋"/>
          <w:b/>
          <w:bCs/>
          <w:color w:val="auto"/>
          <w:sz w:val="28"/>
          <w:szCs w:val="36"/>
          <w:highlight w:val="none"/>
        </w:rPr>
        <w:t>三、政府采购政策情况表</w:t>
      </w:r>
      <w:r>
        <w:rPr>
          <w:rFonts w:hint="eastAsia" w:ascii="仿宋" w:hAnsi="仿宋" w:eastAsia="仿宋" w:cs="仿宋"/>
          <w:b/>
          <w:bCs/>
          <w:color w:val="auto"/>
          <w:sz w:val="28"/>
          <w:szCs w:val="36"/>
          <w:highlight w:val="none"/>
          <w:lang w:eastAsia="zh-CN"/>
        </w:rPr>
        <w:t>（如有）</w:t>
      </w:r>
    </w:p>
    <w:p>
      <w:pPr>
        <w:pStyle w:val="32"/>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kern w:val="0"/>
          <w:highlight w:val="none"/>
        </w:rPr>
        <w:t>项目编号：</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46"/>
        <w:gridCol w:w="1425"/>
        <w:gridCol w:w="1487"/>
        <w:gridCol w:w="1537"/>
        <w:gridCol w:w="1477"/>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9" w:type="dxa"/>
            <w:vMerge w:val="restart"/>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中小企业、监狱企业及残疾人福利性单位扶持政策</w:t>
            </w:r>
          </w:p>
        </w:tc>
        <w:tc>
          <w:tcPr>
            <w:tcW w:w="8700" w:type="dxa"/>
            <w:gridSpan w:val="6"/>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如属所列情形的，请在括号内打“√”，并</w:t>
            </w:r>
            <w:r>
              <w:rPr>
                <w:rFonts w:hint="eastAsia" w:ascii="仿宋" w:hAnsi="仿宋" w:eastAsia="仿宋" w:cs="仿宋"/>
                <w:color w:val="auto"/>
                <w:szCs w:val="21"/>
                <w:highlight w:val="none"/>
              </w:rPr>
              <w:t>请填写下表内容：</w:t>
            </w:r>
            <w:r>
              <w:rPr>
                <w:rFonts w:hint="eastAsia" w:ascii="仿宋" w:hAnsi="仿宋" w:eastAsia="仿宋" w:cs="仿宋"/>
                <w:color w:val="auto"/>
                <w:szCs w:val="21"/>
                <w:highlight w:val="none"/>
                <w:lang w:val="en-GB"/>
              </w:rPr>
              <w:t>：</w:t>
            </w:r>
          </w:p>
          <w:p>
            <w:pPr>
              <w:pStyle w:val="988"/>
              <w:tabs>
                <w:tab w:val="left" w:pos="1260"/>
              </w:tabs>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（）小型、微型企业投标且提供本企业制造的产品。</w:t>
            </w:r>
          </w:p>
          <w:p>
            <w:pPr>
              <w:pStyle w:val="988"/>
              <w:tabs>
                <w:tab w:val="left" w:pos="1260"/>
              </w:tabs>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（）监狱企业投标且提供本企业制造的产品。</w:t>
            </w:r>
          </w:p>
          <w:p>
            <w:pPr>
              <w:pStyle w:val="988"/>
              <w:tabs>
                <w:tab w:val="left" w:pos="1260"/>
              </w:tabs>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（）小微企业投标且提供其它小型、微型企业产品。</w:t>
            </w:r>
          </w:p>
          <w:p>
            <w:pPr>
              <w:pStyle w:val="988"/>
              <w:tabs>
                <w:tab w:val="left" w:pos="1260"/>
              </w:tabs>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0"/>
                <w:highlight w:val="none"/>
              </w:rPr>
              <w:t>残疾人福利性单位投标</w:t>
            </w:r>
            <w:r>
              <w:rPr>
                <w:rFonts w:hint="eastAsia" w:ascii="仿宋" w:hAnsi="仿宋" w:eastAsia="仿宋" w:cs="仿宋"/>
                <w:color w:val="auto"/>
                <w:szCs w:val="21"/>
                <w:highlight w:val="none"/>
              </w:rPr>
              <w:t>且提供本企业制造的产品。</w:t>
            </w:r>
          </w:p>
          <w:p>
            <w:pPr>
              <w:pStyle w:val="988"/>
              <w:tabs>
                <w:tab w:val="left" w:pos="1260"/>
              </w:tabs>
              <w:snapToGrid w:val="0"/>
              <w:spacing w:line="360" w:lineRule="auto"/>
              <w:jc w:val="left"/>
              <w:rPr>
                <w:rFonts w:hint="eastAsia" w:ascii="仿宋" w:hAnsi="仿宋" w:eastAsia="仿宋" w:cs="仿宋"/>
                <w:color w:val="auto"/>
                <w:szCs w:val="20"/>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0"/>
                <w:highlight w:val="none"/>
              </w:rPr>
              <w:t>残疾人福利性单位投标</w:t>
            </w:r>
            <w:r>
              <w:rPr>
                <w:rFonts w:hint="eastAsia" w:ascii="仿宋" w:hAnsi="仿宋" w:eastAsia="仿宋" w:cs="仿宋"/>
                <w:color w:val="auto"/>
                <w:szCs w:val="21"/>
                <w:highlight w:val="none"/>
              </w:rPr>
              <w:t>且提供其它</w:t>
            </w:r>
            <w:r>
              <w:rPr>
                <w:rFonts w:hint="eastAsia" w:ascii="仿宋" w:hAnsi="仿宋" w:eastAsia="仿宋" w:cs="仿宋"/>
                <w:color w:val="auto"/>
                <w:szCs w:val="20"/>
                <w:highlight w:val="none"/>
              </w:rPr>
              <w:t>残疾人福利性单位制造的</w:t>
            </w:r>
            <w:r>
              <w:rPr>
                <w:rFonts w:hint="eastAsia" w:ascii="仿宋" w:hAnsi="仿宋" w:eastAsia="仿宋" w:cs="仿宋"/>
                <w:color w:val="auto"/>
                <w:szCs w:val="21"/>
                <w:highlight w:val="none"/>
              </w:rPr>
              <w:t>货物</w:t>
            </w:r>
            <w:r>
              <w:rPr>
                <w:rFonts w:hint="eastAsia" w:ascii="仿宋" w:hAnsi="仿宋" w:eastAsia="仿宋" w:cs="仿宋"/>
                <w:color w:val="auto"/>
                <w:szCs w:val="20"/>
                <w:highlight w:val="none"/>
              </w:rPr>
              <w:t>（不包括使用非残疾人福利性单位注册商标的货物）</w:t>
            </w:r>
          </w:p>
          <w:p>
            <w:pPr>
              <w:pStyle w:val="988"/>
              <w:tabs>
                <w:tab w:val="left" w:pos="1260"/>
              </w:tabs>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大中</w:t>
            </w:r>
            <w:r>
              <w:rPr>
                <w:rFonts w:hint="eastAsia" w:ascii="仿宋" w:hAnsi="仿宋" w:eastAsia="仿宋" w:cs="仿宋"/>
                <w:color w:val="auto"/>
                <w:szCs w:val="21"/>
                <w:highlight w:val="none"/>
              </w:rPr>
              <w:t>企业投标且提供其它小型、微型企业产品。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19" w:type="dxa"/>
            <w:vMerge w:val="continue"/>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146" w:type="dxa"/>
            <w:vAlign w:val="center"/>
          </w:tcPr>
          <w:p>
            <w:pPr>
              <w:pStyle w:val="988"/>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产品名称</w:t>
            </w:r>
          </w:p>
        </w:tc>
        <w:tc>
          <w:tcPr>
            <w:tcW w:w="1425" w:type="dxa"/>
            <w:vAlign w:val="center"/>
          </w:tcPr>
          <w:p>
            <w:pPr>
              <w:pStyle w:val="988"/>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品牌</w:t>
            </w:r>
          </w:p>
        </w:tc>
        <w:tc>
          <w:tcPr>
            <w:tcW w:w="1487" w:type="dxa"/>
            <w:vAlign w:val="center"/>
          </w:tcPr>
          <w:p>
            <w:pPr>
              <w:pStyle w:val="988"/>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型号、规格</w:t>
            </w:r>
          </w:p>
        </w:tc>
        <w:tc>
          <w:tcPr>
            <w:tcW w:w="1537" w:type="dxa"/>
            <w:vAlign w:val="center"/>
          </w:tcPr>
          <w:p>
            <w:pPr>
              <w:pStyle w:val="988"/>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制造商</w:t>
            </w:r>
          </w:p>
        </w:tc>
        <w:tc>
          <w:tcPr>
            <w:tcW w:w="1477" w:type="dxa"/>
            <w:vAlign w:val="center"/>
          </w:tcPr>
          <w:p>
            <w:pPr>
              <w:pStyle w:val="988"/>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制造商</w:t>
            </w:r>
          </w:p>
          <w:p>
            <w:pPr>
              <w:pStyle w:val="988"/>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企业类型</w:t>
            </w:r>
          </w:p>
        </w:tc>
        <w:tc>
          <w:tcPr>
            <w:tcW w:w="1628" w:type="dxa"/>
            <w:vAlign w:val="center"/>
          </w:tcPr>
          <w:p>
            <w:pPr>
              <w:pStyle w:val="988"/>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9" w:type="dxa"/>
            <w:vMerge w:val="continue"/>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146" w:type="dxa"/>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25" w:type="dxa"/>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87" w:type="dxa"/>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537" w:type="dxa"/>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77" w:type="dxa"/>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628" w:type="dxa"/>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19" w:type="dxa"/>
            <w:vMerge w:val="continue"/>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146" w:type="dxa"/>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25" w:type="dxa"/>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87" w:type="dxa"/>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537" w:type="dxa"/>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77" w:type="dxa"/>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628" w:type="dxa"/>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9" w:type="dxa"/>
            <w:vMerge w:val="continue"/>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146" w:type="dxa"/>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25" w:type="dxa"/>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87" w:type="dxa"/>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537" w:type="dxa"/>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77" w:type="dxa"/>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628" w:type="dxa"/>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019" w:type="dxa"/>
            <w:vMerge w:val="continue"/>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146" w:type="dxa"/>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25" w:type="dxa"/>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87" w:type="dxa"/>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537" w:type="dxa"/>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77" w:type="dxa"/>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628" w:type="dxa"/>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19" w:type="dxa"/>
            <w:vMerge w:val="continue"/>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7072" w:type="dxa"/>
            <w:gridSpan w:val="5"/>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小型、微型企业产品</w:t>
            </w:r>
            <w:r>
              <w:rPr>
                <w:rFonts w:hint="eastAsia" w:ascii="仿宋" w:hAnsi="仿宋" w:eastAsia="仿宋" w:cs="仿宋"/>
                <w:color w:val="auto"/>
                <w:szCs w:val="21"/>
                <w:highlight w:val="none"/>
                <w:lang w:val="en-GB"/>
              </w:rPr>
              <w:t>金额合计</w:t>
            </w:r>
          </w:p>
        </w:tc>
        <w:tc>
          <w:tcPr>
            <w:tcW w:w="1628" w:type="dxa"/>
            <w:vAlign w:val="center"/>
          </w:tcPr>
          <w:p>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r>
    </w:tbl>
    <w:p>
      <w:pPr>
        <w:pStyle w:val="32"/>
        <w:spacing w:line="360" w:lineRule="auto"/>
        <w:rPr>
          <w:rFonts w:hint="eastAsia" w:ascii="仿宋" w:hAnsi="仿宋" w:eastAsia="仿宋" w:cs="仿宋"/>
          <w:b/>
          <w:color w:val="auto"/>
          <w:highlight w:val="none"/>
        </w:rPr>
      </w:pPr>
    </w:p>
    <w:p>
      <w:pPr>
        <w:spacing w:line="360" w:lineRule="auto"/>
        <w:ind w:firstLine="420" w:firstLineChars="200"/>
        <w:jc w:val="left"/>
        <w:rPr>
          <w:rFonts w:hint="eastAsia" w:ascii="仿宋" w:hAnsi="仿宋" w:eastAsia="仿宋" w:cs="仿宋"/>
          <w:color w:val="auto"/>
          <w:szCs w:val="21"/>
          <w:highlight w:val="none"/>
        </w:rPr>
      </w:pPr>
      <w:bookmarkStart w:id="216" w:name="_Toc508709359"/>
      <w:bookmarkStart w:id="217" w:name="_Toc518546798"/>
      <w:bookmarkStart w:id="218" w:name="_Toc515011017"/>
      <w:bookmarkStart w:id="219" w:name="_Toc515011118"/>
      <w:bookmarkStart w:id="220" w:name="_Toc514337540"/>
      <w:bookmarkStart w:id="221" w:name="_Toc514420711"/>
      <w:bookmarkStart w:id="222" w:name="_Toc509218976"/>
      <w:bookmarkStart w:id="223" w:name="_Toc513560346"/>
      <w:r>
        <w:rPr>
          <w:rFonts w:hint="eastAsia" w:ascii="仿宋" w:hAnsi="仿宋" w:eastAsia="仿宋" w:cs="仿宋"/>
          <w:color w:val="auto"/>
          <w:szCs w:val="21"/>
          <w:highlight w:val="none"/>
        </w:rPr>
        <w:t>填报要求：</w:t>
      </w:r>
      <w:bookmarkEnd w:id="216"/>
      <w:bookmarkEnd w:id="217"/>
      <w:bookmarkEnd w:id="218"/>
      <w:bookmarkEnd w:id="219"/>
      <w:bookmarkEnd w:id="220"/>
      <w:bookmarkEnd w:id="221"/>
      <w:bookmarkEnd w:id="222"/>
      <w:bookmarkEnd w:id="223"/>
    </w:p>
    <w:p>
      <w:pPr>
        <w:spacing w:line="360" w:lineRule="auto"/>
        <w:ind w:firstLine="420" w:firstLineChars="200"/>
        <w:jc w:val="left"/>
        <w:rPr>
          <w:rFonts w:hint="eastAsia" w:ascii="仿宋" w:hAnsi="仿宋" w:eastAsia="仿宋" w:cs="仿宋"/>
          <w:color w:val="auto"/>
          <w:szCs w:val="21"/>
          <w:highlight w:val="none"/>
        </w:rPr>
      </w:pPr>
      <w:bookmarkStart w:id="224" w:name="_Toc508709360"/>
      <w:bookmarkStart w:id="225" w:name="_Toc509218977"/>
      <w:bookmarkStart w:id="226" w:name="_Toc515011119"/>
      <w:bookmarkStart w:id="227" w:name="_Toc513560347"/>
      <w:bookmarkStart w:id="228" w:name="_Toc518546799"/>
      <w:bookmarkStart w:id="229" w:name="_Toc515011018"/>
      <w:bookmarkStart w:id="230" w:name="_Toc514420712"/>
      <w:bookmarkStart w:id="231" w:name="_Toc514337541"/>
      <w:r>
        <w:rPr>
          <w:rFonts w:hint="eastAsia" w:ascii="仿宋" w:hAnsi="仿宋" w:eastAsia="仿宋" w:cs="仿宋"/>
          <w:color w:val="auto"/>
          <w:szCs w:val="21"/>
          <w:highlight w:val="none"/>
        </w:rPr>
        <w:t>1. 本表的“产品名称”、“品牌”、“型号、规格”、金额应与《价格组成表》的“设备名称”、“品牌、产地”、“规格、型号”、“出厂单价（含税）”一致。</w:t>
      </w:r>
      <w:bookmarkEnd w:id="224"/>
      <w:bookmarkEnd w:id="225"/>
      <w:bookmarkEnd w:id="226"/>
      <w:bookmarkEnd w:id="227"/>
      <w:bookmarkEnd w:id="228"/>
      <w:bookmarkEnd w:id="229"/>
      <w:bookmarkEnd w:id="230"/>
      <w:bookmarkEnd w:id="231"/>
    </w:p>
    <w:p>
      <w:pPr>
        <w:spacing w:line="360" w:lineRule="auto"/>
        <w:ind w:firstLine="420" w:firstLineChars="200"/>
        <w:jc w:val="left"/>
        <w:rPr>
          <w:rFonts w:hint="eastAsia" w:ascii="仿宋" w:hAnsi="仿宋" w:eastAsia="仿宋" w:cs="仿宋"/>
          <w:color w:val="auto"/>
          <w:szCs w:val="21"/>
          <w:highlight w:val="none"/>
        </w:rPr>
      </w:pPr>
      <w:bookmarkStart w:id="232" w:name="_Toc518546800"/>
      <w:bookmarkStart w:id="233" w:name="_Toc509218978"/>
      <w:bookmarkStart w:id="234" w:name="_Toc513560348"/>
      <w:bookmarkStart w:id="235" w:name="_Toc515011120"/>
      <w:bookmarkStart w:id="236" w:name="_Toc515011019"/>
      <w:bookmarkStart w:id="237" w:name="_Toc514420713"/>
      <w:bookmarkStart w:id="238" w:name="_Toc508709361"/>
      <w:bookmarkStart w:id="239" w:name="_Toc514337542"/>
      <w:r>
        <w:rPr>
          <w:rFonts w:hint="eastAsia" w:ascii="仿宋" w:hAnsi="仿宋" w:eastAsia="仿宋" w:cs="仿宋"/>
          <w:color w:val="auto"/>
          <w:szCs w:val="21"/>
          <w:highlight w:val="none"/>
        </w:rPr>
        <w:t>2. “制造商企业类型”栏填写内容应为“小型”、“微型”、“监狱企业”或“</w:t>
      </w:r>
      <w:r>
        <w:rPr>
          <w:rFonts w:hint="eastAsia" w:ascii="仿宋" w:hAnsi="仿宋" w:eastAsia="仿宋" w:cs="仿宋"/>
          <w:color w:val="auto"/>
          <w:highlight w:val="none"/>
        </w:rPr>
        <w:t>残疾人福利性单位</w:t>
      </w:r>
      <w:r>
        <w:rPr>
          <w:rFonts w:hint="eastAsia" w:ascii="仿宋" w:hAnsi="仿宋" w:eastAsia="仿宋" w:cs="仿宋"/>
          <w:color w:val="auto"/>
          <w:szCs w:val="21"/>
          <w:highlight w:val="none"/>
        </w:rPr>
        <w:t>”。</w:t>
      </w:r>
      <w:bookmarkEnd w:id="232"/>
      <w:bookmarkEnd w:id="233"/>
      <w:bookmarkEnd w:id="234"/>
      <w:bookmarkEnd w:id="235"/>
      <w:bookmarkEnd w:id="236"/>
      <w:bookmarkEnd w:id="237"/>
      <w:bookmarkEnd w:id="238"/>
      <w:bookmarkEnd w:id="239"/>
    </w:p>
    <w:p>
      <w:pPr>
        <w:spacing w:line="360" w:lineRule="auto"/>
        <w:ind w:firstLine="420" w:firstLineChars="200"/>
        <w:jc w:val="left"/>
        <w:rPr>
          <w:rFonts w:hint="eastAsia" w:ascii="仿宋" w:hAnsi="仿宋" w:eastAsia="仿宋" w:cs="仿宋"/>
          <w:color w:val="auto"/>
          <w:highlight w:val="none"/>
        </w:rPr>
      </w:pPr>
      <w:bookmarkStart w:id="240" w:name="_Toc518546801"/>
      <w:bookmarkStart w:id="241" w:name="_Toc508709362"/>
      <w:bookmarkStart w:id="242" w:name="_Toc515011121"/>
      <w:bookmarkStart w:id="243" w:name="_Toc515011020"/>
      <w:bookmarkStart w:id="244" w:name="_Toc514420714"/>
      <w:bookmarkStart w:id="245" w:name="_Toc509218979"/>
      <w:bookmarkStart w:id="246" w:name="_Toc513560349"/>
      <w:bookmarkStart w:id="247" w:name="_Toc514337543"/>
      <w:r>
        <w:rPr>
          <w:rFonts w:hint="eastAsia" w:ascii="仿宋" w:hAnsi="仿宋" w:eastAsia="仿宋" w:cs="仿宋"/>
          <w:color w:val="auto"/>
          <w:highlight w:val="none"/>
        </w:rPr>
        <w:t>3. 请投标人正确填写本表，所填内容将作为报价的评分依据。如果填写不完整或有误，不再享受上述政策优惠。</w:t>
      </w:r>
      <w:bookmarkEnd w:id="240"/>
      <w:bookmarkEnd w:id="241"/>
      <w:bookmarkEnd w:id="242"/>
      <w:bookmarkEnd w:id="243"/>
      <w:bookmarkEnd w:id="244"/>
      <w:bookmarkEnd w:id="245"/>
      <w:bookmarkEnd w:id="246"/>
      <w:bookmarkEnd w:id="247"/>
    </w:p>
    <w:p>
      <w:pPr>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4. 如本项目未专门面向中小企业，投标人也未在资格文件部分/落实政府采购政策需满足的资格要求中提供《中小企业声明函》。</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spacing w:line="360" w:lineRule="auto"/>
        <w:jc w:val="left"/>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附</w:t>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中小企业声明函（</w:t>
      </w:r>
      <w:r>
        <w:rPr>
          <w:rFonts w:hint="eastAsia" w:ascii="仿宋" w:hAnsi="仿宋" w:eastAsia="仿宋" w:cs="仿宋"/>
          <w:b/>
          <w:color w:val="auto"/>
          <w:sz w:val="32"/>
          <w:szCs w:val="32"/>
          <w:highlight w:val="none"/>
          <w:lang w:eastAsia="zh-CN"/>
        </w:rPr>
        <w:t>货物</w:t>
      </w:r>
      <w:r>
        <w:rPr>
          <w:rFonts w:hint="eastAsia" w:ascii="仿宋" w:hAnsi="仿宋" w:eastAsia="仿宋" w:cs="仿宋"/>
          <w:b/>
          <w:color w:val="auto"/>
          <w:sz w:val="32"/>
          <w:szCs w:val="32"/>
          <w:highlight w:val="none"/>
        </w:rPr>
        <w:t>）</w:t>
      </w:r>
    </w:p>
    <w:p>
      <w:pPr>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本公司郑重声明，根据《政府采购促进中小企业发展管理办法》（财库[2020]46号）的规定，本公司参加  （填写采购单位）  的   （填写项目名称）   采购活动，提供的货物全部由符合政策要求的中小企业制造。相关企业的具体情况如下：</w:t>
      </w:r>
    </w:p>
    <w:p>
      <w:pPr>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1.      （标的名称）     ，属于  工业  行业；制造商为（企业名称）   ，从业人员       人，营业收入为         万元，资产总额为         万元，属于  (填写中型企业、小型企业、微型企业)  ；</w:t>
      </w:r>
    </w:p>
    <w:p>
      <w:pPr>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     （标的名称）      ，属于  工业   行业；制造商为（企业名称）    ，从业人员       人，营业收入为         万元，资产总额为         万元，属于  (填写中型企业、小型企业、微型企业)  ；</w:t>
      </w:r>
    </w:p>
    <w:p>
      <w:pPr>
        <w:spacing w:line="360" w:lineRule="auto"/>
        <w:ind w:firstLine="420" w:firstLineChars="200"/>
        <w:jc w:val="left"/>
        <w:rPr>
          <w:rFonts w:hint="eastAsia" w:ascii="仿宋" w:hAnsi="仿宋" w:eastAsia="仿宋" w:cs="仿宋"/>
          <w:color w:val="auto"/>
          <w:highlight w:val="none"/>
        </w:rPr>
      </w:pPr>
    </w:p>
    <w:p>
      <w:pPr>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w:t>
      </w:r>
    </w:p>
    <w:p>
      <w:pPr>
        <w:spacing w:line="360" w:lineRule="auto"/>
        <w:ind w:firstLine="420" w:firstLineChars="200"/>
        <w:jc w:val="left"/>
        <w:rPr>
          <w:rFonts w:hint="eastAsia" w:ascii="仿宋" w:hAnsi="仿宋" w:eastAsia="仿宋" w:cs="仿宋"/>
          <w:color w:val="auto"/>
          <w:highlight w:val="none"/>
        </w:rPr>
      </w:pPr>
    </w:p>
    <w:p>
      <w:pPr>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pPr>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本企业对上述声明内容的真实性负责。如有虚假，将依法承担相应责任。</w:t>
      </w:r>
    </w:p>
    <w:p>
      <w:pPr>
        <w:spacing w:line="360" w:lineRule="auto"/>
        <w:ind w:firstLine="420" w:firstLineChars="200"/>
        <w:jc w:val="left"/>
        <w:rPr>
          <w:rFonts w:hint="eastAsia" w:ascii="仿宋" w:hAnsi="仿宋" w:eastAsia="仿宋" w:cs="仿宋"/>
          <w:color w:val="auto"/>
          <w:highlight w:val="none"/>
        </w:rPr>
      </w:pPr>
    </w:p>
    <w:p>
      <w:pPr>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企业名称（盖章）：</w:t>
      </w:r>
    </w:p>
    <w:p>
      <w:pPr>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pPr>
        <w:spacing w:line="360" w:lineRule="auto"/>
        <w:ind w:firstLine="420" w:firstLineChars="200"/>
        <w:jc w:val="left"/>
        <w:rPr>
          <w:rFonts w:hint="eastAsia" w:ascii="仿宋" w:hAnsi="仿宋" w:eastAsia="仿宋" w:cs="仿宋"/>
          <w:color w:val="auto"/>
          <w:highlight w:val="none"/>
        </w:rPr>
      </w:pPr>
    </w:p>
    <w:p>
      <w:pPr>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相关说明及要求：</w:t>
      </w:r>
    </w:p>
    <w:p>
      <w:pPr>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从业人员、营业收入、资产总额填报上一年度数据，无上一年度数据的新成立企业可不填报。</w:t>
      </w:r>
    </w:p>
    <w:p>
      <w:pPr>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供应商提供的货物符合下列情形的，享受价格扣除优惠政策：货物由小微企业制造，即货物由小微企业生产且使用该小微企业商号或者注册商标；</w:t>
      </w:r>
    </w:p>
    <w:p>
      <w:pPr>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 xml:space="preserve"> 中小微企业划分标准：符合《工业和信息化部、国家统计局、国家发展和改革委员会、财政部关于印发中小企业划型标准规定的通知》（工信部联企业〔2011〕300号）规定的划分标准。</w:t>
      </w:r>
    </w:p>
    <w:p>
      <w:pPr>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请投标供应商按本表规定格式及要求填写并加盖单位公章，否则不享受价格扣除优惠政策。</w:t>
      </w:r>
    </w:p>
    <w:p>
      <w:pPr>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填写本表的投标供应商应为浙江政府采购网正式入库供应商，否则不享受价格扣除优惠政策。</w:t>
      </w:r>
    </w:p>
    <w:p>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）残疾人福利性单位声明函</w:t>
      </w:r>
    </w:p>
    <w:p>
      <w:pPr>
        <w:spacing w:line="360" w:lineRule="auto"/>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（如有）</w:t>
      </w:r>
    </w:p>
    <w:p>
      <w:pPr>
        <w:spacing w:line="588" w:lineRule="exact"/>
        <w:jc w:val="left"/>
        <w:rPr>
          <w:rFonts w:hint="eastAsia" w:ascii="仿宋" w:hAnsi="仿宋" w:eastAsia="仿宋" w:cs="仿宋"/>
          <w:b/>
          <w:color w:val="auto"/>
          <w:spacing w:val="6"/>
          <w:sz w:val="30"/>
          <w:szCs w:val="30"/>
          <w:highlight w:val="none"/>
        </w:rPr>
      </w:pPr>
    </w:p>
    <w:p>
      <w:pPr>
        <w:spacing w:line="480" w:lineRule="auto"/>
        <w:ind w:firstLine="504" w:firstLineChars="200"/>
        <w:jc w:val="left"/>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〔2017〕 141</w:t>
      </w:r>
      <w:r>
        <w:rPr>
          <w:rFonts w:hint="eastAsia" w:ascii="仿宋" w:hAnsi="仿宋" w:eastAsia="仿宋"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504" w:firstLineChars="200"/>
        <w:jc w:val="left"/>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pPr>
        <w:spacing w:line="480" w:lineRule="auto"/>
        <w:ind w:firstLine="504" w:firstLineChars="200"/>
        <w:jc w:val="left"/>
        <w:rPr>
          <w:rFonts w:hint="eastAsia" w:ascii="仿宋" w:hAnsi="仿宋" w:eastAsia="仿宋" w:cs="仿宋"/>
          <w:color w:val="auto"/>
          <w:spacing w:val="6"/>
          <w:sz w:val="24"/>
          <w:highlight w:val="none"/>
        </w:rPr>
      </w:pPr>
    </w:p>
    <w:p>
      <w:pPr>
        <w:tabs>
          <w:tab w:val="left" w:pos="4860"/>
        </w:tabs>
        <w:spacing w:line="480" w:lineRule="auto"/>
        <w:ind w:right="1191" w:firstLine="3828" w:firstLineChars="1595"/>
        <w:jc w:val="left"/>
        <w:rPr>
          <w:rFonts w:hint="eastAsia" w:ascii="仿宋" w:hAnsi="仿宋" w:eastAsia="仿宋" w:cs="仿宋"/>
          <w:color w:val="auto"/>
          <w:spacing w:val="6"/>
          <w:sz w:val="24"/>
          <w:highlight w:val="none"/>
        </w:rPr>
      </w:pPr>
      <w:r>
        <w:rPr>
          <w:rFonts w:hint="eastAsia" w:ascii="仿宋" w:hAnsi="仿宋" w:eastAsia="仿宋" w:cs="仿宋"/>
          <w:color w:val="auto"/>
          <w:sz w:val="24"/>
          <w:highlight w:val="none"/>
        </w:rPr>
        <w:t>投标人名称（电子签名）：</w:t>
      </w:r>
    </w:p>
    <w:p>
      <w:pPr>
        <w:tabs>
          <w:tab w:val="left" w:pos="4860"/>
        </w:tabs>
        <w:spacing w:line="480" w:lineRule="auto"/>
        <w:ind w:right="1560" w:firstLine="4019" w:firstLineChars="1595"/>
        <w:jc w:val="left"/>
        <w:rPr>
          <w:rFonts w:hint="eastAsia" w:ascii="仿宋" w:hAnsi="仿宋" w:eastAsia="仿宋" w:cs="仿宋"/>
          <w:color w:val="auto"/>
          <w:sz w:val="24"/>
          <w:highlight w:val="none"/>
        </w:rPr>
      </w:pPr>
      <w:r>
        <w:rPr>
          <w:rFonts w:hint="eastAsia" w:ascii="仿宋" w:hAnsi="仿宋" w:eastAsia="仿宋" w:cs="仿宋"/>
          <w:color w:val="auto"/>
          <w:spacing w:val="6"/>
          <w:sz w:val="24"/>
          <w:highlight w:val="none"/>
        </w:rPr>
        <w:t>日     期：</w:t>
      </w:r>
    </w:p>
    <w:p>
      <w:pPr>
        <w:spacing w:line="360" w:lineRule="auto"/>
        <w:jc w:val="left"/>
        <w:rPr>
          <w:rFonts w:hint="eastAsia" w:ascii="仿宋" w:hAnsi="仿宋" w:eastAsia="仿宋" w:cs="仿宋"/>
          <w:b/>
          <w:color w:val="auto"/>
          <w:sz w:val="24"/>
          <w:highlight w:val="none"/>
        </w:rPr>
      </w:pPr>
    </w:p>
    <w:p>
      <w:pPr>
        <w:tabs>
          <w:tab w:val="left" w:pos="312"/>
        </w:tabs>
        <w:spacing w:line="400" w:lineRule="exact"/>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注：1、供应商如为符合条件的残疾人福利性单位，且响应产品为本企业的，投标文件中须出具《残疾人福利性单位声明函》。</w:t>
      </w:r>
    </w:p>
    <w:p>
      <w:pPr>
        <w:tabs>
          <w:tab w:val="left" w:pos="312"/>
        </w:tabs>
        <w:spacing w:line="400" w:lineRule="exact"/>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2、供应商如为残疾人福利性单位且响应产品为其他残疾人福利性单位制造的，所代理品牌制造商的《残疾人福利性单位声明函》也需提供。</w:t>
      </w:r>
    </w:p>
    <w:p>
      <w:pPr>
        <w:tabs>
          <w:tab w:val="left" w:pos="312"/>
        </w:tabs>
        <w:spacing w:line="400" w:lineRule="exact"/>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pPr>
        <w:tabs>
          <w:tab w:val="left" w:pos="312"/>
        </w:tabs>
        <w:spacing w:line="400" w:lineRule="exact"/>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4、供应商不属于残疾人福利性单位的，无需提供此声明函，如提供所引起的后果由供应商承担。</w:t>
      </w:r>
    </w:p>
    <w:p>
      <w:pPr>
        <w:rPr>
          <w:rStyle w:val="77"/>
          <w:rFonts w:hint="eastAsia" w:ascii="仿宋" w:hAnsi="仿宋" w:eastAsia="仿宋" w:cs="新宋体"/>
          <w:color w:val="auto"/>
          <w:sz w:val="36"/>
          <w:szCs w:val="36"/>
          <w:highlight w:val="none"/>
        </w:rPr>
      </w:pPr>
      <w:r>
        <w:rPr>
          <w:rStyle w:val="77"/>
          <w:rFonts w:hint="eastAsia" w:ascii="仿宋" w:hAnsi="仿宋" w:eastAsia="仿宋" w:cs="新宋体"/>
          <w:color w:val="auto"/>
          <w:sz w:val="36"/>
          <w:szCs w:val="36"/>
          <w:highlight w:val="none"/>
        </w:rPr>
        <w:br w:type="page"/>
      </w:r>
    </w:p>
    <w:p>
      <w:pPr>
        <w:pStyle w:val="22"/>
        <w:overflowPunct w:val="0"/>
        <w:spacing w:after="0" w:line="460" w:lineRule="exact"/>
        <w:jc w:val="center"/>
        <w:rPr>
          <w:rFonts w:ascii="仿宋" w:hAnsi="仿宋" w:eastAsia="仿宋" w:cs="新宋体"/>
          <w:b/>
          <w:color w:val="auto"/>
          <w:sz w:val="36"/>
          <w:szCs w:val="36"/>
          <w:highlight w:val="none"/>
        </w:rPr>
      </w:pPr>
      <w:r>
        <w:rPr>
          <w:rStyle w:val="77"/>
          <w:rFonts w:hint="eastAsia" w:ascii="仿宋" w:hAnsi="仿宋" w:eastAsia="仿宋" w:cs="新宋体"/>
          <w:color w:val="auto"/>
          <w:sz w:val="36"/>
          <w:szCs w:val="36"/>
          <w:highlight w:val="none"/>
        </w:rPr>
        <w:t>第六部分  评标办法</w:t>
      </w:r>
    </w:p>
    <w:p>
      <w:pPr>
        <w:pStyle w:val="22"/>
        <w:overflowPunct w:val="0"/>
        <w:spacing w:after="0" w:line="460" w:lineRule="exact"/>
        <w:rPr>
          <w:rFonts w:ascii="新宋体" w:hAnsi="新宋体" w:eastAsia="新宋体" w:cs="新宋体"/>
          <w:b/>
          <w:color w:val="auto"/>
          <w:highlight w:val="none"/>
        </w:rPr>
      </w:pPr>
    </w:p>
    <w:p>
      <w:pPr>
        <w:snapToGrid w:val="0"/>
        <w:spacing w:line="360" w:lineRule="auto"/>
        <w:jc w:val="center"/>
        <w:rPr>
          <w:rFonts w:ascii="仿宋" w:hAnsi="仿宋" w:eastAsia="仿宋" w:cs="仿宋_GB2312"/>
          <w:b/>
          <w:color w:val="auto"/>
          <w:sz w:val="28"/>
          <w:szCs w:val="28"/>
          <w:highlight w:val="none"/>
        </w:rPr>
      </w:pPr>
      <w:bookmarkStart w:id="248" w:name="_Hlk93170489"/>
      <w:r>
        <w:rPr>
          <w:rFonts w:hint="eastAsia" w:ascii="仿宋" w:hAnsi="仿宋" w:eastAsia="仿宋" w:cs="仿宋_GB2312"/>
          <w:b/>
          <w:color w:val="auto"/>
          <w:sz w:val="28"/>
          <w:szCs w:val="28"/>
          <w:highlight w:val="none"/>
        </w:rPr>
        <w:t>评标办法前附表</w:t>
      </w:r>
    </w:p>
    <w:tbl>
      <w:tblPr>
        <w:tblStyle w:val="57"/>
        <w:tblW w:w="90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3"/>
        <w:gridCol w:w="16"/>
        <w:gridCol w:w="1052"/>
        <w:gridCol w:w="2363"/>
        <w:gridCol w:w="47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blHeader/>
        </w:trPr>
        <w:tc>
          <w:tcPr>
            <w:tcW w:w="1921" w:type="dxa"/>
            <w:gridSpan w:val="3"/>
            <w:tcBorders>
              <w:top w:val="single" w:color="auto" w:sz="4" w:space="0"/>
              <w:bottom w:val="single" w:color="auto" w:sz="4" w:space="0"/>
              <w:right w:val="single" w:color="auto" w:sz="4" w:space="0"/>
            </w:tcBorders>
            <w:vAlign w:val="center"/>
          </w:tcPr>
          <w:p>
            <w:pPr>
              <w:jc w:val="center"/>
              <w:rPr>
                <w:rFonts w:ascii="仿宋" w:hAnsi="仿宋" w:eastAsia="仿宋" w:cs="宋体"/>
                <w:b/>
                <w:bCs/>
                <w:color w:val="auto"/>
                <w:sz w:val="22"/>
                <w:szCs w:val="22"/>
                <w:highlight w:val="none"/>
              </w:rPr>
            </w:pPr>
            <w:r>
              <w:rPr>
                <w:rFonts w:hint="eastAsia" w:ascii="仿宋" w:hAnsi="仿宋" w:eastAsia="仿宋" w:cs="宋体"/>
                <w:b/>
                <w:bCs/>
                <w:color w:val="auto"/>
                <w:sz w:val="22"/>
                <w:szCs w:val="22"/>
                <w:highlight w:val="none"/>
              </w:rPr>
              <w:t>条款号</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color w:val="auto"/>
                <w:sz w:val="22"/>
                <w:szCs w:val="22"/>
                <w:highlight w:val="none"/>
              </w:rPr>
            </w:pPr>
            <w:r>
              <w:rPr>
                <w:rFonts w:hint="eastAsia" w:ascii="仿宋" w:hAnsi="仿宋" w:eastAsia="仿宋" w:cs="宋体"/>
                <w:b/>
                <w:bCs/>
                <w:color w:val="auto"/>
                <w:sz w:val="22"/>
                <w:szCs w:val="22"/>
                <w:highlight w:val="none"/>
              </w:rPr>
              <w:t>评审因素</w:t>
            </w:r>
          </w:p>
        </w:tc>
        <w:tc>
          <w:tcPr>
            <w:tcW w:w="4795" w:type="dxa"/>
            <w:tcBorders>
              <w:top w:val="single" w:color="auto" w:sz="4" w:space="0"/>
              <w:left w:val="single" w:color="auto" w:sz="4" w:space="0"/>
              <w:bottom w:val="single" w:color="auto" w:sz="4" w:space="0"/>
            </w:tcBorders>
            <w:vAlign w:val="center"/>
          </w:tcPr>
          <w:p>
            <w:pPr>
              <w:jc w:val="center"/>
              <w:rPr>
                <w:rFonts w:ascii="仿宋" w:hAnsi="仿宋" w:eastAsia="仿宋" w:cs="宋体"/>
                <w:b/>
                <w:bCs/>
                <w:color w:val="auto"/>
                <w:sz w:val="22"/>
                <w:szCs w:val="22"/>
                <w:highlight w:val="none"/>
              </w:rPr>
            </w:pPr>
            <w:r>
              <w:rPr>
                <w:rFonts w:hint="eastAsia" w:ascii="仿宋" w:hAnsi="仿宋" w:eastAsia="仿宋" w:cs="宋体"/>
                <w:b/>
                <w:bCs/>
                <w:color w:val="auto"/>
                <w:sz w:val="22"/>
                <w:szCs w:val="22"/>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53" w:type="dxa"/>
            <w:vMerge w:val="restart"/>
            <w:tcBorders>
              <w:top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1</w:t>
            </w:r>
          </w:p>
        </w:tc>
        <w:tc>
          <w:tcPr>
            <w:tcW w:w="1068" w:type="dxa"/>
            <w:gridSpan w:val="2"/>
            <w:vMerge w:val="restart"/>
            <w:tcBorders>
              <w:top w:val="single" w:color="auto" w:sz="4" w:space="0"/>
              <w:left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评标方法</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评标办法</w:t>
            </w:r>
          </w:p>
        </w:tc>
        <w:tc>
          <w:tcPr>
            <w:tcW w:w="4795" w:type="dxa"/>
            <w:tcBorders>
              <w:top w:val="single" w:color="auto" w:sz="4" w:space="0"/>
              <w:left w:val="single" w:color="auto" w:sz="4" w:space="0"/>
              <w:bottom w:val="single" w:color="auto" w:sz="4" w:space="0"/>
            </w:tcBorders>
            <w:vAlign w:val="center"/>
          </w:tcPr>
          <w:p>
            <w:pPr>
              <w:rPr>
                <w:rFonts w:ascii="仿宋" w:hAnsi="仿宋" w:eastAsia="仿宋"/>
                <w:color w:val="auto"/>
                <w:sz w:val="22"/>
                <w:szCs w:val="22"/>
                <w:highlight w:val="none"/>
              </w:rPr>
            </w:pPr>
            <w:r>
              <w:rPr>
                <w:rFonts w:hint="eastAsia" w:ascii="仿宋" w:hAnsi="仿宋" w:eastAsia="仿宋" w:cs="Arial"/>
                <w:color w:val="auto"/>
                <w:sz w:val="22"/>
                <w:szCs w:val="22"/>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853" w:type="dxa"/>
            <w:vMerge w:val="continue"/>
            <w:tcBorders>
              <w:top w:val="single" w:color="auto" w:sz="4" w:space="0"/>
              <w:right w:val="single" w:color="auto" w:sz="4" w:space="0"/>
            </w:tcBorders>
            <w:vAlign w:val="center"/>
          </w:tcPr>
          <w:p>
            <w:pPr>
              <w:jc w:val="center"/>
              <w:rPr>
                <w:rFonts w:ascii="仿宋" w:hAnsi="仿宋" w:eastAsia="仿宋" w:cs="宋体"/>
                <w:color w:val="auto"/>
                <w:sz w:val="22"/>
                <w:szCs w:val="22"/>
                <w:highlight w:val="none"/>
              </w:rPr>
            </w:pPr>
          </w:p>
        </w:tc>
        <w:tc>
          <w:tcPr>
            <w:tcW w:w="1068" w:type="dxa"/>
            <w:gridSpan w:val="2"/>
            <w:vMerge w:val="continue"/>
            <w:tcBorders>
              <w:top w:val="single" w:color="auto" w:sz="4" w:space="0"/>
              <w:left w:val="single" w:color="auto" w:sz="4" w:space="0"/>
              <w:right w:val="single" w:color="auto" w:sz="4" w:space="0"/>
            </w:tcBorders>
            <w:vAlign w:val="center"/>
          </w:tcPr>
          <w:p>
            <w:pPr>
              <w:jc w:val="center"/>
              <w:rPr>
                <w:rFonts w:ascii="仿宋" w:hAnsi="仿宋" w:eastAsia="仿宋" w:cs="宋体"/>
                <w:color w:val="auto"/>
                <w:sz w:val="22"/>
                <w:szCs w:val="22"/>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推荐中标候选人的数量</w:t>
            </w:r>
          </w:p>
        </w:tc>
        <w:tc>
          <w:tcPr>
            <w:tcW w:w="4795" w:type="dxa"/>
            <w:tcBorders>
              <w:top w:val="single" w:color="auto" w:sz="4" w:space="0"/>
              <w:left w:val="single" w:color="auto" w:sz="4" w:space="0"/>
              <w:bottom w:val="single" w:color="auto" w:sz="4" w:space="0"/>
            </w:tcBorders>
            <w:vAlign w:val="center"/>
          </w:tcPr>
          <w:p>
            <w:pPr>
              <w:rPr>
                <w:rFonts w:ascii="仿宋" w:hAnsi="MS Gothic" w:eastAsia="仿宋" w:cs="Arial"/>
                <w:color w:val="auto"/>
                <w:kern w:val="0"/>
                <w:sz w:val="22"/>
                <w:szCs w:val="22"/>
                <w:highlight w:val="none"/>
              </w:rPr>
            </w:pPr>
            <w:r>
              <w:rPr>
                <w:rFonts w:hint="eastAsia" w:ascii="仿宋" w:hAnsi="MS Gothic" w:eastAsia="仿宋" w:cs="Arial"/>
                <w:color w:val="auto"/>
                <w:kern w:val="0"/>
                <w:sz w:val="22"/>
                <w:szCs w:val="22"/>
                <w:highlight w:val="none"/>
                <w:lang w:val="en-US" w:eastAsia="zh-CN"/>
              </w:rPr>
              <w:t>1</w:t>
            </w:r>
            <w:r>
              <w:rPr>
                <w:rFonts w:hint="eastAsia" w:ascii="仿宋" w:hAnsi="MS Gothic" w:eastAsia="仿宋" w:cs="Arial"/>
                <w:color w:val="auto"/>
                <w:kern w:val="0"/>
                <w:sz w:val="22"/>
                <w:szCs w:val="22"/>
                <w:highlight w:val="none"/>
              </w:rPr>
              <w:t>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853" w:type="dxa"/>
            <w:vMerge w:val="continue"/>
            <w:tcBorders>
              <w:top w:val="single" w:color="auto" w:sz="4" w:space="0"/>
              <w:right w:val="single" w:color="auto" w:sz="4" w:space="0"/>
            </w:tcBorders>
            <w:vAlign w:val="center"/>
          </w:tcPr>
          <w:p>
            <w:pPr>
              <w:jc w:val="center"/>
              <w:rPr>
                <w:rFonts w:ascii="仿宋" w:hAnsi="仿宋" w:eastAsia="仿宋" w:cs="宋体"/>
                <w:color w:val="auto"/>
                <w:sz w:val="22"/>
                <w:szCs w:val="22"/>
                <w:highlight w:val="none"/>
              </w:rPr>
            </w:pPr>
          </w:p>
        </w:tc>
        <w:tc>
          <w:tcPr>
            <w:tcW w:w="1068" w:type="dxa"/>
            <w:gridSpan w:val="2"/>
            <w:vMerge w:val="continue"/>
            <w:tcBorders>
              <w:top w:val="single" w:color="auto" w:sz="4" w:space="0"/>
              <w:left w:val="single" w:color="auto" w:sz="4" w:space="0"/>
              <w:right w:val="single" w:color="auto" w:sz="4" w:space="0"/>
            </w:tcBorders>
            <w:vAlign w:val="center"/>
          </w:tcPr>
          <w:p>
            <w:pPr>
              <w:jc w:val="center"/>
              <w:rPr>
                <w:rFonts w:ascii="仿宋" w:hAnsi="仿宋" w:eastAsia="仿宋" w:cs="宋体"/>
                <w:color w:val="auto"/>
                <w:sz w:val="22"/>
                <w:szCs w:val="22"/>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综合评分、投标报价均相等时确定中标候选人排序的方式</w:t>
            </w:r>
          </w:p>
        </w:tc>
        <w:tc>
          <w:tcPr>
            <w:tcW w:w="4795" w:type="dxa"/>
            <w:tcBorders>
              <w:top w:val="single" w:color="auto" w:sz="4" w:space="0"/>
              <w:left w:val="single" w:color="auto" w:sz="4" w:space="0"/>
              <w:bottom w:val="single" w:color="auto" w:sz="4" w:space="0"/>
            </w:tcBorders>
            <w:vAlign w:val="center"/>
          </w:tcPr>
          <w:p>
            <w:pPr>
              <w:rPr>
                <w:rFonts w:ascii="仿宋" w:hAnsi="MS Gothic" w:eastAsia="仿宋" w:cs="Arial"/>
                <w:color w:val="auto"/>
                <w:kern w:val="0"/>
                <w:sz w:val="22"/>
                <w:szCs w:val="22"/>
                <w:highlight w:val="none"/>
              </w:rPr>
            </w:pPr>
            <w:r>
              <w:rPr>
                <w:rFonts w:hint="eastAsia" w:ascii="仿宋" w:hAnsi="仿宋" w:eastAsia="仿宋" w:cs="Arial"/>
                <w:color w:val="auto"/>
                <w:sz w:val="22"/>
                <w:szCs w:val="22"/>
                <w:highlight w:val="none"/>
              </w:rPr>
              <w:t>抽签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853" w:type="dxa"/>
            <w:tcBorders>
              <w:top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2.1.2</w:t>
            </w:r>
          </w:p>
        </w:tc>
        <w:tc>
          <w:tcPr>
            <w:tcW w:w="1068" w:type="dxa"/>
            <w:gridSpan w:val="2"/>
            <w:vMerge w:val="restart"/>
            <w:tcBorders>
              <w:top w:val="single" w:color="auto" w:sz="4" w:space="0"/>
              <w:left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资格审查</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Arial"/>
                <w:color w:val="auto"/>
                <w:sz w:val="22"/>
                <w:szCs w:val="22"/>
                <w:highlight w:val="none"/>
              </w:rPr>
              <w:t>落实政府采购政策需满足的资格要求</w:t>
            </w:r>
          </w:p>
        </w:tc>
        <w:tc>
          <w:tcPr>
            <w:tcW w:w="4795" w:type="dxa"/>
            <w:tcBorders>
              <w:top w:val="single" w:color="auto" w:sz="4" w:space="0"/>
              <w:left w:val="single" w:color="auto" w:sz="4" w:space="0"/>
              <w:bottom w:val="single" w:color="auto" w:sz="4" w:space="0"/>
            </w:tcBorders>
            <w:vAlign w:val="center"/>
          </w:tcPr>
          <w:p>
            <w:pP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专门面向中小企业，提供中小企业声明函。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9" w:hRule="atLeast"/>
        </w:trPr>
        <w:tc>
          <w:tcPr>
            <w:tcW w:w="853" w:type="dxa"/>
            <w:tcBorders>
              <w:top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2.1.3</w:t>
            </w:r>
          </w:p>
        </w:tc>
        <w:tc>
          <w:tcPr>
            <w:tcW w:w="1068" w:type="dxa"/>
            <w:gridSpan w:val="2"/>
            <w:vMerge w:val="continue"/>
            <w:tcBorders>
              <w:left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特定资格条件要求</w:t>
            </w:r>
          </w:p>
        </w:tc>
        <w:tc>
          <w:tcPr>
            <w:tcW w:w="4795" w:type="dxa"/>
            <w:tcBorders>
              <w:top w:val="single" w:color="auto" w:sz="4" w:space="0"/>
              <w:left w:val="single" w:color="auto" w:sz="4" w:space="0"/>
              <w:bottom w:val="single" w:color="auto" w:sz="4" w:space="0"/>
            </w:tcBorders>
            <w:vAlign w:val="center"/>
          </w:tcPr>
          <w:p>
            <w:pPr>
              <w:rPr>
                <w:rFonts w:hint="eastAsia" w:ascii="仿宋" w:hAnsi="仿宋" w:eastAsia="仿宋" w:cs="宋体"/>
                <w:color w:val="auto"/>
                <w:sz w:val="22"/>
                <w:szCs w:val="22"/>
                <w:highlight w:val="none"/>
                <w:u w:val="single"/>
                <w:lang w:eastAsia="zh-CN"/>
              </w:rPr>
            </w:pPr>
            <w:r>
              <w:rPr>
                <w:rFonts w:hint="eastAsia" w:ascii="仿宋" w:hAnsi="仿宋" w:eastAsia="仿宋" w:cs="宋体"/>
                <w:color w:val="auto"/>
                <w:kern w:val="0"/>
                <w:sz w:val="22"/>
                <w:szCs w:val="22"/>
                <w:highlight w:val="none"/>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91" w:hRule="atLeast"/>
        </w:trPr>
        <w:tc>
          <w:tcPr>
            <w:tcW w:w="853" w:type="dxa"/>
            <w:tcBorders>
              <w:top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2.2</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符合性审查</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符合性审查其他要求</w:t>
            </w:r>
          </w:p>
        </w:tc>
        <w:tc>
          <w:tcPr>
            <w:tcW w:w="4795" w:type="dxa"/>
            <w:tcBorders>
              <w:top w:val="single" w:color="auto" w:sz="4" w:space="0"/>
              <w:left w:val="single" w:color="auto" w:sz="4" w:space="0"/>
              <w:bottom w:val="single" w:color="auto" w:sz="4" w:space="0"/>
            </w:tcBorders>
            <w:vAlign w:val="center"/>
          </w:tcPr>
          <w:p>
            <w:pPr>
              <w:rPr>
                <w:rFonts w:hint="eastAsia" w:ascii="仿宋" w:hAnsi="仿宋" w:eastAsia="仿宋" w:cs="宋体"/>
                <w:color w:val="auto"/>
                <w:szCs w:val="21"/>
                <w:highlight w:val="none"/>
              </w:rPr>
            </w:pPr>
            <w:r>
              <w:rPr>
                <w:rFonts w:hint="eastAsia" w:ascii="仿宋" w:hAnsi="仿宋" w:eastAsia="仿宋" w:cs="宋体"/>
                <w:color w:val="auto"/>
                <w:szCs w:val="21"/>
                <w:highlight w:val="none"/>
                <w:lang w:eastAsia="zh-CN"/>
              </w:rPr>
              <w:t>评审</w:t>
            </w:r>
            <w:r>
              <w:rPr>
                <w:rFonts w:hint="eastAsia" w:ascii="仿宋" w:hAnsi="仿宋" w:eastAsia="仿宋" w:cs="宋体"/>
                <w:color w:val="auto"/>
                <w:szCs w:val="21"/>
                <w:highlight w:val="none"/>
              </w:rPr>
              <w:t>小组在评审过程中根据本“第</w:t>
            </w:r>
            <w:r>
              <w:rPr>
                <w:rFonts w:hint="eastAsia" w:ascii="仿宋" w:hAnsi="仿宋" w:eastAsia="仿宋" w:cs="宋体"/>
                <w:color w:val="auto"/>
                <w:szCs w:val="21"/>
                <w:highlight w:val="none"/>
                <w:lang w:eastAsia="zh-CN"/>
              </w:rPr>
              <w:t>六部分</w:t>
            </w:r>
            <w:r>
              <w:rPr>
                <w:rFonts w:hint="eastAsia" w:ascii="仿宋" w:hAnsi="仿宋" w:eastAsia="仿宋" w:cs="宋体"/>
                <w:color w:val="auto"/>
                <w:szCs w:val="21"/>
                <w:highlight w:val="none"/>
              </w:rPr>
              <w:t>评审办法”2.2.1~2.2.3条款规定的符合性审查内容要求对响应文件开启时间的有效性、完整性、响应文件开启时间的响应程度审查。</w:t>
            </w:r>
          </w:p>
          <w:p>
            <w:pPr>
              <w:rPr>
                <w:rFonts w:ascii="仿宋" w:hAnsi="仿宋" w:eastAsia="仿宋" w:cs="宋体"/>
                <w:color w:val="auto"/>
                <w:sz w:val="22"/>
                <w:szCs w:val="22"/>
                <w:highlight w:val="none"/>
              </w:rPr>
            </w:pPr>
            <w:r>
              <w:rPr>
                <w:rFonts w:hint="eastAsia" w:ascii="仿宋" w:hAnsi="仿宋" w:eastAsia="仿宋" w:cs="宋体"/>
                <w:color w:val="auto"/>
                <w:szCs w:val="21"/>
                <w:highlight w:val="none"/>
              </w:rPr>
              <w:t>符合性审查其他要求：</w:t>
            </w:r>
            <w:r>
              <w:rPr>
                <w:rFonts w:hint="eastAsia" w:ascii="仿宋" w:hAnsi="仿宋" w:eastAsia="仿宋" w:cs="宋体"/>
                <w:color w:val="auto"/>
                <w:szCs w:val="21"/>
                <w:highlight w:val="none"/>
                <w:u w:val="single"/>
              </w:rPr>
              <w:t xml:space="preserve">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21" w:type="dxa"/>
            <w:gridSpan w:val="3"/>
            <w:tcBorders>
              <w:top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2.3.1</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分值权重构成</w:t>
            </w:r>
          </w:p>
        </w:tc>
        <w:tc>
          <w:tcPr>
            <w:tcW w:w="4795" w:type="dxa"/>
            <w:tcBorders>
              <w:top w:val="single" w:color="auto" w:sz="4" w:space="0"/>
              <w:left w:val="single" w:color="auto" w:sz="4" w:space="0"/>
              <w:bottom w:val="single" w:color="auto" w:sz="4" w:space="0"/>
            </w:tcBorders>
            <w:vAlign w:val="center"/>
          </w:tcPr>
          <w:p>
            <w:pPr>
              <w:snapToGrid w:val="0"/>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商务技术权重：</w:t>
            </w:r>
            <w:r>
              <w:rPr>
                <w:rFonts w:hint="eastAsia" w:ascii="仿宋" w:hAnsi="仿宋" w:eastAsia="仿宋" w:cs="宋体"/>
                <w:color w:val="auto"/>
                <w:sz w:val="22"/>
                <w:szCs w:val="22"/>
                <w:highlight w:val="none"/>
                <w:u w:val="single"/>
                <w:lang w:val="en-US" w:eastAsia="zh-CN"/>
              </w:rPr>
              <w:t>7</w:t>
            </w:r>
            <w:r>
              <w:rPr>
                <w:rFonts w:hint="eastAsia" w:ascii="仿宋" w:hAnsi="仿宋" w:eastAsia="仿宋" w:cs="宋体"/>
                <w:color w:val="auto"/>
                <w:sz w:val="22"/>
                <w:szCs w:val="22"/>
                <w:highlight w:val="none"/>
                <w:u w:val="single"/>
              </w:rPr>
              <w:t>0</w:t>
            </w:r>
            <w:r>
              <w:rPr>
                <w:rFonts w:hint="eastAsia" w:ascii="仿宋" w:hAnsi="仿宋" w:eastAsia="仿宋" w:cs="宋体"/>
                <w:color w:val="auto"/>
                <w:sz w:val="22"/>
                <w:szCs w:val="22"/>
                <w:highlight w:val="none"/>
              </w:rPr>
              <w:t>%</w:t>
            </w:r>
          </w:p>
          <w:p>
            <w:pPr>
              <w:snapToGrid w:val="0"/>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报价权重：</w:t>
            </w:r>
            <w:r>
              <w:rPr>
                <w:rFonts w:hint="eastAsia" w:ascii="仿宋" w:hAnsi="仿宋" w:eastAsia="仿宋" w:cs="宋体"/>
                <w:color w:val="auto"/>
                <w:sz w:val="22"/>
                <w:szCs w:val="22"/>
                <w:highlight w:val="none"/>
                <w:u w:val="single"/>
                <w:lang w:val="en-US" w:eastAsia="zh-CN"/>
              </w:rPr>
              <w:t>30</w:t>
            </w:r>
            <w:r>
              <w:rPr>
                <w:rFonts w:hint="eastAsia" w:ascii="仿宋" w:hAnsi="仿宋" w:eastAsia="仿宋"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7" w:hRule="atLeast"/>
        </w:trPr>
        <w:tc>
          <w:tcPr>
            <w:tcW w:w="869" w:type="dxa"/>
            <w:gridSpan w:val="2"/>
            <w:vMerge w:val="restart"/>
            <w:tcBorders>
              <w:top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2.3.2</w:t>
            </w:r>
          </w:p>
        </w:tc>
        <w:tc>
          <w:tcPr>
            <w:tcW w:w="1052" w:type="dxa"/>
            <w:vMerge w:val="restart"/>
            <w:tcBorders>
              <w:top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商务技术评分标准</w:t>
            </w:r>
          </w:p>
        </w:tc>
        <w:tc>
          <w:tcPr>
            <w:tcW w:w="2363" w:type="dxa"/>
            <w:tcBorders>
              <w:top w:val="single" w:color="auto" w:sz="4" w:space="0"/>
              <w:left w:val="single" w:color="auto" w:sz="4" w:space="0"/>
              <w:bottom w:val="single" w:color="auto" w:sz="4" w:space="0"/>
            </w:tcBorders>
            <w:vAlign w:val="center"/>
          </w:tcPr>
          <w:p>
            <w:pPr>
              <w:tabs>
                <w:tab w:val="left" w:pos="0"/>
              </w:tabs>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评审因素</w:t>
            </w:r>
          </w:p>
        </w:tc>
        <w:tc>
          <w:tcPr>
            <w:tcW w:w="4795" w:type="dxa"/>
            <w:tcBorders>
              <w:top w:val="single" w:color="auto" w:sz="4" w:space="0"/>
              <w:left w:val="single" w:color="auto" w:sz="4" w:space="0"/>
              <w:bottom w:val="single" w:color="auto" w:sz="4" w:space="0"/>
            </w:tcBorders>
            <w:vAlign w:val="center"/>
          </w:tcPr>
          <w:p>
            <w:pPr>
              <w:autoSpaceDE w:val="0"/>
              <w:autoSpaceDN w:val="0"/>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评审标准（分值）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869"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 w:val="22"/>
                <w:szCs w:val="22"/>
                <w:highlight w:val="none"/>
              </w:rPr>
            </w:pPr>
          </w:p>
        </w:tc>
        <w:tc>
          <w:tcPr>
            <w:tcW w:w="1052" w:type="dxa"/>
            <w:vMerge w:val="continue"/>
            <w:tcBorders>
              <w:top w:val="single" w:color="auto" w:sz="4" w:space="0"/>
              <w:right w:val="single" w:color="auto" w:sz="4" w:space="0"/>
            </w:tcBorders>
            <w:vAlign w:val="center"/>
          </w:tcPr>
          <w:p>
            <w:pPr>
              <w:jc w:val="center"/>
              <w:rPr>
                <w:rFonts w:ascii="仿宋" w:hAnsi="仿宋" w:eastAsia="仿宋" w:cs="宋体"/>
                <w:color w:val="auto"/>
                <w:sz w:val="22"/>
                <w:szCs w:val="22"/>
                <w:highlight w:val="none"/>
              </w:rPr>
            </w:pPr>
          </w:p>
        </w:tc>
        <w:tc>
          <w:tcPr>
            <w:tcW w:w="7158" w:type="dxa"/>
            <w:gridSpan w:val="2"/>
            <w:tcBorders>
              <w:top w:val="single" w:color="auto" w:sz="4" w:space="0"/>
              <w:left w:val="single" w:color="auto" w:sz="4" w:space="0"/>
              <w:bottom w:val="single" w:color="auto" w:sz="4" w:space="0"/>
            </w:tcBorders>
            <w:vAlign w:val="center"/>
          </w:tcPr>
          <w:p>
            <w:pPr>
              <w:autoSpaceDE w:val="0"/>
              <w:autoSpaceDN w:val="0"/>
              <w:jc w:val="left"/>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见附表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8" w:hRule="atLeast"/>
        </w:trPr>
        <w:tc>
          <w:tcPr>
            <w:tcW w:w="869" w:type="dxa"/>
            <w:gridSpan w:val="2"/>
            <w:vMerge w:val="continue"/>
            <w:tcBorders>
              <w:right w:val="single" w:color="auto" w:sz="4" w:space="0"/>
            </w:tcBorders>
            <w:vAlign w:val="center"/>
          </w:tcPr>
          <w:p>
            <w:pPr>
              <w:jc w:val="center"/>
              <w:rPr>
                <w:rFonts w:ascii="仿宋" w:hAnsi="仿宋" w:eastAsia="仿宋" w:cs="宋体"/>
                <w:color w:val="auto"/>
                <w:sz w:val="22"/>
                <w:szCs w:val="22"/>
                <w:highlight w:val="none"/>
              </w:rPr>
            </w:pPr>
          </w:p>
        </w:tc>
        <w:tc>
          <w:tcPr>
            <w:tcW w:w="1052" w:type="dxa"/>
            <w:vMerge w:val="continue"/>
            <w:tcBorders>
              <w:right w:val="single" w:color="auto" w:sz="4" w:space="0"/>
            </w:tcBorders>
            <w:vAlign w:val="center"/>
          </w:tcPr>
          <w:p>
            <w:pPr>
              <w:jc w:val="center"/>
              <w:rPr>
                <w:rFonts w:ascii="仿宋" w:hAnsi="仿宋" w:eastAsia="仿宋" w:cs="宋体"/>
                <w:color w:val="auto"/>
                <w:sz w:val="22"/>
                <w:szCs w:val="22"/>
                <w:highlight w:val="none"/>
              </w:rPr>
            </w:pPr>
          </w:p>
        </w:tc>
        <w:tc>
          <w:tcPr>
            <w:tcW w:w="7158" w:type="dxa"/>
            <w:gridSpan w:val="2"/>
            <w:tcBorders>
              <w:top w:val="single" w:color="auto" w:sz="4" w:space="0"/>
              <w:left w:val="single" w:color="auto" w:sz="4" w:space="0"/>
            </w:tcBorders>
          </w:tcPr>
          <w:p>
            <w:pPr>
              <w:tabs>
                <w:tab w:val="left" w:pos="0"/>
              </w:tabs>
              <w:rPr>
                <w:color w:val="auto"/>
                <w:highlight w:val="none"/>
              </w:rPr>
            </w:pPr>
            <w:r>
              <w:rPr>
                <w:rFonts w:hint="eastAsia" w:ascii="仿宋" w:hAnsi="仿宋" w:eastAsia="仿宋"/>
                <w:color w:val="auto"/>
                <w:sz w:val="22"/>
                <w:szCs w:val="22"/>
                <w:highlight w:val="none"/>
              </w:rPr>
              <w:t>说明：各评委成员按上述评分内容进行评定，每人一张评分计算表，由评标委员会成员各自评定独立打分并记实名。如某张表的一项评分内容分值超过规定的范围，则该张表无效。评标委员会成员对投标供应商的各项评分内容评分的合计分的算术平均值为该投标供应商技术资信的最终得分（四舍五入，保留小数点后二位）。注：评审小组成员个人主观打分偏离所有评审小组成员主观打分平均值30%以上的，由评审委员会启动评分畸高、畸低行为认定程序，限制专家自由裁量权。如评委对各投标人的技术标分值出现明显偏高或偏低情况的，该评委需阐述理由，并向招标人提交书面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1" w:hRule="atLeast"/>
        </w:trPr>
        <w:tc>
          <w:tcPr>
            <w:tcW w:w="1921" w:type="dxa"/>
            <w:gridSpan w:val="3"/>
            <w:tcBorders>
              <w:top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2.3.3</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报价评分办法</w:t>
            </w:r>
          </w:p>
        </w:tc>
        <w:tc>
          <w:tcPr>
            <w:tcW w:w="4795" w:type="dxa"/>
            <w:tcBorders>
              <w:top w:val="single" w:color="auto" w:sz="4" w:space="0"/>
              <w:left w:val="single" w:color="auto" w:sz="4" w:space="0"/>
              <w:bottom w:val="single" w:color="auto" w:sz="4" w:space="0"/>
            </w:tcBorders>
            <w:vAlign w:val="center"/>
          </w:tcPr>
          <w:p>
            <w:pPr>
              <w:snapToGrid w:val="0"/>
              <w:rPr>
                <w:rFonts w:cs="Arial" w:asciiTheme="minorEastAsia" w:hAnsiTheme="minorEastAsia" w:eastAsiaTheme="minorEastAsia"/>
                <w:color w:val="auto"/>
                <w:kern w:val="0"/>
                <w:sz w:val="22"/>
                <w:szCs w:val="22"/>
                <w:highlight w:val="none"/>
              </w:rPr>
            </w:pPr>
            <w:r>
              <w:rPr>
                <w:rFonts w:hint="eastAsia" w:ascii="仿宋" w:hAnsi="仿宋" w:eastAsia="仿宋" w:cs="宋体"/>
                <w:color w:val="auto"/>
                <w:sz w:val="22"/>
                <w:szCs w:val="22"/>
                <w:highlight w:val="none"/>
              </w:rPr>
              <w:t>是否采用低价优先法：</w:t>
            </w:r>
          </w:p>
          <w:p>
            <w:pPr>
              <w:snapToGrid w:val="0"/>
              <w:rPr>
                <w:rFonts w:ascii="仿宋" w:hAnsi="仿宋" w:eastAsia="仿宋" w:cs="宋体"/>
                <w:color w:val="auto"/>
                <w:sz w:val="22"/>
                <w:szCs w:val="22"/>
                <w:highlight w:val="none"/>
              </w:rPr>
            </w:pPr>
            <w:r>
              <w:rPr>
                <w:rFonts w:cs="Arial" w:asciiTheme="minorEastAsia" w:hAnsiTheme="minorEastAsia" w:eastAsiaTheme="minorEastAsia"/>
                <w:color w:val="auto"/>
                <w:kern w:val="0"/>
                <w:sz w:val="22"/>
                <w:szCs w:val="22"/>
                <w:highlight w:val="none"/>
              </w:rPr>
              <w:sym w:font="Wingdings" w:char="F0FE"/>
            </w:r>
            <w:r>
              <w:rPr>
                <w:rFonts w:hint="eastAsia" w:ascii="仿宋" w:hAnsi="仿宋" w:eastAsia="仿宋" w:cs="宋体"/>
                <w:color w:val="auto"/>
                <w:sz w:val="22"/>
                <w:szCs w:val="22"/>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14" w:hRule="atLeast"/>
        </w:trPr>
        <w:tc>
          <w:tcPr>
            <w:tcW w:w="1921" w:type="dxa"/>
            <w:gridSpan w:val="3"/>
            <w:tcBorders>
              <w:top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2</w:t>
            </w:r>
            <w:r>
              <w:rPr>
                <w:rFonts w:ascii="仿宋" w:hAnsi="仿宋" w:eastAsia="仿宋" w:cs="宋体"/>
                <w:color w:val="auto"/>
                <w:sz w:val="22"/>
                <w:szCs w:val="22"/>
                <w:highlight w:val="none"/>
              </w:rPr>
              <w:t>.3.3</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报价评分标准</w:t>
            </w:r>
          </w:p>
        </w:tc>
        <w:tc>
          <w:tcPr>
            <w:tcW w:w="4795" w:type="dxa"/>
            <w:tcBorders>
              <w:top w:val="single" w:color="auto" w:sz="4" w:space="0"/>
              <w:left w:val="single" w:color="auto" w:sz="4" w:space="0"/>
              <w:bottom w:val="single" w:color="auto" w:sz="4" w:space="0"/>
            </w:tcBorders>
            <w:vAlign w:val="center"/>
          </w:tcPr>
          <w:p>
            <w:pPr>
              <w:snapToGrid w:val="0"/>
              <w:outlineLvl w:val="0"/>
              <w:rPr>
                <w:rFonts w:ascii="仿宋" w:hAnsi="仿宋" w:eastAsia="仿宋" w:cs="仿宋_GB2312"/>
                <w:color w:val="auto"/>
                <w:sz w:val="22"/>
                <w:szCs w:val="22"/>
                <w:highlight w:val="none"/>
              </w:rPr>
            </w:pPr>
            <w:r>
              <w:rPr>
                <w:rFonts w:hint="eastAsia" w:ascii="仿宋" w:hAnsi="仿宋" w:eastAsia="仿宋" w:cs="仿宋_GB2312"/>
                <w:color w:val="auto"/>
                <w:sz w:val="22"/>
                <w:szCs w:val="22"/>
                <w:highlight w:val="none"/>
              </w:rPr>
              <w:t>报价得分</w:t>
            </w:r>
            <w:r>
              <w:rPr>
                <w:rFonts w:ascii="仿宋" w:hAnsi="仿宋" w:eastAsia="仿宋" w:cs="仿宋_GB2312"/>
                <w:color w:val="auto"/>
                <w:sz w:val="22"/>
                <w:szCs w:val="22"/>
                <w:highlight w:val="none"/>
              </w:rPr>
              <w:t>=（评标基准价/</w:t>
            </w:r>
            <w:r>
              <w:rPr>
                <w:rFonts w:hint="eastAsia" w:ascii="仿宋" w:hAnsi="仿宋" w:eastAsia="仿宋" w:cs="仿宋_GB2312"/>
                <w:color w:val="auto"/>
                <w:sz w:val="22"/>
                <w:szCs w:val="22"/>
                <w:highlight w:val="none"/>
              </w:rPr>
              <w:t>评标价</w:t>
            </w:r>
            <w:r>
              <w:rPr>
                <w:rFonts w:ascii="仿宋" w:hAnsi="仿宋" w:eastAsia="仿宋" w:cs="仿宋_GB2312"/>
                <w:color w:val="auto"/>
                <w:sz w:val="22"/>
                <w:szCs w:val="22"/>
                <w:highlight w:val="none"/>
              </w:rPr>
              <w:t>）</w:t>
            </w:r>
            <w:r>
              <w:rPr>
                <w:rFonts w:hint="eastAsia" w:ascii="仿宋" w:hAnsi="仿宋" w:eastAsia="仿宋" w:cs="仿宋_GB2312"/>
                <w:color w:val="auto"/>
                <w:sz w:val="22"/>
                <w:szCs w:val="22"/>
                <w:highlight w:val="none"/>
              </w:rPr>
              <w:t>×报价权重×100</w:t>
            </w:r>
          </w:p>
          <w:p>
            <w:pPr>
              <w:pStyle w:val="23"/>
              <w:snapToGrid w:val="0"/>
              <w:spacing w:after="0"/>
              <w:ind w:firstLine="0" w:firstLineChars="0"/>
              <w:rPr>
                <w:rFonts w:ascii="仿宋" w:hAnsi="仿宋" w:eastAsia="仿宋" w:cs="仿宋_GB2312"/>
                <w:color w:val="auto"/>
                <w:sz w:val="22"/>
                <w:szCs w:val="22"/>
                <w:highlight w:val="none"/>
              </w:rPr>
            </w:pPr>
            <w:r>
              <w:rPr>
                <w:rFonts w:hint="eastAsia" w:ascii="仿宋" w:hAnsi="仿宋" w:eastAsia="仿宋"/>
                <w:color w:val="auto"/>
                <w:sz w:val="22"/>
                <w:szCs w:val="22"/>
                <w:highlight w:val="none"/>
              </w:rPr>
              <w:t>满足招标文件要求且最低的评标价为评标基准价。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2" w:hRule="atLeast"/>
        </w:trPr>
        <w:tc>
          <w:tcPr>
            <w:tcW w:w="1921" w:type="dxa"/>
            <w:gridSpan w:val="3"/>
            <w:tcBorders>
              <w:top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宋体"/>
                <w:color w:val="auto"/>
                <w:sz w:val="22"/>
                <w:szCs w:val="22"/>
                <w:highlight w:val="none"/>
              </w:rPr>
              <w:t>2.3.3</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 w:val="22"/>
                <w:szCs w:val="22"/>
                <w:highlight w:val="none"/>
              </w:rPr>
            </w:pPr>
            <w:r>
              <w:rPr>
                <w:rFonts w:hint="eastAsia" w:ascii="仿宋" w:hAnsi="仿宋" w:eastAsia="仿宋" w:cs="Arial"/>
                <w:color w:val="auto"/>
                <w:sz w:val="22"/>
                <w:szCs w:val="22"/>
                <w:highlight w:val="none"/>
              </w:rPr>
              <w:t>落实政府采购政策需进行的价格扣除</w:t>
            </w:r>
          </w:p>
        </w:tc>
        <w:tc>
          <w:tcPr>
            <w:tcW w:w="4795" w:type="dxa"/>
            <w:tcBorders>
              <w:top w:val="single" w:color="auto" w:sz="4" w:space="0"/>
              <w:left w:val="single" w:color="auto" w:sz="4" w:space="0"/>
              <w:bottom w:val="single" w:color="auto" w:sz="4" w:space="0"/>
            </w:tcBorders>
            <w:vAlign w:val="center"/>
          </w:tcPr>
          <w:p>
            <w:pPr>
              <w:jc w:val="left"/>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（1）“评标价格”是指符合相关政策要求，按一定比例对投标报价进行政策功能的扣除后，仅用作价格分评分的价格（中标价及合同价仍以其投标报价为准）。</w:t>
            </w:r>
          </w:p>
          <w:p>
            <w:pPr>
              <w:jc w:val="left"/>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（2）投标人为小微（或监狱或残疾人福利性单位）企业且提供的是本企业或其他小微（或监狱或残疾人福利性单位）企业制造的货物、承担的工程或者服务，其评标价格为投标报价扣除</w:t>
            </w:r>
            <w:r>
              <w:rPr>
                <w:rFonts w:hint="eastAsia" w:ascii="仿宋" w:hAnsi="仿宋" w:eastAsia="仿宋"/>
                <w:color w:val="auto"/>
                <w:sz w:val="22"/>
                <w:szCs w:val="22"/>
                <w:highlight w:val="none"/>
                <w:lang w:val="en-US" w:eastAsia="zh-CN"/>
              </w:rPr>
              <w:t>20</w:t>
            </w:r>
            <w:r>
              <w:rPr>
                <w:rFonts w:hint="eastAsia" w:ascii="仿宋" w:hAnsi="仿宋" w:eastAsia="仿宋"/>
                <w:color w:val="auto"/>
                <w:sz w:val="22"/>
                <w:szCs w:val="22"/>
                <w:highlight w:val="none"/>
              </w:rPr>
              <w:t>%，即投标报价×</w:t>
            </w:r>
            <w:r>
              <w:rPr>
                <w:rFonts w:hint="eastAsia" w:ascii="仿宋" w:hAnsi="仿宋" w:eastAsia="仿宋"/>
                <w:color w:val="auto"/>
                <w:sz w:val="22"/>
                <w:szCs w:val="22"/>
                <w:highlight w:val="none"/>
                <w:lang w:val="en-US" w:eastAsia="zh-CN"/>
              </w:rPr>
              <w:t>80</w:t>
            </w:r>
            <w:r>
              <w:rPr>
                <w:rFonts w:hint="eastAsia" w:ascii="仿宋" w:hAnsi="仿宋" w:eastAsia="仿宋"/>
                <w:color w:val="auto"/>
                <w:sz w:val="22"/>
                <w:szCs w:val="22"/>
                <w:highlight w:val="none"/>
              </w:rPr>
              <w:t>%；</w:t>
            </w:r>
          </w:p>
          <w:p>
            <w:pPr>
              <w:jc w:val="left"/>
              <w:rPr>
                <w:rFonts w:hint="eastAsia" w:ascii="仿宋" w:hAnsi="仿宋" w:eastAsia="仿宋"/>
                <w:color w:val="auto"/>
                <w:sz w:val="22"/>
                <w:szCs w:val="22"/>
                <w:highlight w:val="none"/>
                <w:lang w:eastAsia="zh-CN"/>
              </w:rPr>
            </w:pPr>
            <w:r>
              <w:rPr>
                <w:rFonts w:hint="eastAsia" w:ascii="仿宋" w:hAnsi="仿宋" w:eastAsia="仿宋"/>
                <w:color w:val="auto"/>
                <w:sz w:val="22"/>
                <w:szCs w:val="22"/>
                <w:highlight w:val="none"/>
              </w:rPr>
              <w:t>（3）对于联合协议或者分包意向协议约定小微企业的合同份额占到合同总金额总金额30%以上的，价格分计算时给予联合体或者大中型企业的报价4%的价格扣除，其评标价格为投标报价扣除</w:t>
            </w:r>
            <w:r>
              <w:rPr>
                <w:rFonts w:hint="eastAsia" w:ascii="仿宋" w:hAnsi="仿宋" w:eastAsia="仿宋"/>
                <w:color w:val="auto"/>
                <w:sz w:val="22"/>
                <w:szCs w:val="22"/>
                <w:highlight w:val="none"/>
                <w:lang w:val="en-US" w:eastAsia="zh-CN"/>
              </w:rPr>
              <w:t>4</w:t>
            </w:r>
            <w:r>
              <w:rPr>
                <w:rFonts w:hint="eastAsia" w:ascii="仿宋" w:hAnsi="仿宋" w:eastAsia="仿宋"/>
                <w:color w:val="auto"/>
                <w:sz w:val="22"/>
                <w:szCs w:val="22"/>
                <w:highlight w:val="none"/>
              </w:rPr>
              <w:t>%，即投标报价×</w:t>
            </w:r>
            <w:r>
              <w:rPr>
                <w:rFonts w:hint="eastAsia" w:ascii="仿宋" w:hAnsi="仿宋" w:eastAsia="仿宋"/>
                <w:color w:val="auto"/>
                <w:sz w:val="22"/>
                <w:szCs w:val="22"/>
                <w:highlight w:val="none"/>
                <w:lang w:val="en-US" w:eastAsia="zh-CN"/>
              </w:rPr>
              <w:t>96</w:t>
            </w:r>
            <w:r>
              <w:rPr>
                <w:rFonts w:hint="eastAsia" w:ascii="仿宋" w:hAnsi="仿宋" w:eastAsia="仿宋"/>
                <w:color w:val="auto"/>
                <w:sz w:val="22"/>
                <w:szCs w:val="22"/>
                <w:highlight w:val="none"/>
              </w:rPr>
              <w:t>%</w:t>
            </w:r>
            <w:r>
              <w:rPr>
                <w:rFonts w:hint="eastAsia" w:ascii="仿宋" w:hAnsi="仿宋" w:eastAsia="仿宋"/>
                <w:color w:val="auto"/>
                <w:sz w:val="22"/>
                <w:szCs w:val="22"/>
                <w:highlight w:val="none"/>
                <w:lang w:eastAsia="zh-CN"/>
              </w:rPr>
              <w:t>。</w:t>
            </w:r>
          </w:p>
          <w:p>
            <w:pPr>
              <w:jc w:val="left"/>
              <w:rPr>
                <w:rFonts w:ascii="仿宋" w:hAnsi="仿宋" w:eastAsia="仿宋"/>
                <w:color w:val="auto"/>
                <w:sz w:val="22"/>
                <w:szCs w:val="22"/>
                <w:highlight w:val="none"/>
              </w:rPr>
            </w:pPr>
            <w:r>
              <w:rPr>
                <w:rFonts w:hint="eastAsia" w:ascii="仿宋" w:hAnsi="仿宋" w:eastAsia="仿宋"/>
                <w:color w:val="auto"/>
                <w:sz w:val="22"/>
                <w:szCs w:val="22"/>
                <w:highlight w:val="none"/>
                <w:lang w:eastAsia="zh-CN"/>
              </w:rPr>
              <w:t>（</w:t>
            </w:r>
            <w:r>
              <w:rPr>
                <w:rFonts w:hint="eastAsia" w:ascii="仿宋" w:hAnsi="仿宋" w:eastAsia="仿宋"/>
                <w:color w:val="auto"/>
                <w:sz w:val="22"/>
                <w:szCs w:val="22"/>
                <w:highlight w:val="none"/>
                <w:lang w:val="en-US" w:eastAsia="zh-CN"/>
              </w:rPr>
              <w:t>4</w:t>
            </w:r>
            <w:r>
              <w:rPr>
                <w:rFonts w:hint="eastAsia" w:ascii="仿宋" w:hAnsi="仿宋" w:eastAsia="仿宋"/>
                <w:color w:val="auto"/>
                <w:sz w:val="22"/>
                <w:szCs w:val="22"/>
                <w:highlight w:val="none"/>
                <w:lang w:eastAsia="zh-CN"/>
              </w:rPr>
              <w:t>）</w:t>
            </w:r>
            <w:r>
              <w:rPr>
                <w:rFonts w:hint="eastAsia" w:ascii="仿宋" w:hAnsi="仿宋" w:eastAsia="仿宋"/>
                <w:color w:val="auto"/>
                <w:sz w:val="22"/>
                <w:szCs w:val="22"/>
                <w:highlight w:val="none"/>
              </w:rPr>
              <w:t>证明材料提供不全或无法证明的视为不符合政策功能的评标价格扣除要求，将不予评标价格的扣除。</w:t>
            </w:r>
          </w:p>
        </w:tc>
      </w:tr>
    </w:tbl>
    <w:p>
      <w:pPr>
        <w:spacing w:after="156" w:afterLines="50"/>
        <w:rPr>
          <w:rFonts w:hint="eastAsia" w:ascii="仿宋" w:hAnsi="仿宋" w:eastAsia="仿宋" w:cs="宋体"/>
          <w:color w:val="auto"/>
          <w:sz w:val="24"/>
          <w:highlight w:val="none"/>
        </w:rPr>
      </w:pPr>
      <w:r>
        <w:rPr>
          <w:rFonts w:hint="eastAsia" w:ascii="仿宋" w:hAnsi="仿宋" w:eastAsia="仿宋" w:cs="宋体"/>
          <w:color w:val="auto"/>
          <w:sz w:val="24"/>
          <w:highlight w:val="none"/>
        </w:rPr>
        <w:t>商务技术评分标准附表</w:t>
      </w:r>
    </w:p>
    <w:tbl>
      <w:tblPr>
        <w:tblStyle w:val="57"/>
        <w:tblW w:w="9647" w:type="dxa"/>
        <w:jc w:val="center"/>
        <w:tblLayout w:type="fixed"/>
        <w:tblCellMar>
          <w:top w:w="0" w:type="dxa"/>
          <w:left w:w="108" w:type="dxa"/>
          <w:bottom w:w="0" w:type="dxa"/>
          <w:right w:w="108" w:type="dxa"/>
        </w:tblCellMar>
      </w:tblPr>
      <w:tblGrid>
        <w:gridCol w:w="723"/>
        <w:gridCol w:w="1311"/>
        <w:gridCol w:w="936"/>
        <w:gridCol w:w="5488"/>
        <w:gridCol w:w="1189"/>
      </w:tblGrid>
      <w:tr>
        <w:tblPrEx>
          <w:tblCellMar>
            <w:top w:w="0" w:type="dxa"/>
            <w:left w:w="108" w:type="dxa"/>
            <w:bottom w:w="0" w:type="dxa"/>
            <w:right w:w="108" w:type="dxa"/>
          </w:tblCellMar>
        </w:tblPrEx>
        <w:trPr>
          <w:trHeight w:val="90"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exact"/>
              <w:jc w:val="center"/>
              <w:rPr>
                <w:rFonts w:ascii="仿宋" w:hAnsi="仿宋" w:eastAsia="仿宋" w:cs="宋体"/>
                <w:color w:val="auto"/>
                <w:sz w:val="22"/>
                <w:highlight w:val="none"/>
              </w:rPr>
            </w:pPr>
            <w:r>
              <w:rPr>
                <w:rFonts w:hint="eastAsia" w:ascii="仿宋" w:hAnsi="仿宋" w:eastAsia="仿宋" w:cs="宋体"/>
                <w:color w:val="auto"/>
                <w:sz w:val="22"/>
                <w:highlight w:val="none"/>
              </w:rPr>
              <w:t>序号</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exact"/>
              <w:jc w:val="center"/>
              <w:rPr>
                <w:rFonts w:ascii="仿宋" w:hAnsi="仿宋" w:eastAsia="仿宋" w:cs="宋体"/>
                <w:color w:val="auto"/>
                <w:sz w:val="22"/>
                <w:highlight w:val="none"/>
              </w:rPr>
            </w:pPr>
            <w:r>
              <w:rPr>
                <w:rFonts w:hint="eastAsia" w:ascii="仿宋" w:hAnsi="仿宋" w:eastAsia="仿宋" w:cs="宋体"/>
                <w:color w:val="auto"/>
                <w:sz w:val="22"/>
                <w:highlight w:val="none"/>
              </w:rPr>
              <w:t>评审内容</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exact"/>
              <w:jc w:val="center"/>
              <w:rPr>
                <w:rFonts w:ascii="仿宋" w:hAnsi="仿宋" w:eastAsia="仿宋" w:cs="宋体"/>
                <w:color w:val="auto"/>
                <w:sz w:val="22"/>
                <w:highlight w:val="none"/>
              </w:rPr>
            </w:pPr>
            <w:r>
              <w:rPr>
                <w:rFonts w:hint="eastAsia" w:ascii="仿宋" w:hAnsi="仿宋" w:eastAsia="仿宋" w:cs="宋体"/>
                <w:color w:val="auto"/>
                <w:sz w:val="22"/>
                <w:highlight w:val="none"/>
              </w:rPr>
              <w:t>分值</w:t>
            </w:r>
          </w:p>
        </w:tc>
        <w:tc>
          <w:tcPr>
            <w:tcW w:w="548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exact"/>
              <w:jc w:val="center"/>
              <w:rPr>
                <w:rFonts w:ascii="仿宋" w:hAnsi="仿宋" w:eastAsia="仿宋" w:cs="宋体"/>
                <w:color w:val="auto"/>
                <w:sz w:val="22"/>
                <w:highlight w:val="none"/>
              </w:rPr>
            </w:pPr>
            <w:r>
              <w:rPr>
                <w:rFonts w:hint="eastAsia" w:ascii="仿宋" w:hAnsi="仿宋" w:eastAsia="仿宋" w:cs="宋体"/>
                <w:color w:val="auto"/>
                <w:sz w:val="22"/>
                <w:highlight w:val="none"/>
              </w:rPr>
              <w:t>评分标准</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exact"/>
              <w:jc w:val="center"/>
              <w:rPr>
                <w:rFonts w:ascii="仿宋" w:hAnsi="仿宋" w:eastAsia="仿宋" w:cs="宋体"/>
                <w:color w:val="auto"/>
                <w:sz w:val="22"/>
                <w:highlight w:val="none"/>
              </w:rPr>
            </w:pPr>
            <w:r>
              <w:rPr>
                <w:rFonts w:hint="eastAsia" w:ascii="仿宋" w:hAnsi="仿宋" w:eastAsia="仿宋" w:cs="宋体"/>
                <w:color w:val="auto"/>
                <w:sz w:val="22"/>
                <w:highlight w:val="none"/>
              </w:rPr>
              <w:t>备注</w:t>
            </w:r>
          </w:p>
        </w:tc>
      </w:tr>
      <w:tr>
        <w:tblPrEx>
          <w:tblCellMar>
            <w:top w:w="0" w:type="dxa"/>
            <w:left w:w="108" w:type="dxa"/>
            <w:bottom w:w="0" w:type="dxa"/>
            <w:right w:w="108" w:type="dxa"/>
          </w:tblCellMar>
        </w:tblPrEx>
        <w:trPr>
          <w:trHeight w:val="109" w:hRule="atLeast"/>
          <w:jc w:val="center"/>
        </w:trPr>
        <w:tc>
          <w:tcPr>
            <w:tcW w:w="723" w:type="dxa"/>
            <w:tcBorders>
              <w:top w:val="single" w:color="000000" w:sz="4" w:space="0"/>
              <w:left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lang w:eastAsia="zh-CN"/>
              </w:rPr>
            </w:pPr>
            <w:r>
              <w:rPr>
                <w:rFonts w:hint="eastAsia" w:ascii="仿宋" w:hAnsi="仿宋" w:eastAsia="仿宋" w:cs="仿宋"/>
                <w:color w:val="auto"/>
                <w:sz w:val="22"/>
                <w:highlight w:val="none"/>
                <w:lang w:val="en-US" w:eastAsia="zh-CN"/>
              </w:rPr>
              <w:t>1</w:t>
            </w:r>
          </w:p>
        </w:tc>
        <w:tc>
          <w:tcPr>
            <w:tcW w:w="1311" w:type="dxa"/>
            <w:tcBorders>
              <w:top w:val="single" w:color="000000" w:sz="4" w:space="0"/>
              <w:left w:val="single" w:color="000000" w:sz="4" w:space="0"/>
              <w:right w:val="single" w:color="000000" w:sz="4" w:space="0"/>
            </w:tcBorders>
            <w:noWrap w:val="0"/>
            <w:vAlign w:val="center"/>
          </w:tcPr>
          <w:p>
            <w:pPr>
              <w:snapToGrid w:val="0"/>
              <w:spacing w:line="360" w:lineRule="exact"/>
              <w:jc w:val="center"/>
              <w:rPr>
                <w:rFonts w:hint="eastAsia" w:ascii="仿宋" w:hAnsi="仿宋" w:eastAsia="仿宋" w:cs="仿宋"/>
                <w:color w:val="auto"/>
                <w:sz w:val="22"/>
                <w:highlight w:val="none"/>
                <w:lang w:eastAsia="zh-CN"/>
              </w:rPr>
            </w:pPr>
            <w:r>
              <w:rPr>
                <w:rFonts w:hint="eastAsia" w:ascii="仿宋" w:hAnsi="仿宋" w:eastAsia="仿宋" w:cs="仿宋"/>
                <w:kern w:val="0"/>
                <w:sz w:val="20"/>
                <w:szCs w:val="21"/>
                <w:highlight w:val="none"/>
              </w:rPr>
              <w:t>供应商综合实力</w:t>
            </w:r>
          </w:p>
        </w:tc>
        <w:tc>
          <w:tcPr>
            <w:tcW w:w="936" w:type="dxa"/>
            <w:tcBorders>
              <w:top w:val="single" w:color="000000" w:sz="4" w:space="0"/>
              <w:left w:val="single" w:color="000000" w:sz="4" w:space="0"/>
              <w:right w:val="single" w:color="auto" w:sz="4" w:space="0"/>
            </w:tcBorders>
            <w:noWrap w:val="0"/>
            <w:vAlign w:val="center"/>
          </w:tcPr>
          <w:p>
            <w:pPr>
              <w:snapToGrid w:val="0"/>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kern w:val="0"/>
                <w:sz w:val="21"/>
                <w:szCs w:val="21"/>
                <w:highlight w:val="none"/>
              </w:rPr>
              <w:t>0-</w:t>
            </w:r>
            <w:r>
              <w:rPr>
                <w:rFonts w:hint="eastAsia" w:ascii="仿宋" w:hAnsi="仿宋" w:eastAsia="仿宋" w:cs="仿宋"/>
                <w:kern w:val="0"/>
                <w:sz w:val="21"/>
                <w:szCs w:val="21"/>
                <w:highlight w:val="none"/>
                <w:lang w:val="en-US" w:eastAsia="zh-CN"/>
              </w:rPr>
              <w:t>6分</w:t>
            </w:r>
          </w:p>
        </w:tc>
        <w:tc>
          <w:tcPr>
            <w:tcW w:w="54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kern w:val="0"/>
                <w:sz w:val="20"/>
                <w:szCs w:val="21"/>
                <w:highlight w:val="none"/>
                <w:lang w:eastAsia="zh-CN"/>
              </w:rPr>
            </w:pPr>
            <w:r>
              <w:rPr>
                <w:rFonts w:hint="eastAsia" w:ascii="仿宋" w:hAnsi="仿宋" w:eastAsia="仿宋" w:cs="仿宋"/>
                <w:kern w:val="0"/>
                <w:sz w:val="20"/>
                <w:szCs w:val="21"/>
                <w:highlight w:val="none"/>
                <w:lang w:eastAsia="zh-CN"/>
              </w:rPr>
              <w:t>1、供应商（或制造商）具有有效的质量管理体系认证证书得</w:t>
            </w:r>
            <w:r>
              <w:rPr>
                <w:rFonts w:hint="eastAsia" w:ascii="仿宋" w:hAnsi="仿宋" w:eastAsia="仿宋" w:cs="仿宋"/>
                <w:kern w:val="0"/>
                <w:sz w:val="20"/>
                <w:szCs w:val="21"/>
                <w:highlight w:val="none"/>
                <w:lang w:val="en-US" w:eastAsia="zh-CN"/>
              </w:rPr>
              <w:t>2</w:t>
            </w:r>
            <w:r>
              <w:rPr>
                <w:rFonts w:hint="eastAsia" w:ascii="仿宋" w:hAnsi="仿宋" w:eastAsia="仿宋" w:cs="仿宋"/>
                <w:kern w:val="0"/>
                <w:sz w:val="20"/>
                <w:szCs w:val="21"/>
                <w:highlight w:val="none"/>
                <w:lang w:eastAsia="zh-CN"/>
              </w:rPr>
              <w:t>分；</w:t>
            </w:r>
          </w:p>
          <w:p>
            <w:pPr>
              <w:rPr>
                <w:rFonts w:hint="eastAsia" w:ascii="仿宋" w:hAnsi="仿宋" w:eastAsia="仿宋" w:cs="仿宋"/>
                <w:kern w:val="0"/>
                <w:sz w:val="20"/>
                <w:szCs w:val="21"/>
                <w:highlight w:val="none"/>
                <w:lang w:eastAsia="zh-CN"/>
              </w:rPr>
            </w:pPr>
            <w:r>
              <w:rPr>
                <w:rFonts w:hint="eastAsia" w:ascii="仿宋" w:hAnsi="仿宋" w:eastAsia="仿宋" w:cs="仿宋"/>
                <w:kern w:val="0"/>
                <w:sz w:val="20"/>
                <w:szCs w:val="21"/>
                <w:highlight w:val="none"/>
                <w:lang w:eastAsia="zh-CN"/>
              </w:rPr>
              <w:t>2、供应商（或制造商）具有有效的环境管理体系认证证书得</w:t>
            </w:r>
            <w:r>
              <w:rPr>
                <w:rFonts w:hint="eastAsia" w:ascii="仿宋" w:hAnsi="仿宋" w:eastAsia="仿宋" w:cs="仿宋"/>
                <w:kern w:val="0"/>
                <w:sz w:val="20"/>
                <w:szCs w:val="21"/>
                <w:highlight w:val="none"/>
                <w:lang w:val="en-US" w:eastAsia="zh-CN"/>
              </w:rPr>
              <w:t>2</w:t>
            </w:r>
            <w:r>
              <w:rPr>
                <w:rFonts w:hint="eastAsia" w:ascii="仿宋" w:hAnsi="仿宋" w:eastAsia="仿宋" w:cs="仿宋"/>
                <w:kern w:val="0"/>
                <w:sz w:val="20"/>
                <w:szCs w:val="21"/>
                <w:highlight w:val="none"/>
                <w:lang w:eastAsia="zh-CN"/>
              </w:rPr>
              <w:t>分；</w:t>
            </w:r>
          </w:p>
          <w:p>
            <w:pPr>
              <w:rPr>
                <w:rFonts w:hint="eastAsia" w:ascii="仿宋" w:hAnsi="仿宋" w:eastAsia="仿宋" w:cs="仿宋"/>
                <w:kern w:val="0"/>
                <w:sz w:val="20"/>
                <w:szCs w:val="21"/>
                <w:highlight w:val="none"/>
                <w:lang w:eastAsia="zh-CN"/>
              </w:rPr>
            </w:pPr>
            <w:r>
              <w:rPr>
                <w:rFonts w:hint="eastAsia" w:ascii="仿宋" w:hAnsi="仿宋" w:eastAsia="仿宋" w:cs="仿宋"/>
                <w:kern w:val="0"/>
                <w:sz w:val="20"/>
                <w:szCs w:val="21"/>
                <w:highlight w:val="none"/>
                <w:lang w:eastAsia="zh-CN"/>
              </w:rPr>
              <w:t>3、供应商（或制造商）具有有效的职业健康安全管理体系认证证书得</w:t>
            </w:r>
            <w:r>
              <w:rPr>
                <w:rFonts w:hint="eastAsia" w:ascii="仿宋" w:hAnsi="仿宋" w:eastAsia="仿宋" w:cs="仿宋"/>
                <w:kern w:val="0"/>
                <w:sz w:val="20"/>
                <w:szCs w:val="21"/>
                <w:highlight w:val="none"/>
                <w:lang w:val="en-US" w:eastAsia="zh-CN"/>
              </w:rPr>
              <w:t>2</w:t>
            </w:r>
            <w:r>
              <w:rPr>
                <w:rFonts w:hint="eastAsia" w:ascii="仿宋" w:hAnsi="仿宋" w:eastAsia="仿宋" w:cs="仿宋"/>
                <w:kern w:val="0"/>
                <w:sz w:val="20"/>
                <w:szCs w:val="21"/>
                <w:highlight w:val="none"/>
                <w:lang w:eastAsia="zh-CN"/>
              </w:rPr>
              <w:t>分；</w:t>
            </w:r>
          </w:p>
          <w:p>
            <w:pPr>
              <w:rPr>
                <w:rFonts w:hint="eastAsia" w:ascii="仿宋" w:hAnsi="仿宋" w:eastAsia="仿宋" w:cs="仿宋"/>
                <w:color w:val="auto"/>
                <w:kern w:val="2"/>
                <w:sz w:val="22"/>
                <w:highlight w:val="none"/>
                <w:lang w:val="en-US" w:eastAsia="zh-CN"/>
              </w:rPr>
            </w:pPr>
            <w:r>
              <w:rPr>
                <w:rFonts w:hint="eastAsia" w:ascii="仿宋" w:hAnsi="仿宋" w:eastAsia="仿宋" w:cs="仿宋"/>
                <w:kern w:val="0"/>
                <w:sz w:val="20"/>
                <w:szCs w:val="21"/>
                <w:highlight w:val="none"/>
                <w:lang w:eastAsia="zh-CN"/>
              </w:rPr>
              <w:t>注：</w:t>
            </w:r>
            <w:r>
              <w:rPr>
                <w:rFonts w:hint="eastAsia" w:ascii="仿宋" w:hAnsi="仿宋" w:eastAsia="仿宋" w:cs="仿宋"/>
                <w:kern w:val="0"/>
                <w:sz w:val="20"/>
                <w:szCs w:val="21"/>
                <w:highlight w:val="none"/>
              </w:rPr>
              <w:t>须提供相应认证证书复印件和中国国家认证认可监督管理委员会网站查询截图证明材料加盖公章，否则不得分。</w:t>
            </w:r>
          </w:p>
        </w:tc>
        <w:tc>
          <w:tcPr>
            <w:tcW w:w="1189" w:type="dxa"/>
            <w:tcBorders>
              <w:top w:val="single" w:color="000000" w:sz="4" w:space="0"/>
              <w:left w:val="single" w:color="auto"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lang w:eastAsia="zh-CN"/>
              </w:rPr>
              <w:t>客</w:t>
            </w:r>
            <w:r>
              <w:rPr>
                <w:rFonts w:hint="eastAsia" w:ascii="仿宋" w:hAnsi="仿宋" w:eastAsia="仿宋" w:cs="仿宋"/>
                <w:color w:val="auto"/>
                <w:sz w:val="22"/>
                <w:highlight w:val="none"/>
              </w:rPr>
              <w:t>观分</w:t>
            </w:r>
          </w:p>
        </w:tc>
      </w:tr>
      <w:tr>
        <w:tblPrEx>
          <w:tblCellMar>
            <w:top w:w="0" w:type="dxa"/>
            <w:left w:w="108" w:type="dxa"/>
            <w:bottom w:w="0" w:type="dxa"/>
            <w:right w:w="108" w:type="dxa"/>
          </w:tblCellMar>
        </w:tblPrEx>
        <w:trPr>
          <w:trHeight w:val="109" w:hRule="atLeast"/>
          <w:jc w:val="center"/>
        </w:trPr>
        <w:tc>
          <w:tcPr>
            <w:tcW w:w="723" w:type="dxa"/>
            <w:tcBorders>
              <w:top w:val="single" w:color="000000" w:sz="4" w:space="0"/>
              <w:left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2</w:t>
            </w:r>
          </w:p>
        </w:tc>
        <w:tc>
          <w:tcPr>
            <w:tcW w:w="1311" w:type="dxa"/>
            <w:tcBorders>
              <w:top w:val="single" w:color="000000" w:sz="4" w:space="0"/>
              <w:left w:val="single" w:color="000000" w:sz="4" w:space="0"/>
              <w:right w:val="single" w:color="000000" w:sz="4" w:space="0"/>
            </w:tcBorders>
            <w:noWrap w:val="0"/>
            <w:vAlign w:val="center"/>
          </w:tcPr>
          <w:p>
            <w:pPr>
              <w:spacing w:line="360" w:lineRule="exact"/>
              <w:jc w:val="center"/>
              <w:rPr>
                <w:rFonts w:hint="eastAsia" w:ascii="仿宋" w:hAnsi="仿宋" w:eastAsia="仿宋" w:cs="仿宋"/>
                <w:kern w:val="0"/>
                <w:sz w:val="20"/>
                <w:szCs w:val="21"/>
                <w:highlight w:val="none"/>
              </w:rPr>
            </w:pPr>
            <w:r>
              <w:rPr>
                <w:rFonts w:hint="eastAsia" w:ascii="仿宋" w:hAnsi="仿宋" w:eastAsia="仿宋" w:cs="仿宋"/>
                <w:highlight w:val="none"/>
              </w:rPr>
              <w:t>企业业绩</w:t>
            </w:r>
          </w:p>
        </w:tc>
        <w:tc>
          <w:tcPr>
            <w:tcW w:w="936" w:type="dxa"/>
            <w:tcBorders>
              <w:top w:val="single" w:color="000000" w:sz="4" w:space="0"/>
              <w:left w:val="single" w:color="000000" w:sz="4" w:space="0"/>
              <w:right w:val="single" w:color="auto" w:sz="4" w:space="0"/>
            </w:tcBorders>
            <w:noWrap w:val="0"/>
            <w:vAlign w:val="center"/>
          </w:tcPr>
          <w:p>
            <w:pPr>
              <w:spacing w:line="360" w:lineRule="exact"/>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0-</w:t>
            </w:r>
            <w:r>
              <w:rPr>
                <w:rFonts w:hint="eastAsia" w:ascii="仿宋" w:hAnsi="仿宋" w:eastAsia="仿宋" w:cs="仿宋"/>
                <w:sz w:val="21"/>
                <w:szCs w:val="21"/>
                <w:highlight w:val="none"/>
              </w:rPr>
              <w:t>3分</w:t>
            </w:r>
          </w:p>
        </w:tc>
        <w:tc>
          <w:tcPr>
            <w:tcW w:w="54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hint="eastAsia" w:ascii="仿宋" w:hAnsi="仿宋" w:eastAsia="仿宋" w:cs="仿宋"/>
                <w:kern w:val="0"/>
                <w:sz w:val="20"/>
                <w:szCs w:val="21"/>
                <w:highlight w:val="none"/>
                <w:lang w:eastAsia="zh-CN"/>
              </w:rPr>
            </w:pPr>
            <w:r>
              <w:rPr>
                <w:rFonts w:hint="eastAsia" w:ascii="仿宋" w:hAnsi="仿宋" w:eastAsia="仿宋" w:cs="仿宋"/>
                <w:highlight w:val="none"/>
              </w:rPr>
              <w:t>所投产品业绩应根据采购文件中的要求，</w:t>
            </w:r>
            <w:r>
              <w:rPr>
                <w:rFonts w:hint="eastAsia" w:ascii="仿宋" w:hAnsi="仿宋" w:eastAsia="仿宋" w:cs="仿宋"/>
                <w:kern w:val="0"/>
                <w:sz w:val="20"/>
                <w:szCs w:val="21"/>
                <w:highlight w:val="none"/>
                <w:lang w:eastAsia="zh-CN"/>
              </w:rPr>
              <w:t>供应商（或制造商）</w:t>
            </w:r>
            <w:r>
              <w:rPr>
                <w:rFonts w:hint="eastAsia" w:ascii="仿宋" w:hAnsi="仿宋" w:eastAsia="仿宋" w:cs="仿宋"/>
                <w:highlight w:val="none"/>
              </w:rPr>
              <w:t>提供近</w:t>
            </w:r>
            <w:r>
              <w:rPr>
                <w:rFonts w:hint="eastAsia" w:ascii="仿宋" w:hAnsi="仿宋" w:eastAsia="仿宋" w:cs="仿宋"/>
                <w:highlight w:val="none"/>
                <w:lang w:val="en-US" w:eastAsia="zh-CN"/>
              </w:rPr>
              <w:t>3</w:t>
            </w:r>
            <w:r>
              <w:rPr>
                <w:rFonts w:hint="eastAsia" w:ascii="仿宋" w:hAnsi="仿宋" w:eastAsia="仿宋" w:cs="仿宋"/>
                <w:highlight w:val="none"/>
              </w:rPr>
              <w:t>年以来（2021年1月1日至今）类似产品的项目业绩，每个项目需要提供中标通知书/成交通知书及合同等证明材料。每提供一项得1分，满分3分。</w:t>
            </w:r>
          </w:p>
        </w:tc>
        <w:tc>
          <w:tcPr>
            <w:tcW w:w="1189" w:type="dxa"/>
            <w:tcBorders>
              <w:top w:val="single" w:color="000000" w:sz="4" w:space="0"/>
              <w:left w:val="single" w:color="auto"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lang w:eastAsia="zh-CN"/>
              </w:rPr>
            </w:pPr>
            <w:r>
              <w:rPr>
                <w:rFonts w:hint="eastAsia" w:ascii="仿宋" w:hAnsi="仿宋" w:eastAsia="仿宋" w:cs="仿宋"/>
                <w:color w:val="auto"/>
                <w:sz w:val="22"/>
                <w:highlight w:val="none"/>
                <w:lang w:eastAsia="zh-CN"/>
              </w:rPr>
              <w:t>客</w:t>
            </w:r>
            <w:r>
              <w:rPr>
                <w:rFonts w:hint="eastAsia" w:ascii="仿宋" w:hAnsi="仿宋" w:eastAsia="仿宋" w:cs="仿宋"/>
                <w:color w:val="auto"/>
                <w:sz w:val="22"/>
                <w:highlight w:val="none"/>
              </w:rPr>
              <w:t>观分</w:t>
            </w:r>
          </w:p>
        </w:tc>
      </w:tr>
      <w:tr>
        <w:tblPrEx>
          <w:tblCellMar>
            <w:top w:w="0" w:type="dxa"/>
            <w:left w:w="108" w:type="dxa"/>
            <w:bottom w:w="0" w:type="dxa"/>
            <w:right w:w="108" w:type="dxa"/>
          </w:tblCellMar>
        </w:tblPrEx>
        <w:trPr>
          <w:trHeight w:val="90" w:hRule="atLeast"/>
          <w:jc w:val="center"/>
        </w:trPr>
        <w:tc>
          <w:tcPr>
            <w:tcW w:w="723" w:type="dxa"/>
            <w:tcBorders>
              <w:top w:val="single" w:color="000000" w:sz="4" w:space="0"/>
              <w:left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lang w:eastAsia="zh-CN"/>
              </w:rPr>
            </w:pPr>
            <w:r>
              <w:rPr>
                <w:rFonts w:hint="eastAsia" w:ascii="仿宋" w:hAnsi="仿宋" w:eastAsia="仿宋" w:cs="仿宋"/>
                <w:color w:val="auto"/>
                <w:sz w:val="22"/>
                <w:highlight w:val="none"/>
                <w:lang w:val="en-US" w:eastAsia="zh-CN"/>
              </w:rPr>
              <w:t>3</w:t>
            </w:r>
          </w:p>
        </w:tc>
        <w:tc>
          <w:tcPr>
            <w:tcW w:w="1311" w:type="dxa"/>
            <w:tcBorders>
              <w:top w:val="single" w:color="000000" w:sz="4" w:space="0"/>
              <w:left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rPr>
            </w:pPr>
            <w:r>
              <w:rPr>
                <w:rFonts w:hint="eastAsia" w:ascii="仿宋" w:hAnsi="仿宋" w:eastAsia="仿宋" w:cs="仿宋"/>
                <w:kern w:val="0"/>
                <w:sz w:val="20"/>
                <w:szCs w:val="21"/>
                <w:highlight w:val="none"/>
              </w:rPr>
              <w:t>技术指标响应程度</w:t>
            </w:r>
          </w:p>
        </w:tc>
        <w:tc>
          <w:tcPr>
            <w:tcW w:w="936" w:type="dxa"/>
            <w:tcBorders>
              <w:top w:val="single" w:color="000000" w:sz="4" w:space="0"/>
              <w:left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sz w:val="21"/>
                <w:szCs w:val="21"/>
                <w:highlight w:val="none"/>
                <w:lang w:eastAsia="zh-CN"/>
              </w:rPr>
            </w:pPr>
            <w:r>
              <w:rPr>
                <w:rFonts w:hint="eastAsia" w:ascii="仿宋" w:hAnsi="仿宋" w:eastAsia="仿宋" w:cs="仿宋"/>
                <w:kern w:val="0"/>
                <w:sz w:val="21"/>
                <w:szCs w:val="21"/>
                <w:highlight w:val="none"/>
              </w:rPr>
              <w:t>0-</w:t>
            </w:r>
            <w:r>
              <w:rPr>
                <w:rFonts w:hint="eastAsia" w:ascii="仿宋" w:hAnsi="仿宋" w:eastAsia="仿宋" w:cs="仿宋"/>
                <w:kern w:val="0"/>
                <w:sz w:val="21"/>
                <w:szCs w:val="21"/>
                <w:highlight w:val="none"/>
                <w:lang w:val="en-US" w:eastAsia="zh-CN"/>
              </w:rPr>
              <w:t>30</w:t>
            </w:r>
            <w:r>
              <w:rPr>
                <w:rFonts w:hint="eastAsia" w:ascii="仿宋" w:hAnsi="仿宋" w:eastAsia="仿宋" w:cs="仿宋"/>
                <w:sz w:val="21"/>
                <w:szCs w:val="21"/>
                <w:highlight w:val="none"/>
              </w:rPr>
              <w:t>分</w:t>
            </w:r>
          </w:p>
        </w:tc>
        <w:tc>
          <w:tcPr>
            <w:tcW w:w="5488" w:type="dxa"/>
            <w:tcBorders>
              <w:top w:val="single" w:color="auto" w:sz="4" w:space="0"/>
              <w:left w:val="single" w:color="000000" w:sz="4" w:space="0"/>
              <w:bottom w:val="single" w:color="000000" w:sz="4" w:space="0"/>
              <w:right w:val="single" w:color="000000" w:sz="4" w:space="0"/>
            </w:tcBorders>
            <w:noWrap w:val="0"/>
            <w:vAlign w:val="center"/>
          </w:tcPr>
          <w:p>
            <w:pPr>
              <w:pStyle w:val="32"/>
              <w:snapToGrid w:val="0"/>
              <w:spacing w:line="32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根据投标供应商的参数应答情况进行评分，评分要求如下：</w:t>
            </w:r>
          </w:p>
          <w:p>
            <w:pPr>
              <w:pStyle w:val="32"/>
              <w:snapToGrid w:val="0"/>
              <w:spacing w:line="32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技术参数中带“★”条款为关键、重要参数技术指标，提供参数中所要求的有效检验（检测）报告证明材料，未提供该项证明材料或每负偏离一项扣2分；其他非关键、重要参数技术指标每负偏离一项扣1分，扣完为止。</w:t>
            </w:r>
          </w:p>
        </w:tc>
        <w:tc>
          <w:tcPr>
            <w:tcW w:w="1189" w:type="dxa"/>
            <w:tcBorders>
              <w:top w:val="single" w:color="000000" w:sz="4" w:space="0"/>
              <w:left w:val="single" w:color="000000" w:sz="4" w:space="0"/>
              <w:right w:val="single" w:color="000000" w:sz="4" w:space="0"/>
            </w:tcBorders>
            <w:noWrap w:val="0"/>
            <w:vAlign w:val="center"/>
          </w:tcPr>
          <w:p>
            <w:pPr>
              <w:snapToGrid w:val="0"/>
              <w:spacing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lang w:eastAsia="zh-CN"/>
              </w:rPr>
              <w:t>客</w:t>
            </w:r>
            <w:r>
              <w:rPr>
                <w:rFonts w:hint="eastAsia" w:ascii="仿宋" w:hAnsi="仿宋" w:eastAsia="仿宋" w:cs="仿宋"/>
                <w:color w:val="auto"/>
                <w:sz w:val="22"/>
                <w:highlight w:val="none"/>
              </w:rPr>
              <w:t>观分</w:t>
            </w:r>
          </w:p>
        </w:tc>
      </w:tr>
      <w:tr>
        <w:tblPrEx>
          <w:tblCellMar>
            <w:top w:w="0" w:type="dxa"/>
            <w:left w:w="108" w:type="dxa"/>
            <w:bottom w:w="0" w:type="dxa"/>
            <w:right w:w="108" w:type="dxa"/>
          </w:tblCellMar>
        </w:tblPrEx>
        <w:trPr>
          <w:trHeight w:val="680" w:hRule="atLeast"/>
          <w:jc w:val="center"/>
        </w:trPr>
        <w:tc>
          <w:tcPr>
            <w:tcW w:w="723" w:type="dxa"/>
            <w:tcBorders>
              <w:top w:val="single" w:color="000000" w:sz="4" w:space="0"/>
              <w:left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lang w:eastAsia="zh-CN"/>
              </w:rPr>
            </w:pPr>
            <w:r>
              <w:rPr>
                <w:rFonts w:hint="eastAsia" w:ascii="仿宋" w:hAnsi="仿宋" w:eastAsia="仿宋" w:cs="仿宋"/>
                <w:color w:val="auto"/>
                <w:sz w:val="22"/>
                <w:highlight w:val="none"/>
                <w:lang w:val="en-US" w:eastAsia="zh-CN"/>
              </w:rPr>
              <w:t>4</w:t>
            </w:r>
          </w:p>
        </w:tc>
        <w:tc>
          <w:tcPr>
            <w:tcW w:w="1311" w:type="dxa"/>
            <w:tcBorders>
              <w:top w:val="single" w:color="000000" w:sz="4" w:space="0"/>
              <w:left w:val="single" w:color="000000" w:sz="4" w:space="0"/>
              <w:right w:val="single" w:color="000000" w:sz="4" w:space="0"/>
            </w:tcBorders>
            <w:noWrap w:val="0"/>
            <w:vAlign w:val="center"/>
          </w:tcPr>
          <w:p>
            <w:pPr>
              <w:pStyle w:val="32"/>
              <w:snapToGrid w:val="0"/>
              <w:spacing w:line="3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highlight w:val="none"/>
              </w:rPr>
              <w:t>质量保证方案</w:t>
            </w:r>
          </w:p>
        </w:tc>
        <w:tc>
          <w:tcPr>
            <w:tcW w:w="936" w:type="dxa"/>
            <w:tcBorders>
              <w:top w:val="single" w:color="000000" w:sz="4" w:space="0"/>
              <w:left w:val="single" w:color="000000" w:sz="4" w:space="0"/>
              <w:right w:val="single" w:color="000000" w:sz="4" w:space="0"/>
            </w:tcBorders>
            <w:noWrap w:val="0"/>
            <w:vAlign w:val="center"/>
          </w:tcPr>
          <w:p>
            <w:pPr>
              <w:tabs>
                <w:tab w:val="left" w:pos="825"/>
              </w:tabs>
              <w:spacing w:line="34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kern w:val="0"/>
                <w:sz w:val="21"/>
                <w:szCs w:val="21"/>
                <w:highlight w:val="none"/>
              </w:rPr>
              <w:t>0-</w:t>
            </w:r>
            <w:r>
              <w:rPr>
                <w:rFonts w:hint="eastAsia" w:ascii="仿宋" w:hAnsi="仿宋" w:eastAsia="仿宋" w:cs="仿宋"/>
                <w:sz w:val="21"/>
                <w:szCs w:val="21"/>
                <w:highlight w:val="none"/>
                <w:lang w:val="en-US" w:eastAsia="zh-CN"/>
              </w:rPr>
              <w:t>10分</w:t>
            </w:r>
          </w:p>
        </w:tc>
        <w:tc>
          <w:tcPr>
            <w:tcW w:w="5488" w:type="dxa"/>
            <w:tcBorders>
              <w:top w:val="single" w:color="000000" w:sz="4" w:space="0"/>
              <w:left w:val="single" w:color="000000" w:sz="4" w:space="0"/>
              <w:bottom w:val="single" w:color="000000" w:sz="4" w:space="0"/>
              <w:right w:val="single" w:color="000000" w:sz="4" w:space="0"/>
            </w:tcBorders>
            <w:noWrap w:val="0"/>
            <w:vAlign w:val="center"/>
          </w:tcPr>
          <w:p>
            <w:pPr>
              <w:pStyle w:val="22"/>
              <w:rPr>
                <w:rFonts w:hint="eastAsia" w:ascii="仿宋" w:hAnsi="仿宋" w:eastAsia="仿宋" w:cs="仿宋"/>
                <w:color w:val="auto"/>
                <w:highlight w:val="none"/>
                <w:lang w:val="en-US" w:eastAsia="zh-CN"/>
              </w:rPr>
            </w:pPr>
            <w:r>
              <w:rPr>
                <w:rFonts w:hint="eastAsia" w:ascii="仿宋" w:hAnsi="仿宋" w:eastAsia="仿宋" w:cs="仿宋"/>
                <w:highlight w:val="none"/>
              </w:rPr>
              <w:t>内</w:t>
            </w:r>
            <w:r>
              <w:rPr>
                <w:rFonts w:hint="eastAsia" w:ascii="仿宋" w:hAnsi="仿宋" w:eastAsia="仿宋" w:cs="仿宋"/>
                <w:kern w:val="0"/>
                <w:sz w:val="20"/>
                <w:szCs w:val="21"/>
                <w:highlight w:val="none"/>
              </w:rPr>
              <w:t>容包含所投产品的生产、存储和运输等方面质量安全保证，产品及服务能保证在质保期限内满足采购人要求。方案详细完整，科学合理，针对性和可行性强，得</w:t>
            </w:r>
            <w:r>
              <w:rPr>
                <w:rFonts w:hint="eastAsia" w:ascii="仿宋" w:hAnsi="仿宋" w:eastAsia="仿宋" w:cs="仿宋"/>
                <w:kern w:val="0"/>
                <w:sz w:val="20"/>
                <w:szCs w:val="21"/>
                <w:highlight w:val="none"/>
                <w:lang w:val="en-US" w:eastAsia="zh-CN"/>
              </w:rPr>
              <w:t>7-10</w:t>
            </w:r>
            <w:r>
              <w:rPr>
                <w:rFonts w:hint="eastAsia" w:ascii="仿宋" w:hAnsi="仿宋" w:eastAsia="仿宋" w:cs="仿宋"/>
                <w:kern w:val="0"/>
                <w:sz w:val="20"/>
                <w:szCs w:val="21"/>
                <w:highlight w:val="none"/>
              </w:rPr>
              <w:t>分；方案详细完整科学合理，针对性和可行性较强，得</w:t>
            </w:r>
            <w:r>
              <w:rPr>
                <w:rFonts w:hint="eastAsia" w:ascii="仿宋" w:hAnsi="仿宋" w:eastAsia="仿宋" w:cs="仿宋"/>
                <w:kern w:val="0"/>
                <w:sz w:val="20"/>
                <w:szCs w:val="21"/>
                <w:highlight w:val="none"/>
                <w:lang w:val="en-US" w:eastAsia="zh-CN"/>
              </w:rPr>
              <w:t>4-7</w:t>
            </w:r>
            <w:r>
              <w:rPr>
                <w:rFonts w:hint="eastAsia" w:ascii="仿宋" w:hAnsi="仿宋" w:eastAsia="仿宋" w:cs="仿宋"/>
                <w:kern w:val="0"/>
                <w:sz w:val="20"/>
                <w:szCs w:val="21"/>
                <w:highlight w:val="none"/>
              </w:rPr>
              <w:t>分；方案基本完整，基本可行，得</w:t>
            </w:r>
            <w:r>
              <w:rPr>
                <w:rFonts w:hint="eastAsia" w:ascii="仿宋" w:hAnsi="仿宋" w:eastAsia="仿宋" w:cs="仿宋"/>
                <w:kern w:val="0"/>
                <w:sz w:val="20"/>
                <w:szCs w:val="21"/>
                <w:highlight w:val="none"/>
                <w:lang w:val="en-US" w:eastAsia="zh-CN"/>
              </w:rPr>
              <w:t>0-4</w:t>
            </w:r>
            <w:r>
              <w:rPr>
                <w:rFonts w:hint="eastAsia" w:ascii="仿宋" w:hAnsi="仿宋" w:eastAsia="仿宋" w:cs="仿宋"/>
                <w:kern w:val="0"/>
                <w:sz w:val="20"/>
                <w:szCs w:val="21"/>
                <w:highlight w:val="none"/>
              </w:rPr>
              <w:t>分；方案较差或未提供的不得分。</w:t>
            </w:r>
          </w:p>
        </w:tc>
        <w:tc>
          <w:tcPr>
            <w:tcW w:w="1189" w:type="dxa"/>
            <w:tcBorders>
              <w:top w:val="single" w:color="000000" w:sz="4" w:space="0"/>
              <w:left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主观分</w:t>
            </w:r>
          </w:p>
        </w:tc>
      </w:tr>
      <w:tr>
        <w:tblPrEx>
          <w:tblCellMar>
            <w:top w:w="0" w:type="dxa"/>
            <w:left w:w="108" w:type="dxa"/>
            <w:bottom w:w="0" w:type="dxa"/>
            <w:right w:w="108" w:type="dxa"/>
          </w:tblCellMar>
        </w:tblPrEx>
        <w:trPr>
          <w:trHeight w:val="1080" w:hRule="atLeast"/>
          <w:jc w:val="center"/>
        </w:trPr>
        <w:tc>
          <w:tcPr>
            <w:tcW w:w="723" w:type="dxa"/>
            <w:tcBorders>
              <w:top w:val="single" w:color="000000" w:sz="4" w:space="0"/>
              <w:left w:val="single" w:color="000000" w:sz="4" w:space="0"/>
              <w:right w:val="single" w:color="000000" w:sz="4" w:space="0"/>
            </w:tcBorders>
            <w:noWrap w:val="0"/>
            <w:vAlign w:val="center"/>
          </w:tcPr>
          <w:p>
            <w:pPr>
              <w:pStyle w:val="23"/>
              <w:spacing w:after="0" w:line="360" w:lineRule="exact"/>
              <w:ind w:firstLine="0" w:firstLineChars="0"/>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5</w:t>
            </w:r>
          </w:p>
        </w:tc>
        <w:tc>
          <w:tcPr>
            <w:tcW w:w="1311" w:type="dxa"/>
            <w:tcBorders>
              <w:top w:val="single" w:color="000000" w:sz="4" w:space="0"/>
              <w:left w:val="single" w:color="000000" w:sz="4" w:space="0"/>
              <w:right w:val="single" w:color="000000" w:sz="4" w:space="0"/>
            </w:tcBorders>
            <w:noWrap w:val="0"/>
            <w:vAlign w:val="center"/>
          </w:tcPr>
          <w:p>
            <w:pPr>
              <w:pStyle w:val="32"/>
              <w:snapToGrid w:val="0"/>
              <w:spacing w:line="320" w:lineRule="exact"/>
              <w:jc w:val="center"/>
              <w:rPr>
                <w:rFonts w:hint="eastAsia" w:ascii="仿宋" w:hAnsi="仿宋" w:eastAsia="仿宋" w:cs="仿宋"/>
                <w:color w:val="auto"/>
                <w:sz w:val="22"/>
                <w:highlight w:val="none"/>
              </w:rPr>
            </w:pPr>
            <w:r>
              <w:rPr>
                <w:rFonts w:hint="eastAsia" w:ascii="仿宋" w:hAnsi="仿宋" w:eastAsia="仿宋" w:cs="仿宋"/>
                <w:highlight w:val="none"/>
              </w:rPr>
              <w:t>供货方案</w:t>
            </w:r>
          </w:p>
        </w:tc>
        <w:tc>
          <w:tcPr>
            <w:tcW w:w="936" w:type="dxa"/>
            <w:tcBorders>
              <w:top w:val="single" w:color="000000" w:sz="4" w:space="0"/>
              <w:left w:val="single" w:color="000000" w:sz="4" w:space="0"/>
              <w:right w:val="single" w:color="000000" w:sz="4" w:space="0"/>
            </w:tcBorders>
            <w:noWrap w:val="0"/>
            <w:vAlign w:val="center"/>
          </w:tcPr>
          <w:p>
            <w:pPr>
              <w:tabs>
                <w:tab w:val="left" w:pos="825"/>
              </w:tabs>
              <w:spacing w:line="34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kern w:val="0"/>
                <w:sz w:val="21"/>
                <w:szCs w:val="21"/>
                <w:highlight w:val="none"/>
              </w:rPr>
              <w:t>0-</w:t>
            </w:r>
            <w:r>
              <w:rPr>
                <w:rFonts w:hint="eastAsia" w:ascii="仿宋" w:hAnsi="仿宋" w:eastAsia="仿宋" w:cs="仿宋"/>
                <w:sz w:val="21"/>
                <w:szCs w:val="21"/>
                <w:highlight w:val="none"/>
                <w:lang w:val="en-US" w:eastAsia="zh-CN"/>
              </w:rPr>
              <w:t>9分</w:t>
            </w:r>
          </w:p>
        </w:tc>
        <w:tc>
          <w:tcPr>
            <w:tcW w:w="5488" w:type="dxa"/>
            <w:tcBorders>
              <w:top w:val="single" w:color="000000" w:sz="4" w:space="0"/>
              <w:left w:val="single" w:color="000000" w:sz="4" w:space="0"/>
              <w:bottom w:val="single" w:color="000000" w:sz="4" w:space="0"/>
              <w:right w:val="single" w:color="000000" w:sz="4" w:space="0"/>
            </w:tcBorders>
            <w:noWrap w:val="0"/>
            <w:vAlign w:val="center"/>
          </w:tcPr>
          <w:p>
            <w:pPr>
              <w:pStyle w:val="22"/>
              <w:jc w:val="left"/>
              <w:rPr>
                <w:rFonts w:hint="eastAsia" w:ascii="仿宋" w:hAnsi="仿宋" w:eastAsia="仿宋" w:cs="仿宋"/>
                <w:color w:val="auto"/>
                <w:sz w:val="22"/>
                <w:highlight w:val="none"/>
              </w:rPr>
            </w:pPr>
            <w:r>
              <w:rPr>
                <w:rFonts w:hint="eastAsia" w:ascii="仿宋" w:hAnsi="仿宋" w:eastAsia="仿宋" w:cs="仿宋"/>
                <w:highlight w:val="none"/>
              </w:rPr>
              <w:t>根据投标供应商提供的供货方案，方案完整详细，可行性、实用性强，得</w:t>
            </w:r>
            <w:r>
              <w:rPr>
                <w:rFonts w:hint="eastAsia" w:ascii="仿宋" w:hAnsi="仿宋" w:eastAsia="仿宋" w:cs="仿宋"/>
                <w:highlight w:val="none"/>
                <w:lang w:val="en-US" w:eastAsia="zh-CN"/>
              </w:rPr>
              <w:t>6-9</w:t>
            </w:r>
            <w:r>
              <w:rPr>
                <w:rFonts w:hint="eastAsia" w:ascii="仿宋" w:hAnsi="仿宋" w:eastAsia="仿宋" w:cs="仿宋"/>
                <w:highlight w:val="none"/>
              </w:rPr>
              <w:t>分；方案较完整详细，可行性、实用性较强，得</w:t>
            </w:r>
            <w:r>
              <w:rPr>
                <w:rFonts w:hint="eastAsia" w:ascii="仿宋" w:hAnsi="仿宋" w:eastAsia="仿宋" w:cs="仿宋"/>
                <w:highlight w:val="none"/>
                <w:lang w:val="en-US" w:eastAsia="zh-CN"/>
              </w:rPr>
              <w:t>3-6</w:t>
            </w:r>
            <w:r>
              <w:rPr>
                <w:rFonts w:hint="eastAsia" w:ascii="仿宋" w:hAnsi="仿宋" w:eastAsia="仿宋" w:cs="仿宋"/>
                <w:highlight w:val="none"/>
              </w:rPr>
              <w:t>分；方案基本完整详细，可行性、实用性有待提高，得</w:t>
            </w:r>
            <w:r>
              <w:rPr>
                <w:rFonts w:hint="eastAsia" w:ascii="仿宋" w:hAnsi="仿宋" w:eastAsia="仿宋" w:cs="仿宋"/>
                <w:highlight w:val="none"/>
                <w:lang w:val="en-US" w:eastAsia="zh-CN"/>
              </w:rPr>
              <w:t>0-3</w:t>
            </w:r>
            <w:r>
              <w:rPr>
                <w:rFonts w:hint="eastAsia" w:ascii="仿宋" w:hAnsi="仿宋" w:eastAsia="仿宋" w:cs="仿宋"/>
                <w:highlight w:val="none"/>
              </w:rPr>
              <w:t>分；方案较差或未提供的不得分</w:t>
            </w:r>
          </w:p>
        </w:tc>
        <w:tc>
          <w:tcPr>
            <w:tcW w:w="1189" w:type="dxa"/>
            <w:tcBorders>
              <w:top w:val="single" w:color="000000" w:sz="4" w:space="0"/>
              <w:left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主观分</w:t>
            </w:r>
          </w:p>
        </w:tc>
      </w:tr>
      <w:tr>
        <w:tblPrEx>
          <w:tblCellMar>
            <w:top w:w="0" w:type="dxa"/>
            <w:left w:w="108" w:type="dxa"/>
            <w:bottom w:w="0" w:type="dxa"/>
            <w:right w:w="108" w:type="dxa"/>
          </w:tblCellMar>
        </w:tblPrEx>
        <w:trPr>
          <w:trHeight w:val="2549" w:hRule="atLeast"/>
          <w:jc w:val="center"/>
        </w:trPr>
        <w:tc>
          <w:tcPr>
            <w:tcW w:w="723" w:type="dxa"/>
            <w:vMerge w:val="restart"/>
            <w:tcBorders>
              <w:top w:val="single" w:color="000000" w:sz="4" w:space="0"/>
              <w:left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lang w:eastAsia="zh-CN"/>
              </w:rPr>
            </w:pPr>
            <w:r>
              <w:rPr>
                <w:rFonts w:hint="eastAsia" w:ascii="仿宋" w:hAnsi="仿宋" w:eastAsia="仿宋" w:cs="仿宋"/>
                <w:color w:val="auto"/>
                <w:sz w:val="22"/>
                <w:highlight w:val="none"/>
                <w:lang w:val="en-US" w:eastAsia="zh-CN"/>
              </w:rPr>
              <w:t>6</w:t>
            </w:r>
          </w:p>
        </w:tc>
        <w:tc>
          <w:tcPr>
            <w:tcW w:w="1311" w:type="dxa"/>
            <w:vMerge w:val="restart"/>
            <w:tcBorders>
              <w:top w:val="single" w:color="000000" w:sz="4" w:space="0"/>
              <w:left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lang w:val="en-US" w:eastAsia="zh-CN"/>
              </w:rPr>
            </w:pPr>
            <w:r>
              <w:rPr>
                <w:rFonts w:hint="eastAsia" w:ascii="仿宋" w:hAnsi="仿宋" w:eastAsia="仿宋" w:cs="仿宋"/>
                <w:highlight w:val="none"/>
              </w:rPr>
              <w:t>售后服务</w:t>
            </w:r>
          </w:p>
        </w:tc>
        <w:tc>
          <w:tcPr>
            <w:tcW w:w="936" w:type="dxa"/>
            <w:vMerge w:val="restart"/>
            <w:tcBorders>
              <w:top w:val="single" w:color="000000" w:sz="4" w:space="0"/>
              <w:left w:val="single" w:color="000000" w:sz="4" w:space="0"/>
              <w:right w:val="single" w:color="000000" w:sz="4" w:space="0"/>
            </w:tcBorders>
            <w:noWrap w:val="0"/>
            <w:vAlign w:val="center"/>
          </w:tcPr>
          <w:p>
            <w:pPr>
              <w:pStyle w:val="999"/>
              <w:adjustRightInd/>
              <w:spacing w:line="28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kern w:val="0"/>
                <w:sz w:val="21"/>
                <w:szCs w:val="21"/>
                <w:highlight w:val="none"/>
              </w:rPr>
              <w:t>0-</w:t>
            </w:r>
            <w:r>
              <w:rPr>
                <w:rFonts w:hint="eastAsia" w:ascii="仿宋" w:hAnsi="仿宋" w:eastAsia="仿宋" w:cs="仿宋"/>
                <w:kern w:val="2"/>
                <w:sz w:val="21"/>
                <w:szCs w:val="21"/>
                <w:highlight w:val="none"/>
                <w:lang w:val="en-US" w:eastAsia="zh-CN" w:bidi="ar-SA"/>
              </w:rPr>
              <w:t>10分</w:t>
            </w:r>
          </w:p>
        </w:tc>
        <w:tc>
          <w:tcPr>
            <w:tcW w:w="5488" w:type="dxa"/>
            <w:tcBorders>
              <w:top w:val="single" w:color="000000" w:sz="4" w:space="0"/>
              <w:left w:val="single" w:color="000000" w:sz="4" w:space="0"/>
              <w:bottom w:val="single" w:color="auto" w:sz="4" w:space="0"/>
              <w:right w:val="single" w:color="000000" w:sz="4" w:space="0"/>
            </w:tcBorders>
            <w:noWrap w:val="0"/>
            <w:vAlign w:val="center"/>
          </w:tcPr>
          <w:p>
            <w:pPr>
              <w:tabs>
                <w:tab w:val="left" w:pos="825"/>
              </w:tabs>
              <w:spacing w:line="340" w:lineRule="exact"/>
              <w:jc w:val="left"/>
              <w:rPr>
                <w:rFonts w:hint="eastAsia" w:ascii="仿宋" w:hAnsi="仿宋" w:eastAsia="仿宋" w:cs="仿宋"/>
                <w:highlight w:val="none"/>
              </w:rPr>
            </w:pPr>
            <w:r>
              <w:rPr>
                <w:rFonts w:hint="eastAsia" w:ascii="仿宋" w:hAnsi="仿宋" w:eastAsia="仿宋" w:cs="仿宋"/>
                <w:highlight w:val="none"/>
              </w:rPr>
              <w:t>根据以下售后服务承诺及服务体系内容齐全、完全满足要求且方案最优的得各小项最高分，否则酌情扣分。</w:t>
            </w:r>
          </w:p>
          <w:p>
            <w:pPr>
              <w:tabs>
                <w:tab w:val="left" w:pos="825"/>
              </w:tabs>
              <w:spacing w:line="340" w:lineRule="exact"/>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1、质保期内维修、维护、技术支持 (0-3分)</w:t>
            </w:r>
          </w:p>
          <w:p>
            <w:pPr>
              <w:tabs>
                <w:tab w:val="left" w:pos="825"/>
              </w:tabs>
              <w:spacing w:line="340" w:lineRule="exact"/>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2、质保期内和质保期后备品备件供应保障 (0-2分)</w:t>
            </w:r>
          </w:p>
          <w:p>
            <w:pPr>
              <w:tabs>
                <w:tab w:val="left" w:pos="825"/>
              </w:tabs>
              <w:spacing w:line="340" w:lineRule="exact"/>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3、制定有完善的售后服务保障体系 (售后服务体系有健全的售后管控制度、完善的退 换货流程、售后服务团队配置等应附详细说明)  (0-3分)</w:t>
            </w:r>
          </w:p>
        </w:tc>
        <w:tc>
          <w:tcPr>
            <w:tcW w:w="1189" w:type="dxa"/>
            <w:tcBorders>
              <w:top w:val="single" w:color="000000" w:sz="4" w:space="0"/>
              <w:left w:val="single" w:color="000000" w:sz="4" w:space="0"/>
              <w:bottom w:val="single" w:color="auto"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主观分</w:t>
            </w:r>
          </w:p>
        </w:tc>
      </w:tr>
      <w:tr>
        <w:tblPrEx>
          <w:tblCellMar>
            <w:top w:w="0" w:type="dxa"/>
            <w:left w:w="108" w:type="dxa"/>
            <w:bottom w:w="0" w:type="dxa"/>
            <w:right w:w="108" w:type="dxa"/>
          </w:tblCellMar>
        </w:tblPrEx>
        <w:trPr>
          <w:trHeight w:val="676" w:hRule="atLeast"/>
          <w:jc w:val="center"/>
        </w:trPr>
        <w:tc>
          <w:tcPr>
            <w:tcW w:w="723" w:type="dxa"/>
            <w:vMerge w:val="continue"/>
            <w:tcBorders>
              <w:left w:val="single" w:color="000000" w:sz="4" w:space="0"/>
              <w:bottom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lang w:val="en-US" w:eastAsia="zh-CN"/>
              </w:rPr>
            </w:pPr>
          </w:p>
        </w:tc>
        <w:tc>
          <w:tcPr>
            <w:tcW w:w="1311" w:type="dxa"/>
            <w:vMerge w:val="continue"/>
            <w:tcBorders>
              <w:left w:val="single" w:color="000000" w:sz="4" w:space="0"/>
              <w:bottom w:val="single" w:color="000000" w:sz="4" w:space="0"/>
              <w:right w:val="single" w:color="000000" w:sz="4" w:space="0"/>
            </w:tcBorders>
            <w:noWrap w:val="0"/>
            <w:vAlign w:val="center"/>
          </w:tcPr>
          <w:p>
            <w:pPr>
              <w:spacing w:line="360" w:lineRule="exact"/>
              <w:jc w:val="center"/>
              <w:rPr>
                <w:rFonts w:hint="eastAsia" w:ascii="仿宋" w:hAnsi="仿宋" w:eastAsia="仿宋" w:cs="仿宋"/>
                <w:highlight w:val="none"/>
              </w:rPr>
            </w:pPr>
          </w:p>
        </w:tc>
        <w:tc>
          <w:tcPr>
            <w:tcW w:w="936" w:type="dxa"/>
            <w:vMerge w:val="continue"/>
            <w:tcBorders>
              <w:left w:val="single" w:color="000000" w:sz="4" w:space="0"/>
              <w:bottom w:val="single" w:color="000000" w:sz="4" w:space="0"/>
              <w:right w:val="single" w:color="000000" w:sz="4" w:space="0"/>
            </w:tcBorders>
            <w:noWrap w:val="0"/>
            <w:vAlign w:val="center"/>
          </w:tcPr>
          <w:p>
            <w:pPr>
              <w:pStyle w:val="999"/>
              <w:adjustRightInd/>
              <w:spacing w:line="280" w:lineRule="exact"/>
              <w:jc w:val="center"/>
              <w:rPr>
                <w:rFonts w:hint="eastAsia" w:ascii="仿宋" w:hAnsi="仿宋" w:eastAsia="仿宋" w:cs="仿宋"/>
                <w:kern w:val="2"/>
                <w:sz w:val="21"/>
                <w:szCs w:val="21"/>
                <w:highlight w:val="none"/>
                <w:lang w:val="en-US" w:eastAsia="zh-CN" w:bidi="ar-SA"/>
              </w:rPr>
            </w:pPr>
          </w:p>
        </w:tc>
        <w:tc>
          <w:tcPr>
            <w:tcW w:w="5488" w:type="dxa"/>
            <w:tcBorders>
              <w:top w:val="single" w:color="auto" w:sz="4" w:space="0"/>
              <w:left w:val="single" w:color="000000" w:sz="4" w:space="0"/>
              <w:bottom w:val="single" w:color="000000" w:sz="4" w:space="0"/>
              <w:right w:val="single" w:color="000000" w:sz="4" w:space="0"/>
            </w:tcBorders>
            <w:noWrap w:val="0"/>
            <w:vAlign w:val="center"/>
          </w:tcPr>
          <w:p>
            <w:pPr>
              <w:tabs>
                <w:tab w:val="left" w:pos="825"/>
              </w:tabs>
              <w:spacing w:line="340" w:lineRule="exact"/>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4、产品质保期满足质保一个的基础上，每增加1年加1分，最高得2分</w:t>
            </w:r>
          </w:p>
        </w:tc>
        <w:tc>
          <w:tcPr>
            <w:tcW w:w="1189"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客观分</w:t>
            </w:r>
          </w:p>
        </w:tc>
      </w:tr>
      <w:tr>
        <w:tblPrEx>
          <w:tblCellMar>
            <w:top w:w="0" w:type="dxa"/>
            <w:left w:w="108" w:type="dxa"/>
            <w:bottom w:w="0" w:type="dxa"/>
            <w:right w:w="108" w:type="dxa"/>
          </w:tblCellMar>
        </w:tblPrEx>
        <w:trPr>
          <w:trHeight w:val="1213"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8</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rPr>
            </w:pPr>
            <w:r>
              <w:rPr>
                <w:rFonts w:hint="eastAsia" w:ascii="仿宋" w:hAnsi="仿宋" w:eastAsia="仿宋" w:cs="仿宋"/>
                <w:highlight w:val="none"/>
              </w:rPr>
              <w:t>政策功能</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kern w:val="0"/>
                <w:sz w:val="21"/>
                <w:szCs w:val="21"/>
                <w:highlight w:val="none"/>
              </w:rPr>
              <w:t>0-</w:t>
            </w:r>
            <w:r>
              <w:rPr>
                <w:rFonts w:hint="eastAsia" w:ascii="仿宋" w:hAnsi="仿宋" w:eastAsia="仿宋" w:cs="仿宋"/>
                <w:sz w:val="21"/>
                <w:szCs w:val="21"/>
                <w:highlight w:val="none"/>
                <w:lang w:val="en-US" w:eastAsia="zh-CN"/>
              </w:rPr>
              <w:t>2分</w:t>
            </w:r>
          </w:p>
        </w:tc>
        <w:tc>
          <w:tcPr>
            <w:tcW w:w="5488" w:type="dxa"/>
            <w:tcBorders>
              <w:top w:val="single" w:color="000000" w:sz="4" w:space="0"/>
              <w:left w:val="single" w:color="000000" w:sz="4" w:space="0"/>
              <w:bottom w:val="single" w:color="000000" w:sz="4" w:space="0"/>
              <w:right w:val="single" w:color="000000" w:sz="4" w:space="0"/>
            </w:tcBorders>
            <w:noWrap w:val="0"/>
            <w:vAlign w:val="center"/>
          </w:tcPr>
          <w:p>
            <w:pPr>
              <w:pStyle w:val="22"/>
              <w:numPr>
                <w:ilvl w:val="0"/>
                <w:numId w:val="0"/>
              </w:numPr>
              <w:spacing w:line="360" w:lineRule="exact"/>
              <w:ind w:leftChars="0"/>
              <w:jc w:val="both"/>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1、投标产品属于品目清单范围且提供国家确定的认证机构出具的处于有效期之内的节能产品认证证书（扫描件加盖公章）的得1分；</w:t>
            </w:r>
          </w:p>
          <w:p>
            <w:pPr>
              <w:pStyle w:val="22"/>
              <w:numPr>
                <w:ilvl w:val="0"/>
                <w:numId w:val="0"/>
              </w:numPr>
              <w:spacing w:line="360" w:lineRule="exact"/>
              <w:ind w:leftChars="0"/>
              <w:jc w:val="both"/>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2、投标产品属于品目清单范围且提供国家确定的认证机构出具的处于有效期之内的环境标志产品认证证书（扫描件加盖公章）的得1分。</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客观分</w:t>
            </w:r>
          </w:p>
        </w:tc>
      </w:tr>
    </w:tbl>
    <w:p>
      <w:pPr>
        <w:pStyle w:val="3"/>
        <w:rPr>
          <w:color w:val="auto"/>
          <w:highlight w:val="none"/>
        </w:rPr>
        <w:sectPr>
          <w:pgSz w:w="11907" w:h="16840"/>
          <w:pgMar w:top="1474" w:right="1814" w:bottom="1474" w:left="1814" w:header="851" w:footer="851" w:gutter="0"/>
          <w:pgNumType w:fmt="decimal"/>
          <w:cols w:space="720" w:num="1"/>
        </w:sectPr>
      </w:pPr>
    </w:p>
    <w:p>
      <w:pPr>
        <w:pStyle w:val="3"/>
        <w:snapToGrid w:val="0"/>
        <w:spacing w:before="0" w:after="0" w:line="360" w:lineRule="auto"/>
        <w:rPr>
          <w:rFonts w:ascii="仿宋" w:hAnsi="仿宋" w:eastAsia="仿宋"/>
          <w:color w:val="auto"/>
          <w:sz w:val="24"/>
          <w:szCs w:val="24"/>
          <w:highlight w:val="none"/>
        </w:rPr>
      </w:pPr>
      <w:bookmarkStart w:id="249" w:name="_Toc55302373"/>
      <w:bookmarkStart w:id="250" w:name="_Toc63189375"/>
      <w:r>
        <w:rPr>
          <w:rFonts w:ascii="仿宋" w:hAnsi="仿宋" w:eastAsia="仿宋"/>
          <w:color w:val="auto"/>
          <w:sz w:val="24"/>
          <w:szCs w:val="24"/>
          <w:highlight w:val="none"/>
        </w:rPr>
        <w:t>1.评标方法</w:t>
      </w:r>
      <w:bookmarkEnd w:id="249"/>
      <w:bookmarkEnd w:id="250"/>
    </w:p>
    <w:p>
      <w:pPr>
        <w:snapToGrid w:val="0"/>
        <w:spacing w:line="360" w:lineRule="auto"/>
        <w:ind w:firstLine="480" w:firstLineChars="200"/>
        <w:rPr>
          <w:rFonts w:ascii="仿宋" w:hAnsi="仿宋" w:eastAsia="仿宋" w:cs="Arial"/>
          <w:color w:val="auto"/>
          <w:sz w:val="24"/>
          <w:highlight w:val="none"/>
        </w:rPr>
      </w:pPr>
      <w:r>
        <w:rPr>
          <w:rFonts w:ascii="仿宋" w:hAnsi="仿宋" w:eastAsia="仿宋" w:cs="Arial"/>
          <w:color w:val="auto"/>
          <w:sz w:val="24"/>
          <w:highlight w:val="none"/>
        </w:rPr>
        <w:t>本次</w:t>
      </w:r>
      <w:r>
        <w:rPr>
          <w:rFonts w:hint="eastAsia" w:ascii="仿宋" w:hAnsi="仿宋" w:eastAsia="仿宋" w:cs="Arial"/>
          <w:color w:val="auto"/>
          <w:sz w:val="24"/>
          <w:highlight w:val="none"/>
        </w:rPr>
        <w:t>采用的</w:t>
      </w:r>
      <w:r>
        <w:rPr>
          <w:rFonts w:ascii="仿宋" w:hAnsi="仿宋" w:eastAsia="仿宋" w:cs="Arial"/>
          <w:color w:val="auto"/>
          <w:sz w:val="24"/>
          <w:highlight w:val="none"/>
        </w:rPr>
        <w:t>评标</w:t>
      </w:r>
      <w:r>
        <w:rPr>
          <w:rFonts w:hint="eastAsia" w:ascii="仿宋" w:hAnsi="仿宋" w:eastAsia="仿宋" w:cs="Arial"/>
          <w:color w:val="auto"/>
          <w:sz w:val="24"/>
          <w:highlight w:val="none"/>
        </w:rPr>
        <w:t>办法及推荐中标候选人的人数见评标办法前附表</w:t>
      </w:r>
      <w:r>
        <w:rPr>
          <w:rFonts w:ascii="仿宋" w:hAnsi="仿宋" w:eastAsia="仿宋" w:cs="Arial"/>
          <w:color w:val="auto"/>
          <w:sz w:val="24"/>
          <w:highlight w:val="none"/>
        </w:rPr>
        <w:t>。</w:t>
      </w:r>
    </w:p>
    <w:p>
      <w:pPr>
        <w:snapToGrid w:val="0"/>
        <w:spacing w:line="360" w:lineRule="auto"/>
        <w:ind w:firstLine="480" w:firstLineChars="200"/>
        <w:rPr>
          <w:rFonts w:ascii="仿宋" w:hAnsi="仿宋" w:eastAsia="仿宋" w:cs="Arial"/>
          <w:color w:val="auto"/>
          <w:sz w:val="24"/>
          <w:highlight w:val="none"/>
        </w:rPr>
      </w:pPr>
      <w:r>
        <w:rPr>
          <w:rFonts w:hint="eastAsia" w:ascii="仿宋" w:hAnsi="仿宋" w:eastAsia="仿宋" w:cs="Arial"/>
          <w:color w:val="auto"/>
          <w:sz w:val="24"/>
          <w:highlight w:val="none"/>
        </w:rPr>
        <w:t>最低评标价法，是指投标文件满足招标文件全部实质性要求，且投标报价最低的投标人为中标候选人的评标方法。技术、服务等标准统一的货物服务项目，应当采用最低评标价法。采用最低评标价法评标时，除了算术修正和落实政府采购政策需进行的价格扣除外，不能对投标人的投标价格进行任何调整。投标报价相等时，由评标委员会通过评标办法前附表约定的方式确定中标候选人的排序。</w:t>
      </w:r>
    </w:p>
    <w:p>
      <w:pPr>
        <w:snapToGrid w:val="0"/>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综合评分法，是指投标文件满足招标文件全部实质性要求，且按照评审因素的量化指标评审得分最高的投标人为中标候选人的评标方法。</w:t>
      </w:r>
      <w:r>
        <w:rPr>
          <w:rFonts w:ascii="仿宋" w:hAnsi="仿宋" w:eastAsia="仿宋" w:cs="Arial"/>
          <w:color w:val="auto"/>
          <w:kern w:val="0"/>
          <w:sz w:val="24"/>
          <w:highlight w:val="none"/>
        </w:rPr>
        <w:t>综合评分相等时，</w:t>
      </w:r>
      <w:r>
        <w:rPr>
          <w:rFonts w:hint="eastAsia" w:ascii="仿宋" w:hAnsi="仿宋" w:eastAsia="仿宋" w:cs="Arial"/>
          <w:color w:val="auto"/>
          <w:kern w:val="0"/>
          <w:sz w:val="24"/>
          <w:highlight w:val="none"/>
        </w:rPr>
        <w:t>以投标报价低者优先；投标报价也相等的，由评标委员会通过</w:t>
      </w:r>
      <w:r>
        <w:rPr>
          <w:rFonts w:hint="eastAsia" w:ascii="仿宋" w:hAnsi="仿宋" w:eastAsia="仿宋" w:cs="Arial"/>
          <w:color w:val="auto"/>
          <w:sz w:val="24"/>
          <w:highlight w:val="none"/>
        </w:rPr>
        <w:t>评标办法前附表约定的方式</w:t>
      </w:r>
      <w:r>
        <w:rPr>
          <w:rFonts w:hint="eastAsia" w:ascii="仿宋" w:hAnsi="仿宋" w:eastAsia="仿宋" w:cs="Arial"/>
          <w:color w:val="auto"/>
          <w:kern w:val="0"/>
          <w:sz w:val="24"/>
          <w:highlight w:val="none"/>
        </w:rPr>
        <w:t>确定</w:t>
      </w:r>
      <w:r>
        <w:rPr>
          <w:rFonts w:ascii="仿宋" w:hAnsi="仿宋" w:eastAsia="仿宋" w:cs="Arial"/>
          <w:color w:val="auto"/>
          <w:kern w:val="0"/>
          <w:sz w:val="24"/>
          <w:highlight w:val="none"/>
        </w:rPr>
        <w:t>中标候选人</w:t>
      </w:r>
      <w:r>
        <w:rPr>
          <w:rFonts w:hint="eastAsia" w:ascii="仿宋" w:hAnsi="仿宋" w:eastAsia="仿宋" w:cs="Arial"/>
          <w:color w:val="auto"/>
          <w:kern w:val="0"/>
          <w:sz w:val="24"/>
          <w:highlight w:val="none"/>
        </w:rPr>
        <w:t>的排序</w:t>
      </w:r>
      <w:r>
        <w:rPr>
          <w:rFonts w:ascii="仿宋" w:hAnsi="仿宋" w:eastAsia="仿宋" w:cs="Arial"/>
          <w:color w:val="auto"/>
          <w:kern w:val="0"/>
          <w:sz w:val="24"/>
          <w:highlight w:val="none"/>
        </w:rPr>
        <w:t>。</w:t>
      </w:r>
    </w:p>
    <w:p>
      <w:pPr>
        <w:pStyle w:val="3"/>
        <w:snapToGrid w:val="0"/>
        <w:spacing w:before="0" w:after="0" w:line="360" w:lineRule="auto"/>
        <w:rPr>
          <w:rFonts w:ascii="仿宋" w:hAnsi="仿宋" w:eastAsia="仿宋"/>
          <w:color w:val="auto"/>
          <w:sz w:val="24"/>
          <w:szCs w:val="24"/>
          <w:highlight w:val="none"/>
        </w:rPr>
      </w:pPr>
      <w:bookmarkStart w:id="251" w:name="_Toc55302374"/>
      <w:bookmarkStart w:id="252" w:name="_Toc63189376"/>
      <w:r>
        <w:rPr>
          <w:rFonts w:hint="eastAsia" w:ascii="仿宋" w:hAnsi="仿宋" w:eastAsia="仿宋"/>
          <w:color w:val="auto"/>
          <w:sz w:val="24"/>
          <w:szCs w:val="24"/>
          <w:highlight w:val="none"/>
        </w:rPr>
        <w:t>2</w:t>
      </w:r>
      <w:r>
        <w:rPr>
          <w:rFonts w:ascii="仿宋" w:hAnsi="仿宋" w:eastAsia="仿宋"/>
          <w:color w:val="auto"/>
          <w:sz w:val="24"/>
          <w:szCs w:val="24"/>
          <w:highlight w:val="none"/>
        </w:rPr>
        <w:t>.评标程序</w:t>
      </w:r>
      <w:bookmarkEnd w:id="251"/>
      <w:bookmarkEnd w:id="252"/>
      <w:r>
        <w:rPr>
          <w:rFonts w:hint="eastAsia" w:ascii="仿宋" w:hAnsi="仿宋" w:eastAsia="仿宋"/>
          <w:color w:val="auto"/>
          <w:sz w:val="24"/>
          <w:szCs w:val="24"/>
          <w:highlight w:val="none"/>
        </w:rPr>
        <w:t>及标准</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2.1资格审查</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开标后，采购人或采购代理机构对各投标人进行资格审查，有一项不符合以下评审标准的，投标无效：</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2.1.1</w:t>
      </w:r>
      <w:r>
        <w:rPr>
          <w:rFonts w:hint="eastAsia" w:ascii="仿宋" w:hAnsi="仿宋" w:eastAsia="仿宋" w:cs="Arial"/>
          <w:b/>
          <w:color w:val="auto"/>
          <w:sz w:val="24"/>
          <w:highlight w:val="none"/>
          <w:u w:val="single"/>
        </w:rPr>
        <w:t>▲提供符合参加政府采购活动应当具备的一般条件的承诺函</w:t>
      </w:r>
      <w:r>
        <w:rPr>
          <w:rFonts w:hint="eastAsia" w:ascii="仿宋" w:hAnsi="仿宋" w:eastAsia="仿宋" w:cs="Arial"/>
          <w:color w:val="auto"/>
          <w:sz w:val="24"/>
          <w:highlight w:val="none"/>
          <w:u w:val="single"/>
        </w:rPr>
        <w:t>及有效的</w:t>
      </w:r>
      <w:r>
        <w:rPr>
          <w:rFonts w:hint="eastAsia" w:ascii="仿宋" w:hAnsi="仿宋" w:eastAsia="仿宋" w:cs="Arial"/>
          <w:b/>
          <w:color w:val="auto"/>
          <w:sz w:val="24"/>
          <w:highlight w:val="none"/>
          <w:u w:val="single"/>
        </w:rPr>
        <w:t>企业营业执照</w:t>
      </w:r>
      <w:r>
        <w:rPr>
          <w:rFonts w:hint="eastAsia" w:ascii="仿宋" w:hAnsi="仿宋" w:eastAsia="仿宋" w:cs="Arial"/>
          <w:color w:val="auto"/>
          <w:sz w:val="24"/>
          <w:highlight w:val="none"/>
          <w:u w:val="single"/>
        </w:rPr>
        <w:t>（或事业法人登记证书或其它工商等登记证明材料，自然人提供身份证)复制件（如为联合体，则联合体各方均应提供）</w:t>
      </w:r>
      <w:r>
        <w:rPr>
          <w:rFonts w:hint="eastAsia" w:ascii="仿宋" w:hAnsi="仿宋" w:eastAsia="仿宋" w:cs="Arial"/>
          <w:color w:val="auto"/>
          <w:sz w:val="24"/>
          <w:highlight w:val="none"/>
        </w:rPr>
        <w:t>；</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2.1.2落实政府采购政策需满足的资格要求：</w:t>
      </w:r>
      <w:r>
        <w:rPr>
          <w:rFonts w:hint="eastAsia" w:ascii="仿宋" w:hAnsi="仿宋" w:eastAsia="仿宋" w:cs="Arial"/>
          <w:b/>
          <w:color w:val="auto"/>
          <w:sz w:val="24"/>
          <w:highlight w:val="none"/>
        </w:rPr>
        <w:t>见评标办法前附表</w:t>
      </w:r>
      <w:r>
        <w:rPr>
          <w:rFonts w:hint="eastAsia" w:ascii="仿宋" w:hAnsi="仿宋" w:eastAsia="仿宋" w:cs="Arial"/>
          <w:color w:val="auto"/>
          <w:sz w:val="24"/>
          <w:highlight w:val="none"/>
        </w:rPr>
        <w:t>。</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2.1.3本项目的特定资格要求：</w:t>
      </w:r>
      <w:r>
        <w:rPr>
          <w:rFonts w:hint="eastAsia" w:ascii="仿宋" w:hAnsi="仿宋" w:eastAsia="仿宋" w:cs="Arial"/>
          <w:b/>
          <w:color w:val="auto"/>
          <w:sz w:val="24"/>
          <w:highlight w:val="none"/>
        </w:rPr>
        <w:t>见评标办法前附表</w:t>
      </w:r>
      <w:r>
        <w:rPr>
          <w:rFonts w:hint="eastAsia" w:ascii="仿宋" w:hAnsi="仿宋" w:eastAsia="仿宋" w:cs="Arial"/>
          <w:color w:val="auto"/>
          <w:sz w:val="24"/>
          <w:highlight w:val="none"/>
        </w:rPr>
        <w:t>。</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2.2符合性审查</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评标委员会对资格审查合格的投标人进行符合性审查：</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2.2.1</w:t>
      </w:r>
      <w:r>
        <w:rPr>
          <w:rFonts w:hint="eastAsia" w:ascii="仿宋" w:hAnsi="仿宋" w:eastAsia="仿宋" w:cs="Arial"/>
          <w:b/>
          <w:color w:val="auto"/>
          <w:sz w:val="24"/>
          <w:highlight w:val="none"/>
          <w:u w:val="single"/>
        </w:rPr>
        <w:t>▲投标人存在下列情况之一的，投标无效</w:t>
      </w:r>
      <w:r>
        <w:rPr>
          <w:rFonts w:hint="eastAsia" w:ascii="仿宋" w:hAnsi="仿宋" w:eastAsia="仿宋" w:cs="Arial"/>
          <w:b/>
          <w:color w:val="auto"/>
          <w:sz w:val="24"/>
          <w:highlight w:val="none"/>
        </w:rPr>
        <w:t>:</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（1）仅提交“备份投标文件”的；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（2）不具备招标文件中规定的资格要求的；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（3）投标文件未按招标文件要求签署、盖章的；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w:t>
      </w:r>
      <w:r>
        <w:rPr>
          <w:rFonts w:ascii="仿宋" w:hAnsi="仿宋" w:eastAsia="仿宋" w:cs="Arial"/>
          <w:b/>
          <w:color w:val="auto"/>
          <w:sz w:val="24"/>
          <w:highlight w:val="none"/>
        </w:rPr>
        <w:t>4</w:t>
      </w:r>
      <w:r>
        <w:rPr>
          <w:rFonts w:hint="eastAsia" w:ascii="仿宋" w:hAnsi="仿宋" w:eastAsia="仿宋" w:cs="Arial"/>
          <w:b/>
          <w:color w:val="auto"/>
          <w:sz w:val="24"/>
          <w:highlight w:val="none"/>
        </w:rPr>
        <w:t>）明显不符合招标文件中标注“▲”且加下划线的实质性要求和条件（主要技术规格、商务技术标准或服务要求）的；</w:t>
      </w:r>
    </w:p>
    <w:p>
      <w:pPr>
        <w:snapToGrid w:val="0"/>
        <w:spacing w:line="360" w:lineRule="auto"/>
        <w:ind w:firstLine="482" w:firstLineChars="20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5</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采购人拟采购的产品属于政府强制采购的节能产品品目清单范围的，</w:t>
      </w:r>
      <w:r>
        <w:rPr>
          <w:rFonts w:hint="eastAsia" w:ascii="仿宋" w:hAnsi="仿宋" w:eastAsia="仿宋" w:cs="Arial"/>
          <w:b/>
          <w:color w:val="auto"/>
          <w:kern w:val="0"/>
          <w:sz w:val="24"/>
          <w:highlight w:val="none"/>
        </w:rPr>
        <w:t>投标人</w:t>
      </w:r>
      <w:r>
        <w:rPr>
          <w:rFonts w:ascii="仿宋" w:hAnsi="仿宋" w:eastAsia="仿宋" w:cs="Arial"/>
          <w:b/>
          <w:color w:val="auto"/>
          <w:kern w:val="0"/>
          <w:sz w:val="24"/>
          <w:highlight w:val="none"/>
        </w:rPr>
        <w:t>未按</w:t>
      </w:r>
      <w:r>
        <w:rPr>
          <w:rFonts w:hint="eastAsia" w:ascii="仿宋" w:hAnsi="仿宋" w:eastAsia="仿宋" w:cs="Arial"/>
          <w:b/>
          <w:color w:val="auto"/>
          <w:kern w:val="0"/>
          <w:sz w:val="24"/>
          <w:highlight w:val="none"/>
        </w:rPr>
        <w:t>招标文件</w:t>
      </w:r>
      <w:r>
        <w:rPr>
          <w:rFonts w:ascii="仿宋" w:hAnsi="仿宋" w:eastAsia="仿宋" w:cs="Arial"/>
          <w:b/>
          <w:color w:val="auto"/>
          <w:kern w:val="0"/>
          <w:sz w:val="24"/>
          <w:highlight w:val="none"/>
        </w:rPr>
        <w:t>要求提供国家确定的认证机构出具的、处于有效期之内的节能产品认证证书</w:t>
      </w:r>
      <w:r>
        <w:rPr>
          <w:rFonts w:hint="eastAsia" w:ascii="仿宋" w:hAnsi="仿宋" w:eastAsia="仿宋" w:cs="Arial"/>
          <w:b/>
          <w:color w:val="auto"/>
          <w:kern w:val="0"/>
          <w:sz w:val="24"/>
          <w:highlight w:val="none"/>
        </w:rPr>
        <w:t>的；</w:t>
      </w:r>
    </w:p>
    <w:p>
      <w:pPr>
        <w:snapToGrid w:val="0"/>
        <w:spacing w:line="360" w:lineRule="auto"/>
        <w:ind w:firstLine="482" w:firstLineChars="20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6</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投标文件中承诺的投标有效期少于</w:t>
      </w:r>
      <w:r>
        <w:rPr>
          <w:rFonts w:hint="eastAsia" w:ascii="仿宋" w:hAnsi="仿宋" w:eastAsia="仿宋" w:cs="Arial"/>
          <w:b/>
          <w:color w:val="auto"/>
          <w:kern w:val="0"/>
          <w:sz w:val="24"/>
          <w:highlight w:val="none"/>
        </w:rPr>
        <w:t>招标文件</w:t>
      </w:r>
      <w:r>
        <w:rPr>
          <w:rFonts w:ascii="仿宋" w:hAnsi="仿宋" w:eastAsia="仿宋" w:cs="Arial"/>
          <w:b/>
          <w:color w:val="auto"/>
          <w:kern w:val="0"/>
          <w:sz w:val="24"/>
          <w:highlight w:val="none"/>
        </w:rPr>
        <w:t>中载明的投标有效期的；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w:t>
      </w:r>
      <w:r>
        <w:rPr>
          <w:rFonts w:ascii="仿宋" w:hAnsi="仿宋" w:eastAsia="仿宋" w:cs="Arial"/>
          <w:b/>
          <w:color w:val="auto"/>
          <w:sz w:val="24"/>
          <w:highlight w:val="none"/>
        </w:rPr>
        <w:t>7</w:t>
      </w:r>
      <w:r>
        <w:rPr>
          <w:rFonts w:hint="eastAsia" w:ascii="仿宋" w:hAnsi="仿宋" w:eastAsia="仿宋" w:cs="Arial"/>
          <w:b/>
          <w:color w:val="auto"/>
          <w:sz w:val="24"/>
          <w:highlight w:val="none"/>
        </w:rPr>
        <w:t>）投标文件实质性内容不全或关键字迹模糊无法辨认的；</w:t>
      </w:r>
    </w:p>
    <w:p>
      <w:pPr>
        <w:snapToGrid w:val="0"/>
        <w:spacing w:line="360" w:lineRule="auto"/>
        <w:ind w:firstLine="482" w:firstLineChars="200"/>
        <w:jc w:val="left"/>
        <w:rPr>
          <w:rFonts w:ascii="仿宋" w:hAnsi="仿宋" w:eastAsia="仿宋" w:cs="仿宋"/>
          <w:b/>
          <w:color w:val="auto"/>
          <w:kern w:val="0"/>
          <w:sz w:val="24"/>
          <w:highlight w:val="none"/>
        </w:rPr>
      </w:pPr>
      <w:r>
        <w:rPr>
          <w:rFonts w:hint="eastAsia" w:ascii="仿宋" w:hAnsi="仿宋" w:eastAsia="仿宋" w:cs="Arial"/>
          <w:b/>
          <w:color w:val="auto"/>
          <w:sz w:val="24"/>
          <w:highlight w:val="none"/>
        </w:rPr>
        <w:t>（</w:t>
      </w:r>
      <w:r>
        <w:rPr>
          <w:rFonts w:ascii="仿宋" w:hAnsi="仿宋" w:eastAsia="仿宋" w:cs="Arial"/>
          <w:b/>
          <w:color w:val="auto"/>
          <w:sz w:val="24"/>
          <w:highlight w:val="none"/>
        </w:rPr>
        <w:t>8</w:t>
      </w:r>
      <w:r>
        <w:rPr>
          <w:rFonts w:hint="eastAsia" w:ascii="仿宋" w:hAnsi="仿宋" w:eastAsia="仿宋" w:cs="Arial"/>
          <w:b/>
          <w:color w:val="auto"/>
          <w:sz w:val="24"/>
          <w:highlight w:val="none"/>
        </w:rPr>
        <w:t>）投标报价超过采购预算或最高限价；</w:t>
      </w:r>
    </w:p>
    <w:p>
      <w:pPr>
        <w:snapToGrid w:val="0"/>
        <w:spacing w:line="360" w:lineRule="auto"/>
        <w:ind w:firstLine="482" w:firstLineChars="200"/>
        <w:jc w:val="lef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w:t>
      </w:r>
      <w:r>
        <w:rPr>
          <w:rFonts w:ascii="仿宋" w:hAnsi="仿宋" w:eastAsia="仿宋" w:cs="仿宋"/>
          <w:b/>
          <w:color w:val="auto"/>
          <w:kern w:val="0"/>
          <w:sz w:val="24"/>
          <w:highlight w:val="none"/>
        </w:rPr>
        <w:t>9</w:t>
      </w:r>
      <w:r>
        <w:rPr>
          <w:rFonts w:hint="eastAsia" w:ascii="仿宋" w:hAnsi="仿宋" w:eastAsia="仿宋" w:cs="仿宋"/>
          <w:b/>
          <w:color w:val="auto"/>
          <w:kern w:val="0"/>
          <w:sz w:val="24"/>
          <w:highlight w:val="none"/>
        </w:rPr>
        <w:t>）投标文件出现不是唯一的、有选择性投标报价的；</w:t>
      </w:r>
    </w:p>
    <w:p>
      <w:pPr>
        <w:snapToGrid w:val="0"/>
        <w:spacing w:line="360" w:lineRule="auto"/>
        <w:ind w:firstLine="482" w:firstLineChars="200"/>
        <w:jc w:val="left"/>
        <w:rPr>
          <w:rFonts w:ascii="仿宋" w:hAnsi="仿宋" w:eastAsia="仿宋" w:cs="仿宋"/>
          <w:b/>
          <w:color w:val="auto"/>
          <w:kern w:val="0"/>
          <w:sz w:val="24"/>
          <w:highlight w:val="none"/>
        </w:rPr>
      </w:pPr>
      <w:r>
        <w:rPr>
          <w:rFonts w:hint="eastAsia" w:ascii="仿宋" w:hAnsi="仿宋" w:eastAsia="仿宋" w:cs="Arial"/>
          <w:b/>
          <w:color w:val="auto"/>
          <w:kern w:val="0"/>
          <w:sz w:val="24"/>
          <w:highlight w:val="none"/>
        </w:rPr>
        <w:t>（1</w:t>
      </w:r>
      <w:r>
        <w:rPr>
          <w:rFonts w:ascii="仿宋" w:hAnsi="仿宋" w:eastAsia="仿宋" w:cs="Arial"/>
          <w:b/>
          <w:color w:val="auto"/>
          <w:kern w:val="0"/>
          <w:sz w:val="24"/>
          <w:highlight w:val="none"/>
        </w:rPr>
        <w:t>0</w:t>
      </w:r>
      <w:r>
        <w:rPr>
          <w:rFonts w:hint="eastAsia" w:ascii="仿宋" w:hAnsi="仿宋" w:eastAsia="仿宋" w:cs="Arial"/>
          <w:b/>
          <w:color w:val="auto"/>
          <w:kern w:val="0"/>
          <w:sz w:val="24"/>
          <w:highlight w:val="none"/>
        </w:rPr>
        <w:t>）投标人</w:t>
      </w:r>
      <w:r>
        <w:rPr>
          <w:rFonts w:ascii="仿宋" w:hAnsi="仿宋" w:eastAsia="仿宋" w:cs="Arial"/>
          <w:b/>
          <w:color w:val="auto"/>
          <w:kern w:val="0"/>
          <w:sz w:val="24"/>
          <w:highlight w:val="none"/>
        </w:rPr>
        <w:t>对根据修正原则修正后的报价不确认的；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w:t>
      </w:r>
      <w:r>
        <w:rPr>
          <w:rFonts w:ascii="仿宋" w:hAnsi="仿宋" w:eastAsia="仿宋" w:cs="Arial"/>
          <w:b/>
          <w:color w:val="auto"/>
          <w:sz w:val="24"/>
          <w:highlight w:val="none"/>
        </w:rPr>
        <w:t>1</w:t>
      </w:r>
      <w:r>
        <w:rPr>
          <w:rFonts w:hint="eastAsia" w:ascii="仿宋" w:hAnsi="仿宋" w:eastAsia="仿宋" w:cs="Arial"/>
          <w:b/>
          <w:color w:val="auto"/>
          <w:sz w:val="24"/>
          <w:highlight w:val="none"/>
        </w:rPr>
        <w:t>）投标文件有采购人不能接受的附加条件的；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w:t>
      </w:r>
      <w:r>
        <w:rPr>
          <w:rFonts w:ascii="仿宋" w:hAnsi="仿宋" w:eastAsia="仿宋" w:cs="Arial"/>
          <w:b/>
          <w:color w:val="auto"/>
          <w:sz w:val="24"/>
          <w:highlight w:val="none"/>
        </w:rPr>
        <w:t>2</w:t>
      </w:r>
      <w:r>
        <w:rPr>
          <w:rFonts w:hint="eastAsia" w:ascii="仿宋" w:hAnsi="仿宋" w:eastAsia="仿宋" w:cs="Arial"/>
          <w:b/>
          <w:color w:val="auto"/>
          <w:sz w:val="24"/>
          <w:highlight w:val="none"/>
        </w:rPr>
        <w:t>）投标人提供虚假材料投标的；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w:t>
      </w:r>
      <w:r>
        <w:rPr>
          <w:rFonts w:ascii="仿宋" w:hAnsi="仿宋" w:eastAsia="仿宋" w:cs="Arial"/>
          <w:b/>
          <w:color w:val="auto"/>
          <w:sz w:val="24"/>
          <w:highlight w:val="none"/>
        </w:rPr>
        <w:t>3</w:t>
      </w:r>
      <w:r>
        <w:rPr>
          <w:rFonts w:hint="eastAsia" w:ascii="仿宋" w:hAnsi="仿宋" w:eastAsia="仿宋" w:cs="Arial"/>
          <w:b/>
          <w:color w:val="auto"/>
          <w:sz w:val="24"/>
          <w:highlight w:val="none"/>
        </w:rPr>
        <w:t>）法律、法规和招标文件规定的其他无效情形。</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2.2.2</w:t>
      </w:r>
      <w:r>
        <w:rPr>
          <w:rFonts w:hint="eastAsia" w:ascii="仿宋" w:hAnsi="仿宋" w:eastAsia="仿宋" w:cs="Arial"/>
          <w:b/>
          <w:color w:val="auto"/>
          <w:sz w:val="24"/>
          <w:highlight w:val="none"/>
          <w:u w:val="single"/>
        </w:rPr>
        <w:t>▲有下列情形之一的，属于恶意串通，对投标人依照政府采购法第七十七条第一款的规定追究法律责任，对采购人、采购代理机构及其工作人员依照政府采购法第七十二条的规定追究法律责任</w:t>
      </w:r>
      <w:r>
        <w:rPr>
          <w:rFonts w:hint="eastAsia" w:ascii="仿宋" w:hAnsi="仿宋" w:eastAsia="仿宋" w:cs="Arial"/>
          <w:b/>
          <w:color w:val="auto"/>
          <w:sz w:val="24"/>
          <w:highlight w:val="none"/>
        </w:rPr>
        <w:t>：</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（1）投标人直接或者间接从采购人或者采购代理机构处获得其他投标人的相关情况并修改其投标文件的；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（2）投标人按照采购人或者采购代理机构的授意撤换、修改投标文件的；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（3）投标人之间协商报价、技术方案等投标文件或者响应文件的实质性内容；</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（4）属于同一集团、协会、商会等组织成员的投标人按照该组织要求协同参加政府采购活动；</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（5）投标人之间事先约定由某一特定投标人中标、成交；</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（6）投标人之间商定部分投标人放弃参加政府采购活动或者放弃中标、成交；</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（7）投标人与采购人或者采购代理机构之间、投标人相互之间，为谋求特定投标人中标、成交或者排斥其他投标人的其他串通行为。</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2.2.3</w:t>
      </w:r>
      <w:r>
        <w:rPr>
          <w:rFonts w:hint="eastAsia" w:ascii="仿宋" w:hAnsi="仿宋" w:eastAsia="仿宋" w:cs="Arial"/>
          <w:b/>
          <w:color w:val="auto"/>
          <w:sz w:val="24"/>
          <w:highlight w:val="none"/>
          <w:u w:val="single"/>
        </w:rPr>
        <w:t>▲有下列情形之一的，视为投标人串通投标，其投标无效</w:t>
      </w:r>
      <w:r>
        <w:rPr>
          <w:rFonts w:hint="eastAsia" w:ascii="仿宋" w:hAnsi="仿宋" w:eastAsia="仿宋" w:cs="Arial"/>
          <w:b/>
          <w:color w:val="auto"/>
          <w:sz w:val="24"/>
          <w:highlight w:val="none"/>
        </w:rPr>
        <w:t>：</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（1）不同投标人的投标文件由同一单位或者个人编制；</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（2）不同投标人委托同一单位或者个人办理投标事宜；</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（3）不同投标人的投标文件载明的项目管理成员或者联系人员为同一人；</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（4）不同投标人的投标文件异常一致或者投标报价呈规律性差异；</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（5）不同投标人的投标文件相互混装；</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2.2.4符合性审查其他要求见评标办法前附表。</w:t>
      </w:r>
    </w:p>
    <w:p>
      <w:pPr>
        <w:snapToGrid w:val="0"/>
        <w:spacing w:line="360" w:lineRule="auto"/>
        <w:ind w:firstLine="482" w:firstLineChars="200"/>
        <w:jc w:val="left"/>
        <w:rPr>
          <w:rFonts w:ascii="仿宋" w:hAnsi="仿宋" w:eastAsia="仿宋" w:cs="Arial"/>
          <w:color w:val="auto"/>
          <w:sz w:val="24"/>
          <w:highlight w:val="none"/>
        </w:rPr>
      </w:pPr>
      <w:r>
        <w:rPr>
          <w:rFonts w:hint="eastAsia" w:ascii="仿宋" w:hAnsi="仿宋" w:eastAsia="仿宋" w:cs="Arial"/>
          <w:b/>
          <w:color w:val="auto"/>
          <w:sz w:val="24"/>
          <w:highlight w:val="none"/>
        </w:rPr>
        <w:t>2.2.5实质上没有响应招标文件要求的投标将被否决，投标人不得通过修正或撤消不合要求的偏离或保留从而使其投标成为实质上响应的投标。</w:t>
      </w:r>
    </w:p>
    <w:p>
      <w:pPr>
        <w:pStyle w:val="4"/>
        <w:widowControl/>
        <w:snapToGrid w:val="0"/>
        <w:spacing w:before="0" w:after="0" w:line="360" w:lineRule="auto"/>
        <w:ind w:firstLine="482" w:firstLineChars="200"/>
        <w:jc w:val="left"/>
        <w:rPr>
          <w:rFonts w:ascii="仿宋" w:hAnsi="仿宋" w:eastAsia="仿宋" w:cstheme="majorBidi"/>
          <w:color w:val="auto"/>
          <w:sz w:val="24"/>
          <w:szCs w:val="24"/>
          <w:highlight w:val="none"/>
        </w:rPr>
      </w:pPr>
      <w:bookmarkStart w:id="253" w:name="_Toc55375024"/>
      <w:bookmarkStart w:id="254" w:name="_Toc63189379"/>
      <w:bookmarkStart w:id="255" w:name="_Toc55302377"/>
      <w:bookmarkStart w:id="256" w:name="_Toc5724"/>
      <w:r>
        <w:rPr>
          <w:rFonts w:hint="eastAsia" w:ascii="仿宋" w:hAnsi="仿宋" w:eastAsia="仿宋" w:cstheme="majorBidi"/>
          <w:color w:val="auto"/>
          <w:sz w:val="24"/>
          <w:szCs w:val="24"/>
          <w:highlight w:val="none"/>
        </w:rPr>
        <w:t>2</w:t>
      </w:r>
      <w:r>
        <w:rPr>
          <w:rFonts w:ascii="仿宋" w:hAnsi="仿宋" w:eastAsia="仿宋" w:cstheme="majorBidi"/>
          <w:color w:val="auto"/>
          <w:sz w:val="24"/>
          <w:szCs w:val="24"/>
          <w:highlight w:val="none"/>
        </w:rPr>
        <w:t>.</w:t>
      </w:r>
      <w:r>
        <w:rPr>
          <w:rFonts w:hint="eastAsia" w:ascii="仿宋" w:hAnsi="仿宋" w:eastAsia="仿宋" w:cstheme="majorBidi"/>
          <w:color w:val="auto"/>
          <w:sz w:val="24"/>
          <w:szCs w:val="24"/>
          <w:highlight w:val="none"/>
        </w:rPr>
        <w:t>3比较与评价（适用于综合评分法）</w:t>
      </w:r>
    </w:p>
    <w:bookmarkEnd w:id="253"/>
    <w:bookmarkEnd w:id="254"/>
    <w:bookmarkEnd w:id="255"/>
    <w:bookmarkEnd w:id="256"/>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.3.1</w:t>
      </w:r>
      <w:r>
        <w:rPr>
          <w:rFonts w:hint="eastAsia" w:ascii="仿宋" w:hAnsi="仿宋" w:eastAsia="仿宋" w:cs="Arial"/>
          <w:color w:val="auto"/>
          <w:sz w:val="24"/>
          <w:highlight w:val="none"/>
        </w:rPr>
        <w:t>分值权重构成</w:t>
      </w:r>
      <w:r>
        <w:rPr>
          <w:rFonts w:hint="eastAsia" w:ascii="仿宋" w:hAnsi="仿宋" w:eastAsia="仿宋"/>
          <w:color w:val="auto"/>
          <w:sz w:val="24"/>
          <w:highlight w:val="none"/>
        </w:rPr>
        <w:t>，见评标办法前附表。</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w:t>
      </w:r>
      <w:r>
        <w:rPr>
          <w:rFonts w:hint="eastAsia" w:ascii="仿宋" w:hAnsi="仿宋" w:eastAsia="仿宋" w:cs="Arial"/>
          <w:color w:val="auto"/>
          <w:sz w:val="24"/>
          <w:highlight w:val="none"/>
        </w:rPr>
        <w:t>.2商务技术</w:t>
      </w:r>
      <w:r>
        <w:rPr>
          <w:rFonts w:hint="eastAsia" w:ascii="仿宋" w:hAnsi="仿宋" w:eastAsia="仿宋"/>
          <w:color w:val="auto"/>
          <w:sz w:val="24"/>
          <w:highlight w:val="none"/>
        </w:rPr>
        <w:t>评分标准，见评标办法前附表。</w:t>
      </w:r>
    </w:p>
    <w:p>
      <w:pPr>
        <w:pStyle w:val="23"/>
        <w:snapToGrid w:val="0"/>
        <w:spacing w:after="0"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3</w:t>
      </w:r>
      <w:r>
        <w:rPr>
          <w:rFonts w:hint="eastAsia" w:ascii="仿宋" w:hAnsi="仿宋" w:eastAsia="仿宋"/>
          <w:color w:val="auto"/>
          <w:sz w:val="24"/>
          <w:highlight w:val="none"/>
        </w:rPr>
        <w:t>.3报价评分标准，见评标办法前附表。</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w:t>
      </w:r>
      <w:r>
        <w:rPr>
          <w:rFonts w:hint="eastAsia" w:ascii="仿宋" w:hAnsi="仿宋" w:eastAsia="仿宋" w:cs="Arial"/>
          <w:color w:val="auto"/>
          <w:sz w:val="24"/>
          <w:highlight w:val="none"/>
        </w:rPr>
        <w:t>4</w:t>
      </w:r>
      <w:r>
        <w:rPr>
          <w:rFonts w:ascii="仿宋" w:hAnsi="仿宋" w:eastAsia="仿宋" w:cs="Arial"/>
          <w:color w:val="auto"/>
          <w:sz w:val="24"/>
          <w:highlight w:val="none"/>
        </w:rPr>
        <w:t>评分分值计算保留小数点后两位，小数点后第三位“四舍五入”。</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w:t>
      </w:r>
      <w:r>
        <w:rPr>
          <w:rFonts w:hint="eastAsia" w:ascii="仿宋" w:hAnsi="仿宋" w:eastAsia="仿宋" w:cs="Arial"/>
          <w:color w:val="auto"/>
          <w:sz w:val="24"/>
          <w:highlight w:val="none"/>
        </w:rPr>
        <w:t>5</w:t>
      </w:r>
      <w:r>
        <w:rPr>
          <w:rFonts w:ascii="仿宋" w:hAnsi="仿宋" w:eastAsia="仿宋" w:cs="Arial"/>
          <w:color w:val="auto"/>
          <w:sz w:val="24"/>
          <w:highlight w:val="none"/>
        </w:rPr>
        <w:t>投标人综合得分=</w:t>
      </w:r>
      <w:r>
        <w:rPr>
          <w:rFonts w:hint="eastAsia" w:ascii="仿宋" w:hAnsi="仿宋" w:eastAsia="仿宋" w:cs="Arial"/>
          <w:color w:val="auto"/>
          <w:sz w:val="24"/>
          <w:highlight w:val="none"/>
        </w:rPr>
        <w:t>商务技术得分+报价得分</w:t>
      </w:r>
      <w:r>
        <w:rPr>
          <w:rFonts w:ascii="仿宋" w:hAnsi="仿宋" w:eastAsia="仿宋" w:cs="Arial"/>
          <w:color w:val="auto"/>
          <w:sz w:val="24"/>
          <w:highlight w:val="none"/>
        </w:rPr>
        <w:t>。</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w:t>
      </w:r>
      <w:r>
        <w:rPr>
          <w:rFonts w:hint="eastAsia" w:ascii="仿宋" w:hAnsi="仿宋" w:eastAsia="仿宋" w:cs="Arial"/>
          <w:color w:val="auto"/>
          <w:sz w:val="24"/>
          <w:highlight w:val="none"/>
        </w:rPr>
        <w:t>6</w:t>
      </w:r>
      <w:r>
        <w:rPr>
          <w:rFonts w:hint="eastAsia" w:ascii="仿宋" w:hAnsi="仿宋" w:eastAsia="仿宋" w:cs="Arial"/>
          <w:b/>
          <w:color w:val="auto"/>
          <w:sz w:val="24"/>
          <w:highlight w:val="none"/>
          <w:u w:val="single"/>
        </w:rPr>
        <w:t>▲</w:t>
      </w:r>
      <w:r>
        <w:rPr>
          <w:rFonts w:ascii="仿宋" w:hAnsi="仿宋" w:eastAsia="仿宋" w:cs="Arial"/>
          <w:b/>
          <w:color w:val="auto"/>
          <w:sz w:val="24"/>
          <w:highlight w:val="none"/>
          <w:u w:val="single"/>
        </w:rPr>
        <w:t>评标委员会发现投标投标人的报价明显低于其他投标报价，使得其投标报价可能低于其个别成本的，应当要求该投标</w:t>
      </w:r>
      <w:r>
        <w:rPr>
          <w:rFonts w:hint="eastAsia" w:ascii="仿宋" w:hAnsi="仿宋" w:eastAsia="仿宋" w:cs="Arial"/>
          <w:b/>
          <w:color w:val="auto"/>
          <w:sz w:val="24"/>
          <w:highlight w:val="none"/>
          <w:u w:val="single"/>
        </w:rPr>
        <w:t>人</w:t>
      </w:r>
      <w:r>
        <w:rPr>
          <w:rFonts w:ascii="仿宋" w:hAnsi="仿宋" w:eastAsia="仿宋" w:cs="Arial"/>
          <w:b/>
          <w:color w:val="auto"/>
          <w:sz w:val="24"/>
          <w:highlight w:val="none"/>
          <w:u w:val="single"/>
        </w:rPr>
        <w:t>作出书面说明并提供相应的证明材料。投标投标人不能合理说明或者不能提供相应证明材料的，评标委员会应当认定该投标</w:t>
      </w:r>
      <w:r>
        <w:rPr>
          <w:rFonts w:hint="eastAsia" w:ascii="仿宋" w:hAnsi="仿宋" w:eastAsia="仿宋" w:cs="Arial"/>
          <w:b/>
          <w:color w:val="auto"/>
          <w:sz w:val="24"/>
          <w:highlight w:val="none"/>
          <w:u w:val="single"/>
        </w:rPr>
        <w:t>人</w:t>
      </w:r>
      <w:r>
        <w:rPr>
          <w:rFonts w:ascii="仿宋" w:hAnsi="仿宋" w:eastAsia="仿宋" w:cs="Arial"/>
          <w:b/>
          <w:color w:val="auto"/>
          <w:sz w:val="24"/>
          <w:highlight w:val="none"/>
          <w:u w:val="single"/>
        </w:rPr>
        <w:t>以低于成本报价竞标，并否决其投标</w:t>
      </w:r>
      <w:r>
        <w:rPr>
          <w:rFonts w:ascii="仿宋" w:hAnsi="仿宋" w:eastAsia="仿宋" w:cs="Arial"/>
          <w:color w:val="auto"/>
          <w:sz w:val="24"/>
          <w:highlight w:val="none"/>
        </w:rPr>
        <w:t>。</w:t>
      </w:r>
    </w:p>
    <w:p>
      <w:pPr>
        <w:pStyle w:val="4"/>
        <w:widowControl/>
        <w:snapToGrid w:val="0"/>
        <w:spacing w:before="0" w:after="0" w:line="360" w:lineRule="auto"/>
        <w:ind w:firstLine="480" w:firstLineChars="200"/>
        <w:jc w:val="left"/>
        <w:rPr>
          <w:rFonts w:ascii="仿宋" w:hAnsi="仿宋" w:eastAsia="仿宋" w:cs="Arial"/>
          <w:b w:val="0"/>
          <w:color w:val="auto"/>
          <w:sz w:val="24"/>
          <w:szCs w:val="24"/>
          <w:highlight w:val="none"/>
        </w:rPr>
      </w:pPr>
      <w:bookmarkStart w:id="257" w:name="_Toc55302378"/>
      <w:bookmarkStart w:id="258" w:name="_Toc63189380"/>
      <w:bookmarkStart w:id="259" w:name="_Toc11195"/>
      <w:bookmarkStart w:id="260" w:name="_Toc55375025"/>
      <w:r>
        <w:rPr>
          <w:rFonts w:hint="eastAsia" w:ascii="仿宋" w:hAnsi="仿宋" w:eastAsia="仿宋" w:cs="Arial"/>
          <w:b w:val="0"/>
          <w:color w:val="auto"/>
          <w:sz w:val="24"/>
          <w:szCs w:val="24"/>
          <w:highlight w:val="none"/>
        </w:rPr>
        <w:t>2</w:t>
      </w:r>
      <w:r>
        <w:rPr>
          <w:rFonts w:ascii="仿宋" w:hAnsi="仿宋" w:eastAsia="仿宋" w:cs="Arial"/>
          <w:b w:val="0"/>
          <w:color w:val="auto"/>
          <w:sz w:val="24"/>
          <w:szCs w:val="24"/>
          <w:highlight w:val="none"/>
        </w:rPr>
        <w:t>.</w:t>
      </w:r>
      <w:r>
        <w:rPr>
          <w:rFonts w:hint="eastAsia" w:ascii="仿宋" w:hAnsi="仿宋" w:eastAsia="仿宋" w:cs="Arial"/>
          <w:b w:val="0"/>
          <w:color w:val="auto"/>
          <w:sz w:val="24"/>
          <w:szCs w:val="24"/>
          <w:highlight w:val="none"/>
        </w:rPr>
        <w:t>4</w:t>
      </w:r>
      <w:r>
        <w:rPr>
          <w:rFonts w:ascii="仿宋" w:hAnsi="仿宋" w:eastAsia="仿宋" w:cs="Arial"/>
          <w:b w:val="0"/>
          <w:color w:val="auto"/>
          <w:sz w:val="24"/>
          <w:szCs w:val="24"/>
          <w:highlight w:val="none"/>
        </w:rPr>
        <w:t>投标文件的澄清</w:t>
      </w:r>
      <w:bookmarkEnd w:id="257"/>
      <w:bookmarkEnd w:id="258"/>
      <w:bookmarkEnd w:id="259"/>
      <w:bookmarkEnd w:id="260"/>
    </w:p>
    <w:p>
      <w:pPr>
        <w:snapToGrid w:val="0"/>
        <w:spacing w:line="360" w:lineRule="auto"/>
        <w:ind w:firstLine="480" w:firstLineChars="200"/>
        <w:jc w:val="left"/>
        <w:rPr>
          <w:rFonts w:ascii="仿宋" w:hAnsi="仿宋" w:eastAsia="仿宋" w:cs="Arial"/>
          <w:bCs/>
          <w:color w:val="auto"/>
          <w:sz w:val="24"/>
          <w:highlight w:val="none"/>
        </w:rPr>
      </w:pPr>
      <w:r>
        <w:rPr>
          <w:rFonts w:hint="eastAsia" w:ascii="仿宋" w:hAnsi="仿宋" w:eastAsia="仿宋" w:cs="Arial"/>
          <w:bCs/>
          <w:color w:val="auto"/>
          <w:sz w:val="24"/>
          <w:highlight w:val="none"/>
        </w:rPr>
        <w:t>2.4</w:t>
      </w:r>
      <w:r>
        <w:rPr>
          <w:rFonts w:ascii="仿宋" w:hAnsi="仿宋" w:eastAsia="仿宋" w:cs="Arial"/>
          <w:bCs/>
          <w:color w:val="auto"/>
          <w:sz w:val="24"/>
          <w:highlight w:val="none"/>
        </w:rPr>
        <w:t>.1</w:t>
      </w:r>
      <w:r>
        <w:rPr>
          <w:rFonts w:hint="eastAsia" w:ascii="仿宋" w:hAnsi="仿宋" w:eastAsia="仿宋" w:cs="Arial"/>
          <w:bCs/>
          <w:color w:val="auto"/>
          <w:sz w:val="24"/>
          <w:highlight w:val="none"/>
        </w:rPr>
        <w:t>为有助于投标文件的审查、评价和比较，评标委员会可以在“政采云平台”在线询标或其他有效形式要求投标人对同一份投标文件含义不明确或同类问题表述不一致的内容（招标文件另有规定处理方法的除外）作必要的澄清或说明，投标人应采用在线回复或其他有效形式在询标规定时间内进行澄清或说明（需盖电子签章或实体公章）。</w:t>
      </w:r>
    </w:p>
    <w:p>
      <w:pPr>
        <w:pStyle w:val="89"/>
        <w:snapToGrid w:val="0"/>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2.4.2</w:t>
      </w:r>
      <w:r>
        <w:rPr>
          <w:rFonts w:ascii="仿宋" w:hAnsi="仿宋" w:eastAsia="仿宋" w:cs="Arial"/>
          <w:color w:val="auto"/>
          <w:kern w:val="0"/>
          <w:szCs w:val="24"/>
          <w:highlight w:val="none"/>
        </w:rPr>
        <w:t>投标文件报价出现前后不一致的，按照下列规定修正：</w:t>
      </w:r>
    </w:p>
    <w:p>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r>
        <w:rPr>
          <w:rFonts w:ascii="仿宋" w:hAnsi="仿宋" w:eastAsia="仿宋" w:cs="仿宋"/>
          <w:color w:val="auto"/>
          <w:kern w:val="0"/>
          <w:szCs w:val="24"/>
          <w:highlight w:val="none"/>
        </w:rPr>
        <w:t>投标文件中开标一览表(报价表)内容与投标文件中相应内容不一致的，以开标一览表(报价表)为准;</w:t>
      </w:r>
    </w:p>
    <w:p>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大写金额和小写金额不一致的，以大写金额为准;</w:t>
      </w:r>
    </w:p>
    <w:p>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ascii="仿宋" w:hAnsi="仿宋" w:eastAsia="仿宋" w:cs="仿宋"/>
          <w:color w:val="auto"/>
          <w:kern w:val="0"/>
          <w:szCs w:val="24"/>
          <w:highlight w:val="none"/>
        </w:rPr>
        <w:t>单价金额小数点或者百分比有明显错位的，以开标一览表的总价为准，并修改单价;</w:t>
      </w:r>
    </w:p>
    <w:p>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r>
        <w:rPr>
          <w:rFonts w:ascii="仿宋" w:hAnsi="仿宋" w:eastAsia="仿宋" w:cs="仿宋"/>
          <w:color w:val="auto"/>
          <w:kern w:val="0"/>
          <w:szCs w:val="24"/>
          <w:highlight w:val="none"/>
        </w:rPr>
        <w:t>总价金额与按单价汇总金额不一致的，以单价金额计算结果为准。</w:t>
      </w:r>
    </w:p>
    <w:p>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r>
        <w:rPr>
          <w:rFonts w:ascii="仿宋" w:hAnsi="仿宋" w:eastAsia="仿宋" w:cs="仿宋"/>
          <w:color w:val="auto"/>
          <w:kern w:val="0"/>
          <w:szCs w:val="24"/>
          <w:highlight w:val="none"/>
        </w:rPr>
        <w:t>同时出现两种以上不一致的，按照</w:t>
      </w:r>
      <w:r>
        <w:rPr>
          <w:rFonts w:hint="eastAsia" w:ascii="仿宋" w:hAnsi="仿宋" w:eastAsia="仿宋" w:cs="仿宋"/>
          <w:color w:val="auto"/>
          <w:kern w:val="0"/>
          <w:szCs w:val="24"/>
          <w:highlight w:val="none"/>
        </w:rPr>
        <w:t>上述规定的顺序修正。修正后的报价经投标人确认后产生约束力。</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2.4</w:t>
      </w:r>
      <w:r>
        <w:rPr>
          <w:rFonts w:ascii="仿宋" w:hAnsi="仿宋" w:eastAsia="仿宋" w:cs="Arial"/>
          <w:color w:val="auto"/>
          <w:sz w:val="24"/>
          <w:highlight w:val="none"/>
        </w:rPr>
        <w:t>.</w:t>
      </w:r>
      <w:r>
        <w:rPr>
          <w:rFonts w:hint="eastAsia" w:ascii="仿宋" w:hAnsi="仿宋" w:eastAsia="仿宋" w:cs="Arial"/>
          <w:color w:val="auto"/>
          <w:sz w:val="24"/>
          <w:highlight w:val="none"/>
        </w:rPr>
        <w:t>3</w:t>
      </w:r>
      <w:r>
        <w:rPr>
          <w:rFonts w:ascii="仿宋" w:hAnsi="仿宋" w:eastAsia="仿宋" w:cs="Arial"/>
          <w:color w:val="auto"/>
          <w:sz w:val="24"/>
          <w:highlight w:val="none"/>
        </w:rPr>
        <w:t>澄清、说明或补正不得超出投标文件的范围且不得改变投标文件的实质性内容，并构成投标文件的组成部分。</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2.4</w:t>
      </w:r>
      <w:r>
        <w:rPr>
          <w:rFonts w:ascii="仿宋" w:hAnsi="仿宋" w:eastAsia="仿宋" w:cs="Arial"/>
          <w:color w:val="auto"/>
          <w:sz w:val="24"/>
          <w:highlight w:val="none"/>
        </w:rPr>
        <w:t>.</w:t>
      </w:r>
      <w:r>
        <w:rPr>
          <w:rFonts w:hint="eastAsia" w:ascii="仿宋" w:hAnsi="仿宋" w:eastAsia="仿宋" w:cs="Arial"/>
          <w:color w:val="auto"/>
          <w:sz w:val="24"/>
          <w:highlight w:val="none"/>
        </w:rPr>
        <w:t>4</w:t>
      </w:r>
      <w:r>
        <w:rPr>
          <w:rFonts w:ascii="仿宋" w:hAnsi="仿宋" w:eastAsia="仿宋" w:cs="Arial"/>
          <w:color w:val="auto"/>
          <w:sz w:val="24"/>
          <w:highlight w:val="none"/>
        </w:rPr>
        <w:t>评标委员会对投标</w:t>
      </w:r>
      <w:r>
        <w:rPr>
          <w:rFonts w:hint="eastAsia" w:ascii="仿宋" w:hAnsi="仿宋" w:eastAsia="仿宋" w:cs="Arial"/>
          <w:color w:val="auto"/>
          <w:sz w:val="24"/>
          <w:highlight w:val="none"/>
        </w:rPr>
        <w:t>人</w:t>
      </w:r>
      <w:r>
        <w:rPr>
          <w:rFonts w:ascii="仿宋" w:hAnsi="仿宋" w:eastAsia="仿宋" w:cs="Arial"/>
          <w:color w:val="auto"/>
          <w:sz w:val="24"/>
          <w:highlight w:val="none"/>
        </w:rPr>
        <w:t>提交的澄清、说明或补正有疑问的，可以要求投标</w:t>
      </w:r>
      <w:r>
        <w:rPr>
          <w:rFonts w:hint="eastAsia" w:ascii="仿宋" w:hAnsi="仿宋" w:eastAsia="仿宋" w:cs="Arial"/>
          <w:color w:val="auto"/>
          <w:sz w:val="24"/>
          <w:highlight w:val="none"/>
        </w:rPr>
        <w:t>人</w:t>
      </w:r>
      <w:r>
        <w:rPr>
          <w:rFonts w:ascii="仿宋" w:hAnsi="仿宋" w:eastAsia="仿宋" w:cs="Arial"/>
          <w:color w:val="auto"/>
          <w:sz w:val="24"/>
          <w:highlight w:val="none"/>
        </w:rPr>
        <w:t>进一步澄清、说明或补正，直至满足评标委员会的要求。</w:t>
      </w:r>
    </w:p>
    <w:p>
      <w:pPr>
        <w:pStyle w:val="3"/>
        <w:snapToGrid w:val="0"/>
        <w:spacing w:before="0" w:after="0" w:line="360" w:lineRule="auto"/>
        <w:rPr>
          <w:rFonts w:ascii="仿宋" w:hAnsi="仿宋" w:eastAsia="仿宋"/>
          <w:color w:val="auto"/>
          <w:sz w:val="24"/>
          <w:szCs w:val="24"/>
          <w:highlight w:val="none"/>
        </w:rPr>
      </w:pPr>
      <w:bookmarkStart w:id="261" w:name="_Toc55302379"/>
      <w:bookmarkStart w:id="262" w:name="_Toc11850"/>
      <w:bookmarkStart w:id="263" w:name="_Toc63189381"/>
      <w:r>
        <w:rPr>
          <w:rFonts w:hint="eastAsia" w:ascii="仿宋" w:hAnsi="仿宋" w:eastAsia="仿宋"/>
          <w:color w:val="auto"/>
          <w:sz w:val="24"/>
          <w:szCs w:val="24"/>
          <w:highlight w:val="none"/>
        </w:rPr>
        <w:t>3</w:t>
      </w:r>
      <w:r>
        <w:rPr>
          <w:rFonts w:ascii="仿宋" w:hAnsi="仿宋" w:eastAsia="仿宋"/>
          <w:color w:val="auto"/>
          <w:sz w:val="24"/>
          <w:szCs w:val="24"/>
          <w:highlight w:val="none"/>
        </w:rPr>
        <w:t>.评标结果</w:t>
      </w:r>
      <w:bookmarkEnd w:id="261"/>
      <w:bookmarkEnd w:id="262"/>
      <w:bookmarkEnd w:id="263"/>
    </w:p>
    <w:p>
      <w:pPr>
        <w:snapToGrid w:val="0"/>
        <w:spacing w:line="360" w:lineRule="auto"/>
        <w:ind w:firstLine="480" w:firstLineChars="200"/>
        <w:jc w:val="left"/>
        <w:rPr>
          <w:rFonts w:ascii="仿宋" w:hAnsi="仿宋" w:eastAsia="仿宋" w:cs="Arial"/>
          <w:color w:val="auto"/>
          <w:sz w:val="24"/>
          <w:highlight w:val="none"/>
        </w:rPr>
      </w:pPr>
      <w:r>
        <w:rPr>
          <w:rFonts w:ascii="仿宋" w:hAnsi="仿宋" w:eastAsia="仿宋" w:cs="Arial"/>
          <w:color w:val="auto"/>
          <w:sz w:val="24"/>
          <w:highlight w:val="none"/>
        </w:rPr>
        <w:t>3</w:t>
      </w:r>
      <w:r>
        <w:rPr>
          <w:rFonts w:hint="eastAsia" w:ascii="仿宋" w:hAnsi="仿宋" w:eastAsia="仿宋" w:cs="Arial"/>
          <w:color w:val="auto"/>
          <w:sz w:val="24"/>
          <w:highlight w:val="none"/>
        </w:rPr>
        <w:t>.</w:t>
      </w:r>
      <w:r>
        <w:rPr>
          <w:rFonts w:ascii="仿宋" w:hAnsi="仿宋" w:eastAsia="仿宋" w:cs="Arial"/>
          <w:color w:val="auto"/>
          <w:sz w:val="24"/>
          <w:highlight w:val="none"/>
        </w:rPr>
        <w:t>1</w:t>
      </w:r>
      <w:r>
        <w:rPr>
          <w:rFonts w:hint="eastAsia" w:ascii="仿宋" w:hAnsi="仿宋" w:eastAsia="仿宋" w:cs="Arial"/>
          <w:color w:val="auto"/>
          <w:sz w:val="24"/>
          <w:highlight w:val="none"/>
        </w:rPr>
        <w:t>采用最低评标价法的，评标委员会按评标价（投标报价）从低到高的排序推荐中标候选人。</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采用综合评分法的，</w:t>
      </w:r>
      <w:r>
        <w:rPr>
          <w:rFonts w:ascii="仿宋" w:hAnsi="仿宋" w:eastAsia="仿宋" w:cs="Arial"/>
          <w:color w:val="auto"/>
          <w:sz w:val="24"/>
          <w:highlight w:val="none"/>
        </w:rPr>
        <w:t>评标委员会按照投标</w:t>
      </w:r>
      <w:r>
        <w:rPr>
          <w:rFonts w:hint="eastAsia" w:ascii="仿宋" w:hAnsi="仿宋" w:eastAsia="仿宋" w:cs="Arial"/>
          <w:color w:val="auto"/>
          <w:sz w:val="24"/>
          <w:highlight w:val="none"/>
        </w:rPr>
        <w:t>人</w:t>
      </w:r>
      <w:r>
        <w:rPr>
          <w:rFonts w:ascii="仿宋" w:hAnsi="仿宋" w:eastAsia="仿宋" w:cs="Arial"/>
          <w:color w:val="auto"/>
          <w:sz w:val="24"/>
          <w:highlight w:val="none"/>
        </w:rPr>
        <w:t>综合得分由高到低的顺序推荐中标候选人。</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line="360" w:lineRule="auto"/>
        <w:ind w:firstLine="480" w:firstLineChars="200"/>
        <w:rPr>
          <w:rFonts w:ascii="仿宋" w:hAnsi="仿宋" w:eastAsia="仿宋" w:cs="Arial"/>
          <w:b/>
          <w:color w:val="auto"/>
          <w:kern w:val="0"/>
          <w:sz w:val="24"/>
          <w:highlight w:val="none"/>
        </w:rPr>
      </w:pPr>
      <w:r>
        <w:rPr>
          <w:rFonts w:ascii="仿宋" w:hAnsi="仿宋" w:eastAsia="仿宋" w:cs="Arial"/>
          <w:color w:val="auto"/>
          <w:sz w:val="24"/>
          <w:highlight w:val="none"/>
        </w:rPr>
        <w:t>3</w:t>
      </w:r>
      <w:r>
        <w:rPr>
          <w:rFonts w:hint="eastAsia" w:ascii="仿宋" w:hAnsi="仿宋" w:eastAsia="仿宋" w:cs="Arial"/>
          <w:color w:val="auto"/>
          <w:sz w:val="24"/>
          <w:highlight w:val="none"/>
        </w:rPr>
        <w:t>.</w:t>
      </w:r>
      <w:r>
        <w:rPr>
          <w:rFonts w:ascii="仿宋" w:hAnsi="仿宋" w:eastAsia="仿宋" w:cs="Arial"/>
          <w:color w:val="auto"/>
          <w:sz w:val="24"/>
          <w:highlight w:val="none"/>
        </w:rPr>
        <w:t>2 评标委员会完成评标后，应当向采购人提交书面评标报告和中标候选人名单。</w:t>
      </w:r>
    </w:p>
    <w:p>
      <w:pPr>
        <w:snapToGrid w:val="0"/>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评标委员会根据全体评标成员签字的原始评标记录和评标结果编写评标报告。</w:t>
      </w:r>
      <w:r>
        <w:rPr>
          <w:rFonts w:hint="eastAsia" w:ascii="仿宋" w:hAnsi="仿宋" w:eastAsia="仿宋"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4.其他</w:t>
      </w:r>
    </w:p>
    <w:p>
      <w:pPr>
        <w:widowControl/>
        <w:shd w:val="clear" w:color="auto" w:fill="FFFFFF"/>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4.1</w:t>
      </w:r>
      <w:r>
        <w:rPr>
          <w:rFonts w:ascii="仿宋" w:hAnsi="仿宋" w:eastAsia="仿宋" w:cs="仿宋_GB2312"/>
          <w:color w:val="auto"/>
          <w:sz w:val="24"/>
          <w:highlight w:val="none"/>
        </w:rPr>
        <w:t>废标</w:t>
      </w:r>
    </w:p>
    <w:p>
      <w:pPr>
        <w:widowControl/>
        <w:shd w:val="clear" w:color="auto" w:fill="FFFFFF"/>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根据《中华人民共和国政府采购法》第三十六条之规定，在采购中，出现下列情形之一的，应予废标：</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w:t>
      </w:r>
      <w:r>
        <w:rPr>
          <w:rFonts w:ascii="仿宋" w:hAnsi="仿宋" w:eastAsia="仿宋" w:cs="仿宋_GB2312"/>
          <w:color w:val="auto"/>
          <w:highlight w:val="none"/>
        </w:rPr>
        <w:t>符合专业条件的投标人或者对</w:t>
      </w:r>
      <w:r>
        <w:rPr>
          <w:rFonts w:hint="eastAsia" w:ascii="仿宋" w:hAnsi="仿宋" w:eastAsia="仿宋" w:cs="仿宋_GB2312"/>
          <w:color w:val="auto"/>
          <w:highlight w:val="none"/>
        </w:rPr>
        <w:t>招标文件</w:t>
      </w:r>
      <w:r>
        <w:rPr>
          <w:rFonts w:ascii="仿宋" w:hAnsi="仿宋" w:eastAsia="仿宋" w:cs="仿宋_GB2312"/>
          <w:color w:val="auto"/>
          <w:highlight w:val="none"/>
        </w:rPr>
        <w:t>作实质响应的投标人不足3家的；</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w:t>
      </w:r>
      <w:r>
        <w:rPr>
          <w:rFonts w:ascii="仿宋" w:hAnsi="仿宋" w:eastAsia="仿宋" w:cs="仿宋_GB2312"/>
          <w:color w:val="auto"/>
          <w:highlight w:val="none"/>
        </w:rPr>
        <w:t>出现影响采购公正的违法、违规行为的；</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（3）投标人</w:t>
      </w:r>
      <w:r>
        <w:rPr>
          <w:rFonts w:ascii="仿宋" w:hAnsi="仿宋" w:eastAsia="仿宋" w:cs="仿宋_GB2312"/>
          <w:color w:val="auto"/>
          <w:highlight w:val="none"/>
        </w:rPr>
        <w:t>的报价均超过了采购预算，采购人不能支付的；</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w:t>
      </w:r>
      <w:r>
        <w:rPr>
          <w:rFonts w:ascii="仿宋" w:hAnsi="仿宋" w:eastAsia="仿宋" w:cs="仿宋_GB2312"/>
          <w:color w:val="auto"/>
          <w:highlight w:val="none"/>
        </w:rPr>
        <w:t>因重大变故，采购任务取消的。</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废标后，采购机构应当将废标理由通知所有投标人。</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4.2</w:t>
      </w:r>
      <w:r>
        <w:rPr>
          <w:rFonts w:ascii="仿宋" w:hAnsi="仿宋" w:eastAsia="仿宋" w:cs="仿宋_GB2312"/>
          <w:color w:val="auto"/>
          <w:highlight w:val="none"/>
        </w:rPr>
        <w:t>修改</w:t>
      </w:r>
      <w:r>
        <w:rPr>
          <w:rFonts w:hint="eastAsia" w:ascii="仿宋" w:hAnsi="仿宋" w:eastAsia="仿宋" w:cs="仿宋_GB2312"/>
          <w:color w:val="auto"/>
          <w:highlight w:val="none"/>
        </w:rPr>
        <w:t>招标文件</w:t>
      </w:r>
      <w:r>
        <w:rPr>
          <w:rFonts w:ascii="仿宋" w:hAnsi="仿宋" w:eastAsia="仿宋" w:cs="仿宋_GB2312"/>
          <w:color w:val="auto"/>
          <w:highlight w:val="none"/>
        </w:rPr>
        <w:t>，重新组织采购活动。</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bookmarkEnd w:id="248"/>
    </w:p>
    <w:bookmarkEnd w:id="56"/>
    <w:bookmarkEnd w:id="57"/>
    <w:p>
      <w:pPr>
        <w:widowControl/>
        <w:adjustRightInd/>
        <w:jc w:val="left"/>
        <w:rPr>
          <w:rFonts w:ascii="仿宋" w:hAnsi="仿宋" w:eastAsia="仿宋"/>
          <w:color w:val="auto"/>
          <w:sz w:val="24"/>
          <w:highlight w:val="none"/>
        </w:rPr>
      </w:pPr>
    </w:p>
    <w:sectPr>
      <w:pgSz w:w="11907" w:h="16840"/>
      <w:pgMar w:top="1474" w:right="1814" w:bottom="1474" w:left="1814" w:header="851" w:footer="85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Futura Bk">
    <w:altName w:val="Segoe Print"/>
    <w:panose1 w:val="00000000000000000000"/>
    <w:charset w:val="00"/>
    <w:family w:val="auto"/>
    <w:pitch w:val="default"/>
    <w:sig w:usb0="00000000" w:usb1="00000000" w:usb2="00000000" w:usb3="00000000" w:csb0="00000011" w:csb1="0000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decorative"/>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Lucida Sans Unicode">
    <w:panose1 w:val="020B0602030504020204"/>
    <w:charset w:val="00"/>
    <w:family w:val="swiss"/>
    <w:pitch w:val="default"/>
    <w:sig w:usb0="80001AFF" w:usb1="0000396B" w:usb2="00000000" w:usb3="00000000" w:csb0="200000BF" w:csb1="D7F70000"/>
  </w:font>
  <w:font w:name="Helvetica">
    <w:panose1 w:val="020B0504020202030204"/>
    <w:charset w:val="00"/>
    <w:family w:val="swiss"/>
    <w:pitch w:val="default"/>
    <w:sig w:usb0="00000007" w:usb1="00000000" w:usb2="00000000" w:usb3="00000000" w:csb0="00000093" w:csb1="00000000"/>
  </w:font>
  <w:font w:name="FHLHE E+ Futura Bk">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Arial (W1)">
    <w:altName w:val="Arial"/>
    <w:panose1 w:val="00000000000000000000"/>
    <w:charset w:val="00"/>
    <w:family w:val="auto"/>
    <w:pitch w:val="default"/>
    <w:sig w:usb0="00000000" w:usb1="00000000" w:usb2="00000008" w:usb3="00000000" w:csb0="000001F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spacing w:before="1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spacing w:before="1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spacing w:before="1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pPr>
      <w:pStyle w:val="3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firstLine="4410" w:firstLineChars="2450"/>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hint="eastAsia" w:eastAsiaTheme="minorEastAsia"/>
        <w:lang w:eastAsia="zh-CN"/>
      </w:rPr>
    </w:pPr>
    <w:r>
      <w:rPr>
        <w:rFonts w:hint="eastAsia"/>
        <w:u w:val="single"/>
      </w:rPr>
      <w:t xml:space="preserve">                                                                        </w:t>
    </w:r>
    <w:r>
      <w:rPr>
        <w:rFonts w:hint="eastAsia"/>
        <w:u w:val="single"/>
        <w:lang w:eastAsia="zh-CN"/>
      </w:rPr>
      <w:t>政府采购询价采购文件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left="6660" w:hanging="6660" w:hangingChars="3700"/>
      <w:rPr>
        <w:rFonts w:hint="eastAsia" w:eastAsiaTheme="minorEastAsia"/>
        <w:lang w:eastAsia="zh-CN"/>
      </w:rPr>
    </w:pPr>
    <w:r>
      <w:rPr>
        <w:rFonts w:hint="eastAsia"/>
        <w:u w:val="single"/>
      </w:rPr>
      <w:t xml:space="preserve">                                                                        </w:t>
    </w:r>
    <w:r>
      <w:rPr>
        <w:rFonts w:hint="eastAsia"/>
        <w:u w:val="single"/>
        <w:lang w:eastAsia="zh-CN"/>
      </w:rPr>
      <w:t>政府采购询价采购文件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ind w:left="3" w:leftChars="1" w:right="-82" w:rightChars="-39" w:hanging="1" w:hangingChars="1"/>
      <w:jc w:val="left"/>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ind w:left="3" w:leftChars="1" w:right="-82" w:rightChars="-39" w:hanging="1" w:hangingChars="1"/>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E9917"/>
    <w:multiLevelType w:val="singleLevel"/>
    <w:tmpl w:val="9CCE9917"/>
    <w:lvl w:ilvl="0" w:tentative="0">
      <w:start w:val="4"/>
      <w:numFmt w:val="chineseCounting"/>
      <w:suff w:val="nothing"/>
      <w:lvlText w:val="%1、"/>
      <w:lvlJc w:val="left"/>
      <w:rPr>
        <w:rFonts w:hint="eastAsia"/>
      </w:rPr>
    </w:lvl>
  </w:abstractNum>
  <w:abstractNum w:abstractNumId="1">
    <w:nsid w:val="A88DE68D"/>
    <w:multiLevelType w:val="singleLevel"/>
    <w:tmpl w:val="A88DE68D"/>
    <w:lvl w:ilvl="0" w:tentative="0">
      <w:start w:val="3"/>
      <w:numFmt w:val="chineseCounting"/>
      <w:suff w:val="space"/>
      <w:lvlText w:val="第%1部分"/>
      <w:lvlJc w:val="left"/>
      <w:rPr>
        <w:rFonts w:hint="eastAsia"/>
      </w:rPr>
    </w:lvl>
  </w:abstractNum>
  <w:abstractNum w:abstractNumId="2">
    <w:nsid w:val="B1062931"/>
    <w:multiLevelType w:val="singleLevel"/>
    <w:tmpl w:val="B1062931"/>
    <w:lvl w:ilvl="0" w:tentative="0">
      <w:start w:val="2"/>
      <w:numFmt w:val="decimal"/>
      <w:suff w:val="nothing"/>
      <w:lvlText w:val="%1、"/>
      <w:lvlJc w:val="left"/>
    </w:lvl>
  </w:abstractNum>
  <w:abstractNum w:abstractNumId="3">
    <w:nsid w:val="C6C296BC"/>
    <w:multiLevelType w:val="singleLevel"/>
    <w:tmpl w:val="C6C296BC"/>
    <w:lvl w:ilvl="0" w:tentative="0">
      <w:start w:val="1"/>
      <w:numFmt w:val="chineseCounting"/>
      <w:suff w:val="nothing"/>
      <w:lvlText w:val="%1、"/>
      <w:lvlJc w:val="left"/>
      <w:rPr>
        <w:rFonts w:hint="eastAsia"/>
      </w:rPr>
    </w:lvl>
  </w:abstractNum>
  <w:abstractNum w:abstractNumId="4">
    <w:nsid w:val="D6D02A72"/>
    <w:multiLevelType w:val="singleLevel"/>
    <w:tmpl w:val="D6D02A72"/>
    <w:lvl w:ilvl="0" w:tentative="0">
      <w:start w:val="8"/>
      <w:numFmt w:val="decimal"/>
      <w:suff w:val="nothing"/>
      <w:lvlText w:val="%1、"/>
      <w:lvlJc w:val="left"/>
    </w:lvl>
  </w:abstractNum>
  <w:abstractNum w:abstractNumId="5">
    <w:nsid w:val="05CD60C6"/>
    <w:multiLevelType w:val="singleLevel"/>
    <w:tmpl w:val="05CD60C6"/>
    <w:lvl w:ilvl="0" w:tentative="0">
      <w:start w:val="1"/>
      <w:numFmt w:val="decimal"/>
      <w:suff w:val="nothing"/>
      <w:lvlText w:val="%1、"/>
      <w:lvlJc w:val="left"/>
    </w:lvl>
  </w:abstractNum>
  <w:abstractNum w:abstractNumId="6">
    <w:nsid w:val="40E0DDE9"/>
    <w:multiLevelType w:val="singleLevel"/>
    <w:tmpl w:val="40E0DDE9"/>
    <w:lvl w:ilvl="0" w:tentative="0">
      <w:start w:val="15"/>
      <w:numFmt w:val="decimal"/>
      <w:suff w:val="nothing"/>
      <w:lvlText w:val="%1、"/>
      <w:lvlJc w:val="left"/>
    </w:lvl>
  </w:abstractNum>
  <w:num w:numId="1">
    <w:abstractNumId w:val="5"/>
  </w:num>
  <w:num w:numId="2">
    <w:abstractNumId w:val="1"/>
  </w:num>
  <w:num w:numId="3">
    <w:abstractNumId w:val="3"/>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NTRkZWExYzc1MDBiMmM5Nzc3MTg0NzFjZjFiMzYifQ=="/>
  </w:docVars>
  <w:rsids>
    <w:rsidRoot w:val="0041735B"/>
    <w:rsid w:val="00006456"/>
    <w:rsid w:val="000244C4"/>
    <w:rsid w:val="00025D6D"/>
    <w:rsid w:val="00025DA2"/>
    <w:rsid w:val="00032149"/>
    <w:rsid w:val="000818CE"/>
    <w:rsid w:val="00090E12"/>
    <w:rsid w:val="000933DD"/>
    <w:rsid w:val="0009758B"/>
    <w:rsid w:val="000B2C0B"/>
    <w:rsid w:val="000B7CFE"/>
    <w:rsid w:val="000C479D"/>
    <w:rsid w:val="000C7A71"/>
    <w:rsid w:val="000D00CA"/>
    <w:rsid w:val="000D1D4E"/>
    <w:rsid w:val="000D74EC"/>
    <w:rsid w:val="000D75DB"/>
    <w:rsid w:val="00101C27"/>
    <w:rsid w:val="00113C55"/>
    <w:rsid w:val="001217E5"/>
    <w:rsid w:val="00122D24"/>
    <w:rsid w:val="00123D3F"/>
    <w:rsid w:val="0015627F"/>
    <w:rsid w:val="00174731"/>
    <w:rsid w:val="001906B5"/>
    <w:rsid w:val="00195681"/>
    <w:rsid w:val="0019582A"/>
    <w:rsid w:val="001A1625"/>
    <w:rsid w:val="001A298E"/>
    <w:rsid w:val="001B10DF"/>
    <w:rsid w:val="001B1C79"/>
    <w:rsid w:val="001C7B93"/>
    <w:rsid w:val="001D4B73"/>
    <w:rsid w:val="001E4B23"/>
    <w:rsid w:val="001E5514"/>
    <w:rsid w:val="001F0E62"/>
    <w:rsid w:val="00203E43"/>
    <w:rsid w:val="002044EE"/>
    <w:rsid w:val="00207766"/>
    <w:rsid w:val="002214CE"/>
    <w:rsid w:val="00231569"/>
    <w:rsid w:val="00250176"/>
    <w:rsid w:val="0025635A"/>
    <w:rsid w:val="00257DAF"/>
    <w:rsid w:val="00266140"/>
    <w:rsid w:val="00285EC2"/>
    <w:rsid w:val="00287C80"/>
    <w:rsid w:val="002B4D64"/>
    <w:rsid w:val="002B4D77"/>
    <w:rsid w:val="002B6509"/>
    <w:rsid w:val="002C2FE6"/>
    <w:rsid w:val="002C3761"/>
    <w:rsid w:val="002D02FC"/>
    <w:rsid w:val="002D4A93"/>
    <w:rsid w:val="002F67B8"/>
    <w:rsid w:val="00316D20"/>
    <w:rsid w:val="003432A4"/>
    <w:rsid w:val="003540EF"/>
    <w:rsid w:val="00355843"/>
    <w:rsid w:val="00371B76"/>
    <w:rsid w:val="00375DF1"/>
    <w:rsid w:val="00376087"/>
    <w:rsid w:val="00382163"/>
    <w:rsid w:val="00383012"/>
    <w:rsid w:val="003A0810"/>
    <w:rsid w:val="003B461A"/>
    <w:rsid w:val="003C0581"/>
    <w:rsid w:val="003C0FFA"/>
    <w:rsid w:val="003D21B2"/>
    <w:rsid w:val="003E0630"/>
    <w:rsid w:val="0041735B"/>
    <w:rsid w:val="00437A41"/>
    <w:rsid w:val="00446C5C"/>
    <w:rsid w:val="00467DFD"/>
    <w:rsid w:val="004716A1"/>
    <w:rsid w:val="0047423B"/>
    <w:rsid w:val="00491632"/>
    <w:rsid w:val="00494D26"/>
    <w:rsid w:val="00495236"/>
    <w:rsid w:val="004B3955"/>
    <w:rsid w:val="004F0109"/>
    <w:rsid w:val="004F3EC1"/>
    <w:rsid w:val="004F6B30"/>
    <w:rsid w:val="00500E62"/>
    <w:rsid w:val="00512644"/>
    <w:rsid w:val="00513CAC"/>
    <w:rsid w:val="00513E86"/>
    <w:rsid w:val="00534CD6"/>
    <w:rsid w:val="00554397"/>
    <w:rsid w:val="0055629E"/>
    <w:rsid w:val="00560B89"/>
    <w:rsid w:val="0056537B"/>
    <w:rsid w:val="00586122"/>
    <w:rsid w:val="00586AD1"/>
    <w:rsid w:val="00590386"/>
    <w:rsid w:val="0059704A"/>
    <w:rsid w:val="005E28FE"/>
    <w:rsid w:val="005F41F6"/>
    <w:rsid w:val="0060157C"/>
    <w:rsid w:val="0061168B"/>
    <w:rsid w:val="00611A2A"/>
    <w:rsid w:val="006121FD"/>
    <w:rsid w:val="0061313E"/>
    <w:rsid w:val="0062060D"/>
    <w:rsid w:val="006218DB"/>
    <w:rsid w:val="00621B89"/>
    <w:rsid w:val="00634267"/>
    <w:rsid w:val="00634B88"/>
    <w:rsid w:val="0066481D"/>
    <w:rsid w:val="00665E99"/>
    <w:rsid w:val="00682B0A"/>
    <w:rsid w:val="006B564C"/>
    <w:rsid w:val="006C2093"/>
    <w:rsid w:val="006D160F"/>
    <w:rsid w:val="006D5744"/>
    <w:rsid w:val="006D6BAC"/>
    <w:rsid w:val="006F3CE9"/>
    <w:rsid w:val="006F5944"/>
    <w:rsid w:val="007127E0"/>
    <w:rsid w:val="00725CC7"/>
    <w:rsid w:val="00734C75"/>
    <w:rsid w:val="00735F75"/>
    <w:rsid w:val="00744343"/>
    <w:rsid w:val="007540F0"/>
    <w:rsid w:val="00757B9E"/>
    <w:rsid w:val="00785ECA"/>
    <w:rsid w:val="007939B2"/>
    <w:rsid w:val="007B5199"/>
    <w:rsid w:val="007C4979"/>
    <w:rsid w:val="007D190F"/>
    <w:rsid w:val="007D2D5A"/>
    <w:rsid w:val="007E3B2C"/>
    <w:rsid w:val="007F0A1D"/>
    <w:rsid w:val="007F1DB8"/>
    <w:rsid w:val="007F358C"/>
    <w:rsid w:val="00801285"/>
    <w:rsid w:val="008136E8"/>
    <w:rsid w:val="00817A51"/>
    <w:rsid w:val="00824286"/>
    <w:rsid w:val="00824BFB"/>
    <w:rsid w:val="00841A70"/>
    <w:rsid w:val="008502F0"/>
    <w:rsid w:val="00850425"/>
    <w:rsid w:val="008642F2"/>
    <w:rsid w:val="00864E4E"/>
    <w:rsid w:val="00871C8F"/>
    <w:rsid w:val="00873462"/>
    <w:rsid w:val="00881EE7"/>
    <w:rsid w:val="008A322D"/>
    <w:rsid w:val="008B21B6"/>
    <w:rsid w:val="008B7012"/>
    <w:rsid w:val="008D0C6E"/>
    <w:rsid w:val="008D1288"/>
    <w:rsid w:val="008D448F"/>
    <w:rsid w:val="008D69DE"/>
    <w:rsid w:val="008F00E4"/>
    <w:rsid w:val="008F08DB"/>
    <w:rsid w:val="008F51F6"/>
    <w:rsid w:val="008F6025"/>
    <w:rsid w:val="008F7E15"/>
    <w:rsid w:val="00905C8A"/>
    <w:rsid w:val="00914DF0"/>
    <w:rsid w:val="00960A07"/>
    <w:rsid w:val="0097012C"/>
    <w:rsid w:val="00993480"/>
    <w:rsid w:val="009A282C"/>
    <w:rsid w:val="009A4983"/>
    <w:rsid w:val="009A791B"/>
    <w:rsid w:val="009B1EB6"/>
    <w:rsid w:val="009B7CF2"/>
    <w:rsid w:val="009D2C82"/>
    <w:rsid w:val="009D391F"/>
    <w:rsid w:val="009E7EB1"/>
    <w:rsid w:val="00A2264F"/>
    <w:rsid w:val="00A77A15"/>
    <w:rsid w:val="00A81A07"/>
    <w:rsid w:val="00A834D3"/>
    <w:rsid w:val="00A9254C"/>
    <w:rsid w:val="00AA01F8"/>
    <w:rsid w:val="00AA6140"/>
    <w:rsid w:val="00AC102E"/>
    <w:rsid w:val="00AC44A0"/>
    <w:rsid w:val="00AC6FF0"/>
    <w:rsid w:val="00AE1239"/>
    <w:rsid w:val="00AF4436"/>
    <w:rsid w:val="00AF65E6"/>
    <w:rsid w:val="00B018C8"/>
    <w:rsid w:val="00B040D3"/>
    <w:rsid w:val="00B12504"/>
    <w:rsid w:val="00B13870"/>
    <w:rsid w:val="00B138DB"/>
    <w:rsid w:val="00B30312"/>
    <w:rsid w:val="00B306AA"/>
    <w:rsid w:val="00B32C0F"/>
    <w:rsid w:val="00B3311A"/>
    <w:rsid w:val="00B3603C"/>
    <w:rsid w:val="00B456F8"/>
    <w:rsid w:val="00B52227"/>
    <w:rsid w:val="00B63BC5"/>
    <w:rsid w:val="00B73F11"/>
    <w:rsid w:val="00B77CE3"/>
    <w:rsid w:val="00B8072E"/>
    <w:rsid w:val="00B857C7"/>
    <w:rsid w:val="00BA07FF"/>
    <w:rsid w:val="00BA2808"/>
    <w:rsid w:val="00BA4E07"/>
    <w:rsid w:val="00BB3011"/>
    <w:rsid w:val="00BD1A89"/>
    <w:rsid w:val="00BD57A8"/>
    <w:rsid w:val="00BD6CAD"/>
    <w:rsid w:val="00BE55D5"/>
    <w:rsid w:val="00BF2EC0"/>
    <w:rsid w:val="00C421AE"/>
    <w:rsid w:val="00C54211"/>
    <w:rsid w:val="00C554C6"/>
    <w:rsid w:val="00C56E32"/>
    <w:rsid w:val="00C75286"/>
    <w:rsid w:val="00C755AC"/>
    <w:rsid w:val="00C75D28"/>
    <w:rsid w:val="00C80189"/>
    <w:rsid w:val="00C978FB"/>
    <w:rsid w:val="00CB6FE7"/>
    <w:rsid w:val="00CC598D"/>
    <w:rsid w:val="00CD0A97"/>
    <w:rsid w:val="00CD4CFA"/>
    <w:rsid w:val="00CD7399"/>
    <w:rsid w:val="00CE00D6"/>
    <w:rsid w:val="00D075A9"/>
    <w:rsid w:val="00D077F9"/>
    <w:rsid w:val="00D123AE"/>
    <w:rsid w:val="00D156F7"/>
    <w:rsid w:val="00D2085D"/>
    <w:rsid w:val="00D264AD"/>
    <w:rsid w:val="00D40289"/>
    <w:rsid w:val="00D437CD"/>
    <w:rsid w:val="00D43DF0"/>
    <w:rsid w:val="00D55A52"/>
    <w:rsid w:val="00D61BF6"/>
    <w:rsid w:val="00D7141D"/>
    <w:rsid w:val="00D73CEB"/>
    <w:rsid w:val="00D75CE2"/>
    <w:rsid w:val="00D8433A"/>
    <w:rsid w:val="00DC016B"/>
    <w:rsid w:val="00DC2AE0"/>
    <w:rsid w:val="00DD0529"/>
    <w:rsid w:val="00DD6C8A"/>
    <w:rsid w:val="00E07025"/>
    <w:rsid w:val="00E13D42"/>
    <w:rsid w:val="00E14E48"/>
    <w:rsid w:val="00E16B1E"/>
    <w:rsid w:val="00E228DE"/>
    <w:rsid w:val="00E3251F"/>
    <w:rsid w:val="00EA0D73"/>
    <w:rsid w:val="00EE23B3"/>
    <w:rsid w:val="00EE601A"/>
    <w:rsid w:val="00EE62FC"/>
    <w:rsid w:val="00EF12A5"/>
    <w:rsid w:val="00EF1DE3"/>
    <w:rsid w:val="00EF6408"/>
    <w:rsid w:val="00EF7632"/>
    <w:rsid w:val="00EF788A"/>
    <w:rsid w:val="00F25DD9"/>
    <w:rsid w:val="00F264A2"/>
    <w:rsid w:val="00F46AC9"/>
    <w:rsid w:val="00F65871"/>
    <w:rsid w:val="00FB06BC"/>
    <w:rsid w:val="00FC02BF"/>
    <w:rsid w:val="00FC3129"/>
    <w:rsid w:val="00FE150A"/>
    <w:rsid w:val="00FF01A3"/>
    <w:rsid w:val="00FF49D3"/>
    <w:rsid w:val="00FF52D0"/>
    <w:rsid w:val="00FF675A"/>
    <w:rsid w:val="01311D17"/>
    <w:rsid w:val="013B4944"/>
    <w:rsid w:val="01487061"/>
    <w:rsid w:val="01580FCE"/>
    <w:rsid w:val="01903B90"/>
    <w:rsid w:val="019F7D7F"/>
    <w:rsid w:val="01BB362D"/>
    <w:rsid w:val="01D27386"/>
    <w:rsid w:val="01FE4E83"/>
    <w:rsid w:val="022E6257"/>
    <w:rsid w:val="02571C51"/>
    <w:rsid w:val="02BD75DA"/>
    <w:rsid w:val="02DC5CB3"/>
    <w:rsid w:val="02DE716B"/>
    <w:rsid w:val="02F3272A"/>
    <w:rsid w:val="0328388E"/>
    <w:rsid w:val="0353376C"/>
    <w:rsid w:val="036208AE"/>
    <w:rsid w:val="037C127E"/>
    <w:rsid w:val="03906A9D"/>
    <w:rsid w:val="03C659E1"/>
    <w:rsid w:val="03CE5F43"/>
    <w:rsid w:val="03DF395B"/>
    <w:rsid w:val="03E219EE"/>
    <w:rsid w:val="03E80687"/>
    <w:rsid w:val="03F30358"/>
    <w:rsid w:val="041B3134"/>
    <w:rsid w:val="04257D07"/>
    <w:rsid w:val="044B7594"/>
    <w:rsid w:val="04521333"/>
    <w:rsid w:val="04635A3A"/>
    <w:rsid w:val="048E7259"/>
    <w:rsid w:val="04FB3165"/>
    <w:rsid w:val="0501449A"/>
    <w:rsid w:val="05355B4E"/>
    <w:rsid w:val="05854303"/>
    <w:rsid w:val="05C375FE"/>
    <w:rsid w:val="05CC0260"/>
    <w:rsid w:val="05FB6D97"/>
    <w:rsid w:val="062C230C"/>
    <w:rsid w:val="062C5A73"/>
    <w:rsid w:val="06330E60"/>
    <w:rsid w:val="06780DA6"/>
    <w:rsid w:val="0685105F"/>
    <w:rsid w:val="071C6FC5"/>
    <w:rsid w:val="07247C28"/>
    <w:rsid w:val="07281CFA"/>
    <w:rsid w:val="07577FFE"/>
    <w:rsid w:val="07682B94"/>
    <w:rsid w:val="077C7A64"/>
    <w:rsid w:val="07BC60B3"/>
    <w:rsid w:val="07F01FE5"/>
    <w:rsid w:val="07F20CC6"/>
    <w:rsid w:val="08316F5E"/>
    <w:rsid w:val="08367AFD"/>
    <w:rsid w:val="08381BDD"/>
    <w:rsid w:val="08A51890"/>
    <w:rsid w:val="08C01BD2"/>
    <w:rsid w:val="091268D2"/>
    <w:rsid w:val="097C01EF"/>
    <w:rsid w:val="09B230C9"/>
    <w:rsid w:val="09D45935"/>
    <w:rsid w:val="0A0D1B14"/>
    <w:rsid w:val="0A222B45"/>
    <w:rsid w:val="0A8D59B6"/>
    <w:rsid w:val="0ACA6D38"/>
    <w:rsid w:val="0ADB2CF4"/>
    <w:rsid w:val="0B057D70"/>
    <w:rsid w:val="0B061FF2"/>
    <w:rsid w:val="0B3B3792"/>
    <w:rsid w:val="0B57547A"/>
    <w:rsid w:val="0B674587"/>
    <w:rsid w:val="0BD0316E"/>
    <w:rsid w:val="0BE87F23"/>
    <w:rsid w:val="0BEF55E8"/>
    <w:rsid w:val="0C48085D"/>
    <w:rsid w:val="0CA267B8"/>
    <w:rsid w:val="0CA87D56"/>
    <w:rsid w:val="0CB30D96"/>
    <w:rsid w:val="0D0A78C0"/>
    <w:rsid w:val="0D442DD2"/>
    <w:rsid w:val="0D9D7B4A"/>
    <w:rsid w:val="0DBC28A3"/>
    <w:rsid w:val="0E0B7D94"/>
    <w:rsid w:val="0E470868"/>
    <w:rsid w:val="0E4D19D8"/>
    <w:rsid w:val="0ECD1479"/>
    <w:rsid w:val="0EDD4088"/>
    <w:rsid w:val="0EE066F8"/>
    <w:rsid w:val="0F331F1C"/>
    <w:rsid w:val="0F39623B"/>
    <w:rsid w:val="0F3B2206"/>
    <w:rsid w:val="0F9C4754"/>
    <w:rsid w:val="0FAE6C29"/>
    <w:rsid w:val="0FDA7A1E"/>
    <w:rsid w:val="0FE52296"/>
    <w:rsid w:val="0FE67B78"/>
    <w:rsid w:val="0FEB5787"/>
    <w:rsid w:val="100827DD"/>
    <w:rsid w:val="101C0036"/>
    <w:rsid w:val="102E1B18"/>
    <w:rsid w:val="10494F6A"/>
    <w:rsid w:val="106F4F4B"/>
    <w:rsid w:val="107A6169"/>
    <w:rsid w:val="10835E06"/>
    <w:rsid w:val="10BC3295"/>
    <w:rsid w:val="10CD30DE"/>
    <w:rsid w:val="10EA0134"/>
    <w:rsid w:val="10ED552F"/>
    <w:rsid w:val="111E3E94"/>
    <w:rsid w:val="112A6783"/>
    <w:rsid w:val="112E6273"/>
    <w:rsid w:val="112F5B47"/>
    <w:rsid w:val="11441967"/>
    <w:rsid w:val="114C6BFF"/>
    <w:rsid w:val="115C76E3"/>
    <w:rsid w:val="11A007F3"/>
    <w:rsid w:val="11F34DC7"/>
    <w:rsid w:val="12260CF8"/>
    <w:rsid w:val="123B391B"/>
    <w:rsid w:val="124B69B1"/>
    <w:rsid w:val="12673EBC"/>
    <w:rsid w:val="12B45548"/>
    <w:rsid w:val="12CD73C6"/>
    <w:rsid w:val="12E129EC"/>
    <w:rsid w:val="13EB302D"/>
    <w:rsid w:val="14154EFF"/>
    <w:rsid w:val="14353475"/>
    <w:rsid w:val="14863CD0"/>
    <w:rsid w:val="14A83076"/>
    <w:rsid w:val="15007F26"/>
    <w:rsid w:val="150317C5"/>
    <w:rsid w:val="15392994"/>
    <w:rsid w:val="154138FB"/>
    <w:rsid w:val="15484F44"/>
    <w:rsid w:val="15915022"/>
    <w:rsid w:val="159912D2"/>
    <w:rsid w:val="15AB1938"/>
    <w:rsid w:val="15B351E1"/>
    <w:rsid w:val="15E213DA"/>
    <w:rsid w:val="15E74C42"/>
    <w:rsid w:val="160378D0"/>
    <w:rsid w:val="16102A2E"/>
    <w:rsid w:val="16102BDF"/>
    <w:rsid w:val="161B4F38"/>
    <w:rsid w:val="16521759"/>
    <w:rsid w:val="165E17E9"/>
    <w:rsid w:val="1662251B"/>
    <w:rsid w:val="166B7621"/>
    <w:rsid w:val="16755A8B"/>
    <w:rsid w:val="168976C2"/>
    <w:rsid w:val="16B95677"/>
    <w:rsid w:val="16D276A1"/>
    <w:rsid w:val="16E13788"/>
    <w:rsid w:val="16F4640E"/>
    <w:rsid w:val="17090456"/>
    <w:rsid w:val="179C380B"/>
    <w:rsid w:val="17A74689"/>
    <w:rsid w:val="17F65611"/>
    <w:rsid w:val="181148FA"/>
    <w:rsid w:val="181B5077"/>
    <w:rsid w:val="188A2794"/>
    <w:rsid w:val="188E5849"/>
    <w:rsid w:val="18B04A90"/>
    <w:rsid w:val="18BC4164"/>
    <w:rsid w:val="18C1177B"/>
    <w:rsid w:val="18DC6CFC"/>
    <w:rsid w:val="19063631"/>
    <w:rsid w:val="19324427"/>
    <w:rsid w:val="198706A5"/>
    <w:rsid w:val="19A05B04"/>
    <w:rsid w:val="19A54BF8"/>
    <w:rsid w:val="19B0616D"/>
    <w:rsid w:val="19C31477"/>
    <w:rsid w:val="19E25B72"/>
    <w:rsid w:val="19E80BA9"/>
    <w:rsid w:val="19FA13E8"/>
    <w:rsid w:val="19FC0F10"/>
    <w:rsid w:val="1A3C0808"/>
    <w:rsid w:val="1A8C400A"/>
    <w:rsid w:val="1AEB2ADF"/>
    <w:rsid w:val="1B674D2E"/>
    <w:rsid w:val="1B7C1F44"/>
    <w:rsid w:val="1B7C407F"/>
    <w:rsid w:val="1BAD1C9A"/>
    <w:rsid w:val="1C247566"/>
    <w:rsid w:val="1C3F67D4"/>
    <w:rsid w:val="1C8F393E"/>
    <w:rsid w:val="1CD629DA"/>
    <w:rsid w:val="1D33580E"/>
    <w:rsid w:val="1D574A33"/>
    <w:rsid w:val="1D622609"/>
    <w:rsid w:val="1D755FD8"/>
    <w:rsid w:val="1D7831F1"/>
    <w:rsid w:val="1DB137B3"/>
    <w:rsid w:val="1DD14466"/>
    <w:rsid w:val="1E1541CE"/>
    <w:rsid w:val="1E5348E9"/>
    <w:rsid w:val="1E7352C5"/>
    <w:rsid w:val="1E8C6387"/>
    <w:rsid w:val="1EA77665"/>
    <w:rsid w:val="1EA9518B"/>
    <w:rsid w:val="1EBB6C6C"/>
    <w:rsid w:val="1ED0096A"/>
    <w:rsid w:val="1EE73F05"/>
    <w:rsid w:val="1F006F90"/>
    <w:rsid w:val="1F674E23"/>
    <w:rsid w:val="1F946F4A"/>
    <w:rsid w:val="1FBF453A"/>
    <w:rsid w:val="1FCA5834"/>
    <w:rsid w:val="20847C5E"/>
    <w:rsid w:val="208953E1"/>
    <w:rsid w:val="20943C19"/>
    <w:rsid w:val="209E5AEC"/>
    <w:rsid w:val="20B403C1"/>
    <w:rsid w:val="20B83BE7"/>
    <w:rsid w:val="20D02EA3"/>
    <w:rsid w:val="212136FE"/>
    <w:rsid w:val="213D7E0C"/>
    <w:rsid w:val="21442F49"/>
    <w:rsid w:val="221C4CEE"/>
    <w:rsid w:val="222D7AB4"/>
    <w:rsid w:val="22680EB9"/>
    <w:rsid w:val="229A36C5"/>
    <w:rsid w:val="22B50492"/>
    <w:rsid w:val="22B8569B"/>
    <w:rsid w:val="23212C52"/>
    <w:rsid w:val="23420371"/>
    <w:rsid w:val="235558E1"/>
    <w:rsid w:val="236B605A"/>
    <w:rsid w:val="23A31F79"/>
    <w:rsid w:val="23C443A8"/>
    <w:rsid w:val="243B392E"/>
    <w:rsid w:val="244A678E"/>
    <w:rsid w:val="246D0A09"/>
    <w:rsid w:val="247022A7"/>
    <w:rsid w:val="248269CB"/>
    <w:rsid w:val="24877D1C"/>
    <w:rsid w:val="24883A94"/>
    <w:rsid w:val="24C820E3"/>
    <w:rsid w:val="24C85B57"/>
    <w:rsid w:val="25415F17"/>
    <w:rsid w:val="256F255E"/>
    <w:rsid w:val="25783BC2"/>
    <w:rsid w:val="25E90563"/>
    <w:rsid w:val="26101194"/>
    <w:rsid w:val="265C0D35"/>
    <w:rsid w:val="266165B8"/>
    <w:rsid w:val="26633128"/>
    <w:rsid w:val="266C38AC"/>
    <w:rsid w:val="26AA5F44"/>
    <w:rsid w:val="26B446CD"/>
    <w:rsid w:val="271B299E"/>
    <w:rsid w:val="27393A05"/>
    <w:rsid w:val="27483067"/>
    <w:rsid w:val="276A7481"/>
    <w:rsid w:val="277F117F"/>
    <w:rsid w:val="278E3170"/>
    <w:rsid w:val="27BA21B7"/>
    <w:rsid w:val="27D17500"/>
    <w:rsid w:val="27D4758C"/>
    <w:rsid w:val="27F05BD9"/>
    <w:rsid w:val="280C22E7"/>
    <w:rsid w:val="28355CE1"/>
    <w:rsid w:val="2899001E"/>
    <w:rsid w:val="28AC5FA3"/>
    <w:rsid w:val="28FF5FEB"/>
    <w:rsid w:val="293E7071"/>
    <w:rsid w:val="295201CD"/>
    <w:rsid w:val="296A19BB"/>
    <w:rsid w:val="29DF4157"/>
    <w:rsid w:val="29F574D6"/>
    <w:rsid w:val="2A225DF1"/>
    <w:rsid w:val="2A8E0F03"/>
    <w:rsid w:val="2AB33980"/>
    <w:rsid w:val="2ACD0453"/>
    <w:rsid w:val="2AE9690F"/>
    <w:rsid w:val="2AF552B4"/>
    <w:rsid w:val="2B145EDC"/>
    <w:rsid w:val="2B2924BB"/>
    <w:rsid w:val="2B4D6E9E"/>
    <w:rsid w:val="2B726905"/>
    <w:rsid w:val="2B7B3A0B"/>
    <w:rsid w:val="2B920338"/>
    <w:rsid w:val="2BCC2FE7"/>
    <w:rsid w:val="2C5D1363"/>
    <w:rsid w:val="2C5F157F"/>
    <w:rsid w:val="2CB342C5"/>
    <w:rsid w:val="2CDC3E8F"/>
    <w:rsid w:val="2CDC672B"/>
    <w:rsid w:val="2CEA5317"/>
    <w:rsid w:val="2CFE66A2"/>
    <w:rsid w:val="2D355E3C"/>
    <w:rsid w:val="2D686211"/>
    <w:rsid w:val="2D7A3DA8"/>
    <w:rsid w:val="2DAE631A"/>
    <w:rsid w:val="2E4A1E7F"/>
    <w:rsid w:val="2E7854C2"/>
    <w:rsid w:val="2E9B7A70"/>
    <w:rsid w:val="2EBE07DF"/>
    <w:rsid w:val="2EE64385"/>
    <w:rsid w:val="2F0361F1"/>
    <w:rsid w:val="2F163A84"/>
    <w:rsid w:val="2F3F32AB"/>
    <w:rsid w:val="2F435983"/>
    <w:rsid w:val="2F445198"/>
    <w:rsid w:val="2F5702EB"/>
    <w:rsid w:val="2F755BC5"/>
    <w:rsid w:val="2FA04388"/>
    <w:rsid w:val="2FD75361"/>
    <w:rsid w:val="30B31E99"/>
    <w:rsid w:val="30BC6FA0"/>
    <w:rsid w:val="30ED53AB"/>
    <w:rsid w:val="31322DBE"/>
    <w:rsid w:val="31450D90"/>
    <w:rsid w:val="31655ADA"/>
    <w:rsid w:val="317D34FD"/>
    <w:rsid w:val="31CA1DD2"/>
    <w:rsid w:val="31D75713"/>
    <w:rsid w:val="3207249C"/>
    <w:rsid w:val="322A1E2D"/>
    <w:rsid w:val="322E5C7B"/>
    <w:rsid w:val="32425033"/>
    <w:rsid w:val="3296737C"/>
    <w:rsid w:val="336C6D41"/>
    <w:rsid w:val="33AE4F4B"/>
    <w:rsid w:val="34270BD4"/>
    <w:rsid w:val="348E2A01"/>
    <w:rsid w:val="34DA79F4"/>
    <w:rsid w:val="34E70363"/>
    <w:rsid w:val="34F211E2"/>
    <w:rsid w:val="35120D2A"/>
    <w:rsid w:val="35123632"/>
    <w:rsid w:val="3546508A"/>
    <w:rsid w:val="355B1AFB"/>
    <w:rsid w:val="35647C06"/>
    <w:rsid w:val="357D4824"/>
    <w:rsid w:val="359D0807"/>
    <w:rsid w:val="35A95619"/>
    <w:rsid w:val="35F76384"/>
    <w:rsid w:val="360C62D3"/>
    <w:rsid w:val="364517E5"/>
    <w:rsid w:val="365E28A7"/>
    <w:rsid w:val="369611E6"/>
    <w:rsid w:val="36BB1AA7"/>
    <w:rsid w:val="36CF10AF"/>
    <w:rsid w:val="36E0150E"/>
    <w:rsid w:val="37113475"/>
    <w:rsid w:val="374D7298"/>
    <w:rsid w:val="377C4090"/>
    <w:rsid w:val="37B22EAA"/>
    <w:rsid w:val="37CB7AC8"/>
    <w:rsid w:val="37F30556"/>
    <w:rsid w:val="386069A1"/>
    <w:rsid w:val="388D0741"/>
    <w:rsid w:val="38924AB8"/>
    <w:rsid w:val="38E250CA"/>
    <w:rsid w:val="395153ED"/>
    <w:rsid w:val="395A7356"/>
    <w:rsid w:val="395F4E58"/>
    <w:rsid w:val="398C3287"/>
    <w:rsid w:val="399B34CA"/>
    <w:rsid w:val="39EE3E95"/>
    <w:rsid w:val="3A296D28"/>
    <w:rsid w:val="3A335AB8"/>
    <w:rsid w:val="3A4818A4"/>
    <w:rsid w:val="3A4923F5"/>
    <w:rsid w:val="3A59760D"/>
    <w:rsid w:val="3A8A3C6B"/>
    <w:rsid w:val="3AC32CD9"/>
    <w:rsid w:val="3ACE069C"/>
    <w:rsid w:val="3AD273C0"/>
    <w:rsid w:val="3AE149F6"/>
    <w:rsid w:val="3B251BE5"/>
    <w:rsid w:val="3BA40D5C"/>
    <w:rsid w:val="3BA42B0A"/>
    <w:rsid w:val="3BB50675"/>
    <w:rsid w:val="3BD01B51"/>
    <w:rsid w:val="3BE23632"/>
    <w:rsid w:val="3BED5499"/>
    <w:rsid w:val="3BFF2436"/>
    <w:rsid w:val="3C4165AB"/>
    <w:rsid w:val="3C597D99"/>
    <w:rsid w:val="3C795D45"/>
    <w:rsid w:val="3C920B27"/>
    <w:rsid w:val="3CE84C78"/>
    <w:rsid w:val="3D0C0967"/>
    <w:rsid w:val="3D16343B"/>
    <w:rsid w:val="3D804EB1"/>
    <w:rsid w:val="3D9B618F"/>
    <w:rsid w:val="3DB77E8F"/>
    <w:rsid w:val="3DC1203B"/>
    <w:rsid w:val="3DEB0EC4"/>
    <w:rsid w:val="3E1D76EB"/>
    <w:rsid w:val="3E42660A"/>
    <w:rsid w:val="3E4B1750"/>
    <w:rsid w:val="3E570308"/>
    <w:rsid w:val="3E890A18"/>
    <w:rsid w:val="3ECB6600"/>
    <w:rsid w:val="3ED33EE1"/>
    <w:rsid w:val="3EEB49AE"/>
    <w:rsid w:val="3F0365C7"/>
    <w:rsid w:val="3F117E00"/>
    <w:rsid w:val="3F19380F"/>
    <w:rsid w:val="3F3C12AC"/>
    <w:rsid w:val="3F402B4A"/>
    <w:rsid w:val="3F586F44"/>
    <w:rsid w:val="3F632CDC"/>
    <w:rsid w:val="3F6C1F7A"/>
    <w:rsid w:val="3F912498"/>
    <w:rsid w:val="3F9626D5"/>
    <w:rsid w:val="3FAC558B"/>
    <w:rsid w:val="3FBA57AE"/>
    <w:rsid w:val="3FBB6674"/>
    <w:rsid w:val="3FF71D3F"/>
    <w:rsid w:val="3FFA719D"/>
    <w:rsid w:val="40F260C6"/>
    <w:rsid w:val="41024304"/>
    <w:rsid w:val="410B53D9"/>
    <w:rsid w:val="4148218A"/>
    <w:rsid w:val="41562AF9"/>
    <w:rsid w:val="416E4AF9"/>
    <w:rsid w:val="418D5DEE"/>
    <w:rsid w:val="41B810BD"/>
    <w:rsid w:val="42091919"/>
    <w:rsid w:val="422F4421"/>
    <w:rsid w:val="42382F1A"/>
    <w:rsid w:val="423F7B2F"/>
    <w:rsid w:val="42621029"/>
    <w:rsid w:val="42A33B1C"/>
    <w:rsid w:val="42C13FA2"/>
    <w:rsid w:val="42DE360E"/>
    <w:rsid w:val="43106CD7"/>
    <w:rsid w:val="437366DA"/>
    <w:rsid w:val="43C844ED"/>
    <w:rsid w:val="43FE1BC4"/>
    <w:rsid w:val="443F4B94"/>
    <w:rsid w:val="445A645C"/>
    <w:rsid w:val="44624498"/>
    <w:rsid w:val="447D214A"/>
    <w:rsid w:val="447F4114"/>
    <w:rsid w:val="44BF3A62"/>
    <w:rsid w:val="44FC7513"/>
    <w:rsid w:val="45213430"/>
    <w:rsid w:val="454C7503"/>
    <w:rsid w:val="458D0AB3"/>
    <w:rsid w:val="459643CA"/>
    <w:rsid w:val="459C4852"/>
    <w:rsid w:val="45A007E6"/>
    <w:rsid w:val="45C33A1E"/>
    <w:rsid w:val="45D64208"/>
    <w:rsid w:val="46142C32"/>
    <w:rsid w:val="4642189D"/>
    <w:rsid w:val="46725C77"/>
    <w:rsid w:val="468D0EC2"/>
    <w:rsid w:val="46AF46EA"/>
    <w:rsid w:val="4709076B"/>
    <w:rsid w:val="47137532"/>
    <w:rsid w:val="47190850"/>
    <w:rsid w:val="47280A93"/>
    <w:rsid w:val="47DB5B06"/>
    <w:rsid w:val="47E14CCD"/>
    <w:rsid w:val="47ED75E7"/>
    <w:rsid w:val="481E1E96"/>
    <w:rsid w:val="48221986"/>
    <w:rsid w:val="487F05E9"/>
    <w:rsid w:val="48AF2AEE"/>
    <w:rsid w:val="48BE22E2"/>
    <w:rsid w:val="48BF0F83"/>
    <w:rsid w:val="48EE7ABB"/>
    <w:rsid w:val="49211C3E"/>
    <w:rsid w:val="49496A9F"/>
    <w:rsid w:val="494D18F5"/>
    <w:rsid w:val="496234D0"/>
    <w:rsid w:val="49845D29"/>
    <w:rsid w:val="49B62E33"/>
    <w:rsid w:val="49E862B8"/>
    <w:rsid w:val="4A075620"/>
    <w:rsid w:val="4A2D63C1"/>
    <w:rsid w:val="4A407EA2"/>
    <w:rsid w:val="4BC67EC9"/>
    <w:rsid w:val="4BED4059"/>
    <w:rsid w:val="4C07336D"/>
    <w:rsid w:val="4C1415E6"/>
    <w:rsid w:val="4C1C049B"/>
    <w:rsid w:val="4C287461"/>
    <w:rsid w:val="4C5B0FC3"/>
    <w:rsid w:val="4C871DB8"/>
    <w:rsid w:val="4CE372B9"/>
    <w:rsid w:val="4D393869"/>
    <w:rsid w:val="4D3A32CE"/>
    <w:rsid w:val="4D73058E"/>
    <w:rsid w:val="4D89497E"/>
    <w:rsid w:val="4DA70E10"/>
    <w:rsid w:val="4DB43081"/>
    <w:rsid w:val="4DF62D80"/>
    <w:rsid w:val="4E0F6509"/>
    <w:rsid w:val="4F043129"/>
    <w:rsid w:val="4F29184C"/>
    <w:rsid w:val="4F324938"/>
    <w:rsid w:val="4F5F4839"/>
    <w:rsid w:val="4F8447A9"/>
    <w:rsid w:val="4FAE26A7"/>
    <w:rsid w:val="4FC52CD7"/>
    <w:rsid w:val="50010A2F"/>
    <w:rsid w:val="50031FFC"/>
    <w:rsid w:val="503C110B"/>
    <w:rsid w:val="50BD4098"/>
    <w:rsid w:val="50C07F8E"/>
    <w:rsid w:val="50E22836"/>
    <w:rsid w:val="50EE4C4E"/>
    <w:rsid w:val="51516E38"/>
    <w:rsid w:val="517F61AE"/>
    <w:rsid w:val="51924CFB"/>
    <w:rsid w:val="51C71A20"/>
    <w:rsid w:val="51EF0567"/>
    <w:rsid w:val="522F7782"/>
    <w:rsid w:val="52636E23"/>
    <w:rsid w:val="52704A24"/>
    <w:rsid w:val="527C6137"/>
    <w:rsid w:val="52A07741"/>
    <w:rsid w:val="53605111"/>
    <w:rsid w:val="53BD0E11"/>
    <w:rsid w:val="54071A30"/>
    <w:rsid w:val="54106A36"/>
    <w:rsid w:val="5423646A"/>
    <w:rsid w:val="544B5DC1"/>
    <w:rsid w:val="545C1D7C"/>
    <w:rsid w:val="545F171A"/>
    <w:rsid w:val="548B440F"/>
    <w:rsid w:val="54AB503B"/>
    <w:rsid w:val="54C66FB3"/>
    <w:rsid w:val="554E2652"/>
    <w:rsid w:val="555509A6"/>
    <w:rsid w:val="55766D49"/>
    <w:rsid w:val="558275C0"/>
    <w:rsid w:val="55F11062"/>
    <w:rsid w:val="55FC3100"/>
    <w:rsid w:val="56352885"/>
    <w:rsid w:val="564E304F"/>
    <w:rsid w:val="56AC1C45"/>
    <w:rsid w:val="56B3679B"/>
    <w:rsid w:val="56DA585D"/>
    <w:rsid w:val="56EB388B"/>
    <w:rsid w:val="56F50266"/>
    <w:rsid w:val="57034731"/>
    <w:rsid w:val="57483929"/>
    <w:rsid w:val="574D3BFE"/>
    <w:rsid w:val="57533FC8"/>
    <w:rsid w:val="57680A38"/>
    <w:rsid w:val="57817C32"/>
    <w:rsid w:val="57D80027"/>
    <w:rsid w:val="57F862A3"/>
    <w:rsid w:val="58690F0C"/>
    <w:rsid w:val="586C27AA"/>
    <w:rsid w:val="58A14202"/>
    <w:rsid w:val="58B64415"/>
    <w:rsid w:val="58BC54DF"/>
    <w:rsid w:val="58C223CA"/>
    <w:rsid w:val="58CB5722"/>
    <w:rsid w:val="58F87C3A"/>
    <w:rsid w:val="59A71CEC"/>
    <w:rsid w:val="59B037A7"/>
    <w:rsid w:val="59B96BA5"/>
    <w:rsid w:val="59BE2DD2"/>
    <w:rsid w:val="59FB4018"/>
    <w:rsid w:val="5A09788E"/>
    <w:rsid w:val="5A234E84"/>
    <w:rsid w:val="5A7C61FC"/>
    <w:rsid w:val="5A7F4A16"/>
    <w:rsid w:val="5AC266B1"/>
    <w:rsid w:val="5B0F5D9A"/>
    <w:rsid w:val="5B1433B1"/>
    <w:rsid w:val="5B341EE4"/>
    <w:rsid w:val="5B3F5F54"/>
    <w:rsid w:val="5B4357AD"/>
    <w:rsid w:val="5B442B21"/>
    <w:rsid w:val="5B6F4A8B"/>
    <w:rsid w:val="5BBE156E"/>
    <w:rsid w:val="5BCB410A"/>
    <w:rsid w:val="5BCE04AE"/>
    <w:rsid w:val="5BDFF6B4"/>
    <w:rsid w:val="5C2A6C04"/>
    <w:rsid w:val="5C561580"/>
    <w:rsid w:val="5C981CC6"/>
    <w:rsid w:val="5CCB7A9F"/>
    <w:rsid w:val="5D213B63"/>
    <w:rsid w:val="5D3C274B"/>
    <w:rsid w:val="5D612666"/>
    <w:rsid w:val="5DB56055"/>
    <w:rsid w:val="5DB76275"/>
    <w:rsid w:val="5DDB1F64"/>
    <w:rsid w:val="5E174ED2"/>
    <w:rsid w:val="5E1B4A56"/>
    <w:rsid w:val="5E20337F"/>
    <w:rsid w:val="5E5B2639"/>
    <w:rsid w:val="5EA26F25"/>
    <w:rsid w:val="5EED6EBE"/>
    <w:rsid w:val="5EF3058A"/>
    <w:rsid w:val="5F24793A"/>
    <w:rsid w:val="5F2F4D3A"/>
    <w:rsid w:val="5F526256"/>
    <w:rsid w:val="5F840C85"/>
    <w:rsid w:val="5F9562CC"/>
    <w:rsid w:val="5FA95D16"/>
    <w:rsid w:val="5FB4017C"/>
    <w:rsid w:val="5FEC48FC"/>
    <w:rsid w:val="5FEE5D4A"/>
    <w:rsid w:val="5FF612D7"/>
    <w:rsid w:val="6005151A"/>
    <w:rsid w:val="600D03CE"/>
    <w:rsid w:val="60622047"/>
    <w:rsid w:val="60861340"/>
    <w:rsid w:val="60883EF9"/>
    <w:rsid w:val="60A413FB"/>
    <w:rsid w:val="60B63C78"/>
    <w:rsid w:val="60BA6298"/>
    <w:rsid w:val="61306A6A"/>
    <w:rsid w:val="615C785F"/>
    <w:rsid w:val="61720E31"/>
    <w:rsid w:val="61840EB3"/>
    <w:rsid w:val="61DF1A53"/>
    <w:rsid w:val="61E7199A"/>
    <w:rsid w:val="61F525B5"/>
    <w:rsid w:val="62137C70"/>
    <w:rsid w:val="62620EA5"/>
    <w:rsid w:val="62637B36"/>
    <w:rsid w:val="62864468"/>
    <w:rsid w:val="6356208C"/>
    <w:rsid w:val="638B442C"/>
    <w:rsid w:val="639D5F0D"/>
    <w:rsid w:val="63BC6393"/>
    <w:rsid w:val="63CE4319"/>
    <w:rsid w:val="63E92F01"/>
    <w:rsid w:val="63F0428F"/>
    <w:rsid w:val="63F55D49"/>
    <w:rsid w:val="640C0346"/>
    <w:rsid w:val="641E0C4D"/>
    <w:rsid w:val="64205C8C"/>
    <w:rsid w:val="64281C7B"/>
    <w:rsid w:val="642F125B"/>
    <w:rsid w:val="643A609E"/>
    <w:rsid w:val="643E149E"/>
    <w:rsid w:val="64430A0C"/>
    <w:rsid w:val="64833355"/>
    <w:rsid w:val="648570CD"/>
    <w:rsid w:val="64BF1790"/>
    <w:rsid w:val="65411089"/>
    <w:rsid w:val="65566E06"/>
    <w:rsid w:val="655F347A"/>
    <w:rsid w:val="65821244"/>
    <w:rsid w:val="65836837"/>
    <w:rsid w:val="65DA51F7"/>
    <w:rsid w:val="66090E37"/>
    <w:rsid w:val="66486604"/>
    <w:rsid w:val="66F7486F"/>
    <w:rsid w:val="671464E6"/>
    <w:rsid w:val="673E04D5"/>
    <w:rsid w:val="67492634"/>
    <w:rsid w:val="67F804D5"/>
    <w:rsid w:val="6843135F"/>
    <w:rsid w:val="685E210F"/>
    <w:rsid w:val="689B3988"/>
    <w:rsid w:val="68A11F7C"/>
    <w:rsid w:val="68A85CBA"/>
    <w:rsid w:val="68AF296B"/>
    <w:rsid w:val="68DC4DE2"/>
    <w:rsid w:val="6927788D"/>
    <w:rsid w:val="692C7B17"/>
    <w:rsid w:val="692D19E3"/>
    <w:rsid w:val="693052F5"/>
    <w:rsid w:val="694F14B1"/>
    <w:rsid w:val="69633987"/>
    <w:rsid w:val="696E2E35"/>
    <w:rsid w:val="69AC2693"/>
    <w:rsid w:val="69CE6E20"/>
    <w:rsid w:val="6A504B87"/>
    <w:rsid w:val="6A64965C"/>
    <w:rsid w:val="6AAC47D0"/>
    <w:rsid w:val="6AF26B3F"/>
    <w:rsid w:val="6B261B6A"/>
    <w:rsid w:val="6B8D6867"/>
    <w:rsid w:val="6BB36E46"/>
    <w:rsid w:val="6BCC1C2B"/>
    <w:rsid w:val="6BE23291"/>
    <w:rsid w:val="6BF608B1"/>
    <w:rsid w:val="6BF91C28"/>
    <w:rsid w:val="6C051681"/>
    <w:rsid w:val="6C0B6E8A"/>
    <w:rsid w:val="6C103720"/>
    <w:rsid w:val="6C565B15"/>
    <w:rsid w:val="6C6805AA"/>
    <w:rsid w:val="6CCA5804"/>
    <w:rsid w:val="6CFA7F2C"/>
    <w:rsid w:val="6D0F0876"/>
    <w:rsid w:val="6D237483"/>
    <w:rsid w:val="6D4C4C2C"/>
    <w:rsid w:val="6D94212F"/>
    <w:rsid w:val="6DAA1953"/>
    <w:rsid w:val="6DAF7B41"/>
    <w:rsid w:val="6DC347C2"/>
    <w:rsid w:val="6E0577F2"/>
    <w:rsid w:val="6E337B9A"/>
    <w:rsid w:val="6E3A0F28"/>
    <w:rsid w:val="6E626484"/>
    <w:rsid w:val="6E637FE1"/>
    <w:rsid w:val="6E661451"/>
    <w:rsid w:val="6E7E7C89"/>
    <w:rsid w:val="6E873267"/>
    <w:rsid w:val="6E89072E"/>
    <w:rsid w:val="6EBA3B91"/>
    <w:rsid w:val="6ED22F0F"/>
    <w:rsid w:val="6ED73B78"/>
    <w:rsid w:val="6EE60768"/>
    <w:rsid w:val="6EF61677"/>
    <w:rsid w:val="6F02608B"/>
    <w:rsid w:val="6F451933"/>
    <w:rsid w:val="6F48151E"/>
    <w:rsid w:val="6F7159FA"/>
    <w:rsid w:val="6F7B5355"/>
    <w:rsid w:val="6F8A10CB"/>
    <w:rsid w:val="6FA010FF"/>
    <w:rsid w:val="6FFA4879"/>
    <w:rsid w:val="6FFA7567"/>
    <w:rsid w:val="6FFD045F"/>
    <w:rsid w:val="706933FF"/>
    <w:rsid w:val="707713B8"/>
    <w:rsid w:val="709A22F8"/>
    <w:rsid w:val="70B940C4"/>
    <w:rsid w:val="70C045FB"/>
    <w:rsid w:val="70CF02B2"/>
    <w:rsid w:val="70D25448"/>
    <w:rsid w:val="70E21403"/>
    <w:rsid w:val="71092E34"/>
    <w:rsid w:val="710C4061"/>
    <w:rsid w:val="71401A8C"/>
    <w:rsid w:val="71467613"/>
    <w:rsid w:val="71C3083C"/>
    <w:rsid w:val="71C70D25"/>
    <w:rsid w:val="729A3D44"/>
    <w:rsid w:val="72B6229C"/>
    <w:rsid w:val="72C842AA"/>
    <w:rsid w:val="72C94629"/>
    <w:rsid w:val="72EC761A"/>
    <w:rsid w:val="73116AC2"/>
    <w:rsid w:val="73223D39"/>
    <w:rsid w:val="733A6CBD"/>
    <w:rsid w:val="73695EDC"/>
    <w:rsid w:val="73A3056D"/>
    <w:rsid w:val="73D22E25"/>
    <w:rsid w:val="741A3CA7"/>
    <w:rsid w:val="742859A7"/>
    <w:rsid w:val="745950E0"/>
    <w:rsid w:val="745D7266"/>
    <w:rsid w:val="746740F9"/>
    <w:rsid w:val="74865E23"/>
    <w:rsid w:val="748E3050"/>
    <w:rsid w:val="74913DDA"/>
    <w:rsid w:val="749F7D37"/>
    <w:rsid w:val="74A470FC"/>
    <w:rsid w:val="74C0380A"/>
    <w:rsid w:val="74D15A17"/>
    <w:rsid w:val="74EB0F77"/>
    <w:rsid w:val="74FF4332"/>
    <w:rsid w:val="759A22AD"/>
    <w:rsid w:val="75C6057F"/>
    <w:rsid w:val="75CF79E2"/>
    <w:rsid w:val="76191423"/>
    <w:rsid w:val="7671125F"/>
    <w:rsid w:val="76760624"/>
    <w:rsid w:val="767945B8"/>
    <w:rsid w:val="768216BE"/>
    <w:rsid w:val="76A038F3"/>
    <w:rsid w:val="76CE0460"/>
    <w:rsid w:val="7745038C"/>
    <w:rsid w:val="77514BED"/>
    <w:rsid w:val="777A4474"/>
    <w:rsid w:val="77B61A0A"/>
    <w:rsid w:val="77BD2282"/>
    <w:rsid w:val="78592218"/>
    <w:rsid w:val="786500A0"/>
    <w:rsid w:val="786F5C73"/>
    <w:rsid w:val="78AB1B7B"/>
    <w:rsid w:val="78AF725D"/>
    <w:rsid w:val="78D9655E"/>
    <w:rsid w:val="78DE0702"/>
    <w:rsid w:val="78F50957"/>
    <w:rsid w:val="79436427"/>
    <w:rsid w:val="79614D0E"/>
    <w:rsid w:val="798B6FB4"/>
    <w:rsid w:val="79DB6ACA"/>
    <w:rsid w:val="7A8A6B0A"/>
    <w:rsid w:val="7ABC5507"/>
    <w:rsid w:val="7B2B6AE3"/>
    <w:rsid w:val="7B3026D0"/>
    <w:rsid w:val="7B3D22E7"/>
    <w:rsid w:val="7B3D3E06"/>
    <w:rsid w:val="7B4554D0"/>
    <w:rsid w:val="7BD030D0"/>
    <w:rsid w:val="7BD55DED"/>
    <w:rsid w:val="7BD63A52"/>
    <w:rsid w:val="7BFD3595"/>
    <w:rsid w:val="7C105077"/>
    <w:rsid w:val="7C29438A"/>
    <w:rsid w:val="7C692CFE"/>
    <w:rsid w:val="7C69384C"/>
    <w:rsid w:val="7C7574D9"/>
    <w:rsid w:val="7C867061"/>
    <w:rsid w:val="7C907F65"/>
    <w:rsid w:val="7CC06A9D"/>
    <w:rsid w:val="7D083FA0"/>
    <w:rsid w:val="7D2A2168"/>
    <w:rsid w:val="7D2C6AB3"/>
    <w:rsid w:val="7D6E2861"/>
    <w:rsid w:val="7D9B14E6"/>
    <w:rsid w:val="7D9D0B8C"/>
    <w:rsid w:val="7DDC7906"/>
    <w:rsid w:val="7DEE4118"/>
    <w:rsid w:val="7E3A6EB0"/>
    <w:rsid w:val="7E57749A"/>
    <w:rsid w:val="7E611BB9"/>
    <w:rsid w:val="7E796D86"/>
    <w:rsid w:val="7EEB06F9"/>
    <w:rsid w:val="7F246E51"/>
    <w:rsid w:val="7F365431"/>
    <w:rsid w:val="7F37EBEE"/>
    <w:rsid w:val="7F747691"/>
    <w:rsid w:val="7F7818B1"/>
    <w:rsid w:val="7FC71EF0"/>
    <w:rsid w:val="7FDD5BB8"/>
    <w:rsid w:val="E2A6D15A"/>
    <w:rsid w:val="ED7F11D1"/>
    <w:rsid w:val="EF9DC3CD"/>
    <w:rsid w:val="FDBB7E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99" w:semiHidden="0"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7"/>
    <w:qFormat/>
    <w:uiPriority w:val="9"/>
    <w:pPr>
      <w:widowControl/>
      <w:adjustRightInd/>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8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96"/>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09"/>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160"/>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2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16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42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2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4">
    <w:name w:val="Default Paragraph Font"/>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2">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3">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4">
    <w:name w:val="Normal Indent"/>
    <w:basedOn w:val="1"/>
    <w:link w:val="299"/>
    <w:qFormat/>
    <w:uiPriority w:val="0"/>
    <w:pPr>
      <w:widowControl/>
      <w:snapToGrid w:val="0"/>
      <w:spacing w:line="480" w:lineRule="exact"/>
      <w:ind w:firstLine="567"/>
    </w:pPr>
    <w:rPr>
      <w:rFonts w:ascii="宋体" w:hAnsiTheme="minorHAnsi" w:cstheme="minorBidi"/>
      <w:snapToGrid w:val="0"/>
      <w:color w:val="000000"/>
      <w:kern w:val="28"/>
      <w:sz w:val="28"/>
      <w:szCs w:val="22"/>
    </w:rPr>
  </w:style>
  <w:style w:type="paragraph" w:styleId="15">
    <w:name w:val="caption"/>
    <w:basedOn w:val="1"/>
    <w:next w:val="1"/>
    <w:link w:val="332"/>
    <w:qFormat/>
    <w:uiPriority w:val="0"/>
    <w:rPr>
      <w:rFonts w:asciiTheme="minorHAnsi" w:hAnsiTheme="minorHAnsi" w:eastAsiaTheme="minorEastAsia" w:cstheme="minorBidi"/>
      <w:b/>
      <w:sz w:val="28"/>
      <w:szCs w:val="22"/>
    </w:rPr>
  </w:style>
  <w:style w:type="paragraph" w:styleId="16">
    <w:name w:val="index 5"/>
    <w:basedOn w:val="1"/>
    <w:next w:val="1"/>
    <w:qFormat/>
    <w:uiPriority w:val="0"/>
    <w:pPr>
      <w:adjustRightInd/>
      <w:ind w:left="800" w:leftChars="800" w:firstLine="200" w:firstLineChars="200"/>
    </w:pPr>
  </w:style>
  <w:style w:type="paragraph" w:styleId="17">
    <w:name w:val="Document Map"/>
    <w:basedOn w:val="1"/>
    <w:link w:val="307"/>
    <w:qFormat/>
    <w:uiPriority w:val="0"/>
    <w:pPr>
      <w:shd w:val="clear" w:color="auto" w:fill="000080"/>
    </w:pPr>
    <w:rPr>
      <w:rFonts w:asciiTheme="minorHAnsi" w:hAnsiTheme="minorHAnsi" w:eastAsiaTheme="minorEastAsia" w:cstheme="minorBidi"/>
    </w:rPr>
  </w:style>
  <w:style w:type="paragraph" w:styleId="18">
    <w:name w:val="annotation text"/>
    <w:basedOn w:val="1"/>
    <w:link w:val="97"/>
    <w:qFormat/>
    <w:uiPriority w:val="0"/>
    <w:pPr>
      <w:adjustRightInd/>
      <w:jc w:val="left"/>
    </w:pPr>
    <w:rPr>
      <w:szCs w:val="21"/>
    </w:rPr>
  </w:style>
  <w:style w:type="paragraph" w:styleId="19">
    <w:name w:val="Salutation"/>
    <w:basedOn w:val="1"/>
    <w:next w:val="1"/>
    <w:link w:val="395"/>
    <w:qFormat/>
    <w:uiPriority w:val="0"/>
    <w:rPr>
      <w:rFonts w:ascii="仿宋_GB2312" w:eastAsia="仿宋_GB2312" w:hAnsiTheme="minorHAnsi" w:cstheme="minorBidi"/>
      <w:sz w:val="28"/>
      <w:szCs w:val="22"/>
    </w:rPr>
  </w:style>
  <w:style w:type="paragraph" w:styleId="20">
    <w:name w:val="Body Text 3"/>
    <w:basedOn w:val="1"/>
    <w:link w:val="410"/>
    <w:qFormat/>
    <w:uiPriority w:val="0"/>
    <w:pPr>
      <w:jc w:val="center"/>
    </w:pPr>
    <w:rPr>
      <w:rFonts w:asciiTheme="minorHAnsi" w:hAnsiTheme="minorHAnsi" w:eastAsiaTheme="minorEastAsia" w:cstheme="minorBidi"/>
      <w:szCs w:val="22"/>
    </w:rPr>
  </w:style>
  <w:style w:type="paragraph" w:styleId="21">
    <w:name w:val="List Bullet 3"/>
    <w:basedOn w:val="1"/>
    <w:unhideWhenUsed/>
    <w:qFormat/>
    <w:uiPriority w:val="0"/>
    <w:pPr>
      <w:snapToGrid w:val="0"/>
      <w:spacing w:line="360" w:lineRule="auto"/>
      <w:ind w:left="360" w:right="238" w:hanging="360"/>
      <w:contextualSpacing/>
    </w:pPr>
    <w:rPr>
      <w:sz w:val="24"/>
    </w:rPr>
  </w:style>
  <w:style w:type="paragraph" w:styleId="22">
    <w:name w:val="Body Text"/>
    <w:basedOn w:val="1"/>
    <w:next w:val="23"/>
    <w:link w:val="93"/>
    <w:unhideWhenUsed/>
    <w:qFormat/>
    <w:uiPriority w:val="0"/>
    <w:pPr>
      <w:spacing w:after="120"/>
    </w:pPr>
  </w:style>
  <w:style w:type="paragraph" w:styleId="23">
    <w:name w:val="Body Text First Indent"/>
    <w:basedOn w:val="22"/>
    <w:next w:val="24"/>
    <w:link w:val="94"/>
    <w:unhideWhenUsed/>
    <w:qFormat/>
    <w:uiPriority w:val="99"/>
    <w:pPr>
      <w:ind w:firstLine="420" w:firstLineChars="100"/>
    </w:pPr>
  </w:style>
  <w:style w:type="paragraph" w:styleId="24">
    <w:name w:val="toc 6"/>
    <w:basedOn w:val="1"/>
    <w:next w:val="1"/>
    <w:semiHidden/>
    <w:qFormat/>
    <w:uiPriority w:val="0"/>
    <w:pPr>
      <w:ind w:left="1050"/>
      <w:jc w:val="left"/>
    </w:pPr>
    <w:rPr>
      <w:sz w:val="18"/>
      <w:szCs w:val="18"/>
    </w:rPr>
  </w:style>
  <w:style w:type="paragraph" w:styleId="25">
    <w:name w:val="Body Text Indent"/>
    <w:basedOn w:val="1"/>
    <w:link w:val="83"/>
    <w:qFormat/>
    <w:uiPriority w:val="0"/>
    <w:pPr>
      <w:adjustRightInd/>
      <w:ind w:left="480" w:hanging="480" w:hangingChars="200"/>
    </w:pPr>
    <w:rPr>
      <w:rFonts w:eastAsia="Cambria" w:asciiTheme="minorHAnsi" w:hAnsiTheme="minorHAnsi" w:cstheme="minorBidi"/>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322"/>
    <w:qFormat/>
    <w:uiPriority w:val="0"/>
    <w:pPr>
      <w:widowControl/>
      <w:adjustRightInd/>
      <w:ind w:firstLine="200" w:firstLineChars="200"/>
      <w:jc w:val="left"/>
    </w:pPr>
    <w:rPr>
      <w:rFonts w:ascii="宋体" w:hAnsi="宋体" w:eastAsiaTheme="minorEastAsia" w:cstheme="minorBidi"/>
      <w:i/>
      <w:iCs/>
      <w:sz w:val="24"/>
    </w:rPr>
  </w:style>
  <w:style w:type="paragraph" w:styleId="31">
    <w:name w:val="toc 3"/>
    <w:basedOn w:val="1"/>
    <w:next w:val="1"/>
    <w:unhideWhenUsed/>
    <w:qFormat/>
    <w:uiPriority w:val="39"/>
    <w:pPr>
      <w:ind w:left="840" w:leftChars="400"/>
    </w:pPr>
  </w:style>
  <w:style w:type="paragraph" w:styleId="32">
    <w:name w:val="Plain Text"/>
    <w:basedOn w:val="1"/>
    <w:link w:val="82"/>
    <w:qFormat/>
    <w:uiPriority w:val="0"/>
    <w:pPr>
      <w:widowControl/>
      <w:overflowPunct w:val="0"/>
      <w:autoSpaceDE w:val="0"/>
      <w:autoSpaceDN w:val="0"/>
      <w:jc w:val="left"/>
      <w:textAlignment w:val="baseline"/>
    </w:pPr>
    <w:rPr>
      <w:rFonts w:ascii="Cambria" w:hAnsi="隶书" w:eastAsia="Cambria" w:cstheme="minorBidi"/>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Date"/>
    <w:basedOn w:val="1"/>
    <w:next w:val="1"/>
    <w:link w:val="99"/>
    <w:unhideWhenUsed/>
    <w:qFormat/>
    <w:uiPriority w:val="0"/>
    <w:pPr>
      <w:ind w:left="100" w:leftChars="2500"/>
    </w:pPr>
  </w:style>
  <w:style w:type="paragraph" w:styleId="35">
    <w:name w:val="Body Text Indent 2"/>
    <w:basedOn w:val="1"/>
    <w:link w:val="401"/>
    <w:qFormat/>
    <w:uiPriority w:val="0"/>
    <w:pPr>
      <w:spacing w:line="360" w:lineRule="auto"/>
      <w:ind w:firstLine="601"/>
      <w:textAlignment w:val="baseline"/>
    </w:pPr>
    <w:rPr>
      <w:rFonts w:ascii="宋体" w:hAnsiTheme="minorHAnsi" w:eastAsiaTheme="minorEastAsia" w:cstheme="minorBidi"/>
      <w:sz w:val="28"/>
      <w:szCs w:val="22"/>
    </w:rPr>
  </w:style>
  <w:style w:type="paragraph" w:styleId="36">
    <w:name w:val="endnote text"/>
    <w:basedOn w:val="1"/>
    <w:link w:val="459"/>
    <w:qFormat/>
    <w:uiPriority w:val="0"/>
    <w:rPr>
      <w:rFonts w:asciiTheme="minorHAnsi" w:hAnsiTheme="minorHAnsi" w:eastAsiaTheme="minorEastAsia" w:cstheme="minorBidi"/>
      <w:lang w:val="zh-CN"/>
    </w:rPr>
  </w:style>
  <w:style w:type="paragraph" w:styleId="37">
    <w:name w:val="Balloon Text"/>
    <w:basedOn w:val="1"/>
    <w:link w:val="98"/>
    <w:unhideWhenUsed/>
    <w:qFormat/>
    <w:uiPriority w:val="0"/>
    <w:rPr>
      <w:sz w:val="18"/>
      <w:szCs w:val="18"/>
    </w:rPr>
  </w:style>
  <w:style w:type="paragraph" w:styleId="38">
    <w:name w:val="footer"/>
    <w:basedOn w:val="1"/>
    <w:link w:val="76"/>
    <w:unhideWhenUsed/>
    <w:qFormat/>
    <w:uiPriority w:val="99"/>
    <w:pPr>
      <w:tabs>
        <w:tab w:val="center" w:pos="4153"/>
        <w:tab w:val="right" w:pos="8306"/>
      </w:tabs>
      <w:snapToGrid w:val="0"/>
      <w:jc w:val="left"/>
    </w:pPr>
    <w:rPr>
      <w:sz w:val="18"/>
      <w:szCs w:val="18"/>
    </w:rPr>
  </w:style>
  <w:style w:type="paragraph" w:styleId="39">
    <w:name w:val="header"/>
    <w:basedOn w:val="1"/>
    <w:link w:val="75"/>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92"/>
    <w:qFormat/>
    <w:uiPriority w:val="0"/>
    <w:pPr>
      <w:spacing w:after="600" w:line="312" w:lineRule="atLeast"/>
      <w:jc w:val="center"/>
      <w:textAlignment w:val="baseline"/>
    </w:pPr>
    <w:rPr>
      <w:rFonts w:eastAsia="仿宋_GB2312" w:asciiTheme="minorHAnsi" w:hAnsiTheme="minorHAnsi" w:cstheme="minorBidi"/>
      <w:sz w:val="24"/>
      <w:szCs w:val="22"/>
    </w:rPr>
  </w:style>
  <w:style w:type="paragraph" w:styleId="41">
    <w:name w:val="toc 1"/>
    <w:basedOn w:val="1"/>
    <w:next w:val="1"/>
    <w:unhideWhenUsed/>
    <w:qFormat/>
    <w:uiPriority w:val="39"/>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basedOn w:val="1"/>
    <w:next w:val="1"/>
    <w:link w:val="246"/>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4"/>
    <w:link w:val="402"/>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48">
    <w:name w:val="List 5"/>
    <w:basedOn w:val="1"/>
    <w:qFormat/>
    <w:uiPriority w:val="0"/>
    <w:pPr>
      <w:adjustRightInd/>
      <w:ind w:left="100" w:leftChars="800" w:hanging="200" w:hangingChars="200"/>
    </w:pPr>
  </w:style>
  <w:style w:type="paragraph" w:styleId="49">
    <w:name w:val="Body Text Indent 3"/>
    <w:basedOn w:val="1"/>
    <w:link w:val="433"/>
    <w:qFormat/>
    <w:uiPriority w:val="0"/>
    <w:pPr>
      <w:spacing w:line="360" w:lineRule="auto"/>
      <w:ind w:firstLine="420"/>
    </w:pPr>
    <w:rPr>
      <w:rFonts w:asciiTheme="minorHAnsi" w:hAnsiTheme="minorHAnsi" w:eastAsiaTheme="minorEastAsia" w:cstheme="minorBidi"/>
      <w:sz w:val="24"/>
      <w:szCs w:val="22"/>
    </w:rPr>
  </w:style>
  <w:style w:type="paragraph" w:styleId="50">
    <w:name w:val="toc 2"/>
    <w:basedOn w:val="1"/>
    <w:next w:val="1"/>
    <w:unhideWhenUsed/>
    <w:qFormat/>
    <w:uiPriority w:val="39"/>
    <w:pPr>
      <w:ind w:left="420" w:leftChars="200"/>
    </w:pPr>
  </w:style>
  <w:style w:type="paragraph" w:styleId="51">
    <w:name w:val="Body Text 2"/>
    <w:basedOn w:val="1"/>
    <w:link w:val="397"/>
    <w:qFormat/>
    <w:uiPriority w:val="0"/>
    <w:pPr>
      <w:spacing w:after="120" w:line="480" w:lineRule="auto"/>
    </w:pPr>
    <w:rPr>
      <w:rFonts w:asciiTheme="minorHAnsi" w:hAnsiTheme="minorHAnsi" w:eastAsiaTheme="minorEastAsia" w:cstheme="minorBidi"/>
    </w:rPr>
  </w:style>
  <w:style w:type="paragraph" w:styleId="52">
    <w:name w:val="HTML Preformatted"/>
    <w:basedOn w:val="1"/>
    <w:link w:val="1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heme="minorBidi"/>
      <w:szCs w:val="22"/>
    </w:rPr>
  </w:style>
  <w:style w:type="paragraph" w:styleId="53">
    <w:name w:val="Normal (Web)"/>
    <w:basedOn w:val="1"/>
    <w:unhideWhenUsed/>
    <w:qFormat/>
    <w:uiPriority w:val="99"/>
    <w:pPr>
      <w:widowControl/>
      <w:adjustRightInd/>
      <w:spacing w:before="100" w:beforeAutospacing="1" w:after="100" w:afterAutospacing="1"/>
      <w:jc w:val="left"/>
    </w:pPr>
    <w:rPr>
      <w:rFonts w:ascii="宋体" w:hAnsi="宋体" w:cs="宋体"/>
      <w:kern w:val="0"/>
      <w:sz w:val="24"/>
    </w:rPr>
  </w:style>
  <w:style w:type="paragraph" w:styleId="54">
    <w:name w:val="Title"/>
    <w:basedOn w:val="1"/>
    <w:link w:val="388"/>
    <w:qFormat/>
    <w:uiPriority w:val="10"/>
    <w:pPr>
      <w:widowControl/>
      <w:overflowPunct w:val="0"/>
      <w:autoSpaceDE w:val="0"/>
      <w:autoSpaceDN w:val="0"/>
      <w:jc w:val="center"/>
      <w:textAlignment w:val="baseline"/>
    </w:pPr>
    <w:rPr>
      <w:rFonts w:asciiTheme="minorHAnsi" w:hAnsiTheme="minorHAnsi" w:eastAsiaTheme="minorEastAsia" w:cstheme="minorBidi"/>
      <w:b/>
      <w:sz w:val="24"/>
      <w:szCs w:val="22"/>
    </w:rPr>
  </w:style>
  <w:style w:type="paragraph" w:styleId="55">
    <w:name w:val="annotation subject"/>
    <w:basedOn w:val="18"/>
    <w:next w:val="18"/>
    <w:link w:val="124"/>
    <w:qFormat/>
    <w:uiPriority w:val="0"/>
    <w:pPr>
      <w:adjustRightInd w:val="0"/>
    </w:pPr>
    <w:rPr>
      <w:rFonts w:asciiTheme="minorHAnsi" w:hAnsiTheme="minorHAnsi" w:eastAsiaTheme="minorEastAsia" w:cstheme="minorBidi"/>
      <w:b/>
      <w:bCs/>
      <w:szCs w:val="24"/>
    </w:rPr>
  </w:style>
  <w:style w:type="paragraph" w:styleId="56">
    <w:name w:val="Body Text First Indent 2"/>
    <w:basedOn w:val="25"/>
    <w:next w:val="1"/>
    <w:link w:val="242"/>
    <w:semiHidden/>
    <w:unhideWhenUsed/>
    <w:qFormat/>
    <w:uiPriority w:val="0"/>
    <w:pPr>
      <w:adjustRightInd w:val="0"/>
      <w:spacing w:after="120"/>
      <w:ind w:left="420" w:leftChars="200" w:firstLine="420" w:firstLineChars="200"/>
    </w:pPr>
    <w:rPr>
      <w:rFonts w:ascii="宋体" w:hAnsi="宋体" w:eastAsiaTheme="minorEastAsia"/>
      <w:sz w:val="21"/>
    </w:rPr>
  </w:style>
  <w:style w:type="table" w:styleId="58">
    <w:name w:val="Table Grid"/>
    <w:basedOn w:val="5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59">
    <w:name w:val="Table Theme"/>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0">
    <w:name w:val="Table Elegant"/>
    <w:basedOn w:val="5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1">
    <w:name w:val="Table Grid 5"/>
    <w:basedOn w:val="5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2">
    <w:name w:val="Table Grid 8"/>
    <w:basedOn w:val="5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3">
    <w:name w:val="Table Professional"/>
    <w:basedOn w:val="5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5">
    <w:name w:val="Strong"/>
    <w:basedOn w:val="64"/>
    <w:qFormat/>
    <w:uiPriority w:val="22"/>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FollowedHyperlink"/>
    <w:basedOn w:val="64"/>
    <w:semiHidden/>
    <w:unhideWhenUsed/>
    <w:qFormat/>
    <w:uiPriority w:val="99"/>
    <w:rPr>
      <w:color w:val="800080" w:themeColor="followedHyperlink"/>
      <w:u w:val="single"/>
      <w14:textFill>
        <w14:solidFill>
          <w14:schemeClr w14:val="folHlink"/>
        </w14:solidFill>
      </w14:textFill>
    </w:rPr>
  </w:style>
  <w:style w:type="character" w:styleId="69">
    <w:name w:val="Emphasis"/>
    <w:qFormat/>
    <w:uiPriority w:val="20"/>
    <w:rPr>
      <w:color w:val="CC0033"/>
    </w:rPr>
  </w:style>
  <w:style w:type="character" w:styleId="70">
    <w:name w:val="line number"/>
    <w:qFormat/>
    <w:uiPriority w:val="0"/>
    <w:rPr>
      <w:rFonts w:ascii="Arial" w:hAnsi="Arial" w:eastAsia="黑体" w:cs="Arial"/>
      <w:snapToGrid w:val="0"/>
      <w:kern w:val="0"/>
      <w:szCs w:val="21"/>
    </w:rPr>
  </w:style>
  <w:style w:type="character" w:styleId="71">
    <w:name w:val="Hyperlink"/>
    <w:basedOn w:val="64"/>
    <w:unhideWhenUsed/>
    <w:qFormat/>
    <w:uiPriority w:val="99"/>
    <w:rPr>
      <w:color w:val="0000FF" w:themeColor="hyperlink"/>
      <w:u w:val="single"/>
      <w14:textFill>
        <w14:solidFill>
          <w14:schemeClr w14:val="hlink"/>
        </w14:solidFill>
      </w14:textFill>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character" w:styleId="74">
    <w:name w:val="HTML Sample"/>
    <w:basedOn w:val="64"/>
    <w:unhideWhenUsed/>
    <w:qFormat/>
    <w:uiPriority w:val="99"/>
    <w:rPr>
      <w:rFonts w:ascii="宋体" w:hAnsi="宋体" w:eastAsia="宋体" w:cs="宋体"/>
    </w:rPr>
  </w:style>
  <w:style w:type="character" w:customStyle="1" w:styleId="75">
    <w:name w:val="页眉 Char"/>
    <w:basedOn w:val="64"/>
    <w:link w:val="39"/>
    <w:qFormat/>
    <w:uiPriority w:val="0"/>
    <w:rPr>
      <w:sz w:val="18"/>
      <w:szCs w:val="18"/>
    </w:rPr>
  </w:style>
  <w:style w:type="character" w:customStyle="1" w:styleId="76">
    <w:name w:val="页脚 Char"/>
    <w:basedOn w:val="64"/>
    <w:link w:val="38"/>
    <w:qFormat/>
    <w:uiPriority w:val="0"/>
    <w:rPr>
      <w:sz w:val="18"/>
      <w:szCs w:val="18"/>
    </w:rPr>
  </w:style>
  <w:style w:type="character" w:customStyle="1" w:styleId="77">
    <w:name w:val="标题 1 Char"/>
    <w:basedOn w:val="64"/>
    <w:link w:val="2"/>
    <w:qFormat/>
    <w:uiPriority w:val="9"/>
    <w:rPr>
      <w:rFonts w:ascii="宋体" w:hAnsi="宋体" w:eastAsia="宋体" w:cs="宋体"/>
      <w:b/>
      <w:bCs/>
      <w:kern w:val="36"/>
      <w:sz w:val="48"/>
      <w:szCs w:val="48"/>
    </w:rPr>
  </w:style>
  <w:style w:type="character" w:customStyle="1" w:styleId="78">
    <w:name w:val="skancount"/>
    <w:basedOn w:val="64"/>
    <w:qFormat/>
    <w:uiPriority w:val="0"/>
  </w:style>
  <w:style w:type="character" w:customStyle="1" w:styleId="79">
    <w:name w:val="bookmark-item"/>
    <w:basedOn w:val="64"/>
    <w:qFormat/>
    <w:uiPriority w:val="0"/>
  </w:style>
  <w:style w:type="paragraph" w:customStyle="1" w:styleId="80">
    <w:name w:val="[Normal]"/>
    <w:qFormat/>
    <w:uiPriority w:val="0"/>
    <w:rPr>
      <w:rFonts w:ascii="宋体" w:hAnsi="宋体" w:eastAsia="宋体" w:cs="Times New Roman"/>
      <w:sz w:val="24"/>
      <w:szCs w:val="22"/>
      <w:lang w:val="zh-CN" w:eastAsia="zh-CN" w:bidi="ar-SA"/>
    </w:rPr>
  </w:style>
  <w:style w:type="character" w:customStyle="1" w:styleId="81">
    <w:name w:val="标题 2 Char"/>
    <w:basedOn w:val="64"/>
    <w:link w:val="3"/>
    <w:qFormat/>
    <w:uiPriority w:val="0"/>
    <w:rPr>
      <w:rFonts w:asciiTheme="majorHAnsi" w:hAnsiTheme="majorHAnsi" w:eastAsiaTheme="majorEastAsia" w:cstheme="majorBidi"/>
      <w:b/>
      <w:bCs/>
      <w:sz w:val="32"/>
      <w:szCs w:val="32"/>
    </w:rPr>
  </w:style>
  <w:style w:type="character" w:customStyle="1" w:styleId="82">
    <w:name w:val="纯文本 Char"/>
    <w:link w:val="32"/>
    <w:qFormat/>
    <w:uiPriority w:val="0"/>
    <w:rPr>
      <w:rFonts w:ascii="Cambria" w:hAnsi="隶书" w:eastAsia="Cambria"/>
      <w:szCs w:val="21"/>
    </w:rPr>
  </w:style>
  <w:style w:type="character" w:customStyle="1" w:styleId="83">
    <w:name w:val="正文文本缩进 Char"/>
    <w:link w:val="25"/>
    <w:qFormat/>
    <w:uiPriority w:val="0"/>
    <w:rPr>
      <w:rFonts w:eastAsia="Cambria"/>
      <w:sz w:val="24"/>
      <w:szCs w:val="24"/>
    </w:rPr>
  </w:style>
  <w:style w:type="paragraph" w:customStyle="1" w:styleId="84">
    <w:name w:val="Default"/>
    <w:next w:val="38"/>
    <w:link w:val="337"/>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character" w:customStyle="1" w:styleId="85">
    <w:name w:val="正文文本缩进 Char1"/>
    <w:basedOn w:val="64"/>
    <w:qFormat/>
    <w:uiPriority w:val="0"/>
    <w:rPr>
      <w:rFonts w:ascii="Times New Roman" w:hAnsi="Times New Roman" w:eastAsia="宋体" w:cs="Times New Roman"/>
      <w:szCs w:val="24"/>
    </w:rPr>
  </w:style>
  <w:style w:type="character" w:customStyle="1" w:styleId="86">
    <w:name w:val="纯文本 Char1"/>
    <w:basedOn w:val="64"/>
    <w:link w:val="87"/>
    <w:qFormat/>
    <w:uiPriority w:val="99"/>
    <w:rPr>
      <w:rFonts w:ascii="宋体" w:hAnsi="Courier New" w:eastAsia="宋体" w:cs="Courier New"/>
      <w:szCs w:val="21"/>
    </w:rPr>
  </w:style>
  <w:style w:type="paragraph" w:customStyle="1" w:styleId="87">
    <w:name w:val="纯文本1"/>
    <w:basedOn w:val="1"/>
    <w:link w:val="86"/>
    <w:qFormat/>
    <w:uiPriority w:val="0"/>
    <w:pPr>
      <w:adjustRightInd/>
    </w:pPr>
    <w:rPr>
      <w:rFonts w:ascii="宋体" w:hAnsi="Courier New" w:cs="Courier New"/>
      <w:szCs w:val="21"/>
    </w:rPr>
  </w:style>
  <w:style w:type="character" w:customStyle="1" w:styleId="88">
    <w:name w:val="正文2 Char Char"/>
    <w:link w:val="89"/>
    <w:qFormat/>
    <w:uiPriority w:val="0"/>
    <w:rPr>
      <w:rFonts w:eastAsia="宋体"/>
      <w:sz w:val="24"/>
    </w:rPr>
  </w:style>
  <w:style w:type="paragraph" w:customStyle="1" w:styleId="89">
    <w:name w:val="正文2"/>
    <w:basedOn w:val="1"/>
    <w:link w:val="88"/>
    <w:qFormat/>
    <w:uiPriority w:val="0"/>
    <w:pPr>
      <w:spacing w:before="156" w:line="360" w:lineRule="auto"/>
      <w:ind w:firstLine="510" w:firstLineChars="200"/>
    </w:pPr>
    <w:rPr>
      <w:rFonts w:asciiTheme="minorHAnsi" w:hAnsiTheme="minorHAnsi" w:cstheme="minorBidi"/>
      <w:sz w:val="24"/>
      <w:szCs w:val="22"/>
    </w:rPr>
  </w:style>
  <w:style w:type="character" w:customStyle="1" w:styleId="90">
    <w:name w:val="纯文本 字符1"/>
    <w:qFormat/>
    <w:uiPriority w:val="0"/>
    <w:rPr>
      <w:rFonts w:ascii="宋体" w:hAnsi="Courier New" w:eastAsia="宋体" w:cs="Arial"/>
      <w:snapToGrid w:val="0"/>
      <w:kern w:val="2"/>
      <w:sz w:val="21"/>
      <w:szCs w:val="21"/>
      <w:lang w:val="en-US" w:eastAsia="zh-CN" w:bidi="ar-SA"/>
    </w:rPr>
  </w:style>
  <w:style w:type="character" w:customStyle="1" w:styleId="91">
    <w:name w:val="样式5 Char"/>
    <w:qFormat/>
    <w:uiPriority w:val="0"/>
    <w:rPr>
      <w:rFonts w:ascii="仿宋_GB2312" w:hAnsi="仿宋" w:eastAsia="仿宋_GB2312"/>
      <w:kern w:val="2"/>
      <w:sz w:val="24"/>
      <w:szCs w:val="24"/>
    </w:rPr>
  </w:style>
  <w:style w:type="paragraph" w:customStyle="1" w:styleId="9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3">
    <w:name w:val="正文文本 Char"/>
    <w:basedOn w:val="64"/>
    <w:link w:val="22"/>
    <w:qFormat/>
    <w:uiPriority w:val="0"/>
    <w:rPr>
      <w:rFonts w:ascii="Times New Roman" w:hAnsi="Times New Roman" w:eastAsia="宋体" w:cs="Times New Roman"/>
      <w:szCs w:val="24"/>
    </w:rPr>
  </w:style>
  <w:style w:type="character" w:customStyle="1" w:styleId="94">
    <w:name w:val="正文首行缩进 Char"/>
    <w:basedOn w:val="93"/>
    <w:link w:val="23"/>
    <w:qFormat/>
    <w:uiPriority w:val="99"/>
    <w:rPr>
      <w:rFonts w:ascii="Times New Roman" w:hAnsi="Times New Roman" w:eastAsia="宋体" w:cs="Times New Roman"/>
      <w:szCs w:val="24"/>
    </w:rPr>
  </w:style>
  <w:style w:type="character" w:customStyle="1" w:styleId="95">
    <w:name w:val="标题 Char1"/>
    <w:qFormat/>
    <w:uiPriority w:val="0"/>
    <w:rPr>
      <w:rFonts w:ascii="Cambria" w:hAnsi="Cambria" w:eastAsia="宋体" w:cs="Times New Roman"/>
      <w:b/>
      <w:bCs/>
      <w:sz w:val="32"/>
      <w:szCs w:val="32"/>
      <w:lang w:bidi="ar-SA"/>
    </w:rPr>
  </w:style>
  <w:style w:type="character" w:customStyle="1" w:styleId="96">
    <w:name w:val="标题 3 Char"/>
    <w:basedOn w:val="64"/>
    <w:link w:val="4"/>
    <w:semiHidden/>
    <w:qFormat/>
    <w:uiPriority w:val="9"/>
    <w:rPr>
      <w:rFonts w:ascii="Times New Roman" w:hAnsi="Times New Roman" w:eastAsia="宋体" w:cs="Times New Roman"/>
      <w:b/>
      <w:bCs/>
      <w:sz w:val="32"/>
      <w:szCs w:val="32"/>
    </w:rPr>
  </w:style>
  <w:style w:type="character" w:customStyle="1" w:styleId="97">
    <w:name w:val="批注文字 Char"/>
    <w:basedOn w:val="64"/>
    <w:link w:val="18"/>
    <w:qFormat/>
    <w:uiPriority w:val="99"/>
    <w:rPr>
      <w:rFonts w:ascii="Times New Roman" w:hAnsi="Times New Roman" w:eastAsia="宋体" w:cs="Times New Roman"/>
      <w:szCs w:val="21"/>
    </w:rPr>
  </w:style>
  <w:style w:type="character" w:customStyle="1" w:styleId="98">
    <w:name w:val="批注框文本 Char"/>
    <w:basedOn w:val="64"/>
    <w:link w:val="37"/>
    <w:semiHidden/>
    <w:qFormat/>
    <w:uiPriority w:val="99"/>
    <w:rPr>
      <w:rFonts w:ascii="Times New Roman" w:hAnsi="Times New Roman" w:eastAsia="宋体" w:cs="Times New Roman"/>
      <w:sz w:val="18"/>
      <w:szCs w:val="18"/>
    </w:rPr>
  </w:style>
  <w:style w:type="character" w:customStyle="1" w:styleId="99">
    <w:name w:val="日期 Char"/>
    <w:basedOn w:val="64"/>
    <w:link w:val="34"/>
    <w:semiHidden/>
    <w:qFormat/>
    <w:uiPriority w:val="99"/>
    <w:rPr>
      <w:rFonts w:ascii="Times New Roman" w:hAnsi="Times New Roman" w:eastAsia="宋体" w:cs="Times New Roman"/>
      <w:szCs w:val="24"/>
    </w:rPr>
  </w:style>
  <w:style w:type="paragraph" w:customStyle="1" w:styleId="1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1">
    <w:name w:val="索引 11"/>
    <w:basedOn w:val="1"/>
    <w:next w:val="1"/>
    <w:qFormat/>
    <w:uiPriority w:val="99"/>
    <w:pPr>
      <w:adjustRightInd/>
      <w:spacing w:line="360" w:lineRule="auto"/>
    </w:pPr>
    <w:rPr>
      <w:rFonts w:ascii="仿宋_GB2312" w:eastAsia="仿宋_GB2312"/>
      <w:sz w:val="24"/>
      <w:szCs w:val="20"/>
    </w:rPr>
  </w:style>
  <w:style w:type="paragraph" w:customStyle="1" w:styleId="10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03">
    <w:name w:val="标题 4 Char"/>
    <w:basedOn w:val="64"/>
    <w:qFormat/>
    <w:uiPriority w:val="0"/>
    <w:rPr>
      <w:rFonts w:asciiTheme="majorHAnsi" w:hAnsiTheme="majorHAnsi" w:eastAsiaTheme="majorEastAsia" w:cstheme="majorBidi"/>
      <w:b/>
      <w:bCs/>
      <w:sz w:val="28"/>
      <w:szCs w:val="28"/>
    </w:rPr>
  </w:style>
  <w:style w:type="character" w:customStyle="1" w:styleId="104">
    <w:name w:val="标题 5 Char"/>
    <w:basedOn w:val="64"/>
    <w:semiHidden/>
    <w:qFormat/>
    <w:uiPriority w:val="9"/>
    <w:rPr>
      <w:rFonts w:ascii="Times New Roman" w:hAnsi="Times New Roman" w:eastAsia="宋体" w:cs="Times New Roman"/>
      <w:b/>
      <w:bCs/>
      <w:sz w:val="28"/>
      <w:szCs w:val="28"/>
    </w:rPr>
  </w:style>
  <w:style w:type="character" w:customStyle="1" w:styleId="105">
    <w:name w:val="标题 6 Char"/>
    <w:basedOn w:val="64"/>
    <w:semiHidden/>
    <w:qFormat/>
    <w:uiPriority w:val="9"/>
    <w:rPr>
      <w:rFonts w:asciiTheme="majorHAnsi" w:hAnsiTheme="majorHAnsi" w:eastAsiaTheme="majorEastAsia" w:cstheme="majorBidi"/>
      <w:b/>
      <w:bCs/>
      <w:sz w:val="24"/>
      <w:szCs w:val="24"/>
    </w:rPr>
  </w:style>
  <w:style w:type="character" w:customStyle="1" w:styleId="106">
    <w:name w:val="标题 7 Char"/>
    <w:basedOn w:val="64"/>
    <w:semiHidden/>
    <w:qFormat/>
    <w:uiPriority w:val="9"/>
    <w:rPr>
      <w:rFonts w:ascii="Times New Roman" w:hAnsi="Times New Roman" w:eastAsia="宋体" w:cs="Times New Roman"/>
      <w:b/>
      <w:bCs/>
      <w:sz w:val="24"/>
      <w:szCs w:val="24"/>
    </w:rPr>
  </w:style>
  <w:style w:type="character" w:customStyle="1" w:styleId="107">
    <w:name w:val="标题 8 Char"/>
    <w:basedOn w:val="64"/>
    <w:semiHidden/>
    <w:qFormat/>
    <w:uiPriority w:val="9"/>
    <w:rPr>
      <w:rFonts w:asciiTheme="majorHAnsi" w:hAnsiTheme="majorHAnsi" w:eastAsiaTheme="majorEastAsia" w:cstheme="majorBidi"/>
      <w:sz w:val="24"/>
      <w:szCs w:val="24"/>
    </w:rPr>
  </w:style>
  <w:style w:type="character" w:customStyle="1" w:styleId="108">
    <w:name w:val="标题 9 Char"/>
    <w:basedOn w:val="64"/>
    <w:semiHidden/>
    <w:qFormat/>
    <w:uiPriority w:val="9"/>
    <w:rPr>
      <w:rFonts w:asciiTheme="majorHAnsi" w:hAnsiTheme="majorHAnsi" w:eastAsiaTheme="majorEastAsia" w:cstheme="majorBidi"/>
      <w:szCs w:val="21"/>
    </w:rPr>
  </w:style>
  <w:style w:type="character" w:customStyle="1" w:styleId="109">
    <w:name w:val="large1"/>
    <w:qFormat/>
    <w:uiPriority w:val="0"/>
    <w:rPr>
      <w:rFonts w:hint="eastAsia" w:ascii="宋体" w:hAnsi="宋体" w:eastAsia="宋体"/>
      <w:sz w:val="21"/>
      <w:szCs w:val="21"/>
    </w:rPr>
  </w:style>
  <w:style w:type="character" w:customStyle="1" w:styleId="1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11">
    <w:name w:val="bulletintext1"/>
    <w:qFormat/>
    <w:uiPriority w:val="0"/>
    <w:rPr>
      <w:color w:val="000000"/>
      <w:sz w:val="18"/>
    </w:rPr>
  </w:style>
  <w:style w:type="character" w:customStyle="1" w:styleId="112">
    <w:name w:val="solutionfonts"/>
    <w:qFormat/>
    <w:uiPriority w:val="0"/>
  </w:style>
  <w:style w:type="character" w:customStyle="1" w:styleId="113">
    <w:name w:val="标题 Char"/>
    <w:qFormat/>
    <w:uiPriority w:val="0"/>
    <w:rPr>
      <w:rFonts w:eastAsia="宋体"/>
      <w:b/>
      <w:sz w:val="24"/>
      <w:lang w:val="en-US" w:eastAsia="zh-CN" w:bidi="ar-SA"/>
    </w:rPr>
  </w:style>
  <w:style w:type="character" w:customStyle="1" w:styleId="114">
    <w:name w:val="apple-converted-space"/>
    <w:qFormat/>
    <w:uiPriority w:val="0"/>
  </w:style>
  <w:style w:type="character" w:customStyle="1" w:styleId="115">
    <w:name w:val="正文说明 Char"/>
    <w:link w:val="116"/>
    <w:qFormat/>
    <w:uiPriority w:val="0"/>
    <w:rPr>
      <w:sz w:val="24"/>
      <w:szCs w:val="24"/>
    </w:rPr>
  </w:style>
  <w:style w:type="paragraph" w:customStyle="1" w:styleId="116">
    <w:name w:val="正文说明"/>
    <w:basedOn w:val="1"/>
    <w:link w:val="115"/>
    <w:qFormat/>
    <w:uiPriority w:val="0"/>
    <w:pPr>
      <w:adjustRightInd/>
      <w:spacing w:line="360" w:lineRule="auto"/>
    </w:pPr>
    <w:rPr>
      <w:rFonts w:asciiTheme="minorHAnsi" w:hAnsiTheme="minorHAnsi" w:eastAsiaTheme="minorEastAsia" w:cstheme="minorBidi"/>
      <w:sz w:val="24"/>
    </w:rPr>
  </w:style>
  <w:style w:type="character" w:customStyle="1" w:styleId="117">
    <w:name w:val="edui-clickable2"/>
    <w:qFormat/>
    <w:uiPriority w:val="0"/>
    <w:rPr>
      <w:color w:val="0000FF"/>
      <w:u w:val="single"/>
    </w:rPr>
  </w:style>
  <w:style w:type="character" w:customStyle="1" w:styleId="118">
    <w:name w:val="段落 Char Char"/>
    <w:link w:val="119"/>
    <w:qFormat/>
    <w:uiPriority w:val="0"/>
    <w:rPr>
      <w:rFonts w:ascii="宋体" w:hAnsi="宋体"/>
      <w:sz w:val="24"/>
    </w:rPr>
  </w:style>
  <w:style w:type="paragraph" w:customStyle="1" w:styleId="119">
    <w:name w:val="段落"/>
    <w:basedOn w:val="1"/>
    <w:link w:val="118"/>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20">
    <w:name w:val="dandyren_title1"/>
    <w:qFormat/>
    <w:uiPriority w:val="0"/>
    <w:rPr>
      <w:b/>
      <w:bCs/>
      <w:color w:val="FF6633"/>
      <w:sz w:val="18"/>
      <w:szCs w:val="18"/>
    </w:rPr>
  </w:style>
  <w:style w:type="character" w:customStyle="1" w:styleId="121">
    <w:name w:val="正文段 Char"/>
    <w:link w:val="122"/>
    <w:qFormat/>
    <w:uiPriority w:val="0"/>
    <w:rPr>
      <w:sz w:val="24"/>
    </w:rPr>
  </w:style>
  <w:style w:type="paragraph" w:customStyle="1" w:styleId="122">
    <w:name w:val="正文段"/>
    <w:basedOn w:val="1"/>
    <w:link w:val="121"/>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12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4">
    <w:name w:val="批注主题 Char2"/>
    <w:link w:val="55"/>
    <w:qFormat/>
    <w:uiPriority w:val="0"/>
    <w:rPr>
      <w:b/>
      <w:bCs/>
      <w:szCs w:val="24"/>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txt"/>
    <w:qFormat/>
    <w:uiPriority w:val="0"/>
    <w:rPr>
      <w:rFonts w:ascii="仿宋_GB2312" w:eastAsia="微软雅黑"/>
      <w:b/>
      <w:kern w:val="2"/>
      <w:sz w:val="32"/>
      <w:szCs w:val="32"/>
      <w:lang w:val="en-US" w:eastAsia="zh-CN" w:bidi="ar-SA"/>
    </w:rPr>
  </w:style>
  <w:style w:type="character" w:customStyle="1" w:styleId="128">
    <w:name w:val="二级标题 Char Char"/>
    <w:qFormat/>
    <w:uiPriority w:val="0"/>
    <w:rPr>
      <w:rFonts w:ascii="宋体" w:hAnsi="宋体" w:eastAsia="宋体"/>
      <w:b/>
      <w:snapToGrid w:val="0"/>
      <w:kern w:val="2"/>
      <w:sz w:val="24"/>
      <w:szCs w:val="24"/>
      <w:lang w:val="en-US" w:eastAsia="zh-CN" w:bidi="ar-SA"/>
    </w:rPr>
  </w:style>
  <w:style w:type="character" w:customStyle="1" w:styleId="129">
    <w:name w:val="h4 Char"/>
    <w:qFormat/>
    <w:uiPriority w:val="0"/>
    <w:rPr>
      <w:rFonts w:ascii="Arial" w:hAnsi="Arial" w:eastAsia="黑体"/>
      <w:b/>
      <w:bCs/>
      <w:kern w:val="2"/>
      <w:sz w:val="28"/>
      <w:szCs w:val="28"/>
      <w:lang w:val="zh-CN" w:eastAsia="zh-CN" w:bidi="ar-SA"/>
    </w:rPr>
  </w:style>
  <w:style w:type="character" w:customStyle="1" w:styleId="130">
    <w:name w:val="h3 Char1"/>
    <w:qFormat/>
    <w:uiPriority w:val="0"/>
    <w:rPr>
      <w:rFonts w:eastAsia="宋体"/>
      <w:b/>
      <w:bCs/>
      <w:kern w:val="2"/>
      <w:sz w:val="32"/>
      <w:szCs w:val="32"/>
      <w:lang w:bidi="ar-SA"/>
    </w:rPr>
  </w:style>
  <w:style w:type="character" w:customStyle="1" w:styleId="131">
    <w:name w:val="普通文字 Char Char1"/>
    <w:qFormat/>
    <w:uiPriority w:val="0"/>
    <w:rPr>
      <w:rFonts w:ascii="宋体" w:hAnsi="Courier New"/>
      <w:kern w:val="2"/>
      <w:sz w:val="21"/>
    </w:rPr>
  </w:style>
  <w:style w:type="character" w:customStyle="1" w:styleId="132">
    <w:name w:val="正文缩进 Char"/>
    <w:qFormat/>
    <w:uiPriority w:val="0"/>
    <w:rPr>
      <w:rFonts w:eastAsia="宋体"/>
      <w:kern w:val="2"/>
      <w:sz w:val="21"/>
      <w:lang w:val="en-US" w:eastAsia="zh-CN"/>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哈哈正文 Char"/>
    <w:link w:val="135"/>
    <w:qFormat/>
    <w:uiPriority w:val="0"/>
    <w:rPr>
      <w:rFonts w:ascii="宋体" w:hAnsi="宋体" w:eastAsia="宋体"/>
      <w:sz w:val="24"/>
    </w:rPr>
  </w:style>
  <w:style w:type="paragraph" w:customStyle="1" w:styleId="135">
    <w:name w:val="哈哈正文"/>
    <w:basedOn w:val="1"/>
    <w:link w:val="134"/>
    <w:qFormat/>
    <w:uiPriority w:val="0"/>
    <w:pPr>
      <w:adjustRightInd/>
      <w:spacing w:line="360" w:lineRule="auto"/>
      <w:ind w:firstLine="200" w:firstLineChars="200"/>
    </w:pPr>
    <w:rPr>
      <w:rFonts w:ascii="宋体" w:hAnsi="宋体" w:cstheme="minorBidi"/>
      <w:sz w:val="24"/>
      <w:szCs w:val="22"/>
    </w:rPr>
  </w:style>
  <w:style w:type="character" w:customStyle="1" w:styleId="136">
    <w:name w:val="Footer Char"/>
    <w:qFormat/>
    <w:locked/>
    <w:uiPriority w:val="0"/>
    <w:rPr>
      <w:rFonts w:eastAsia="宋体"/>
      <w:kern w:val="2"/>
      <w:sz w:val="18"/>
      <w:lang w:val="en-US" w:eastAsia="zh-CN" w:bidi="ar-SA"/>
    </w:rPr>
  </w:style>
  <w:style w:type="character" w:customStyle="1" w:styleId="137">
    <w:name w:val="Char Char32"/>
    <w:qFormat/>
    <w:uiPriority w:val="6"/>
    <w:rPr>
      <w:b/>
      <w:kern w:val="1"/>
      <w:sz w:val="24"/>
      <w:szCs w:val="24"/>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首行缩进 Char1"/>
    <w:qFormat/>
    <w:uiPriority w:val="0"/>
    <w:rPr>
      <w:rFonts w:ascii="宋体" w:hAnsi="Times New Roman" w:eastAsia="宋体" w:cs="Times New Roman"/>
      <w:snapToGrid w:val="0"/>
      <w:kern w:val="2"/>
      <w:sz w:val="24"/>
      <w:szCs w:val="21"/>
      <w:lang w:val="zh-CN"/>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插图说明 Char"/>
    <w:qFormat/>
    <w:uiPriority w:val="0"/>
    <w:rPr>
      <w:rFonts w:eastAsia="黑体"/>
      <w:sz w:val="24"/>
      <w:lang w:val="en-US" w:eastAsia="zh-CN"/>
    </w:rPr>
  </w:style>
  <w:style w:type="character" w:customStyle="1" w:styleId="142">
    <w:name w:val="Char Char6"/>
    <w:qFormat/>
    <w:uiPriority w:val="0"/>
    <w:rPr>
      <w:rFonts w:eastAsia="宋体"/>
      <w:kern w:val="2"/>
      <w:sz w:val="21"/>
      <w:szCs w:val="24"/>
      <w:lang w:val="en-US" w:eastAsia="zh-CN" w:bidi="ar-SA"/>
    </w:rPr>
  </w:style>
  <w:style w:type="character" w:customStyle="1" w:styleId="143">
    <w:name w:val="tw4winTerm"/>
    <w:qFormat/>
    <w:uiPriority w:val="0"/>
    <w:rPr>
      <w:color w:val="0000FF"/>
    </w:rPr>
  </w:style>
  <w:style w:type="character" w:customStyle="1" w:styleId="144">
    <w:name w:val="Char Char71"/>
    <w:semiHidden/>
    <w:qFormat/>
    <w:uiPriority w:val="0"/>
    <w:rPr>
      <w:rFonts w:eastAsia="宋体"/>
      <w:kern w:val="2"/>
      <w:sz w:val="21"/>
      <w:szCs w:val="24"/>
      <w:lang w:val="en-US" w:eastAsia="zh-CN" w:bidi="ar-SA"/>
    </w:rPr>
  </w:style>
  <w:style w:type="character" w:customStyle="1" w:styleId="145">
    <w:name w:val="链接"/>
    <w:qFormat/>
    <w:uiPriority w:val="0"/>
    <w:rPr>
      <w:color w:val="0000FF"/>
      <w:sz w:val="21"/>
      <w:szCs w:val="21"/>
      <w:u w:val="single"/>
    </w:rPr>
  </w:style>
  <w:style w:type="paragraph" w:customStyle="1" w:styleId="146">
    <w:name w:val="_Style 96"/>
    <w:basedOn w:val="1"/>
    <w:next w:val="1"/>
    <w:link w:val="147"/>
    <w:qFormat/>
    <w:uiPriority w:val="0"/>
    <w:pPr>
      <w:ind w:left="1260" w:leftChars="600"/>
    </w:pPr>
    <w:rPr>
      <w:rFonts w:ascii="宋体" w:hAnsiTheme="minorHAnsi" w:eastAsiaTheme="minorEastAsia" w:cstheme="minorBidi"/>
      <w:sz w:val="24"/>
      <w:szCs w:val="22"/>
      <w:lang w:val="zh-CN"/>
    </w:rPr>
  </w:style>
  <w:style w:type="character" w:customStyle="1" w:styleId="147">
    <w:name w:val="正文文本首行缩进 字符"/>
    <w:link w:val="146"/>
    <w:qFormat/>
    <w:uiPriority w:val="0"/>
    <w:rPr>
      <w:rFonts w:ascii="宋体"/>
      <w:sz w:val="24"/>
      <w:lang w:val="zh-CN"/>
    </w:rPr>
  </w:style>
  <w:style w:type="character" w:customStyle="1" w:styleId="148">
    <w:name w:val="正文文本 字符"/>
    <w:qFormat/>
    <w:uiPriority w:val="0"/>
    <w:rPr>
      <w:rFonts w:ascii="宋体" w:hAnsi="Arial" w:eastAsia="宋体" w:cs="Arial"/>
      <w:snapToGrid w:val="0"/>
      <w:kern w:val="2"/>
      <w:sz w:val="24"/>
      <w:szCs w:val="21"/>
      <w:lang w:val="zh-CN" w:eastAsia="zh-CN" w:bidi="ar-SA"/>
    </w:rPr>
  </w:style>
  <w:style w:type="character" w:customStyle="1" w:styleId="149">
    <w:name w:val="Char Char212"/>
    <w:qFormat/>
    <w:uiPriority w:val="0"/>
    <w:rPr>
      <w:rFonts w:eastAsia="宋体"/>
      <w:b/>
      <w:bCs/>
      <w:kern w:val="2"/>
      <w:sz w:val="21"/>
      <w:szCs w:val="24"/>
      <w:lang w:val="en-US" w:eastAsia="zh-CN" w:bidi="ar-SA"/>
    </w:rPr>
  </w:style>
  <w:style w:type="character" w:customStyle="1" w:styleId="150">
    <w:name w:val="正文缩进 字符"/>
    <w:qFormat/>
    <w:uiPriority w:val="0"/>
    <w:rPr>
      <w:rFonts w:ascii="宋体" w:eastAsia="宋体"/>
      <w:snapToGrid w:val="0"/>
      <w:color w:val="000000"/>
      <w:kern w:val="28"/>
      <w:sz w:val="28"/>
      <w:lang w:val="en-US" w:eastAsia="zh-CN" w:bidi="ar-SA"/>
    </w:rPr>
  </w:style>
  <w:style w:type="character" w:customStyle="1" w:styleId="151">
    <w:name w:val="样式8 Char"/>
    <w:qFormat/>
    <w:uiPriority w:val="0"/>
    <w:rPr>
      <w:rFonts w:ascii="仿宋_GB2312" w:hAnsi="宋体" w:eastAsia="仿宋_GB2312"/>
      <w:b/>
      <w:bCs/>
      <w:kern w:val="2"/>
      <w:sz w:val="24"/>
      <w:szCs w:val="24"/>
    </w:rPr>
  </w:style>
  <w:style w:type="character" w:customStyle="1" w:styleId="152">
    <w:name w:val="页脚 字符"/>
    <w:qFormat/>
    <w:uiPriority w:val="99"/>
    <w:rPr>
      <w:kern w:val="2"/>
      <w:sz w:val="18"/>
      <w:szCs w:val="18"/>
    </w:rPr>
  </w:style>
  <w:style w:type="character" w:customStyle="1" w:styleId="153">
    <w:name w:val="f141"/>
    <w:qFormat/>
    <w:uiPriority w:val="0"/>
    <w:rPr>
      <w:rFonts w:ascii="Tahoma" w:hAnsi="Tahoma" w:eastAsia="宋体"/>
      <w:b/>
      <w:kern w:val="2"/>
      <w:sz w:val="21"/>
      <w:szCs w:val="21"/>
      <w:lang w:val="en-US" w:eastAsia="zh-CN" w:bidi="ar-SA"/>
    </w:rPr>
  </w:style>
  <w:style w:type="character" w:customStyle="1" w:styleId="154">
    <w:name w:val="h3 Char"/>
    <w:qFormat/>
    <w:uiPriority w:val="0"/>
    <w:rPr>
      <w:rFonts w:eastAsia="宋体"/>
      <w:b/>
      <w:kern w:val="2"/>
      <w:sz w:val="32"/>
      <w:lang w:val="en-US" w:eastAsia="zh-CN" w:bidi="ar-SA"/>
    </w:rPr>
  </w:style>
  <w:style w:type="character" w:customStyle="1" w:styleId="155">
    <w:name w:val="style1"/>
    <w:qFormat/>
    <w:uiPriority w:val="0"/>
    <w:rPr>
      <w:rFonts w:ascii="Arial" w:hAnsi="Arial" w:eastAsia="黑体" w:cs="Arial"/>
      <w:snapToGrid w:val="0"/>
      <w:kern w:val="0"/>
      <w:szCs w:val="21"/>
    </w:rPr>
  </w:style>
  <w:style w:type="character" w:customStyle="1" w:styleId="156">
    <w:name w:val="日期 Char1"/>
    <w:semiHidden/>
    <w:qFormat/>
    <w:uiPriority w:val="99"/>
    <w:rPr>
      <w:rFonts w:ascii="Times New Roman" w:hAnsi="Times New Roman" w:eastAsia="宋体" w:cs="Times New Roman"/>
      <w:szCs w:val="24"/>
    </w:rPr>
  </w:style>
  <w:style w:type="character" w:customStyle="1" w:styleId="157">
    <w:name w:val="标书1 Char1"/>
    <w:qFormat/>
    <w:uiPriority w:val="0"/>
    <w:rPr>
      <w:rFonts w:eastAsia="宋体"/>
      <w:b/>
      <w:bCs/>
      <w:kern w:val="44"/>
      <w:sz w:val="44"/>
      <w:szCs w:val="44"/>
      <w:lang w:val="en-US" w:eastAsia="zh-CN" w:bidi="ar-SA"/>
    </w:rPr>
  </w:style>
  <w:style w:type="character" w:customStyle="1" w:styleId="158">
    <w:name w:val="tw4winError"/>
    <w:qFormat/>
    <w:uiPriority w:val="0"/>
    <w:rPr>
      <w:rFonts w:ascii="Courier New" w:hAnsi="Courier New" w:cs="Courier New"/>
      <w:color w:val="00FF00"/>
      <w:sz w:val="40"/>
      <w:szCs w:val="40"/>
    </w:rPr>
  </w:style>
  <w:style w:type="character" w:customStyle="1" w:styleId="159">
    <w:name w:val="正文文本 字符1"/>
    <w:qFormat/>
    <w:uiPriority w:val="0"/>
    <w:rPr>
      <w:rFonts w:ascii="Calibri" w:hAnsi="Calibri" w:eastAsia="黑体" w:cs="Arial"/>
      <w:snapToGrid w:val="0"/>
      <w:kern w:val="2"/>
      <w:sz w:val="28"/>
      <w:szCs w:val="21"/>
    </w:rPr>
  </w:style>
  <w:style w:type="character" w:customStyle="1" w:styleId="160">
    <w:name w:val="标题 5 Char1"/>
    <w:link w:val="6"/>
    <w:qFormat/>
    <w:uiPriority w:val="9"/>
    <w:rPr>
      <w:rFonts w:ascii="Times New Roman" w:hAnsi="Times New Roman" w:eastAsia="宋体" w:cs="Times New Roman"/>
      <w:b/>
      <w:bCs/>
      <w:sz w:val="28"/>
      <w:szCs w:val="28"/>
    </w:rPr>
  </w:style>
  <w:style w:type="character" w:customStyle="1" w:styleId="161">
    <w:name w:val="带编号样式 Char"/>
    <w:qFormat/>
    <w:uiPriority w:val="0"/>
    <w:rPr>
      <w:rFonts w:ascii="仿宋_GB2312" w:eastAsia="仿宋_GB2312"/>
      <w:color w:val="000000"/>
      <w:sz w:val="24"/>
      <w:lang w:bidi="ar-SA"/>
    </w:rPr>
  </w:style>
  <w:style w:type="character" w:customStyle="1" w:styleId="162">
    <w:name w:val="hui"/>
    <w:qFormat/>
    <w:uiPriority w:val="0"/>
    <w:rPr>
      <w:rFonts w:ascii="Arial" w:hAnsi="Arial" w:eastAsia="黑体" w:cs="Arial"/>
      <w:snapToGrid w:val="0"/>
      <w:kern w:val="0"/>
      <w:szCs w:val="21"/>
    </w:rPr>
  </w:style>
  <w:style w:type="character" w:customStyle="1" w:styleId="163">
    <w:name w:val="tw4winPopup"/>
    <w:qFormat/>
    <w:uiPriority w:val="0"/>
    <w:rPr>
      <w:rFonts w:ascii="Courier New" w:hAnsi="Courier New" w:cs="Courier New"/>
      <w:color w:val="008000"/>
      <w:lang w:val="en-US" w:eastAsia="zh-CN"/>
    </w:rPr>
  </w:style>
  <w:style w:type="character" w:customStyle="1" w:styleId="164">
    <w:name w:val="unnamed31"/>
    <w:qFormat/>
    <w:uiPriority w:val="0"/>
    <w:rPr>
      <w:rFonts w:ascii="Tahoma" w:hAnsi="Tahoma" w:eastAsia="宋体"/>
      <w:b/>
      <w:kern w:val="2"/>
      <w:sz w:val="24"/>
      <w:szCs w:val="32"/>
      <w:u w:val="none"/>
      <w:lang w:val="en-US" w:eastAsia="zh-CN" w:bidi="ar-SA"/>
    </w:rPr>
  </w:style>
  <w:style w:type="character" w:customStyle="1" w:styleId="165">
    <w:name w:val="文档结构图 Char"/>
    <w:qFormat/>
    <w:uiPriority w:val="0"/>
    <w:rPr>
      <w:rFonts w:eastAsia="宋体"/>
      <w:kern w:val="2"/>
      <w:sz w:val="21"/>
      <w:szCs w:val="24"/>
      <w:lang w:val="en-US" w:eastAsia="zh-CN" w:bidi="ar-SA"/>
    </w:rPr>
  </w:style>
  <w:style w:type="character" w:customStyle="1" w:styleId="166">
    <w:name w:val="HTML 预设格式 Char2"/>
    <w:link w:val="52"/>
    <w:qFormat/>
    <w:uiPriority w:val="0"/>
    <w:rPr>
      <w:rFonts w:ascii="黑体" w:hAnsi="Courier New" w:eastAsia="黑体"/>
    </w:rPr>
  </w:style>
  <w:style w:type="character" w:customStyle="1" w:styleId="167">
    <w:name w:val="标题 7 Char1"/>
    <w:link w:val="8"/>
    <w:qFormat/>
    <w:uiPriority w:val="0"/>
    <w:rPr>
      <w:rFonts w:ascii="Times New Roman" w:hAnsi="Times New Roman" w:eastAsia="宋体" w:cs="Times New Roman"/>
      <w:b/>
      <w:bCs/>
      <w:sz w:val="24"/>
      <w:szCs w:val="24"/>
    </w:rPr>
  </w:style>
  <w:style w:type="character" w:customStyle="1" w:styleId="168">
    <w:name w:val="Char Char5"/>
    <w:qFormat/>
    <w:uiPriority w:val="0"/>
    <w:rPr>
      <w:rFonts w:ascii="宋体" w:hAnsi="Courier New" w:eastAsia="宋体"/>
      <w:kern w:val="2"/>
      <w:sz w:val="21"/>
      <w:lang w:val="en-US" w:eastAsia="zh-CN"/>
    </w:rPr>
  </w:style>
  <w:style w:type="character" w:customStyle="1" w:styleId="169">
    <w:name w:val="页眉 字符1"/>
    <w:qFormat/>
    <w:uiPriority w:val="99"/>
    <w:rPr>
      <w:kern w:val="2"/>
      <w:sz w:val="18"/>
      <w:szCs w:val="18"/>
    </w:rPr>
  </w:style>
  <w:style w:type="character" w:customStyle="1" w:styleId="170">
    <w:name w:val="正文非缩进 Char"/>
    <w:qFormat/>
    <w:uiPriority w:val="0"/>
    <w:rPr>
      <w:rFonts w:ascii="宋体" w:eastAsia="宋体"/>
      <w:snapToGrid w:val="0"/>
      <w:color w:val="000000"/>
      <w:kern w:val="28"/>
      <w:sz w:val="28"/>
      <w:lang w:val="en-US" w:eastAsia="zh-CN" w:bidi="ar-SA"/>
    </w:rPr>
  </w:style>
  <w:style w:type="character" w:customStyle="1" w:styleId="171">
    <w:name w:val="apple-style-span"/>
    <w:qFormat/>
    <w:uiPriority w:val="0"/>
    <w:rPr>
      <w:rFonts w:ascii="Arial" w:hAnsi="Arial" w:eastAsia="黑体" w:cs="Arial"/>
      <w:snapToGrid w:val="0"/>
      <w:kern w:val="0"/>
      <w:szCs w:val="21"/>
    </w:rPr>
  </w:style>
  <w:style w:type="character" w:customStyle="1" w:styleId="172">
    <w:name w:val="Char Char33"/>
    <w:qFormat/>
    <w:uiPriority w:val="6"/>
    <w:rPr>
      <w:rFonts w:ascii="Arial" w:hAnsi="Arial" w:eastAsia="黑体"/>
      <w:b/>
      <w:kern w:val="1"/>
      <w:sz w:val="24"/>
      <w:szCs w:val="24"/>
    </w:rPr>
  </w:style>
  <w:style w:type="character" w:customStyle="1" w:styleId="173">
    <w:name w:val="font21"/>
    <w:qFormat/>
    <w:uiPriority w:val="0"/>
    <w:rPr>
      <w:rFonts w:hint="eastAsia" w:ascii="宋体" w:hAnsi="宋体" w:eastAsia="宋体"/>
      <w:kern w:val="2"/>
      <w:sz w:val="28"/>
      <w:szCs w:val="28"/>
      <w:lang w:val="en-US" w:eastAsia="zh-CN" w:bidi="ar-SA"/>
    </w:rPr>
  </w:style>
  <w:style w:type="character" w:customStyle="1" w:styleId="174">
    <w:name w:val="Char Char121"/>
    <w:qFormat/>
    <w:uiPriority w:val="6"/>
    <w:rPr>
      <w:rFonts w:ascii="仿宋_GB2312" w:eastAsia="仿宋_GB2312"/>
      <w:b/>
      <w:bCs/>
      <w:kern w:val="2"/>
      <w:sz w:val="24"/>
      <w:szCs w:val="24"/>
      <w:lang w:val="zh-CN" w:eastAsia="zh-CN" w:bidi="ar-SA"/>
    </w:rPr>
  </w:style>
  <w:style w:type="character" w:customStyle="1" w:styleId="175">
    <w:name w:val="Char Char26"/>
    <w:qFormat/>
    <w:uiPriority w:val="6"/>
    <w:rPr>
      <w:kern w:val="1"/>
      <w:sz w:val="21"/>
      <w:szCs w:val="24"/>
    </w:rPr>
  </w:style>
  <w:style w:type="character" w:customStyle="1" w:styleId="176">
    <w:name w:val="edui-unclickable"/>
    <w:qFormat/>
    <w:uiPriority w:val="0"/>
    <w:rPr>
      <w:color w:val="808080"/>
    </w:rPr>
  </w:style>
  <w:style w:type="character" w:customStyle="1" w:styleId="177">
    <w:name w:val="页脚 字符2"/>
    <w:qFormat/>
    <w:locked/>
    <w:uiPriority w:val="99"/>
    <w:rPr>
      <w:kern w:val="2"/>
      <w:sz w:val="18"/>
      <w:szCs w:val="18"/>
    </w:rPr>
  </w:style>
  <w:style w:type="character" w:customStyle="1" w:styleId="178">
    <w:name w:val="Item List Char"/>
    <w:link w:val="179"/>
    <w:qFormat/>
    <w:uiPriority w:val="0"/>
    <w:rPr>
      <w:rFonts w:ascii="Arial"/>
      <w:bCs/>
      <w:szCs w:val="21"/>
    </w:rPr>
  </w:style>
  <w:style w:type="paragraph" w:customStyle="1" w:styleId="179">
    <w:name w:val="Item List"/>
    <w:link w:val="178"/>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180">
    <w:name w:val="ksfind_class_select1"/>
    <w:qFormat/>
    <w:uiPriority w:val="0"/>
    <w:rPr>
      <w:color w:val="000000"/>
      <w:shd w:val="clear" w:color="auto" w:fill="EFD200"/>
    </w:rPr>
  </w:style>
  <w:style w:type="character" w:customStyle="1" w:styleId="181">
    <w:name w:val="Char Char41"/>
    <w:qFormat/>
    <w:uiPriority w:val="0"/>
    <w:rPr>
      <w:rFonts w:eastAsia="宋体"/>
      <w:b/>
      <w:sz w:val="24"/>
      <w:lang w:val="en-US" w:eastAsia="zh-CN" w:bidi="ar-SA"/>
    </w:rPr>
  </w:style>
  <w:style w:type="character" w:customStyle="1" w:styleId="182">
    <w:name w:val="Char Char52"/>
    <w:qFormat/>
    <w:uiPriority w:val="0"/>
    <w:rPr>
      <w:rFonts w:ascii="宋体" w:hAnsi="Courier New" w:eastAsia="宋体"/>
      <w:kern w:val="2"/>
      <w:sz w:val="21"/>
      <w:lang w:val="en-US" w:eastAsia="zh-CN"/>
    </w:rPr>
  </w:style>
  <w:style w:type="character" w:customStyle="1" w:styleId="183">
    <w:name w:val="冯广丽 Char"/>
    <w:link w:val="184"/>
    <w:qFormat/>
    <w:uiPriority w:val="0"/>
    <w:rPr>
      <w:rFonts w:ascii="宋体" w:hAnsi="宋体"/>
      <w:sz w:val="24"/>
    </w:rPr>
  </w:style>
  <w:style w:type="paragraph" w:customStyle="1" w:styleId="184">
    <w:name w:val="冯广丽"/>
    <w:basedOn w:val="1"/>
    <w:link w:val="183"/>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85">
    <w:name w:val="Char Char1211"/>
    <w:qFormat/>
    <w:uiPriority w:val="0"/>
    <w:rPr>
      <w:rFonts w:ascii="仿宋_GB2312" w:eastAsia="仿宋_GB2312"/>
      <w:b/>
      <w:bCs/>
      <w:kern w:val="2"/>
      <w:sz w:val="24"/>
      <w:szCs w:val="24"/>
      <w:lang w:val="zh-CN" w:eastAsia="zh-CN" w:bidi="ar-SA"/>
    </w:rPr>
  </w:style>
  <w:style w:type="character" w:customStyle="1" w:styleId="186">
    <w:name w:val="Table Text Char"/>
    <w:link w:val="187"/>
    <w:qFormat/>
    <w:uiPriority w:val="0"/>
    <w:rPr>
      <w:sz w:val="24"/>
      <w:szCs w:val="24"/>
    </w:rPr>
  </w:style>
  <w:style w:type="paragraph" w:customStyle="1" w:styleId="187">
    <w:name w:val="Table Text"/>
    <w:basedOn w:val="1"/>
    <w:link w:val="186"/>
    <w:qFormat/>
    <w:uiPriority w:val="0"/>
    <w:pPr>
      <w:widowControl/>
      <w:spacing w:before="60" w:after="60"/>
      <w:jc w:val="left"/>
    </w:pPr>
    <w:rPr>
      <w:rFonts w:asciiTheme="minorHAnsi" w:hAnsiTheme="minorHAnsi" w:eastAsiaTheme="minorEastAsia" w:cstheme="minorBidi"/>
      <w:sz w:val="24"/>
    </w:rPr>
  </w:style>
  <w:style w:type="character" w:customStyle="1" w:styleId="188">
    <w:name w:val="Used by Word for text of Help footnotes Char Char"/>
    <w:qFormat/>
    <w:uiPriority w:val="0"/>
    <w:rPr>
      <w:rFonts w:ascii="Times New Roman" w:hAnsi="Times New Roman" w:eastAsia="宋体" w:cs="Times New Roman"/>
      <w:sz w:val="20"/>
      <w:szCs w:val="20"/>
    </w:rPr>
  </w:style>
  <w:style w:type="character" w:customStyle="1" w:styleId="189">
    <w:name w:val="Bold"/>
    <w:qFormat/>
    <w:uiPriority w:val="0"/>
    <w:rPr>
      <w:rFonts w:ascii="Arial" w:hAnsi="Arial" w:eastAsia="黑体" w:cs="Times New Roman"/>
      <w:b/>
      <w:kern w:val="2"/>
      <w:sz w:val="32"/>
      <w:szCs w:val="32"/>
      <w:lang w:val="en-US" w:eastAsia="zh-CN" w:bidi="ar-SA"/>
    </w:rPr>
  </w:style>
  <w:style w:type="character" w:customStyle="1" w:styleId="190">
    <w:name w:val="批注文字 字符1"/>
    <w:qFormat/>
    <w:uiPriority w:val="0"/>
    <w:rPr>
      <w:kern w:val="2"/>
      <w:sz w:val="21"/>
      <w:szCs w:val="24"/>
    </w:rPr>
  </w:style>
  <w:style w:type="character" w:customStyle="1" w:styleId="191">
    <w:name w:val="标题 2 Char Char"/>
    <w:qFormat/>
    <w:uiPriority w:val="0"/>
    <w:rPr>
      <w:rFonts w:ascii="楷体_GB2312" w:hAnsi="Arial" w:eastAsia="楷体_GB2312"/>
      <w:b/>
      <w:bCs/>
      <w:kern w:val="2"/>
      <w:sz w:val="24"/>
      <w:szCs w:val="32"/>
      <w:lang w:val="en-US" w:eastAsia="zh-CN" w:bidi="ar-SA"/>
    </w:rPr>
  </w:style>
  <w:style w:type="character" w:customStyle="1" w:styleId="192">
    <w:name w:val="签名 Char2"/>
    <w:link w:val="40"/>
    <w:qFormat/>
    <w:uiPriority w:val="0"/>
    <w:rPr>
      <w:rFonts w:eastAsia="仿宋_GB2312"/>
      <w:sz w:val="24"/>
    </w:rPr>
  </w:style>
  <w:style w:type="character" w:customStyle="1" w:styleId="193">
    <w:name w:val="Char Char37"/>
    <w:qFormat/>
    <w:uiPriority w:val="6"/>
    <w:rPr>
      <w:b/>
      <w:kern w:val="1"/>
      <w:sz w:val="44"/>
      <w:szCs w:val="44"/>
    </w:rPr>
  </w:style>
  <w:style w:type="character" w:customStyle="1" w:styleId="194">
    <w:name w:val="正文文本缩进 3 Char1"/>
    <w:semiHidden/>
    <w:qFormat/>
    <w:uiPriority w:val="99"/>
    <w:rPr>
      <w:rFonts w:ascii="Times New Roman" w:hAnsi="Times New Roman" w:eastAsia="宋体" w:cs="Times New Roman"/>
      <w:sz w:val="16"/>
      <w:szCs w:val="16"/>
    </w:rPr>
  </w:style>
  <w:style w:type="character" w:customStyle="1" w:styleId="195">
    <w:name w:val="列出段落 Char"/>
    <w:qFormat/>
    <w:uiPriority w:val="0"/>
    <w:rPr>
      <w:rFonts w:eastAsia="楷体_GB2312" w:cs="Lucida Sans"/>
      <w:kern w:val="2"/>
      <w:sz w:val="24"/>
      <w:szCs w:val="24"/>
      <w:lang w:val="en-US" w:eastAsia="zh-CN" w:bidi="ar-SA"/>
    </w:rPr>
  </w:style>
  <w:style w:type="character" w:customStyle="1" w:styleId="196">
    <w:name w:val="标题 1 字符"/>
    <w:qFormat/>
    <w:uiPriority w:val="9"/>
    <w:rPr>
      <w:rFonts w:ascii="Arial" w:hAnsi="Arial" w:eastAsia="黑体" w:cs="Arial"/>
      <w:b/>
      <w:bCs/>
      <w:snapToGrid w:val="0"/>
      <w:kern w:val="44"/>
      <w:sz w:val="44"/>
      <w:szCs w:val="44"/>
    </w:rPr>
  </w:style>
  <w:style w:type="character" w:customStyle="1" w:styleId="197">
    <w:name w:val="标题 1 Char Char"/>
    <w:qFormat/>
    <w:uiPriority w:val="0"/>
    <w:rPr>
      <w:rFonts w:hint="eastAsia" w:ascii="宋体" w:hAnsi="宋体" w:eastAsia="宋体"/>
      <w:b/>
      <w:spacing w:val="-2"/>
      <w:sz w:val="24"/>
      <w:lang w:val="en-US" w:eastAsia="zh-CN" w:bidi="ar-SA"/>
    </w:rPr>
  </w:style>
  <w:style w:type="character" w:customStyle="1" w:styleId="198">
    <w:name w:val="正文（缩进2汉字） Char"/>
    <w:link w:val="199"/>
    <w:qFormat/>
    <w:uiPriority w:val="0"/>
    <w:rPr>
      <w:rFonts w:ascii="宋体"/>
    </w:rPr>
  </w:style>
  <w:style w:type="paragraph" w:customStyle="1" w:styleId="199">
    <w:name w:val="正文（缩进2汉字）"/>
    <w:basedOn w:val="1"/>
    <w:link w:val="198"/>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200">
    <w:name w:val="哈哈正文 Char Char"/>
    <w:qFormat/>
    <w:uiPriority w:val="0"/>
    <w:rPr>
      <w:rFonts w:ascii="宋体" w:hAnsi="宋体" w:eastAsia="宋体" w:cs="宋体"/>
      <w:kern w:val="2"/>
      <w:sz w:val="24"/>
      <w:lang w:val="en-US" w:eastAsia="zh-CN" w:bidi="ar-SA"/>
    </w:rPr>
  </w:style>
  <w:style w:type="character" w:customStyle="1" w:styleId="201">
    <w:name w:val="content"/>
    <w:qFormat/>
    <w:uiPriority w:val="0"/>
  </w:style>
  <w:style w:type="character" w:customStyle="1" w:styleId="202">
    <w:name w:val="font51"/>
    <w:qFormat/>
    <w:uiPriority w:val="0"/>
    <w:rPr>
      <w:rFonts w:hint="eastAsia" w:ascii="仿宋" w:hAnsi="仿宋" w:eastAsia="仿宋" w:cs="仿宋"/>
      <w:color w:val="000000"/>
      <w:sz w:val="20"/>
      <w:szCs w:val="20"/>
      <w:u w:val="none"/>
    </w:rPr>
  </w:style>
  <w:style w:type="character" w:customStyle="1" w:styleId="203">
    <w:name w:val="批注文字 字符"/>
    <w:qFormat/>
    <w:uiPriority w:val="0"/>
    <w:rPr>
      <w:rFonts w:ascii="Arial" w:hAnsi="Arial" w:eastAsia="黑体" w:cs="Arial"/>
      <w:snapToGrid w:val="0"/>
      <w:kern w:val="0"/>
      <w:szCs w:val="21"/>
    </w:rPr>
  </w:style>
  <w:style w:type="character" w:customStyle="1" w:styleId="204">
    <w:name w:val="编号，小四 Char"/>
    <w:link w:val="205"/>
    <w:qFormat/>
    <w:uiPriority w:val="0"/>
    <w:rPr>
      <w:rFonts w:ascii="Arial" w:hAnsi="Arial"/>
      <w:sz w:val="24"/>
    </w:rPr>
  </w:style>
  <w:style w:type="paragraph" w:customStyle="1" w:styleId="205">
    <w:name w:val="编号，小四"/>
    <w:basedOn w:val="1"/>
    <w:link w:val="204"/>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206">
    <w:name w:val="Font Style82"/>
    <w:qFormat/>
    <w:uiPriority w:val="99"/>
    <w:rPr>
      <w:rFonts w:ascii="宋体" w:eastAsia="宋体" w:cs="宋体"/>
      <w:color w:val="000000"/>
      <w:sz w:val="14"/>
      <w:szCs w:val="14"/>
    </w:rPr>
  </w:style>
  <w:style w:type="character" w:customStyle="1" w:styleId="207">
    <w:name w:val="正文首行缩进 Char Char Char Char Char Char"/>
    <w:qFormat/>
    <w:uiPriority w:val="0"/>
    <w:rPr>
      <w:rFonts w:ascii="宋体" w:eastAsia="宋体"/>
      <w:kern w:val="2"/>
      <w:sz w:val="24"/>
      <w:lang w:val="zh-CN" w:bidi="ar-SA"/>
    </w:rPr>
  </w:style>
  <w:style w:type="character" w:customStyle="1" w:styleId="208">
    <w:name w:val="DO_NOT_TRANSLATE"/>
    <w:qFormat/>
    <w:uiPriority w:val="0"/>
    <w:rPr>
      <w:rFonts w:ascii="Courier New" w:hAnsi="Courier New" w:cs="Courier New"/>
      <w:color w:val="800000"/>
      <w:lang w:val="en-US" w:eastAsia="zh-CN"/>
    </w:rPr>
  </w:style>
  <w:style w:type="character" w:customStyle="1" w:styleId="209">
    <w:name w:val="gray6"/>
    <w:qFormat/>
    <w:uiPriority w:val="0"/>
    <w:rPr>
      <w:rFonts w:ascii="Arial" w:hAnsi="Arial" w:eastAsia="黑体" w:cs="Arial"/>
      <w:snapToGrid w:val="0"/>
      <w:kern w:val="0"/>
      <w:szCs w:val="21"/>
    </w:rPr>
  </w:style>
  <w:style w:type="character" w:customStyle="1" w:styleId="210">
    <w:name w:val="正文文本缩进 字符"/>
    <w:qFormat/>
    <w:uiPriority w:val="0"/>
    <w:rPr>
      <w:rFonts w:ascii="Century Gothic" w:hAnsi="Century Gothic" w:eastAsia="Century Gothic"/>
      <w:kern w:val="2"/>
      <w:sz w:val="24"/>
      <w:lang w:val="en-US" w:eastAsia="zh-CN" w:bidi="ar-SA"/>
    </w:rPr>
  </w:style>
  <w:style w:type="character" w:customStyle="1" w:styleId="211">
    <w:name w:val="Char Char36"/>
    <w:qFormat/>
    <w:uiPriority w:val="6"/>
    <w:rPr>
      <w:rFonts w:ascii="仿宋_GB2312" w:hAnsi="仿宋_GB2312" w:eastAsia="仿宋_GB2312" w:cs="Arial"/>
      <w:b/>
      <w:kern w:val="1"/>
      <w:sz w:val="32"/>
      <w:szCs w:val="32"/>
      <w:lang w:val="zh-CN" w:eastAsia="zh-CN" w:bidi="ar-SA"/>
    </w:rPr>
  </w:style>
  <w:style w:type="character" w:customStyle="1" w:styleId="212">
    <w:name w:val="15"/>
    <w:qFormat/>
    <w:uiPriority w:val="0"/>
    <w:rPr>
      <w:rFonts w:hint="default" w:ascii="Calibri" w:hAnsi="Calibri"/>
      <w:color w:val="0000FF"/>
      <w:u w:val="single"/>
    </w:rPr>
  </w:style>
  <w:style w:type="character" w:customStyle="1" w:styleId="21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14">
    <w:name w:val="交叉引用"/>
    <w:qFormat/>
    <w:uiPriority w:val="1"/>
    <w:rPr>
      <w:rFonts w:ascii="Arial" w:hAnsi="Arial" w:eastAsia="黑体"/>
      <w:snapToGrid w:val="0"/>
      <w:color w:val="0000FF"/>
      <w:kern w:val="0"/>
      <w:sz w:val="20"/>
      <w:szCs w:val="21"/>
      <w:u w:val="single"/>
      <w:lang w:val="en-US" w:eastAsia="zh-CN"/>
    </w:rPr>
  </w:style>
  <w:style w:type="character" w:customStyle="1" w:styleId="215">
    <w:name w:val="页脚 字符1"/>
    <w:qFormat/>
    <w:locked/>
    <w:uiPriority w:val="99"/>
    <w:rPr>
      <w:kern w:val="2"/>
      <w:sz w:val="18"/>
      <w:szCs w:val="18"/>
    </w:rPr>
  </w:style>
  <w:style w:type="character" w:customStyle="1" w:styleId="216">
    <w:name w:val="首行缩进 Char"/>
    <w:qFormat/>
    <w:uiPriority w:val="0"/>
    <w:rPr>
      <w:rFonts w:ascii="宋体" w:eastAsia="宋体"/>
      <w:kern w:val="2"/>
      <w:sz w:val="24"/>
      <w:lang w:val="en-US" w:eastAsia="zh-CN" w:bidi="ar-SA"/>
    </w:rPr>
  </w:style>
  <w:style w:type="character" w:customStyle="1" w:styleId="217">
    <w:name w:val="U_正文 Char"/>
    <w:link w:val="218"/>
    <w:qFormat/>
    <w:uiPriority w:val="0"/>
    <w:rPr>
      <w:sz w:val="24"/>
      <w:szCs w:val="24"/>
    </w:rPr>
  </w:style>
  <w:style w:type="paragraph" w:customStyle="1" w:styleId="218">
    <w:name w:val="U_正文"/>
    <w:basedOn w:val="1"/>
    <w:link w:val="217"/>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19">
    <w:name w:val="b11_01b Char"/>
    <w:link w:val="220"/>
    <w:qFormat/>
    <w:uiPriority w:val="0"/>
    <w:rPr>
      <w:rFonts w:ascii="Verdana" w:hAnsi="Verdana"/>
      <w:b/>
      <w:bCs/>
      <w:color w:val="4A82CA"/>
      <w:sz w:val="17"/>
      <w:szCs w:val="17"/>
    </w:rPr>
  </w:style>
  <w:style w:type="paragraph" w:customStyle="1" w:styleId="220">
    <w:name w:val="b11_01b"/>
    <w:basedOn w:val="1"/>
    <w:next w:val="1"/>
    <w:link w:val="219"/>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221">
    <w:name w:val="Char Char161"/>
    <w:qFormat/>
    <w:uiPriority w:val="0"/>
    <w:rPr>
      <w:rFonts w:eastAsia="宋体"/>
      <w:b/>
      <w:kern w:val="2"/>
      <w:sz w:val="32"/>
      <w:lang w:val="en-US" w:eastAsia="zh-CN"/>
    </w:rPr>
  </w:style>
  <w:style w:type="character" w:customStyle="1" w:styleId="222">
    <w:name w:val="表格非标题文字 Char"/>
    <w:link w:val="223"/>
    <w:qFormat/>
    <w:uiPriority w:val="0"/>
    <w:rPr>
      <w:rFonts w:ascii="Futura Bk" w:hAnsi="Futura Bk"/>
      <w:sz w:val="18"/>
      <w:szCs w:val="21"/>
    </w:rPr>
  </w:style>
  <w:style w:type="paragraph" w:customStyle="1" w:styleId="223">
    <w:name w:val="表格非标题文字"/>
    <w:link w:val="222"/>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224">
    <w:name w:val="*正文 Char"/>
    <w:link w:val="225"/>
    <w:qFormat/>
    <w:locked/>
    <w:uiPriority w:val="0"/>
    <w:rPr>
      <w:rFonts w:ascii="宋体" w:hAnsi="宋体"/>
      <w:sz w:val="24"/>
    </w:rPr>
  </w:style>
  <w:style w:type="paragraph" w:customStyle="1" w:styleId="225">
    <w:name w:val="*正文"/>
    <w:basedOn w:val="1"/>
    <w:link w:val="224"/>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226">
    <w:name w:val="Char Char28"/>
    <w:qFormat/>
    <w:uiPriority w:val="6"/>
    <w:rPr>
      <w:rFonts w:ascii="仿宋_GB2312" w:hAnsi="仿宋_GB2312" w:eastAsia="仿宋_GB2312"/>
      <w:kern w:val="1"/>
      <w:sz w:val="28"/>
    </w:rPr>
  </w:style>
  <w:style w:type="character" w:customStyle="1" w:styleId="227">
    <w:name w:val="Heading 1 Char"/>
    <w:qFormat/>
    <w:uiPriority w:val="6"/>
    <w:rPr>
      <w:rFonts w:ascii="Times New Roman" w:hAnsi="Times New Roman" w:eastAsia="黑体" w:cs="Times New Roman"/>
      <w:b/>
      <w:kern w:val="0"/>
      <w:sz w:val="24"/>
      <w:szCs w:val="24"/>
    </w:rPr>
  </w:style>
  <w:style w:type="character" w:customStyle="1" w:styleId="228">
    <w:name w:val="HTML 地址 Char1"/>
    <w:qFormat/>
    <w:uiPriority w:val="0"/>
    <w:rPr>
      <w:rFonts w:ascii="Times New Roman" w:hAnsi="Times New Roman" w:eastAsia="宋体" w:cs="Times New Roman"/>
      <w:i/>
      <w:iCs/>
      <w:szCs w:val="24"/>
    </w:rPr>
  </w:style>
  <w:style w:type="character" w:customStyle="1" w:styleId="229">
    <w:name w:val="Char Char51"/>
    <w:qFormat/>
    <w:uiPriority w:val="0"/>
    <w:rPr>
      <w:rFonts w:ascii="宋体" w:hAnsi="Courier New" w:eastAsia="宋体"/>
      <w:kern w:val="2"/>
      <w:sz w:val="21"/>
      <w:lang w:val="en-US" w:eastAsia="zh-CN"/>
    </w:rPr>
  </w:style>
  <w:style w:type="character" w:customStyle="1" w:styleId="230">
    <w:name w:val="表正文 Char"/>
    <w:qFormat/>
    <w:uiPriority w:val="0"/>
    <w:rPr>
      <w:rFonts w:ascii="宋体" w:eastAsia="宋体"/>
      <w:snapToGrid w:val="0"/>
      <w:color w:val="000000"/>
      <w:kern w:val="28"/>
      <w:sz w:val="28"/>
      <w:lang w:val="en-US" w:eastAsia="zh-CN" w:bidi="ar-SA"/>
    </w:rPr>
  </w:style>
  <w:style w:type="character" w:customStyle="1" w:styleId="231">
    <w:name w:val="Char Char34"/>
    <w:qFormat/>
    <w:uiPriority w:val="6"/>
    <w:rPr>
      <w:b/>
      <w:kern w:val="1"/>
      <w:sz w:val="28"/>
      <w:szCs w:val="28"/>
    </w:rPr>
  </w:style>
  <w:style w:type="character" w:customStyle="1" w:styleId="23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33">
    <w:name w:val="未处理的提及1"/>
    <w:qFormat/>
    <w:uiPriority w:val="0"/>
    <w:rPr>
      <w:color w:val="808080"/>
      <w:shd w:val="clear" w:color="auto" w:fill="E6E6E6"/>
    </w:rPr>
  </w:style>
  <w:style w:type="character" w:customStyle="1" w:styleId="234">
    <w:name w:val="PI Char1"/>
    <w:qFormat/>
    <w:uiPriority w:val="0"/>
    <w:rPr>
      <w:rFonts w:ascii="宋体" w:hAnsi="宋体"/>
      <w:kern w:val="2"/>
      <w:sz w:val="24"/>
      <w:szCs w:val="24"/>
    </w:rPr>
  </w:style>
  <w:style w:type="character" w:customStyle="1" w:styleId="235">
    <w:name w:val="Char Char101"/>
    <w:qFormat/>
    <w:uiPriority w:val="6"/>
    <w:rPr>
      <w:rFonts w:ascii="宋体" w:hAnsi="宋体"/>
      <w:kern w:val="2"/>
      <w:sz w:val="21"/>
      <w:szCs w:val="24"/>
      <w:lang w:val="en-US" w:eastAsia="zh-CN"/>
    </w:rPr>
  </w:style>
  <w:style w:type="character" w:customStyle="1" w:styleId="236">
    <w:name w:val="5正文 Char"/>
    <w:link w:val="237"/>
    <w:qFormat/>
    <w:uiPriority w:val="0"/>
    <w:rPr>
      <w:rFonts w:ascii="仿宋_GB2312" w:hAnsi="微软雅黑" w:eastAsia="仿宋_GB2312"/>
      <w:sz w:val="28"/>
      <w:szCs w:val="21"/>
    </w:rPr>
  </w:style>
  <w:style w:type="paragraph" w:customStyle="1" w:styleId="237">
    <w:name w:val="5正文"/>
    <w:basedOn w:val="1"/>
    <w:link w:val="236"/>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38">
    <w:name w:val="标题 3 字符"/>
    <w:qFormat/>
    <w:uiPriority w:val="9"/>
    <w:rPr>
      <w:b/>
      <w:bCs/>
      <w:kern w:val="2"/>
      <w:sz w:val="32"/>
      <w:szCs w:val="32"/>
    </w:rPr>
  </w:style>
  <w:style w:type="character" w:customStyle="1" w:styleId="239">
    <w:name w:val="样式6 Char"/>
    <w:qFormat/>
    <w:uiPriority w:val="0"/>
    <w:rPr>
      <w:rFonts w:ascii="仿宋_GB2312" w:hAnsi="宋体" w:eastAsia="仿宋_GB2312"/>
      <w:b/>
      <w:bCs/>
      <w:kern w:val="2"/>
      <w:sz w:val="24"/>
      <w:szCs w:val="24"/>
      <w:lang w:val="en-US" w:eastAsia="zh-CN" w:bidi="ar-SA"/>
    </w:rPr>
  </w:style>
  <w:style w:type="character" w:customStyle="1" w:styleId="240">
    <w:name w:val="Char Char14"/>
    <w:qFormat/>
    <w:uiPriority w:val="6"/>
    <w:rPr>
      <w:rFonts w:ascii="黑体" w:hAnsi="黑体" w:eastAsia="黑体"/>
    </w:rPr>
  </w:style>
  <w:style w:type="character" w:customStyle="1" w:styleId="241">
    <w:name w:val="Heading 2 Hidden Char"/>
    <w:qFormat/>
    <w:uiPriority w:val="0"/>
    <w:rPr>
      <w:rFonts w:ascii="仿宋_GB2312" w:eastAsia="仿宋_GB2312"/>
      <w:b/>
      <w:bCs/>
      <w:kern w:val="2"/>
      <w:sz w:val="24"/>
      <w:szCs w:val="24"/>
      <w:lang w:val="zh-CN" w:eastAsia="zh-CN" w:bidi="ar-SA"/>
    </w:rPr>
  </w:style>
  <w:style w:type="character" w:customStyle="1" w:styleId="242">
    <w:name w:val="正文首行缩进 2 Char2"/>
    <w:link w:val="56"/>
    <w:qFormat/>
    <w:uiPriority w:val="0"/>
    <w:rPr>
      <w:rFonts w:ascii="宋体" w:hAnsi="宋体"/>
      <w:kern w:val="2"/>
      <w:sz w:val="21"/>
      <w:szCs w:val="24"/>
    </w:rPr>
  </w:style>
  <w:style w:type="character" w:customStyle="1" w:styleId="243">
    <w:name w:val="font11"/>
    <w:qFormat/>
    <w:uiPriority w:val="0"/>
    <w:rPr>
      <w:rFonts w:hint="default" w:ascii="Times New Roman" w:hAnsi="Times New Roman" w:cs="Times New Roman"/>
      <w:color w:val="000000"/>
      <w:sz w:val="22"/>
      <w:szCs w:val="22"/>
      <w:u w:val="none"/>
    </w:rPr>
  </w:style>
  <w:style w:type="character" w:customStyle="1" w:styleId="244">
    <w:name w:val="blue1"/>
    <w:qFormat/>
    <w:uiPriority w:val="0"/>
    <w:rPr>
      <w:rFonts w:ascii="Arial" w:hAnsi="Arial" w:eastAsia="黑体" w:cs="Arial"/>
      <w:snapToGrid w:val="0"/>
      <w:kern w:val="0"/>
      <w:szCs w:val="21"/>
    </w:rPr>
  </w:style>
  <w:style w:type="character" w:customStyle="1" w:styleId="245">
    <w:name w:val="Char Char24"/>
    <w:qFormat/>
    <w:uiPriority w:val="6"/>
    <w:rPr>
      <w:kern w:val="1"/>
      <w:sz w:val="21"/>
    </w:rPr>
  </w:style>
  <w:style w:type="character" w:customStyle="1" w:styleId="246">
    <w:name w:val="副标题 Char3"/>
    <w:link w:val="44"/>
    <w:qFormat/>
    <w:uiPriority w:val="0"/>
    <w:rPr>
      <w:rFonts w:ascii="Arial" w:hAnsi="Arial" w:eastAsia="隶书"/>
      <w:b/>
      <w:bCs/>
      <w:kern w:val="28"/>
      <w:sz w:val="44"/>
      <w:szCs w:val="32"/>
    </w:rPr>
  </w:style>
  <w:style w:type="character" w:customStyle="1" w:styleId="247">
    <w:name w:val="普通文字 Char1 Char"/>
    <w:qFormat/>
    <w:uiPriority w:val="0"/>
    <w:rPr>
      <w:rFonts w:ascii="宋体" w:hAnsi="Courier New" w:eastAsia="宋体"/>
      <w:kern w:val="2"/>
      <w:sz w:val="21"/>
      <w:szCs w:val="24"/>
      <w:lang w:val="en-US" w:eastAsia="zh-CN" w:bidi="ar-SA"/>
    </w:rPr>
  </w:style>
  <w:style w:type="character" w:customStyle="1" w:styleId="248">
    <w:name w:val="No Spacing Char"/>
    <w:link w:val="249"/>
    <w:qFormat/>
    <w:uiPriority w:val="1"/>
    <w:rPr>
      <w:sz w:val="22"/>
    </w:rPr>
  </w:style>
  <w:style w:type="paragraph" w:customStyle="1" w:styleId="249">
    <w:name w:val="无间隔1"/>
    <w:link w:val="248"/>
    <w:qFormat/>
    <w:uiPriority w:val="1"/>
    <w:rPr>
      <w:rFonts w:asciiTheme="minorHAnsi" w:hAnsiTheme="minorHAnsi" w:eastAsiaTheme="minorEastAsia" w:cstheme="minorBidi"/>
      <w:kern w:val="2"/>
      <w:sz w:val="22"/>
      <w:szCs w:val="22"/>
      <w:lang w:val="en-US" w:eastAsia="zh-CN" w:bidi="ar-SA"/>
    </w:rPr>
  </w:style>
  <w:style w:type="character" w:customStyle="1" w:styleId="250">
    <w:name w:val="font12gray1"/>
    <w:qFormat/>
    <w:uiPriority w:val="0"/>
    <w:rPr>
      <w:rFonts w:ascii="仿宋_GB2312" w:eastAsia="微软雅黑"/>
      <w:b/>
      <w:spacing w:val="300"/>
      <w:kern w:val="2"/>
      <w:sz w:val="18"/>
      <w:szCs w:val="18"/>
      <w:lang w:val="en-US" w:eastAsia="zh-CN" w:bidi="ar-SA"/>
    </w:rPr>
  </w:style>
  <w:style w:type="character" w:customStyle="1" w:styleId="251">
    <w:name w:val="Char Char7"/>
    <w:semiHidden/>
    <w:qFormat/>
    <w:uiPriority w:val="0"/>
    <w:rPr>
      <w:rFonts w:eastAsia="宋体"/>
      <w:kern w:val="2"/>
      <w:sz w:val="21"/>
      <w:szCs w:val="24"/>
      <w:lang w:val="en-US" w:eastAsia="zh-CN" w:bidi="ar-SA"/>
    </w:rPr>
  </w:style>
  <w:style w:type="character" w:customStyle="1" w:styleId="252">
    <w:name w:val="表名 Char"/>
    <w:qFormat/>
    <w:uiPriority w:val="0"/>
    <w:rPr>
      <w:rFonts w:eastAsia="宋体"/>
      <w:b/>
      <w:bCs/>
      <w:kern w:val="2"/>
      <w:sz w:val="24"/>
      <w:szCs w:val="24"/>
      <w:lang w:val="en-US" w:eastAsia="zh-CN" w:bidi="ar-SA"/>
    </w:rPr>
  </w:style>
  <w:style w:type="character" w:customStyle="1" w:styleId="253">
    <w:name w:val="Document Map Char"/>
    <w:qFormat/>
    <w:locked/>
    <w:uiPriority w:val="0"/>
    <w:rPr>
      <w:rFonts w:eastAsia="宋体"/>
      <w:kern w:val="2"/>
      <w:sz w:val="21"/>
      <w:szCs w:val="24"/>
      <w:lang w:val="en-US" w:eastAsia="zh-CN" w:bidi="ar-SA"/>
    </w:rPr>
  </w:style>
  <w:style w:type="character" w:customStyle="1" w:styleId="254">
    <w:name w:val="font41"/>
    <w:qFormat/>
    <w:uiPriority w:val="0"/>
    <w:rPr>
      <w:rFonts w:hint="eastAsia" w:ascii="仿宋_GB2312" w:eastAsia="仿宋_GB2312" w:cs="仿宋_GB2312"/>
      <w:color w:val="000000"/>
      <w:sz w:val="22"/>
      <w:szCs w:val="22"/>
      <w:u w:val="none"/>
    </w:rPr>
  </w:style>
  <w:style w:type="character" w:customStyle="1" w:styleId="255">
    <w:name w:val="标题 6 Char2"/>
    <w:link w:val="7"/>
    <w:qFormat/>
    <w:uiPriority w:val="0"/>
    <w:rPr>
      <w:rFonts w:ascii="Arial" w:hAnsi="Arial" w:eastAsia="黑体" w:cs="Times New Roman"/>
      <w:b/>
      <w:bCs/>
      <w:sz w:val="24"/>
      <w:szCs w:val="24"/>
    </w:rPr>
  </w:style>
  <w:style w:type="character" w:customStyle="1" w:styleId="256">
    <w:name w:val="纯文本 Char_0"/>
    <w:link w:val="257"/>
    <w:qFormat/>
    <w:uiPriority w:val="0"/>
    <w:rPr>
      <w:rFonts w:ascii="宋体" w:hAnsi="Courier New"/>
      <w:szCs w:val="21"/>
    </w:rPr>
  </w:style>
  <w:style w:type="paragraph" w:customStyle="1" w:styleId="257">
    <w:name w:val="纯文本_0_0"/>
    <w:basedOn w:val="258"/>
    <w:link w:val="256"/>
    <w:qFormat/>
    <w:uiPriority w:val="0"/>
    <w:rPr>
      <w:rFonts w:ascii="宋体" w:hAnsi="Courier New" w:eastAsiaTheme="minorEastAsia" w:cstheme="minorBidi"/>
      <w:szCs w:val="21"/>
    </w:rPr>
  </w:style>
  <w:style w:type="paragraph" w:customStyle="1" w:styleId="2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9">
    <w:name w:val="Balloon Text Char"/>
    <w:qFormat/>
    <w:locked/>
    <w:uiPriority w:val="0"/>
    <w:rPr>
      <w:rFonts w:eastAsia="宋体"/>
      <w:kern w:val="2"/>
      <w:sz w:val="18"/>
      <w:szCs w:val="18"/>
      <w:lang w:val="en-US" w:eastAsia="zh-CN" w:bidi="ar-SA"/>
    </w:rPr>
  </w:style>
  <w:style w:type="character" w:customStyle="1" w:styleId="260">
    <w:name w:val="正文 项目2 Char"/>
    <w:qFormat/>
    <w:uiPriority w:val="0"/>
    <w:rPr>
      <w:rFonts w:ascii="仿宋_GB2312" w:hAnsi="仿宋_GB2312" w:eastAsia="仿宋_GB2312"/>
      <w:kern w:val="2"/>
      <w:sz w:val="24"/>
      <w:lang w:bidi="ar-SA"/>
    </w:rPr>
  </w:style>
  <w:style w:type="character" w:customStyle="1" w:styleId="261">
    <w:name w:val="正文 项目 Char"/>
    <w:qFormat/>
    <w:uiPriority w:val="0"/>
    <w:rPr>
      <w:rFonts w:ascii="仿宋_GB2312" w:hAnsi="仿宋_GB2312" w:eastAsia="仿宋_GB2312"/>
      <w:kern w:val="2"/>
      <w:sz w:val="24"/>
      <w:lang w:bidi="ar-SA"/>
    </w:rPr>
  </w:style>
  <w:style w:type="character" w:customStyle="1" w:styleId="262">
    <w:name w:val="h Char Char1"/>
    <w:qFormat/>
    <w:uiPriority w:val="0"/>
    <w:rPr>
      <w:rFonts w:eastAsia="宋体"/>
      <w:kern w:val="2"/>
      <w:sz w:val="18"/>
      <w:szCs w:val="18"/>
      <w:lang w:val="en-US" w:eastAsia="zh-CN" w:bidi="ar-SA"/>
    </w:rPr>
  </w:style>
  <w:style w:type="character" w:customStyle="1" w:styleId="263">
    <w:name w:val="Char Char27"/>
    <w:qFormat/>
    <w:uiPriority w:val="6"/>
    <w:rPr>
      <w:rFonts w:ascii="宋体" w:hAnsi="宋体" w:eastAsia="宋体"/>
      <w:color w:val="000000"/>
      <w:kern w:val="1"/>
      <w:sz w:val="28"/>
      <w:lang w:val="en-US" w:eastAsia="zh-CN" w:bidi="ar-SA"/>
    </w:rPr>
  </w:style>
  <w:style w:type="character" w:customStyle="1" w:styleId="264">
    <w:name w:val="px14"/>
    <w:qFormat/>
    <w:uiPriority w:val="0"/>
    <w:rPr>
      <w:rFonts w:ascii="仿宋_GB2312" w:eastAsia="微软雅黑" w:cs="Times New Roman"/>
      <w:b/>
      <w:kern w:val="2"/>
      <w:sz w:val="32"/>
      <w:szCs w:val="32"/>
      <w:lang w:val="en-US" w:eastAsia="zh-CN" w:bidi="ar-SA"/>
    </w:rPr>
  </w:style>
  <w:style w:type="character" w:customStyle="1" w:styleId="265">
    <w:name w:val="HTML 预设格式 Char1"/>
    <w:qFormat/>
    <w:uiPriority w:val="0"/>
    <w:rPr>
      <w:rFonts w:ascii="Courier New" w:hAnsi="Courier New" w:eastAsia="宋体" w:cs="Courier New"/>
      <w:sz w:val="20"/>
      <w:szCs w:val="20"/>
    </w:rPr>
  </w:style>
  <w:style w:type="character" w:customStyle="1" w:styleId="266">
    <w:name w:val="普通文字 Char1"/>
    <w:qFormat/>
    <w:uiPriority w:val="0"/>
    <w:rPr>
      <w:rFonts w:ascii="宋体" w:hAnsi="Courier New" w:eastAsia="宋体"/>
      <w:kern w:val="2"/>
      <w:sz w:val="21"/>
      <w:lang w:val="en-US" w:eastAsia="zh-CN"/>
    </w:rPr>
  </w:style>
  <w:style w:type="character" w:customStyle="1" w:styleId="267">
    <w:name w:val="hei16b1"/>
    <w:qFormat/>
    <w:uiPriority w:val="0"/>
    <w:rPr>
      <w:rFonts w:hint="default" w:ascii="Arial" w:hAnsi="Arial" w:cs="Arial"/>
      <w:b/>
      <w:bCs/>
      <w:color w:val="000000"/>
      <w:sz w:val="24"/>
      <w:szCs w:val="24"/>
    </w:rPr>
  </w:style>
  <w:style w:type="character" w:customStyle="1" w:styleId="268">
    <w:name w:val="正文（绿盟科技） Char"/>
    <w:link w:val="269"/>
    <w:qFormat/>
    <w:uiPriority w:val="0"/>
    <w:rPr>
      <w:rFonts w:ascii="Arial" w:hAnsi="Arial"/>
      <w:szCs w:val="21"/>
    </w:rPr>
  </w:style>
  <w:style w:type="paragraph" w:customStyle="1" w:styleId="269">
    <w:name w:val="正文（绿盟科技）"/>
    <w:link w:val="268"/>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70">
    <w:name w:val="Char Char19"/>
    <w:qFormat/>
    <w:uiPriority w:val="6"/>
    <w:rPr>
      <w:rFonts w:ascii="宋体" w:hAnsi="宋体"/>
      <w:i/>
      <w:sz w:val="24"/>
      <w:szCs w:val="24"/>
    </w:rPr>
  </w:style>
  <w:style w:type="character" w:customStyle="1" w:styleId="271">
    <w:name w:val="批注主题 Char"/>
    <w:qFormat/>
    <w:uiPriority w:val="0"/>
    <w:rPr>
      <w:rFonts w:eastAsia="宋体"/>
      <w:b/>
      <w:bCs/>
      <w:kern w:val="2"/>
      <w:sz w:val="21"/>
      <w:szCs w:val="24"/>
      <w:lang w:val="en-US" w:eastAsia="zh-CN" w:bidi="ar-SA"/>
    </w:rPr>
  </w:style>
  <w:style w:type="character" w:customStyle="1" w:styleId="272">
    <w:name w:val="Comment Text Char"/>
    <w:qFormat/>
    <w:locked/>
    <w:uiPriority w:val="0"/>
    <w:rPr>
      <w:rFonts w:ascii="宋体" w:hAnsi="宋体" w:eastAsia="宋体"/>
      <w:kern w:val="2"/>
      <w:sz w:val="24"/>
      <w:lang w:val="en-US" w:eastAsia="zh-CN" w:bidi="ar-SA"/>
    </w:rPr>
  </w:style>
  <w:style w:type="character" w:customStyle="1" w:styleId="273">
    <w:name w:val="标题 2 字符"/>
    <w:qFormat/>
    <w:uiPriority w:val="1"/>
    <w:rPr>
      <w:rFonts w:ascii="仿宋_GB2312" w:hAnsi="Times New Roman" w:eastAsia="仿宋_GB2312" w:cs="Times New Roman"/>
      <w:b/>
      <w:kern w:val="2"/>
      <w:sz w:val="24"/>
      <w:lang w:val="zh-CN"/>
    </w:rPr>
  </w:style>
  <w:style w:type="character" w:customStyle="1" w:styleId="274">
    <w:name w:val="Char Char72"/>
    <w:qFormat/>
    <w:uiPriority w:val="0"/>
    <w:rPr>
      <w:rFonts w:eastAsia="宋体"/>
      <w:kern w:val="2"/>
      <w:sz w:val="21"/>
      <w:szCs w:val="24"/>
      <w:lang w:val="en-US" w:eastAsia="zh-CN" w:bidi="ar-SA"/>
    </w:rPr>
  </w:style>
  <w:style w:type="character" w:customStyle="1" w:styleId="275">
    <w:name w:val="正文文本缩进 Char2"/>
    <w:qFormat/>
    <w:uiPriority w:val="0"/>
    <w:rPr>
      <w:rFonts w:ascii="Times New Roman" w:hAnsi="Times New Roman" w:eastAsia="宋体" w:cs="Times New Roman"/>
      <w:snapToGrid w:val="0"/>
      <w:kern w:val="0"/>
      <w:szCs w:val="24"/>
    </w:rPr>
  </w:style>
  <w:style w:type="character" w:customStyle="1" w:styleId="276">
    <w:name w:val="样式2 Char"/>
    <w:qFormat/>
    <w:uiPriority w:val="0"/>
    <w:rPr>
      <w:rFonts w:ascii="仿宋_GB2312" w:hAnsi="仿宋" w:eastAsia="仿宋_GB2312" w:cs="仿宋_GB2312"/>
      <w:b/>
      <w:bCs/>
      <w:sz w:val="32"/>
      <w:szCs w:val="30"/>
      <w:lang w:val="zh-CN"/>
    </w:rPr>
  </w:style>
  <w:style w:type="character" w:customStyle="1" w:styleId="277">
    <w:name w:val="表格名称[858D7CFB-ED40-4347-BF05-701D383B685F]"/>
    <w:link w:val="278"/>
    <w:qFormat/>
    <w:uiPriority w:val="0"/>
    <w:rPr>
      <w:sz w:val="32"/>
    </w:rPr>
  </w:style>
  <w:style w:type="paragraph" w:customStyle="1" w:styleId="278">
    <w:name w:val="表格名称"/>
    <w:basedOn w:val="3"/>
    <w:link w:val="277"/>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79">
    <w:name w:val="Char Char4"/>
    <w:qFormat/>
    <w:uiPriority w:val="0"/>
    <w:rPr>
      <w:rFonts w:eastAsia="宋体"/>
      <w:b/>
      <w:sz w:val="24"/>
      <w:lang w:val="en-US" w:eastAsia="zh-CN" w:bidi="ar-SA"/>
    </w:rPr>
  </w:style>
  <w:style w:type="character" w:customStyle="1" w:styleId="280">
    <w:name w:val="c7 style3"/>
    <w:qFormat/>
    <w:uiPriority w:val="0"/>
  </w:style>
  <w:style w:type="character" w:customStyle="1" w:styleId="281">
    <w:name w:val="正文文本 3 Char1"/>
    <w:semiHidden/>
    <w:qFormat/>
    <w:uiPriority w:val="99"/>
    <w:rPr>
      <w:rFonts w:ascii="Times New Roman" w:hAnsi="Times New Roman" w:eastAsia="宋体" w:cs="Times New Roman"/>
      <w:sz w:val="16"/>
      <w:szCs w:val="16"/>
    </w:rPr>
  </w:style>
  <w:style w:type="character" w:customStyle="1" w:styleId="282">
    <w:name w:val="tw4winInternal"/>
    <w:qFormat/>
    <w:uiPriority w:val="0"/>
    <w:rPr>
      <w:rFonts w:ascii="Courier New" w:hAnsi="Courier New" w:cs="Courier New"/>
      <w:color w:val="FF0000"/>
      <w:lang w:val="en-US" w:eastAsia="zh-CN"/>
    </w:rPr>
  </w:style>
  <w:style w:type="character" w:customStyle="1" w:styleId="283">
    <w:name w:val="Char Char10"/>
    <w:semiHidden/>
    <w:qFormat/>
    <w:uiPriority w:val="0"/>
    <w:rPr>
      <w:rFonts w:ascii="宋体" w:hAnsi="宋体"/>
      <w:kern w:val="2"/>
      <w:sz w:val="21"/>
      <w:szCs w:val="24"/>
      <w:lang w:val="en-US" w:eastAsia="zh-CN"/>
    </w:rPr>
  </w:style>
  <w:style w:type="character" w:customStyle="1" w:styleId="284">
    <w:name w:val="shadow11"/>
    <w:qFormat/>
    <w:uiPriority w:val="0"/>
    <w:rPr>
      <w:color w:val="000000"/>
      <w:sz w:val="21"/>
    </w:rPr>
  </w:style>
  <w:style w:type="character" w:customStyle="1" w:styleId="285">
    <w:name w:val="正文非缩进 Char3"/>
    <w:qFormat/>
    <w:uiPriority w:val="0"/>
    <w:rPr>
      <w:rFonts w:ascii="宋体" w:eastAsia="宋体"/>
      <w:snapToGrid w:val="0"/>
      <w:color w:val="000000"/>
      <w:kern w:val="28"/>
      <w:sz w:val="28"/>
      <w:lang w:val="en-US" w:eastAsia="zh-CN" w:bidi="ar-SA"/>
    </w:rPr>
  </w:style>
  <w:style w:type="character" w:customStyle="1" w:styleId="286">
    <w:name w:val="Char Char"/>
    <w:qFormat/>
    <w:uiPriority w:val="0"/>
    <w:rPr>
      <w:rFonts w:ascii="宋体" w:hAnsi="Courier New" w:eastAsia="宋体"/>
      <w:kern w:val="2"/>
      <w:sz w:val="21"/>
      <w:lang w:val="en-US" w:eastAsia="zh-CN" w:bidi="ar-SA"/>
    </w:rPr>
  </w:style>
  <w:style w:type="character" w:customStyle="1" w:styleId="287">
    <w:name w:val="签名 Char1"/>
    <w:qFormat/>
    <w:uiPriority w:val="0"/>
    <w:rPr>
      <w:rFonts w:ascii="Times New Roman" w:hAnsi="Times New Roman" w:eastAsia="宋体" w:cs="Times New Roman"/>
      <w:szCs w:val="24"/>
    </w:rPr>
  </w:style>
  <w:style w:type="character" w:customStyle="1" w:styleId="288">
    <w:name w:val="日期 字符"/>
    <w:qFormat/>
    <w:uiPriority w:val="0"/>
    <w:rPr>
      <w:rFonts w:ascii="宋体"/>
      <w:kern w:val="2"/>
      <w:sz w:val="24"/>
      <w:szCs w:val="21"/>
      <w:lang w:val="zh-CN"/>
    </w:rPr>
  </w:style>
  <w:style w:type="character" w:customStyle="1" w:styleId="289">
    <w:name w:val="标题 9 Char1"/>
    <w:link w:val="10"/>
    <w:qFormat/>
    <w:uiPriority w:val="0"/>
    <w:rPr>
      <w:rFonts w:ascii="Arial" w:hAnsi="Arial" w:eastAsia="黑体" w:cs="Times New Roman"/>
      <w:szCs w:val="21"/>
    </w:rPr>
  </w:style>
  <w:style w:type="character" w:customStyle="1" w:styleId="290">
    <w:name w:val="Char Char18"/>
    <w:qFormat/>
    <w:uiPriority w:val="6"/>
    <w:rPr>
      <w:rFonts w:ascii="宋体" w:hAnsi="宋体"/>
      <w:sz w:val="28"/>
    </w:rPr>
  </w:style>
  <w:style w:type="character" w:customStyle="1" w:styleId="291">
    <w:name w:val="Char Char22"/>
    <w:qFormat/>
    <w:uiPriority w:val="6"/>
    <w:rPr>
      <w:rFonts w:ascii="宋体" w:hAnsi="宋体"/>
      <w:kern w:val="1"/>
      <w:sz w:val="24"/>
      <w:szCs w:val="24"/>
    </w:rPr>
  </w:style>
  <w:style w:type="character" w:customStyle="1" w:styleId="292">
    <w:name w:val="pt141"/>
    <w:qFormat/>
    <w:uiPriority w:val="0"/>
    <w:rPr>
      <w:color w:val="330066"/>
      <w:sz w:val="22"/>
      <w:szCs w:val="22"/>
    </w:rPr>
  </w:style>
  <w:style w:type="character" w:customStyle="1" w:styleId="293">
    <w:name w:val="正文文本缩进 2 Char1"/>
    <w:semiHidden/>
    <w:qFormat/>
    <w:uiPriority w:val="99"/>
    <w:rPr>
      <w:rFonts w:ascii="Times New Roman" w:hAnsi="Times New Roman" w:eastAsia="宋体" w:cs="Times New Roman"/>
      <w:szCs w:val="24"/>
    </w:rPr>
  </w:style>
  <w:style w:type="character" w:customStyle="1" w:styleId="294">
    <w:name w:val="批注框文本 字符1"/>
    <w:qFormat/>
    <w:uiPriority w:val="0"/>
    <w:rPr>
      <w:kern w:val="2"/>
      <w:sz w:val="18"/>
      <w:szCs w:val="18"/>
    </w:rPr>
  </w:style>
  <w:style w:type="character" w:customStyle="1" w:styleId="295">
    <w:name w:val="Char Char611"/>
    <w:qFormat/>
    <w:uiPriority w:val="0"/>
    <w:rPr>
      <w:rFonts w:eastAsia="宋体"/>
      <w:kern w:val="2"/>
      <w:sz w:val="21"/>
      <w:szCs w:val="24"/>
      <w:lang w:val="en-US" w:eastAsia="zh-CN" w:bidi="ar-SA"/>
    </w:rPr>
  </w:style>
  <w:style w:type="character" w:customStyle="1" w:styleId="296">
    <w:name w:val="highlight1"/>
    <w:qFormat/>
    <w:uiPriority w:val="0"/>
    <w:rPr>
      <w:rFonts w:ascii="仿宋_GB2312" w:eastAsia="微软雅黑"/>
      <w:b/>
      <w:kern w:val="2"/>
      <w:sz w:val="23"/>
      <w:szCs w:val="23"/>
      <w:lang w:val="en-US" w:eastAsia="zh-CN" w:bidi="ar-SA"/>
    </w:rPr>
  </w:style>
  <w:style w:type="character" w:customStyle="1" w:styleId="297">
    <w:name w:val="my正文 Char"/>
    <w:link w:val="298"/>
    <w:qFormat/>
    <w:locked/>
    <w:uiPriority w:val="0"/>
    <w:rPr>
      <w:rFonts w:ascii="Tahoma" w:hAnsi="Tahoma"/>
      <w:sz w:val="24"/>
      <w:szCs w:val="24"/>
    </w:rPr>
  </w:style>
  <w:style w:type="paragraph" w:customStyle="1" w:styleId="298">
    <w:name w:val="my正文"/>
    <w:basedOn w:val="1"/>
    <w:link w:val="297"/>
    <w:qFormat/>
    <w:uiPriority w:val="0"/>
    <w:pPr>
      <w:adjustRightInd/>
      <w:spacing w:line="360" w:lineRule="auto"/>
      <w:ind w:firstLine="480" w:firstLineChars="200"/>
    </w:pPr>
    <w:rPr>
      <w:rFonts w:ascii="Tahoma" w:hAnsi="Tahoma" w:eastAsiaTheme="minorEastAsia" w:cstheme="minorBidi"/>
      <w:sz w:val="24"/>
    </w:rPr>
  </w:style>
  <w:style w:type="character" w:customStyle="1" w:styleId="299">
    <w:name w:val="正文缩进 Char2"/>
    <w:link w:val="14"/>
    <w:qFormat/>
    <w:uiPriority w:val="0"/>
    <w:rPr>
      <w:rFonts w:ascii="宋体" w:eastAsia="宋体"/>
      <w:snapToGrid w:val="0"/>
      <w:color w:val="000000"/>
      <w:kern w:val="28"/>
      <w:sz w:val="28"/>
    </w:rPr>
  </w:style>
  <w:style w:type="character" w:customStyle="1" w:styleId="300">
    <w:name w:val="Used by Word for text of Help footnotes Char Char1"/>
    <w:qFormat/>
    <w:uiPriority w:val="0"/>
    <w:rPr>
      <w:color w:val="0000FF"/>
      <w:sz w:val="21"/>
    </w:rPr>
  </w:style>
  <w:style w:type="character" w:customStyle="1" w:styleId="301">
    <w:name w:val="FA正文 Char Char"/>
    <w:qFormat/>
    <w:uiPriority w:val="0"/>
    <w:rPr>
      <w:rFonts w:hAnsi="宋体"/>
      <w:kern w:val="2"/>
      <w:sz w:val="24"/>
      <w:lang w:bidi="ar-SA"/>
    </w:rPr>
  </w:style>
  <w:style w:type="character" w:customStyle="1" w:styleId="302">
    <w:name w:val="纯文本 字符"/>
    <w:qFormat/>
    <w:uiPriority w:val="0"/>
    <w:rPr>
      <w:rFonts w:ascii="宋体" w:hAnsi="Courier New" w:eastAsia="宋体" w:cs="Arial"/>
      <w:snapToGrid w:val="0"/>
      <w:kern w:val="2"/>
      <w:sz w:val="21"/>
      <w:szCs w:val="21"/>
      <w:lang w:val="en-US" w:eastAsia="zh-CN" w:bidi="ar-SA"/>
    </w:rPr>
  </w:style>
  <w:style w:type="character" w:customStyle="1" w:styleId="303">
    <w:name w:val="3级 Char"/>
    <w:link w:val="304"/>
    <w:qFormat/>
    <w:uiPriority w:val="0"/>
    <w:rPr>
      <w:rFonts w:ascii="宋体" w:hAnsi="宋体"/>
      <w:b/>
      <w:bCs/>
      <w:sz w:val="28"/>
    </w:rPr>
  </w:style>
  <w:style w:type="paragraph" w:customStyle="1" w:styleId="304">
    <w:name w:val="3级"/>
    <w:basedOn w:val="305"/>
    <w:link w:val="303"/>
    <w:qFormat/>
    <w:uiPriority w:val="0"/>
    <w:pPr>
      <w:ind w:left="0" w:right="466" w:firstLine="288"/>
    </w:pPr>
    <w:rPr>
      <w:rFonts w:hAnsi="宋体" w:eastAsiaTheme="minorEastAsia" w:cstheme="minorBidi"/>
      <w:snapToGrid/>
      <w:kern w:val="2"/>
      <w:szCs w:val="22"/>
    </w:rPr>
  </w:style>
  <w:style w:type="paragraph" w:customStyle="1" w:styleId="305">
    <w:name w:val="样式 标题 3h33rd level3BOD 0H3l3CTHeading 3 - oldLevel 3 He..."/>
    <w:basedOn w:val="4"/>
    <w:qFormat/>
    <w:uiPriority w:val="99"/>
    <w:pPr>
      <w:keepLines w:val="0"/>
      <w:widowControl/>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06">
    <w:name w:val="myp11"/>
    <w:qFormat/>
    <w:uiPriority w:val="0"/>
    <w:rPr>
      <w:rFonts w:ascii="仿宋_GB2312" w:eastAsia="微软雅黑"/>
      <w:b/>
      <w:kern w:val="2"/>
      <w:sz w:val="32"/>
      <w:szCs w:val="32"/>
      <w:lang w:val="en-US" w:eastAsia="zh-CN" w:bidi="ar-SA"/>
    </w:rPr>
  </w:style>
  <w:style w:type="character" w:customStyle="1" w:styleId="307">
    <w:name w:val="文档结构图 Char2"/>
    <w:link w:val="17"/>
    <w:qFormat/>
    <w:uiPriority w:val="0"/>
    <w:rPr>
      <w:szCs w:val="24"/>
      <w:shd w:val="clear" w:color="auto" w:fill="000080"/>
    </w:rPr>
  </w:style>
  <w:style w:type="character" w:customStyle="1" w:styleId="308">
    <w:name w:val="H6 Char"/>
    <w:qFormat/>
    <w:uiPriority w:val="0"/>
    <w:rPr>
      <w:rFonts w:ascii="Arial" w:hAnsi="Arial" w:eastAsia="黑体"/>
      <w:b/>
      <w:bCs/>
      <w:kern w:val="2"/>
      <w:sz w:val="24"/>
      <w:szCs w:val="24"/>
    </w:rPr>
  </w:style>
  <w:style w:type="character" w:customStyle="1" w:styleId="309">
    <w:name w:val="Char Char91"/>
    <w:qFormat/>
    <w:uiPriority w:val="0"/>
    <w:rPr>
      <w:rFonts w:eastAsia="宋体"/>
      <w:kern w:val="2"/>
      <w:sz w:val="18"/>
      <w:szCs w:val="18"/>
      <w:lang w:val="en-US" w:eastAsia="zh-CN" w:bidi="ar-SA"/>
    </w:rPr>
  </w:style>
  <w:style w:type="character" w:customStyle="1" w:styleId="310">
    <w:name w:val="副标题 Char1"/>
    <w:qFormat/>
    <w:uiPriority w:val="0"/>
    <w:rPr>
      <w:rFonts w:ascii="Cambria" w:hAnsi="Cambria" w:eastAsia="宋体" w:cs="Times New Roman"/>
      <w:b/>
      <w:bCs/>
      <w:snapToGrid w:val="0"/>
      <w:kern w:val="28"/>
      <w:sz w:val="32"/>
      <w:szCs w:val="32"/>
    </w:rPr>
  </w:style>
  <w:style w:type="character" w:customStyle="1" w:styleId="311">
    <w:name w:val="font61"/>
    <w:qFormat/>
    <w:uiPriority w:val="0"/>
    <w:rPr>
      <w:rFonts w:hint="eastAsia" w:ascii="仿宋" w:hAnsi="仿宋" w:eastAsia="仿宋" w:cs="仿宋"/>
      <w:color w:val="000000"/>
      <w:sz w:val="20"/>
      <w:szCs w:val="20"/>
      <w:u w:val="none"/>
    </w:rPr>
  </w:style>
  <w:style w:type="character" w:customStyle="1" w:styleId="3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13">
    <w:name w:val="Char Char211"/>
    <w:qFormat/>
    <w:uiPriority w:val="0"/>
    <w:rPr>
      <w:rFonts w:eastAsia="宋体"/>
      <w:b/>
      <w:bCs/>
      <w:kern w:val="2"/>
      <w:sz w:val="21"/>
      <w:szCs w:val="24"/>
      <w:lang w:val="en-US" w:eastAsia="zh-CN" w:bidi="ar-SA"/>
    </w:rPr>
  </w:style>
  <w:style w:type="character" w:customStyle="1" w:styleId="314">
    <w:name w:val="maywed421"/>
    <w:qFormat/>
    <w:uiPriority w:val="0"/>
    <w:rPr>
      <w:color w:val="366FB6"/>
      <w:u w:val="none"/>
    </w:rPr>
  </w:style>
  <w:style w:type="character" w:customStyle="1" w:styleId="315">
    <w:name w:val="Char Char102"/>
    <w:semiHidden/>
    <w:qFormat/>
    <w:uiPriority w:val="0"/>
    <w:rPr>
      <w:rFonts w:ascii="宋体" w:hAnsi="宋体"/>
      <w:kern w:val="2"/>
      <w:sz w:val="21"/>
      <w:szCs w:val="24"/>
      <w:lang w:val="en-US" w:eastAsia="zh-CN"/>
    </w:rPr>
  </w:style>
  <w:style w:type="character" w:customStyle="1" w:styleId="316">
    <w:name w:val="页眉 Char1"/>
    <w:qFormat/>
    <w:uiPriority w:val="0"/>
    <w:rPr>
      <w:rFonts w:eastAsia="宋体"/>
      <w:kern w:val="2"/>
      <w:sz w:val="18"/>
      <w:szCs w:val="18"/>
      <w:lang w:val="en-US" w:eastAsia="zh-CN" w:bidi="ar-SA"/>
    </w:rPr>
  </w:style>
  <w:style w:type="character" w:customStyle="1" w:styleId="317">
    <w:name w:val="md"/>
    <w:qFormat/>
    <w:uiPriority w:val="0"/>
    <w:rPr>
      <w:rFonts w:ascii="Arial" w:hAnsi="Arial" w:eastAsia="黑体" w:cs="Arial"/>
      <w:snapToGrid w:val="0"/>
      <w:kern w:val="0"/>
      <w:szCs w:val="21"/>
    </w:rPr>
  </w:style>
  <w:style w:type="character" w:customStyle="1" w:styleId="318">
    <w:name w:val="big1"/>
    <w:qFormat/>
    <w:uiPriority w:val="0"/>
    <w:rPr>
      <w:rFonts w:hint="eastAsia" w:ascii="宋体" w:hAnsi="宋体" w:eastAsia="宋体"/>
      <w:color w:val="333333"/>
      <w:sz w:val="22"/>
      <w:szCs w:val="22"/>
    </w:rPr>
  </w:style>
  <w:style w:type="character" w:customStyle="1" w:styleId="319">
    <w:name w:val="Char Char311"/>
    <w:qFormat/>
    <w:uiPriority w:val="0"/>
    <w:rPr>
      <w:rFonts w:eastAsia="宋体"/>
      <w:kern w:val="2"/>
      <w:sz w:val="21"/>
      <w:szCs w:val="24"/>
      <w:lang w:val="en-US" w:eastAsia="zh-CN" w:bidi="ar-SA"/>
    </w:rPr>
  </w:style>
  <w:style w:type="character" w:customStyle="1" w:styleId="320">
    <w:name w:val="Char Char81"/>
    <w:qFormat/>
    <w:uiPriority w:val="6"/>
    <w:rPr>
      <w:rFonts w:eastAsia="宋体"/>
      <w:b/>
      <w:sz w:val="24"/>
      <w:lang w:val="en-US" w:eastAsia="zh-CN"/>
    </w:rPr>
  </w:style>
  <w:style w:type="character" w:customStyle="1" w:styleId="321">
    <w:name w:val="样式3 Char"/>
    <w:qFormat/>
    <w:uiPriority w:val="0"/>
    <w:rPr>
      <w:rFonts w:ascii="仿宋_GB2312" w:hAnsi="仿宋" w:eastAsia="仿宋_GB2312" w:cs="仿宋_GB2312"/>
      <w:b/>
      <w:bCs/>
      <w:sz w:val="32"/>
      <w:szCs w:val="30"/>
      <w:lang w:val="zh-CN"/>
    </w:rPr>
  </w:style>
  <w:style w:type="character" w:customStyle="1" w:styleId="322">
    <w:name w:val="HTML 地址 Char2"/>
    <w:link w:val="30"/>
    <w:qFormat/>
    <w:uiPriority w:val="0"/>
    <w:rPr>
      <w:rFonts w:ascii="宋体" w:hAnsi="宋体"/>
      <w:i/>
      <w:iCs/>
      <w:sz w:val="24"/>
      <w:szCs w:val="24"/>
    </w:rPr>
  </w:style>
  <w:style w:type="character" w:customStyle="1" w:styleId="323">
    <w:name w:val="正文首行缩进 2 Char1"/>
    <w:qFormat/>
    <w:uiPriority w:val="0"/>
    <w:rPr>
      <w:rFonts w:ascii="Times New Roman" w:hAnsi="Times New Roman" w:eastAsia="宋体" w:cs="Times New Roman"/>
      <w:kern w:val="2"/>
      <w:sz w:val="24"/>
      <w:szCs w:val="24"/>
    </w:rPr>
  </w:style>
  <w:style w:type="character" w:customStyle="1" w:styleId="324">
    <w:name w:val="副标题 Char2"/>
    <w:qFormat/>
    <w:uiPriority w:val="0"/>
    <w:rPr>
      <w:rFonts w:ascii="Cambria" w:hAnsi="Cambria" w:eastAsia="宋体" w:cs="Times New Roman"/>
      <w:b/>
      <w:bCs/>
      <w:snapToGrid w:val="0"/>
      <w:kern w:val="28"/>
      <w:sz w:val="32"/>
      <w:szCs w:val="32"/>
    </w:rPr>
  </w:style>
  <w:style w:type="character" w:customStyle="1" w:styleId="325">
    <w:name w:val="标题4-dyf Char"/>
    <w:link w:val="326"/>
    <w:qFormat/>
    <w:uiPriority w:val="0"/>
    <w:rPr>
      <w:rFonts w:ascii="Cambria" w:hAnsi="Cambria"/>
      <w:b/>
      <w:bCs/>
      <w:color w:val="000000"/>
      <w:szCs w:val="21"/>
    </w:rPr>
  </w:style>
  <w:style w:type="paragraph" w:customStyle="1" w:styleId="326">
    <w:name w:val="标题4-dyf"/>
    <w:basedOn w:val="5"/>
    <w:link w:val="325"/>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27">
    <w:name w:val="dectext1"/>
    <w:qFormat/>
    <w:uiPriority w:val="0"/>
    <w:rPr>
      <w:rFonts w:ascii="宋体" w:hAnsi="宋体" w:eastAsia="宋体"/>
      <w:color w:val="333333"/>
      <w:sz w:val="21"/>
      <w:szCs w:val="21"/>
      <w:u w:val="none"/>
    </w:rPr>
  </w:style>
  <w:style w:type="character" w:customStyle="1" w:styleId="328">
    <w:name w:val="冯 Char"/>
    <w:link w:val="329"/>
    <w:qFormat/>
    <w:uiPriority w:val="0"/>
    <w:rPr>
      <w:rFonts w:ascii="宋体" w:hAnsi="宋体"/>
      <w:color w:val="000000"/>
      <w:sz w:val="24"/>
      <w:szCs w:val="24"/>
    </w:rPr>
  </w:style>
  <w:style w:type="paragraph" w:customStyle="1" w:styleId="329">
    <w:name w:val="冯"/>
    <w:basedOn w:val="1"/>
    <w:link w:val="328"/>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30">
    <w:name w:val="Header Char"/>
    <w:qFormat/>
    <w:locked/>
    <w:uiPriority w:val="0"/>
    <w:rPr>
      <w:rFonts w:eastAsia="宋体"/>
      <w:kern w:val="2"/>
      <w:sz w:val="18"/>
      <w:szCs w:val="18"/>
      <w:lang w:val="en-US" w:eastAsia="zh-CN" w:bidi="ar-SA"/>
    </w:rPr>
  </w:style>
  <w:style w:type="character" w:customStyle="1" w:styleId="331">
    <w:name w:val="Char Char12"/>
    <w:qFormat/>
    <w:uiPriority w:val="0"/>
    <w:rPr>
      <w:rFonts w:ascii="仿宋_GB2312" w:eastAsia="仿宋_GB2312"/>
      <w:b/>
      <w:bCs/>
      <w:kern w:val="2"/>
      <w:sz w:val="24"/>
      <w:szCs w:val="24"/>
      <w:lang w:val="zh-CN" w:eastAsia="zh-CN" w:bidi="ar-SA"/>
    </w:rPr>
  </w:style>
  <w:style w:type="character" w:customStyle="1" w:styleId="332">
    <w:name w:val="题注 Char"/>
    <w:link w:val="15"/>
    <w:qFormat/>
    <w:uiPriority w:val="0"/>
    <w:rPr>
      <w:b/>
      <w:sz w:val="28"/>
    </w:rPr>
  </w:style>
  <w:style w:type="character" w:customStyle="1" w:styleId="333">
    <w:name w:val="普通文字 Char3"/>
    <w:qFormat/>
    <w:uiPriority w:val="0"/>
    <w:rPr>
      <w:rFonts w:ascii="宋体" w:hAnsi="Courier New" w:eastAsia="宋体"/>
      <w:kern w:val="2"/>
      <w:sz w:val="21"/>
      <w:lang w:val="en-US" w:eastAsia="zh-CN" w:bidi="ar-SA"/>
    </w:rPr>
  </w:style>
  <w:style w:type="character" w:customStyle="1" w:styleId="334">
    <w:name w:val="公文正文 Char"/>
    <w:qFormat/>
    <w:uiPriority w:val="0"/>
    <w:rPr>
      <w:rFonts w:ascii="仿宋_GB2312" w:eastAsia="仿宋_GB2312"/>
      <w:kern w:val="2"/>
      <w:sz w:val="24"/>
      <w:szCs w:val="24"/>
      <w:lang w:val="en-US" w:eastAsia="zh-CN" w:bidi="ar-SA"/>
    </w:rPr>
  </w:style>
  <w:style w:type="character" w:customStyle="1" w:styleId="335">
    <w:name w:val="正文首行缩进 Char Char Char Char Char"/>
    <w:qFormat/>
    <w:uiPriority w:val="0"/>
    <w:rPr>
      <w:rFonts w:ascii="宋体"/>
      <w:kern w:val="2"/>
      <w:sz w:val="24"/>
      <w:lang w:val="zh-CN"/>
    </w:rPr>
  </w:style>
  <w:style w:type="character" w:customStyle="1" w:styleId="336">
    <w:name w:val="PI Char"/>
    <w:qFormat/>
    <w:uiPriority w:val="0"/>
    <w:rPr>
      <w:rFonts w:ascii="宋体" w:hAnsi="宋体" w:eastAsia="宋体"/>
      <w:kern w:val="2"/>
      <w:sz w:val="24"/>
      <w:szCs w:val="24"/>
      <w:lang w:val="en-US" w:eastAsia="zh-CN" w:bidi="ar-SA"/>
    </w:rPr>
  </w:style>
  <w:style w:type="character" w:customStyle="1" w:styleId="337">
    <w:name w:val="Default Char"/>
    <w:link w:val="84"/>
    <w:qFormat/>
    <w:uiPriority w:val="0"/>
    <w:rPr>
      <w:rFonts w:ascii="Cambria" w:hAnsi="Times New Roman" w:eastAsia="宋体" w:cs="Cambria"/>
      <w:color w:val="000000"/>
      <w:kern w:val="0"/>
      <w:sz w:val="24"/>
      <w:szCs w:val="24"/>
    </w:rPr>
  </w:style>
  <w:style w:type="character" w:customStyle="1" w:styleId="338">
    <w:name w:val="style91"/>
    <w:qFormat/>
    <w:uiPriority w:val="0"/>
    <w:rPr>
      <w:color w:val="333333"/>
    </w:rPr>
  </w:style>
  <w:style w:type="character" w:customStyle="1" w:styleId="339">
    <w:name w:val="列出段落 Char2"/>
    <w:qFormat/>
    <w:uiPriority w:val="34"/>
    <w:rPr>
      <w:rFonts w:ascii="Calibri" w:hAnsi="Calibri"/>
      <w:kern w:val="2"/>
      <w:sz w:val="28"/>
    </w:rPr>
  </w:style>
  <w:style w:type="character" w:customStyle="1" w:styleId="340">
    <w:name w:val="mdeck"/>
    <w:qFormat/>
    <w:uiPriority w:val="0"/>
    <w:rPr>
      <w:rFonts w:ascii="仿宋_GB2312" w:eastAsia="微软雅黑"/>
      <w:b/>
      <w:kern w:val="2"/>
      <w:sz w:val="32"/>
      <w:szCs w:val="32"/>
      <w:lang w:val="en-US" w:eastAsia="zh-CN" w:bidi="ar-SA"/>
    </w:rPr>
  </w:style>
  <w:style w:type="character" w:customStyle="1" w:styleId="341">
    <w:name w:val="unnamed11"/>
    <w:qFormat/>
    <w:uiPriority w:val="0"/>
    <w:rPr>
      <w:sz w:val="20"/>
      <w:szCs w:val="20"/>
    </w:rPr>
  </w:style>
  <w:style w:type="character" w:customStyle="1" w:styleId="342">
    <w:name w:val="正文文本 Char2"/>
    <w:semiHidden/>
    <w:qFormat/>
    <w:uiPriority w:val="99"/>
    <w:rPr>
      <w:rFonts w:ascii="Times New Roman" w:hAnsi="Times New Roman" w:eastAsia="宋体" w:cs="Times New Roman"/>
      <w:snapToGrid w:val="0"/>
      <w:kern w:val="0"/>
      <w:szCs w:val="24"/>
    </w:rPr>
  </w:style>
  <w:style w:type="character" w:customStyle="1" w:styleId="343">
    <w:name w:val="标书正文格式 Char"/>
    <w:qFormat/>
    <w:uiPriority w:val="0"/>
    <w:rPr>
      <w:rFonts w:eastAsia="楷体_GB2312"/>
      <w:kern w:val="2"/>
      <w:sz w:val="24"/>
      <w:szCs w:val="24"/>
      <w:lang w:bidi="ar-SA"/>
    </w:rPr>
  </w:style>
  <w:style w:type="character" w:customStyle="1" w:styleId="344">
    <w:name w:val="Char Char11"/>
    <w:qFormat/>
    <w:locked/>
    <w:uiPriority w:val="0"/>
    <w:rPr>
      <w:rFonts w:ascii="宋体" w:hAnsi="宋体" w:eastAsia="宋体"/>
      <w:b/>
      <w:kern w:val="2"/>
      <w:sz w:val="24"/>
      <w:szCs w:val="24"/>
      <w:lang w:val="en-US" w:eastAsia="zh-CN" w:bidi="ar-SA"/>
    </w:rPr>
  </w:style>
  <w:style w:type="character" w:customStyle="1" w:styleId="345">
    <w:name w:val="ca-131"/>
    <w:qFormat/>
    <w:uiPriority w:val="0"/>
    <w:rPr>
      <w:rFonts w:hint="eastAsia" w:ascii="仿宋_GB2312" w:eastAsia="仿宋_GB2312"/>
      <w:b/>
      <w:bCs/>
      <w:color w:val="000000"/>
      <w:spacing w:val="-20"/>
      <w:sz w:val="24"/>
      <w:szCs w:val="24"/>
    </w:rPr>
  </w:style>
  <w:style w:type="character" w:customStyle="1" w:styleId="346">
    <w:name w:val="tw4winMark"/>
    <w:qFormat/>
    <w:uiPriority w:val="0"/>
    <w:rPr>
      <w:rFonts w:ascii="Courier New" w:hAnsi="Courier New" w:cs="Courier New"/>
      <w:vanish/>
      <w:color w:val="800080"/>
      <w:sz w:val="24"/>
      <w:szCs w:val="24"/>
      <w:vertAlign w:val="subscript"/>
    </w:rPr>
  </w:style>
  <w:style w:type="character" w:customStyle="1" w:styleId="347">
    <w:name w:val="正文样式 Char"/>
    <w:link w:val="348"/>
    <w:qFormat/>
    <w:uiPriority w:val="0"/>
    <w:rPr>
      <w:rFonts w:ascii="Calibri" w:hAnsi="Calibri"/>
      <w:sz w:val="24"/>
      <w:szCs w:val="24"/>
    </w:rPr>
  </w:style>
  <w:style w:type="paragraph" w:customStyle="1" w:styleId="348">
    <w:name w:val="正文样式"/>
    <w:basedOn w:val="1"/>
    <w:link w:val="347"/>
    <w:qFormat/>
    <w:uiPriority w:val="0"/>
    <w:pPr>
      <w:adjustRightInd/>
      <w:spacing w:line="360" w:lineRule="auto"/>
      <w:ind w:firstLine="480" w:firstLineChars="200"/>
    </w:pPr>
    <w:rPr>
      <w:rFonts w:ascii="Calibri" w:hAnsi="Calibri" w:eastAsiaTheme="minorEastAsia" w:cstheme="minorBidi"/>
      <w:sz w:val="24"/>
    </w:rPr>
  </w:style>
  <w:style w:type="character" w:customStyle="1" w:styleId="349">
    <w:name w:val="表正文 Char3"/>
    <w:qFormat/>
    <w:uiPriority w:val="0"/>
    <w:rPr>
      <w:rFonts w:eastAsia="宋体"/>
    </w:rPr>
  </w:style>
  <w:style w:type="character" w:customStyle="1" w:styleId="350">
    <w:name w:val="H5 Char"/>
    <w:qFormat/>
    <w:uiPriority w:val="0"/>
    <w:rPr>
      <w:b/>
      <w:bCs/>
      <w:kern w:val="2"/>
      <w:sz w:val="28"/>
      <w:szCs w:val="28"/>
    </w:rPr>
  </w:style>
  <w:style w:type="character" w:customStyle="1" w:styleId="351">
    <w:name w:val="Char Char3"/>
    <w:qFormat/>
    <w:uiPriority w:val="0"/>
    <w:rPr>
      <w:rFonts w:eastAsia="宋体"/>
      <w:kern w:val="2"/>
      <w:sz w:val="21"/>
      <w:szCs w:val="24"/>
      <w:lang w:val="en-US" w:eastAsia="zh-CN" w:bidi="ar-SA"/>
    </w:rPr>
  </w:style>
  <w:style w:type="character" w:customStyle="1" w:styleId="352">
    <w:name w:val="正文 编号 Char"/>
    <w:qFormat/>
    <w:uiPriority w:val="0"/>
    <w:rPr>
      <w:rFonts w:ascii="仿宋_GB2312" w:hAnsi="仿宋_GB2312" w:eastAsia="仿宋_GB2312"/>
      <w:kern w:val="2"/>
      <w:sz w:val="24"/>
      <w:lang w:bidi="ar-SA"/>
    </w:rPr>
  </w:style>
  <w:style w:type="character" w:customStyle="1" w:styleId="353">
    <w:name w:val="question-title2"/>
    <w:qFormat/>
    <w:uiPriority w:val="6"/>
    <w:rPr>
      <w:rFonts w:ascii="Arial" w:hAnsi="Arial" w:eastAsia="黑体" w:cs="Arial"/>
      <w:snapToGrid w:val="0"/>
      <w:kern w:val="0"/>
      <w:szCs w:val="21"/>
    </w:rPr>
  </w:style>
  <w:style w:type="character" w:customStyle="1" w:styleId="354">
    <w:name w:val="gf正文1 Char Char"/>
    <w:link w:val="355"/>
    <w:qFormat/>
    <w:uiPriority w:val="0"/>
    <w:rPr>
      <w:rFonts w:ascii="宋体" w:hAnsi="宋体" w:cs="宋体"/>
      <w:sz w:val="24"/>
      <w:szCs w:val="24"/>
    </w:rPr>
  </w:style>
  <w:style w:type="paragraph" w:customStyle="1" w:styleId="355">
    <w:name w:val="gf正文1"/>
    <w:basedOn w:val="1"/>
    <w:link w:val="354"/>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56">
    <w:name w:val="Char Char15"/>
    <w:qFormat/>
    <w:uiPriority w:val="6"/>
    <w:rPr>
      <w:rFonts w:ascii="宋体" w:hAnsi="宋体"/>
      <w:kern w:val="1"/>
      <w:sz w:val="21"/>
    </w:rPr>
  </w:style>
  <w:style w:type="character" w:customStyle="1" w:styleId="357">
    <w:name w:val="正文缩进 Char3"/>
    <w:qFormat/>
    <w:uiPriority w:val="0"/>
    <w:rPr>
      <w:rFonts w:ascii="宋体" w:eastAsia="宋体"/>
      <w:snapToGrid w:val="0"/>
      <w:color w:val="000000"/>
      <w:kern w:val="28"/>
      <w:sz w:val="28"/>
      <w:lang w:val="en-US" w:eastAsia="zh-CN" w:bidi="ar-SA"/>
    </w:rPr>
  </w:style>
  <w:style w:type="character" w:customStyle="1" w:styleId="358">
    <w:name w:val="列出段落 Char1"/>
    <w:link w:val="359"/>
    <w:qFormat/>
    <w:uiPriority w:val="0"/>
    <w:rPr>
      <w:rFonts w:ascii="Calibri" w:hAnsi="Calibri"/>
      <w:sz w:val="24"/>
      <w:lang w:eastAsia="en-US"/>
    </w:rPr>
  </w:style>
  <w:style w:type="paragraph" w:customStyle="1" w:styleId="359">
    <w:name w:val="列表1"/>
    <w:basedOn w:val="1"/>
    <w:next w:val="360"/>
    <w:link w:val="358"/>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customStyle="1" w:styleId="360">
    <w:name w:val="列出段落2"/>
    <w:basedOn w:val="1"/>
    <w:qFormat/>
    <w:uiPriority w:val="34"/>
    <w:pPr>
      <w:spacing w:line="360" w:lineRule="auto"/>
      <w:ind w:firstLine="200" w:firstLineChars="200"/>
    </w:pPr>
    <w:rPr>
      <w:rFonts w:eastAsia="楷体_GB2312" w:cs="Lucida Sans"/>
      <w:sz w:val="24"/>
    </w:rPr>
  </w:style>
  <w:style w:type="character" w:customStyle="1" w:styleId="361">
    <w:name w:val="Char Char8"/>
    <w:qFormat/>
    <w:uiPriority w:val="0"/>
    <w:rPr>
      <w:rFonts w:eastAsia="宋体"/>
      <w:b/>
      <w:sz w:val="24"/>
      <w:lang w:val="en-US" w:eastAsia="zh-CN"/>
    </w:rPr>
  </w:style>
  <w:style w:type="character" w:customStyle="1" w:styleId="362">
    <w:name w:val="Normal Indent Char Char"/>
    <w:qFormat/>
    <w:uiPriority w:val="0"/>
    <w:rPr>
      <w:rFonts w:eastAsia="宋体"/>
      <w:kern w:val="2"/>
      <w:sz w:val="21"/>
      <w:lang w:val="en-US" w:eastAsia="zh-CN" w:bidi="ar-SA"/>
    </w:rPr>
  </w:style>
  <w:style w:type="character" w:customStyle="1" w:styleId="363">
    <w:name w:val="列表段落 字符"/>
    <w:qFormat/>
    <w:uiPriority w:val="99"/>
  </w:style>
  <w:style w:type="character" w:customStyle="1" w:styleId="364">
    <w:name w:val="Ò³Ã¼ Char Char1"/>
    <w:qFormat/>
    <w:uiPriority w:val="0"/>
    <w:rPr>
      <w:rFonts w:eastAsia="宋体"/>
      <w:kern w:val="2"/>
      <w:sz w:val="18"/>
      <w:szCs w:val="18"/>
      <w:lang w:val="en-US" w:eastAsia="zh-CN" w:bidi="ar-SA"/>
    </w:rPr>
  </w:style>
  <w:style w:type="character" w:customStyle="1" w:styleId="365">
    <w:name w:val="方案正文 Char"/>
    <w:qFormat/>
    <w:uiPriority w:val="0"/>
    <w:rPr>
      <w:rFonts w:ascii="仿宋_GB2312" w:eastAsia="仿宋_GB2312"/>
      <w:b/>
      <w:color w:val="000000"/>
      <w:kern w:val="2"/>
      <w:sz w:val="24"/>
      <w:lang w:val="en-US" w:eastAsia="zh-CN" w:bidi="ar-SA"/>
    </w:rPr>
  </w:style>
  <w:style w:type="character" w:customStyle="1" w:styleId="366">
    <w:name w:val="Char Char30"/>
    <w:qFormat/>
    <w:uiPriority w:val="6"/>
    <w:rPr>
      <w:rFonts w:ascii="Arial" w:hAnsi="Arial" w:eastAsia="黑体"/>
      <w:kern w:val="1"/>
      <w:sz w:val="21"/>
      <w:szCs w:val="21"/>
    </w:rPr>
  </w:style>
  <w:style w:type="character" w:customStyle="1" w:styleId="367">
    <w:name w:val="正文文本缩进 字符1"/>
    <w:qFormat/>
    <w:uiPriority w:val="0"/>
    <w:rPr>
      <w:rFonts w:ascii="宋体" w:hAnsi="宋体"/>
      <w:kern w:val="2"/>
      <w:sz w:val="24"/>
      <w:szCs w:val="24"/>
    </w:rPr>
  </w:style>
  <w:style w:type="character" w:customStyle="1" w:styleId="368">
    <w:name w:val="font01"/>
    <w:qFormat/>
    <w:uiPriority w:val="0"/>
    <w:rPr>
      <w:rFonts w:hint="eastAsia" w:ascii="微软雅黑" w:hAnsi="微软雅黑" w:eastAsia="微软雅黑" w:cs="微软雅黑"/>
      <w:color w:val="000000"/>
      <w:sz w:val="20"/>
      <w:szCs w:val="20"/>
      <w:u w:val="none"/>
    </w:rPr>
  </w:style>
  <w:style w:type="character" w:customStyle="1" w:styleId="369">
    <w:name w:val="Char Char20"/>
    <w:qFormat/>
    <w:uiPriority w:val="6"/>
    <w:rPr>
      <w:kern w:val="1"/>
      <w:sz w:val="24"/>
    </w:rPr>
  </w:style>
  <w:style w:type="character" w:customStyle="1" w:styleId="370">
    <w:name w:val="tw4winExternal"/>
    <w:qFormat/>
    <w:uiPriority w:val="0"/>
    <w:rPr>
      <w:rFonts w:ascii="Courier New" w:hAnsi="Courier New" w:cs="Courier New"/>
      <w:color w:val="808080"/>
      <w:lang w:val="en-US" w:eastAsia="zh-CN"/>
    </w:rPr>
  </w:style>
  <w:style w:type="character" w:customStyle="1" w:styleId="371">
    <w:name w:val="标题 4 Char1"/>
    <w:qFormat/>
    <w:uiPriority w:val="9"/>
    <w:rPr>
      <w:rFonts w:ascii="Cambria" w:hAnsi="Cambria" w:eastAsia="宋体" w:cs="Times New Roman"/>
      <w:b/>
      <w:bCs/>
      <w:kern w:val="2"/>
      <w:sz w:val="28"/>
      <w:szCs w:val="28"/>
    </w:rPr>
  </w:style>
  <w:style w:type="character" w:customStyle="1" w:styleId="372">
    <w:name w:val="批注文字 Char2"/>
    <w:qFormat/>
    <w:uiPriority w:val="99"/>
    <w:rPr>
      <w:rFonts w:ascii="Times New Roman" w:hAnsi="Times New Roman" w:eastAsia="宋体" w:cs="Times New Roman"/>
      <w:snapToGrid w:val="0"/>
      <w:kern w:val="0"/>
      <w:szCs w:val="24"/>
    </w:rPr>
  </w:style>
  <w:style w:type="character" w:customStyle="1" w:styleId="373">
    <w:name w:val="正文文本 2 Char"/>
    <w:qFormat/>
    <w:uiPriority w:val="0"/>
    <w:rPr>
      <w:rFonts w:eastAsia="宋体"/>
      <w:kern w:val="2"/>
      <w:sz w:val="21"/>
      <w:szCs w:val="24"/>
      <w:lang w:val="en-US" w:eastAsia="zh-CN" w:bidi="ar-SA"/>
    </w:rPr>
  </w:style>
  <w:style w:type="character" w:customStyle="1" w:styleId="374">
    <w:name w:val="Ò³Ã¼ Char Char"/>
    <w:qFormat/>
    <w:uiPriority w:val="0"/>
    <w:rPr>
      <w:rFonts w:eastAsia="宋体"/>
      <w:kern w:val="2"/>
      <w:sz w:val="18"/>
      <w:lang w:val="en-US" w:eastAsia="zh-CN" w:bidi="ar-SA"/>
    </w:rPr>
  </w:style>
  <w:style w:type="character" w:customStyle="1" w:styleId="375">
    <w:name w:val="message1"/>
    <w:qFormat/>
    <w:uiPriority w:val="0"/>
    <w:rPr>
      <w:rFonts w:hint="default" w:ascii="Tahoma" w:hAnsi="Tahoma" w:cs="Tahoma"/>
      <w:sz w:val="18"/>
      <w:szCs w:val="18"/>
    </w:rPr>
  </w:style>
  <w:style w:type="character" w:customStyle="1" w:styleId="376">
    <w:name w:val="Char Char23"/>
    <w:qFormat/>
    <w:uiPriority w:val="6"/>
    <w:rPr>
      <w:color w:val="0000FF"/>
      <w:sz w:val="21"/>
    </w:rPr>
  </w:style>
  <w:style w:type="character" w:customStyle="1" w:styleId="377">
    <w:name w:val="批注框文本 字符"/>
    <w:qFormat/>
    <w:uiPriority w:val="0"/>
    <w:rPr>
      <w:rFonts w:ascii="Arial" w:hAnsi="Arial" w:eastAsia="黑体" w:cs="Arial"/>
      <w:snapToGrid w:val="0"/>
      <w:kern w:val="0"/>
      <w:sz w:val="18"/>
      <w:szCs w:val="18"/>
    </w:rPr>
  </w:style>
  <w:style w:type="character" w:customStyle="1" w:styleId="378">
    <w:name w:val="纯文本 Char2"/>
    <w:semiHidden/>
    <w:qFormat/>
    <w:uiPriority w:val="99"/>
    <w:rPr>
      <w:rFonts w:ascii="宋体" w:hAnsi="Courier New" w:eastAsia="宋体" w:cs="Courier New"/>
    </w:rPr>
  </w:style>
  <w:style w:type="character" w:customStyle="1" w:styleId="379">
    <w:name w:val="Char Char25"/>
    <w:qFormat/>
    <w:uiPriority w:val="6"/>
    <w:rPr>
      <w:rFonts w:ascii="宋体" w:hAnsi="宋体"/>
      <w:kern w:val="1"/>
      <w:sz w:val="24"/>
      <w:lang w:val="zh-CN"/>
    </w:rPr>
  </w:style>
  <w:style w:type="character" w:customStyle="1" w:styleId="380">
    <w:name w:val="Char Char411"/>
    <w:qFormat/>
    <w:uiPriority w:val="0"/>
    <w:rPr>
      <w:rFonts w:eastAsia="宋体"/>
      <w:b/>
      <w:sz w:val="24"/>
      <w:lang w:val="en-US" w:eastAsia="zh-CN" w:bidi="ar-SA"/>
    </w:rPr>
  </w:style>
  <w:style w:type="character" w:customStyle="1" w:styleId="381">
    <w:name w:val="Heading 7 Char"/>
    <w:qFormat/>
    <w:locked/>
    <w:uiPriority w:val="0"/>
    <w:rPr>
      <w:rFonts w:ascii="宋体" w:hAnsi="宋体" w:eastAsia="宋体"/>
      <w:b/>
      <w:bCs/>
      <w:kern w:val="2"/>
      <w:sz w:val="24"/>
      <w:szCs w:val="24"/>
      <w:lang w:val="en-US" w:eastAsia="zh-CN" w:bidi="ar-SA"/>
    </w:rPr>
  </w:style>
  <w:style w:type="character" w:customStyle="1" w:styleId="382">
    <w:name w:val="此正文 Char"/>
    <w:link w:val="383"/>
    <w:qFormat/>
    <w:uiPriority w:val="0"/>
    <w:rPr>
      <w:sz w:val="24"/>
      <w:szCs w:val="24"/>
    </w:rPr>
  </w:style>
  <w:style w:type="paragraph" w:customStyle="1" w:styleId="383">
    <w:name w:val="此正文"/>
    <w:basedOn w:val="1"/>
    <w:link w:val="382"/>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84">
    <w:name w:val="Char Char2"/>
    <w:qFormat/>
    <w:uiPriority w:val="0"/>
    <w:rPr>
      <w:rFonts w:eastAsia="宋体"/>
      <w:b/>
      <w:bCs/>
      <w:kern w:val="2"/>
      <w:sz w:val="21"/>
      <w:szCs w:val="24"/>
      <w:lang w:val="en-US" w:eastAsia="zh-CN" w:bidi="ar-SA"/>
    </w:rPr>
  </w:style>
  <w:style w:type="character" w:customStyle="1" w:styleId="385">
    <w:name w:val="标题 1 字符1"/>
    <w:qFormat/>
    <w:uiPriority w:val="9"/>
    <w:rPr>
      <w:b/>
      <w:bCs/>
      <w:kern w:val="44"/>
      <w:sz w:val="44"/>
      <w:szCs w:val="44"/>
    </w:rPr>
  </w:style>
  <w:style w:type="character" w:customStyle="1" w:styleId="386">
    <w:name w:val="Footer-Even Char1"/>
    <w:qFormat/>
    <w:uiPriority w:val="0"/>
    <w:rPr>
      <w:rFonts w:eastAsia="宋体"/>
      <w:kern w:val="2"/>
      <w:sz w:val="18"/>
      <w:szCs w:val="18"/>
      <w:lang w:val="en-US" w:eastAsia="zh-CN" w:bidi="ar-SA"/>
    </w:rPr>
  </w:style>
  <w:style w:type="character" w:customStyle="1" w:styleId="387">
    <w:name w:val="Char Char29"/>
    <w:qFormat/>
    <w:uiPriority w:val="6"/>
    <w:rPr>
      <w:rFonts w:ascii="Arial" w:hAnsi="Arial" w:eastAsia="微软雅黑"/>
      <w:b/>
      <w:kern w:val="1"/>
      <w:sz w:val="44"/>
      <w:szCs w:val="32"/>
      <w:lang w:val="en-US" w:eastAsia="zh-CN" w:bidi="ar-SA"/>
    </w:rPr>
  </w:style>
  <w:style w:type="character" w:customStyle="1" w:styleId="388">
    <w:name w:val="标题 Char3"/>
    <w:link w:val="54"/>
    <w:qFormat/>
    <w:uiPriority w:val="10"/>
    <w:rPr>
      <w:b/>
      <w:sz w:val="24"/>
      <w:lang w:val="en-US"/>
    </w:rPr>
  </w:style>
  <w:style w:type="character" w:customStyle="1" w:styleId="389">
    <w:name w:val="font81"/>
    <w:qFormat/>
    <w:uiPriority w:val="0"/>
    <w:rPr>
      <w:rFonts w:ascii="微软雅黑" w:hAnsi="微软雅黑" w:eastAsia="微软雅黑" w:cs="微软雅黑"/>
      <w:color w:val="000000"/>
      <w:sz w:val="20"/>
      <w:szCs w:val="20"/>
      <w:u w:val="none"/>
    </w:rPr>
  </w:style>
  <w:style w:type="character" w:customStyle="1" w:styleId="390">
    <w:name w:val="Char Char312"/>
    <w:qFormat/>
    <w:uiPriority w:val="0"/>
    <w:rPr>
      <w:rFonts w:ascii="Times New Roman" w:hAnsi="Times New Roman" w:eastAsia="宋体" w:cs="Times New Roman"/>
      <w:b/>
      <w:kern w:val="2"/>
      <w:sz w:val="32"/>
      <w:szCs w:val="24"/>
      <w:lang w:val="en-US" w:eastAsia="zh-CN" w:bidi="ar-SA"/>
    </w:rPr>
  </w:style>
  <w:style w:type="character" w:customStyle="1" w:styleId="391">
    <w:name w:val="t21"/>
    <w:qFormat/>
    <w:uiPriority w:val="0"/>
    <w:rPr>
      <w:rFonts w:ascii="仿宋_GB2312" w:eastAsia="微软雅黑"/>
      <w:b/>
      <w:kern w:val="2"/>
      <w:sz w:val="23"/>
      <w:szCs w:val="23"/>
      <w:lang w:val="en-US" w:eastAsia="zh-CN" w:bidi="ar-SA"/>
    </w:rPr>
  </w:style>
  <w:style w:type="character" w:customStyle="1" w:styleId="392">
    <w:name w:val="表格 Char Char"/>
    <w:qFormat/>
    <w:uiPriority w:val="0"/>
    <w:rPr>
      <w:rFonts w:ascii="宋体" w:hAnsi="宋体" w:eastAsia="宋体"/>
      <w:lang w:bidi="ar-SA"/>
    </w:rPr>
  </w:style>
  <w:style w:type="character" w:customStyle="1" w:styleId="393">
    <w:name w:val="标题 6 Char1"/>
    <w:qFormat/>
    <w:uiPriority w:val="0"/>
    <w:rPr>
      <w:rFonts w:ascii="Arial" w:hAnsi="Arial" w:eastAsia="黑体" w:cs="Times New Roman"/>
      <w:b/>
      <w:sz w:val="24"/>
      <w:szCs w:val="20"/>
      <w:lang w:bidi="ar-SA"/>
    </w:rPr>
  </w:style>
  <w:style w:type="character" w:customStyle="1" w:styleId="394">
    <w:name w:val="正文首行缩进 Char Char Char Char Char Char1"/>
    <w:qFormat/>
    <w:uiPriority w:val="0"/>
    <w:rPr>
      <w:rFonts w:ascii="宋体" w:eastAsia="宋体"/>
      <w:kern w:val="2"/>
      <w:sz w:val="24"/>
      <w:szCs w:val="24"/>
      <w:lang w:val="zh-CN" w:bidi="ar-SA"/>
    </w:rPr>
  </w:style>
  <w:style w:type="character" w:customStyle="1" w:styleId="395">
    <w:name w:val="称呼 Char2"/>
    <w:link w:val="19"/>
    <w:qFormat/>
    <w:uiPriority w:val="0"/>
    <w:rPr>
      <w:rFonts w:ascii="仿宋_GB2312" w:eastAsia="仿宋_GB2312"/>
      <w:sz w:val="28"/>
    </w:rPr>
  </w:style>
  <w:style w:type="character" w:customStyle="1" w:styleId="396">
    <w:name w:val="文本正文 Char Char"/>
    <w:qFormat/>
    <w:locked/>
    <w:uiPriority w:val="0"/>
    <w:rPr>
      <w:sz w:val="24"/>
      <w:lang w:bidi="ar-SA"/>
    </w:rPr>
  </w:style>
  <w:style w:type="character" w:customStyle="1" w:styleId="397">
    <w:name w:val="正文文本 2 Char2"/>
    <w:link w:val="51"/>
    <w:qFormat/>
    <w:uiPriority w:val="0"/>
    <w:rPr>
      <w:szCs w:val="24"/>
    </w:rPr>
  </w:style>
  <w:style w:type="character" w:customStyle="1" w:styleId="398">
    <w:name w:val="样式 样式 标题 4h4H4Fab-4T5Ref Heading 1rh1Heading sqlsect 1.2.3.... +... Char"/>
    <w:link w:val="399"/>
    <w:qFormat/>
    <w:uiPriority w:val="0"/>
    <w:rPr>
      <w:rFonts w:ascii="微软雅黑" w:hAnsi="微软雅黑" w:eastAsia="微软雅黑"/>
      <w:b/>
      <w:bCs/>
      <w:sz w:val="24"/>
      <w:szCs w:val="28"/>
    </w:rPr>
  </w:style>
  <w:style w:type="paragraph" w:customStyle="1" w:styleId="399">
    <w:name w:val="样式 样式 标题 4h4H4Fab-4T5Ref Heading 1rh1Heading sqlsect 1.2.3.... +..."/>
    <w:basedOn w:val="400"/>
    <w:link w:val="398"/>
    <w:qFormat/>
    <w:uiPriority w:val="0"/>
    <w:pPr>
      <w:tabs>
        <w:tab w:val="left" w:pos="2356"/>
      </w:tabs>
    </w:pPr>
  </w:style>
  <w:style w:type="paragraph" w:customStyle="1" w:styleId="400">
    <w:name w:val="样式 标题 4h4H4Fab-4T5Ref Heading 1rh1Heading sqlsect 1.2.3...."/>
    <w:basedOn w:val="5"/>
    <w:link w:val="446"/>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401">
    <w:name w:val="正文文本缩进 2 Char2"/>
    <w:link w:val="35"/>
    <w:qFormat/>
    <w:uiPriority w:val="0"/>
    <w:rPr>
      <w:rFonts w:ascii="宋体"/>
      <w:sz w:val="28"/>
    </w:rPr>
  </w:style>
  <w:style w:type="character" w:customStyle="1" w:styleId="402">
    <w:name w:val="脚注文本 Char2"/>
    <w:link w:val="47"/>
    <w:qFormat/>
    <w:uiPriority w:val="0"/>
    <w:rPr>
      <w:color w:val="0000FF"/>
    </w:rPr>
  </w:style>
  <w:style w:type="character" w:customStyle="1" w:styleId="403">
    <w:name w:val="称呼 Char1"/>
    <w:qFormat/>
    <w:uiPriority w:val="0"/>
    <w:rPr>
      <w:rFonts w:ascii="Times New Roman" w:hAnsi="Times New Roman" w:eastAsia="宋体" w:cs="Times New Roman"/>
      <w:szCs w:val="24"/>
    </w:rPr>
  </w:style>
  <w:style w:type="character" w:customStyle="1" w:styleId="404">
    <w:name w:val="正文1 Char"/>
    <w:qFormat/>
    <w:uiPriority w:val="0"/>
    <w:rPr>
      <w:rFonts w:ascii="宋体" w:eastAsia="宋体"/>
      <w:snapToGrid w:val="0"/>
      <w:color w:val="000000"/>
      <w:kern w:val="28"/>
      <w:sz w:val="28"/>
      <w:lang w:val="en-US" w:eastAsia="zh-CN" w:bidi="ar-SA"/>
    </w:rPr>
  </w:style>
  <w:style w:type="character" w:customStyle="1" w:styleId="405">
    <w:name w:val="正文缩进 Char1"/>
    <w:qFormat/>
    <w:uiPriority w:val="0"/>
    <w:rPr>
      <w:rFonts w:ascii="宋体" w:eastAsia="宋体"/>
      <w:snapToGrid w:val="0"/>
      <w:color w:val="000000"/>
      <w:kern w:val="28"/>
      <w:sz w:val="28"/>
      <w:lang w:val="en-US" w:eastAsia="zh-CN" w:bidi="ar-SA"/>
    </w:rPr>
  </w:style>
  <w:style w:type="character" w:customStyle="1" w:styleId="406">
    <w:name w:val="批注框文本 Char1"/>
    <w:qFormat/>
    <w:uiPriority w:val="0"/>
    <w:rPr>
      <w:rFonts w:ascii="Times New Roman" w:hAnsi="Times New Roman" w:eastAsia="宋体" w:cs="Times New Roman"/>
      <w:sz w:val="18"/>
      <w:szCs w:val="18"/>
    </w:rPr>
  </w:style>
  <w:style w:type="character" w:customStyle="1" w:styleId="407">
    <w:name w:val="Char Char31"/>
    <w:qFormat/>
    <w:uiPriority w:val="6"/>
    <w:rPr>
      <w:rFonts w:ascii="Arial" w:hAnsi="Arial" w:eastAsia="黑体"/>
      <w:kern w:val="1"/>
      <w:sz w:val="24"/>
      <w:szCs w:val="24"/>
    </w:rPr>
  </w:style>
  <w:style w:type="character" w:customStyle="1" w:styleId="408">
    <w:name w:val="h Char1"/>
    <w:qFormat/>
    <w:uiPriority w:val="0"/>
    <w:rPr>
      <w:sz w:val="18"/>
      <w:szCs w:val="18"/>
    </w:rPr>
  </w:style>
  <w:style w:type="character" w:customStyle="1" w:styleId="409">
    <w:name w:val="标题 4 Char2"/>
    <w:link w:val="5"/>
    <w:qFormat/>
    <w:uiPriority w:val="9"/>
    <w:rPr>
      <w:rFonts w:ascii="Arial" w:hAnsi="Arial" w:eastAsia="黑体" w:cs="Times New Roman"/>
      <w:b/>
      <w:bCs/>
      <w:sz w:val="28"/>
      <w:szCs w:val="28"/>
      <w:lang w:val="zh-CN"/>
    </w:rPr>
  </w:style>
  <w:style w:type="character" w:customStyle="1" w:styleId="410">
    <w:name w:val="正文文本 3 Char2"/>
    <w:link w:val="20"/>
    <w:qFormat/>
    <w:uiPriority w:val="0"/>
  </w:style>
  <w:style w:type="character" w:customStyle="1" w:styleId="411">
    <w:name w:val="font31"/>
    <w:qFormat/>
    <w:uiPriority w:val="0"/>
    <w:rPr>
      <w:rFonts w:hint="eastAsia" w:ascii="仿宋" w:hAnsi="仿宋" w:eastAsia="仿宋" w:cs="仿宋"/>
      <w:color w:val="000000"/>
      <w:sz w:val="20"/>
      <w:szCs w:val="20"/>
      <w:u w:val="none"/>
    </w:rPr>
  </w:style>
  <w:style w:type="character" w:customStyle="1" w:styleId="412">
    <w:name w:val="脚注文本 Char1"/>
    <w:qFormat/>
    <w:uiPriority w:val="0"/>
    <w:rPr>
      <w:rFonts w:ascii="Times New Roman" w:hAnsi="Times New Roman" w:eastAsia="宋体" w:cs="Times New Roman"/>
      <w:sz w:val="18"/>
      <w:szCs w:val="18"/>
    </w:rPr>
  </w:style>
  <w:style w:type="character" w:customStyle="1" w:styleId="413">
    <w:name w:val="Char Char35"/>
    <w:qFormat/>
    <w:uiPriority w:val="6"/>
    <w:rPr>
      <w:rFonts w:ascii="Arial" w:hAnsi="Arial" w:eastAsia="黑体"/>
      <w:b/>
      <w:kern w:val="1"/>
      <w:sz w:val="28"/>
      <w:szCs w:val="28"/>
      <w:lang w:val="zh-CN"/>
    </w:rPr>
  </w:style>
  <w:style w:type="character" w:customStyle="1" w:styleId="414">
    <w:name w:val="纯文本 Char Char Char"/>
    <w:qFormat/>
    <w:uiPriority w:val="0"/>
    <w:rPr>
      <w:rFonts w:ascii="宋体" w:hAnsi="Courier New" w:eastAsia="宋体"/>
      <w:kern w:val="2"/>
      <w:sz w:val="21"/>
      <w:lang w:val="en-US" w:eastAsia="zh-CN" w:bidi="ar-SA"/>
    </w:rPr>
  </w:style>
  <w:style w:type="character" w:customStyle="1" w:styleId="415">
    <w:name w:val="正文1 Char1"/>
    <w:qFormat/>
    <w:uiPriority w:val="0"/>
    <w:rPr>
      <w:rFonts w:ascii="仿宋_GB2312" w:hAnsi="Courier New" w:eastAsia="仿宋_GB2312"/>
      <w:kern w:val="28"/>
      <w:sz w:val="24"/>
      <w:szCs w:val="24"/>
      <w:lang w:val="en-US" w:eastAsia="zh-CN"/>
    </w:rPr>
  </w:style>
  <w:style w:type="character" w:customStyle="1" w:styleId="416">
    <w:name w:val="页脚 Char1"/>
    <w:qFormat/>
    <w:uiPriority w:val="0"/>
    <w:rPr>
      <w:rFonts w:eastAsia="宋体"/>
      <w:kern w:val="2"/>
      <w:sz w:val="18"/>
      <w:szCs w:val="18"/>
      <w:lang w:val="en-US" w:eastAsia="zh-CN" w:bidi="ar-SA"/>
    </w:rPr>
  </w:style>
  <w:style w:type="character" w:customStyle="1" w:styleId="417">
    <w:name w:val="hui3"/>
    <w:qFormat/>
    <w:uiPriority w:val="0"/>
    <w:rPr>
      <w:color w:val="333333"/>
    </w:rPr>
  </w:style>
  <w:style w:type="character" w:customStyle="1" w:styleId="418">
    <w:name w:val="Char Char17"/>
    <w:qFormat/>
    <w:uiPriority w:val="6"/>
    <w:rPr>
      <w:rFonts w:eastAsia="仿宋_GB2312"/>
      <w:sz w:val="24"/>
    </w:rPr>
  </w:style>
  <w:style w:type="character" w:customStyle="1" w:styleId="419">
    <w:name w:val="标题 4 字符"/>
    <w:qFormat/>
    <w:uiPriority w:val="9"/>
    <w:rPr>
      <w:rFonts w:ascii="等线 Light" w:hAnsi="等线 Light" w:eastAsia="等线 Light" w:cs="Times New Roman"/>
      <w:b/>
      <w:bCs/>
      <w:snapToGrid w:val="0"/>
      <w:kern w:val="0"/>
      <w:sz w:val="28"/>
      <w:szCs w:val="28"/>
    </w:rPr>
  </w:style>
  <w:style w:type="character" w:customStyle="1" w:styleId="420">
    <w:name w:val="公文正文 Char Char"/>
    <w:link w:val="421"/>
    <w:qFormat/>
    <w:uiPriority w:val="0"/>
    <w:rPr>
      <w:rFonts w:ascii="仿宋_GB2312" w:eastAsia="仿宋_GB2312"/>
      <w:sz w:val="24"/>
      <w:szCs w:val="24"/>
    </w:rPr>
  </w:style>
  <w:style w:type="paragraph" w:customStyle="1" w:styleId="421">
    <w:name w:val="公文正文"/>
    <w:basedOn w:val="1"/>
    <w:link w:val="420"/>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22">
    <w:name w:val="Table Text Char1"/>
    <w:qFormat/>
    <w:uiPriority w:val="0"/>
    <w:rPr>
      <w:rFonts w:eastAsia="宋体"/>
      <w:sz w:val="24"/>
      <w:szCs w:val="24"/>
      <w:lang w:val="en-US" w:eastAsia="zh-CN" w:bidi="ar-SA"/>
    </w:rPr>
  </w:style>
  <w:style w:type="character" w:customStyle="1" w:styleId="423">
    <w:name w:val="标题 8 Char1"/>
    <w:link w:val="9"/>
    <w:qFormat/>
    <w:uiPriority w:val="0"/>
    <w:rPr>
      <w:rFonts w:ascii="Arial" w:hAnsi="Arial" w:eastAsia="黑体" w:cs="Times New Roman"/>
      <w:sz w:val="24"/>
      <w:szCs w:val="24"/>
    </w:rPr>
  </w:style>
  <w:style w:type="character" w:customStyle="1" w:styleId="424">
    <w:name w:val="标书表格字体格式 Char"/>
    <w:qFormat/>
    <w:uiPriority w:val="0"/>
    <w:rPr>
      <w:kern w:val="2"/>
      <w:sz w:val="21"/>
      <w:szCs w:val="24"/>
      <w:lang w:bidi="ar-SA"/>
    </w:rPr>
  </w:style>
  <w:style w:type="character" w:customStyle="1" w:styleId="425">
    <w:name w:val="Body Text(ch) Char Char"/>
    <w:qFormat/>
    <w:uiPriority w:val="0"/>
    <w:rPr>
      <w:rFonts w:ascii="宋体"/>
      <w:kern w:val="2"/>
      <w:sz w:val="24"/>
      <w:szCs w:val="21"/>
      <w:lang w:val="zh-CN"/>
    </w:rPr>
  </w:style>
  <w:style w:type="character" w:customStyle="1" w:styleId="426">
    <w:name w:val="正文首行缩进两字 Char"/>
    <w:qFormat/>
    <w:uiPriority w:val="0"/>
    <w:rPr>
      <w:sz w:val="24"/>
      <w:szCs w:val="24"/>
      <w:lang w:val="en-US" w:eastAsia="zh-CN" w:bidi="ar-SA"/>
    </w:rPr>
  </w:style>
  <w:style w:type="character" w:customStyle="1" w:styleId="427">
    <w:name w:val="文档结构图 字符1"/>
    <w:qFormat/>
    <w:uiPriority w:val="0"/>
    <w:rPr>
      <w:rFonts w:ascii="宋体" w:hAnsi="Calibri" w:eastAsia="黑体" w:cs="Arial"/>
      <w:snapToGrid w:val="0"/>
      <w:kern w:val="2"/>
      <w:sz w:val="18"/>
      <w:szCs w:val="18"/>
    </w:rPr>
  </w:style>
  <w:style w:type="character" w:customStyle="1" w:styleId="428">
    <w:name w:val="param-name"/>
    <w:qFormat/>
    <w:uiPriority w:val="99"/>
    <w:rPr>
      <w:rFonts w:ascii="Arial" w:hAnsi="Arial" w:eastAsia="黑体" w:cs="Arial"/>
      <w:snapToGrid w:val="0"/>
      <w:kern w:val="0"/>
      <w:szCs w:val="21"/>
    </w:rPr>
  </w:style>
  <w:style w:type="character" w:customStyle="1" w:styleId="429">
    <w:name w:val="标准正文格式 Char"/>
    <w:qFormat/>
    <w:uiPriority w:val="0"/>
    <w:rPr>
      <w:rFonts w:ascii="宋体" w:eastAsia="仿宋_GB2312" w:cs="宋体"/>
      <w:color w:val="000000"/>
      <w:sz w:val="24"/>
      <w:lang w:val="en-US" w:eastAsia="zh-CN" w:bidi="ar-SA"/>
    </w:rPr>
  </w:style>
  <w:style w:type="character" w:customStyle="1" w:styleId="430">
    <w:name w:val="zbggmain style9"/>
    <w:qFormat/>
    <w:uiPriority w:val="0"/>
  </w:style>
  <w:style w:type="character" w:customStyle="1" w:styleId="431">
    <w:name w:val="Char Char16"/>
    <w:qFormat/>
    <w:uiPriority w:val="6"/>
    <w:rPr>
      <w:kern w:val="1"/>
      <w:sz w:val="18"/>
      <w:szCs w:val="18"/>
    </w:rPr>
  </w:style>
  <w:style w:type="character" w:customStyle="1" w:styleId="432">
    <w:name w:val="Char Char82"/>
    <w:qFormat/>
    <w:uiPriority w:val="0"/>
    <w:rPr>
      <w:rFonts w:eastAsia="宋体"/>
      <w:b/>
      <w:sz w:val="24"/>
      <w:lang w:val="en-US" w:eastAsia="zh-CN"/>
    </w:rPr>
  </w:style>
  <w:style w:type="character" w:customStyle="1" w:styleId="433">
    <w:name w:val="正文文本缩进 3 Char2"/>
    <w:link w:val="49"/>
    <w:qFormat/>
    <w:uiPriority w:val="0"/>
    <w:rPr>
      <w:sz w:val="24"/>
    </w:rPr>
  </w:style>
  <w:style w:type="character" w:customStyle="1" w:styleId="434">
    <w:name w:val="页眉 字符"/>
    <w:qFormat/>
    <w:uiPriority w:val="99"/>
    <w:rPr>
      <w:kern w:val="2"/>
      <w:sz w:val="18"/>
      <w:szCs w:val="18"/>
    </w:rPr>
  </w:style>
  <w:style w:type="character" w:customStyle="1" w:styleId="435">
    <w:name w:val="Footer-Even Char"/>
    <w:qFormat/>
    <w:uiPriority w:val="0"/>
    <w:rPr>
      <w:rFonts w:eastAsia="宋体"/>
      <w:kern w:val="2"/>
      <w:sz w:val="18"/>
      <w:lang w:val="en-US" w:eastAsia="zh-CN" w:bidi="ar-SA"/>
    </w:rPr>
  </w:style>
  <w:style w:type="character" w:customStyle="1" w:styleId="436">
    <w:name w:val="Char Char61"/>
    <w:qFormat/>
    <w:uiPriority w:val="6"/>
    <w:rPr>
      <w:rFonts w:eastAsia="宋体"/>
      <w:kern w:val="2"/>
      <w:sz w:val="21"/>
      <w:szCs w:val="24"/>
      <w:lang w:val="en-US" w:eastAsia="zh-CN" w:bidi="ar-SA"/>
    </w:rPr>
  </w:style>
  <w:style w:type="character" w:customStyle="1" w:styleId="437">
    <w:name w:val="正文文字缩进 2 Char Char"/>
    <w:qFormat/>
    <w:uiPriority w:val="0"/>
    <w:rPr>
      <w:rFonts w:ascii="宋体"/>
      <w:sz w:val="28"/>
    </w:rPr>
  </w:style>
  <w:style w:type="character" w:customStyle="1" w:styleId="438">
    <w:name w:val="标题 3 Char2"/>
    <w:qFormat/>
    <w:uiPriority w:val="0"/>
    <w:rPr>
      <w:rFonts w:eastAsia="宋体"/>
      <w:b/>
      <w:bCs/>
      <w:kern w:val="2"/>
      <w:sz w:val="32"/>
      <w:szCs w:val="32"/>
      <w:lang w:val="en-US" w:eastAsia="zh-CN" w:bidi="ar-SA"/>
    </w:rPr>
  </w:style>
  <w:style w:type="character" w:customStyle="1" w:styleId="439">
    <w:name w:val="页眉 字符2"/>
    <w:qFormat/>
    <w:uiPriority w:val="99"/>
    <w:rPr>
      <w:kern w:val="2"/>
      <w:sz w:val="18"/>
      <w:szCs w:val="18"/>
    </w:rPr>
  </w:style>
  <w:style w:type="character" w:customStyle="1" w:styleId="440">
    <w:name w:val="Char Char9"/>
    <w:qFormat/>
    <w:uiPriority w:val="0"/>
    <w:rPr>
      <w:rFonts w:eastAsia="宋体"/>
      <w:kern w:val="2"/>
      <w:sz w:val="18"/>
      <w:szCs w:val="18"/>
      <w:lang w:val="en-US" w:eastAsia="zh-CN" w:bidi="ar-SA"/>
    </w:rPr>
  </w:style>
  <w:style w:type="character" w:customStyle="1" w:styleId="441">
    <w:name w:val="Char Char13"/>
    <w:qFormat/>
    <w:uiPriority w:val="6"/>
    <w:rPr>
      <w:rFonts w:ascii="宋体" w:hAnsi="宋体"/>
      <w:kern w:val="1"/>
      <w:sz w:val="21"/>
      <w:szCs w:val="24"/>
    </w:rPr>
  </w:style>
  <w:style w:type="character" w:customStyle="1" w:styleId="442">
    <w:name w:val="javascript"/>
    <w:qFormat/>
    <w:uiPriority w:val="0"/>
  </w:style>
  <w:style w:type="character" w:customStyle="1" w:styleId="443">
    <w:name w:val="图名 Char"/>
    <w:qFormat/>
    <w:uiPriority w:val="0"/>
    <w:rPr>
      <w:rFonts w:ascii="Arial" w:hAnsi="Arial" w:eastAsia="黑体"/>
      <w:kern w:val="2"/>
      <w:sz w:val="24"/>
      <w:szCs w:val="24"/>
      <w:lang w:val="en-US" w:eastAsia="zh-CN" w:bidi="ar-SA"/>
    </w:rPr>
  </w:style>
  <w:style w:type="character" w:customStyle="1" w:styleId="444">
    <w:name w:val="未用 Char"/>
    <w:qFormat/>
    <w:uiPriority w:val="0"/>
    <w:rPr>
      <w:rFonts w:ascii="Arial" w:hAnsi="Arial" w:eastAsia="黑体"/>
      <w:kern w:val="2"/>
      <w:sz w:val="21"/>
      <w:szCs w:val="21"/>
      <w:lang w:val="en-US" w:eastAsia="zh-CN" w:bidi="ar-SA"/>
    </w:rPr>
  </w:style>
  <w:style w:type="character" w:customStyle="1" w:styleId="445">
    <w:name w:val="myp1111"/>
    <w:qFormat/>
    <w:uiPriority w:val="0"/>
    <w:rPr>
      <w:rFonts w:hint="default" w:ascii="ˎ̥" w:hAnsi="ˎ̥"/>
      <w:color w:val="000000"/>
      <w:sz w:val="20"/>
      <w:szCs w:val="20"/>
      <w:u w:val="none"/>
    </w:rPr>
  </w:style>
  <w:style w:type="character" w:customStyle="1" w:styleId="446">
    <w:name w:val="样式 标题 4h4H4Fab-4T5Ref Heading 1rh1Heading sqlsect 1.2.3.... Char"/>
    <w:link w:val="400"/>
    <w:qFormat/>
    <w:uiPriority w:val="0"/>
    <w:rPr>
      <w:rFonts w:ascii="微软雅黑" w:hAnsi="微软雅黑" w:eastAsia="微软雅黑"/>
      <w:b/>
      <w:bCs/>
      <w:sz w:val="24"/>
      <w:szCs w:val="28"/>
    </w:rPr>
  </w:style>
  <w:style w:type="character" w:customStyle="1" w:styleId="447">
    <w:name w:val="h Char Char"/>
    <w:qFormat/>
    <w:uiPriority w:val="0"/>
    <w:rPr>
      <w:rFonts w:eastAsia="宋体"/>
      <w:kern w:val="2"/>
      <w:sz w:val="18"/>
      <w:lang w:val="en-US" w:eastAsia="zh-CN" w:bidi="ar-SA"/>
    </w:rPr>
  </w:style>
  <w:style w:type="character" w:customStyle="1" w:styleId="448">
    <w:name w:val="仿宋正文 Char"/>
    <w:link w:val="449"/>
    <w:qFormat/>
    <w:uiPriority w:val="0"/>
    <w:rPr>
      <w:rFonts w:ascii="仿宋_GB2312" w:eastAsia="仿宋_GB2312"/>
      <w:sz w:val="24"/>
    </w:rPr>
  </w:style>
  <w:style w:type="paragraph" w:customStyle="1" w:styleId="449">
    <w:name w:val="仿宋正文"/>
    <w:basedOn w:val="1"/>
    <w:link w:val="448"/>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50">
    <w:name w:val="样式 宋体"/>
    <w:qFormat/>
    <w:uiPriority w:val="0"/>
    <w:rPr>
      <w:rFonts w:ascii="宋体" w:hAnsi="宋体"/>
      <w:sz w:val="24"/>
    </w:rPr>
  </w:style>
  <w:style w:type="character" w:customStyle="1" w:styleId="451">
    <w:name w:val="tw4winJump"/>
    <w:qFormat/>
    <w:uiPriority w:val="0"/>
    <w:rPr>
      <w:rFonts w:ascii="Courier New" w:hAnsi="Courier New" w:cs="Courier New"/>
      <w:color w:val="008080"/>
      <w:lang w:val="en-US" w:eastAsia="zh-CN"/>
    </w:rPr>
  </w:style>
  <w:style w:type="character" w:customStyle="1" w:styleId="452">
    <w:name w:val="style36"/>
    <w:qFormat/>
    <w:uiPriority w:val="0"/>
    <w:rPr>
      <w:rFonts w:ascii="Arial" w:hAnsi="Arial" w:eastAsia="黑体" w:cs="Arial"/>
      <w:snapToGrid w:val="0"/>
      <w:kern w:val="0"/>
      <w:szCs w:val="21"/>
    </w:rPr>
  </w:style>
  <w:style w:type="character" w:customStyle="1" w:styleId="453">
    <w:name w:val="pt9"/>
    <w:qFormat/>
    <w:uiPriority w:val="0"/>
    <w:rPr>
      <w:rFonts w:ascii="仿宋_GB2312" w:eastAsia="微软雅黑"/>
      <w:b/>
      <w:kern w:val="2"/>
      <w:sz w:val="32"/>
      <w:szCs w:val="32"/>
      <w:lang w:val="en-US" w:eastAsia="zh-CN" w:bidi="ar-SA"/>
    </w:rPr>
  </w:style>
  <w:style w:type="character" w:customStyle="1" w:styleId="454">
    <w:name w:val="正文2 Char"/>
    <w:qFormat/>
    <w:uiPriority w:val="0"/>
    <w:rPr>
      <w:rFonts w:eastAsia="宋体"/>
      <w:kern w:val="2"/>
      <w:sz w:val="24"/>
      <w:lang w:val="en-US" w:eastAsia="zh-CN" w:bidi="ar-SA"/>
    </w:rPr>
  </w:style>
  <w:style w:type="character" w:customStyle="1" w:styleId="455">
    <w:name w:val="Char Char21"/>
    <w:qFormat/>
    <w:uiPriority w:val="6"/>
    <w:rPr>
      <w:rFonts w:ascii="宋体" w:hAnsi="宋体"/>
      <w:kern w:val="1"/>
      <w:sz w:val="24"/>
      <w:szCs w:val="21"/>
      <w:lang w:val="zh-CN"/>
    </w:rPr>
  </w:style>
  <w:style w:type="character" w:customStyle="1" w:styleId="456">
    <w:name w:val="样式 正文缩进 + 首行缩进:  2 字符 Char Char"/>
    <w:link w:val="457"/>
    <w:qFormat/>
    <w:uiPriority w:val="0"/>
    <w:rPr>
      <w:rFonts w:cs="宋体"/>
      <w:sz w:val="24"/>
    </w:rPr>
  </w:style>
  <w:style w:type="paragraph" w:customStyle="1" w:styleId="457">
    <w:name w:val="样式 正文缩进 + 首行缩进:  2 字符"/>
    <w:basedOn w:val="14"/>
    <w:link w:val="456"/>
    <w:qFormat/>
    <w:uiPriority w:val="0"/>
    <w:pPr>
      <w:widowControl w:val="0"/>
      <w:adjustRightInd/>
      <w:snapToGrid/>
      <w:spacing w:line="360" w:lineRule="auto"/>
      <w:ind w:firstLine="200" w:firstLineChars="200"/>
    </w:pPr>
    <w:rPr>
      <w:rFonts w:cs="宋体" w:asciiTheme="minorHAnsi" w:eastAsiaTheme="minorEastAsia"/>
      <w:snapToGrid/>
      <w:color w:val="auto"/>
      <w:kern w:val="2"/>
      <w:sz w:val="24"/>
    </w:rPr>
  </w:style>
  <w:style w:type="character" w:customStyle="1" w:styleId="458">
    <w:name w:val="正文缩进 字符1"/>
    <w:qFormat/>
    <w:uiPriority w:val="0"/>
    <w:rPr>
      <w:rFonts w:ascii="宋体" w:eastAsia="宋体"/>
      <w:snapToGrid w:val="0"/>
      <w:color w:val="000000"/>
      <w:kern w:val="28"/>
      <w:sz w:val="28"/>
      <w:lang w:val="en-US" w:eastAsia="zh-CN" w:bidi="ar-SA"/>
    </w:rPr>
  </w:style>
  <w:style w:type="character" w:customStyle="1" w:styleId="459">
    <w:name w:val="尾注文本 Char1"/>
    <w:link w:val="36"/>
    <w:qFormat/>
    <w:uiPriority w:val="0"/>
    <w:rPr>
      <w:szCs w:val="24"/>
      <w:lang w:val="zh-CN"/>
    </w:rPr>
  </w:style>
  <w:style w:type="character" w:customStyle="1" w:styleId="460">
    <w:name w:val="无间隔 Char"/>
    <w:link w:val="461"/>
    <w:qFormat/>
    <w:uiPriority w:val="99"/>
  </w:style>
  <w:style w:type="paragraph" w:customStyle="1" w:styleId="461">
    <w:name w:val="无间隔3"/>
    <w:basedOn w:val="1"/>
    <w:link w:val="460"/>
    <w:qFormat/>
    <w:uiPriority w:val="99"/>
    <w:rPr>
      <w:rFonts w:asciiTheme="minorHAnsi" w:hAnsiTheme="minorHAnsi" w:eastAsiaTheme="minorEastAsia" w:cstheme="minorBidi"/>
      <w:szCs w:val="22"/>
    </w:rPr>
  </w:style>
  <w:style w:type="character" w:customStyle="1" w:styleId="462">
    <w:name w:val="标准文本 Char Char"/>
    <w:link w:val="463"/>
    <w:qFormat/>
    <w:uiPriority w:val="0"/>
    <w:rPr>
      <w:rFonts w:cs="宋体"/>
      <w:sz w:val="24"/>
    </w:rPr>
  </w:style>
  <w:style w:type="paragraph" w:customStyle="1" w:styleId="463">
    <w:name w:val="标准文本"/>
    <w:basedOn w:val="1"/>
    <w:link w:val="462"/>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464">
    <w:name w:val="Char Char213"/>
    <w:qFormat/>
    <w:uiPriority w:val="0"/>
    <w:rPr>
      <w:rFonts w:eastAsia="Century Gothic"/>
      <w:b/>
      <w:bCs/>
      <w:kern w:val="44"/>
      <w:sz w:val="32"/>
      <w:szCs w:val="44"/>
      <w:lang w:val="en-US" w:eastAsia="zh-CN" w:bidi="ar-SA"/>
    </w:rPr>
  </w:style>
  <w:style w:type="character" w:customStyle="1" w:styleId="465">
    <w:name w:val="16"/>
    <w:qFormat/>
    <w:uiPriority w:val="0"/>
    <w:rPr>
      <w:rFonts w:hint="eastAsia" w:ascii="宋体" w:hAnsi="宋体" w:eastAsia="宋体"/>
      <w:color w:val="000000"/>
      <w:sz w:val="20"/>
      <w:szCs w:val="20"/>
    </w:rPr>
  </w:style>
  <w:style w:type="character" w:customStyle="1" w:styleId="466">
    <w:name w:val="tpc_content1"/>
    <w:qFormat/>
    <w:uiPriority w:val="0"/>
    <w:rPr>
      <w:sz w:val="20"/>
      <w:szCs w:val="20"/>
    </w:rPr>
  </w:style>
  <w:style w:type="character" w:customStyle="1" w:styleId="467">
    <w:name w:val="正文文本 2 字符"/>
    <w:qFormat/>
    <w:uiPriority w:val="0"/>
    <w:rPr>
      <w:rFonts w:ascii="Arial" w:hAnsi="Arial" w:eastAsia="宋体"/>
      <w:kern w:val="2"/>
      <w:sz w:val="24"/>
      <w:szCs w:val="24"/>
      <w:lang w:val="en-US" w:eastAsia="zh-CN" w:bidi="ar-SA"/>
    </w:rPr>
  </w:style>
  <w:style w:type="character" w:customStyle="1" w:styleId="468">
    <w:name w:val="zbggtop11 style5"/>
    <w:qFormat/>
    <w:uiPriority w:val="0"/>
    <w:rPr>
      <w:rFonts w:ascii="Arial" w:hAnsi="Arial" w:eastAsia="黑体" w:cs="Arial"/>
      <w:snapToGrid w:val="0"/>
      <w:kern w:val="0"/>
      <w:szCs w:val="21"/>
    </w:rPr>
  </w:style>
  <w:style w:type="character" w:customStyle="1" w:styleId="469">
    <w:name w:val="font71"/>
    <w:qFormat/>
    <w:uiPriority w:val="0"/>
    <w:rPr>
      <w:rFonts w:hint="eastAsia" w:ascii="宋体" w:hAnsi="宋体" w:eastAsia="宋体" w:cs="宋体"/>
      <w:color w:val="000000"/>
      <w:sz w:val="22"/>
      <w:szCs w:val="22"/>
      <w:u w:val="none"/>
    </w:rPr>
  </w:style>
  <w:style w:type="character" w:customStyle="1" w:styleId="470">
    <w:name w:val="font91"/>
    <w:qFormat/>
    <w:uiPriority w:val="0"/>
    <w:rPr>
      <w:rFonts w:hint="eastAsia" w:ascii="仿宋" w:hAnsi="仿宋" w:eastAsia="仿宋" w:cs="仿宋"/>
      <w:color w:val="000000"/>
      <w:sz w:val="22"/>
      <w:szCs w:val="22"/>
      <w:u w:val="none"/>
    </w:rPr>
  </w:style>
  <w:style w:type="paragraph" w:customStyle="1" w:styleId="471">
    <w:name w:val="4级标题"/>
    <w:basedOn w:val="3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7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My正文"/>
    <w:basedOn w:val="1"/>
    <w:qFormat/>
    <w:uiPriority w:val="0"/>
    <w:pPr>
      <w:spacing w:before="120" w:line="360" w:lineRule="auto"/>
      <w:ind w:firstLine="567"/>
    </w:pPr>
    <w:rPr>
      <w:rFonts w:ascii="Arial" w:hAnsi="Arial"/>
      <w:sz w:val="20"/>
      <w:szCs w:val="20"/>
    </w:rPr>
  </w:style>
  <w:style w:type="paragraph" w:customStyle="1" w:styleId="477">
    <w:name w:val="正文1.25"/>
    <w:basedOn w:val="1"/>
    <w:qFormat/>
    <w:uiPriority w:val="0"/>
    <w:pPr>
      <w:adjustRightInd/>
      <w:spacing w:line="300" w:lineRule="auto"/>
      <w:ind w:firstLine="480" w:firstLineChars="200"/>
    </w:pPr>
    <w:rPr>
      <w:sz w:val="24"/>
      <w:szCs w:val="20"/>
    </w:rPr>
  </w:style>
  <w:style w:type="paragraph" w:customStyle="1" w:styleId="478">
    <w:name w:val="5级标题"/>
    <w:basedOn w:val="471"/>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0">
    <w:name w:val="MM Topic 5"/>
    <w:basedOn w:val="6"/>
    <w:qFormat/>
    <w:uiPriority w:val="0"/>
    <w:pPr>
      <w:tabs>
        <w:tab w:val="left" w:pos="2520"/>
        <w:tab w:val="clear" w:pos="1008"/>
      </w:tabs>
      <w:adjustRightInd/>
      <w:ind w:left="2520" w:hanging="420"/>
    </w:pPr>
  </w:style>
  <w:style w:type="paragraph" w:customStyle="1" w:styleId="481">
    <w:name w:val="默认段落样式"/>
    <w:basedOn w:val="89"/>
    <w:qFormat/>
    <w:uiPriority w:val="0"/>
    <w:pPr>
      <w:spacing w:before="0"/>
      <w:ind w:firstLine="480"/>
      <w:outlineLvl w:val="2"/>
    </w:pPr>
    <w:rPr>
      <w:rFonts w:ascii="仿宋_GB2312" w:hAnsi="宋体" w:eastAsia="仿宋_GB2312" w:cs="Times New Roman"/>
      <w:color w:val="000000"/>
      <w:szCs w:val="24"/>
    </w:rPr>
  </w:style>
  <w:style w:type="paragraph" w:customStyle="1" w:styleId="48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83">
    <w:name w:val="_Style 94"/>
    <w:basedOn w:val="1"/>
    <w:next w:val="360"/>
    <w:qFormat/>
    <w:uiPriority w:val="34"/>
    <w:pPr>
      <w:adjustRightInd/>
      <w:spacing w:line="360" w:lineRule="auto"/>
      <w:ind w:firstLine="200" w:firstLineChars="200"/>
    </w:pPr>
    <w:rPr>
      <w:rFonts w:ascii="Calibri" w:hAnsi="Calibri"/>
      <w:sz w:val="28"/>
      <w:szCs w:val="20"/>
    </w:rPr>
  </w:style>
  <w:style w:type="paragraph" w:customStyle="1" w:styleId="484">
    <w:name w:val="FA正文"/>
    <w:basedOn w:val="1"/>
    <w:qFormat/>
    <w:uiPriority w:val="0"/>
    <w:pPr>
      <w:spacing w:line="360" w:lineRule="auto"/>
      <w:ind w:firstLine="480" w:firstLineChars="200"/>
    </w:pPr>
    <w:rPr>
      <w:rFonts w:hAnsi="宋体"/>
      <w:sz w:val="24"/>
      <w:szCs w:val="20"/>
    </w:rPr>
  </w:style>
  <w:style w:type="paragraph" w:customStyle="1" w:styleId="48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6">
    <w:name w:val="正文 内标 序号标"/>
    <w:basedOn w:val="476"/>
    <w:qFormat/>
    <w:uiPriority w:val="0"/>
    <w:pPr>
      <w:tabs>
        <w:tab w:val="left" w:pos="0"/>
      </w:tabs>
      <w:adjustRightInd/>
      <w:spacing w:before="0"/>
      <w:ind w:firstLine="482"/>
    </w:pPr>
    <w:rPr>
      <w:rFonts w:ascii="微软雅黑" w:hAnsi="微软雅黑"/>
      <w:sz w:val="24"/>
      <w:szCs w:val="24"/>
    </w:rPr>
  </w:style>
  <w:style w:type="paragraph" w:customStyle="1" w:styleId="48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88">
    <w:name w:val="修订1"/>
    <w:qFormat/>
    <w:uiPriority w:val="3"/>
    <w:rPr>
      <w:rFonts w:ascii="Times New Roman" w:hAnsi="Times New Roman" w:eastAsia="宋体" w:cs="Times New Roman"/>
      <w:color w:val="000000"/>
      <w:kern w:val="1"/>
      <w:sz w:val="21"/>
      <w:lang w:val="en-US" w:eastAsia="zh-CN" w:bidi="ar-SA"/>
    </w:rPr>
  </w:style>
  <w:style w:type="paragraph" w:customStyle="1" w:styleId="489">
    <w:name w:val="6级标题"/>
    <w:basedOn w:val="478"/>
    <w:qFormat/>
    <w:uiPriority w:val="0"/>
    <w:pPr>
      <w:keepNext/>
      <w:outlineLvl w:val="5"/>
    </w:pPr>
  </w:style>
  <w:style w:type="paragraph" w:customStyle="1" w:styleId="490">
    <w:name w:val="样式 样式2 + 左侧:  1 字符 右侧:  1 字符"/>
    <w:basedOn w:val="491"/>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9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2">
    <w:name w:val="样式6"/>
    <w:basedOn w:val="32"/>
    <w:qFormat/>
    <w:uiPriority w:val="0"/>
    <w:pPr>
      <w:widowControl w:val="0"/>
      <w:overflowPunct/>
      <w:autoSpaceDE/>
      <w:autoSpaceDN/>
      <w:spacing w:line="460" w:lineRule="exact"/>
      <w:jc w:val="both"/>
      <w:textAlignment w:val="auto"/>
      <w:outlineLvl w:val="2"/>
    </w:pPr>
    <w:rPr>
      <w:rFonts w:ascii="仿宋_GB2312" w:hAnsi="宋体" w:eastAsia="仿宋_GB2312" w:cs="Arial"/>
      <w:b/>
      <w:bCs/>
      <w:snapToGrid w:val="0"/>
      <w:sz w:val="24"/>
      <w:szCs w:val="24"/>
    </w:rPr>
  </w:style>
  <w:style w:type="paragraph" w:customStyle="1" w:styleId="493">
    <w:name w:val="默认段落字体 Para Char"/>
    <w:basedOn w:val="1"/>
    <w:qFormat/>
    <w:uiPriority w:val="0"/>
    <w:rPr>
      <w:rFonts w:ascii="Tahoma" w:hAnsi="Tahoma"/>
      <w:sz w:val="24"/>
      <w:szCs w:val="20"/>
    </w:rPr>
  </w:style>
  <w:style w:type="character" w:customStyle="1" w:styleId="494">
    <w:name w:val="标题 Char2"/>
    <w:basedOn w:val="64"/>
    <w:qFormat/>
    <w:uiPriority w:val="10"/>
    <w:rPr>
      <w:rFonts w:eastAsia="宋体" w:asciiTheme="majorHAnsi" w:hAnsiTheme="majorHAnsi" w:cstheme="majorBidi"/>
      <w:b/>
      <w:bCs/>
      <w:sz w:val="32"/>
      <w:szCs w:val="32"/>
    </w:rPr>
  </w:style>
  <w:style w:type="paragraph" w:customStyle="1" w:styleId="49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498">
    <w:name w:val="Char1 Char Char Char1"/>
    <w:basedOn w:val="1"/>
    <w:qFormat/>
    <w:uiPriority w:val="0"/>
    <w:pPr>
      <w:adjustRightInd/>
      <w:ind w:firstLine="200" w:firstLineChars="200"/>
    </w:pPr>
    <w:rPr>
      <w:rFonts w:ascii="Tahoma" w:hAnsi="Tahoma"/>
      <w:sz w:val="24"/>
      <w:szCs w:val="20"/>
    </w:rPr>
  </w:style>
  <w:style w:type="paragraph" w:customStyle="1" w:styleId="49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00">
    <w:name w:val="Char2 Char Char1"/>
    <w:basedOn w:val="1"/>
    <w:qFormat/>
    <w:uiPriority w:val="6"/>
    <w:pPr>
      <w:adjustRightInd/>
    </w:pPr>
    <w:rPr>
      <w:rFonts w:ascii="Tahoma" w:hAnsi="Tahoma"/>
      <w:sz w:val="24"/>
      <w:szCs w:val="20"/>
    </w:rPr>
  </w:style>
  <w:style w:type="paragraph" w:customStyle="1" w:styleId="50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02">
    <w:name w:val="正文主体"/>
    <w:basedOn w:val="503"/>
    <w:qFormat/>
    <w:uiPriority w:val="0"/>
  </w:style>
  <w:style w:type="paragraph" w:customStyle="1" w:styleId="50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04">
    <w:name w:val="Char Char Char Char Char Char Char Char2"/>
    <w:basedOn w:val="1"/>
    <w:qFormat/>
    <w:uiPriority w:val="0"/>
    <w:pPr>
      <w:tabs>
        <w:tab w:val="left" w:pos="360"/>
      </w:tabs>
    </w:pPr>
    <w:rPr>
      <w:sz w:val="24"/>
      <w:szCs w:val="20"/>
    </w:rPr>
  </w:style>
  <w:style w:type="paragraph" w:customStyle="1" w:styleId="50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0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0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08">
    <w:name w:val="加粗正文"/>
    <w:basedOn w:val="1"/>
    <w:qFormat/>
    <w:uiPriority w:val="0"/>
    <w:pPr>
      <w:adjustRightInd/>
      <w:spacing w:beforeLines="50" w:afterLines="50" w:line="360" w:lineRule="auto"/>
      <w:ind w:firstLine="422" w:firstLineChars="200"/>
    </w:pPr>
    <w:rPr>
      <w:b/>
      <w:bCs/>
      <w:szCs w:val="21"/>
    </w:rPr>
  </w:style>
  <w:style w:type="paragraph" w:customStyle="1" w:styleId="50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11">
    <w:name w:val="正文标准"/>
    <w:basedOn w:val="1"/>
    <w:qFormat/>
    <w:uiPriority w:val="0"/>
    <w:pPr>
      <w:adjustRightInd/>
      <w:spacing w:line="360" w:lineRule="auto"/>
      <w:ind w:firstLine="200" w:firstLineChars="200"/>
    </w:pPr>
    <w:rPr>
      <w:rFonts w:ascii="宋体" w:hAnsi="Calibri"/>
      <w:sz w:val="24"/>
    </w:rPr>
  </w:style>
  <w:style w:type="paragraph" w:customStyle="1" w:styleId="512">
    <w:name w:val="标题3"/>
    <w:basedOn w:val="4"/>
    <w:next w:val="49"/>
    <w:qFormat/>
    <w:uiPriority w:val="0"/>
    <w:pPr>
      <w:spacing w:after="0" w:line="360" w:lineRule="auto"/>
      <w:ind w:left="900" w:hanging="720"/>
    </w:pPr>
    <w:rPr>
      <w:rFonts w:ascii="仿宋" w:hAnsi="仿宋" w:eastAsia="仿宋" w:cs="仿宋"/>
    </w:rPr>
  </w:style>
  <w:style w:type="paragraph" w:customStyle="1" w:styleId="513">
    <w:name w:val="样式 标题 3H3 + 两端对齐"/>
    <w:basedOn w:val="4"/>
    <w:qFormat/>
    <w:uiPriority w:val="0"/>
    <w:pPr>
      <w:keepLines w:val="0"/>
      <w:tabs>
        <w:tab w:val="left" w:pos="900"/>
      </w:tabs>
      <w:spacing w:before="0" w:after="0" w:line="240" w:lineRule="auto"/>
      <w:ind w:left="900" w:hanging="720"/>
      <w:jc w:val="left"/>
    </w:pPr>
    <w:rPr>
      <w:rFonts w:cs="宋体"/>
      <w:sz w:val="21"/>
      <w:szCs w:val="20"/>
    </w:rPr>
  </w:style>
  <w:style w:type="paragraph" w:customStyle="1" w:styleId="514">
    <w:name w:val="Char Char Char Char Char Char Char1"/>
    <w:basedOn w:val="1"/>
    <w:qFormat/>
    <w:uiPriority w:val="6"/>
    <w:rPr>
      <w:rFonts w:ascii="仿宋_GB2312" w:eastAsia="仿宋_GB2312"/>
      <w:b/>
      <w:sz w:val="32"/>
      <w:szCs w:val="32"/>
    </w:rPr>
  </w:style>
  <w:style w:type="paragraph" w:customStyle="1" w:styleId="51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16">
    <w:name w:val="Char Char Char 字元 字元"/>
    <w:basedOn w:val="1"/>
    <w:qFormat/>
    <w:uiPriority w:val="0"/>
    <w:pPr>
      <w:adjustRightInd/>
      <w:spacing w:line="360" w:lineRule="auto"/>
      <w:ind w:firstLine="200" w:firstLineChars="200"/>
    </w:pPr>
    <w:rPr>
      <w:szCs w:val="20"/>
    </w:rPr>
  </w:style>
  <w:style w:type="paragraph" w:customStyle="1" w:styleId="51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1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9">
    <w:name w:val="_Style 5"/>
    <w:basedOn w:val="1"/>
    <w:qFormat/>
    <w:uiPriority w:val="34"/>
    <w:pPr>
      <w:adjustRightInd/>
      <w:ind w:firstLine="420" w:firstLineChars="200"/>
    </w:pPr>
    <w:rPr>
      <w:rFonts w:eastAsia="仿宋_GB2312"/>
      <w:sz w:val="28"/>
    </w:rPr>
  </w:style>
  <w:style w:type="paragraph" w:customStyle="1" w:styleId="520">
    <w:name w:val="正文 项目2"/>
    <w:basedOn w:val="521"/>
    <w:qFormat/>
    <w:uiPriority w:val="0"/>
    <w:pPr>
      <w:tabs>
        <w:tab w:val="left" w:pos="840"/>
      </w:tabs>
      <w:spacing w:after="0"/>
      <w:ind w:left="900"/>
    </w:pPr>
  </w:style>
  <w:style w:type="paragraph" w:customStyle="1" w:styleId="5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22">
    <w:name w:val="样式 标题 2H2h2Underrubrik1prop2l2Chapter Titlesect 1.2DO NO..."/>
    <w:basedOn w:val="3"/>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23">
    <w:name w:val="_正文段落"/>
    <w:basedOn w:val="1"/>
    <w:qFormat/>
    <w:uiPriority w:val="0"/>
    <w:pPr>
      <w:adjustRightInd/>
      <w:ind w:firstLine="560"/>
    </w:pPr>
    <w:rPr>
      <w:rFonts w:ascii="仿宋_GB2312" w:hAnsi="仿宋" w:eastAsia="仿宋_GB2312"/>
      <w:kern w:val="0"/>
      <w:sz w:val="28"/>
      <w:szCs w:val="28"/>
    </w:rPr>
  </w:style>
  <w:style w:type="paragraph" w:customStyle="1" w:styleId="524">
    <w:name w:val="首行缩进"/>
    <w:basedOn w:val="1"/>
    <w:qFormat/>
    <w:uiPriority w:val="0"/>
    <w:pPr>
      <w:spacing w:line="360" w:lineRule="auto"/>
      <w:ind w:firstLine="480" w:firstLineChars="200"/>
    </w:pPr>
    <w:rPr>
      <w:rFonts w:ascii="宋体"/>
      <w:sz w:val="24"/>
      <w:szCs w:val="20"/>
    </w:rPr>
  </w:style>
  <w:style w:type="paragraph" w:customStyle="1" w:styleId="52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26">
    <w:name w:val="Body Text 2*"/>
    <w:basedOn w:val="1"/>
    <w:qFormat/>
    <w:uiPriority w:val="6"/>
    <w:pPr>
      <w:widowControl/>
      <w:adjustRightInd/>
      <w:ind w:left="720" w:hanging="720"/>
    </w:pPr>
    <w:rPr>
      <w:color w:val="000000"/>
      <w:kern w:val="0"/>
      <w:sz w:val="24"/>
      <w:szCs w:val="20"/>
    </w:rPr>
  </w:style>
  <w:style w:type="paragraph" w:customStyle="1" w:styleId="52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28">
    <w:name w:val="图中文字"/>
    <w:basedOn w:val="1"/>
    <w:qFormat/>
    <w:uiPriority w:val="0"/>
    <w:pPr>
      <w:snapToGrid w:val="0"/>
      <w:spacing w:line="0" w:lineRule="atLeast"/>
      <w:ind w:firstLine="200" w:firstLineChars="200"/>
      <w:jc w:val="center"/>
    </w:pPr>
    <w:rPr>
      <w:sz w:val="24"/>
      <w:szCs w:val="20"/>
    </w:rPr>
  </w:style>
  <w:style w:type="character" w:customStyle="1" w:styleId="529">
    <w:name w:val="HTML 地址 Char"/>
    <w:basedOn w:val="64"/>
    <w:semiHidden/>
    <w:qFormat/>
    <w:uiPriority w:val="99"/>
    <w:rPr>
      <w:rFonts w:ascii="Times New Roman" w:hAnsi="Times New Roman" w:eastAsia="宋体" w:cs="Times New Roman"/>
      <w:i/>
      <w:iCs/>
      <w:szCs w:val="24"/>
    </w:rPr>
  </w:style>
  <w:style w:type="paragraph" w:customStyle="1" w:styleId="530">
    <w:name w:val="Char Char Char Char Char Char Char Char1"/>
    <w:basedOn w:val="1"/>
    <w:qFormat/>
    <w:uiPriority w:val="0"/>
    <w:pPr>
      <w:tabs>
        <w:tab w:val="left" w:pos="360"/>
      </w:tabs>
    </w:pPr>
    <w:rPr>
      <w:sz w:val="24"/>
      <w:szCs w:val="20"/>
    </w:rPr>
  </w:style>
  <w:style w:type="paragraph" w:customStyle="1" w:styleId="53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32">
    <w:name w:val="Char"/>
    <w:basedOn w:val="1"/>
    <w:qFormat/>
    <w:uiPriority w:val="0"/>
    <w:rPr>
      <w:rFonts w:ascii="仿宋_GB2312" w:eastAsia="仿宋_GB2312"/>
      <w:b/>
      <w:sz w:val="32"/>
      <w:szCs w:val="32"/>
    </w:rPr>
  </w:style>
  <w:style w:type="paragraph" w:customStyle="1" w:styleId="53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3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3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3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38">
    <w:name w:val="trademark"/>
    <w:qFormat/>
    <w:uiPriority w:val="0"/>
    <w:pPr>
      <w:spacing w:after="60"/>
    </w:pPr>
    <w:rPr>
      <w:rFonts w:ascii="Futura Bk" w:hAnsi="Futura Bk" w:eastAsia="宋体" w:cs="Times New Roman"/>
      <w:sz w:val="15"/>
      <w:lang w:val="en-US" w:eastAsia="en-US" w:bidi="ar-SA"/>
    </w:rPr>
  </w:style>
  <w:style w:type="paragraph" w:customStyle="1" w:styleId="539">
    <w:name w:val="MM Topic 3"/>
    <w:basedOn w:val="4"/>
    <w:qFormat/>
    <w:uiPriority w:val="0"/>
    <w:pPr>
      <w:tabs>
        <w:tab w:val="left" w:pos="1680"/>
      </w:tabs>
      <w:adjustRightInd/>
      <w:ind w:left="1680" w:hanging="420"/>
    </w:pPr>
  </w:style>
  <w:style w:type="paragraph" w:customStyle="1" w:styleId="540">
    <w:name w:val="默认段落字体 Para Char Char Char Char"/>
    <w:basedOn w:val="1"/>
    <w:qFormat/>
    <w:uiPriority w:val="0"/>
    <w:pPr>
      <w:spacing w:line="360" w:lineRule="auto"/>
    </w:pPr>
    <w:rPr>
      <w:szCs w:val="20"/>
    </w:rPr>
  </w:style>
  <w:style w:type="paragraph" w:customStyle="1" w:styleId="54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4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4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character" w:customStyle="1" w:styleId="546">
    <w:name w:val="脚注文本 Char"/>
    <w:basedOn w:val="64"/>
    <w:semiHidden/>
    <w:qFormat/>
    <w:uiPriority w:val="99"/>
    <w:rPr>
      <w:rFonts w:ascii="Times New Roman" w:hAnsi="Times New Roman" w:eastAsia="宋体" w:cs="Times New Roman"/>
      <w:sz w:val="18"/>
      <w:szCs w:val="18"/>
    </w:rPr>
  </w:style>
  <w:style w:type="character" w:customStyle="1" w:styleId="547">
    <w:name w:val="正文文本缩进 2 Char"/>
    <w:basedOn w:val="64"/>
    <w:semiHidden/>
    <w:qFormat/>
    <w:uiPriority w:val="99"/>
    <w:rPr>
      <w:rFonts w:ascii="Times New Roman" w:hAnsi="Times New Roman" w:eastAsia="宋体" w:cs="Times New Roman"/>
      <w:szCs w:val="24"/>
    </w:rPr>
  </w:style>
  <w:style w:type="paragraph" w:customStyle="1" w:styleId="54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4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50">
    <w:name w:val="一级条标题"/>
    <w:basedOn w:val="551"/>
    <w:next w:val="552"/>
    <w:qFormat/>
    <w:uiPriority w:val="0"/>
    <w:pPr>
      <w:tabs>
        <w:tab w:val="left" w:pos="1260"/>
        <w:tab w:val="left" w:pos="1680"/>
      </w:tabs>
      <w:spacing w:beforeLines="0" w:afterLines="0"/>
      <w:ind w:left="1680"/>
      <w:outlineLvl w:val="2"/>
    </w:pPr>
  </w:style>
  <w:style w:type="paragraph" w:customStyle="1" w:styleId="551">
    <w:name w:val="章标题"/>
    <w:next w:val="55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53">
    <w:name w:val="正文文本 3 Char"/>
    <w:basedOn w:val="64"/>
    <w:semiHidden/>
    <w:qFormat/>
    <w:uiPriority w:val="99"/>
    <w:rPr>
      <w:rFonts w:ascii="Times New Roman" w:hAnsi="Times New Roman" w:eastAsia="宋体" w:cs="Times New Roman"/>
      <w:sz w:val="16"/>
      <w:szCs w:val="16"/>
    </w:rPr>
  </w:style>
  <w:style w:type="paragraph" w:customStyle="1" w:styleId="554">
    <w:name w:val="Normal0"/>
    <w:qFormat/>
    <w:uiPriority w:val="0"/>
    <w:rPr>
      <w:rFonts w:ascii="Times New Roman" w:hAnsi="Times New Roman" w:eastAsia="宋体" w:cs="Times New Roman"/>
      <w:lang w:val="en-US" w:eastAsia="en-US" w:bidi="ar-SA"/>
    </w:rPr>
  </w:style>
  <w:style w:type="paragraph" w:customStyle="1" w:styleId="55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5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557">
    <w:name w:val="彩色列表 - 强调文字颜色 11"/>
    <w:basedOn w:val="1"/>
    <w:qFormat/>
    <w:uiPriority w:val="0"/>
    <w:pPr>
      <w:adjustRightInd/>
      <w:ind w:firstLine="420" w:firstLineChars="200"/>
    </w:pPr>
    <w:rPr>
      <w:rFonts w:ascii="Calibri" w:hAnsi="Calibri"/>
      <w:szCs w:val="22"/>
    </w:rPr>
  </w:style>
  <w:style w:type="paragraph" w:customStyle="1" w:styleId="558">
    <w:name w:val="样式 正1 + 首行缩进:  2 字符"/>
    <w:basedOn w:val="1"/>
    <w:qFormat/>
    <w:uiPriority w:val="0"/>
    <w:pPr>
      <w:adjustRightInd/>
      <w:spacing w:line="360" w:lineRule="auto"/>
      <w:ind w:firstLine="480" w:firstLineChars="200"/>
    </w:pPr>
    <w:rPr>
      <w:rFonts w:ascii="仿宋_GB2312" w:eastAsia="仿宋_GB2312"/>
      <w:sz w:val="24"/>
    </w:rPr>
  </w:style>
  <w:style w:type="character" w:customStyle="1" w:styleId="559">
    <w:name w:val="签名 Char"/>
    <w:basedOn w:val="64"/>
    <w:semiHidden/>
    <w:qFormat/>
    <w:uiPriority w:val="99"/>
    <w:rPr>
      <w:rFonts w:ascii="Times New Roman" w:hAnsi="Times New Roman" w:eastAsia="宋体" w:cs="Times New Roman"/>
      <w:szCs w:val="24"/>
    </w:rPr>
  </w:style>
  <w:style w:type="paragraph" w:customStyle="1" w:styleId="56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61">
    <w:name w:val="样式 标题 2标题2H2Heading 2 HiddenHeading 2 CCBSheading 22nd lev..."/>
    <w:basedOn w:val="3"/>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56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63">
    <w:name w:val="标书表格字体格式"/>
    <w:next w:val="535"/>
    <w:qFormat/>
    <w:uiPriority w:val="0"/>
    <w:rPr>
      <w:rFonts w:ascii="Times New Roman" w:hAnsi="Times New Roman" w:eastAsia="宋体" w:cs="Times New Roman"/>
      <w:kern w:val="2"/>
      <w:sz w:val="21"/>
      <w:szCs w:val="24"/>
      <w:lang w:val="en-US" w:eastAsia="zh-CN" w:bidi="ar-SA"/>
    </w:rPr>
  </w:style>
  <w:style w:type="paragraph" w:customStyle="1" w:styleId="56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65">
    <w:name w:val="Char Char1 Char Char Char2"/>
    <w:basedOn w:val="1"/>
    <w:qFormat/>
    <w:uiPriority w:val="0"/>
    <w:rPr>
      <w:rFonts w:ascii="仿宋_GB2312" w:eastAsia="仿宋_GB2312"/>
      <w:b/>
      <w:sz w:val="32"/>
      <w:szCs w:val="32"/>
    </w:rPr>
  </w:style>
  <w:style w:type="paragraph" w:customStyle="1" w:styleId="56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5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0">
    <w:name w:val="Char Char11 Char Char Char Char Char Char Char Char Char11"/>
    <w:basedOn w:val="1"/>
    <w:qFormat/>
    <w:uiPriority w:val="0"/>
    <w:pPr>
      <w:spacing w:line="360" w:lineRule="auto"/>
    </w:pPr>
    <w:rPr>
      <w:szCs w:val="20"/>
    </w:rPr>
  </w:style>
  <w:style w:type="paragraph" w:customStyle="1" w:styleId="57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7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6">
    <w:name w:val="p0"/>
    <w:basedOn w:val="1"/>
    <w:qFormat/>
    <w:uiPriority w:val="0"/>
    <w:pPr>
      <w:widowControl/>
      <w:adjustRightInd/>
    </w:pPr>
    <w:rPr>
      <w:kern w:val="0"/>
      <w:szCs w:val="21"/>
    </w:rPr>
  </w:style>
  <w:style w:type="character" w:customStyle="1" w:styleId="577">
    <w:name w:val="HTML 预设格式 Char"/>
    <w:basedOn w:val="64"/>
    <w:semiHidden/>
    <w:qFormat/>
    <w:uiPriority w:val="99"/>
    <w:rPr>
      <w:rFonts w:ascii="Courier New" w:hAnsi="Courier New" w:eastAsia="宋体" w:cs="Courier New"/>
      <w:sz w:val="20"/>
      <w:szCs w:val="20"/>
    </w:rPr>
  </w:style>
  <w:style w:type="paragraph" w:customStyle="1" w:styleId="57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0">
    <w:name w:val="CM14"/>
    <w:basedOn w:val="84"/>
    <w:next w:val="84"/>
    <w:qFormat/>
    <w:uiPriority w:val="0"/>
    <w:pPr>
      <w:spacing w:after="68"/>
    </w:pPr>
    <w:rPr>
      <w:rFonts w:ascii="FHLHE E+ Futura Bk" w:eastAsia="FHLHE E+ Futura Bk" w:cs="Times New Roman"/>
      <w:color w:val="auto"/>
    </w:rPr>
  </w:style>
  <w:style w:type="paragraph" w:customStyle="1" w:styleId="58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8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84">
    <w:name w:val="列出段落4"/>
    <w:basedOn w:val="1"/>
    <w:qFormat/>
    <w:uiPriority w:val="0"/>
    <w:pPr>
      <w:adjustRightInd/>
      <w:spacing w:line="360" w:lineRule="auto"/>
      <w:ind w:firstLine="420" w:firstLineChars="200"/>
    </w:pPr>
    <w:rPr>
      <w:rFonts w:ascii="Calibri" w:hAnsi="Calibri"/>
      <w:sz w:val="24"/>
      <w:szCs w:val="22"/>
    </w:rPr>
  </w:style>
  <w:style w:type="character" w:customStyle="1" w:styleId="585">
    <w:name w:val="正文文本 2 Char1"/>
    <w:basedOn w:val="64"/>
    <w:semiHidden/>
    <w:qFormat/>
    <w:uiPriority w:val="99"/>
    <w:rPr>
      <w:rFonts w:ascii="Times New Roman" w:hAnsi="Times New Roman" w:eastAsia="宋体" w:cs="Times New Roman"/>
      <w:szCs w:val="24"/>
    </w:rPr>
  </w:style>
  <w:style w:type="paragraph" w:customStyle="1" w:styleId="586">
    <w:name w:val="标准小四"/>
    <w:basedOn w:val="1"/>
    <w:qFormat/>
    <w:uiPriority w:val="0"/>
    <w:pPr>
      <w:spacing w:line="360" w:lineRule="auto"/>
      <w:ind w:firstLine="480" w:firstLineChars="200"/>
    </w:pPr>
    <w:rPr>
      <w:rFonts w:ascii="Arial" w:hAnsi="Arial"/>
      <w:sz w:val="24"/>
      <w:szCs w:val="21"/>
    </w:rPr>
  </w:style>
  <w:style w:type="paragraph" w:customStyle="1" w:styleId="5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8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8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59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59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9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9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9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9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596">
    <w:name w:val="副标题 Char"/>
    <w:basedOn w:val="64"/>
    <w:qFormat/>
    <w:uiPriority w:val="11"/>
    <w:rPr>
      <w:rFonts w:eastAsia="宋体" w:asciiTheme="majorHAnsi" w:hAnsiTheme="majorHAnsi" w:cstheme="majorBidi"/>
      <w:b/>
      <w:bCs/>
      <w:kern w:val="28"/>
      <w:sz w:val="32"/>
      <w:szCs w:val="32"/>
    </w:rPr>
  </w:style>
  <w:style w:type="paragraph" w:customStyle="1" w:styleId="597">
    <w:name w:val="Char Char Char Char Char Char Char2"/>
    <w:basedOn w:val="1"/>
    <w:qFormat/>
    <w:uiPriority w:val="0"/>
    <w:rPr>
      <w:rFonts w:ascii="仿宋_GB2312" w:eastAsia="仿宋_GB2312"/>
      <w:b/>
      <w:sz w:val="32"/>
      <w:szCs w:val="32"/>
    </w:rPr>
  </w:style>
  <w:style w:type="paragraph" w:customStyle="1" w:styleId="59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99">
    <w:name w:val="Char Char Char Char Char Char Char Char Char Char Char1 Char"/>
    <w:basedOn w:val="1"/>
    <w:qFormat/>
    <w:uiPriority w:val="0"/>
    <w:pPr>
      <w:adjustRightInd/>
    </w:pPr>
    <w:rPr>
      <w:rFonts w:ascii="Tahoma" w:hAnsi="Tahoma"/>
      <w:sz w:val="24"/>
    </w:rPr>
  </w:style>
  <w:style w:type="paragraph" w:customStyle="1" w:styleId="60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01">
    <w:name w:val="P1"/>
    <w:basedOn w:val="1"/>
    <w:qFormat/>
    <w:uiPriority w:val="0"/>
    <w:pPr>
      <w:adjustRightInd/>
      <w:spacing w:line="288" w:lineRule="auto"/>
      <w:ind w:firstLine="425" w:firstLineChars="200"/>
    </w:pPr>
  </w:style>
  <w:style w:type="paragraph" w:customStyle="1" w:styleId="6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0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04">
    <w:name w:val="Char Char Char Char"/>
    <w:basedOn w:val="1"/>
    <w:qFormat/>
    <w:uiPriority w:val="0"/>
    <w:rPr>
      <w:rFonts w:ascii="Tahoma" w:hAnsi="Tahoma"/>
      <w:sz w:val="24"/>
      <w:szCs w:val="20"/>
    </w:rPr>
  </w:style>
  <w:style w:type="paragraph" w:customStyle="1" w:styleId="60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character" w:customStyle="1" w:styleId="606">
    <w:name w:val="尾注文本 Char"/>
    <w:basedOn w:val="64"/>
    <w:semiHidden/>
    <w:qFormat/>
    <w:uiPriority w:val="99"/>
    <w:rPr>
      <w:rFonts w:ascii="Times New Roman" w:hAnsi="Times New Roman" w:eastAsia="宋体" w:cs="Times New Roman"/>
      <w:szCs w:val="24"/>
    </w:rPr>
  </w:style>
  <w:style w:type="paragraph" w:customStyle="1" w:styleId="607">
    <w:name w:val="标准有序列表（L1）"/>
    <w:basedOn w:val="1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0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09">
    <w:name w:val="表格内文"/>
    <w:basedOn w:val="1"/>
    <w:qFormat/>
    <w:uiPriority w:val="0"/>
    <w:pPr>
      <w:adjustRightInd/>
      <w:spacing w:line="360" w:lineRule="auto"/>
    </w:pPr>
    <w:rPr>
      <w:rFonts w:ascii="宋体" w:hAnsi="宋体" w:cs="宋体"/>
      <w:color w:val="000000"/>
      <w:szCs w:val="20"/>
    </w:rPr>
  </w:style>
  <w:style w:type="paragraph" w:customStyle="1" w:styleId="61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11">
    <w:name w:val="数字标题2"/>
    <w:basedOn w:val="3"/>
    <w:next w:val="1"/>
    <w:qFormat/>
    <w:uiPriority w:val="0"/>
    <w:pPr>
      <w:tabs>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61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613">
    <w:name w:val="样式 标题 22h2L1 Heading 2H2sect 1.2H21sect 1.21H22sect 1.2..."/>
    <w:basedOn w:val="3"/>
    <w:next w:val="1"/>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1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15">
    <w:name w:val="正文（首行缩进2字符）"/>
    <w:basedOn w:val="1"/>
    <w:qFormat/>
    <w:uiPriority w:val="0"/>
    <w:pPr>
      <w:adjustRightInd/>
      <w:spacing w:line="360" w:lineRule="auto"/>
      <w:ind w:firstLine="480" w:firstLineChars="200"/>
    </w:pPr>
    <w:rPr>
      <w:sz w:val="24"/>
      <w:szCs w:val="20"/>
    </w:rPr>
  </w:style>
  <w:style w:type="paragraph" w:customStyle="1" w:styleId="616">
    <w:name w:val="文档正文"/>
    <w:basedOn w:val="1"/>
    <w:qFormat/>
    <w:uiPriority w:val="0"/>
    <w:pPr>
      <w:spacing w:line="480" w:lineRule="atLeast"/>
      <w:ind w:firstLine="567"/>
      <w:textAlignment w:val="baseline"/>
    </w:pPr>
    <w:rPr>
      <w:kern w:val="0"/>
      <w:sz w:val="24"/>
      <w:szCs w:val="20"/>
    </w:rPr>
  </w:style>
  <w:style w:type="paragraph" w:customStyle="1" w:styleId="617">
    <w:name w:val="Char Char111"/>
    <w:basedOn w:val="1"/>
    <w:qFormat/>
    <w:uiPriority w:val="0"/>
    <w:pPr>
      <w:spacing w:line="360" w:lineRule="auto"/>
    </w:pPr>
    <w:rPr>
      <w:szCs w:val="20"/>
    </w:rPr>
  </w:style>
  <w:style w:type="paragraph" w:customStyle="1" w:styleId="618">
    <w:name w:val="四号　首行缩进"/>
    <w:basedOn w:val="1"/>
    <w:qFormat/>
    <w:uiPriority w:val="0"/>
    <w:pPr>
      <w:adjustRightInd/>
      <w:spacing w:line="360" w:lineRule="auto"/>
    </w:pPr>
    <w:rPr>
      <w:rFonts w:ascii="宋体" w:hAnsi="宋体"/>
      <w:szCs w:val="20"/>
    </w:rPr>
  </w:style>
  <w:style w:type="paragraph" w:customStyle="1" w:styleId="619">
    <w:name w:val="正文表标题"/>
    <w:next w:val="55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2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621">
    <w:name w:val="批注主题 Char1"/>
    <w:basedOn w:val="97"/>
    <w:semiHidden/>
    <w:qFormat/>
    <w:uiPriority w:val="99"/>
    <w:rPr>
      <w:rFonts w:ascii="Times New Roman" w:hAnsi="Times New Roman" w:eastAsia="宋体" w:cs="Times New Roman"/>
      <w:b/>
      <w:bCs/>
      <w:szCs w:val="24"/>
    </w:rPr>
  </w:style>
  <w:style w:type="paragraph" w:customStyle="1" w:styleId="622">
    <w:name w:val="Char1 Char Char Char4"/>
    <w:basedOn w:val="1"/>
    <w:qFormat/>
    <w:uiPriority w:val="0"/>
    <w:pPr>
      <w:adjustRightInd/>
      <w:ind w:firstLine="200" w:firstLineChars="200"/>
    </w:pPr>
    <w:rPr>
      <w:rFonts w:ascii="Tahoma" w:hAnsi="Tahoma"/>
      <w:sz w:val="24"/>
      <w:szCs w:val="20"/>
    </w:rPr>
  </w:style>
  <w:style w:type="paragraph" w:customStyle="1" w:styleId="62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24">
    <w:name w:val="Char Char1 Char Char Char Char Char Char1"/>
    <w:basedOn w:val="1"/>
    <w:qFormat/>
    <w:uiPriority w:val="0"/>
    <w:rPr>
      <w:rFonts w:ascii="仿宋_GB2312" w:eastAsia="仿宋_GB2312"/>
      <w:b/>
      <w:sz w:val="32"/>
      <w:szCs w:val="20"/>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627">
    <w:name w:val="正文文本缩进 3 Char"/>
    <w:basedOn w:val="64"/>
    <w:semiHidden/>
    <w:qFormat/>
    <w:uiPriority w:val="99"/>
    <w:rPr>
      <w:rFonts w:ascii="Times New Roman" w:hAnsi="Times New Roman" w:eastAsia="宋体" w:cs="Times New Roman"/>
      <w:sz w:val="16"/>
      <w:szCs w:val="16"/>
    </w:rPr>
  </w:style>
  <w:style w:type="paragraph" w:customStyle="1" w:styleId="628">
    <w:name w:val="Char2 Char Char Char1"/>
    <w:basedOn w:val="1"/>
    <w:qFormat/>
    <w:uiPriority w:val="6"/>
    <w:rPr>
      <w:rFonts w:ascii="仿宋_GB2312" w:eastAsia="仿宋_GB2312"/>
      <w:b/>
      <w:sz w:val="32"/>
      <w:szCs w:val="32"/>
    </w:rPr>
  </w:style>
  <w:style w:type="paragraph" w:customStyle="1" w:styleId="629">
    <w:name w:val="正文文字缩进2字"/>
    <w:basedOn w:val="22"/>
    <w:qFormat/>
    <w:uiPriority w:val="0"/>
    <w:pPr>
      <w:adjustRightInd/>
      <w:spacing w:before="60" w:after="60" w:line="360" w:lineRule="auto"/>
      <w:ind w:firstLine="200" w:firstLineChars="200"/>
    </w:pPr>
    <w:rPr>
      <w:rFonts w:hAnsi="Arial" w:cs="Arial"/>
      <w:snapToGrid w:val="0"/>
      <w:sz w:val="24"/>
      <w:szCs w:val="20"/>
    </w:rPr>
  </w:style>
  <w:style w:type="paragraph" w:customStyle="1" w:styleId="630">
    <w:name w:val="样式 标题 1章节第一层h1H"/>
    <w:basedOn w:val="2"/>
    <w:qFormat/>
    <w:uiPriority w:val="0"/>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63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34">
    <w:name w:val="Picture"/>
    <w:basedOn w:val="1"/>
    <w:next w:val="15"/>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35">
    <w:name w:val="!大节"/>
    <w:basedOn w:val="3"/>
    <w:qFormat/>
    <w:uiPriority w:val="0"/>
    <w:pPr>
      <w:tabs>
        <w:tab w:val="left" w:pos="432"/>
      </w:tabs>
      <w:adjustRightInd/>
      <w:spacing w:line="415" w:lineRule="auto"/>
      <w:ind w:left="420" w:hanging="420"/>
      <w:jc w:val="left"/>
    </w:pPr>
    <w:rPr>
      <w:rFonts w:ascii="Arial" w:hAnsi="Arial" w:eastAsia="微软雅黑" w:cs="Times New Roman"/>
    </w:rPr>
  </w:style>
  <w:style w:type="character" w:customStyle="1" w:styleId="636">
    <w:name w:val="称呼 Char"/>
    <w:basedOn w:val="64"/>
    <w:semiHidden/>
    <w:qFormat/>
    <w:uiPriority w:val="99"/>
    <w:rPr>
      <w:rFonts w:ascii="Times New Roman" w:hAnsi="Times New Roman" w:eastAsia="宋体" w:cs="Times New Roman"/>
      <w:szCs w:val="24"/>
    </w:rPr>
  </w:style>
  <w:style w:type="paragraph" w:customStyle="1" w:styleId="637">
    <w:name w:val="Char1 Char Char Char21"/>
    <w:basedOn w:val="1"/>
    <w:qFormat/>
    <w:uiPriority w:val="0"/>
    <w:rPr>
      <w:rFonts w:ascii="Tahoma" w:hAnsi="Tahoma"/>
      <w:sz w:val="24"/>
      <w:szCs w:val="20"/>
    </w:rPr>
  </w:style>
  <w:style w:type="paragraph" w:customStyle="1" w:styleId="63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639">
    <w:name w:val="文档结构图 Char1"/>
    <w:basedOn w:val="64"/>
    <w:semiHidden/>
    <w:qFormat/>
    <w:uiPriority w:val="99"/>
    <w:rPr>
      <w:rFonts w:ascii="宋体" w:hAnsi="Times New Roman" w:eastAsia="宋体" w:cs="Times New Roman"/>
      <w:sz w:val="18"/>
      <w:szCs w:val="18"/>
    </w:rPr>
  </w:style>
  <w:style w:type="paragraph" w:customStyle="1" w:styleId="64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表格"/>
    <w:basedOn w:val="1"/>
    <w:qFormat/>
    <w:uiPriority w:val="0"/>
    <w:pPr>
      <w:snapToGrid w:val="0"/>
      <w:ind w:firstLine="42" w:firstLineChars="21"/>
    </w:pPr>
    <w:rPr>
      <w:rFonts w:ascii="宋体" w:hAnsi="宋体"/>
      <w:kern w:val="0"/>
      <w:sz w:val="20"/>
      <w:szCs w:val="20"/>
    </w:rPr>
  </w:style>
  <w:style w:type="paragraph" w:customStyle="1" w:styleId="64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4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4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中文标题 3"/>
    <w:basedOn w:val="25"/>
    <w:qFormat/>
    <w:uiPriority w:val="0"/>
    <w:pPr>
      <w:spacing w:before="100" w:beforeAutospacing="1" w:after="100" w:afterAutospacing="1" w:line="360" w:lineRule="auto"/>
      <w:ind w:left="0" w:firstLine="482" w:firstLineChars="0"/>
    </w:pPr>
    <w:rPr>
      <w:rFonts w:ascii="Times New Roman" w:hAnsi="Times New Roman" w:eastAsia="楷体_GB2312" w:cs="Times New Roman"/>
      <w:kern w:val="28"/>
    </w:rPr>
  </w:style>
  <w:style w:type="paragraph" w:customStyle="1" w:styleId="64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4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50">
    <w:name w:val="三级条标题"/>
    <w:basedOn w:val="651"/>
    <w:next w:val="552"/>
    <w:qFormat/>
    <w:uiPriority w:val="0"/>
    <w:pPr>
      <w:tabs>
        <w:tab w:val="left" w:pos="1260"/>
        <w:tab w:val="left" w:pos="2100"/>
        <w:tab w:val="left" w:pos="2520"/>
      </w:tabs>
      <w:ind w:left="2520"/>
      <w:outlineLvl w:val="4"/>
    </w:pPr>
  </w:style>
  <w:style w:type="paragraph" w:customStyle="1" w:styleId="651">
    <w:name w:val="二级条标题"/>
    <w:basedOn w:val="550"/>
    <w:next w:val="552"/>
    <w:qFormat/>
    <w:uiPriority w:val="0"/>
    <w:pPr>
      <w:tabs>
        <w:tab w:val="left" w:pos="2100"/>
        <w:tab w:val="clear" w:pos="1680"/>
      </w:tabs>
      <w:ind w:left="0"/>
      <w:outlineLvl w:val="3"/>
    </w:pPr>
  </w:style>
  <w:style w:type="paragraph" w:customStyle="1" w:styleId="652">
    <w:name w:val="正文文字表格居中"/>
    <w:basedOn w:val="1"/>
    <w:next w:val="51"/>
    <w:qFormat/>
    <w:uiPriority w:val="0"/>
    <w:pPr>
      <w:snapToGrid w:val="0"/>
      <w:spacing w:line="360" w:lineRule="auto"/>
    </w:pPr>
    <w:rPr>
      <w:rFonts w:ascii="宋体"/>
      <w:b/>
      <w:sz w:val="24"/>
      <w:szCs w:val="20"/>
    </w:rPr>
  </w:style>
  <w:style w:type="paragraph" w:customStyle="1" w:styleId="65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5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56">
    <w:name w:val="Char Char1101"/>
    <w:basedOn w:val="1"/>
    <w:qFormat/>
    <w:uiPriority w:val="0"/>
    <w:pPr>
      <w:spacing w:line="360" w:lineRule="auto"/>
    </w:pPr>
    <w:rPr>
      <w:rFonts w:ascii="Tahoma" w:hAnsi="Tahoma"/>
      <w:sz w:val="24"/>
      <w:szCs w:val="20"/>
    </w:rPr>
  </w:style>
  <w:style w:type="paragraph" w:customStyle="1" w:styleId="657">
    <w:name w:val="正文－恩普"/>
    <w:basedOn w:val="1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65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5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6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1">
    <w:name w:val="样式 标题 1Level 1 HeadPIM 1Section Headh1l11Heading 0Datash..."/>
    <w:basedOn w:val="2"/>
    <w:qFormat/>
    <w:uiPriority w:val="0"/>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662">
    <w:name w:val="TOC 标题111"/>
    <w:basedOn w:val="2"/>
    <w:next w:val="1"/>
    <w:unhideWhenUsed/>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66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64">
    <w:name w:val="Char3 Char Char Char1"/>
    <w:basedOn w:val="1"/>
    <w:qFormat/>
    <w:uiPriority w:val="6"/>
    <w:pPr>
      <w:widowControl/>
      <w:adjustRightInd/>
      <w:spacing w:after="160" w:line="240" w:lineRule="exact"/>
      <w:jc w:val="left"/>
    </w:pPr>
    <w:rPr>
      <w:szCs w:val="20"/>
    </w:rPr>
  </w:style>
  <w:style w:type="paragraph" w:customStyle="1" w:styleId="665">
    <w:name w:val="EB_表格"/>
    <w:basedOn w:val="1"/>
    <w:qFormat/>
    <w:uiPriority w:val="0"/>
    <w:pPr>
      <w:adjustRightInd/>
      <w:spacing w:line="300" w:lineRule="auto"/>
      <w:jc w:val="center"/>
    </w:pPr>
  </w:style>
  <w:style w:type="paragraph" w:customStyle="1" w:styleId="666">
    <w:name w:val="样式 标题 3标题 3 Char第二层条h33Bold Headbh章标题1小标题level_3PIM 3..."/>
    <w:basedOn w:val="4"/>
    <w:qFormat/>
    <w:uiPriority w:val="0"/>
    <w:pPr>
      <w:tabs>
        <w:tab w:val="left" w:pos="900"/>
      </w:tabs>
      <w:snapToGrid w:val="0"/>
      <w:spacing w:before="0" w:after="0" w:line="360" w:lineRule="auto"/>
      <w:ind w:left="900" w:hanging="720"/>
    </w:pPr>
    <w:rPr>
      <w:rFonts w:ascii="黑体" w:hAnsi="宋体" w:eastAsia="黑体" w:cs="宋体"/>
      <w:b w:val="0"/>
      <w:bCs w:val="0"/>
      <w:color w:val="000000"/>
      <w:kern w:val="0"/>
      <w:sz w:val="28"/>
      <w:szCs w:val="20"/>
    </w:rPr>
  </w:style>
  <w:style w:type="paragraph" w:customStyle="1" w:styleId="667">
    <w:name w:val="样式 标题 1 + 黑色 段前: 0.5 行 段后: 0.5 行1"/>
    <w:basedOn w:val="2"/>
    <w:qFormat/>
    <w:uiPriority w:val="0"/>
    <w:pPr>
      <w:keepNext/>
      <w:pageBreakBefore/>
      <w:widowControl w:val="0"/>
      <w:pBdr>
        <w:top w:val="single" w:color="auto" w:sz="4" w:space="1"/>
        <w:left w:val="single" w:color="auto" w:sz="4" w:space="4"/>
        <w:bottom w:val="single" w:color="auto" w:sz="4" w:space="1"/>
        <w:right w:val="single" w:color="auto" w:sz="4" w:space="4"/>
      </w:pBdr>
      <w:shd w:val="clear" w:color="auto" w:fill="333399"/>
      <w:tabs>
        <w:tab w:val="left" w:pos="432"/>
      </w:tabs>
      <w:spacing w:before="0" w:beforeAutospacing="0" w:after="0" w:afterAutospacing="0" w:line="640" w:lineRule="exact"/>
      <w:ind w:left="431" w:hanging="431"/>
      <w:jc w:val="center"/>
    </w:pPr>
    <w:rPr>
      <w:rFonts w:ascii="黑体" w:hAnsi="黑体" w:eastAsia="黑体" w:cs="Arial"/>
      <w:caps/>
      <w:color w:val="FFFFFF"/>
      <w:kern w:val="2"/>
      <w:sz w:val="30"/>
      <w:szCs w:val="20"/>
    </w:rPr>
  </w:style>
  <w:style w:type="paragraph" w:customStyle="1" w:styleId="668">
    <w:name w:val="正文首行缩进1"/>
    <w:basedOn w:val="22"/>
    <w:qFormat/>
    <w:uiPriority w:val="0"/>
    <w:pPr>
      <w:suppressAutoHyphens/>
      <w:adjustRightInd/>
      <w:ind w:firstLine="420"/>
      <w:jc w:val="left"/>
    </w:pPr>
    <w:rPr>
      <w:rFonts w:hAnsi="Arial" w:cs="Arial"/>
      <w:snapToGrid w:val="0"/>
      <w:kern w:val="1"/>
      <w:sz w:val="28"/>
      <w:lang w:eastAsia="ar-SA"/>
    </w:rPr>
  </w:style>
  <w:style w:type="paragraph" w:customStyle="1" w:styleId="66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7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7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72">
    <w:name w:val="Char Char1121"/>
    <w:basedOn w:val="1"/>
    <w:qFormat/>
    <w:uiPriority w:val="0"/>
    <w:pPr>
      <w:spacing w:line="360" w:lineRule="auto"/>
    </w:pPr>
    <w:rPr>
      <w:szCs w:val="20"/>
    </w:rPr>
  </w:style>
  <w:style w:type="paragraph" w:customStyle="1" w:styleId="67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74">
    <w:name w:val="正文1"/>
    <w:basedOn w:val="31"/>
    <w:qFormat/>
    <w:uiPriority w:val="0"/>
    <w:pPr>
      <w:tabs>
        <w:tab w:val="right" w:leader="dot" w:pos="8268"/>
      </w:tabs>
      <w:spacing w:line="460" w:lineRule="exact"/>
      <w:ind w:left="0" w:leftChars="0" w:firstLine="480" w:firstLineChars="200"/>
    </w:pPr>
    <w:rPr>
      <w:rFonts w:ascii="仿宋_GB2312" w:hAnsi="Courier New" w:eastAsia="仿宋_GB2312"/>
      <w:kern w:val="28"/>
      <w:sz w:val="24"/>
    </w:rPr>
  </w:style>
  <w:style w:type="paragraph" w:customStyle="1" w:styleId="675">
    <w:name w:val="_Style 12"/>
    <w:basedOn w:val="17"/>
    <w:qFormat/>
    <w:uiPriority w:val="0"/>
    <w:pPr>
      <w:snapToGrid w:val="0"/>
      <w:spacing w:line="360" w:lineRule="auto"/>
    </w:pPr>
  </w:style>
  <w:style w:type="paragraph" w:customStyle="1" w:styleId="676">
    <w:name w:val="模板普通正文"/>
    <w:basedOn w:val="25"/>
    <w:qFormat/>
    <w:uiPriority w:val="0"/>
    <w:pPr>
      <w:spacing w:beforeLines="50" w:after="10" w:line="360" w:lineRule="auto"/>
      <w:ind w:left="0" w:firstLine="175" w:firstLineChars="175"/>
      <w:jc w:val="left"/>
    </w:pPr>
    <w:rPr>
      <w:rFonts w:ascii="Times New Roman" w:hAnsi="Times New Roman" w:eastAsia="宋体" w:cs="Times New Roman"/>
    </w:rPr>
  </w:style>
  <w:style w:type="paragraph" w:customStyle="1" w:styleId="677">
    <w:name w:val="Char1 Char Char Char2"/>
    <w:basedOn w:val="1"/>
    <w:qFormat/>
    <w:uiPriority w:val="0"/>
    <w:pPr>
      <w:adjustRightInd/>
      <w:ind w:firstLine="200" w:firstLineChars="200"/>
    </w:pPr>
    <w:rPr>
      <w:rFonts w:ascii="Tahoma" w:hAnsi="Tahoma"/>
      <w:sz w:val="24"/>
      <w:szCs w:val="20"/>
    </w:rPr>
  </w:style>
  <w:style w:type="paragraph" w:customStyle="1" w:styleId="67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7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683">
    <w:name w:val="Char Char Char Char11"/>
    <w:basedOn w:val="1"/>
    <w:qFormat/>
    <w:uiPriority w:val="0"/>
    <w:rPr>
      <w:rFonts w:ascii="Tahoma" w:hAnsi="Tahoma"/>
      <w:sz w:val="24"/>
      <w:szCs w:val="20"/>
    </w:rPr>
  </w:style>
  <w:style w:type="paragraph" w:customStyle="1" w:styleId="684">
    <w:name w:val="有符号正文"/>
    <w:basedOn w:val="1"/>
    <w:qFormat/>
    <w:uiPriority w:val="0"/>
    <w:pPr>
      <w:adjustRightInd/>
      <w:spacing w:line="400" w:lineRule="exact"/>
      <w:ind w:firstLine="200" w:firstLineChars="200"/>
    </w:pPr>
    <w:rPr>
      <w:rFonts w:ascii="Arial" w:hAnsi="Arial"/>
    </w:rPr>
  </w:style>
  <w:style w:type="paragraph" w:customStyle="1" w:styleId="685">
    <w:name w:val="样式 标题 2 + 四号"/>
    <w:basedOn w:val="3"/>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样式 标题 4PIM 4H4h4bulletblbbH41H42H43H44H45H46H47H48...1"/>
    <w:basedOn w:val="5"/>
    <w:qFormat/>
    <w:uiPriority w:val="0"/>
    <w:pPr>
      <w:widowControl/>
      <w:jc w:val="left"/>
    </w:pPr>
    <w:rPr>
      <w:rFonts w:cs="宋体"/>
      <w:sz w:val="24"/>
      <w:szCs w:val="20"/>
    </w:rPr>
  </w:style>
  <w:style w:type="paragraph" w:customStyle="1" w:styleId="688">
    <w:name w:val="样式 正文文本缩进 + 左侧:  2 字符 首行缩进:  2 字符"/>
    <w:basedOn w:val="25"/>
    <w:qFormat/>
    <w:uiPriority w:val="0"/>
    <w:pPr>
      <w:tabs>
        <w:tab w:val="left" w:pos="360"/>
        <w:tab w:val="left" w:pos="540"/>
      </w:tabs>
      <w:spacing w:line="520" w:lineRule="exact"/>
      <w:ind w:left="200" w:firstLine="560" w:firstLineChars="200"/>
    </w:pPr>
    <w:rPr>
      <w:rFonts w:ascii="仿宋_GB2312" w:hAnsi="Times New Roman" w:eastAsia="仿宋_GB2312" w:cs="Times New Roman"/>
      <w:sz w:val="28"/>
      <w:szCs w:val="20"/>
    </w:rPr>
  </w:style>
  <w:style w:type="paragraph" w:customStyle="1" w:styleId="689">
    <w:name w:val="_Style 3"/>
    <w:basedOn w:val="1"/>
    <w:qFormat/>
    <w:uiPriority w:val="0"/>
    <w:pPr>
      <w:adjustRightInd/>
      <w:ind w:firstLine="420" w:firstLineChars="200"/>
    </w:pPr>
    <w:rPr>
      <w:rFonts w:eastAsia="仿宋_GB2312"/>
      <w:sz w:val="28"/>
    </w:rPr>
  </w:style>
  <w:style w:type="paragraph" w:customStyle="1" w:styleId="690">
    <w:name w:val="Char Char Char Char Char Char Char Char Char Char Char Char1 Char1"/>
    <w:basedOn w:val="1"/>
    <w:qFormat/>
    <w:uiPriority w:val="6"/>
    <w:rPr>
      <w:rFonts w:ascii="Tahoma" w:hAnsi="Tahoma" w:cs="仿宋_GB2312"/>
      <w:sz w:val="24"/>
      <w:szCs w:val="20"/>
    </w:rPr>
  </w:style>
  <w:style w:type="paragraph" w:customStyle="1" w:styleId="69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692">
    <w:name w:val="Char Char Char"/>
    <w:basedOn w:val="1"/>
    <w:qFormat/>
    <w:uiPriority w:val="0"/>
    <w:rPr>
      <w:rFonts w:ascii="Tahoma" w:hAnsi="Tahoma"/>
      <w:sz w:val="24"/>
      <w:szCs w:val="20"/>
    </w:rPr>
  </w:style>
  <w:style w:type="paragraph" w:customStyle="1" w:styleId="693">
    <w:name w:val="标题4_自定义"/>
    <w:basedOn w:val="5"/>
    <w:qFormat/>
    <w:uiPriority w:val="0"/>
    <w:pPr>
      <w:adjustRightInd/>
      <w:spacing w:before="0" w:after="0" w:line="360" w:lineRule="auto"/>
    </w:pPr>
    <w:rPr>
      <w:rFonts w:ascii="Verdana" w:eastAsia="Verdana"/>
      <w:sz w:val="21"/>
      <w:lang w:val="en-US"/>
    </w:rPr>
  </w:style>
  <w:style w:type="paragraph" w:customStyle="1" w:styleId="69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69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696">
    <w:name w:val="Char Char Char Char Char Char Char Char"/>
    <w:basedOn w:val="1"/>
    <w:qFormat/>
    <w:uiPriority w:val="0"/>
    <w:pPr>
      <w:tabs>
        <w:tab w:val="left" w:pos="360"/>
      </w:tabs>
    </w:pPr>
    <w:rPr>
      <w:sz w:val="24"/>
      <w:szCs w:val="20"/>
    </w:rPr>
  </w:style>
  <w:style w:type="paragraph" w:customStyle="1" w:styleId="697">
    <w:name w:val="Char Char11 Char Char Char Char Char Char Char Char Char"/>
    <w:basedOn w:val="1"/>
    <w:qFormat/>
    <w:uiPriority w:val="0"/>
    <w:pPr>
      <w:spacing w:line="360" w:lineRule="auto"/>
    </w:pPr>
    <w:rPr>
      <w:szCs w:val="20"/>
    </w:rPr>
  </w:style>
  <w:style w:type="paragraph" w:customStyle="1" w:styleId="69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699">
    <w:name w:val="左对齐表格文字"/>
    <w:basedOn w:val="1"/>
    <w:qFormat/>
    <w:uiPriority w:val="0"/>
    <w:pPr>
      <w:adjustRightInd/>
      <w:ind w:firstLine="200" w:firstLineChars="200"/>
      <w:jc w:val="right"/>
    </w:pPr>
  </w:style>
  <w:style w:type="paragraph" w:customStyle="1" w:styleId="700">
    <w:name w:val="MM Topic 2"/>
    <w:basedOn w:val="3"/>
    <w:qFormat/>
    <w:uiPriority w:val="0"/>
    <w:pPr>
      <w:tabs>
        <w:tab w:val="left" w:pos="1260"/>
      </w:tabs>
      <w:adjustRightInd/>
      <w:spacing w:before="0" w:after="0" w:line="360" w:lineRule="auto"/>
      <w:ind w:left="1260" w:hanging="420"/>
      <w:jc w:val="left"/>
    </w:pPr>
    <w:rPr>
      <w:rFonts w:ascii="Arial" w:hAnsi="Arial" w:eastAsia="黑体" w:cs="Times New Roman"/>
    </w:rPr>
  </w:style>
  <w:style w:type="paragraph" w:customStyle="1" w:styleId="70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0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03">
    <w:name w:val="五级无标题条"/>
    <w:basedOn w:val="1"/>
    <w:qFormat/>
    <w:uiPriority w:val="0"/>
    <w:pPr>
      <w:adjustRightInd/>
    </w:pPr>
  </w:style>
  <w:style w:type="paragraph" w:customStyle="1" w:styleId="70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0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6">
    <w:name w:val="正文21"/>
    <w:basedOn w:val="1"/>
    <w:qFormat/>
    <w:uiPriority w:val="0"/>
    <w:pPr>
      <w:adjustRightInd/>
      <w:spacing w:before="156" w:line="360" w:lineRule="auto"/>
      <w:ind w:firstLine="510" w:firstLineChars="200"/>
    </w:pPr>
    <w:rPr>
      <w:sz w:val="24"/>
      <w:szCs w:val="20"/>
    </w:rPr>
  </w:style>
  <w:style w:type="paragraph" w:customStyle="1" w:styleId="70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0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0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1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71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71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1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样式 正文文本缩进 + 段前: 2 字符"/>
    <w:basedOn w:val="1"/>
    <w:qFormat/>
    <w:uiPriority w:val="0"/>
    <w:pPr>
      <w:adjustRightInd/>
      <w:ind w:left="420" w:leftChars="200"/>
      <w:jc w:val="left"/>
    </w:pPr>
    <w:rPr>
      <w:sz w:val="28"/>
      <w:szCs w:val="20"/>
      <w:lang w:eastAsia="zh-TW"/>
    </w:rPr>
  </w:style>
  <w:style w:type="paragraph" w:customStyle="1" w:styleId="716">
    <w:name w:val="_Style 11"/>
    <w:basedOn w:val="1"/>
    <w:qFormat/>
    <w:uiPriority w:val="34"/>
    <w:pPr>
      <w:adjustRightInd/>
      <w:ind w:firstLine="420" w:firstLineChars="200"/>
    </w:pPr>
    <w:rPr>
      <w:rFonts w:eastAsia="仿宋_GB2312"/>
      <w:sz w:val="28"/>
    </w:rPr>
  </w:style>
  <w:style w:type="paragraph" w:customStyle="1" w:styleId="71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18">
    <w:name w:val="彩色列表 - 强调文字颜色 12"/>
    <w:basedOn w:val="1"/>
    <w:qFormat/>
    <w:uiPriority w:val="0"/>
    <w:pPr>
      <w:adjustRightInd/>
      <w:ind w:firstLine="420" w:firstLineChars="200"/>
    </w:pPr>
    <w:rPr>
      <w:rFonts w:ascii="Calibri" w:hAnsi="Calibri"/>
      <w:szCs w:val="22"/>
    </w:rPr>
  </w:style>
  <w:style w:type="paragraph" w:customStyle="1" w:styleId="719">
    <w:name w:val="Char1 Char Char Char5"/>
    <w:basedOn w:val="1"/>
    <w:qFormat/>
    <w:uiPriority w:val="0"/>
    <w:pPr>
      <w:adjustRightInd/>
      <w:ind w:firstLine="200" w:firstLineChars="200"/>
    </w:pPr>
    <w:rPr>
      <w:rFonts w:ascii="Tahoma" w:hAnsi="Tahoma"/>
      <w:sz w:val="24"/>
      <w:szCs w:val="20"/>
    </w:rPr>
  </w:style>
  <w:style w:type="paragraph" w:customStyle="1" w:styleId="72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2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2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2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24">
    <w:name w:val="Char Char11 Char Char Char"/>
    <w:basedOn w:val="1"/>
    <w:qFormat/>
    <w:uiPriority w:val="0"/>
    <w:pPr>
      <w:spacing w:line="360" w:lineRule="auto"/>
    </w:pPr>
    <w:rPr>
      <w:szCs w:val="20"/>
    </w:rPr>
  </w:style>
  <w:style w:type="paragraph" w:customStyle="1" w:styleId="72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26">
    <w:name w:val="修订2"/>
    <w:qFormat/>
    <w:uiPriority w:val="0"/>
    <w:rPr>
      <w:rFonts w:ascii="Times New Roman" w:hAnsi="Times New Roman" w:eastAsia="宋体" w:cs="Times New Roman"/>
      <w:kern w:val="2"/>
      <w:sz w:val="21"/>
      <w:lang w:val="en-US" w:eastAsia="zh-CN" w:bidi="ar-SA"/>
    </w:rPr>
  </w:style>
  <w:style w:type="paragraph" w:customStyle="1" w:styleId="727">
    <w:name w:val="Char2 Char Char"/>
    <w:basedOn w:val="1"/>
    <w:qFormat/>
    <w:uiPriority w:val="0"/>
    <w:pPr>
      <w:adjustRightInd/>
    </w:pPr>
    <w:rPr>
      <w:rFonts w:ascii="Tahoma" w:hAnsi="Tahoma"/>
      <w:sz w:val="24"/>
      <w:szCs w:val="20"/>
    </w:rPr>
  </w:style>
  <w:style w:type="paragraph" w:customStyle="1" w:styleId="72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30">
    <w:name w:val="文章标题"/>
    <w:next w:val="73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31">
    <w:name w:val="封面公司名"/>
    <w:qFormat/>
    <w:uiPriority w:val="0"/>
    <w:pPr>
      <w:jc w:val="center"/>
    </w:pPr>
    <w:rPr>
      <w:rFonts w:ascii="Arial" w:hAnsi="Arial" w:eastAsia="楷体_GB2312" w:cs="宋体"/>
      <w:bCs/>
      <w:kern w:val="2"/>
      <w:sz w:val="28"/>
      <w:lang w:val="en-US" w:eastAsia="zh-CN" w:bidi="ar-SA"/>
    </w:rPr>
  </w:style>
  <w:style w:type="paragraph" w:customStyle="1" w:styleId="73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73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34">
    <w:name w:val="样式3"/>
    <w:basedOn w:val="491"/>
    <w:qFormat/>
    <w:uiPriority w:val="0"/>
    <w:pPr>
      <w:spacing w:beforeLines="100"/>
      <w:jc w:val="left"/>
    </w:pPr>
  </w:style>
  <w:style w:type="paragraph" w:customStyle="1" w:styleId="73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736">
    <w:name w:val="Char Char1 Char Char1 Char Char1"/>
    <w:basedOn w:val="1"/>
    <w:qFormat/>
    <w:uiPriority w:val="0"/>
    <w:pPr>
      <w:tabs>
        <w:tab w:val="left" w:pos="840"/>
      </w:tabs>
      <w:ind w:left="840" w:hanging="420"/>
    </w:pPr>
    <w:rPr>
      <w:rFonts w:ascii="Tahoma" w:hAnsi="Tahoma"/>
      <w:sz w:val="24"/>
    </w:rPr>
  </w:style>
  <w:style w:type="paragraph" w:customStyle="1" w:styleId="737">
    <w:name w:val="Char1"/>
    <w:basedOn w:val="1"/>
    <w:qFormat/>
    <w:uiPriority w:val="0"/>
    <w:rPr>
      <w:rFonts w:ascii="仿宋_GB2312" w:eastAsia="仿宋_GB2312"/>
      <w:b/>
      <w:sz w:val="32"/>
      <w:szCs w:val="32"/>
    </w:rPr>
  </w:style>
  <w:style w:type="paragraph" w:customStyle="1" w:styleId="738">
    <w:name w:val="标书标题2"/>
    <w:basedOn w:val="3"/>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73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0">
    <w:name w:val="Test2"/>
    <w:basedOn w:val="3"/>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74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43">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744">
    <w:name w:val="数字标题3"/>
    <w:basedOn w:val="4"/>
    <w:next w:val="1"/>
    <w:qFormat/>
    <w:uiPriority w:val="0"/>
    <w:pPr>
      <w:tabs>
        <w:tab w:val="left" w:pos="900"/>
      </w:tabs>
      <w:spacing w:line="240" w:lineRule="auto"/>
      <w:ind w:left="900" w:hanging="720"/>
    </w:pPr>
    <w:rPr>
      <w:sz w:val="28"/>
      <w:szCs w:val="28"/>
    </w:rPr>
  </w:style>
  <w:style w:type="paragraph" w:customStyle="1" w:styleId="745">
    <w:name w:val="Char5"/>
    <w:basedOn w:val="1"/>
    <w:qFormat/>
    <w:uiPriority w:val="0"/>
    <w:rPr>
      <w:rFonts w:ascii="仿宋_GB2312" w:eastAsia="仿宋_GB2312"/>
      <w:b/>
      <w:sz w:val="32"/>
      <w:szCs w:val="32"/>
    </w:rPr>
  </w:style>
  <w:style w:type="paragraph" w:customStyle="1" w:styleId="746">
    <w:name w:val="Char2"/>
    <w:basedOn w:val="1"/>
    <w:qFormat/>
    <w:uiPriority w:val="0"/>
    <w:rPr>
      <w:rFonts w:ascii="仿宋_GB2312" w:eastAsia="仿宋_GB2312"/>
      <w:b/>
      <w:sz w:val="32"/>
      <w:szCs w:val="32"/>
    </w:rPr>
  </w:style>
  <w:style w:type="paragraph" w:customStyle="1" w:styleId="747">
    <w:name w:val="TOC 标题1"/>
    <w:basedOn w:val="2"/>
    <w:next w:val="1"/>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748">
    <w:name w:val="Char Char Char1 Char1"/>
    <w:basedOn w:val="1"/>
    <w:qFormat/>
    <w:uiPriority w:val="6"/>
    <w:rPr>
      <w:szCs w:val="20"/>
    </w:rPr>
  </w:style>
  <w:style w:type="paragraph" w:customStyle="1" w:styleId="749">
    <w:name w:val="Char Char Char Char Char Char Char Char Char Char1"/>
    <w:basedOn w:val="1"/>
    <w:qFormat/>
    <w:uiPriority w:val="0"/>
    <w:rPr>
      <w:rFonts w:ascii="仿宋_GB2312" w:eastAsia="仿宋_GB2312"/>
      <w:b/>
      <w:sz w:val="32"/>
      <w:szCs w:val="32"/>
    </w:rPr>
  </w:style>
  <w:style w:type="paragraph" w:customStyle="1" w:styleId="750">
    <w:name w:val="Char2 Char Char Char"/>
    <w:basedOn w:val="1"/>
    <w:qFormat/>
    <w:uiPriority w:val="0"/>
    <w:rPr>
      <w:rFonts w:ascii="仿宋_GB2312" w:eastAsia="仿宋_GB2312"/>
      <w:b/>
      <w:sz w:val="32"/>
      <w:szCs w:val="32"/>
    </w:rPr>
  </w:style>
  <w:style w:type="paragraph" w:customStyle="1" w:styleId="751">
    <w:name w:val="正文（首行缩进）"/>
    <w:basedOn w:val="25"/>
    <w:qFormat/>
    <w:uiPriority w:val="0"/>
    <w:pPr>
      <w:widowControl/>
      <w:tabs>
        <w:tab w:val="left" w:pos="840"/>
      </w:tabs>
      <w:overflowPunct w:val="0"/>
      <w:autoSpaceDE w:val="0"/>
      <w:autoSpaceDN w:val="0"/>
      <w:adjustRightInd w:val="0"/>
      <w:spacing w:beforeLines="50" w:after="120" w:line="400" w:lineRule="exact"/>
      <w:ind w:left="200" w:leftChars="200" w:firstLine="200" w:firstLineChars="200"/>
      <w:jc w:val="left"/>
      <w:textAlignment w:val="baseline"/>
    </w:pPr>
    <w:rPr>
      <w:rFonts w:ascii="Times New Roman" w:hAnsi="Times New Roman" w:eastAsia="宋体" w:cs="Times New Roman"/>
      <w:spacing w:val="10"/>
      <w:kern w:val="0"/>
      <w:szCs w:val="20"/>
    </w:rPr>
  </w:style>
  <w:style w:type="paragraph" w:customStyle="1" w:styleId="752">
    <w:name w:val="四级条标题"/>
    <w:basedOn w:val="650"/>
    <w:next w:val="552"/>
    <w:qFormat/>
    <w:uiPriority w:val="0"/>
    <w:pPr>
      <w:tabs>
        <w:tab w:val="left" w:pos="2940"/>
        <w:tab w:val="clear" w:pos="2520"/>
      </w:tabs>
      <w:ind w:left="2940"/>
      <w:outlineLvl w:val="5"/>
    </w:pPr>
  </w:style>
  <w:style w:type="paragraph" w:customStyle="1" w:styleId="75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5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55">
    <w:name w:val="表格（小）"/>
    <w:basedOn w:val="1"/>
    <w:qFormat/>
    <w:uiPriority w:val="0"/>
    <w:pPr>
      <w:adjustRightInd/>
      <w:snapToGrid w:val="0"/>
      <w:spacing w:line="300" w:lineRule="auto"/>
    </w:pPr>
    <w:rPr>
      <w:rFonts w:eastAsia="仿宋"/>
      <w:szCs w:val="21"/>
    </w:rPr>
  </w:style>
  <w:style w:type="paragraph" w:customStyle="1" w:styleId="756">
    <w:name w:val="表文字"/>
    <w:qFormat/>
    <w:uiPriority w:val="0"/>
    <w:rPr>
      <w:rFonts w:ascii="宋体" w:hAnsi="Times New Roman" w:eastAsia="宋体" w:cs="Times New Roman"/>
      <w:kern w:val="2"/>
      <w:lang w:val="en-US" w:eastAsia="zh-CN" w:bidi="ar-SA"/>
    </w:rPr>
  </w:style>
  <w:style w:type="paragraph" w:customStyle="1" w:styleId="75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5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9">
    <w:name w:val="WW-正文文字缩进 2"/>
    <w:basedOn w:val="1"/>
    <w:qFormat/>
    <w:uiPriority w:val="0"/>
    <w:pPr>
      <w:suppressAutoHyphens/>
      <w:adjustRightInd/>
      <w:ind w:firstLine="420"/>
    </w:pPr>
    <w:rPr>
      <w:kern w:val="1"/>
      <w:szCs w:val="20"/>
    </w:rPr>
  </w:style>
  <w:style w:type="paragraph" w:customStyle="1" w:styleId="7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6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62">
    <w:name w:val="正文文字 2"/>
    <w:basedOn w:val="84"/>
    <w:next w:val="84"/>
    <w:qFormat/>
    <w:uiPriority w:val="0"/>
    <w:rPr>
      <w:rFonts w:ascii="宋体" w:cs="Times New Roman"/>
      <w:color w:val="auto"/>
    </w:rPr>
  </w:style>
  <w:style w:type="paragraph" w:customStyle="1" w:styleId="76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66">
    <w:name w:val="默认段落字体 Para Char Char Char Char Char Char Char"/>
    <w:basedOn w:val="1"/>
    <w:qFormat/>
    <w:uiPriority w:val="0"/>
    <w:rPr>
      <w:rFonts w:eastAsia="仿宋_GB2312"/>
      <w:sz w:val="28"/>
      <w:szCs w:val="20"/>
    </w:rPr>
  </w:style>
  <w:style w:type="paragraph" w:customStyle="1" w:styleId="767">
    <w:name w:val="列出段落5"/>
    <w:basedOn w:val="1"/>
    <w:qFormat/>
    <w:uiPriority w:val="0"/>
    <w:pPr>
      <w:spacing w:line="360" w:lineRule="auto"/>
      <w:ind w:firstLine="200" w:firstLineChars="200"/>
    </w:pPr>
    <w:rPr>
      <w:rFonts w:eastAsia="楷体_GB2312" w:cs="Lucida Sans"/>
      <w:sz w:val="24"/>
    </w:rPr>
  </w:style>
  <w:style w:type="paragraph" w:customStyle="1" w:styleId="76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70">
    <w:name w:val="标题2"/>
    <w:basedOn w:val="3"/>
    <w:next w:val="1"/>
    <w:qFormat/>
    <w:uiPriority w:val="0"/>
    <w:pPr>
      <w:tabs>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771">
    <w:name w:val="正文文字缩进项目"/>
    <w:basedOn w:val="25"/>
    <w:qFormat/>
    <w:uiPriority w:val="0"/>
    <w:pPr>
      <w:tabs>
        <w:tab w:val="left" w:pos="840"/>
      </w:tabs>
      <w:spacing w:after="120"/>
      <w:ind w:left="0" w:hanging="420" w:firstLineChars="0"/>
    </w:pPr>
    <w:rPr>
      <w:rFonts w:ascii="Tahoma" w:hAnsi="Tahoma" w:eastAsia="宋体" w:cs="Times New Roman"/>
      <w:sz w:val="22"/>
      <w:szCs w:val="20"/>
    </w:rPr>
  </w:style>
  <w:style w:type="paragraph" w:customStyle="1" w:styleId="77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7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775">
    <w:name w:val="标题五"/>
    <w:basedOn w:val="1"/>
    <w:qFormat/>
    <w:uiPriority w:val="0"/>
    <w:pPr>
      <w:adjustRightInd/>
      <w:spacing w:beforeLines="50" w:line="360" w:lineRule="auto"/>
    </w:pPr>
    <w:rPr>
      <w:b/>
      <w:sz w:val="24"/>
    </w:rPr>
  </w:style>
  <w:style w:type="paragraph" w:customStyle="1" w:styleId="77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7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79">
    <w:name w:val="默认段落字体 Para Char Char Char1 Char"/>
    <w:basedOn w:val="1"/>
    <w:qFormat/>
    <w:uiPriority w:val="0"/>
    <w:pPr>
      <w:spacing w:line="240" w:lineRule="atLeast"/>
      <w:ind w:left="420" w:firstLine="420"/>
    </w:pPr>
    <w:rPr>
      <w:sz w:val="24"/>
    </w:rPr>
  </w:style>
  <w:style w:type="paragraph" w:customStyle="1" w:styleId="780">
    <w:name w:val="样式7"/>
    <w:basedOn w:val="506"/>
    <w:next w:val="1"/>
    <w:qFormat/>
    <w:uiPriority w:val="0"/>
    <w:pPr>
      <w:spacing w:afterLines="50"/>
      <w:jc w:val="left"/>
      <w:outlineLvl w:val="3"/>
    </w:pPr>
    <w:rPr>
      <w:sz w:val="24"/>
      <w:szCs w:val="24"/>
    </w:rPr>
  </w:style>
  <w:style w:type="paragraph" w:customStyle="1" w:styleId="781">
    <w:name w:val="表格文字"/>
    <w:basedOn w:val="1"/>
    <w:next w:val="14"/>
    <w:qFormat/>
    <w:uiPriority w:val="0"/>
    <w:pPr>
      <w:adjustRightInd/>
      <w:ind w:firstLine="200" w:firstLineChars="200"/>
    </w:pPr>
    <w:rPr>
      <w:rFonts w:ascii="Arial" w:hAnsi="Arial"/>
      <w:spacing w:val="-5"/>
      <w:kern w:val="0"/>
      <w:sz w:val="24"/>
      <w:szCs w:val="20"/>
    </w:rPr>
  </w:style>
  <w:style w:type="paragraph" w:customStyle="1" w:styleId="782">
    <w:name w:val="Char Char1 Char Char Char"/>
    <w:basedOn w:val="1"/>
    <w:qFormat/>
    <w:uiPriority w:val="0"/>
    <w:rPr>
      <w:rFonts w:ascii="仿宋_GB2312" w:eastAsia="仿宋_GB2312"/>
      <w:b/>
      <w:sz w:val="32"/>
      <w:szCs w:val="20"/>
    </w:rPr>
  </w:style>
  <w:style w:type="paragraph" w:customStyle="1" w:styleId="78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84">
    <w:name w:val="封面"/>
    <w:basedOn w:val="1"/>
    <w:qFormat/>
    <w:uiPriority w:val="0"/>
    <w:pPr>
      <w:spacing w:line="360" w:lineRule="atLeast"/>
      <w:jc w:val="right"/>
      <w:textAlignment w:val="baseline"/>
    </w:pPr>
    <w:rPr>
      <w:rFonts w:ascii="Symbol" w:hAnsi="Symbol"/>
      <w:kern w:val="0"/>
      <w:szCs w:val="20"/>
    </w:rPr>
  </w:style>
  <w:style w:type="paragraph" w:customStyle="1" w:styleId="785">
    <w:name w:val="body text bold"/>
    <w:basedOn w:val="22"/>
    <w:qFormat/>
    <w:uiPriority w:val="0"/>
    <w:pPr>
      <w:widowControl/>
      <w:adjustRightInd/>
      <w:spacing w:after="0"/>
      <w:ind w:firstLine="200" w:firstLineChars="200"/>
      <w:jc w:val="left"/>
    </w:pPr>
    <w:rPr>
      <w:rFonts w:ascii="Futura Hv" w:hAnsi="Futura Hv" w:cs="Arial"/>
      <w:snapToGrid w:val="0"/>
      <w:kern w:val="0"/>
      <w:sz w:val="18"/>
      <w:szCs w:val="20"/>
      <w:lang w:eastAsia="en-US"/>
    </w:rPr>
  </w:style>
  <w:style w:type="paragraph" w:customStyle="1" w:styleId="78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87">
    <w:name w:val="Char2 Char Char2"/>
    <w:basedOn w:val="1"/>
    <w:qFormat/>
    <w:uiPriority w:val="0"/>
    <w:pPr>
      <w:adjustRightInd/>
    </w:pPr>
    <w:rPr>
      <w:rFonts w:ascii="Tahoma" w:hAnsi="Tahoma"/>
      <w:sz w:val="24"/>
      <w:szCs w:val="20"/>
    </w:rPr>
  </w:style>
  <w:style w:type="paragraph" w:customStyle="1" w:styleId="78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8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92">
    <w:name w:val="Char Char Char Char Char Char Char"/>
    <w:basedOn w:val="1"/>
    <w:qFormat/>
    <w:uiPriority w:val="0"/>
    <w:rPr>
      <w:rFonts w:ascii="仿宋_GB2312" w:eastAsia="仿宋_GB2312"/>
      <w:b/>
      <w:sz w:val="32"/>
      <w:szCs w:val="32"/>
    </w:rPr>
  </w:style>
  <w:style w:type="paragraph" w:customStyle="1" w:styleId="793">
    <w:name w:val="Char Char Char1 Char"/>
    <w:basedOn w:val="1"/>
    <w:qFormat/>
    <w:uiPriority w:val="0"/>
    <w:rPr>
      <w:szCs w:val="20"/>
    </w:rPr>
  </w:style>
  <w:style w:type="paragraph" w:customStyle="1" w:styleId="794">
    <w:name w:val="Bulleting First Indent 1"/>
    <w:basedOn w:val="23"/>
    <w:qFormat/>
    <w:uiPriority w:val="0"/>
    <w:pPr>
      <w:tabs>
        <w:tab w:val="left" w:pos="840"/>
      </w:tabs>
      <w:adjustRightInd/>
      <w:spacing w:before="20" w:after="20" w:line="300" w:lineRule="auto"/>
      <w:ind w:left="840" w:hanging="420" w:firstLineChars="0"/>
    </w:pPr>
    <w:rPr>
      <w:rFonts w:ascii="Tahoma" w:hAnsi="Tahoma"/>
      <w:kern w:val="0"/>
      <w:szCs w:val="21"/>
    </w:rPr>
  </w:style>
  <w:style w:type="paragraph" w:customStyle="1" w:styleId="79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796">
    <w:name w:val="样式1 + (中宋体"/>
    <w:basedOn w:val="60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9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99">
    <w:name w:val="bullet"/>
    <w:basedOn w:val="1"/>
    <w:qFormat/>
    <w:uiPriority w:val="0"/>
    <w:pPr>
      <w:tabs>
        <w:tab w:val="left" w:pos="840"/>
      </w:tabs>
      <w:adjustRightInd/>
      <w:ind w:left="840" w:hanging="420"/>
    </w:pPr>
  </w:style>
  <w:style w:type="paragraph" w:customStyle="1" w:styleId="80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801">
    <w:name w:val="Char Char1 Char Char Char1"/>
    <w:basedOn w:val="1"/>
    <w:qFormat/>
    <w:uiPriority w:val="6"/>
    <w:rPr>
      <w:rFonts w:ascii="仿宋_GB2312" w:eastAsia="仿宋_GB2312"/>
      <w:b/>
      <w:sz w:val="32"/>
      <w:szCs w:val="20"/>
    </w:rPr>
  </w:style>
  <w:style w:type="paragraph" w:customStyle="1" w:styleId="80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03">
    <w:name w:val="_Style 6"/>
    <w:basedOn w:val="1"/>
    <w:qFormat/>
    <w:uiPriority w:val="34"/>
    <w:pPr>
      <w:adjustRightInd/>
      <w:ind w:firstLine="420" w:firstLineChars="200"/>
    </w:pPr>
    <w:rPr>
      <w:rFonts w:eastAsia="仿宋_GB2312"/>
      <w:sz w:val="28"/>
    </w:rPr>
  </w:style>
  <w:style w:type="paragraph" w:customStyle="1" w:styleId="804">
    <w:name w:val="Char111"/>
    <w:basedOn w:val="1"/>
    <w:qFormat/>
    <w:uiPriority w:val="0"/>
    <w:rPr>
      <w:rFonts w:ascii="仿宋_GB2312" w:eastAsia="仿宋_GB2312"/>
      <w:b/>
      <w:sz w:val="32"/>
      <w:szCs w:val="32"/>
    </w:rPr>
  </w:style>
  <w:style w:type="paragraph" w:customStyle="1" w:styleId="805">
    <w:name w:val="Char19"/>
    <w:basedOn w:val="1"/>
    <w:qFormat/>
    <w:uiPriority w:val="0"/>
    <w:pPr>
      <w:adjustRightInd/>
    </w:pPr>
    <w:rPr>
      <w:szCs w:val="20"/>
    </w:rPr>
  </w:style>
  <w:style w:type="paragraph" w:customStyle="1" w:styleId="8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07">
    <w:name w:val="Char3 Char Char Char"/>
    <w:basedOn w:val="1"/>
    <w:qFormat/>
    <w:uiPriority w:val="0"/>
    <w:pPr>
      <w:widowControl/>
      <w:adjustRightInd/>
      <w:spacing w:after="160" w:line="240" w:lineRule="exact"/>
      <w:jc w:val="left"/>
    </w:pPr>
    <w:rPr>
      <w:szCs w:val="20"/>
    </w:rPr>
  </w:style>
  <w:style w:type="paragraph" w:customStyle="1" w:styleId="808">
    <w:name w:val="列出段落21"/>
    <w:basedOn w:val="1"/>
    <w:qFormat/>
    <w:uiPriority w:val="0"/>
    <w:pPr>
      <w:adjustRightInd/>
      <w:ind w:firstLine="420" w:firstLineChars="200"/>
    </w:pPr>
    <w:rPr>
      <w:rFonts w:ascii="宋体" w:hAnsi="宋体"/>
      <w:sz w:val="24"/>
    </w:rPr>
  </w:style>
  <w:style w:type="paragraph" w:customStyle="1" w:styleId="809">
    <w:name w:val="带编号样式"/>
    <w:basedOn w:val="810"/>
    <w:qFormat/>
    <w:uiPriority w:val="0"/>
    <w:pPr>
      <w:tabs>
        <w:tab w:val="left" w:pos="840"/>
      </w:tabs>
      <w:snapToGrid w:val="0"/>
      <w:ind w:left="840" w:hanging="420" w:firstLineChars="0"/>
    </w:pPr>
    <w:rPr>
      <w:rFonts w:ascii="仿宋_GB2312" w:eastAsia="仿宋_GB2312"/>
      <w:color w:val="000000"/>
    </w:rPr>
  </w:style>
  <w:style w:type="paragraph" w:customStyle="1" w:styleId="810">
    <w:name w:val="文本正文 Char"/>
    <w:basedOn w:val="1"/>
    <w:qFormat/>
    <w:uiPriority w:val="0"/>
    <w:pPr>
      <w:spacing w:line="360" w:lineRule="auto"/>
      <w:ind w:firstLine="200" w:firstLineChars="200"/>
    </w:pPr>
    <w:rPr>
      <w:kern w:val="0"/>
      <w:sz w:val="24"/>
      <w:szCs w:val="20"/>
    </w:rPr>
  </w:style>
  <w:style w:type="paragraph" w:customStyle="1" w:styleId="81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12">
    <w:name w:val="Char2 Char Char Char2"/>
    <w:basedOn w:val="1"/>
    <w:qFormat/>
    <w:uiPriority w:val="0"/>
    <w:rPr>
      <w:rFonts w:ascii="仿宋_GB2312" w:eastAsia="仿宋_GB2312"/>
      <w:b/>
      <w:sz w:val="32"/>
      <w:szCs w:val="32"/>
    </w:r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15">
    <w:name w:val="批注框文本 Char Char"/>
    <w:basedOn w:val="1"/>
    <w:qFormat/>
    <w:uiPriority w:val="0"/>
    <w:pPr>
      <w:adjustRightInd/>
    </w:pPr>
    <w:rPr>
      <w:sz w:val="18"/>
      <w:szCs w:val="20"/>
    </w:rPr>
  </w:style>
  <w:style w:type="paragraph" w:customStyle="1" w:styleId="816">
    <w:name w:val="样式 标题 2 + 宋体 左侧:  1.76 厘米 首行缩进:  0 厘米"/>
    <w:basedOn w:val="3"/>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81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18">
    <w:name w:val="正文（标题三）"/>
    <w:basedOn w:val="1"/>
    <w:qFormat/>
    <w:uiPriority w:val="0"/>
    <w:pPr>
      <w:spacing w:line="360" w:lineRule="auto"/>
      <w:ind w:firstLine="200" w:firstLineChars="200"/>
    </w:pPr>
    <w:rPr>
      <w:sz w:val="24"/>
    </w:rPr>
  </w:style>
  <w:style w:type="paragraph" w:customStyle="1" w:styleId="819">
    <w:name w:val="Plain Text1"/>
    <w:basedOn w:val="1"/>
    <w:qFormat/>
    <w:uiPriority w:val="7"/>
    <w:pPr>
      <w:adjustRightInd/>
    </w:pPr>
    <w:rPr>
      <w:rFonts w:ascii="宋体" w:hAnsi="Courier New"/>
    </w:rPr>
  </w:style>
  <w:style w:type="paragraph" w:customStyle="1" w:styleId="82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1">
    <w:name w:val="Char Char11 Char Char Char1"/>
    <w:basedOn w:val="1"/>
    <w:qFormat/>
    <w:uiPriority w:val="6"/>
    <w:pPr>
      <w:spacing w:line="360" w:lineRule="auto"/>
    </w:pPr>
    <w:rPr>
      <w:szCs w:val="20"/>
    </w:rPr>
  </w:style>
  <w:style w:type="paragraph" w:customStyle="1" w:styleId="82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2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82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26">
    <w:name w:val="单元格居中"/>
    <w:basedOn w:val="1"/>
    <w:qFormat/>
    <w:uiPriority w:val="0"/>
    <w:pPr>
      <w:adjustRightInd/>
      <w:spacing w:line="360" w:lineRule="auto"/>
      <w:jc w:val="center"/>
    </w:pPr>
    <w:rPr>
      <w:sz w:val="24"/>
    </w:rPr>
  </w:style>
  <w:style w:type="paragraph" w:customStyle="1" w:styleId="82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2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29">
    <w:name w:val="Char Char1 Char"/>
    <w:basedOn w:val="1"/>
    <w:qFormat/>
    <w:uiPriority w:val="0"/>
    <w:rPr>
      <w:rFonts w:ascii="仿宋_GB2312" w:eastAsia="仿宋_GB2312"/>
      <w:b/>
      <w:sz w:val="32"/>
      <w:szCs w:val="32"/>
    </w:rPr>
  </w:style>
  <w:style w:type="paragraph" w:customStyle="1" w:styleId="830">
    <w:name w:val="CSS1级正文 Char"/>
    <w:basedOn w:val="22"/>
    <w:qFormat/>
    <w:uiPriority w:val="0"/>
    <w:pPr>
      <w:snapToGrid w:val="0"/>
      <w:spacing w:after="0" w:line="360" w:lineRule="auto"/>
      <w:ind w:firstLine="480" w:firstLineChars="200"/>
    </w:pPr>
    <w:rPr>
      <w:rFonts w:hAnsi="Arial" w:cs="Arial"/>
      <w:snapToGrid w:val="0"/>
      <w:sz w:val="24"/>
    </w:rPr>
  </w:style>
  <w:style w:type="paragraph" w:customStyle="1" w:styleId="831">
    <w:name w:val="Char3 Char Char Char11"/>
    <w:basedOn w:val="1"/>
    <w:qFormat/>
    <w:uiPriority w:val="0"/>
    <w:pPr>
      <w:widowControl/>
      <w:adjustRightInd/>
      <w:spacing w:after="160" w:line="240" w:lineRule="exact"/>
      <w:jc w:val="left"/>
    </w:pPr>
    <w:rPr>
      <w:szCs w:val="20"/>
    </w:rPr>
  </w:style>
  <w:style w:type="paragraph" w:customStyle="1" w:styleId="832">
    <w:name w:val="Char3"/>
    <w:basedOn w:val="1"/>
    <w:qFormat/>
    <w:uiPriority w:val="0"/>
    <w:pPr>
      <w:adjustRightInd/>
    </w:pPr>
    <w:rPr>
      <w:rFonts w:ascii="仿宋_GB2312" w:eastAsia="仿宋_GB2312"/>
      <w:b/>
      <w:sz w:val="32"/>
      <w:szCs w:val="32"/>
    </w:rPr>
  </w:style>
  <w:style w:type="paragraph" w:customStyle="1" w:styleId="833">
    <w:name w:val="Char Char Char1 Char2"/>
    <w:basedOn w:val="1"/>
    <w:qFormat/>
    <w:uiPriority w:val="0"/>
    <w:rPr>
      <w:szCs w:val="20"/>
    </w:rPr>
  </w:style>
  <w:style w:type="paragraph" w:customStyle="1" w:styleId="83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3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836">
    <w:name w:val="Char6"/>
    <w:basedOn w:val="1"/>
    <w:qFormat/>
    <w:uiPriority w:val="0"/>
    <w:rPr>
      <w:rFonts w:ascii="仿宋_GB2312" w:eastAsia="仿宋_GB2312"/>
      <w:b/>
      <w:sz w:val="32"/>
      <w:szCs w:val="32"/>
    </w:rPr>
  </w:style>
  <w:style w:type="paragraph" w:customStyle="1" w:styleId="83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3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840">
    <w:name w:val="五级条标题"/>
    <w:basedOn w:val="752"/>
    <w:next w:val="552"/>
    <w:qFormat/>
    <w:uiPriority w:val="0"/>
    <w:pPr>
      <w:tabs>
        <w:tab w:val="left" w:pos="3360"/>
        <w:tab w:val="clear" w:pos="2940"/>
      </w:tabs>
      <w:ind w:left="3360"/>
      <w:outlineLvl w:val="6"/>
    </w:pPr>
  </w:style>
  <w:style w:type="paragraph" w:customStyle="1" w:styleId="841">
    <w:name w:val="_标题2"/>
    <w:basedOn w:val="505"/>
    <w:next w:val="505"/>
    <w:qFormat/>
    <w:uiPriority w:val="0"/>
    <w:pPr>
      <w:widowControl w:val="0"/>
      <w:tabs>
        <w:tab w:val="left" w:pos="480"/>
      </w:tabs>
      <w:spacing w:beforeLines="50" w:afterLines="50"/>
      <w:ind w:left="50" w:leftChars="50" w:hanging="420" w:firstLineChars="0"/>
      <w:outlineLvl w:val="1"/>
    </w:pPr>
    <w:rPr>
      <w:b/>
      <w:sz w:val="36"/>
    </w:rPr>
  </w:style>
  <w:style w:type="paragraph" w:customStyle="1" w:styleId="84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43">
    <w:name w:val="Char Char11 Char Char Char Char Char Char Char Char Char1"/>
    <w:basedOn w:val="1"/>
    <w:qFormat/>
    <w:uiPriority w:val="6"/>
    <w:pPr>
      <w:spacing w:line="360" w:lineRule="auto"/>
    </w:pPr>
    <w:rPr>
      <w:szCs w:val="20"/>
    </w:rPr>
  </w:style>
  <w:style w:type="paragraph" w:customStyle="1" w:styleId="844">
    <w:name w:val="a1"/>
    <w:basedOn w:val="1"/>
    <w:qFormat/>
    <w:uiPriority w:val="0"/>
    <w:pPr>
      <w:widowControl/>
      <w:spacing w:line="300" w:lineRule="atLeast"/>
      <w:jc w:val="left"/>
    </w:pPr>
    <w:rPr>
      <w:rFonts w:ascii="宋体" w:hAnsi="宋体"/>
      <w:kern w:val="0"/>
      <w:sz w:val="18"/>
      <w:szCs w:val="20"/>
    </w:rPr>
  </w:style>
  <w:style w:type="paragraph" w:customStyle="1" w:styleId="84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46">
    <w:name w:val="Char Char Char Char Char Char Char Char Char Char"/>
    <w:basedOn w:val="1"/>
    <w:qFormat/>
    <w:uiPriority w:val="0"/>
    <w:rPr>
      <w:rFonts w:ascii="仿宋_GB2312" w:eastAsia="仿宋_GB2312"/>
      <w:b/>
      <w:sz w:val="32"/>
      <w:szCs w:val="32"/>
    </w:rPr>
  </w:style>
  <w:style w:type="paragraph" w:customStyle="1" w:styleId="847">
    <w:name w:val="单元格左对齐"/>
    <w:basedOn w:val="1"/>
    <w:qFormat/>
    <w:uiPriority w:val="0"/>
    <w:pPr>
      <w:adjustRightInd/>
      <w:spacing w:line="360" w:lineRule="auto"/>
    </w:pPr>
    <w:rPr>
      <w:sz w:val="24"/>
    </w:rPr>
  </w:style>
  <w:style w:type="paragraph" w:customStyle="1" w:styleId="848">
    <w:name w:val="表格标题2"/>
    <w:basedOn w:val="609"/>
    <w:qFormat/>
    <w:uiPriority w:val="0"/>
    <w:rPr>
      <w:b/>
    </w:rPr>
  </w:style>
  <w:style w:type="paragraph" w:customStyle="1" w:styleId="849">
    <w:name w:val="修订3"/>
    <w:qFormat/>
    <w:uiPriority w:val="0"/>
    <w:rPr>
      <w:rFonts w:ascii="Times New Roman" w:hAnsi="Times New Roman" w:eastAsia="宋体" w:cs="Times New Roman"/>
      <w:kern w:val="2"/>
      <w:sz w:val="21"/>
      <w:lang w:val="en-US" w:eastAsia="zh-CN" w:bidi="ar-SA"/>
    </w:rPr>
  </w:style>
  <w:style w:type="paragraph" w:customStyle="1" w:styleId="850">
    <w:name w:val="MM Topic 1"/>
    <w:basedOn w:val="2"/>
    <w:qFormat/>
    <w:uiPriority w:val="0"/>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85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54">
    <w:name w:val="List Paragraph1"/>
    <w:basedOn w:val="1"/>
    <w:qFormat/>
    <w:uiPriority w:val="0"/>
    <w:pPr>
      <w:spacing w:line="360" w:lineRule="auto"/>
      <w:ind w:firstLine="200" w:firstLineChars="200"/>
    </w:pPr>
    <w:rPr>
      <w:rFonts w:eastAsia="楷体_GB2312" w:cs="Lucida Sans"/>
      <w:sz w:val="24"/>
    </w:rPr>
  </w:style>
  <w:style w:type="paragraph" w:customStyle="1" w:styleId="85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56">
    <w:name w:val="MM Title"/>
    <w:basedOn w:val="54"/>
    <w:qFormat/>
    <w:uiPriority w:val="0"/>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857">
    <w:name w:val="Char11"/>
    <w:basedOn w:val="1"/>
    <w:qFormat/>
    <w:uiPriority w:val="0"/>
    <w:pPr>
      <w:tabs>
        <w:tab w:val="left" w:pos="432"/>
      </w:tabs>
      <w:adjustRightInd/>
      <w:spacing w:beforeLines="50" w:afterLines="50"/>
      <w:ind w:left="432" w:hanging="432" w:firstLineChars="200"/>
    </w:pPr>
    <w:rPr>
      <w:sz w:val="24"/>
    </w:rPr>
  </w:style>
  <w:style w:type="paragraph" w:customStyle="1" w:styleId="858">
    <w:name w:val="小节"/>
    <w:basedOn w:val="4"/>
    <w:qFormat/>
    <w:uiPriority w:val="0"/>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8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60">
    <w:name w:val="MM Topic 4"/>
    <w:basedOn w:val="5"/>
    <w:qFormat/>
    <w:uiPriority w:val="0"/>
    <w:pPr>
      <w:tabs>
        <w:tab w:val="left" w:pos="2100"/>
        <w:tab w:val="clear" w:pos="864"/>
      </w:tabs>
      <w:adjustRightInd/>
      <w:ind w:left="2100" w:hanging="420"/>
    </w:pPr>
    <w:rPr>
      <w:lang w:val="en-US"/>
    </w:rPr>
  </w:style>
  <w:style w:type="paragraph" w:customStyle="1" w:styleId="86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6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6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65">
    <w:name w:val="表1"/>
    <w:basedOn w:val="1"/>
    <w:qFormat/>
    <w:uiPriority w:val="0"/>
    <w:pPr>
      <w:tabs>
        <w:tab w:val="left" w:pos="703"/>
      </w:tabs>
      <w:adjustRightInd/>
      <w:spacing w:line="360" w:lineRule="auto"/>
      <w:ind w:left="703"/>
      <w:jc w:val="center"/>
    </w:pPr>
  </w:style>
  <w:style w:type="paragraph" w:customStyle="1" w:styleId="866">
    <w:name w:val="Char Char Char Char Char Char Char Char Char Char2"/>
    <w:basedOn w:val="1"/>
    <w:qFormat/>
    <w:uiPriority w:val="0"/>
    <w:rPr>
      <w:rFonts w:ascii="仿宋_GB2312" w:eastAsia="仿宋_GB2312"/>
      <w:b/>
      <w:sz w:val="32"/>
      <w:szCs w:val="32"/>
    </w:rPr>
  </w:style>
  <w:style w:type="paragraph" w:customStyle="1" w:styleId="86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69">
    <w:name w:val="4"/>
    <w:basedOn w:val="1"/>
    <w:next w:val="35"/>
    <w:qFormat/>
    <w:uiPriority w:val="0"/>
    <w:pPr>
      <w:spacing w:after="120" w:line="480" w:lineRule="auto"/>
      <w:ind w:left="420" w:leftChars="200"/>
    </w:pPr>
    <w:rPr>
      <w:sz w:val="24"/>
      <w:szCs w:val="20"/>
    </w:rPr>
  </w:style>
  <w:style w:type="paragraph" w:customStyle="1" w:styleId="870">
    <w:name w:val="2级标题"/>
    <w:basedOn w:val="497"/>
    <w:qFormat/>
    <w:uiPriority w:val="0"/>
    <w:pPr>
      <w:jc w:val="left"/>
      <w:outlineLvl w:val="1"/>
    </w:pPr>
    <w:rPr>
      <w:rFonts w:ascii="Times New Roman" w:hAnsi="Times New Roman" w:eastAsia="仿宋"/>
      <w:sz w:val="30"/>
    </w:rPr>
  </w:style>
  <w:style w:type="paragraph" w:customStyle="1" w:styleId="87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7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7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7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5">
    <w:name w:val="Char23"/>
    <w:basedOn w:val="1"/>
    <w:qFormat/>
    <w:uiPriority w:val="0"/>
    <w:rPr>
      <w:rFonts w:ascii="仿宋_GB2312" w:eastAsia="仿宋_GB2312"/>
      <w:b/>
      <w:sz w:val="32"/>
      <w:szCs w:val="32"/>
    </w:rPr>
  </w:style>
  <w:style w:type="paragraph" w:customStyle="1" w:styleId="87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77">
    <w:name w:val="正文 首行缩进:  2 字符 Char"/>
    <w:basedOn w:val="1"/>
    <w:qFormat/>
    <w:uiPriority w:val="0"/>
    <w:pPr>
      <w:adjustRightInd/>
      <w:spacing w:line="360" w:lineRule="auto"/>
      <w:ind w:firstLine="480"/>
    </w:pPr>
    <w:rPr>
      <w:rFonts w:cs="宋体"/>
      <w:sz w:val="24"/>
      <w:szCs w:val="20"/>
    </w:rPr>
  </w:style>
  <w:style w:type="paragraph" w:customStyle="1" w:styleId="878">
    <w:name w:val="Char Char4 Char Char"/>
    <w:basedOn w:val="1"/>
    <w:qFormat/>
    <w:uiPriority w:val="0"/>
    <w:pPr>
      <w:widowControl/>
      <w:adjustRightInd/>
      <w:spacing w:after="160" w:line="240" w:lineRule="exact"/>
      <w:jc w:val="left"/>
    </w:pPr>
  </w:style>
  <w:style w:type="paragraph" w:customStyle="1" w:styleId="87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80">
    <w:name w:val="Char Char11 Char Char Char2"/>
    <w:basedOn w:val="1"/>
    <w:qFormat/>
    <w:uiPriority w:val="0"/>
    <w:pPr>
      <w:spacing w:line="360" w:lineRule="auto"/>
    </w:pPr>
    <w:rPr>
      <w:szCs w:val="20"/>
    </w:rPr>
  </w:style>
  <w:style w:type="paragraph" w:customStyle="1" w:styleId="88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8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83">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8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8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8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87">
    <w:name w:val="Char311"/>
    <w:basedOn w:val="1"/>
    <w:qFormat/>
    <w:uiPriority w:val="0"/>
    <w:pPr>
      <w:adjustRightInd/>
      <w:ind w:firstLine="200" w:firstLineChars="200"/>
    </w:pPr>
    <w:rPr>
      <w:rFonts w:ascii="Tahoma" w:hAnsi="Tahoma"/>
      <w:sz w:val="24"/>
      <w:szCs w:val="20"/>
    </w:rPr>
  </w:style>
  <w:style w:type="paragraph" w:customStyle="1" w:styleId="88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88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90">
    <w:name w:val="正文 内标"/>
    <w:basedOn w:val="872"/>
    <w:qFormat/>
    <w:uiPriority w:val="0"/>
    <w:pPr>
      <w:tabs>
        <w:tab w:val="left" w:pos="0"/>
      </w:tabs>
      <w:ind w:left="900" w:firstLine="0" w:firstLineChars="0"/>
    </w:pPr>
  </w:style>
  <w:style w:type="paragraph" w:customStyle="1" w:styleId="891">
    <w:name w:val="Bulleted List"/>
    <w:basedOn w:val="1"/>
    <w:qFormat/>
    <w:uiPriority w:val="0"/>
    <w:pPr>
      <w:tabs>
        <w:tab w:val="left" w:pos="1260"/>
      </w:tabs>
      <w:adjustRightInd/>
      <w:ind w:left="1260" w:hanging="420"/>
    </w:pPr>
  </w:style>
  <w:style w:type="paragraph" w:customStyle="1" w:styleId="892">
    <w:name w:val="样式 正文文本缩进 2 + 仿宋_GB2312 黑色 行距: 1.5 倍行距"/>
    <w:basedOn w:val="35"/>
    <w:qFormat/>
    <w:uiPriority w:val="0"/>
    <w:pPr>
      <w:adjustRightInd/>
      <w:ind w:firstLine="560" w:firstLineChars="200"/>
      <w:textAlignment w:val="auto"/>
    </w:pPr>
    <w:rPr>
      <w:rFonts w:hAnsi="宋体" w:cs="宋体"/>
      <w:color w:val="000000"/>
      <w:sz w:val="24"/>
    </w:rPr>
  </w:style>
  <w:style w:type="paragraph" w:customStyle="1" w:styleId="893">
    <w:name w:val="样式 左侧:  0.85 厘米"/>
    <w:basedOn w:val="1"/>
    <w:qFormat/>
    <w:uiPriority w:val="2"/>
    <w:pPr>
      <w:adjustRightInd/>
      <w:spacing w:line="360" w:lineRule="auto"/>
    </w:pPr>
    <w:rPr>
      <w:rFonts w:cs="宋体"/>
      <w:sz w:val="24"/>
      <w:szCs w:val="20"/>
    </w:rPr>
  </w:style>
  <w:style w:type="paragraph" w:customStyle="1" w:styleId="894">
    <w:name w:val="Char Char Char Char Char Char Char Char Char Char Char Char1 Char"/>
    <w:basedOn w:val="1"/>
    <w:qFormat/>
    <w:uiPriority w:val="0"/>
    <w:rPr>
      <w:rFonts w:ascii="Tahoma" w:hAnsi="Tahoma" w:cs="仿宋_GB2312"/>
      <w:sz w:val="24"/>
      <w:szCs w:val="20"/>
    </w:rPr>
  </w:style>
  <w:style w:type="paragraph" w:customStyle="1" w:styleId="89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9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97">
    <w:name w:val="Char Char1 Char Char Char Char Char Char"/>
    <w:basedOn w:val="1"/>
    <w:qFormat/>
    <w:uiPriority w:val="0"/>
    <w:rPr>
      <w:rFonts w:ascii="仿宋_GB2312" w:eastAsia="仿宋_GB2312"/>
      <w:b/>
      <w:sz w:val="32"/>
      <w:szCs w:val="20"/>
    </w:rPr>
  </w:style>
  <w:style w:type="paragraph" w:customStyle="1" w:styleId="89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99">
    <w:name w:val="Char Char1 Char Char Char Char Char Char2"/>
    <w:basedOn w:val="1"/>
    <w:qFormat/>
    <w:uiPriority w:val="0"/>
    <w:rPr>
      <w:rFonts w:ascii="仿宋_GB2312" w:eastAsia="仿宋_GB2312"/>
      <w:b/>
      <w:sz w:val="32"/>
      <w:szCs w:val="20"/>
    </w:rPr>
  </w:style>
  <w:style w:type="paragraph" w:customStyle="1" w:styleId="90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0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0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0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0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0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0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0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09">
    <w:name w:val="Char31"/>
    <w:basedOn w:val="1"/>
    <w:qFormat/>
    <w:uiPriority w:val="0"/>
    <w:pPr>
      <w:adjustRightInd/>
    </w:pPr>
    <w:rPr>
      <w:rFonts w:ascii="仿宋_GB2312" w:eastAsia="仿宋_GB2312"/>
      <w:b/>
      <w:sz w:val="32"/>
      <w:szCs w:val="32"/>
    </w:rPr>
  </w:style>
  <w:style w:type="paragraph" w:customStyle="1" w:styleId="910">
    <w:name w:val="样式 标题 3h33rd level3Heading 3 - oldH3l3CTheading 3Headin..."/>
    <w:basedOn w:val="4"/>
    <w:qFormat/>
    <w:uiPriority w:val="0"/>
    <w:pPr>
      <w:tabs>
        <w:tab w:val="left" w:pos="900"/>
      </w:tabs>
      <w:snapToGrid w:val="0"/>
      <w:jc w:val="left"/>
    </w:pPr>
    <w:rPr>
      <w:rFonts w:eastAsia="黑体" w:cs="宋体"/>
      <w:sz w:val="28"/>
      <w:szCs w:val="20"/>
    </w:rPr>
  </w:style>
  <w:style w:type="paragraph" w:customStyle="1" w:styleId="91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1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13">
    <w:name w:val="Char Char1"/>
    <w:basedOn w:val="1"/>
    <w:qFormat/>
    <w:uiPriority w:val="0"/>
    <w:pPr>
      <w:widowControl/>
      <w:spacing w:after="160" w:line="240" w:lineRule="exact"/>
      <w:jc w:val="left"/>
    </w:pPr>
    <w:rPr>
      <w:rFonts w:eastAsia="仿宋_GB2312"/>
      <w:sz w:val="28"/>
    </w:rPr>
  </w:style>
  <w:style w:type="paragraph" w:customStyle="1" w:styleId="914">
    <w:name w:val="Char21"/>
    <w:basedOn w:val="1"/>
    <w:qFormat/>
    <w:uiPriority w:val="0"/>
    <w:pPr>
      <w:adjustRightInd/>
      <w:ind w:firstLine="200" w:firstLineChars="200"/>
    </w:pPr>
    <w:rPr>
      <w:rFonts w:ascii="仿宋_GB2312" w:eastAsia="仿宋_GB2312"/>
      <w:b/>
      <w:sz w:val="32"/>
      <w:szCs w:val="32"/>
    </w:rPr>
  </w:style>
  <w:style w:type="paragraph" w:customStyle="1" w:styleId="915">
    <w:name w:val="列表段落1"/>
    <w:basedOn w:val="1"/>
    <w:qFormat/>
    <w:uiPriority w:val="34"/>
    <w:pPr>
      <w:adjustRightInd/>
      <w:ind w:right="238" w:firstLine="420"/>
    </w:pPr>
    <w:rPr>
      <w:rFonts w:ascii="Calibri" w:hAnsi="Calibri"/>
      <w:sz w:val="24"/>
    </w:rPr>
  </w:style>
  <w:style w:type="paragraph" w:customStyle="1" w:styleId="916">
    <w:name w:val="Char Char110"/>
    <w:basedOn w:val="1"/>
    <w:qFormat/>
    <w:uiPriority w:val="6"/>
    <w:pPr>
      <w:spacing w:line="360" w:lineRule="auto"/>
    </w:pPr>
    <w:rPr>
      <w:rFonts w:ascii="Tahoma" w:hAnsi="Tahoma"/>
      <w:sz w:val="24"/>
      <w:szCs w:val="20"/>
    </w:rPr>
  </w:style>
  <w:style w:type="paragraph" w:customStyle="1" w:styleId="91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1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1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92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21">
    <w:name w:val="Char Char Char Char Char Char Char Char Char Char Char Char1 Char2"/>
    <w:basedOn w:val="1"/>
    <w:qFormat/>
    <w:uiPriority w:val="0"/>
    <w:rPr>
      <w:rFonts w:ascii="Tahoma" w:hAnsi="Tahoma" w:cs="仿宋_GB2312"/>
      <w:sz w:val="24"/>
      <w:szCs w:val="20"/>
    </w:rPr>
  </w:style>
  <w:style w:type="paragraph" w:customStyle="1" w:styleId="92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2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24">
    <w:name w:val="样式 列表编号 + 段后: 0.5 行"/>
    <w:basedOn w:val="13"/>
    <w:qFormat/>
    <w:uiPriority w:val="2"/>
    <w:pPr>
      <w:tabs>
        <w:tab w:val="clear" w:pos="390"/>
        <w:tab w:val="clear" w:pos="454"/>
      </w:tabs>
      <w:ind w:left="840" w:hanging="420"/>
      <w:contextualSpacing/>
    </w:pPr>
    <w:rPr>
      <w:rFonts w:cs="宋体"/>
    </w:rPr>
  </w:style>
  <w:style w:type="paragraph" w:customStyle="1" w:styleId="92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2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2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2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29">
    <w:name w:val="3级标题"/>
    <w:basedOn w:val="870"/>
    <w:qFormat/>
    <w:uiPriority w:val="0"/>
    <w:pPr>
      <w:outlineLvl w:val="2"/>
    </w:pPr>
  </w:style>
  <w:style w:type="paragraph" w:customStyle="1" w:styleId="930">
    <w:name w:val="Char1 Char Char Char3"/>
    <w:basedOn w:val="1"/>
    <w:qFormat/>
    <w:uiPriority w:val="0"/>
    <w:pPr>
      <w:adjustRightInd/>
      <w:ind w:firstLine="200" w:firstLineChars="200"/>
    </w:pPr>
    <w:rPr>
      <w:rFonts w:ascii="Tahoma" w:hAnsi="Tahoma"/>
      <w:sz w:val="24"/>
      <w:szCs w:val="20"/>
    </w:rPr>
  </w:style>
  <w:style w:type="paragraph" w:customStyle="1" w:styleId="93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32">
    <w:name w:val="MM Empty"/>
    <w:basedOn w:val="1"/>
    <w:qFormat/>
    <w:uiPriority w:val="0"/>
    <w:pPr>
      <w:adjustRightInd/>
    </w:pPr>
  </w:style>
  <w:style w:type="paragraph" w:customStyle="1" w:styleId="933">
    <w:name w:val="Char24"/>
    <w:basedOn w:val="1"/>
    <w:qFormat/>
    <w:uiPriority w:val="0"/>
    <w:rPr>
      <w:rFonts w:ascii="仿宋_GB2312" w:eastAsia="仿宋_GB2312"/>
      <w:b/>
      <w:sz w:val="32"/>
      <w:szCs w:val="32"/>
    </w:rPr>
  </w:style>
  <w:style w:type="paragraph" w:customStyle="1" w:styleId="934">
    <w:name w:val="正文箭头"/>
    <w:basedOn w:val="598"/>
    <w:qFormat/>
    <w:uiPriority w:val="0"/>
  </w:style>
  <w:style w:type="paragraph" w:customStyle="1" w:styleId="935">
    <w:name w:val="U_编号2"/>
    <w:basedOn w:val="1"/>
    <w:qFormat/>
    <w:uiPriority w:val="0"/>
    <w:pPr>
      <w:tabs>
        <w:tab w:val="left" w:pos="785"/>
      </w:tabs>
      <w:adjustRightInd/>
      <w:spacing w:beforeLines="10" w:afterLines="10" w:line="300" w:lineRule="auto"/>
    </w:pPr>
    <w:rPr>
      <w:sz w:val="24"/>
    </w:rPr>
  </w:style>
  <w:style w:type="paragraph" w:customStyle="1" w:styleId="93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3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8">
    <w:name w:val="标书标题3"/>
    <w:basedOn w:val="4"/>
    <w:qFormat/>
    <w:uiPriority w:val="0"/>
    <w:pPr>
      <w:keepLines w:val="0"/>
      <w:widowControl/>
      <w:tabs>
        <w:tab w:val="left" w:pos="900"/>
      </w:tabs>
      <w:snapToGrid w:val="0"/>
      <w:spacing w:before="120" w:after="60" w:line="300" w:lineRule="auto"/>
      <w:ind w:left="900" w:hanging="720"/>
      <w:jc w:val="left"/>
    </w:pPr>
    <w:rPr>
      <w:rFonts w:ascii="Arial Narrow" w:hAnsi="Arial Narrow" w:eastAsia="仿宋_GB2312"/>
      <w:b w:val="0"/>
      <w:bCs w:val="0"/>
      <w:color w:val="000000"/>
      <w:kern w:val="0"/>
      <w:sz w:val="28"/>
    </w:rPr>
  </w:style>
  <w:style w:type="paragraph" w:customStyle="1" w:styleId="939">
    <w:name w:val="TOC 标题11"/>
    <w:basedOn w:val="2"/>
    <w:next w:val="1"/>
    <w:unhideWhenUsed/>
    <w:qFormat/>
    <w:uiPriority w:val="4"/>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940">
    <w:name w:val="_Style 1"/>
    <w:basedOn w:val="1"/>
    <w:qFormat/>
    <w:uiPriority w:val="34"/>
    <w:pPr>
      <w:adjustRightInd/>
      <w:ind w:firstLine="420" w:firstLineChars="200"/>
    </w:pPr>
    <w:rPr>
      <w:rFonts w:eastAsia="仿宋_GB2312"/>
      <w:sz w:val="28"/>
    </w:rPr>
  </w:style>
  <w:style w:type="paragraph" w:customStyle="1" w:styleId="941">
    <w:name w:val="表格 内容"/>
    <w:basedOn w:val="658"/>
    <w:qFormat/>
    <w:uiPriority w:val="0"/>
    <w:rPr>
      <w:b w:val="0"/>
      <w:sz w:val="20"/>
    </w:rPr>
  </w:style>
  <w:style w:type="paragraph" w:customStyle="1" w:styleId="94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43">
    <w:name w:val="数字标题5"/>
    <w:basedOn w:val="6"/>
    <w:next w:val="1"/>
    <w:qFormat/>
    <w:uiPriority w:val="0"/>
    <w:pPr>
      <w:tabs>
        <w:tab w:val="left" w:pos="1080"/>
        <w:tab w:val="clear" w:pos="1008"/>
      </w:tabs>
      <w:ind w:left="1080" w:hanging="1080"/>
    </w:pPr>
  </w:style>
  <w:style w:type="paragraph" w:customStyle="1" w:styleId="944">
    <w:name w:val="数字标题1"/>
    <w:basedOn w:val="2"/>
    <w:next w:val="1"/>
    <w:qFormat/>
    <w:uiPriority w:val="0"/>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94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4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4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4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94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5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51">
    <w:name w:val="0"/>
    <w:basedOn w:val="1"/>
    <w:qFormat/>
    <w:uiPriority w:val="0"/>
    <w:pPr>
      <w:widowControl/>
    </w:pPr>
    <w:rPr>
      <w:kern w:val="0"/>
      <w:sz w:val="24"/>
      <w:szCs w:val="20"/>
    </w:rPr>
  </w:style>
  <w:style w:type="paragraph" w:customStyle="1" w:styleId="952">
    <w:name w:val="Char Char113"/>
    <w:basedOn w:val="1"/>
    <w:qFormat/>
    <w:uiPriority w:val="0"/>
    <w:pPr>
      <w:widowControl/>
      <w:spacing w:after="160" w:line="240" w:lineRule="exact"/>
      <w:jc w:val="left"/>
    </w:pPr>
    <w:rPr>
      <w:rFonts w:eastAsia="仿宋_GB2312"/>
      <w:sz w:val="28"/>
    </w:rPr>
  </w:style>
  <w:style w:type="paragraph" w:customStyle="1" w:styleId="95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54">
    <w:name w:val="_Style 8"/>
    <w:basedOn w:val="1"/>
    <w:qFormat/>
    <w:uiPriority w:val="34"/>
    <w:pPr>
      <w:adjustRightInd/>
      <w:ind w:firstLine="420" w:firstLineChars="200"/>
    </w:pPr>
    <w:rPr>
      <w:rFonts w:eastAsia="仿宋_GB2312"/>
      <w:sz w:val="28"/>
    </w:rPr>
  </w:style>
  <w:style w:type="paragraph" w:customStyle="1" w:styleId="95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5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5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5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60">
    <w:name w:val="Char Char112"/>
    <w:basedOn w:val="1"/>
    <w:qFormat/>
    <w:uiPriority w:val="6"/>
    <w:pPr>
      <w:widowControl/>
      <w:spacing w:after="160" w:line="240" w:lineRule="exact"/>
      <w:jc w:val="left"/>
    </w:pPr>
    <w:rPr>
      <w:rFonts w:eastAsia="仿宋_GB2312"/>
      <w:sz w:val="28"/>
    </w:rPr>
  </w:style>
  <w:style w:type="paragraph" w:customStyle="1" w:styleId="961">
    <w:name w:val="正文 图"/>
    <w:basedOn w:val="476"/>
    <w:qFormat/>
    <w:uiPriority w:val="0"/>
    <w:pPr>
      <w:adjustRightInd/>
      <w:spacing w:before="0"/>
      <w:ind w:firstLine="0"/>
      <w:jc w:val="center"/>
    </w:pPr>
    <w:rPr>
      <w:rFonts w:ascii="微软雅黑" w:hAnsi="微软雅黑"/>
    </w:rPr>
  </w:style>
  <w:style w:type="paragraph" w:customStyle="1" w:styleId="96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6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64">
    <w:name w:val="Thf"/>
    <w:basedOn w:val="839"/>
    <w:qFormat/>
    <w:uiPriority w:val="0"/>
    <w:pPr>
      <w:ind w:left="0"/>
    </w:pPr>
  </w:style>
  <w:style w:type="paragraph" w:customStyle="1" w:styleId="96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6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67">
    <w:name w:val="注释"/>
    <w:basedOn w:val="1"/>
    <w:qFormat/>
    <w:uiPriority w:val="0"/>
    <w:pPr>
      <w:adjustRightInd/>
      <w:spacing w:line="360" w:lineRule="auto"/>
      <w:ind w:firstLine="480"/>
    </w:pPr>
    <w:rPr>
      <w:sz w:val="24"/>
    </w:rPr>
  </w:style>
  <w:style w:type="paragraph" w:customStyle="1" w:styleId="968">
    <w:name w:val="列出段落111"/>
    <w:basedOn w:val="1"/>
    <w:qFormat/>
    <w:uiPriority w:val="34"/>
    <w:pPr>
      <w:ind w:firstLine="420" w:firstLineChars="200"/>
    </w:pPr>
  </w:style>
  <w:style w:type="paragraph" w:customStyle="1" w:styleId="969">
    <w:name w:val="_Style 947"/>
    <w:basedOn w:val="1"/>
    <w:next w:val="360"/>
    <w:qFormat/>
    <w:uiPriority w:val="34"/>
    <w:pPr>
      <w:adjustRightInd/>
      <w:ind w:firstLine="420" w:firstLineChars="200"/>
    </w:pPr>
  </w:style>
  <w:style w:type="paragraph" w:customStyle="1" w:styleId="97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71">
    <w:name w:val="纯文本2"/>
    <w:basedOn w:val="1"/>
    <w:qFormat/>
    <w:uiPriority w:val="0"/>
    <w:pPr>
      <w:adjustRightInd/>
      <w:snapToGrid w:val="0"/>
      <w:jc w:val="left"/>
    </w:pPr>
    <w:rPr>
      <w:rFonts w:ascii="Century Gothic" w:hAnsi="楷体_GB2312" w:eastAsia="Century Gothic"/>
      <w:szCs w:val="20"/>
    </w:rPr>
  </w:style>
  <w:style w:type="paragraph" w:customStyle="1" w:styleId="97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7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74">
    <w:name w:val="节"/>
    <w:basedOn w:val="3"/>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975">
    <w:name w:val="Blockquote"/>
    <w:basedOn w:val="1"/>
    <w:qFormat/>
    <w:uiPriority w:val="0"/>
    <w:pPr>
      <w:autoSpaceDE w:val="0"/>
      <w:autoSpaceDN w:val="0"/>
      <w:spacing w:before="100" w:after="100"/>
      <w:ind w:left="360" w:right="360"/>
      <w:jc w:val="left"/>
    </w:pPr>
    <w:rPr>
      <w:kern w:val="0"/>
      <w:sz w:val="24"/>
      <w:szCs w:val="20"/>
    </w:rPr>
  </w:style>
  <w:style w:type="paragraph" w:customStyle="1" w:styleId="976">
    <w:name w:val="p1"/>
    <w:basedOn w:val="1"/>
    <w:qFormat/>
    <w:uiPriority w:val="0"/>
    <w:pPr>
      <w:widowControl/>
      <w:adjustRightInd/>
      <w:jc w:val="left"/>
    </w:pPr>
    <w:rPr>
      <w:rFonts w:ascii=".PingFang SC" w:eastAsia=".PingFang SC"/>
      <w:color w:val="454545"/>
      <w:kern w:val="0"/>
      <w:sz w:val="18"/>
      <w:szCs w:val="18"/>
    </w:rPr>
  </w:style>
  <w:style w:type="paragraph" w:customStyle="1" w:styleId="977">
    <w:name w:val="Table Paragraph"/>
    <w:basedOn w:val="1"/>
    <w:qFormat/>
    <w:uiPriority w:val="1"/>
    <w:pPr>
      <w:adjustRightInd/>
      <w:jc w:val="left"/>
    </w:pPr>
    <w:rPr>
      <w:rFonts w:ascii="Calibri" w:hAnsi="Calibri"/>
      <w:kern w:val="0"/>
      <w:sz w:val="22"/>
      <w:szCs w:val="22"/>
      <w:lang w:eastAsia="en-US"/>
    </w:rPr>
  </w:style>
  <w:style w:type="paragraph" w:customStyle="1" w:styleId="97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7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table" w:customStyle="1" w:styleId="980">
    <w:name w:val="网格型2"/>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1">
    <w:name w:val="网格型1"/>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2">
    <w:name w:val="网格型6"/>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3">
    <w:name w:val="网格型3"/>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4">
    <w:name w:val="网格型4"/>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5">
    <w:name w:val="网格型5"/>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86">
    <w:name w:val="正文首行缩进 2 Char"/>
    <w:basedOn w:val="83"/>
    <w:semiHidden/>
    <w:qFormat/>
    <w:uiPriority w:val="99"/>
    <w:rPr>
      <w:rFonts w:ascii="Times New Roman" w:hAnsi="Times New Roman" w:eastAsia="宋体" w:cs="Times New Roman"/>
      <w:sz w:val="24"/>
      <w:szCs w:val="24"/>
    </w:rPr>
  </w:style>
  <w:style w:type="paragraph" w:customStyle="1" w:styleId="987">
    <w:name w:val="Body text|3"/>
    <w:basedOn w:val="1"/>
    <w:qFormat/>
    <w:uiPriority w:val="0"/>
    <w:pPr>
      <w:adjustRightInd/>
      <w:spacing w:after="60" w:line="360" w:lineRule="auto"/>
      <w:ind w:left="1510"/>
      <w:jc w:val="left"/>
    </w:pPr>
    <w:rPr>
      <w:rFonts w:hint="eastAsia" w:ascii="宋体" w:hAnsi="宋体"/>
      <w:kern w:val="0"/>
      <w:sz w:val="26"/>
      <w:szCs w:val="26"/>
    </w:rPr>
  </w:style>
  <w:style w:type="paragraph" w:customStyle="1" w:styleId="98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9">
    <w:name w:val="Body text|1"/>
    <w:basedOn w:val="1"/>
    <w:qFormat/>
    <w:uiPriority w:val="0"/>
    <w:pPr>
      <w:adjustRightInd/>
      <w:spacing w:line="432" w:lineRule="auto"/>
      <w:ind w:firstLine="400"/>
      <w:jc w:val="left"/>
    </w:pPr>
    <w:rPr>
      <w:rFonts w:hint="eastAsia" w:ascii="宋体" w:hAnsi="宋体"/>
      <w:kern w:val="0"/>
      <w:sz w:val="30"/>
      <w:szCs w:val="30"/>
    </w:rPr>
  </w:style>
  <w:style w:type="paragraph" w:customStyle="1" w:styleId="990">
    <w:name w:val="Body text|5"/>
    <w:basedOn w:val="1"/>
    <w:qFormat/>
    <w:uiPriority w:val="0"/>
    <w:pPr>
      <w:adjustRightInd/>
      <w:spacing w:line="360" w:lineRule="auto"/>
      <w:ind w:hanging="1640"/>
      <w:jc w:val="left"/>
    </w:pPr>
    <w:rPr>
      <w:rFonts w:hint="eastAsia" w:ascii="宋体" w:hAnsi="宋体"/>
      <w:kern w:val="0"/>
      <w:sz w:val="22"/>
      <w:szCs w:val="22"/>
      <w:u w:val="single"/>
    </w:rPr>
  </w:style>
  <w:style w:type="paragraph" w:styleId="991">
    <w:name w:val="List Paragraph"/>
    <w:basedOn w:val="1"/>
    <w:qFormat/>
    <w:uiPriority w:val="0"/>
    <w:pPr>
      <w:autoSpaceDE w:val="0"/>
      <w:autoSpaceDN w:val="0"/>
      <w:jc w:val="left"/>
    </w:pPr>
    <w:rPr>
      <w:rFonts w:ascii="Calibri" w:hAnsi="Calibri"/>
      <w:kern w:val="0"/>
      <w:sz w:val="24"/>
    </w:rPr>
  </w:style>
  <w:style w:type="character" w:customStyle="1" w:styleId="992">
    <w:name w:val="Unresolved Mention"/>
    <w:basedOn w:val="64"/>
    <w:semiHidden/>
    <w:unhideWhenUsed/>
    <w:qFormat/>
    <w:uiPriority w:val="99"/>
    <w:rPr>
      <w:color w:val="605E5C"/>
      <w:shd w:val="clear" w:color="auto" w:fill="E1DFDD"/>
    </w:rPr>
  </w:style>
  <w:style w:type="paragraph" w:customStyle="1" w:styleId="993">
    <w:name w:val="Heading5"/>
    <w:basedOn w:val="1"/>
    <w:next w:val="1"/>
    <w:qFormat/>
    <w:uiPriority w:val="0"/>
    <w:pPr>
      <w:keepNext/>
      <w:keepLines/>
      <w:spacing w:after="120" w:line="360" w:lineRule="auto"/>
      <w:textAlignment w:val="baseline"/>
    </w:pPr>
    <w:rPr>
      <w:rFonts w:eastAsia="微软雅黑"/>
      <w:b/>
      <w:bCs/>
      <w:sz w:val="24"/>
    </w:rPr>
  </w:style>
  <w:style w:type="paragraph" w:customStyle="1" w:styleId="994">
    <w:name w:val="cucd-0"/>
    <w:qFormat/>
    <w:uiPriority w:val="0"/>
    <w:pPr>
      <w:spacing w:line="360" w:lineRule="auto"/>
      <w:ind w:firstLine="480" w:firstLineChars="200"/>
      <w:jc w:val="both"/>
    </w:pPr>
    <w:rPr>
      <w:rFonts w:ascii="Calibri" w:hAnsi="Calibri" w:eastAsia="宋体" w:cs="Times New Roman"/>
      <w:kern w:val="2"/>
      <w:sz w:val="24"/>
      <w:szCs w:val="24"/>
      <w:lang w:val="en-US" w:eastAsia="zh-CN" w:bidi="ar-SA"/>
    </w:rPr>
  </w:style>
  <w:style w:type="paragraph" w:customStyle="1" w:styleId="995">
    <w:name w:val="编制正文"/>
    <w:basedOn w:val="1"/>
    <w:qFormat/>
    <w:uiPriority w:val="0"/>
    <w:pPr>
      <w:tabs>
        <w:tab w:val="left" w:pos="0"/>
        <w:tab w:val="left" w:pos="7012"/>
      </w:tabs>
      <w:autoSpaceDE w:val="0"/>
      <w:autoSpaceDN w:val="0"/>
      <w:adjustRightInd w:val="0"/>
      <w:snapToGrid w:val="0"/>
      <w:spacing w:line="360" w:lineRule="auto"/>
      <w:ind w:firstLine="480" w:firstLineChars="200"/>
      <w:jc w:val="left"/>
    </w:pPr>
    <w:rPr>
      <w:rFonts w:ascii="宋体" w:hAnsi="宋体" w:eastAsia="宋体"/>
      <w:sz w:val="24"/>
    </w:rPr>
  </w:style>
  <w:style w:type="paragraph" w:customStyle="1" w:styleId="996">
    <w:name w:val="Normal_14"/>
    <w:qFormat/>
    <w:uiPriority w:val="0"/>
    <w:pPr>
      <w:spacing w:before="120" w:after="240"/>
      <w:jc w:val="both"/>
    </w:pPr>
    <w:rPr>
      <w:rFonts w:ascii="Calibri" w:hAnsi="Calibri" w:eastAsia="Calibri" w:cs="Times New Roman"/>
      <w:sz w:val="22"/>
      <w:szCs w:val="22"/>
      <w:lang w:val="ru-RU" w:eastAsia="en-US" w:bidi="ar-SA"/>
    </w:rPr>
  </w:style>
  <w:style w:type="paragraph" w:customStyle="1" w:styleId="997">
    <w:name w:val="Normal_15"/>
    <w:qFormat/>
    <w:uiPriority w:val="0"/>
    <w:pPr>
      <w:spacing w:before="120" w:after="240"/>
      <w:jc w:val="both"/>
    </w:pPr>
    <w:rPr>
      <w:rFonts w:ascii="Calibri" w:hAnsi="Calibri" w:eastAsia="Calibri" w:cs="Times New Roman"/>
      <w:sz w:val="22"/>
      <w:szCs w:val="22"/>
      <w:lang w:val="ru-RU" w:eastAsia="en-US" w:bidi="ar-SA"/>
    </w:rPr>
  </w:style>
  <w:style w:type="paragraph" w:customStyle="1" w:styleId="998">
    <w:name w:val="内文正文"/>
    <w:basedOn w:val="32"/>
    <w:qFormat/>
    <w:uiPriority w:val="0"/>
    <w:pPr>
      <w:widowControl w:val="0"/>
      <w:overflowPunct/>
      <w:autoSpaceDE/>
      <w:autoSpaceDN/>
      <w:adjustRightInd/>
      <w:snapToGrid w:val="0"/>
      <w:spacing w:line="400" w:lineRule="exact"/>
      <w:ind w:firstLine="200" w:firstLineChars="200"/>
      <w:jc w:val="both"/>
      <w:textAlignment w:val="auto"/>
    </w:pPr>
    <w:rPr>
      <w:rFonts w:ascii="Arial" w:hAnsi="Arial" w:cs="Courier New"/>
      <w:color w:val="000000"/>
      <w:kern w:val="2"/>
      <w:szCs w:val="20"/>
    </w:rPr>
  </w:style>
  <w:style w:type="paragraph" w:customStyle="1" w:styleId="999">
    <w:name w:val="表格内容"/>
    <w:basedOn w:val="1"/>
    <w:qFormat/>
    <w:uiPriority w:val="0"/>
    <w:pPr>
      <w:jc w:val="center"/>
    </w:pPr>
    <w:rPr>
      <w:rFonts w:ascii="Verdana" w:hAnsi="Verdana"/>
      <w:szCs w:val="20"/>
    </w:rPr>
  </w:style>
  <w:style w:type="character" w:customStyle="1" w:styleId="100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74</Pages>
  <Words>37986</Words>
  <Characters>41527</Characters>
  <Lines>207</Lines>
  <Paragraphs>58</Paragraphs>
  <TotalTime>4</TotalTime>
  <ScaleCrop>false</ScaleCrop>
  <LinksUpToDate>false</LinksUpToDate>
  <CharactersWithSpaces>44693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2022-01-24T08:27:00Z</dcterms:created>
  <dc:creator>Windows 用户</dc:creator>
  <cp:lastModifiedBy>未知</cp:lastModifiedBy>
  <cp:lastPrinted>2022-11-08T01:28:00Z</cp:lastPrinted>
  <dcterms:modified xsi:type="dcterms:W3CDTF">2024-06-25T08:32:20Z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EB4A9C86B400423F9F6C0A1559405C53_13</vt:lpwstr>
  </property>
</Properties>
</file>